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5F7CA" w14:textId="77777777" w:rsidR="00DA5461" w:rsidRDefault="00DA5461" w:rsidP="00624A55">
      <w:pPr>
        <w:pStyle w:val="Heading1"/>
        <w:rPr>
          <w:lang w:val="en-AU"/>
        </w:rPr>
      </w:pPr>
      <w:r w:rsidRPr="00DA5461">
        <w:rPr>
          <w:sz w:val="32"/>
          <w:lang w:val="en-AU"/>
        </w:rPr>
        <w:t>fact sheet:</w:t>
      </w:r>
    </w:p>
    <w:p w14:paraId="6B3FEC81" w14:textId="2AEAF606" w:rsidR="00724003" w:rsidRPr="008273F8" w:rsidRDefault="00747937" w:rsidP="008273F8">
      <w:pPr>
        <w:pStyle w:val="Heading1"/>
        <w:spacing w:before="120" w:after="0"/>
        <w:rPr>
          <w:i/>
          <w:sz w:val="40"/>
          <w:szCs w:val="40"/>
          <w:lang w:val="en-AU"/>
        </w:rPr>
      </w:pPr>
      <w:r w:rsidRPr="008273F8">
        <w:rPr>
          <w:sz w:val="40"/>
          <w:szCs w:val="40"/>
          <w:lang w:val="en-AU"/>
        </w:rPr>
        <w:t>UNIVERSAL</w:t>
      </w:r>
      <w:r w:rsidR="00514D5B" w:rsidRPr="008273F8">
        <w:rPr>
          <w:sz w:val="40"/>
          <w:szCs w:val="40"/>
          <w:lang w:val="en-AU"/>
        </w:rPr>
        <w:t xml:space="preserve"> Maternal and child health</w:t>
      </w:r>
      <w:r w:rsidR="00F442B9" w:rsidRPr="008273F8">
        <w:rPr>
          <w:sz w:val="40"/>
          <w:szCs w:val="40"/>
          <w:lang w:val="en-AU"/>
        </w:rPr>
        <w:t xml:space="preserve"> PROGRAM</w:t>
      </w:r>
      <w:r w:rsidR="008273F8" w:rsidRPr="008273F8">
        <w:rPr>
          <w:sz w:val="40"/>
          <w:szCs w:val="40"/>
          <w:lang w:val="en-AU"/>
        </w:rPr>
        <w:t xml:space="preserve"> -</w:t>
      </w:r>
      <w:r w:rsidRPr="008273F8">
        <w:rPr>
          <w:i/>
          <w:sz w:val="40"/>
          <w:szCs w:val="40"/>
          <w:lang w:val="en-AU"/>
        </w:rPr>
        <w:t xml:space="preserve"> FUNDING 2018-19</w:t>
      </w:r>
    </w:p>
    <w:p w14:paraId="0E60EED4" w14:textId="77777777" w:rsidR="00724003" w:rsidRPr="00C37A55" w:rsidRDefault="00724003" w:rsidP="00724003">
      <w:pPr>
        <w:pStyle w:val="Intro"/>
        <w:rPr>
          <w:sz w:val="8"/>
          <w:szCs w:val="8"/>
        </w:rPr>
      </w:pPr>
    </w:p>
    <w:p w14:paraId="37B6E61A" w14:textId="1F969483" w:rsidR="00724003" w:rsidRPr="005622C4" w:rsidRDefault="00724003" w:rsidP="005622C4">
      <w:pPr>
        <w:pStyle w:val="Heading2"/>
      </w:pPr>
      <w:r w:rsidRPr="005622C4">
        <w:t>CONTEXT</w:t>
      </w:r>
      <w:r w:rsidR="003E3079" w:rsidRPr="005622C4">
        <w:t xml:space="preserve"> </w:t>
      </w:r>
    </w:p>
    <w:p w14:paraId="59B87778" w14:textId="107D17C1" w:rsidR="009B4B3B" w:rsidRPr="001017B5" w:rsidRDefault="00747937" w:rsidP="009B4B3B">
      <w:pPr>
        <w:spacing w:line="276" w:lineRule="auto"/>
        <w:jc w:val="both"/>
        <w:rPr>
          <w:sz w:val="20"/>
          <w:szCs w:val="20"/>
        </w:rPr>
      </w:pPr>
      <w:r>
        <w:rPr>
          <w:sz w:val="20"/>
          <w:szCs w:val="20"/>
        </w:rPr>
        <w:t xml:space="preserve">The Universal </w:t>
      </w:r>
      <w:r w:rsidRPr="001017B5">
        <w:rPr>
          <w:sz w:val="20"/>
          <w:szCs w:val="20"/>
        </w:rPr>
        <w:t>Maternal and Child Health (</w:t>
      </w:r>
      <w:r>
        <w:rPr>
          <w:sz w:val="20"/>
          <w:szCs w:val="20"/>
        </w:rPr>
        <w:t>U</w:t>
      </w:r>
      <w:r w:rsidRPr="001017B5">
        <w:rPr>
          <w:sz w:val="20"/>
          <w:szCs w:val="20"/>
        </w:rPr>
        <w:t xml:space="preserve">MCH) </w:t>
      </w:r>
      <w:r w:rsidR="00E379B6">
        <w:rPr>
          <w:sz w:val="20"/>
          <w:szCs w:val="20"/>
        </w:rPr>
        <w:t>p</w:t>
      </w:r>
      <w:r w:rsidR="00626766">
        <w:rPr>
          <w:sz w:val="20"/>
          <w:szCs w:val="20"/>
        </w:rPr>
        <w:t>rogram</w:t>
      </w:r>
      <w:r w:rsidRPr="001017B5">
        <w:rPr>
          <w:sz w:val="20"/>
          <w:szCs w:val="20"/>
        </w:rPr>
        <w:t xml:space="preserve"> </w:t>
      </w:r>
      <w:r>
        <w:rPr>
          <w:sz w:val="20"/>
          <w:szCs w:val="20"/>
        </w:rPr>
        <w:t xml:space="preserve">is </w:t>
      </w:r>
      <w:r w:rsidR="00DA5461" w:rsidRPr="001017B5">
        <w:rPr>
          <w:sz w:val="20"/>
          <w:szCs w:val="20"/>
        </w:rPr>
        <w:t xml:space="preserve">provided through a partnership between the Department of Education and Training (DET) </w:t>
      </w:r>
      <w:r w:rsidR="007A5602" w:rsidRPr="001017B5">
        <w:rPr>
          <w:sz w:val="20"/>
          <w:szCs w:val="20"/>
        </w:rPr>
        <w:t>and local govern</w:t>
      </w:r>
      <w:r w:rsidR="000D4FBD">
        <w:rPr>
          <w:sz w:val="20"/>
          <w:szCs w:val="20"/>
        </w:rPr>
        <w:t>ment, and is</w:t>
      </w:r>
      <w:r w:rsidR="007A5602" w:rsidRPr="001017B5">
        <w:rPr>
          <w:sz w:val="20"/>
          <w:szCs w:val="20"/>
        </w:rPr>
        <w:t xml:space="preserve"> funded in accordance with the principles outlined in the </w:t>
      </w:r>
      <w:hyperlink r:id="rId11" w:history="1">
        <w:r w:rsidR="007A5602" w:rsidRPr="001017B5">
          <w:rPr>
            <w:rStyle w:val="Hyperlink"/>
            <w:i/>
            <w:sz w:val="20"/>
            <w:szCs w:val="20"/>
          </w:rPr>
          <w:t>Memorandum of Understanding between Department of Education and Training and Municipal Association of Victoria in relation to the Maternal and Child Health Service 2017 – 2020</w:t>
        </w:r>
      </w:hyperlink>
      <w:r w:rsidR="009D5014" w:rsidRPr="001017B5">
        <w:rPr>
          <w:i/>
          <w:sz w:val="20"/>
          <w:szCs w:val="20"/>
        </w:rPr>
        <w:t xml:space="preserve"> </w:t>
      </w:r>
      <w:r w:rsidR="009D5014" w:rsidRPr="001017B5">
        <w:rPr>
          <w:sz w:val="20"/>
          <w:szCs w:val="20"/>
        </w:rPr>
        <w:t>(the MOU).</w:t>
      </w:r>
      <w:r>
        <w:rPr>
          <w:sz w:val="20"/>
          <w:szCs w:val="20"/>
        </w:rPr>
        <w:t xml:space="preserve"> </w:t>
      </w:r>
      <w:r w:rsidRPr="001017B5">
        <w:rPr>
          <w:sz w:val="20"/>
          <w:szCs w:val="20"/>
        </w:rPr>
        <w:t>The U</w:t>
      </w:r>
      <w:r>
        <w:rPr>
          <w:sz w:val="20"/>
          <w:szCs w:val="20"/>
        </w:rPr>
        <w:t>MCH</w:t>
      </w:r>
      <w:r w:rsidRPr="001017B5">
        <w:rPr>
          <w:sz w:val="20"/>
          <w:szCs w:val="20"/>
        </w:rPr>
        <w:t xml:space="preserve"> </w:t>
      </w:r>
      <w:r w:rsidR="00F442B9">
        <w:rPr>
          <w:sz w:val="20"/>
          <w:szCs w:val="20"/>
        </w:rPr>
        <w:t>Program</w:t>
      </w:r>
      <w:r>
        <w:rPr>
          <w:sz w:val="20"/>
          <w:szCs w:val="20"/>
        </w:rPr>
        <w:t xml:space="preserve"> is</w:t>
      </w:r>
      <w:r w:rsidRPr="001017B5">
        <w:rPr>
          <w:sz w:val="20"/>
          <w:szCs w:val="20"/>
        </w:rPr>
        <w:t xml:space="preserve"> delivered </w:t>
      </w:r>
      <w:r>
        <w:rPr>
          <w:sz w:val="20"/>
          <w:szCs w:val="20"/>
        </w:rPr>
        <w:t>directly by local government, or via service providers on behalf of local government.</w:t>
      </w:r>
    </w:p>
    <w:p w14:paraId="14CC2C02" w14:textId="77777777" w:rsidR="009B4B3B" w:rsidRPr="00A27FC3" w:rsidRDefault="009B4B3B" w:rsidP="009B4B3B">
      <w:pPr>
        <w:pStyle w:val="Intro"/>
        <w:rPr>
          <w:sz w:val="8"/>
          <w:szCs w:val="8"/>
        </w:rPr>
      </w:pPr>
    </w:p>
    <w:p w14:paraId="039497D3" w14:textId="39883B32" w:rsidR="009B4B3B" w:rsidRPr="005622C4" w:rsidRDefault="009B4B3B" w:rsidP="005622C4">
      <w:pPr>
        <w:pStyle w:val="Heading2"/>
      </w:pPr>
      <w:r w:rsidRPr="005622C4">
        <w:t>PURPOSE</w:t>
      </w:r>
    </w:p>
    <w:p w14:paraId="5F893D6D" w14:textId="7A1E9DB1" w:rsidR="00AF6E6E" w:rsidRPr="001017B5" w:rsidRDefault="00AF6E6E" w:rsidP="007E6D51">
      <w:pPr>
        <w:spacing w:after="0" w:line="276" w:lineRule="auto"/>
        <w:jc w:val="both"/>
        <w:rPr>
          <w:sz w:val="20"/>
          <w:szCs w:val="20"/>
        </w:rPr>
      </w:pPr>
      <w:r w:rsidRPr="001017B5">
        <w:rPr>
          <w:sz w:val="20"/>
          <w:szCs w:val="20"/>
        </w:rPr>
        <w:t>This fact sheet:</w:t>
      </w:r>
    </w:p>
    <w:p w14:paraId="2F065C1C" w14:textId="57027F7C" w:rsidR="00AF6E6E" w:rsidRPr="00FD23BD" w:rsidRDefault="00C907A7" w:rsidP="00FD23BD">
      <w:pPr>
        <w:pStyle w:val="ListParagraph"/>
        <w:numPr>
          <w:ilvl w:val="0"/>
          <w:numId w:val="29"/>
        </w:numPr>
        <w:rPr>
          <w:b/>
          <w:sz w:val="20"/>
          <w:szCs w:val="20"/>
          <w:lang w:val="en-AU"/>
        </w:rPr>
      </w:pPr>
      <w:r w:rsidRPr="00FD23BD">
        <w:rPr>
          <w:sz w:val="20"/>
          <w:szCs w:val="20"/>
          <w:lang w:val="en-AU"/>
        </w:rPr>
        <w:t xml:space="preserve">outlines the </w:t>
      </w:r>
      <w:r w:rsidR="00AF6E6E" w:rsidRPr="00FD23BD">
        <w:rPr>
          <w:sz w:val="20"/>
          <w:szCs w:val="20"/>
          <w:lang w:val="en-AU"/>
        </w:rPr>
        <w:t xml:space="preserve">funding components of the UMCH </w:t>
      </w:r>
      <w:r w:rsidR="00E379B6">
        <w:rPr>
          <w:sz w:val="20"/>
          <w:szCs w:val="20"/>
          <w:lang w:val="en-AU"/>
        </w:rPr>
        <w:t>p</w:t>
      </w:r>
      <w:r w:rsidR="00F442B9" w:rsidRPr="00FD23BD">
        <w:rPr>
          <w:sz w:val="20"/>
          <w:szCs w:val="20"/>
          <w:lang w:val="en-AU"/>
        </w:rPr>
        <w:t>rogram</w:t>
      </w:r>
      <w:r w:rsidR="00C656EC" w:rsidRPr="00FD23BD">
        <w:rPr>
          <w:sz w:val="20"/>
          <w:szCs w:val="20"/>
          <w:lang w:val="en-AU"/>
        </w:rPr>
        <w:t>:</w:t>
      </w:r>
    </w:p>
    <w:p w14:paraId="113A9039" w14:textId="3E5E0085" w:rsidR="00C656EC" w:rsidRPr="00FD23BD" w:rsidRDefault="00C656EC" w:rsidP="00FD23BD">
      <w:pPr>
        <w:pStyle w:val="ListParagraph"/>
        <w:numPr>
          <w:ilvl w:val="1"/>
          <w:numId w:val="29"/>
        </w:numPr>
        <w:rPr>
          <w:b/>
          <w:sz w:val="20"/>
          <w:szCs w:val="20"/>
          <w:lang w:val="en-AU"/>
        </w:rPr>
      </w:pPr>
      <w:r w:rsidRPr="00FD23BD">
        <w:rPr>
          <w:sz w:val="20"/>
          <w:szCs w:val="20"/>
          <w:lang w:val="en-AU"/>
        </w:rPr>
        <w:t>Key Ages and Stages (KAS) consultations</w:t>
      </w:r>
    </w:p>
    <w:p w14:paraId="3746C396" w14:textId="3BAB4D71" w:rsidR="00C656EC" w:rsidRPr="00FD23BD" w:rsidRDefault="00C656EC" w:rsidP="00FD23BD">
      <w:pPr>
        <w:pStyle w:val="ListParagraph"/>
        <w:numPr>
          <w:ilvl w:val="1"/>
          <w:numId w:val="29"/>
        </w:numPr>
        <w:rPr>
          <w:b/>
          <w:sz w:val="20"/>
          <w:szCs w:val="20"/>
          <w:lang w:val="en-AU"/>
        </w:rPr>
      </w:pPr>
      <w:r w:rsidRPr="00FD23BD">
        <w:rPr>
          <w:sz w:val="20"/>
          <w:szCs w:val="20"/>
          <w:lang w:val="en-AU"/>
        </w:rPr>
        <w:t>Flexible Service Capacity</w:t>
      </w:r>
    </w:p>
    <w:p w14:paraId="35C6B78D" w14:textId="2EACC1D4" w:rsidR="00C656EC" w:rsidRPr="00FD23BD" w:rsidRDefault="00C656EC" w:rsidP="00FD23BD">
      <w:pPr>
        <w:pStyle w:val="ListParagraph"/>
        <w:numPr>
          <w:ilvl w:val="1"/>
          <w:numId w:val="29"/>
        </w:numPr>
        <w:rPr>
          <w:b/>
          <w:sz w:val="20"/>
          <w:szCs w:val="20"/>
          <w:lang w:val="en-AU"/>
        </w:rPr>
      </w:pPr>
      <w:r w:rsidRPr="00FD23BD">
        <w:rPr>
          <w:sz w:val="20"/>
          <w:szCs w:val="20"/>
          <w:lang w:val="en-AU"/>
        </w:rPr>
        <w:t xml:space="preserve">Additional </w:t>
      </w:r>
      <w:r w:rsidR="00E379B6">
        <w:rPr>
          <w:sz w:val="20"/>
          <w:szCs w:val="20"/>
          <w:lang w:val="en-AU"/>
        </w:rPr>
        <w:t>w</w:t>
      </w:r>
      <w:r w:rsidRPr="00FD23BD">
        <w:rPr>
          <w:sz w:val="20"/>
          <w:szCs w:val="20"/>
          <w:lang w:val="en-AU"/>
        </w:rPr>
        <w:t>eightings</w:t>
      </w:r>
    </w:p>
    <w:p w14:paraId="78BEF712" w14:textId="1EEB0845" w:rsidR="00C656EC" w:rsidRPr="00FD23BD" w:rsidRDefault="00E379B6" w:rsidP="00FD23BD">
      <w:pPr>
        <w:pStyle w:val="ListParagraph"/>
        <w:numPr>
          <w:ilvl w:val="1"/>
          <w:numId w:val="29"/>
        </w:numPr>
        <w:rPr>
          <w:b/>
          <w:sz w:val="20"/>
          <w:szCs w:val="20"/>
          <w:lang w:val="en-AU"/>
        </w:rPr>
      </w:pPr>
      <w:r>
        <w:rPr>
          <w:sz w:val="20"/>
          <w:szCs w:val="20"/>
          <w:lang w:val="en-AU"/>
        </w:rPr>
        <w:t>Additional Family Violence v</w:t>
      </w:r>
      <w:r w:rsidR="00C656EC" w:rsidRPr="00FD23BD">
        <w:rPr>
          <w:sz w:val="20"/>
          <w:szCs w:val="20"/>
          <w:lang w:val="en-AU"/>
        </w:rPr>
        <w:t>isits</w:t>
      </w:r>
    </w:p>
    <w:p w14:paraId="5CE722EB" w14:textId="3775F899" w:rsidR="00C656EC" w:rsidRPr="00FD23BD" w:rsidRDefault="00C656EC" w:rsidP="00FD23BD">
      <w:pPr>
        <w:pStyle w:val="ListParagraph"/>
        <w:numPr>
          <w:ilvl w:val="1"/>
          <w:numId w:val="29"/>
        </w:numPr>
        <w:rPr>
          <w:b/>
          <w:sz w:val="20"/>
          <w:szCs w:val="20"/>
          <w:lang w:val="en-AU"/>
        </w:rPr>
      </w:pPr>
      <w:r w:rsidRPr="00FD23BD">
        <w:rPr>
          <w:sz w:val="20"/>
          <w:szCs w:val="20"/>
          <w:lang w:val="en-AU"/>
        </w:rPr>
        <w:t>Rural Sustainability Grant</w:t>
      </w:r>
    </w:p>
    <w:p w14:paraId="04753DCB" w14:textId="77777777" w:rsidR="00747937" w:rsidRPr="00FD23BD" w:rsidRDefault="00747937" w:rsidP="00FD23BD">
      <w:pPr>
        <w:pStyle w:val="ListParagraph"/>
        <w:numPr>
          <w:ilvl w:val="0"/>
          <w:numId w:val="29"/>
        </w:numPr>
        <w:rPr>
          <w:sz w:val="20"/>
          <w:szCs w:val="20"/>
          <w:lang w:val="en-AU"/>
        </w:rPr>
      </w:pPr>
      <w:r w:rsidRPr="00FD23BD">
        <w:rPr>
          <w:sz w:val="20"/>
          <w:szCs w:val="20"/>
          <w:lang w:val="en-AU"/>
        </w:rPr>
        <w:t>outlines the agreed funding source for each funding component</w:t>
      </w:r>
    </w:p>
    <w:p w14:paraId="7C4FCFB8" w14:textId="391D2B70" w:rsidR="00562562" w:rsidRPr="00FD23BD" w:rsidRDefault="00AF6E6E" w:rsidP="00FD23BD">
      <w:pPr>
        <w:pStyle w:val="ListParagraph"/>
        <w:numPr>
          <w:ilvl w:val="0"/>
          <w:numId w:val="29"/>
        </w:numPr>
        <w:rPr>
          <w:sz w:val="20"/>
          <w:szCs w:val="20"/>
          <w:lang w:val="en-AU"/>
        </w:rPr>
      </w:pPr>
      <w:r w:rsidRPr="00FD23BD">
        <w:rPr>
          <w:sz w:val="20"/>
          <w:szCs w:val="20"/>
          <w:lang w:val="en-AU"/>
        </w:rPr>
        <w:t>describes how each funding component is calculated</w:t>
      </w:r>
      <w:r w:rsidR="000303AB" w:rsidRPr="00FD23BD">
        <w:rPr>
          <w:sz w:val="20"/>
          <w:szCs w:val="20"/>
          <w:lang w:val="en-AU"/>
        </w:rPr>
        <w:t>.</w:t>
      </w:r>
    </w:p>
    <w:p w14:paraId="2F184520" w14:textId="095EC5D5" w:rsidR="009B4B3B" w:rsidRPr="009B4B3B" w:rsidRDefault="009B4B3B" w:rsidP="009B4B3B">
      <w:pPr>
        <w:spacing w:line="276" w:lineRule="auto"/>
        <w:jc w:val="both"/>
        <w:rPr>
          <w:sz w:val="20"/>
          <w:szCs w:val="20"/>
        </w:rPr>
      </w:pPr>
      <w:r>
        <w:rPr>
          <w:sz w:val="20"/>
          <w:szCs w:val="20"/>
        </w:rPr>
        <w:t xml:space="preserve">Local governments can use this information to better understand the funded components of the UMCH </w:t>
      </w:r>
      <w:r w:rsidR="00E379B6">
        <w:rPr>
          <w:sz w:val="20"/>
          <w:szCs w:val="20"/>
        </w:rPr>
        <w:t>p</w:t>
      </w:r>
      <w:r w:rsidR="00F442B9">
        <w:rPr>
          <w:sz w:val="20"/>
          <w:szCs w:val="20"/>
        </w:rPr>
        <w:t>rogram</w:t>
      </w:r>
      <w:r>
        <w:rPr>
          <w:sz w:val="20"/>
          <w:szCs w:val="20"/>
        </w:rPr>
        <w:t xml:space="preserve">, and </w:t>
      </w:r>
      <w:r w:rsidR="005A160C">
        <w:rPr>
          <w:sz w:val="20"/>
          <w:szCs w:val="20"/>
        </w:rPr>
        <w:t xml:space="preserve">assist with </w:t>
      </w:r>
      <w:r>
        <w:rPr>
          <w:sz w:val="20"/>
          <w:szCs w:val="20"/>
        </w:rPr>
        <w:t>forecast</w:t>
      </w:r>
      <w:r w:rsidR="005A160C">
        <w:rPr>
          <w:sz w:val="20"/>
          <w:szCs w:val="20"/>
        </w:rPr>
        <w:t>ing</w:t>
      </w:r>
      <w:r>
        <w:rPr>
          <w:sz w:val="20"/>
          <w:szCs w:val="20"/>
        </w:rPr>
        <w:t xml:space="preserve"> </w:t>
      </w:r>
      <w:r w:rsidR="008273F8">
        <w:rPr>
          <w:sz w:val="20"/>
          <w:szCs w:val="20"/>
        </w:rPr>
        <w:t>operational</w:t>
      </w:r>
      <w:r>
        <w:rPr>
          <w:sz w:val="20"/>
          <w:szCs w:val="20"/>
        </w:rPr>
        <w:t xml:space="preserve"> budgets.</w:t>
      </w:r>
      <w:r w:rsidR="005A160C">
        <w:rPr>
          <w:sz w:val="20"/>
          <w:szCs w:val="20"/>
        </w:rPr>
        <w:t xml:space="preserve"> </w:t>
      </w:r>
    </w:p>
    <w:p w14:paraId="1CE0CB38" w14:textId="77777777" w:rsidR="00FB245B" w:rsidRPr="00A27FC3" w:rsidRDefault="00FB245B" w:rsidP="00624A55">
      <w:pPr>
        <w:pStyle w:val="Intro"/>
        <w:rPr>
          <w:sz w:val="8"/>
          <w:szCs w:val="8"/>
        </w:rPr>
      </w:pPr>
    </w:p>
    <w:p w14:paraId="76E0E31B" w14:textId="29D39E36" w:rsidR="00B65A4C" w:rsidRPr="001017B5" w:rsidRDefault="00724003" w:rsidP="001017B5">
      <w:pPr>
        <w:pStyle w:val="Heading2"/>
        <w:pBdr>
          <w:top w:val="single" w:sz="4" w:space="1" w:color="AF272F" w:themeColor="accent1"/>
        </w:pBdr>
        <w:rPr>
          <w:sz w:val="32"/>
          <w:szCs w:val="32"/>
          <w:lang w:val="en-AU"/>
        </w:rPr>
      </w:pPr>
      <w:r w:rsidRPr="001017B5">
        <w:rPr>
          <w:sz w:val="32"/>
          <w:szCs w:val="32"/>
          <w:lang w:val="en-AU"/>
        </w:rPr>
        <w:t>funding components</w:t>
      </w:r>
    </w:p>
    <w:p w14:paraId="2C7572C1" w14:textId="0F010EF0" w:rsidR="00724003" w:rsidRPr="005622C4" w:rsidRDefault="00724003" w:rsidP="005622C4">
      <w:pPr>
        <w:pStyle w:val="Heading2"/>
      </w:pPr>
      <w:r w:rsidRPr="005622C4">
        <w:t>Key Ages and Stages</w:t>
      </w:r>
      <w:r w:rsidR="00346F8F" w:rsidRPr="005622C4">
        <w:t xml:space="preserve"> </w:t>
      </w:r>
      <w:r w:rsidR="00747937" w:rsidRPr="005622C4">
        <w:t xml:space="preserve">(KAS) </w:t>
      </w:r>
      <w:r w:rsidRPr="005622C4">
        <w:t>consultations</w:t>
      </w:r>
    </w:p>
    <w:p w14:paraId="30C017FA" w14:textId="77777777" w:rsidR="00724003" w:rsidRDefault="00724003" w:rsidP="00B94C44">
      <w:pPr>
        <w:pStyle w:val="Heading3"/>
        <w:rPr>
          <w:lang w:val="en-AU"/>
        </w:rPr>
      </w:pPr>
      <w:r>
        <w:rPr>
          <w:lang w:val="en-AU"/>
        </w:rPr>
        <w:t>Funding purpose</w:t>
      </w:r>
    </w:p>
    <w:p w14:paraId="54649EB2" w14:textId="50DB92B9" w:rsidR="007E6D51" w:rsidRPr="001017B5" w:rsidRDefault="00747937" w:rsidP="00B94C44">
      <w:pPr>
        <w:spacing w:line="276" w:lineRule="auto"/>
        <w:jc w:val="both"/>
        <w:rPr>
          <w:sz w:val="20"/>
          <w:szCs w:val="20"/>
          <w:lang w:val="en-AU"/>
        </w:rPr>
      </w:pPr>
      <w:r>
        <w:rPr>
          <w:sz w:val="20"/>
          <w:szCs w:val="20"/>
          <w:lang w:val="en-AU"/>
        </w:rPr>
        <w:t>The</w:t>
      </w:r>
      <w:r w:rsidR="00A15543">
        <w:rPr>
          <w:sz w:val="20"/>
          <w:szCs w:val="20"/>
          <w:lang w:val="en-AU"/>
        </w:rPr>
        <w:t xml:space="preserve"> </w:t>
      </w:r>
      <w:r>
        <w:rPr>
          <w:sz w:val="20"/>
          <w:szCs w:val="20"/>
          <w:lang w:val="en-AU"/>
        </w:rPr>
        <w:t>KAS</w:t>
      </w:r>
      <w:r w:rsidR="00051732" w:rsidRPr="001017B5">
        <w:rPr>
          <w:sz w:val="20"/>
          <w:szCs w:val="20"/>
          <w:lang w:val="en-AU"/>
        </w:rPr>
        <w:t xml:space="preserve"> consultations are a schedule of co</w:t>
      </w:r>
      <w:r w:rsidR="00346F8F" w:rsidRPr="001017B5">
        <w:rPr>
          <w:sz w:val="20"/>
          <w:szCs w:val="20"/>
          <w:lang w:val="en-AU"/>
        </w:rPr>
        <w:t>nsultations</w:t>
      </w:r>
      <w:r w:rsidR="00051732" w:rsidRPr="001017B5">
        <w:rPr>
          <w:sz w:val="20"/>
          <w:szCs w:val="20"/>
          <w:lang w:val="en-AU"/>
        </w:rPr>
        <w:t xml:space="preserve"> for all children and their fam</w:t>
      </w:r>
      <w:r w:rsidR="00A27FC3">
        <w:rPr>
          <w:sz w:val="20"/>
          <w:szCs w:val="20"/>
          <w:lang w:val="en-AU"/>
        </w:rPr>
        <w:t>ilies from birth to school age</w:t>
      </w:r>
      <w:r w:rsidR="00051732" w:rsidRPr="001017B5">
        <w:rPr>
          <w:sz w:val="20"/>
          <w:szCs w:val="20"/>
          <w:lang w:val="en-AU"/>
        </w:rPr>
        <w:t>. Each KAS consultatio</w:t>
      </w:r>
      <w:r w:rsidR="00A27FC3">
        <w:rPr>
          <w:sz w:val="20"/>
          <w:szCs w:val="20"/>
          <w:lang w:val="en-AU"/>
        </w:rPr>
        <w:t>n has an agreed time allocation, as outlined below.</w:t>
      </w:r>
    </w:p>
    <w:tbl>
      <w:tblPr>
        <w:tblStyle w:val="TableGrid"/>
        <w:tblW w:w="10206" w:type="dxa"/>
        <w:tblInd w:w="-5" w:type="dxa"/>
        <w:tblLayout w:type="fixed"/>
        <w:tblLook w:val="04A0" w:firstRow="1" w:lastRow="0" w:firstColumn="1" w:lastColumn="0" w:noHBand="0" w:noVBand="1"/>
        <w:tblCaption w:val="Table 1: Schedule of KAS consultations"/>
      </w:tblPr>
      <w:tblGrid>
        <w:gridCol w:w="851"/>
        <w:gridCol w:w="935"/>
        <w:gridCol w:w="936"/>
        <w:gridCol w:w="935"/>
        <w:gridCol w:w="936"/>
        <w:gridCol w:w="935"/>
        <w:gridCol w:w="936"/>
        <w:gridCol w:w="935"/>
        <w:gridCol w:w="936"/>
        <w:gridCol w:w="935"/>
        <w:gridCol w:w="936"/>
      </w:tblGrid>
      <w:tr w:rsidR="00935A58" w:rsidRPr="000303AB" w14:paraId="0C9DDC43" w14:textId="77777777" w:rsidTr="00BB120B">
        <w:trPr>
          <w:cnfStyle w:val="100000000000" w:firstRow="1" w:lastRow="0" w:firstColumn="0" w:lastColumn="0" w:oddVBand="0" w:evenVBand="0" w:oddHBand="0" w:evenHBand="0" w:firstRowFirstColumn="0" w:firstRowLastColumn="0" w:lastRowFirstColumn="0" w:lastRowLastColumn="0"/>
          <w:cantSplit/>
          <w:trHeight w:val="660"/>
          <w:tblHead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328FA71" w14:textId="77777777" w:rsidR="00051732" w:rsidRPr="001017B5" w:rsidRDefault="00051732" w:rsidP="001017B5">
            <w:pPr>
              <w:spacing w:line="276" w:lineRule="auto"/>
              <w:rPr>
                <w:color w:val="auto"/>
                <w:sz w:val="20"/>
                <w:szCs w:val="20"/>
                <w:lang w:val="en-AU"/>
              </w:rPr>
            </w:pPr>
          </w:p>
        </w:tc>
        <w:tc>
          <w:tcPr>
            <w:tcW w:w="935" w:type="dxa"/>
            <w:vAlign w:val="center"/>
          </w:tcPr>
          <w:p w14:paraId="461C8A7B"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Home visit</w:t>
            </w:r>
          </w:p>
        </w:tc>
        <w:tc>
          <w:tcPr>
            <w:tcW w:w="936" w:type="dxa"/>
            <w:vAlign w:val="center"/>
          </w:tcPr>
          <w:p w14:paraId="4FF96AD2"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2 weeks</w:t>
            </w:r>
          </w:p>
        </w:tc>
        <w:tc>
          <w:tcPr>
            <w:tcW w:w="935" w:type="dxa"/>
            <w:vAlign w:val="center"/>
          </w:tcPr>
          <w:p w14:paraId="2E83E7D6"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 weeks</w:t>
            </w:r>
          </w:p>
        </w:tc>
        <w:tc>
          <w:tcPr>
            <w:tcW w:w="936" w:type="dxa"/>
            <w:vAlign w:val="center"/>
          </w:tcPr>
          <w:p w14:paraId="1561C5A6"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8 weeks</w:t>
            </w:r>
          </w:p>
        </w:tc>
        <w:tc>
          <w:tcPr>
            <w:tcW w:w="935" w:type="dxa"/>
            <w:vAlign w:val="center"/>
          </w:tcPr>
          <w:p w14:paraId="62E84107" w14:textId="77777777" w:rsidR="00A219DE" w:rsidRDefault="00051732" w:rsidP="001017B5">
            <w:pPr>
              <w:spacing w:after="0"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w:t>
            </w:r>
          </w:p>
          <w:p w14:paraId="03138D94"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mth</w:t>
            </w:r>
            <w:r w:rsidR="00A219DE">
              <w:rPr>
                <w:sz w:val="20"/>
                <w:szCs w:val="20"/>
                <w:lang w:val="en-AU"/>
              </w:rPr>
              <w:t>s</w:t>
            </w:r>
          </w:p>
        </w:tc>
        <w:tc>
          <w:tcPr>
            <w:tcW w:w="936" w:type="dxa"/>
            <w:vAlign w:val="center"/>
          </w:tcPr>
          <w:p w14:paraId="202B06B0" w14:textId="77777777" w:rsidR="00A219DE" w:rsidRDefault="00051732" w:rsidP="001017B5">
            <w:pPr>
              <w:spacing w:after="0"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8</w:t>
            </w:r>
          </w:p>
          <w:p w14:paraId="2DAC4FF4"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mth</w:t>
            </w:r>
            <w:r w:rsidR="00A219DE">
              <w:rPr>
                <w:sz w:val="20"/>
                <w:szCs w:val="20"/>
                <w:lang w:val="en-AU"/>
              </w:rPr>
              <w:t>s</w:t>
            </w:r>
          </w:p>
        </w:tc>
        <w:tc>
          <w:tcPr>
            <w:tcW w:w="935" w:type="dxa"/>
            <w:vAlign w:val="center"/>
          </w:tcPr>
          <w:p w14:paraId="46840F18" w14:textId="77777777" w:rsidR="00A219DE" w:rsidRDefault="00051732" w:rsidP="001017B5">
            <w:pPr>
              <w:spacing w:after="0"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12</w:t>
            </w:r>
          </w:p>
          <w:p w14:paraId="5343E22F"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mth</w:t>
            </w:r>
            <w:r w:rsidR="00A219DE">
              <w:rPr>
                <w:sz w:val="20"/>
                <w:szCs w:val="20"/>
                <w:lang w:val="en-AU"/>
              </w:rPr>
              <w:t>s</w:t>
            </w:r>
          </w:p>
        </w:tc>
        <w:tc>
          <w:tcPr>
            <w:tcW w:w="936" w:type="dxa"/>
            <w:vAlign w:val="center"/>
          </w:tcPr>
          <w:p w14:paraId="6E491670" w14:textId="77777777" w:rsidR="00A219DE" w:rsidRDefault="00051732" w:rsidP="001017B5">
            <w:pPr>
              <w:spacing w:after="0"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18</w:t>
            </w:r>
          </w:p>
          <w:p w14:paraId="04EEC013" w14:textId="24F58009"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mth</w:t>
            </w:r>
            <w:r w:rsidR="00A15543">
              <w:rPr>
                <w:sz w:val="20"/>
                <w:szCs w:val="20"/>
                <w:lang w:val="en-AU"/>
              </w:rPr>
              <w:t>s</w:t>
            </w:r>
          </w:p>
        </w:tc>
        <w:tc>
          <w:tcPr>
            <w:tcW w:w="935" w:type="dxa"/>
            <w:vAlign w:val="center"/>
          </w:tcPr>
          <w:p w14:paraId="564B5645" w14:textId="77777777" w:rsidR="00A219DE" w:rsidRDefault="00051732" w:rsidP="001017B5">
            <w:pPr>
              <w:spacing w:after="0"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2</w:t>
            </w:r>
          </w:p>
          <w:p w14:paraId="233965D7" w14:textId="407D8D6E" w:rsidR="00051732" w:rsidRPr="001017B5" w:rsidRDefault="00E379B6"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y</w:t>
            </w:r>
            <w:r w:rsidR="00051732" w:rsidRPr="001017B5">
              <w:rPr>
                <w:sz w:val="20"/>
                <w:szCs w:val="20"/>
                <w:lang w:val="en-AU"/>
              </w:rPr>
              <w:t>ears</w:t>
            </w:r>
          </w:p>
        </w:tc>
        <w:tc>
          <w:tcPr>
            <w:tcW w:w="936" w:type="dxa"/>
            <w:vAlign w:val="center"/>
          </w:tcPr>
          <w:p w14:paraId="6C04BB99" w14:textId="77777777" w:rsidR="00051732" w:rsidRPr="001017B5" w:rsidRDefault="00051732" w:rsidP="001017B5">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3.5 years</w:t>
            </w:r>
          </w:p>
        </w:tc>
      </w:tr>
      <w:tr w:rsidR="003562E4" w:rsidRPr="000303AB" w14:paraId="7B10931C" w14:textId="77777777" w:rsidTr="00A15543">
        <w:trPr>
          <w:cantSplit/>
          <w:trHeight w:val="304"/>
        </w:trPr>
        <w:tc>
          <w:tcPr>
            <w:cnfStyle w:val="001000000000" w:firstRow="0" w:lastRow="0" w:firstColumn="1" w:lastColumn="0" w:oddVBand="0" w:evenVBand="0" w:oddHBand="0" w:evenHBand="0" w:firstRowFirstColumn="0" w:firstRowLastColumn="0" w:lastRowFirstColumn="0" w:lastRowLastColumn="0"/>
            <w:tcW w:w="851" w:type="dxa"/>
            <w:shd w:val="clear" w:color="auto" w:fill="AF272F" w:themeFill="accent1"/>
            <w:vAlign w:val="center"/>
          </w:tcPr>
          <w:p w14:paraId="1F17BD99" w14:textId="77777777" w:rsidR="00051732" w:rsidRPr="001017B5" w:rsidRDefault="00051732" w:rsidP="001017B5">
            <w:pPr>
              <w:spacing w:line="276" w:lineRule="auto"/>
              <w:rPr>
                <w:color w:val="auto"/>
                <w:sz w:val="20"/>
                <w:szCs w:val="20"/>
                <w:lang w:val="en-AU"/>
              </w:rPr>
            </w:pPr>
            <w:r w:rsidRPr="001017B5">
              <w:rPr>
                <w:b/>
                <w:color w:val="FFFFFF" w:themeColor="background1"/>
                <w:sz w:val="20"/>
                <w:szCs w:val="20"/>
                <w:lang w:val="en-AU"/>
              </w:rPr>
              <w:t>Time</w:t>
            </w:r>
          </w:p>
        </w:tc>
        <w:tc>
          <w:tcPr>
            <w:tcW w:w="935" w:type="dxa"/>
            <w:vAlign w:val="center"/>
          </w:tcPr>
          <w:p w14:paraId="6CD16674"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 hr</w:t>
            </w:r>
          </w:p>
        </w:tc>
        <w:tc>
          <w:tcPr>
            <w:tcW w:w="936" w:type="dxa"/>
            <w:vAlign w:val="center"/>
          </w:tcPr>
          <w:p w14:paraId="3854621B"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 mins</w:t>
            </w:r>
          </w:p>
        </w:tc>
        <w:tc>
          <w:tcPr>
            <w:tcW w:w="935" w:type="dxa"/>
            <w:vAlign w:val="center"/>
          </w:tcPr>
          <w:p w14:paraId="18448A4A"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 hr</w:t>
            </w:r>
          </w:p>
        </w:tc>
        <w:tc>
          <w:tcPr>
            <w:tcW w:w="936" w:type="dxa"/>
            <w:vAlign w:val="center"/>
          </w:tcPr>
          <w:p w14:paraId="187A029D"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 mins</w:t>
            </w:r>
          </w:p>
        </w:tc>
        <w:tc>
          <w:tcPr>
            <w:tcW w:w="935" w:type="dxa"/>
            <w:vAlign w:val="center"/>
          </w:tcPr>
          <w:p w14:paraId="1BC310B0"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 mins</w:t>
            </w:r>
          </w:p>
        </w:tc>
        <w:tc>
          <w:tcPr>
            <w:tcW w:w="936" w:type="dxa"/>
            <w:vAlign w:val="center"/>
          </w:tcPr>
          <w:p w14:paraId="2563E6A3" w14:textId="77777777" w:rsidR="00051732" w:rsidRPr="001017B5" w:rsidRDefault="00051732"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45 mins</w:t>
            </w:r>
          </w:p>
        </w:tc>
        <w:tc>
          <w:tcPr>
            <w:tcW w:w="935" w:type="dxa"/>
            <w:vAlign w:val="center"/>
          </w:tcPr>
          <w:p w14:paraId="0493C59F" w14:textId="77777777" w:rsidR="00051732" w:rsidRPr="001017B5" w:rsidRDefault="00793340"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 mins</w:t>
            </w:r>
          </w:p>
        </w:tc>
        <w:tc>
          <w:tcPr>
            <w:tcW w:w="936" w:type="dxa"/>
            <w:vAlign w:val="center"/>
          </w:tcPr>
          <w:p w14:paraId="34112666" w14:textId="77777777" w:rsidR="00051732" w:rsidRPr="001017B5" w:rsidRDefault="00793340"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45 mins</w:t>
            </w:r>
          </w:p>
        </w:tc>
        <w:tc>
          <w:tcPr>
            <w:tcW w:w="935" w:type="dxa"/>
            <w:vAlign w:val="center"/>
          </w:tcPr>
          <w:p w14:paraId="10FAF565" w14:textId="77777777" w:rsidR="00051732" w:rsidRPr="001017B5" w:rsidRDefault="00793340" w:rsidP="001017B5">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 mins</w:t>
            </w:r>
          </w:p>
        </w:tc>
        <w:tc>
          <w:tcPr>
            <w:tcW w:w="936" w:type="dxa"/>
            <w:vAlign w:val="center"/>
          </w:tcPr>
          <w:p w14:paraId="06A4CB1C" w14:textId="77777777" w:rsidR="00051732" w:rsidRPr="001017B5" w:rsidRDefault="00793340" w:rsidP="001017B5">
            <w:pPr>
              <w:keepNex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45 mins</w:t>
            </w:r>
          </w:p>
        </w:tc>
      </w:tr>
    </w:tbl>
    <w:p w14:paraId="45E8A43D" w14:textId="70418915" w:rsidR="005B2832" w:rsidRDefault="005B2832">
      <w:pPr>
        <w:pStyle w:val="Caption"/>
      </w:pPr>
      <w:r>
        <w:t xml:space="preserve">Table </w:t>
      </w:r>
      <w:fldSimple w:instr=" SEQ Table \* ARABIC ">
        <w:r w:rsidR="00BE5508">
          <w:rPr>
            <w:noProof/>
          </w:rPr>
          <w:t>1</w:t>
        </w:r>
      </w:fldSimple>
      <w:r>
        <w:t>: Schedule of KAS consultations</w:t>
      </w:r>
    </w:p>
    <w:p w14:paraId="03D25B39" w14:textId="36BF57FF" w:rsidR="00747937" w:rsidRPr="00B65A4C" w:rsidRDefault="00747937" w:rsidP="00B94C44">
      <w:pPr>
        <w:pStyle w:val="Heading3"/>
        <w:spacing w:before="120"/>
        <w:rPr>
          <w:lang w:val="en-AU"/>
        </w:rPr>
      </w:pPr>
      <w:r w:rsidRPr="00023D41">
        <w:rPr>
          <w:lang w:val="en-AU"/>
        </w:rPr>
        <w:t>Funding s</w:t>
      </w:r>
      <w:r>
        <w:rPr>
          <w:lang w:val="en-AU"/>
        </w:rPr>
        <w:t>ource</w:t>
      </w:r>
    </w:p>
    <w:p w14:paraId="7E8738A5" w14:textId="0E6DC7B1" w:rsidR="00747937" w:rsidRPr="00A57241" w:rsidRDefault="00747937" w:rsidP="00B94C44">
      <w:pPr>
        <w:rPr>
          <w:sz w:val="20"/>
          <w:szCs w:val="20"/>
          <w:lang w:val="en-AU"/>
        </w:rPr>
      </w:pPr>
      <w:r w:rsidRPr="001017B5">
        <w:rPr>
          <w:sz w:val="20"/>
          <w:szCs w:val="20"/>
          <w:lang w:val="en-AU"/>
        </w:rPr>
        <w:t xml:space="preserve">Responsibility for funding </w:t>
      </w:r>
      <w:r w:rsidR="00A27FC3">
        <w:rPr>
          <w:sz w:val="20"/>
          <w:szCs w:val="20"/>
          <w:lang w:val="en-AU"/>
        </w:rPr>
        <w:t>KAS consultations</w:t>
      </w:r>
      <w:r w:rsidRPr="001017B5">
        <w:rPr>
          <w:sz w:val="20"/>
          <w:szCs w:val="20"/>
          <w:lang w:val="en-AU"/>
        </w:rPr>
        <w:t xml:space="preserve"> is split equally between DET and local government.</w:t>
      </w:r>
    </w:p>
    <w:p w14:paraId="08F196CC" w14:textId="6BF704FC" w:rsidR="009D5014" w:rsidRPr="00B65A4C" w:rsidRDefault="009D5014" w:rsidP="003C25EF">
      <w:pPr>
        <w:pStyle w:val="Heading3"/>
        <w:spacing w:before="120" w:after="0"/>
        <w:rPr>
          <w:lang w:val="en-AU"/>
        </w:rPr>
      </w:pPr>
      <w:r w:rsidRPr="00B65A4C">
        <w:rPr>
          <w:lang w:val="en-AU"/>
        </w:rPr>
        <w:t>How funding</w:t>
      </w:r>
      <w:r w:rsidR="0030158D" w:rsidRPr="00023D41">
        <w:rPr>
          <w:lang w:val="en-AU"/>
        </w:rPr>
        <w:t xml:space="preserve"> is calculated</w:t>
      </w:r>
    </w:p>
    <w:p w14:paraId="3732D365" w14:textId="77777777" w:rsidR="00B65A4C" w:rsidRPr="001017B5" w:rsidRDefault="009D5014" w:rsidP="00B94C44">
      <w:pPr>
        <w:spacing w:before="120" w:line="276" w:lineRule="auto"/>
        <w:jc w:val="both"/>
        <w:rPr>
          <w:sz w:val="20"/>
          <w:szCs w:val="20"/>
          <w:lang w:val="en-AU"/>
        </w:rPr>
      </w:pPr>
      <w:r w:rsidRPr="001017B5">
        <w:rPr>
          <w:sz w:val="20"/>
          <w:szCs w:val="20"/>
          <w:lang w:val="en-AU"/>
        </w:rPr>
        <w:t>Funding is based on the number of enrolled children per age cohort, multiplied by the hours of service delivery in each age bracket, multiplied by the agreed hourly service delivery unit price.</w:t>
      </w:r>
    </w:p>
    <w:p w14:paraId="33E4A7E1" w14:textId="2E938EC3" w:rsidR="00B65A4C" w:rsidRPr="001017B5" w:rsidRDefault="00B65A4C" w:rsidP="00B94C44">
      <w:pPr>
        <w:spacing w:before="120" w:line="276" w:lineRule="auto"/>
        <w:jc w:val="both"/>
        <w:rPr>
          <w:sz w:val="20"/>
          <w:szCs w:val="20"/>
          <w:lang w:val="en-AU"/>
        </w:rPr>
      </w:pPr>
      <w:r w:rsidRPr="001017B5">
        <w:rPr>
          <w:sz w:val="20"/>
          <w:szCs w:val="20"/>
          <w:lang w:val="en-AU"/>
        </w:rPr>
        <w:t xml:space="preserve">The </w:t>
      </w:r>
      <w:r w:rsidRPr="001017B5">
        <w:rPr>
          <w:sz w:val="20"/>
          <w:szCs w:val="20"/>
          <w:u w:val="single"/>
          <w:lang w:val="en-AU"/>
        </w:rPr>
        <w:t>number of enrolled children</w:t>
      </w:r>
      <w:r w:rsidRPr="001017B5">
        <w:rPr>
          <w:sz w:val="20"/>
          <w:szCs w:val="20"/>
          <w:lang w:val="en-AU"/>
        </w:rPr>
        <w:t xml:space="preserve"> in each age cohort is </w:t>
      </w:r>
      <w:r w:rsidR="0021282F">
        <w:rPr>
          <w:sz w:val="20"/>
          <w:szCs w:val="20"/>
          <w:lang w:val="en-AU"/>
        </w:rPr>
        <w:t>taken from</w:t>
      </w:r>
      <w:r w:rsidR="00AF437D">
        <w:rPr>
          <w:sz w:val="20"/>
          <w:szCs w:val="20"/>
          <w:lang w:val="en-AU"/>
        </w:rPr>
        <w:t xml:space="preserve"> data</w:t>
      </w:r>
      <w:r w:rsidRPr="001017B5">
        <w:rPr>
          <w:sz w:val="20"/>
          <w:szCs w:val="20"/>
          <w:lang w:val="en-AU"/>
        </w:rPr>
        <w:t xml:space="preserve"> collected in April of the </w:t>
      </w:r>
      <w:r w:rsidR="00A219DE" w:rsidRPr="001017B5">
        <w:rPr>
          <w:sz w:val="20"/>
          <w:szCs w:val="20"/>
          <w:lang w:val="en-AU"/>
        </w:rPr>
        <w:t>pre</w:t>
      </w:r>
      <w:r w:rsidR="00A219DE">
        <w:rPr>
          <w:sz w:val="20"/>
          <w:szCs w:val="20"/>
          <w:lang w:val="en-AU"/>
        </w:rPr>
        <w:t>ceding</w:t>
      </w:r>
      <w:r w:rsidR="00A219DE" w:rsidRPr="001017B5">
        <w:rPr>
          <w:sz w:val="20"/>
          <w:szCs w:val="20"/>
          <w:lang w:val="en-AU"/>
        </w:rPr>
        <w:t xml:space="preserve"> </w:t>
      </w:r>
      <w:r w:rsidRPr="001017B5">
        <w:rPr>
          <w:sz w:val="20"/>
          <w:szCs w:val="20"/>
          <w:lang w:val="en-AU"/>
        </w:rPr>
        <w:t>financial year</w:t>
      </w:r>
      <w:r w:rsidR="008006DC">
        <w:rPr>
          <w:sz w:val="20"/>
          <w:szCs w:val="20"/>
          <w:lang w:val="en-AU"/>
        </w:rPr>
        <w:t>,</w:t>
      </w:r>
      <w:r w:rsidRPr="001017B5">
        <w:rPr>
          <w:sz w:val="20"/>
          <w:szCs w:val="20"/>
          <w:lang w:val="en-AU"/>
        </w:rPr>
        <w:t xml:space="preserve"> known as the ‘March data’.</w:t>
      </w:r>
      <w:r w:rsidR="000D4FBD">
        <w:rPr>
          <w:sz w:val="20"/>
          <w:szCs w:val="20"/>
          <w:lang w:val="en-AU"/>
        </w:rPr>
        <w:t xml:space="preserve"> For the 0-1 age cohort, a full-</w:t>
      </w:r>
      <w:r w:rsidRPr="001017B5">
        <w:rPr>
          <w:sz w:val="20"/>
          <w:szCs w:val="20"/>
          <w:lang w:val="en-AU"/>
        </w:rPr>
        <w:t>year enrolment number is extrapolated from the March data, to determine a projected ‘0-</w:t>
      </w:r>
      <w:r w:rsidR="00A219DE">
        <w:rPr>
          <w:sz w:val="20"/>
          <w:szCs w:val="20"/>
          <w:lang w:val="en-AU"/>
        </w:rPr>
        <w:t>1</w:t>
      </w:r>
      <w:r w:rsidRPr="001017B5">
        <w:rPr>
          <w:sz w:val="20"/>
          <w:szCs w:val="20"/>
          <w:lang w:val="en-AU"/>
        </w:rPr>
        <w:t xml:space="preserve"> full year</w:t>
      </w:r>
      <w:r w:rsidR="00A219DE">
        <w:rPr>
          <w:sz w:val="20"/>
          <w:szCs w:val="20"/>
          <w:lang w:val="en-AU"/>
        </w:rPr>
        <w:t>’</w:t>
      </w:r>
      <w:r w:rsidRPr="001017B5">
        <w:rPr>
          <w:sz w:val="20"/>
          <w:szCs w:val="20"/>
          <w:lang w:val="en-AU"/>
        </w:rPr>
        <w:t xml:space="preserve"> enrolment figure.</w:t>
      </w:r>
    </w:p>
    <w:p w14:paraId="66092293" w14:textId="0FA4E62D" w:rsidR="009D5014" w:rsidRPr="001017B5" w:rsidRDefault="00B65A4C" w:rsidP="00B94C44">
      <w:pPr>
        <w:spacing w:line="276" w:lineRule="auto"/>
        <w:jc w:val="both"/>
        <w:rPr>
          <w:sz w:val="20"/>
          <w:szCs w:val="20"/>
          <w:lang w:val="en-AU"/>
        </w:rPr>
      </w:pPr>
      <w:r w:rsidRPr="001017B5">
        <w:rPr>
          <w:sz w:val="20"/>
          <w:szCs w:val="20"/>
          <w:lang w:val="en-AU"/>
        </w:rPr>
        <w:t xml:space="preserve">The </w:t>
      </w:r>
      <w:r w:rsidRPr="001017B5">
        <w:rPr>
          <w:sz w:val="20"/>
          <w:szCs w:val="20"/>
          <w:u w:val="single"/>
          <w:lang w:val="en-AU"/>
        </w:rPr>
        <w:t>agreed hourly unit price</w:t>
      </w:r>
      <w:r w:rsidRPr="001017B5">
        <w:rPr>
          <w:sz w:val="20"/>
          <w:szCs w:val="20"/>
          <w:lang w:val="en-AU"/>
        </w:rPr>
        <w:t xml:space="preserve"> is specified in the MOU. In </w:t>
      </w:r>
      <w:r w:rsidR="00C656EC">
        <w:rPr>
          <w:sz w:val="20"/>
          <w:szCs w:val="20"/>
          <w:lang w:val="en-AU"/>
        </w:rPr>
        <w:t>2018-19</w:t>
      </w:r>
      <w:r w:rsidRPr="001017B5">
        <w:rPr>
          <w:sz w:val="20"/>
          <w:szCs w:val="20"/>
          <w:lang w:val="en-AU"/>
        </w:rPr>
        <w:t xml:space="preserve"> the</w:t>
      </w:r>
      <w:r w:rsidR="00AF437D">
        <w:rPr>
          <w:sz w:val="20"/>
          <w:szCs w:val="20"/>
          <w:lang w:val="en-AU"/>
        </w:rPr>
        <w:t xml:space="preserve"> unit</w:t>
      </w:r>
      <w:r w:rsidRPr="001017B5">
        <w:rPr>
          <w:sz w:val="20"/>
          <w:szCs w:val="20"/>
          <w:lang w:val="en-AU"/>
        </w:rPr>
        <w:t xml:space="preserve"> price is $115.57 per hour.</w:t>
      </w:r>
    </w:p>
    <w:tbl>
      <w:tblPr>
        <w:tblStyle w:val="TableGrid"/>
        <w:tblW w:w="5000" w:type="pct"/>
        <w:tblLook w:val="04A0" w:firstRow="1" w:lastRow="0" w:firstColumn="1" w:lastColumn="0" w:noHBand="0" w:noVBand="1"/>
        <w:tblCaption w:val="Table 2 KAS Consultations funding calculation method (DET contribution)"/>
      </w:tblPr>
      <w:tblGrid>
        <w:gridCol w:w="1211"/>
        <w:gridCol w:w="1614"/>
        <w:gridCol w:w="421"/>
        <w:gridCol w:w="2280"/>
        <w:gridCol w:w="421"/>
        <w:gridCol w:w="1701"/>
        <w:gridCol w:w="354"/>
        <w:gridCol w:w="1620"/>
      </w:tblGrid>
      <w:tr w:rsidR="00DF723D" w:rsidRPr="000303AB" w14:paraId="52246D3B" w14:textId="68C30827" w:rsidTr="00A21F3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629" w:type="pct"/>
            <w:vAlign w:val="center"/>
          </w:tcPr>
          <w:p w14:paraId="07805851" w14:textId="77777777" w:rsidR="00A57241" w:rsidRPr="001017B5" w:rsidRDefault="00A57241" w:rsidP="00A57241">
            <w:pPr>
              <w:spacing w:after="0" w:line="276" w:lineRule="auto"/>
              <w:jc w:val="center"/>
              <w:rPr>
                <w:sz w:val="20"/>
                <w:szCs w:val="20"/>
                <w:lang w:val="en-AU"/>
              </w:rPr>
            </w:pPr>
            <w:r w:rsidRPr="001017B5">
              <w:rPr>
                <w:sz w:val="20"/>
                <w:szCs w:val="20"/>
                <w:lang w:val="en-AU"/>
              </w:rPr>
              <w:t>Age cohort</w:t>
            </w:r>
          </w:p>
        </w:tc>
        <w:tc>
          <w:tcPr>
            <w:tcW w:w="838" w:type="pct"/>
            <w:vAlign w:val="center"/>
          </w:tcPr>
          <w:p w14:paraId="61C8D904" w14:textId="77777777"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of enrolled children</w:t>
            </w:r>
            <w:r>
              <w:rPr>
                <w:sz w:val="20"/>
                <w:szCs w:val="20"/>
                <w:lang w:val="en-AU"/>
              </w:rPr>
              <w:t xml:space="preserve"> in LGA</w:t>
            </w:r>
          </w:p>
        </w:tc>
        <w:tc>
          <w:tcPr>
            <w:tcW w:w="218" w:type="pct"/>
            <w:vAlign w:val="center"/>
          </w:tcPr>
          <w:p w14:paraId="713A5421" w14:textId="77777777"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185" w:type="pct"/>
            <w:vAlign w:val="center"/>
          </w:tcPr>
          <w:p w14:paraId="65BA627C" w14:textId="77777777"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Hours of service delivery in age bracket</w:t>
            </w:r>
          </w:p>
        </w:tc>
        <w:tc>
          <w:tcPr>
            <w:tcW w:w="219" w:type="pct"/>
            <w:vAlign w:val="center"/>
          </w:tcPr>
          <w:p w14:paraId="3A61097C" w14:textId="77777777"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4" w:type="pct"/>
            <w:vAlign w:val="center"/>
          </w:tcPr>
          <w:p w14:paraId="37B5BD1A" w14:textId="77777777"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Agreed hourly unit price</w:t>
            </w:r>
          </w:p>
        </w:tc>
        <w:tc>
          <w:tcPr>
            <w:tcW w:w="184" w:type="pct"/>
            <w:vAlign w:val="center"/>
          </w:tcPr>
          <w:p w14:paraId="34B0CC88" w14:textId="6D271222"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5653BE">
              <w:t>x</w:t>
            </w:r>
          </w:p>
        </w:tc>
        <w:tc>
          <w:tcPr>
            <w:tcW w:w="842" w:type="pct"/>
            <w:vAlign w:val="center"/>
          </w:tcPr>
          <w:p w14:paraId="1D1CA121" w14:textId="1F9AEC99" w:rsidR="00A57241"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DET contribution</w:t>
            </w:r>
          </w:p>
        </w:tc>
      </w:tr>
      <w:tr w:rsidR="00A57241" w:rsidRPr="000303AB" w14:paraId="02A5D753" w14:textId="010590E8" w:rsidTr="00A21F3B">
        <w:tc>
          <w:tcPr>
            <w:cnfStyle w:val="001000000000" w:firstRow="0" w:lastRow="0" w:firstColumn="1" w:lastColumn="0" w:oddVBand="0" w:evenVBand="0" w:oddHBand="0" w:evenHBand="0" w:firstRowFirstColumn="0" w:firstRowLastColumn="0" w:lastRowFirstColumn="0" w:lastRowLastColumn="0"/>
            <w:tcW w:w="629" w:type="pct"/>
            <w:shd w:val="clear" w:color="auto" w:fill="AF272F" w:themeFill="accent1"/>
            <w:vAlign w:val="center"/>
          </w:tcPr>
          <w:p w14:paraId="5A7F41A8" w14:textId="77777777" w:rsidR="00A57241" w:rsidRPr="001017B5" w:rsidRDefault="00A57241" w:rsidP="00A57241">
            <w:pPr>
              <w:spacing w:after="0" w:line="276" w:lineRule="auto"/>
              <w:jc w:val="center"/>
              <w:rPr>
                <w:b/>
                <w:color w:val="FFFFFF" w:themeColor="background1"/>
                <w:sz w:val="20"/>
                <w:szCs w:val="20"/>
                <w:lang w:val="en-AU"/>
              </w:rPr>
            </w:pPr>
            <w:r w:rsidRPr="001017B5">
              <w:rPr>
                <w:b/>
                <w:color w:val="FFFFFF" w:themeColor="background1"/>
                <w:sz w:val="20"/>
                <w:szCs w:val="20"/>
                <w:lang w:val="en-AU"/>
              </w:rPr>
              <w:t>0-1</w:t>
            </w:r>
          </w:p>
        </w:tc>
        <w:tc>
          <w:tcPr>
            <w:tcW w:w="838" w:type="pct"/>
            <w:vAlign w:val="center"/>
          </w:tcPr>
          <w:p w14:paraId="5F069FF9" w14:textId="2497D4ED" w:rsidR="00A57241" w:rsidRPr="001017B5" w:rsidRDefault="00436703"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p>
        </w:tc>
        <w:tc>
          <w:tcPr>
            <w:tcW w:w="218" w:type="pct"/>
            <w:vAlign w:val="center"/>
          </w:tcPr>
          <w:p w14:paraId="1C33FA69"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185" w:type="pct"/>
            <w:vAlign w:val="center"/>
          </w:tcPr>
          <w:p w14:paraId="111A57A7" w14:textId="1FCB41AF" w:rsidR="00A57241" w:rsidRPr="001017B5" w:rsidRDefault="005D726E"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4.7</w:t>
            </w:r>
            <w:r w:rsidR="00A57241" w:rsidRPr="001017B5">
              <w:rPr>
                <w:sz w:val="20"/>
                <w:szCs w:val="20"/>
                <w:lang w:val="en-AU"/>
              </w:rPr>
              <w:t>5</w:t>
            </w:r>
          </w:p>
        </w:tc>
        <w:tc>
          <w:tcPr>
            <w:tcW w:w="219" w:type="pct"/>
            <w:vAlign w:val="center"/>
          </w:tcPr>
          <w:p w14:paraId="3AA15C6A"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4" w:type="pct"/>
            <w:vMerge w:val="restart"/>
            <w:vAlign w:val="center"/>
          </w:tcPr>
          <w:p w14:paraId="5B631191"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$115.57</w:t>
            </w:r>
          </w:p>
        </w:tc>
        <w:tc>
          <w:tcPr>
            <w:tcW w:w="184" w:type="pct"/>
          </w:tcPr>
          <w:p w14:paraId="1B6E461A" w14:textId="159BA89E"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5653BE">
              <w:t>x</w:t>
            </w:r>
          </w:p>
        </w:tc>
        <w:tc>
          <w:tcPr>
            <w:tcW w:w="842" w:type="pct"/>
            <w:vMerge w:val="restart"/>
            <w:vAlign w:val="center"/>
          </w:tcPr>
          <w:p w14:paraId="4D94C462" w14:textId="3D616198" w:rsidR="00A57241" w:rsidRDefault="00A57241"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50%</w:t>
            </w:r>
          </w:p>
        </w:tc>
      </w:tr>
      <w:tr w:rsidR="00A57241" w:rsidRPr="000303AB" w14:paraId="63F4A023" w14:textId="4058657A" w:rsidTr="00A21F3B">
        <w:tc>
          <w:tcPr>
            <w:cnfStyle w:val="001000000000" w:firstRow="0" w:lastRow="0" w:firstColumn="1" w:lastColumn="0" w:oddVBand="0" w:evenVBand="0" w:oddHBand="0" w:evenHBand="0" w:firstRowFirstColumn="0" w:firstRowLastColumn="0" w:lastRowFirstColumn="0" w:lastRowLastColumn="0"/>
            <w:tcW w:w="629" w:type="pct"/>
            <w:shd w:val="clear" w:color="auto" w:fill="AF272F" w:themeFill="accent1"/>
            <w:vAlign w:val="center"/>
          </w:tcPr>
          <w:p w14:paraId="2F4230FE" w14:textId="77777777" w:rsidR="00A57241" w:rsidRPr="001017B5" w:rsidRDefault="00A57241" w:rsidP="00A57241">
            <w:pPr>
              <w:spacing w:after="0" w:line="276" w:lineRule="auto"/>
              <w:jc w:val="center"/>
              <w:rPr>
                <w:b/>
                <w:color w:val="FFFFFF" w:themeColor="background1"/>
                <w:sz w:val="20"/>
                <w:szCs w:val="20"/>
                <w:lang w:val="en-AU"/>
              </w:rPr>
            </w:pPr>
            <w:r w:rsidRPr="001017B5">
              <w:rPr>
                <w:b/>
                <w:color w:val="FFFFFF" w:themeColor="background1"/>
                <w:sz w:val="20"/>
                <w:szCs w:val="20"/>
                <w:lang w:val="en-AU"/>
              </w:rPr>
              <w:t>1-2</w:t>
            </w:r>
          </w:p>
        </w:tc>
        <w:tc>
          <w:tcPr>
            <w:tcW w:w="838" w:type="pct"/>
            <w:vAlign w:val="center"/>
          </w:tcPr>
          <w:p w14:paraId="195E4FB4" w14:textId="68A1DC11" w:rsidR="00A57241" w:rsidRPr="001017B5" w:rsidRDefault="00436703"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p>
        </w:tc>
        <w:tc>
          <w:tcPr>
            <w:tcW w:w="218" w:type="pct"/>
            <w:vAlign w:val="center"/>
          </w:tcPr>
          <w:p w14:paraId="5224652F"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185" w:type="pct"/>
            <w:vAlign w:val="center"/>
          </w:tcPr>
          <w:p w14:paraId="594AB023"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1.25</w:t>
            </w:r>
          </w:p>
        </w:tc>
        <w:tc>
          <w:tcPr>
            <w:tcW w:w="219" w:type="pct"/>
            <w:vAlign w:val="center"/>
          </w:tcPr>
          <w:p w14:paraId="2154166B"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4" w:type="pct"/>
            <w:vMerge/>
            <w:vAlign w:val="center"/>
          </w:tcPr>
          <w:p w14:paraId="31ECC955"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84" w:type="pct"/>
          </w:tcPr>
          <w:p w14:paraId="3FCC428F" w14:textId="1A59AEBA"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5653BE">
              <w:t>x</w:t>
            </w:r>
          </w:p>
        </w:tc>
        <w:tc>
          <w:tcPr>
            <w:tcW w:w="842" w:type="pct"/>
            <w:vMerge/>
          </w:tcPr>
          <w:p w14:paraId="1A39DFC0" w14:textId="5C5EFDB6" w:rsidR="00A57241" w:rsidRDefault="00A57241"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r>
      <w:tr w:rsidR="00A57241" w:rsidRPr="000303AB" w14:paraId="29AB95F7" w14:textId="27260578" w:rsidTr="00A21F3B">
        <w:trPr>
          <w:trHeight w:val="293"/>
        </w:trPr>
        <w:tc>
          <w:tcPr>
            <w:cnfStyle w:val="001000000000" w:firstRow="0" w:lastRow="0" w:firstColumn="1" w:lastColumn="0" w:oddVBand="0" w:evenVBand="0" w:oddHBand="0" w:evenHBand="0" w:firstRowFirstColumn="0" w:firstRowLastColumn="0" w:lastRowFirstColumn="0" w:lastRowLastColumn="0"/>
            <w:tcW w:w="629" w:type="pct"/>
            <w:shd w:val="clear" w:color="auto" w:fill="AF272F" w:themeFill="accent1"/>
            <w:vAlign w:val="center"/>
          </w:tcPr>
          <w:p w14:paraId="3AB04BE3" w14:textId="77777777" w:rsidR="00A57241" w:rsidRPr="001017B5" w:rsidRDefault="00A57241" w:rsidP="00A57241">
            <w:pPr>
              <w:spacing w:after="0" w:line="276" w:lineRule="auto"/>
              <w:jc w:val="center"/>
              <w:rPr>
                <w:b/>
                <w:color w:val="FFFFFF" w:themeColor="background1"/>
                <w:sz w:val="20"/>
                <w:szCs w:val="20"/>
                <w:lang w:val="en-AU"/>
              </w:rPr>
            </w:pPr>
            <w:r w:rsidRPr="001017B5">
              <w:rPr>
                <w:b/>
                <w:color w:val="FFFFFF" w:themeColor="background1"/>
                <w:sz w:val="20"/>
                <w:szCs w:val="20"/>
                <w:lang w:val="en-AU"/>
              </w:rPr>
              <w:t>3-4</w:t>
            </w:r>
          </w:p>
        </w:tc>
        <w:tc>
          <w:tcPr>
            <w:tcW w:w="838" w:type="pct"/>
            <w:vAlign w:val="center"/>
          </w:tcPr>
          <w:p w14:paraId="185C0FE5" w14:textId="6AE7A1EC" w:rsidR="00A57241" w:rsidRPr="001017B5" w:rsidRDefault="00436703"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p>
        </w:tc>
        <w:tc>
          <w:tcPr>
            <w:tcW w:w="218" w:type="pct"/>
            <w:vAlign w:val="center"/>
          </w:tcPr>
          <w:p w14:paraId="1EDA8229"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185" w:type="pct"/>
            <w:vAlign w:val="center"/>
          </w:tcPr>
          <w:p w14:paraId="3FC01AB0"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0.45</w:t>
            </w:r>
          </w:p>
        </w:tc>
        <w:tc>
          <w:tcPr>
            <w:tcW w:w="219" w:type="pct"/>
            <w:vAlign w:val="center"/>
          </w:tcPr>
          <w:p w14:paraId="47CCA9D4" w14:textId="77777777"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4" w:type="pct"/>
            <w:vMerge/>
            <w:vAlign w:val="center"/>
          </w:tcPr>
          <w:p w14:paraId="119C0655" w14:textId="77777777" w:rsidR="00A57241" w:rsidRPr="001017B5" w:rsidRDefault="00A57241"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84" w:type="pct"/>
          </w:tcPr>
          <w:p w14:paraId="0115AF51" w14:textId="51CEAEED" w:rsidR="00A57241" w:rsidRPr="001017B5" w:rsidRDefault="00A57241"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5653BE">
              <w:t>x</w:t>
            </w:r>
          </w:p>
        </w:tc>
        <w:tc>
          <w:tcPr>
            <w:tcW w:w="842" w:type="pct"/>
            <w:vMerge/>
          </w:tcPr>
          <w:p w14:paraId="78AC8829" w14:textId="19349B6D" w:rsidR="00A57241" w:rsidRDefault="00A57241"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r>
    </w:tbl>
    <w:p w14:paraId="333BD5E7" w14:textId="69C15C8B" w:rsidR="00A57241" w:rsidRPr="003C25EF" w:rsidRDefault="005B2832" w:rsidP="00B94C44">
      <w:pPr>
        <w:pStyle w:val="Caption"/>
        <w:rPr>
          <w:sz w:val="16"/>
          <w:szCs w:val="16"/>
        </w:rPr>
      </w:pPr>
      <w:r w:rsidRPr="003C25EF">
        <w:rPr>
          <w:sz w:val="16"/>
          <w:szCs w:val="16"/>
        </w:rPr>
        <w:t xml:space="preserve">Table </w:t>
      </w:r>
      <w:r w:rsidR="003C25EF" w:rsidRPr="003C25EF">
        <w:rPr>
          <w:sz w:val="16"/>
          <w:szCs w:val="16"/>
        </w:rPr>
        <w:fldChar w:fldCharType="begin"/>
      </w:r>
      <w:r w:rsidR="003C25EF" w:rsidRPr="003C25EF">
        <w:rPr>
          <w:sz w:val="16"/>
          <w:szCs w:val="16"/>
        </w:rPr>
        <w:instrText xml:space="preserve"> SEQ Table \* ARABIC </w:instrText>
      </w:r>
      <w:r w:rsidR="003C25EF" w:rsidRPr="003C25EF">
        <w:rPr>
          <w:sz w:val="16"/>
          <w:szCs w:val="16"/>
        </w:rPr>
        <w:fldChar w:fldCharType="separate"/>
      </w:r>
      <w:r w:rsidR="00BE5508" w:rsidRPr="003C25EF">
        <w:rPr>
          <w:noProof/>
          <w:sz w:val="16"/>
          <w:szCs w:val="16"/>
        </w:rPr>
        <w:t>2</w:t>
      </w:r>
      <w:r w:rsidR="003C25EF" w:rsidRPr="003C25EF">
        <w:rPr>
          <w:noProof/>
          <w:sz w:val="16"/>
          <w:szCs w:val="16"/>
        </w:rPr>
        <w:fldChar w:fldCharType="end"/>
      </w:r>
      <w:r w:rsidRPr="003C25EF">
        <w:rPr>
          <w:sz w:val="16"/>
          <w:szCs w:val="16"/>
        </w:rPr>
        <w:t>: KAS Consultations funding calculation metho</w:t>
      </w:r>
      <w:r w:rsidR="008051E5" w:rsidRPr="003C25EF">
        <w:rPr>
          <w:sz w:val="16"/>
          <w:szCs w:val="16"/>
        </w:rPr>
        <w:t>d</w:t>
      </w:r>
      <w:r w:rsidR="00A57241" w:rsidRPr="003C25EF">
        <w:rPr>
          <w:sz w:val="16"/>
          <w:szCs w:val="16"/>
        </w:rPr>
        <w:t xml:space="preserve"> (DET contribution)</w:t>
      </w:r>
    </w:p>
    <w:p w14:paraId="09A51DBC" w14:textId="77777777" w:rsidR="0030158D" w:rsidRDefault="0030158D" w:rsidP="00B94C44">
      <w:pPr>
        <w:pStyle w:val="Heading2"/>
        <w:pBdr>
          <w:top w:val="single" w:sz="4" w:space="1" w:color="AF272F" w:themeColor="accent1"/>
        </w:pBdr>
        <w:rPr>
          <w:lang w:val="en-AU"/>
        </w:rPr>
      </w:pPr>
      <w:r>
        <w:rPr>
          <w:lang w:val="en-AU"/>
        </w:rPr>
        <w:t>Flexible Service Capacity</w:t>
      </w:r>
    </w:p>
    <w:p w14:paraId="1E725DD6" w14:textId="77777777" w:rsidR="00B65A4C" w:rsidRPr="00B65A4C" w:rsidRDefault="00B65A4C" w:rsidP="00B94C44">
      <w:pPr>
        <w:pStyle w:val="Heading3"/>
        <w:spacing w:before="120"/>
        <w:rPr>
          <w:lang w:val="en-AU"/>
        </w:rPr>
      </w:pPr>
      <w:r w:rsidRPr="00023D41">
        <w:rPr>
          <w:lang w:val="en-AU"/>
        </w:rPr>
        <w:t xml:space="preserve">Funding </w:t>
      </w:r>
      <w:r w:rsidRPr="00B65A4C">
        <w:rPr>
          <w:lang w:val="en-AU"/>
        </w:rPr>
        <w:t>purpose</w:t>
      </w:r>
    </w:p>
    <w:p w14:paraId="2486987C" w14:textId="079BE788" w:rsidR="00AD3BD8" w:rsidRPr="00FD23BD" w:rsidRDefault="00AD3BD8" w:rsidP="00B94C44">
      <w:pPr>
        <w:rPr>
          <w:sz w:val="20"/>
          <w:szCs w:val="20"/>
          <w:lang w:val="en-AU"/>
        </w:rPr>
      </w:pPr>
      <w:r w:rsidRPr="001017B5">
        <w:rPr>
          <w:sz w:val="20"/>
          <w:szCs w:val="20"/>
          <w:lang w:val="en-AU"/>
        </w:rPr>
        <w:t xml:space="preserve">This </w:t>
      </w:r>
      <w:r w:rsidR="00A27FC3">
        <w:rPr>
          <w:sz w:val="20"/>
          <w:szCs w:val="20"/>
          <w:lang w:val="en-AU"/>
        </w:rPr>
        <w:t>funding</w:t>
      </w:r>
      <w:r w:rsidRPr="001017B5">
        <w:rPr>
          <w:sz w:val="20"/>
          <w:szCs w:val="20"/>
          <w:lang w:val="en-AU"/>
        </w:rPr>
        <w:t xml:space="preserve"> can be used to provide any of the following flexible service capacity activities:</w:t>
      </w:r>
    </w:p>
    <w:p w14:paraId="5A949A4C" w14:textId="77777777" w:rsidR="00AD3BD8" w:rsidRPr="00FD23BD" w:rsidRDefault="00AD3BD8" w:rsidP="00B94C44">
      <w:pPr>
        <w:pStyle w:val="ListParagraph"/>
        <w:numPr>
          <w:ilvl w:val="0"/>
          <w:numId w:val="36"/>
        </w:numPr>
        <w:ind w:left="436"/>
        <w:rPr>
          <w:b/>
          <w:sz w:val="20"/>
          <w:szCs w:val="20"/>
          <w:lang w:val="en-AU"/>
        </w:rPr>
      </w:pPr>
      <w:r w:rsidRPr="00FD23BD">
        <w:rPr>
          <w:sz w:val="20"/>
          <w:szCs w:val="20"/>
          <w:lang w:val="en-AU"/>
        </w:rPr>
        <w:t>additional consultations</w:t>
      </w:r>
    </w:p>
    <w:p w14:paraId="11F039DE" w14:textId="77777777" w:rsidR="00AD3BD8" w:rsidRPr="00FD23BD" w:rsidRDefault="00AD3BD8" w:rsidP="00B94C44">
      <w:pPr>
        <w:pStyle w:val="ListParagraph"/>
        <w:numPr>
          <w:ilvl w:val="0"/>
          <w:numId w:val="36"/>
        </w:numPr>
        <w:ind w:left="436"/>
        <w:rPr>
          <w:b/>
          <w:sz w:val="20"/>
          <w:szCs w:val="20"/>
          <w:lang w:val="en-AU"/>
        </w:rPr>
      </w:pPr>
      <w:r w:rsidRPr="00FD23BD">
        <w:rPr>
          <w:sz w:val="20"/>
          <w:szCs w:val="20"/>
          <w:lang w:val="en-AU"/>
        </w:rPr>
        <w:t>telephone consultations</w:t>
      </w:r>
    </w:p>
    <w:p w14:paraId="47E8AE79" w14:textId="59A494BA" w:rsidR="00AD3BD8" w:rsidRPr="00FD23BD" w:rsidRDefault="00564AA0" w:rsidP="00B94C44">
      <w:pPr>
        <w:pStyle w:val="ListParagraph"/>
        <w:numPr>
          <w:ilvl w:val="0"/>
          <w:numId w:val="36"/>
        </w:numPr>
        <w:ind w:left="436"/>
        <w:rPr>
          <w:b/>
          <w:sz w:val="20"/>
          <w:szCs w:val="20"/>
          <w:lang w:val="en-AU"/>
        </w:rPr>
      </w:pPr>
      <w:r w:rsidRPr="00FD23BD">
        <w:rPr>
          <w:sz w:val="20"/>
          <w:szCs w:val="20"/>
          <w:lang w:val="en-AU"/>
        </w:rPr>
        <w:t>group work</w:t>
      </w:r>
      <w:r w:rsidR="00AD3BD8" w:rsidRPr="00FD23BD">
        <w:rPr>
          <w:sz w:val="20"/>
          <w:szCs w:val="20"/>
          <w:lang w:val="en-AU"/>
        </w:rPr>
        <w:t xml:space="preserve"> </w:t>
      </w:r>
      <w:r w:rsidRPr="00FD23BD">
        <w:rPr>
          <w:sz w:val="20"/>
          <w:szCs w:val="20"/>
          <w:lang w:val="en-AU"/>
        </w:rPr>
        <w:t xml:space="preserve">(including </w:t>
      </w:r>
      <w:r w:rsidR="00E379B6">
        <w:rPr>
          <w:sz w:val="20"/>
          <w:szCs w:val="20"/>
          <w:lang w:val="en-AU"/>
        </w:rPr>
        <w:t>first-time</w:t>
      </w:r>
      <w:r w:rsidRPr="00FD23BD">
        <w:rPr>
          <w:sz w:val="20"/>
          <w:szCs w:val="20"/>
          <w:lang w:val="en-AU"/>
        </w:rPr>
        <w:t xml:space="preserve"> parent groups)</w:t>
      </w:r>
    </w:p>
    <w:p w14:paraId="447A33F8" w14:textId="77777777" w:rsidR="00AD3BD8" w:rsidRPr="00FD23BD" w:rsidRDefault="00AD3BD8" w:rsidP="00B94C44">
      <w:pPr>
        <w:pStyle w:val="ListParagraph"/>
        <w:numPr>
          <w:ilvl w:val="0"/>
          <w:numId w:val="36"/>
        </w:numPr>
        <w:ind w:left="436"/>
        <w:rPr>
          <w:b/>
          <w:sz w:val="20"/>
          <w:szCs w:val="20"/>
          <w:lang w:val="en-AU"/>
        </w:rPr>
      </w:pPr>
      <w:r w:rsidRPr="00FD23BD">
        <w:rPr>
          <w:sz w:val="20"/>
          <w:szCs w:val="20"/>
          <w:lang w:val="en-AU"/>
        </w:rPr>
        <w:t>community strengthening activities that don’t involve clients.</w:t>
      </w:r>
    </w:p>
    <w:p w14:paraId="3F3C51CA" w14:textId="0C83AF73" w:rsidR="00A57241" w:rsidRPr="00B65A4C" w:rsidRDefault="00A57241" w:rsidP="00B94C44">
      <w:pPr>
        <w:pStyle w:val="Heading3"/>
        <w:spacing w:before="120"/>
        <w:rPr>
          <w:lang w:val="en-AU"/>
        </w:rPr>
      </w:pPr>
      <w:r w:rsidRPr="00023D41">
        <w:rPr>
          <w:lang w:val="en-AU"/>
        </w:rPr>
        <w:lastRenderedPageBreak/>
        <w:t>Funding s</w:t>
      </w:r>
      <w:r w:rsidR="00096726">
        <w:rPr>
          <w:lang w:val="en-AU"/>
        </w:rPr>
        <w:t>ource</w:t>
      </w:r>
    </w:p>
    <w:p w14:paraId="7384CC71" w14:textId="0C6221B2" w:rsidR="00A57241" w:rsidRPr="00A57241" w:rsidRDefault="00A57241" w:rsidP="00B94C44">
      <w:pPr>
        <w:rPr>
          <w:sz w:val="20"/>
          <w:szCs w:val="20"/>
          <w:lang w:val="en-AU"/>
        </w:rPr>
      </w:pPr>
      <w:r w:rsidRPr="001017B5">
        <w:rPr>
          <w:sz w:val="20"/>
          <w:szCs w:val="20"/>
          <w:lang w:val="en-AU"/>
        </w:rPr>
        <w:t xml:space="preserve">Responsibility for funding </w:t>
      </w:r>
      <w:r w:rsidR="00A27FC3">
        <w:rPr>
          <w:sz w:val="20"/>
          <w:szCs w:val="20"/>
          <w:lang w:val="en-AU"/>
        </w:rPr>
        <w:t>flexible service capacity</w:t>
      </w:r>
      <w:r w:rsidRPr="00F73512">
        <w:rPr>
          <w:sz w:val="20"/>
          <w:szCs w:val="20"/>
          <w:lang w:val="en-AU"/>
        </w:rPr>
        <w:t xml:space="preserve"> </w:t>
      </w:r>
      <w:r w:rsidRPr="001017B5">
        <w:rPr>
          <w:sz w:val="20"/>
          <w:szCs w:val="20"/>
          <w:lang w:val="en-AU"/>
        </w:rPr>
        <w:t>is split equally between DET and local government.</w:t>
      </w:r>
    </w:p>
    <w:p w14:paraId="3DA1EE47" w14:textId="5B0F2571" w:rsidR="00B1261E" w:rsidRPr="00B1261E" w:rsidRDefault="00B65A4C" w:rsidP="00B94C44">
      <w:pPr>
        <w:pStyle w:val="Heading3"/>
        <w:spacing w:before="120"/>
        <w:rPr>
          <w:lang w:val="en-AU"/>
        </w:rPr>
      </w:pPr>
      <w:r w:rsidRPr="00B65A4C">
        <w:rPr>
          <w:lang w:val="en-AU"/>
        </w:rPr>
        <w:t>How funding</w:t>
      </w:r>
      <w:r w:rsidRPr="00023D41">
        <w:rPr>
          <w:lang w:val="en-AU"/>
        </w:rPr>
        <w:t xml:space="preserve"> is calculated</w:t>
      </w:r>
    </w:p>
    <w:p w14:paraId="61B5F853" w14:textId="10966804" w:rsidR="00B1261E" w:rsidRPr="00B1261E" w:rsidRDefault="00B1261E" w:rsidP="00B94C44">
      <w:pPr>
        <w:pStyle w:val="ListParagraph"/>
        <w:spacing w:line="276" w:lineRule="auto"/>
        <w:ind w:left="0"/>
        <w:contextualSpacing w:val="0"/>
        <w:jc w:val="both"/>
        <w:rPr>
          <w:sz w:val="20"/>
          <w:szCs w:val="20"/>
          <w:lang w:val="en-AU"/>
        </w:rPr>
      </w:pPr>
      <w:r w:rsidRPr="00B1261E">
        <w:rPr>
          <w:sz w:val="20"/>
          <w:szCs w:val="20"/>
          <w:lang w:val="en-AU"/>
        </w:rPr>
        <w:t xml:space="preserve">This funding is calculated in two </w:t>
      </w:r>
      <w:r>
        <w:rPr>
          <w:sz w:val="20"/>
          <w:szCs w:val="20"/>
          <w:lang w:val="en-AU"/>
        </w:rPr>
        <w:t xml:space="preserve">distinct </w:t>
      </w:r>
      <w:r w:rsidRPr="00B1261E">
        <w:rPr>
          <w:sz w:val="20"/>
          <w:szCs w:val="20"/>
          <w:lang w:val="en-AU"/>
        </w:rPr>
        <w:t>parts:</w:t>
      </w:r>
    </w:p>
    <w:p w14:paraId="1E40AA78" w14:textId="3F39F5CB" w:rsidR="00873138" w:rsidRPr="001017B5" w:rsidRDefault="00AD3BD8" w:rsidP="00B94C44">
      <w:pPr>
        <w:pStyle w:val="ListParagraph"/>
        <w:spacing w:line="276" w:lineRule="auto"/>
        <w:ind w:left="0"/>
        <w:contextualSpacing w:val="0"/>
        <w:jc w:val="both"/>
        <w:rPr>
          <w:sz w:val="20"/>
          <w:szCs w:val="20"/>
          <w:lang w:val="en-AU"/>
        </w:rPr>
      </w:pPr>
      <w:r w:rsidRPr="001017B5">
        <w:rPr>
          <w:sz w:val="20"/>
          <w:szCs w:val="20"/>
          <w:u w:val="single"/>
          <w:lang w:val="en-AU"/>
        </w:rPr>
        <w:t>Support for first-time parents</w:t>
      </w:r>
      <w:r w:rsidRPr="001017B5">
        <w:rPr>
          <w:sz w:val="20"/>
          <w:szCs w:val="20"/>
          <w:lang w:val="en-AU"/>
        </w:rPr>
        <w:t xml:space="preserve"> funding is based on the provision of three </w:t>
      </w:r>
      <w:r w:rsidR="000D4FBD">
        <w:rPr>
          <w:sz w:val="20"/>
          <w:szCs w:val="20"/>
          <w:lang w:val="en-AU"/>
        </w:rPr>
        <w:t>hours of service delivery to 40 per cent</w:t>
      </w:r>
      <w:r w:rsidRPr="001017B5">
        <w:rPr>
          <w:sz w:val="20"/>
          <w:szCs w:val="20"/>
          <w:lang w:val="en-AU"/>
        </w:rPr>
        <w:t xml:space="preserve"> of enrolled children in the 0-1 age cohort</w:t>
      </w:r>
      <w:r w:rsidR="00A27FC3">
        <w:rPr>
          <w:sz w:val="20"/>
          <w:szCs w:val="20"/>
          <w:lang w:val="en-AU"/>
        </w:rPr>
        <w:t xml:space="preserve"> in each </w:t>
      </w:r>
      <w:r w:rsidR="000D4FBD">
        <w:rPr>
          <w:sz w:val="20"/>
          <w:szCs w:val="20"/>
          <w:lang w:val="en-AU"/>
        </w:rPr>
        <w:t>Local Government Area (</w:t>
      </w:r>
      <w:r w:rsidR="00A27FC3">
        <w:rPr>
          <w:sz w:val="20"/>
          <w:szCs w:val="20"/>
          <w:lang w:val="en-AU"/>
        </w:rPr>
        <w:t>LGA</w:t>
      </w:r>
      <w:r w:rsidR="000D4FBD">
        <w:rPr>
          <w:sz w:val="20"/>
          <w:szCs w:val="20"/>
          <w:lang w:val="en-AU"/>
        </w:rPr>
        <w:t>)</w:t>
      </w:r>
      <w:r w:rsidRPr="001017B5">
        <w:rPr>
          <w:sz w:val="20"/>
          <w:szCs w:val="20"/>
          <w:lang w:val="en-AU"/>
        </w:rPr>
        <w:t>.</w:t>
      </w:r>
    </w:p>
    <w:p w14:paraId="42304F13" w14:textId="77777777" w:rsidR="002C45F8" w:rsidRDefault="00AD3BD8" w:rsidP="00B94C44">
      <w:pPr>
        <w:pStyle w:val="ListParagraph"/>
        <w:spacing w:line="276" w:lineRule="auto"/>
        <w:ind w:left="0"/>
        <w:contextualSpacing w:val="0"/>
        <w:jc w:val="both"/>
        <w:rPr>
          <w:sz w:val="20"/>
          <w:szCs w:val="20"/>
          <w:lang w:val="en-AU"/>
        </w:rPr>
      </w:pPr>
      <w:r w:rsidRPr="001017B5">
        <w:rPr>
          <w:sz w:val="20"/>
          <w:szCs w:val="20"/>
          <w:u w:val="single"/>
          <w:lang w:val="en-AU"/>
        </w:rPr>
        <w:t>Support for particular needs families</w:t>
      </w:r>
      <w:r w:rsidRPr="001017B5">
        <w:rPr>
          <w:sz w:val="20"/>
          <w:szCs w:val="20"/>
          <w:lang w:val="en-AU"/>
        </w:rPr>
        <w:t xml:space="preserve"> funding is based on the provision of three </w:t>
      </w:r>
      <w:r w:rsidR="000D4FBD">
        <w:rPr>
          <w:sz w:val="20"/>
          <w:szCs w:val="20"/>
          <w:lang w:val="en-AU"/>
        </w:rPr>
        <w:t>hours of service delivery to 40 per cent</w:t>
      </w:r>
      <w:r w:rsidRPr="001017B5">
        <w:rPr>
          <w:sz w:val="20"/>
          <w:szCs w:val="20"/>
          <w:lang w:val="en-AU"/>
        </w:rPr>
        <w:t xml:space="preserve"> of </w:t>
      </w:r>
      <w:r w:rsidR="00A27FC3">
        <w:rPr>
          <w:sz w:val="20"/>
          <w:szCs w:val="20"/>
          <w:lang w:val="en-AU"/>
        </w:rPr>
        <w:t xml:space="preserve">the number of </w:t>
      </w:r>
      <w:r w:rsidRPr="001017B5">
        <w:rPr>
          <w:sz w:val="20"/>
          <w:szCs w:val="20"/>
          <w:lang w:val="en-AU"/>
        </w:rPr>
        <w:t>children</w:t>
      </w:r>
      <w:r w:rsidR="00A27FC3">
        <w:rPr>
          <w:sz w:val="20"/>
          <w:szCs w:val="20"/>
          <w:lang w:val="en-AU"/>
        </w:rPr>
        <w:t xml:space="preserve"> enrolled</w:t>
      </w:r>
      <w:r w:rsidRPr="001017B5">
        <w:rPr>
          <w:sz w:val="20"/>
          <w:szCs w:val="20"/>
          <w:lang w:val="en-AU"/>
        </w:rPr>
        <w:t xml:space="preserve"> in an average </w:t>
      </w:r>
      <w:r w:rsidR="00A27FC3">
        <w:rPr>
          <w:sz w:val="20"/>
          <w:szCs w:val="20"/>
          <w:lang w:val="en-AU"/>
        </w:rPr>
        <w:t>year in each LGA</w:t>
      </w:r>
      <w:r w:rsidR="004575C2" w:rsidRPr="001017B5">
        <w:rPr>
          <w:sz w:val="20"/>
          <w:szCs w:val="20"/>
          <w:lang w:val="en-AU"/>
        </w:rPr>
        <w:t xml:space="preserve">. The </w:t>
      </w:r>
      <w:r w:rsidR="00A27FC3">
        <w:rPr>
          <w:sz w:val="20"/>
          <w:szCs w:val="20"/>
          <w:lang w:val="en-AU"/>
        </w:rPr>
        <w:t>number of children enrolled in an average year is calculated by</w:t>
      </w:r>
      <w:r w:rsidR="004575C2" w:rsidRPr="001017B5">
        <w:rPr>
          <w:sz w:val="20"/>
          <w:szCs w:val="20"/>
          <w:lang w:val="en-AU"/>
        </w:rPr>
        <w:t xml:space="preserve"> counting the total </w:t>
      </w:r>
      <w:r w:rsidR="00436703">
        <w:rPr>
          <w:sz w:val="20"/>
          <w:szCs w:val="20"/>
          <w:lang w:val="en-AU"/>
        </w:rPr>
        <w:t xml:space="preserve">projected </w:t>
      </w:r>
      <w:r w:rsidR="004575C2" w:rsidRPr="001017B5">
        <w:rPr>
          <w:sz w:val="20"/>
          <w:szCs w:val="20"/>
          <w:lang w:val="en-AU"/>
        </w:rPr>
        <w:t>number of enrolled children across all six age cohorts, and dividing by six.</w:t>
      </w:r>
    </w:p>
    <w:tbl>
      <w:tblPr>
        <w:tblStyle w:val="TableGrid"/>
        <w:tblW w:w="5000" w:type="pct"/>
        <w:jc w:val="center"/>
        <w:tblBorders>
          <w:top w:val="none" w:sz="0" w:space="0" w:color="auto"/>
        </w:tblBorders>
        <w:tblLook w:val="04A0" w:firstRow="1" w:lastRow="0" w:firstColumn="1" w:lastColumn="0" w:noHBand="0" w:noVBand="1"/>
        <w:tblCaption w:val="Table 3: Flexible Service Capacity funding calculation method (DET contribution)"/>
      </w:tblPr>
      <w:tblGrid>
        <w:gridCol w:w="1667"/>
        <w:gridCol w:w="1118"/>
        <w:gridCol w:w="328"/>
        <w:gridCol w:w="1372"/>
        <w:gridCol w:w="328"/>
        <w:gridCol w:w="976"/>
        <w:gridCol w:w="554"/>
        <w:gridCol w:w="328"/>
        <w:gridCol w:w="1239"/>
        <w:gridCol w:w="328"/>
        <w:gridCol w:w="1384"/>
      </w:tblGrid>
      <w:tr w:rsidR="009B4B3B" w:rsidRPr="000303AB" w14:paraId="3C43FB83" w14:textId="148B0E9E" w:rsidTr="002C45F8">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866" w:type="pct"/>
            <w:vAlign w:val="center"/>
          </w:tcPr>
          <w:p w14:paraId="574E5305" w14:textId="77777777" w:rsidR="00A57241" w:rsidRPr="001017B5" w:rsidRDefault="00A57241" w:rsidP="00B1261E">
            <w:pPr>
              <w:spacing w:after="0" w:line="276" w:lineRule="auto"/>
              <w:rPr>
                <w:sz w:val="20"/>
                <w:szCs w:val="20"/>
                <w:lang w:val="en-AU"/>
              </w:rPr>
            </w:pPr>
            <w:r w:rsidRPr="001017B5">
              <w:rPr>
                <w:sz w:val="20"/>
                <w:szCs w:val="20"/>
                <w:lang w:val="en-AU"/>
              </w:rPr>
              <w:t>Funding element</w:t>
            </w:r>
          </w:p>
        </w:tc>
        <w:tc>
          <w:tcPr>
            <w:tcW w:w="581" w:type="pct"/>
            <w:vAlign w:val="center"/>
          </w:tcPr>
          <w:p w14:paraId="72D3D389"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Hours of service delivery</w:t>
            </w:r>
          </w:p>
        </w:tc>
        <w:tc>
          <w:tcPr>
            <w:tcW w:w="170" w:type="pct"/>
            <w:vAlign w:val="center"/>
          </w:tcPr>
          <w:p w14:paraId="43671E1D"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713" w:type="pct"/>
            <w:vAlign w:val="center"/>
          </w:tcPr>
          <w:p w14:paraId="65FB1560" w14:textId="77777777" w:rsidR="00A57241" w:rsidRPr="001017B5" w:rsidRDefault="00A57241" w:rsidP="00061CA5">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of cohort being funded</w:t>
            </w:r>
          </w:p>
        </w:tc>
        <w:tc>
          <w:tcPr>
            <w:tcW w:w="170" w:type="pct"/>
            <w:vAlign w:val="center"/>
          </w:tcPr>
          <w:p w14:paraId="6C6FF1B8"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795" w:type="pct"/>
            <w:gridSpan w:val="2"/>
            <w:vAlign w:val="center"/>
          </w:tcPr>
          <w:p w14:paraId="1D9904A0"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AD4F89">
              <w:rPr>
                <w:sz w:val="20"/>
                <w:szCs w:val="20"/>
                <w:lang w:val="en-AU"/>
              </w:rPr>
              <w:t># of enrolled children in LGA</w:t>
            </w:r>
          </w:p>
        </w:tc>
        <w:tc>
          <w:tcPr>
            <w:tcW w:w="170" w:type="pct"/>
            <w:vAlign w:val="center"/>
          </w:tcPr>
          <w:p w14:paraId="12532D71"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644" w:type="pct"/>
            <w:vAlign w:val="center"/>
          </w:tcPr>
          <w:p w14:paraId="1C030E30" w14:textId="77777777" w:rsidR="00A57241" w:rsidRPr="001017B5" w:rsidRDefault="00A57241" w:rsidP="008E21C8">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Agreed hourly unit price</w:t>
            </w:r>
          </w:p>
        </w:tc>
        <w:tc>
          <w:tcPr>
            <w:tcW w:w="170" w:type="pct"/>
            <w:vAlign w:val="center"/>
          </w:tcPr>
          <w:p w14:paraId="45FF1F08" w14:textId="51561336" w:rsidR="00A57241" w:rsidRPr="001017B5"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719" w:type="pct"/>
            <w:vAlign w:val="center"/>
          </w:tcPr>
          <w:p w14:paraId="35BC6E69" w14:textId="04AE8CDB" w:rsidR="00A57241" w:rsidRDefault="00A57241" w:rsidP="00A57241">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DET contribution</w:t>
            </w:r>
          </w:p>
        </w:tc>
      </w:tr>
      <w:tr w:rsidR="009B4B3B" w:rsidRPr="000303AB" w14:paraId="1A1C78CF" w14:textId="25AB2711" w:rsidTr="002C45F8">
        <w:trPr>
          <w:trHeight w:val="533"/>
          <w:jc w:val="center"/>
        </w:trPr>
        <w:tc>
          <w:tcPr>
            <w:cnfStyle w:val="001000000000" w:firstRow="0" w:lastRow="0" w:firstColumn="1" w:lastColumn="0" w:oddVBand="0" w:evenVBand="0" w:oddHBand="0" w:evenHBand="0" w:firstRowFirstColumn="0" w:firstRowLastColumn="0" w:lastRowFirstColumn="0" w:lastRowLastColumn="0"/>
            <w:tcW w:w="866" w:type="pct"/>
            <w:shd w:val="clear" w:color="auto" w:fill="AF272F" w:themeFill="accent1"/>
            <w:vAlign w:val="center"/>
          </w:tcPr>
          <w:p w14:paraId="1714B3A6" w14:textId="77777777" w:rsidR="00A57241" w:rsidRPr="001017B5" w:rsidRDefault="00A57241" w:rsidP="00B1261E">
            <w:pPr>
              <w:spacing w:after="0" w:line="276" w:lineRule="auto"/>
              <w:rPr>
                <w:b/>
                <w:color w:val="FFFFFF" w:themeColor="background1"/>
                <w:sz w:val="20"/>
                <w:szCs w:val="20"/>
                <w:lang w:val="en-AU"/>
              </w:rPr>
            </w:pPr>
            <w:r w:rsidRPr="001017B5">
              <w:rPr>
                <w:b/>
                <w:color w:val="FFFFFF" w:themeColor="background1"/>
                <w:sz w:val="20"/>
                <w:szCs w:val="20"/>
                <w:lang w:val="en-AU"/>
              </w:rPr>
              <w:t>First-time parents</w:t>
            </w:r>
          </w:p>
        </w:tc>
        <w:tc>
          <w:tcPr>
            <w:tcW w:w="581" w:type="pct"/>
            <w:vAlign w:val="center"/>
          </w:tcPr>
          <w:p w14:paraId="103C9FBB"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w:t>
            </w:r>
          </w:p>
        </w:tc>
        <w:tc>
          <w:tcPr>
            <w:tcW w:w="170" w:type="pct"/>
            <w:vAlign w:val="center"/>
          </w:tcPr>
          <w:p w14:paraId="00C873CC"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713" w:type="pct"/>
            <w:vAlign w:val="center"/>
          </w:tcPr>
          <w:p w14:paraId="250F08B1"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40%</w:t>
            </w:r>
          </w:p>
        </w:tc>
        <w:tc>
          <w:tcPr>
            <w:tcW w:w="170" w:type="pct"/>
            <w:vAlign w:val="center"/>
          </w:tcPr>
          <w:p w14:paraId="4CCD2EE4"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795" w:type="pct"/>
            <w:gridSpan w:val="2"/>
            <w:vAlign w:val="center"/>
          </w:tcPr>
          <w:p w14:paraId="768CB5D5"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0-1 age cohort</w:t>
            </w:r>
          </w:p>
        </w:tc>
        <w:tc>
          <w:tcPr>
            <w:tcW w:w="170" w:type="pct"/>
            <w:vAlign w:val="center"/>
          </w:tcPr>
          <w:p w14:paraId="0F289C2D" w14:textId="77777777" w:rsidR="00A57241" w:rsidRPr="001017B5" w:rsidRDefault="00A57241"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644" w:type="pct"/>
            <w:vMerge w:val="restart"/>
            <w:vAlign w:val="center"/>
          </w:tcPr>
          <w:p w14:paraId="23FC1E20" w14:textId="77777777" w:rsidR="00A57241" w:rsidRPr="001017B5" w:rsidRDefault="00A57241" w:rsidP="007E6D5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$115.57</w:t>
            </w:r>
          </w:p>
        </w:tc>
        <w:tc>
          <w:tcPr>
            <w:tcW w:w="170" w:type="pct"/>
            <w:vMerge w:val="restart"/>
            <w:vAlign w:val="center"/>
          </w:tcPr>
          <w:p w14:paraId="5E74F099" w14:textId="07DC49E0" w:rsidR="00A57241" w:rsidRPr="001017B5"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719" w:type="pct"/>
            <w:vMerge w:val="restart"/>
            <w:vAlign w:val="center"/>
          </w:tcPr>
          <w:p w14:paraId="32066AE1" w14:textId="0CE6B066" w:rsidR="00A57241" w:rsidRDefault="00A57241" w:rsidP="00A57241">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50%</w:t>
            </w:r>
          </w:p>
        </w:tc>
      </w:tr>
      <w:tr w:rsidR="009B4B3B" w:rsidRPr="000303AB" w14:paraId="6886B0B0" w14:textId="1929B979" w:rsidTr="003C25EF">
        <w:trPr>
          <w:trHeight w:val="429"/>
          <w:jc w:val="center"/>
        </w:trPr>
        <w:tc>
          <w:tcPr>
            <w:cnfStyle w:val="001000000000" w:firstRow="0" w:lastRow="0" w:firstColumn="1" w:lastColumn="0" w:oddVBand="0" w:evenVBand="0" w:oddHBand="0" w:evenHBand="0" w:firstRowFirstColumn="0" w:firstRowLastColumn="0" w:lastRowFirstColumn="0" w:lastRowLastColumn="0"/>
            <w:tcW w:w="866" w:type="pct"/>
            <w:shd w:val="clear" w:color="auto" w:fill="AF272F" w:themeFill="accent1"/>
            <w:vAlign w:val="center"/>
          </w:tcPr>
          <w:p w14:paraId="5153661B" w14:textId="77777777" w:rsidR="009B4B3B" w:rsidRPr="001017B5" w:rsidRDefault="009B4B3B" w:rsidP="00B1261E">
            <w:pPr>
              <w:spacing w:after="0" w:line="276" w:lineRule="auto"/>
              <w:rPr>
                <w:b/>
                <w:color w:val="FFFFFF" w:themeColor="background1"/>
                <w:sz w:val="20"/>
                <w:szCs w:val="20"/>
                <w:lang w:val="en-AU"/>
              </w:rPr>
            </w:pPr>
            <w:r w:rsidRPr="001017B5">
              <w:rPr>
                <w:b/>
                <w:color w:val="FFFFFF" w:themeColor="background1"/>
                <w:sz w:val="20"/>
                <w:szCs w:val="20"/>
                <w:lang w:val="en-AU"/>
              </w:rPr>
              <w:t>Particular needs families</w:t>
            </w:r>
          </w:p>
        </w:tc>
        <w:tc>
          <w:tcPr>
            <w:tcW w:w="581" w:type="pct"/>
            <w:vAlign w:val="center"/>
          </w:tcPr>
          <w:p w14:paraId="0780E989" w14:textId="77777777" w:rsidR="009B4B3B" w:rsidRPr="001017B5" w:rsidRDefault="009B4B3B"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3.0</w:t>
            </w:r>
          </w:p>
        </w:tc>
        <w:tc>
          <w:tcPr>
            <w:tcW w:w="170" w:type="pct"/>
            <w:vAlign w:val="center"/>
          </w:tcPr>
          <w:p w14:paraId="778BEA6F" w14:textId="77777777" w:rsidR="009B4B3B" w:rsidRPr="001017B5" w:rsidRDefault="009B4B3B"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713" w:type="pct"/>
            <w:vAlign w:val="center"/>
          </w:tcPr>
          <w:p w14:paraId="4DAD90F8" w14:textId="77777777" w:rsidR="009B4B3B" w:rsidRPr="001017B5" w:rsidRDefault="009B4B3B"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40%</w:t>
            </w:r>
          </w:p>
        </w:tc>
        <w:tc>
          <w:tcPr>
            <w:tcW w:w="170" w:type="pct"/>
            <w:vAlign w:val="center"/>
          </w:tcPr>
          <w:p w14:paraId="169F629F" w14:textId="77777777" w:rsidR="009B4B3B" w:rsidRPr="001017B5" w:rsidRDefault="009B4B3B"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507" w:type="pct"/>
            <w:vAlign w:val="center"/>
          </w:tcPr>
          <w:p w14:paraId="5551BC51" w14:textId="07907E4C" w:rsidR="009B4B3B" w:rsidRPr="001017B5" w:rsidRDefault="009B4B3B"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0-6 age cohort</w:t>
            </w:r>
            <w:r w:rsidR="00A15543">
              <w:rPr>
                <w:sz w:val="20"/>
                <w:szCs w:val="20"/>
                <w:lang w:val="en-AU"/>
              </w:rPr>
              <w:t>s</w:t>
            </w:r>
          </w:p>
        </w:tc>
        <w:tc>
          <w:tcPr>
            <w:tcW w:w="288" w:type="pct"/>
            <w:vAlign w:val="center"/>
          </w:tcPr>
          <w:p w14:paraId="721EF918" w14:textId="3CFD1D16" w:rsidR="009B4B3B" w:rsidRPr="001017B5" w:rsidRDefault="009B4B3B" w:rsidP="00D3000E">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6</w:t>
            </w:r>
          </w:p>
        </w:tc>
        <w:tc>
          <w:tcPr>
            <w:tcW w:w="170" w:type="pct"/>
            <w:vAlign w:val="center"/>
          </w:tcPr>
          <w:p w14:paraId="2946FF16" w14:textId="704B8F85" w:rsidR="009B4B3B" w:rsidRPr="001017B5" w:rsidRDefault="00A27FC3" w:rsidP="00EA1838">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644" w:type="pct"/>
            <w:vMerge/>
            <w:vAlign w:val="center"/>
          </w:tcPr>
          <w:p w14:paraId="23B4C217" w14:textId="77777777" w:rsidR="009B4B3B" w:rsidRPr="001017B5" w:rsidRDefault="009B4B3B" w:rsidP="001017B5">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70" w:type="pct"/>
            <w:vMerge/>
            <w:vAlign w:val="center"/>
          </w:tcPr>
          <w:p w14:paraId="55F389D0" w14:textId="7F8CEED5" w:rsidR="009B4B3B" w:rsidRPr="001017B5" w:rsidRDefault="009B4B3B"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719" w:type="pct"/>
            <w:vMerge/>
            <w:vAlign w:val="center"/>
          </w:tcPr>
          <w:p w14:paraId="70BD1838" w14:textId="768BA9AC" w:rsidR="009B4B3B" w:rsidRDefault="009B4B3B" w:rsidP="00A57241">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r>
    </w:tbl>
    <w:p w14:paraId="59052725" w14:textId="38978A07" w:rsidR="00F16D3A" w:rsidRPr="003C25EF" w:rsidRDefault="005B2832" w:rsidP="003079C0">
      <w:pPr>
        <w:pStyle w:val="Caption"/>
        <w:rPr>
          <w:sz w:val="16"/>
          <w:szCs w:val="16"/>
        </w:rPr>
      </w:pPr>
      <w:r w:rsidRPr="003C25EF">
        <w:rPr>
          <w:sz w:val="16"/>
          <w:szCs w:val="16"/>
        </w:rPr>
        <w:t xml:space="preserve">Table </w:t>
      </w:r>
      <w:r w:rsidR="003C25EF" w:rsidRPr="003C25EF">
        <w:rPr>
          <w:sz w:val="16"/>
          <w:szCs w:val="16"/>
        </w:rPr>
        <w:fldChar w:fldCharType="begin"/>
      </w:r>
      <w:r w:rsidR="003C25EF" w:rsidRPr="003C25EF">
        <w:rPr>
          <w:sz w:val="16"/>
          <w:szCs w:val="16"/>
        </w:rPr>
        <w:instrText xml:space="preserve"> SEQ Table \* ARABIC </w:instrText>
      </w:r>
      <w:r w:rsidR="003C25EF" w:rsidRPr="003C25EF">
        <w:rPr>
          <w:sz w:val="16"/>
          <w:szCs w:val="16"/>
        </w:rPr>
        <w:fldChar w:fldCharType="separate"/>
      </w:r>
      <w:r w:rsidR="00BE5508" w:rsidRPr="003C25EF">
        <w:rPr>
          <w:noProof/>
          <w:sz w:val="16"/>
          <w:szCs w:val="16"/>
        </w:rPr>
        <w:t>3</w:t>
      </w:r>
      <w:r w:rsidR="003C25EF" w:rsidRPr="003C25EF">
        <w:rPr>
          <w:noProof/>
          <w:sz w:val="16"/>
          <w:szCs w:val="16"/>
        </w:rPr>
        <w:fldChar w:fldCharType="end"/>
      </w:r>
      <w:r w:rsidRPr="003C25EF">
        <w:rPr>
          <w:sz w:val="16"/>
          <w:szCs w:val="16"/>
        </w:rPr>
        <w:t>: Flexible Service Capacity funding calculation method</w:t>
      </w:r>
      <w:r w:rsidR="00A57241" w:rsidRPr="003C25EF">
        <w:rPr>
          <w:sz w:val="16"/>
          <w:szCs w:val="16"/>
        </w:rPr>
        <w:t xml:space="preserve"> (DET contribution)</w:t>
      </w:r>
    </w:p>
    <w:p w14:paraId="78950093" w14:textId="77777777" w:rsidR="0030158D" w:rsidRDefault="0030158D" w:rsidP="00B94C44">
      <w:pPr>
        <w:pStyle w:val="Heading2"/>
        <w:pBdr>
          <w:top w:val="single" w:sz="4" w:space="1" w:color="AF272F" w:themeColor="accent1"/>
        </w:pBdr>
        <w:rPr>
          <w:lang w:val="en-AU"/>
        </w:rPr>
      </w:pPr>
      <w:r>
        <w:rPr>
          <w:lang w:val="en-AU"/>
        </w:rPr>
        <w:t>Additional Weightings</w:t>
      </w:r>
      <w:r w:rsidR="0021282F">
        <w:rPr>
          <w:lang w:val="en-AU"/>
        </w:rPr>
        <w:t xml:space="preserve"> </w:t>
      </w:r>
    </w:p>
    <w:p w14:paraId="0743F9E6" w14:textId="77777777" w:rsidR="00EA1838" w:rsidRDefault="00EA1838" w:rsidP="00B94C44">
      <w:pPr>
        <w:pStyle w:val="Heading3"/>
        <w:spacing w:before="120"/>
        <w:rPr>
          <w:lang w:val="en-AU"/>
        </w:rPr>
      </w:pPr>
      <w:r w:rsidRPr="00023D41">
        <w:rPr>
          <w:lang w:val="en-AU"/>
        </w:rPr>
        <w:t xml:space="preserve">Funding </w:t>
      </w:r>
      <w:r w:rsidRPr="00B65A4C">
        <w:rPr>
          <w:lang w:val="en-AU"/>
        </w:rPr>
        <w:t>purpose</w:t>
      </w:r>
    </w:p>
    <w:p w14:paraId="55D68EA5" w14:textId="348AD116" w:rsidR="00EA1838" w:rsidRPr="001017B5" w:rsidRDefault="00EA1838" w:rsidP="00B94C44">
      <w:pPr>
        <w:spacing w:before="120" w:after="0" w:line="276" w:lineRule="auto"/>
        <w:jc w:val="both"/>
        <w:rPr>
          <w:sz w:val="20"/>
          <w:szCs w:val="20"/>
        </w:rPr>
      </w:pPr>
      <w:r w:rsidRPr="001017B5">
        <w:rPr>
          <w:sz w:val="20"/>
          <w:szCs w:val="20"/>
          <w:lang w:val="en-AU"/>
        </w:rPr>
        <w:t xml:space="preserve">This component provides additional funding </w:t>
      </w:r>
      <w:r w:rsidR="00436703">
        <w:rPr>
          <w:sz w:val="20"/>
          <w:szCs w:val="20"/>
          <w:lang w:val="en-AU"/>
        </w:rPr>
        <w:t xml:space="preserve">for </w:t>
      </w:r>
      <w:r w:rsidR="00594EA5">
        <w:rPr>
          <w:sz w:val="20"/>
          <w:szCs w:val="20"/>
          <w:lang w:val="en-AU"/>
        </w:rPr>
        <w:t xml:space="preserve">UMCH </w:t>
      </w:r>
      <w:r w:rsidR="00436703">
        <w:rPr>
          <w:sz w:val="20"/>
          <w:szCs w:val="20"/>
          <w:lang w:val="en-AU"/>
        </w:rPr>
        <w:t>service provision</w:t>
      </w:r>
      <w:r w:rsidR="00594EA5">
        <w:rPr>
          <w:sz w:val="20"/>
          <w:szCs w:val="20"/>
          <w:lang w:val="en-AU"/>
        </w:rPr>
        <w:t>,</w:t>
      </w:r>
      <w:r w:rsidRPr="001017B5">
        <w:rPr>
          <w:sz w:val="20"/>
          <w:szCs w:val="20"/>
          <w:lang w:val="en-AU"/>
        </w:rPr>
        <w:t xml:space="preserve"> based on</w:t>
      </w:r>
      <w:r w:rsidRPr="001017B5">
        <w:rPr>
          <w:sz w:val="20"/>
          <w:szCs w:val="20"/>
        </w:rPr>
        <w:t>:</w:t>
      </w:r>
    </w:p>
    <w:p w14:paraId="232B4295" w14:textId="77777777" w:rsidR="00EA1838" w:rsidRPr="00FD23BD" w:rsidRDefault="00285D69" w:rsidP="00B94C44">
      <w:pPr>
        <w:pStyle w:val="ListParagraph"/>
        <w:numPr>
          <w:ilvl w:val="0"/>
          <w:numId w:val="36"/>
        </w:numPr>
        <w:ind w:left="436"/>
        <w:rPr>
          <w:sz w:val="20"/>
          <w:szCs w:val="20"/>
          <w:lang w:val="en-AU"/>
        </w:rPr>
      </w:pPr>
      <w:r w:rsidRPr="00FD23BD">
        <w:rPr>
          <w:sz w:val="20"/>
          <w:szCs w:val="20"/>
          <w:lang w:val="en-AU"/>
        </w:rPr>
        <w:t>disadvantage</w:t>
      </w:r>
      <w:r w:rsidRPr="00B1261E">
        <w:rPr>
          <w:sz w:val="20"/>
          <w:szCs w:val="20"/>
          <w:lang w:val="en-AU"/>
        </w:rPr>
        <w:t xml:space="preserve">, </w:t>
      </w:r>
      <w:r w:rsidR="00EA1838" w:rsidRPr="00B1261E">
        <w:rPr>
          <w:sz w:val="20"/>
          <w:szCs w:val="20"/>
          <w:lang w:val="en-AU"/>
        </w:rPr>
        <w:t>address</w:t>
      </w:r>
      <w:r w:rsidRPr="00B1261E">
        <w:rPr>
          <w:sz w:val="20"/>
          <w:szCs w:val="20"/>
          <w:lang w:val="en-AU"/>
        </w:rPr>
        <w:t>ing</w:t>
      </w:r>
      <w:r w:rsidR="00EA1838" w:rsidRPr="00B1261E">
        <w:rPr>
          <w:sz w:val="20"/>
          <w:szCs w:val="20"/>
          <w:lang w:val="en-AU"/>
        </w:rPr>
        <w:t xml:space="preserve"> the additional resources required in areas of socioeconomic disadvantage and high need</w:t>
      </w:r>
      <w:r w:rsidR="00EC5F96" w:rsidRPr="00B1261E">
        <w:rPr>
          <w:sz w:val="20"/>
          <w:szCs w:val="20"/>
          <w:lang w:val="en-AU"/>
        </w:rPr>
        <w:t>, and</w:t>
      </w:r>
    </w:p>
    <w:p w14:paraId="4DA62485" w14:textId="77777777" w:rsidR="00EC5F96" w:rsidRPr="00FD23BD" w:rsidRDefault="00285D69" w:rsidP="00B94C44">
      <w:pPr>
        <w:pStyle w:val="ListParagraph"/>
        <w:numPr>
          <w:ilvl w:val="0"/>
          <w:numId w:val="36"/>
        </w:numPr>
        <w:ind w:left="436"/>
        <w:rPr>
          <w:sz w:val="20"/>
          <w:szCs w:val="20"/>
          <w:lang w:val="en-AU"/>
        </w:rPr>
      </w:pPr>
      <w:r w:rsidRPr="00FD23BD">
        <w:rPr>
          <w:sz w:val="20"/>
          <w:szCs w:val="20"/>
          <w:lang w:val="en-AU"/>
        </w:rPr>
        <w:t>rurality</w:t>
      </w:r>
      <w:r w:rsidRPr="00B1261E">
        <w:rPr>
          <w:sz w:val="20"/>
          <w:szCs w:val="20"/>
          <w:lang w:val="en-AU"/>
        </w:rPr>
        <w:t xml:space="preserve">, </w:t>
      </w:r>
      <w:r w:rsidR="00EA1838" w:rsidRPr="00B1261E">
        <w:rPr>
          <w:sz w:val="20"/>
          <w:szCs w:val="20"/>
          <w:lang w:val="en-AU"/>
        </w:rPr>
        <w:t>address</w:t>
      </w:r>
      <w:r w:rsidRPr="00B1261E">
        <w:rPr>
          <w:sz w:val="20"/>
          <w:szCs w:val="20"/>
          <w:lang w:val="en-AU"/>
        </w:rPr>
        <w:t>ing</w:t>
      </w:r>
      <w:r w:rsidR="00EA1838" w:rsidRPr="00B1261E">
        <w:rPr>
          <w:sz w:val="20"/>
          <w:szCs w:val="20"/>
          <w:lang w:val="en-AU"/>
        </w:rPr>
        <w:t xml:space="preserve"> the increased cost of service delivery in rural settings</w:t>
      </w:r>
      <w:r w:rsidR="003562E4" w:rsidRPr="00B1261E">
        <w:rPr>
          <w:sz w:val="20"/>
          <w:szCs w:val="20"/>
          <w:lang w:val="en-AU"/>
        </w:rPr>
        <w:t>.</w:t>
      </w:r>
    </w:p>
    <w:p w14:paraId="2D9A88B3" w14:textId="7802291F" w:rsidR="00436703" w:rsidRPr="00B65A4C" w:rsidRDefault="00096726" w:rsidP="00B94C44">
      <w:pPr>
        <w:pStyle w:val="Heading3"/>
        <w:spacing w:before="120"/>
        <w:rPr>
          <w:lang w:val="en-AU"/>
        </w:rPr>
      </w:pPr>
      <w:r>
        <w:rPr>
          <w:lang w:val="en-AU"/>
        </w:rPr>
        <w:t>Funding source</w:t>
      </w:r>
    </w:p>
    <w:p w14:paraId="7733AB2E" w14:textId="05CB7A91" w:rsidR="00484B36" w:rsidRDefault="00E56259" w:rsidP="00B94C44">
      <w:pPr>
        <w:spacing w:after="0" w:line="276" w:lineRule="auto"/>
        <w:jc w:val="both"/>
        <w:rPr>
          <w:sz w:val="20"/>
          <w:szCs w:val="20"/>
          <w:lang w:val="en-AU"/>
        </w:rPr>
      </w:pPr>
      <w:r>
        <w:rPr>
          <w:sz w:val="20"/>
          <w:szCs w:val="20"/>
          <w:lang w:val="en-AU"/>
        </w:rPr>
        <w:t>Total statewide additional weightings funding</w:t>
      </w:r>
      <w:r w:rsidRPr="001017B5">
        <w:rPr>
          <w:sz w:val="20"/>
          <w:szCs w:val="20"/>
          <w:lang w:val="en-AU"/>
        </w:rPr>
        <w:t xml:space="preserve"> </w:t>
      </w:r>
      <w:r>
        <w:rPr>
          <w:sz w:val="20"/>
          <w:szCs w:val="20"/>
          <w:lang w:val="en-AU"/>
        </w:rPr>
        <w:t>is a fixed funding pool that increases each year by indexation.</w:t>
      </w:r>
      <w:r w:rsidR="000C2E41">
        <w:rPr>
          <w:sz w:val="20"/>
          <w:szCs w:val="20"/>
          <w:lang w:val="en-AU"/>
        </w:rPr>
        <w:t xml:space="preserve"> </w:t>
      </w:r>
      <w:r w:rsidR="00594EA5" w:rsidRPr="001017B5">
        <w:rPr>
          <w:sz w:val="20"/>
          <w:szCs w:val="20"/>
          <w:lang w:val="en-AU"/>
        </w:rPr>
        <w:t xml:space="preserve">Responsibility for funding </w:t>
      </w:r>
      <w:r w:rsidR="00594EA5" w:rsidRPr="00F73512">
        <w:rPr>
          <w:sz w:val="20"/>
          <w:szCs w:val="20"/>
          <w:lang w:val="en-AU"/>
        </w:rPr>
        <w:t xml:space="preserve">this component </w:t>
      </w:r>
      <w:r w:rsidR="00594EA5" w:rsidRPr="001017B5">
        <w:rPr>
          <w:sz w:val="20"/>
          <w:szCs w:val="20"/>
          <w:lang w:val="en-AU"/>
        </w:rPr>
        <w:t>is split equally between DET and local government.</w:t>
      </w:r>
      <w:r w:rsidR="000C2E41">
        <w:rPr>
          <w:sz w:val="20"/>
          <w:szCs w:val="20"/>
          <w:lang w:val="en-AU"/>
        </w:rPr>
        <w:t xml:space="preserve"> </w:t>
      </w:r>
      <w:r w:rsidR="001C0F7E">
        <w:rPr>
          <w:sz w:val="20"/>
          <w:szCs w:val="20"/>
          <w:lang w:val="en-AU"/>
        </w:rPr>
        <w:t>In 2018-</w:t>
      </w:r>
      <w:r w:rsidR="00484B36">
        <w:rPr>
          <w:sz w:val="20"/>
          <w:szCs w:val="20"/>
          <w:lang w:val="en-AU"/>
        </w:rPr>
        <w:t xml:space="preserve">19 DET’s 50% contribution to the funding pool </w:t>
      </w:r>
      <w:r w:rsidR="00484B36" w:rsidRPr="001C0F7E">
        <w:rPr>
          <w:sz w:val="20"/>
          <w:szCs w:val="20"/>
          <w:lang w:val="en-AU"/>
        </w:rPr>
        <w:t xml:space="preserve">will </w:t>
      </w:r>
      <w:r w:rsidR="001C0F7E" w:rsidRPr="001C0F7E">
        <w:rPr>
          <w:sz w:val="20"/>
          <w:szCs w:val="20"/>
          <w:lang w:val="en-AU"/>
        </w:rPr>
        <w:t xml:space="preserve">be </w:t>
      </w:r>
      <w:r w:rsidR="00BA4C10">
        <w:rPr>
          <w:sz w:val="20"/>
          <w:szCs w:val="20"/>
          <w:lang w:val="en-AU"/>
        </w:rPr>
        <w:t>$3,094,968</w:t>
      </w:r>
      <w:r w:rsidR="001C0F7E">
        <w:rPr>
          <w:sz w:val="20"/>
          <w:szCs w:val="20"/>
          <w:lang w:val="en-AU"/>
        </w:rPr>
        <w:t>.</w:t>
      </w:r>
    </w:p>
    <w:p w14:paraId="522CFF9F" w14:textId="61D52D5C" w:rsidR="00EA1838" w:rsidRDefault="00EA1838" w:rsidP="00B94C44">
      <w:pPr>
        <w:pStyle w:val="Heading3"/>
        <w:spacing w:before="120"/>
        <w:rPr>
          <w:lang w:val="en-AU"/>
        </w:rPr>
      </w:pPr>
      <w:r w:rsidRPr="00B65A4C">
        <w:rPr>
          <w:lang w:val="en-AU"/>
        </w:rPr>
        <w:t>How funding</w:t>
      </w:r>
      <w:r w:rsidRPr="00023D41">
        <w:rPr>
          <w:lang w:val="en-AU"/>
        </w:rPr>
        <w:t xml:space="preserve"> is calculated</w:t>
      </w:r>
    </w:p>
    <w:p w14:paraId="692BE510" w14:textId="4EAC2B18" w:rsidR="00285D69" w:rsidRPr="001017B5" w:rsidRDefault="00285D69" w:rsidP="00B94C44">
      <w:pPr>
        <w:spacing w:before="120" w:line="276" w:lineRule="auto"/>
        <w:jc w:val="both"/>
        <w:rPr>
          <w:sz w:val="20"/>
          <w:szCs w:val="20"/>
          <w:u w:val="single"/>
          <w:lang w:val="en-AU"/>
        </w:rPr>
      </w:pPr>
      <w:r w:rsidRPr="001017B5">
        <w:rPr>
          <w:sz w:val="20"/>
          <w:szCs w:val="20"/>
          <w:u w:val="single"/>
          <w:lang w:val="en-AU"/>
        </w:rPr>
        <w:t>Disadvantage</w:t>
      </w:r>
    </w:p>
    <w:p w14:paraId="53FF79CB" w14:textId="751F6A5A" w:rsidR="00285D69" w:rsidRPr="001017B5" w:rsidRDefault="00B1261E" w:rsidP="00B94C44">
      <w:pPr>
        <w:spacing w:before="120" w:line="276" w:lineRule="auto"/>
        <w:jc w:val="both"/>
        <w:rPr>
          <w:sz w:val="20"/>
          <w:szCs w:val="20"/>
          <w:lang w:val="en-AU"/>
        </w:rPr>
      </w:pPr>
      <w:r>
        <w:rPr>
          <w:sz w:val="20"/>
          <w:szCs w:val="20"/>
          <w:lang w:val="en-AU"/>
        </w:rPr>
        <w:lastRenderedPageBreak/>
        <w:t>Sixty per cent</w:t>
      </w:r>
      <w:r w:rsidR="00285D69" w:rsidRPr="001017B5">
        <w:rPr>
          <w:sz w:val="20"/>
          <w:szCs w:val="20"/>
          <w:lang w:val="en-AU"/>
        </w:rPr>
        <w:t xml:space="preserve"> of the value of the </w:t>
      </w:r>
      <w:r w:rsidR="00A80610" w:rsidRPr="001017B5">
        <w:rPr>
          <w:sz w:val="20"/>
          <w:szCs w:val="20"/>
          <w:lang w:val="en-AU"/>
        </w:rPr>
        <w:t xml:space="preserve">total </w:t>
      </w:r>
      <w:r w:rsidR="00285D69" w:rsidRPr="001017B5">
        <w:rPr>
          <w:sz w:val="20"/>
          <w:szCs w:val="20"/>
          <w:lang w:val="en-AU"/>
        </w:rPr>
        <w:t>funding pool</w:t>
      </w:r>
      <w:r w:rsidR="00CB1C6C" w:rsidRPr="00CB1C6C">
        <w:rPr>
          <w:sz w:val="20"/>
          <w:szCs w:val="20"/>
          <w:lang w:val="en-AU"/>
        </w:rPr>
        <w:t xml:space="preserve"> </w:t>
      </w:r>
      <w:r w:rsidR="00CB1C6C">
        <w:rPr>
          <w:sz w:val="20"/>
          <w:szCs w:val="20"/>
          <w:lang w:val="en-AU"/>
        </w:rPr>
        <w:t>is allocated to LGAs based on levels of disadvantage. Each</w:t>
      </w:r>
      <w:r w:rsidR="0021282F">
        <w:rPr>
          <w:sz w:val="20"/>
          <w:szCs w:val="20"/>
          <w:lang w:val="en-AU"/>
        </w:rPr>
        <w:t xml:space="preserve"> LGA</w:t>
      </w:r>
      <w:r w:rsidR="00CB1C6C">
        <w:rPr>
          <w:sz w:val="20"/>
          <w:szCs w:val="20"/>
          <w:lang w:val="en-AU"/>
        </w:rPr>
        <w:t>’</w:t>
      </w:r>
      <w:r w:rsidR="0021282F">
        <w:rPr>
          <w:sz w:val="20"/>
          <w:szCs w:val="20"/>
          <w:lang w:val="en-AU"/>
        </w:rPr>
        <w:t>s level of disadv</w:t>
      </w:r>
      <w:r w:rsidR="00D62EE5">
        <w:rPr>
          <w:sz w:val="20"/>
          <w:szCs w:val="20"/>
          <w:lang w:val="en-AU"/>
        </w:rPr>
        <w:t>an</w:t>
      </w:r>
      <w:r w:rsidR="0021282F">
        <w:rPr>
          <w:sz w:val="20"/>
          <w:szCs w:val="20"/>
          <w:lang w:val="en-AU"/>
        </w:rPr>
        <w:t xml:space="preserve">tage is </w:t>
      </w:r>
      <w:r w:rsidR="00D62EE5">
        <w:rPr>
          <w:sz w:val="20"/>
          <w:szCs w:val="20"/>
          <w:lang w:val="en-AU"/>
        </w:rPr>
        <w:t>expressed</w:t>
      </w:r>
      <w:r w:rsidR="00815F4C" w:rsidRPr="001017B5">
        <w:rPr>
          <w:sz w:val="20"/>
          <w:szCs w:val="20"/>
          <w:lang w:val="en-AU"/>
        </w:rPr>
        <w:t xml:space="preserve"> </w:t>
      </w:r>
      <w:r w:rsidR="00CB1C6C">
        <w:rPr>
          <w:sz w:val="20"/>
          <w:szCs w:val="20"/>
          <w:lang w:val="en-AU"/>
        </w:rPr>
        <w:t xml:space="preserve">as </w:t>
      </w:r>
      <w:r w:rsidR="00815F4C" w:rsidRPr="001017B5">
        <w:rPr>
          <w:sz w:val="20"/>
          <w:szCs w:val="20"/>
          <w:lang w:val="en-AU"/>
        </w:rPr>
        <w:t>a</w:t>
      </w:r>
      <w:r w:rsidR="00285D69" w:rsidRPr="001017B5">
        <w:rPr>
          <w:sz w:val="20"/>
          <w:szCs w:val="20"/>
          <w:lang w:val="en-AU"/>
        </w:rPr>
        <w:t xml:space="preserve"> percentage of </w:t>
      </w:r>
      <w:r w:rsidR="00AF437D">
        <w:rPr>
          <w:sz w:val="20"/>
          <w:szCs w:val="20"/>
          <w:lang w:val="en-AU"/>
        </w:rPr>
        <w:t>statewide</w:t>
      </w:r>
      <w:r w:rsidR="00285D69" w:rsidRPr="001017B5">
        <w:rPr>
          <w:sz w:val="20"/>
          <w:szCs w:val="20"/>
          <w:lang w:val="en-AU"/>
        </w:rPr>
        <w:t xml:space="preserve"> disadvantage.</w:t>
      </w:r>
      <w:r w:rsidR="00CB1C6C">
        <w:rPr>
          <w:sz w:val="20"/>
          <w:szCs w:val="20"/>
          <w:lang w:val="en-AU"/>
        </w:rPr>
        <w:t xml:space="preserve"> This percentage determines the share of </w:t>
      </w:r>
      <w:r w:rsidR="00096726">
        <w:rPr>
          <w:sz w:val="20"/>
          <w:szCs w:val="20"/>
          <w:lang w:val="en-AU"/>
        </w:rPr>
        <w:t>disadvantage</w:t>
      </w:r>
      <w:r w:rsidR="00CB1C6C">
        <w:rPr>
          <w:sz w:val="20"/>
          <w:szCs w:val="20"/>
          <w:lang w:val="en-AU"/>
        </w:rPr>
        <w:t xml:space="preserve"> funding allocated to each LGA.</w:t>
      </w:r>
    </w:p>
    <w:p w14:paraId="0AF03891" w14:textId="77777777" w:rsidR="00A80610" w:rsidRPr="001017B5" w:rsidRDefault="00815F4C" w:rsidP="00B94C44">
      <w:pPr>
        <w:spacing w:before="120" w:after="0" w:line="276" w:lineRule="auto"/>
        <w:jc w:val="both"/>
        <w:rPr>
          <w:sz w:val="20"/>
          <w:szCs w:val="20"/>
          <w:lang w:val="en-AU"/>
        </w:rPr>
      </w:pPr>
      <w:r w:rsidRPr="001017B5">
        <w:rPr>
          <w:sz w:val="20"/>
          <w:szCs w:val="20"/>
          <w:lang w:val="en-AU"/>
        </w:rPr>
        <w:t xml:space="preserve">DET calculates the percentage of </w:t>
      </w:r>
      <w:r w:rsidR="00AF437D">
        <w:rPr>
          <w:sz w:val="20"/>
          <w:szCs w:val="20"/>
          <w:lang w:val="en-AU"/>
        </w:rPr>
        <w:t>statewide</w:t>
      </w:r>
      <w:r w:rsidRPr="001017B5">
        <w:rPr>
          <w:sz w:val="20"/>
          <w:szCs w:val="20"/>
          <w:lang w:val="en-AU"/>
        </w:rPr>
        <w:t xml:space="preserve"> disadvantage for each LGA by:</w:t>
      </w:r>
    </w:p>
    <w:p w14:paraId="3CB6C1A8" w14:textId="32BFD3F9" w:rsidR="00815F4C" w:rsidRPr="00FD23BD" w:rsidRDefault="00815F4C" w:rsidP="00B94C44">
      <w:pPr>
        <w:pStyle w:val="ListParagraph"/>
        <w:numPr>
          <w:ilvl w:val="0"/>
          <w:numId w:val="36"/>
        </w:numPr>
        <w:ind w:left="436"/>
        <w:rPr>
          <w:sz w:val="20"/>
          <w:szCs w:val="20"/>
          <w:lang w:val="en-AU"/>
        </w:rPr>
      </w:pPr>
      <w:r w:rsidRPr="00302B20">
        <w:rPr>
          <w:sz w:val="20"/>
          <w:szCs w:val="20"/>
          <w:lang w:val="en-AU"/>
        </w:rPr>
        <w:t>obtaining recent data from the Commonwealth Department of Social Services on the n</w:t>
      </w:r>
      <w:r w:rsidR="00B1261E" w:rsidRPr="00302B20">
        <w:rPr>
          <w:sz w:val="20"/>
          <w:szCs w:val="20"/>
          <w:lang w:val="en-AU"/>
        </w:rPr>
        <w:t xml:space="preserve">umber of families with a child </w:t>
      </w:r>
      <w:r w:rsidR="000D4FBD">
        <w:rPr>
          <w:sz w:val="20"/>
          <w:szCs w:val="20"/>
          <w:lang w:val="en-AU"/>
        </w:rPr>
        <w:t xml:space="preserve">aged </w:t>
      </w:r>
      <w:r w:rsidR="00B1261E" w:rsidRPr="00302B20">
        <w:rPr>
          <w:sz w:val="20"/>
          <w:szCs w:val="20"/>
          <w:lang w:val="en-AU"/>
        </w:rPr>
        <w:t>six</w:t>
      </w:r>
      <w:r w:rsidR="000D4FBD">
        <w:rPr>
          <w:sz w:val="20"/>
          <w:szCs w:val="20"/>
          <w:lang w:val="en-AU"/>
        </w:rPr>
        <w:t xml:space="preserve"> or under who</w:t>
      </w:r>
      <w:r w:rsidRPr="00302B20">
        <w:rPr>
          <w:sz w:val="20"/>
          <w:szCs w:val="20"/>
          <w:lang w:val="en-AU"/>
        </w:rPr>
        <w:t xml:space="preserve"> are receiving the maximum F</w:t>
      </w:r>
      <w:r w:rsidR="00A20169" w:rsidRPr="00302B20">
        <w:rPr>
          <w:sz w:val="20"/>
          <w:szCs w:val="20"/>
          <w:lang w:val="en-AU"/>
        </w:rPr>
        <w:t xml:space="preserve">amily Tax Benefit Part </w:t>
      </w:r>
      <w:r w:rsidRPr="00302B20">
        <w:rPr>
          <w:sz w:val="20"/>
          <w:szCs w:val="20"/>
          <w:lang w:val="en-AU"/>
        </w:rPr>
        <w:t xml:space="preserve">A payment, in </w:t>
      </w:r>
      <w:r w:rsidR="00D62EE5" w:rsidRPr="00302B20">
        <w:rPr>
          <w:sz w:val="20"/>
          <w:szCs w:val="20"/>
          <w:lang w:val="en-AU"/>
        </w:rPr>
        <w:t>each</w:t>
      </w:r>
      <w:r w:rsidRPr="00302B20">
        <w:rPr>
          <w:sz w:val="20"/>
          <w:szCs w:val="20"/>
          <w:lang w:val="en-AU"/>
        </w:rPr>
        <w:t xml:space="preserve"> LGA and </w:t>
      </w:r>
      <w:r w:rsidR="00AF437D" w:rsidRPr="00302B20">
        <w:rPr>
          <w:sz w:val="20"/>
          <w:szCs w:val="20"/>
          <w:lang w:val="en-AU"/>
        </w:rPr>
        <w:t>statewide</w:t>
      </w:r>
    </w:p>
    <w:p w14:paraId="4A301F99" w14:textId="79175648" w:rsidR="00815F4C" w:rsidRPr="00FD23BD" w:rsidRDefault="00815F4C" w:rsidP="00B94C44">
      <w:pPr>
        <w:pStyle w:val="ListParagraph"/>
        <w:numPr>
          <w:ilvl w:val="0"/>
          <w:numId w:val="36"/>
        </w:numPr>
        <w:ind w:left="436"/>
        <w:rPr>
          <w:sz w:val="20"/>
          <w:szCs w:val="20"/>
          <w:lang w:val="en-AU"/>
        </w:rPr>
      </w:pPr>
      <w:r w:rsidRPr="00302B20">
        <w:rPr>
          <w:sz w:val="20"/>
          <w:szCs w:val="20"/>
          <w:lang w:val="en-AU"/>
        </w:rPr>
        <w:t xml:space="preserve">dividing the LGA number by the </w:t>
      </w:r>
      <w:r w:rsidR="00AF437D" w:rsidRPr="00302B20">
        <w:rPr>
          <w:sz w:val="20"/>
          <w:szCs w:val="20"/>
          <w:lang w:val="en-AU"/>
        </w:rPr>
        <w:t>statewide</w:t>
      </w:r>
      <w:r w:rsidRPr="00302B20">
        <w:rPr>
          <w:sz w:val="20"/>
          <w:szCs w:val="20"/>
          <w:lang w:val="en-AU"/>
        </w:rPr>
        <w:t xml:space="preserve"> number</w:t>
      </w:r>
      <w:r w:rsidR="00CB1C6C" w:rsidRPr="00302B20">
        <w:rPr>
          <w:sz w:val="20"/>
          <w:szCs w:val="20"/>
          <w:lang w:val="en-AU"/>
        </w:rPr>
        <w:t>.</w:t>
      </w:r>
    </w:p>
    <w:tbl>
      <w:tblPr>
        <w:tblStyle w:val="TableGrid"/>
        <w:tblW w:w="5000" w:type="pct"/>
        <w:tblLook w:val="04A0" w:firstRow="1" w:lastRow="0" w:firstColumn="1" w:lastColumn="0" w:noHBand="0" w:noVBand="1"/>
        <w:tblCaption w:val="Table 4: Additional Weightings (Disadvantage) funding calculation method (DET contribution)"/>
      </w:tblPr>
      <w:tblGrid>
        <w:gridCol w:w="3905"/>
        <w:gridCol w:w="625"/>
        <w:gridCol w:w="1876"/>
        <w:gridCol w:w="470"/>
        <w:gridCol w:w="2746"/>
      </w:tblGrid>
      <w:tr w:rsidR="00285D69" w:rsidRPr="00AF437D" w14:paraId="3AF76F15" w14:textId="77777777" w:rsidTr="00A21F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29" w:type="pct"/>
            <w:vAlign w:val="center"/>
          </w:tcPr>
          <w:p w14:paraId="1D12CFDB" w14:textId="5E3AD532" w:rsidR="00CB1C6C" w:rsidRDefault="00CB1C6C" w:rsidP="00A80610">
            <w:pPr>
              <w:spacing w:after="0" w:line="276" w:lineRule="auto"/>
              <w:jc w:val="center"/>
              <w:rPr>
                <w:sz w:val="20"/>
                <w:szCs w:val="20"/>
                <w:lang w:val="en-AU"/>
              </w:rPr>
            </w:pPr>
            <w:r>
              <w:rPr>
                <w:sz w:val="20"/>
                <w:szCs w:val="20"/>
                <w:lang w:val="en-AU"/>
              </w:rPr>
              <w:t>DET’s 50% contribution to</w:t>
            </w:r>
          </w:p>
          <w:p w14:paraId="33391B0E" w14:textId="431CEA61" w:rsidR="00285D69" w:rsidRPr="001017B5" w:rsidRDefault="00CB1C6C" w:rsidP="00A80610">
            <w:pPr>
              <w:spacing w:after="0" w:line="276" w:lineRule="auto"/>
              <w:jc w:val="center"/>
              <w:rPr>
                <w:sz w:val="20"/>
                <w:szCs w:val="20"/>
                <w:lang w:val="en-AU"/>
              </w:rPr>
            </w:pPr>
            <w:r>
              <w:rPr>
                <w:sz w:val="20"/>
                <w:szCs w:val="20"/>
                <w:lang w:val="en-AU"/>
              </w:rPr>
              <w:t>a</w:t>
            </w:r>
            <w:r w:rsidR="00285D69" w:rsidRPr="001017B5">
              <w:rPr>
                <w:sz w:val="20"/>
                <w:szCs w:val="20"/>
                <w:lang w:val="en-AU"/>
              </w:rPr>
              <w:t>dditional weightings funding pool</w:t>
            </w:r>
          </w:p>
        </w:tc>
        <w:tc>
          <w:tcPr>
            <w:tcW w:w="325" w:type="pct"/>
            <w:vAlign w:val="center"/>
          </w:tcPr>
          <w:p w14:paraId="30CFC632" w14:textId="77777777" w:rsidR="00285D69" w:rsidRPr="001017B5" w:rsidRDefault="00A20169" w:rsidP="00A80610">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975" w:type="pct"/>
            <w:vAlign w:val="center"/>
          </w:tcPr>
          <w:p w14:paraId="69A05CB9" w14:textId="316C9DA4" w:rsidR="00285D69" w:rsidRPr="001017B5" w:rsidRDefault="00285D69" w:rsidP="00CB1C6C">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w:t>
            </w:r>
            <w:r w:rsidR="00CB1C6C">
              <w:rPr>
                <w:sz w:val="20"/>
                <w:szCs w:val="20"/>
                <w:lang w:val="en-AU"/>
              </w:rPr>
              <w:t xml:space="preserve"> </w:t>
            </w:r>
            <w:r w:rsidRPr="001017B5">
              <w:rPr>
                <w:sz w:val="20"/>
                <w:szCs w:val="20"/>
                <w:lang w:val="en-AU"/>
              </w:rPr>
              <w:t>allocated to disadvantage</w:t>
            </w:r>
          </w:p>
        </w:tc>
        <w:tc>
          <w:tcPr>
            <w:tcW w:w="244" w:type="pct"/>
            <w:vAlign w:val="center"/>
          </w:tcPr>
          <w:p w14:paraId="481208C9" w14:textId="77777777" w:rsidR="00285D69" w:rsidRPr="001017B5" w:rsidRDefault="00285D69" w:rsidP="00A80610">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427" w:type="pct"/>
            <w:vAlign w:val="center"/>
          </w:tcPr>
          <w:p w14:paraId="76E7F037" w14:textId="77777777" w:rsidR="00285D69" w:rsidRPr="001017B5" w:rsidRDefault="00285D69" w:rsidP="00EC5F96">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xml:space="preserve">LGA’s percentage of </w:t>
            </w:r>
            <w:r w:rsidR="00AF437D" w:rsidRPr="001017B5">
              <w:rPr>
                <w:sz w:val="20"/>
                <w:szCs w:val="20"/>
                <w:lang w:val="en-AU"/>
              </w:rPr>
              <w:t>statewide</w:t>
            </w:r>
            <w:r w:rsidRPr="001017B5">
              <w:rPr>
                <w:sz w:val="20"/>
                <w:szCs w:val="20"/>
                <w:lang w:val="en-AU"/>
              </w:rPr>
              <w:t xml:space="preserve"> disadvantage</w:t>
            </w:r>
          </w:p>
        </w:tc>
      </w:tr>
      <w:tr w:rsidR="00A80610" w:rsidRPr="00AF437D" w14:paraId="374D3F99" w14:textId="77777777" w:rsidTr="00A21F3B">
        <w:tc>
          <w:tcPr>
            <w:cnfStyle w:val="001000000000" w:firstRow="0" w:lastRow="0" w:firstColumn="1" w:lastColumn="0" w:oddVBand="0" w:evenVBand="0" w:oddHBand="0" w:evenHBand="0" w:firstRowFirstColumn="0" w:firstRowLastColumn="0" w:lastRowFirstColumn="0" w:lastRowLastColumn="0"/>
            <w:tcW w:w="2029" w:type="pct"/>
          </w:tcPr>
          <w:p w14:paraId="416D5145" w14:textId="77D4AD76" w:rsidR="00A80610" w:rsidRPr="008079D1" w:rsidRDefault="00CB1C6C" w:rsidP="008079D1">
            <w:pPr>
              <w:spacing w:after="0" w:line="276" w:lineRule="auto"/>
              <w:jc w:val="center"/>
              <w:rPr>
                <w:color w:val="auto"/>
                <w:sz w:val="20"/>
                <w:szCs w:val="20"/>
                <w:lang w:val="en-AU"/>
              </w:rPr>
            </w:pPr>
            <w:r>
              <w:rPr>
                <w:color w:val="auto"/>
                <w:sz w:val="20"/>
                <w:szCs w:val="20"/>
                <w:lang w:val="en-AU"/>
              </w:rPr>
              <w:t>$</w:t>
            </w:r>
            <w:r w:rsidR="00B1261E">
              <w:rPr>
                <w:color w:val="auto"/>
                <w:sz w:val="20"/>
                <w:szCs w:val="20"/>
                <w:lang w:val="en-AU"/>
              </w:rPr>
              <w:t>#</w:t>
            </w:r>
          </w:p>
        </w:tc>
        <w:tc>
          <w:tcPr>
            <w:tcW w:w="325" w:type="pct"/>
          </w:tcPr>
          <w:p w14:paraId="19D39956" w14:textId="77777777" w:rsidR="00A80610" w:rsidRPr="001017B5" w:rsidRDefault="00A20169" w:rsidP="00285D6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975" w:type="pct"/>
          </w:tcPr>
          <w:p w14:paraId="65AE46D7" w14:textId="77777777" w:rsidR="00A80610" w:rsidRPr="001017B5" w:rsidRDefault="00815F4C" w:rsidP="00285D6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6</w:t>
            </w:r>
            <w:r w:rsidR="00A80610" w:rsidRPr="001017B5">
              <w:rPr>
                <w:sz w:val="20"/>
                <w:szCs w:val="20"/>
                <w:lang w:val="en-AU"/>
              </w:rPr>
              <w:t>0%</w:t>
            </w:r>
          </w:p>
        </w:tc>
        <w:tc>
          <w:tcPr>
            <w:tcW w:w="244" w:type="pct"/>
          </w:tcPr>
          <w:p w14:paraId="69E094B3" w14:textId="77777777" w:rsidR="00A80610" w:rsidRPr="001017B5" w:rsidRDefault="00A80610" w:rsidP="00285D6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427" w:type="pct"/>
          </w:tcPr>
          <w:p w14:paraId="67B574C3" w14:textId="4B428A2C" w:rsidR="00A80610" w:rsidRPr="001017B5" w:rsidRDefault="00CB1C6C" w:rsidP="001017B5">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r w:rsidR="00A80610" w:rsidRPr="001017B5">
              <w:rPr>
                <w:sz w:val="20"/>
                <w:szCs w:val="20"/>
                <w:lang w:val="en-AU"/>
              </w:rPr>
              <w:t>%</w:t>
            </w:r>
          </w:p>
        </w:tc>
      </w:tr>
    </w:tbl>
    <w:p w14:paraId="298D937F" w14:textId="50CB6C82" w:rsidR="0032327F" w:rsidRDefault="0032327F" w:rsidP="00B94C44">
      <w:pPr>
        <w:pStyle w:val="Caption"/>
        <w:rPr>
          <w:u w:val="single"/>
          <w:lang w:val="en-AU"/>
        </w:rPr>
      </w:pPr>
      <w:r>
        <w:t xml:space="preserve">Table </w:t>
      </w:r>
      <w:fldSimple w:instr=" SEQ Table \* ARABIC ">
        <w:r w:rsidR="00BE5508">
          <w:rPr>
            <w:noProof/>
          </w:rPr>
          <w:t>4</w:t>
        </w:r>
      </w:fldSimple>
      <w:r>
        <w:t xml:space="preserve">: </w:t>
      </w:r>
      <w:r w:rsidRPr="007F7827">
        <w:t xml:space="preserve">Additional </w:t>
      </w:r>
      <w:r w:rsidR="00261AD6">
        <w:t>w</w:t>
      </w:r>
      <w:r w:rsidRPr="007F7827">
        <w:t>eightings (Disadvantage) funding calculation method</w:t>
      </w:r>
      <w:r w:rsidR="00CB1C6C">
        <w:t xml:space="preserve"> (DET contribution)</w:t>
      </w:r>
    </w:p>
    <w:p w14:paraId="37602A7B" w14:textId="77777777" w:rsidR="00815F4C" w:rsidRPr="000C2E41" w:rsidRDefault="00815F4C" w:rsidP="00B94C44">
      <w:pPr>
        <w:spacing w:before="120" w:line="276" w:lineRule="auto"/>
        <w:jc w:val="both"/>
        <w:rPr>
          <w:sz w:val="20"/>
          <w:szCs w:val="20"/>
          <w:u w:val="single"/>
          <w:lang w:val="en-AU"/>
        </w:rPr>
      </w:pPr>
      <w:r w:rsidRPr="000C2E41">
        <w:rPr>
          <w:sz w:val="20"/>
          <w:szCs w:val="20"/>
          <w:u w:val="single"/>
          <w:lang w:val="en-AU"/>
        </w:rPr>
        <w:t>Rurality</w:t>
      </w:r>
    </w:p>
    <w:p w14:paraId="5D763DD7" w14:textId="1A6755AA" w:rsidR="00096726" w:rsidRDefault="00B1261E" w:rsidP="00B94C44">
      <w:pPr>
        <w:spacing w:before="120" w:after="0" w:line="276" w:lineRule="auto"/>
        <w:jc w:val="both"/>
        <w:rPr>
          <w:sz w:val="20"/>
          <w:szCs w:val="20"/>
          <w:lang w:val="en-AU"/>
        </w:rPr>
      </w:pPr>
      <w:r>
        <w:rPr>
          <w:sz w:val="20"/>
          <w:szCs w:val="20"/>
          <w:lang w:val="en-AU"/>
        </w:rPr>
        <w:t>Forty per cent</w:t>
      </w:r>
      <w:r w:rsidR="00CB1C6C" w:rsidRPr="00CB1C6C">
        <w:rPr>
          <w:sz w:val="20"/>
          <w:szCs w:val="20"/>
          <w:lang w:val="en-AU"/>
        </w:rPr>
        <w:t xml:space="preserve"> of the value of the total funding pool is allocated to LGAs based on levels of </w:t>
      </w:r>
      <w:r w:rsidR="00CB1C6C">
        <w:rPr>
          <w:sz w:val="20"/>
          <w:szCs w:val="20"/>
          <w:lang w:val="en-AU"/>
        </w:rPr>
        <w:t>rurality</w:t>
      </w:r>
      <w:r w:rsidR="00CB1C6C" w:rsidRPr="00CB1C6C">
        <w:rPr>
          <w:sz w:val="20"/>
          <w:szCs w:val="20"/>
          <w:lang w:val="en-AU"/>
        </w:rPr>
        <w:t xml:space="preserve">. Each LGA’s level of </w:t>
      </w:r>
      <w:r w:rsidR="00CB1C6C">
        <w:rPr>
          <w:sz w:val="20"/>
          <w:szCs w:val="20"/>
          <w:lang w:val="en-AU"/>
        </w:rPr>
        <w:t>rurality</w:t>
      </w:r>
      <w:r w:rsidR="00CB1C6C" w:rsidRPr="00CB1C6C">
        <w:rPr>
          <w:sz w:val="20"/>
          <w:szCs w:val="20"/>
          <w:lang w:val="en-AU"/>
        </w:rPr>
        <w:t xml:space="preserve"> is expressed as a percentage of statewide </w:t>
      </w:r>
      <w:r w:rsidR="00CB1C6C">
        <w:rPr>
          <w:sz w:val="20"/>
          <w:szCs w:val="20"/>
          <w:lang w:val="en-AU"/>
        </w:rPr>
        <w:t>rurality</w:t>
      </w:r>
      <w:r w:rsidR="00CB1C6C" w:rsidRPr="00CB1C6C">
        <w:rPr>
          <w:sz w:val="20"/>
          <w:szCs w:val="20"/>
          <w:lang w:val="en-AU"/>
        </w:rPr>
        <w:t>. This percen</w:t>
      </w:r>
      <w:r w:rsidR="00096726">
        <w:rPr>
          <w:sz w:val="20"/>
          <w:szCs w:val="20"/>
          <w:lang w:val="en-AU"/>
        </w:rPr>
        <w:t>tage determines the share of rurality</w:t>
      </w:r>
      <w:r w:rsidR="00CB1C6C" w:rsidRPr="00CB1C6C">
        <w:rPr>
          <w:sz w:val="20"/>
          <w:szCs w:val="20"/>
          <w:lang w:val="en-AU"/>
        </w:rPr>
        <w:t xml:space="preserve"> funding allocated to each LGA.</w:t>
      </w:r>
    </w:p>
    <w:p w14:paraId="68E211A9" w14:textId="17F2ECE1" w:rsidR="00815F4C" w:rsidRPr="001017B5" w:rsidRDefault="00815F4C" w:rsidP="00B94C44">
      <w:pPr>
        <w:spacing w:before="120" w:after="0" w:line="276" w:lineRule="auto"/>
        <w:jc w:val="both"/>
        <w:rPr>
          <w:sz w:val="20"/>
          <w:szCs w:val="20"/>
          <w:lang w:val="en-AU"/>
        </w:rPr>
      </w:pPr>
      <w:r w:rsidRPr="001017B5">
        <w:rPr>
          <w:sz w:val="20"/>
          <w:szCs w:val="20"/>
          <w:lang w:val="en-AU"/>
        </w:rPr>
        <w:t>DET calculates the perc</w:t>
      </w:r>
      <w:r w:rsidR="00EC5F96" w:rsidRPr="001017B5">
        <w:rPr>
          <w:sz w:val="20"/>
          <w:szCs w:val="20"/>
          <w:lang w:val="en-AU"/>
        </w:rPr>
        <w:t xml:space="preserve">entage of </w:t>
      </w:r>
      <w:r w:rsidR="00AF437D" w:rsidRPr="001017B5">
        <w:rPr>
          <w:sz w:val="20"/>
          <w:szCs w:val="20"/>
          <w:lang w:val="en-AU"/>
        </w:rPr>
        <w:t>statewide</w:t>
      </w:r>
      <w:r w:rsidR="00EC5F96" w:rsidRPr="001017B5">
        <w:rPr>
          <w:sz w:val="20"/>
          <w:szCs w:val="20"/>
          <w:lang w:val="en-AU"/>
        </w:rPr>
        <w:t xml:space="preserve"> rurality</w:t>
      </w:r>
      <w:r w:rsidRPr="001017B5">
        <w:rPr>
          <w:sz w:val="20"/>
          <w:szCs w:val="20"/>
          <w:lang w:val="en-AU"/>
        </w:rPr>
        <w:t xml:space="preserve"> for each LGA by:</w:t>
      </w:r>
    </w:p>
    <w:p w14:paraId="43CC761B" w14:textId="77777777" w:rsidR="00EC5F96" w:rsidRPr="00FD23BD" w:rsidRDefault="00EC5F96" w:rsidP="00B94C44">
      <w:pPr>
        <w:pStyle w:val="ListParagraph"/>
        <w:numPr>
          <w:ilvl w:val="0"/>
          <w:numId w:val="36"/>
        </w:numPr>
        <w:ind w:left="328"/>
        <w:rPr>
          <w:sz w:val="20"/>
          <w:szCs w:val="20"/>
          <w:lang w:val="en-AU"/>
        </w:rPr>
      </w:pPr>
      <w:r w:rsidRPr="00302B20">
        <w:rPr>
          <w:sz w:val="20"/>
          <w:szCs w:val="20"/>
          <w:lang w:val="en-AU"/>
        </w:rPr>
        <w:t>obtaining from the University of Adelaide the most recent Accessibility/Remoteness Index of Australia (ARIA) score for each LGA</w:t>
      </w:r>
    </w:p>
    <w:p w14:paraId="15DBD15D" w14:textId="77777777" w:rsidR="00815F4C" w:rsidRPr="00FD23BD" w:rsidRDefault="00EC5F96" w:rsidP="00B94C44">
      <w:pPr>
        <w:pStyle w:val="ListParagraph"/>
        <w:numPr>
          <w:ilvl w:val="0"/>
          <w:numId w:val="36"/>
        </w:numPr>
        <w:ind w:left="328"/>
        <w:rPr>
          <w:sz w:val="20"/>
          <w:szCs w:val="20"/>
          <w:lang w:val="en-AU"/>
        </w:rPr>
      </w:pPr>
      <w:r w:rsidRPr="00302B20">
        <w:rPr>
          <w:sz w:val="20"/>
          <w:szCs w:val="20"/>
          <w:lang w:val="en-AU"/>
        </w:rPr>
        <w:t xml:space="preserve">summing the ARIA scores for all LGAs to obtain a </w:t>
      </w:r>
      <w:r w:rsidR="00AF437D" w:rsidRPr="00302B20">
        <w:rPr>
          <w:sz w:val="20"/>
          <w:szCs w:val="20"/>
          <w:lang w:val="en-AU"/>
        </w:rPr>
        <w:t>statewide</w:t>
      </w:r>
      <w:r w:rsidRPr="00302B20">
        <w:rPr>
          <w:sz w:val="20"/>
          <w:szCs w:val="20"/>
          <w:lang w:val="en-AU"/>
        </w:rPr>
        <w:t xml:space="preserve"> total</w:t>
      </w:r>
    </w:p>
    <w:p w14:paraId="2CFB9150" w14:textId="7D9B3709" w:rsidR="00815F4C" w:rsidRPr="00FD23BD" w:rsidRDefault="00815F4C" w:rsidP="00B94C44">
      <w:pPr>
        <w:pStyle w:val="ListParagraph"/>
        <w:numPr>
          <w:ilvl w:val="0"/>
          <w:numId w:val="36"/>
        </w:numPr>
        <w:ind w:left="328"/>
        <w:rPr>
          <w:sz w:val="20"/>
          <w:szCs w:val="20"/>
          <w:lang w:val="en-AU"/>
        </w:rPr>
      </w:pPr>
      <w:r w:rsidRPr="00302B20">
        <w:rPr>
          <w:sz w:val="20"/>
          <w:szCs w:val="20"/>
          <w:lang w:val="en-AU"/>
        </w:rPr>
        <w:t xml:space="preserve">dividing the LGA number by the </w:t>
      </w:r>
      <w:r w:rsidR="00AF437D" w:rsidRPr="00302B20">
        <w:rPr>
          <w:sz w:val="20"/>
          <w:szCs w:val="20"/>
          <w:lang w:val="en-AU"/>
        </w:rPr>
        <w:t>statewide</w:t>
      </w:r>
      <w:r w:rsidRPr="00302B20">
        <w:rPr>
          <w:sz w:val="20"/>
          <w:szCs w:val="20"/>
          <w:lang w:val="en-AU"/>
        </w:rPr>
        <w:t xml:space="preserve"> number</w:t>
      </w:r>
      <w:r w:rsidR="003562E4" w:rsidRPr="00302B20">
        <w:rPr>
          <w:sz w:val="20"/>
          <w:szCs w:val="20"/>
          <w:lang w:val="en-AU"/>
        </w:rPr>
        <w:t>.</w:t>
      </w:r>
    </w:p>
    <w:tbl>
      <w:tblPr>
        <w:tblStyle w:val="TableGrid"/>
        <w:tblW w:w="5000" w:type="pct"/>
        <w:tblLook w:val="04A0" w:firstRow="1" w:lastRow="0" w:firstColumn="1" w:lastColumn="0" w:noHBand="0" w:noVBand="1"/>
        <w:tblCaption w:val="Table 5: Additional Weightings (Rurality) funding calculation method (DET contribution)"/>
      </w:tblPr>
      <w:tblGrid>
        <w:gridCol w:w="3918"/>
        <w:gridCol w:w="627"/>
        <w:gridCol w:w="2040"/>
        <w:gridCol w:w="364"/>
        <w:gridCol w:w="2673"/>
      </w:tblGrid>
      <w:tr w:rsidR="00096726" w:rsidRPr="00AF437D" w14:paraId="4BCFF5DD" w14:textId="77777777" w:rsidTr="00A21F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36" w:type="pct"/>
            <w:vAlign w:val="center"/>
          </w:tcPr>
          <w:p w14:paraId="5F62DCE1" w14:textId="77777777" w:rsidR="00096726" w:rsidRDefault="00096726" w:rsidP="00FD4049">
            <w:pPr>
              <w:spacing w:after="0" w:line="276" w:lineRule="auto"/>
              <w:jc w:val="center"/>
              <w:rPr>
                <w:sz w:val="20"/>
                <w:szCs w:val="20"/>
                <w:lang w:val="en-AU"/>
              </w:rPr>
            </w:pPr>
            <w:r>
              <w:rPr>
                <w:sz w:val="20"/>
                <w:szCs w:val="20"/>
                <w:lang w:val="en-AU"/>
              </w:rPr>
              <w:t>DET’s 50% contribution to</w:t>
            </w:r>
          </w:p>
          <w:p w14:paraId="6EC07B7A" w14:textId="77777777" w:rsidR="00096726" w:rsidRPr="001017B5" w:rsidRDefault="00096726" w:rsidP="00FD4049">
            <w:pPr>
              <w:spacing w:after="0" w:line="276" w:lineRule="auto"/>
              <w:jc w:val="center"/>
              <w:rPr>
                <w:sz w:val="20"/>
                <w:szCs w:val="20"/>
                <w:lang w:val="en-AU"/>
              </w:rPr>
            </w:pPr>
            <w:r>
              <w:rPr>
                <w:sz w:val="20"/>
                <w:szCs w:val="20"/>
                <w:lang w:val="en-AU"/>
              </w:rPr>
              <w:t>a</w:t>
            </w:r>
            <w:r w:rsidRPr="001017B5">
              <w:rPr>
                <w:sz w:val="20"/>
                <w:szCs w:val="20"/>
                <w:lang w:val="en-AU"/>
              </w:rPr>
              <w:t>dditional weightings funding pool</w:t>
            </w:r>
          </w:p>
        </w:tc>
        <w:tc>
          <w:tcPr>
            <w:tcW w:w="326" w:type="pct"/>
            <w:vAlign w:val="center"/>
          </w:tcPr>
          <w:p w14:paraId="694DEC0E" w14:textId="77777777" w:rsidR="00096726" w:rsidRPr="001017B5" w:rsidRDefault="00096726" w:rsidP="00FD404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1060" w:type="pct"/>
            <w:vAlign w:val="center"/>
          </w:tcPr>
          <w:p w14:paraId="6D65D549" w14:textId="282AF4C2" w:rsidR="00096726" w:rsidRPr="001017B5" w:rsidRDefault="00096726" w:rsidP="00096726">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w:t>
            </w:r>
            <w:r>
              <w:rPr>
                <w:sz w:val="20"/>
                <w:szCs w:val="20"/>
                <w:lang w:val="en-AU"/>
              </w:rPr>
              <w:t xml:space="preserve"> </w:t>
            </w:r>
            <w:r w:rsidRPr="001017B5">
              <w:rPr>
                <w:sz w:val="20"/>
                <w:szCs w:val="20"/>
                <w:lang w:val="en-AU"/>
              </w:rPr>
              <w:t xml:space="preserve">allocated to </w:t>
            </w:r>
            <w:r>
              <w:rPr>
                <w:sz w:val="20"/>
                <w:szCs w:val="20"/>
                <w:lang w:val="en-AU"/>
              </w:rPr>
              <w:t>rurality</w:t>
            </w:r>
          </w:p>
        </w:tc>
        <w:tc>
          <w:tcPr>
            <w:tcW w:w="189" w:type="pct"/>
            <w:vAlign w:val="center"/>
          </w:tcPr>
          <w:p w14:paraId="76B4498D" w14:textId="77777777" w:rsidR="00096726" w:rsidRPr="001017B5" w:rsidRDefault="00096726" w:rsidP="00FD404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390" w:type="pct"/>
            <w:vAlign w:val="center"/>
          </w:tcPr>
          <w:p w14:paraId="7D76A61F" w14:textId="07DE2F3C" w:rsidR="00096726" w:rsidRPr="001017B5" w:rsidRDefault="00096726" w:rsidP="00096726">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xml:space="preserve">LGA’s percentage of statewide </w:t>
            </w:r>
            <w:r>
              <w:rPr>
                <w:sz w:val="20"/>
                <w:szCs w:val="20"/>
                <w:lang w:val="en-AU"/>
              </w:rPr>
              <w:t>rurality</w:t>
            </w:r>
          </w:p>
        </w:tc>
      </w:tr>
      <w:tr w:rsidR="00096726" w:rsidRPr="00AF437D" w14:paraId="04C3C6B8" w14:textId="77777777" w:rsidTr="00A21F3B">
        <w:tc>
          <w:tcPr>
            <w:cnfStyle w:val="001000000000" w:firstRow="0" w:lastRow="0" w:firstColumn="1" w:lastColumn="0" w:oddVBand="0" w:evenVBand="0" w:oddHBand="0" w:evenHBand="0" w:firstRowFirstColumn="0" w:firstRowLastColumn="0" w:lastRowFirstColumn="0" w:lastRowLastColumn="0"/>
            <w:tcW w:w="2036" w:type="pct"/>
          </w:tcPr>
          <w:p w14:paraId="0417E9D8" w14:textId="5EA16E6C" w:rsidR="00096726" w:rsidRPr="008079D1" w:rsidRDefault="00096726" w:rsidP="00FD4049">
            <w:pPr>
              <w:spacing w:after="0" w:line="276" w:lineRule="auto"/>
              <w:jc w:val="center"/>
              <w:rPr>
                <w:color w:val="auto"/>
                <w:sz w:val="20"/>
                <w:szCs w:val="20"/>
                <w:lang w:val="en-AU"/>
              </w:rPr>
            </w:pPr>
            <w:r>
              <w:rPr>
                <w:color w:val="auto"/>
                <w:sz w:val="20"/>
                <w:szCs w:val="20"/>
                <w:lang w:val="en-AU"/>
              </w:rPr>
              <w:t>$</w:t>
            </w:r>
            <w:r w:rsidR="00B1261E">
              <w:rPr>
                <w:color w:val="auto"/>
                <w:sz w:val="20"/>
                <w:szCs w:val="20"/>
                <w:lang w:val="en-AU"/>
              </w:rPr>
              <w:t>#</w:t>
            </w:r>
          </w:p>
        </w:tc>
        <w:tc>
          <w:tcPr>
            <w:tcW w:w="326" w:type="pct"/>
          </w:tcPr>
          <w:p w14:paraId="2472ACAE" w14:textId="77777777" w:rsidR="00096726" w:rsidRPr="001017B5" w:rsidRDefault="00096726" w:rsidP="00FD404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x</w:t>
            </w:r>
          </w:p>
        </w:tc>
        <w:tc>
          <w:tcPr>
            <w:tcW w:w="1060" w:type="pct"/>
          </w:tcPr>
          <w:p w14:paraId="5E57654D" w14:textId="0208E3DD" w:rsidR="00096726" w:rsidRPr="001017B5" w:rsidRDefault="000C2E41" w:rsidP="00FD404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4</w:t>
            </w:r>
            <w:r w:rsidR="00096726" w:rsidRPr="001017B5">
              <w:rPr>
                <w:sz w:val="20"/>
                <w:szCs w:val="20"/>
                <w:lang w:val="en-AU"/>
              </w:rPr>
              <w:t>0%</w:t>
            </w:r>
          </w:p>
        </w:tc>
        <w:tc>
          <w:tcPr>
            <w:tcW w:w="189" w:type="pct"/>
          </w:tcPr>
          <w:p w14:paraId="59D62FDC" w14:textId="77777777" w:rsidR="00096726" w:rsidRPr="001017B5" w:rsidRDefault="00096726" w:rsidP="00FD404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390" w:type="pct"/>
          </w:tcPr>
          <w:p w14:paraId="08F6F28D" w14:textId="77777777" w:rsidR="00096726" w:rsidRPr="001017B5" w:rsidRDefault="00096726" w:rsidP="00FD4049">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r w:rsidRPr="001017B5">
              <w:rPr>
                <w:sz w:val="20"/>
                <w:szCs w:val="20"/>
                <w:lang w:val="en-AU"/>
              </w:rPr>
              <w:t>%</w:t>
            </w:r>
          </w:p>
        </w:tc>
      </w:tr>
    </w:tbl>
    <w:p w14:paraId="29199B33" w14:textId="6892CB0B" w:rsidR="0032327F" w:rsidRDefault="0032327F" w:rsidP="00B94C44">
      <w:pPr>
        <w:pStyle w:val="Caption"/>
      </w:pPr>
      <w:r>
        <w:t xml:space="preserve">Table </w:t>
      </w:r>
      <w:fldSimple w:instr=" SEQ Table \* ARABIC ">
        <w:r w:rsidR="00BE5508">
          <w:rPr>
            <w:noProof/>
          </w:rPr>
          <w:t>5</w:t>
        </w:r>
      </w:fldSimple>
      <w:r>
        <w:t xml:space="preserve">: Additional </w:t>
      </w:r>
      <w:r w:rsidR="00261AD6">
        <w:t>w</w:t>
      </w:r>
      <w:r>
        <w:t>eightings (Rurality</w:t>
      </w:r>
      <w:r w:rsidRPr="007B1486">
        <w:t>) funding calculation method</w:t>
      </w:r>
      <w:r w:rsidR="00096726">
        <w:t xml:space="preserve"> (DET contribution)</w:t>
      </w:r>
    </w:p>
    <w:p w14:paraId="62647F14" w14:textId="55AD2B0E" w:rsidR="00096726" w:rsidRDefault="00594EA5" w:rsidP="00B94C44">
      <w:pPr>
        <w:spacing w:before="120" w:after="0" w:line="276" w:lineRule="auto"/>
        <w:jc w:val="both"/>
        <w:rPr>
          <w:sz w:val="20"/>
          <w:szCs w:val="20"/>
          <w:lang w:val="en-AU"/>
        </w:rPr>
      </w:pPr>
      <w:r>
        <w:rPr>
          <w:sz w:val="20"/>
          <w:szCs w:val="20"/>
          <w:lang w:val="en-AU"/>
        </w:rPr>
        <w:t xml:space="preserve">Note: </w:t>
      </w:r>
      <w:r w:rsidR="00096726">
        <w:rPr>
          <w:sz w:val="20"/>
          <w:szCs w:val="20"/>
          <w:lang w:val="en-AU"/>
        </w:rPr>
        <w:t>LGAs</w:t>
      </w:r>
      <w:r>
        <w:rPr>
          <w:sz w:val="20"/>
          <w:szCs w:val="20"/>
          <w:lang w:val="en-AU"/>
        </w:rPr>
        <w:t xml:space="preserve"> with</w:t>
      </w:r>
      <w:r w:rsidR="00096726">
        <w:rPr>
          <w:sz w:val="20"/>
          <w:szCs w:val="20"/>
          <w:lang w:val="en-AU"/>
        </w:rPr>
        <w:t xml:space="preserve"> an ARIA score of</w:t>
      </w:r>
      <w:r>
        <w:rPr>
          <w:sz w:val="20"/>
          <w:szCs w:val="20"/>
          <w:lang w:val="en-AU"/>
        </w:rPr>
        <w:t xml:space="preserve"> zero</w:t>
      </w:r>
      <w:r w:rsidR="00B1261E">
        <w:rPr>
          <w:sz w:val="20"/>
          <w:szCs w:val="20"/>
          <w:lang w:val="en-AU"/>
        </w:rPr>
        <w:t xml:space="preserve"> (most metro-based LGAs)</w:t>
      </w:r>
      <w:r w:rsidR="00096726">
        <w:rPr>
          <w:sz w:val="20"/>
          <w:szCs w:val="20"/>
          <w:lang w:val="en-AU"/>
        </w:rPr>
        <w:t xml:space="preserve"> do not receive any additional weightings funding based on rurality.</w:t>
      </w:r>
    </w:p>
    <w:p w14:paraId="0B17E9E9" w14:textId="29B7118E" w:rsidR="0030158D" w:rsidRDefault="0030158D" w:rsidP="00B94C44">
      <w:pPr>
        <w:pStyle w:val="Heading2"/>
        <w:pBdr>
          <w:top w:val="single" w:sz="4" w:space="1" w:color="AF272F" w:themeColor="accent1"/>
        </w:pBdr>
        <w:rPr>
          <w:lang w:val="en-AU"/>
        </w:rPr>
      </w:pPr>
      <w:r>
        <w:rPr>
          <w:lang w:val="en-AU"/>
        </w:rPr>
        <w:t>Additional Family Violence Visits</w:t>
      </w:r>
    </w:p>
    <w:p w14:paraId="2F754837" w14:textId="77777777" w:rsidR="004F4733" w:rsidRDefault="004F4733" w:rsidP="00B94C44">
      <w:pPr>
        <w:pStyle w:val="Heading3"/>
        <w:spacing w:before="120"/>
        <w:rPr>
          <w:lang w:val="en-AU"/>
        </w:rPr>
      </w:pPr>
      <w:r w:rsidRPr="00023D41">
        <w:rPr>
          <w:lang w:val="en-AU"/>
        </w:rPr>
        <w:t xml:space="preserve">Funding </w:t>
      </w:r>
      <w:r w:rsidRPr="00B65A4C">
        <w:rPr>
          <w:lang w:val="en-AU"/>
        </w:rPr>
        <w:t>purpose</w:t>
      </w:r>
    </w:p>
    <w:p w14:paraId="41604524" w14:textId="77777777" w:rsidR="00993D07" w:rsidRPr="001017B5" w:rsidRDefault="00993D07" w:rsidP="00B94C44">
      <w:pPr>
        <w:spacing w:after="0" w:line="276" w:lineRule="auto"/>
        <w:jc w:val="both"/>
        <w:rPr>
          <w:sz w:val="20"/>
          <w:szCs w:val="20"/>
          <w:lang w:val="en-AU"/>
        </w:rPr>
      </w:pPr>
      <w:r w:rsidRPr="001017B5">
        <w:rPr>
          <w:sz w:val="20"/>
          <w:szCs w:val="20"/>
          <w:lang w:val="en-AU"/>
        </w:rPr>
        <w:t>This component funds additional home visits for reasons related to family violence, specifically:</w:t>
      </w:r>
    </w:p>
    <w:p w14:paraId="254943C8" w14:textId="77777777" w:rsidR="00993D07" w:rsidRPr="00FD23BD" w:rsidRDefault="00993D07" w:rsidP="00B94C44">
      <w:pPr>
        <w:pStyle w:val="ListParagraph"/>
        <w:numPr>
          <w:ilvl w:val="0"/>
          <w:numId w:val="36"/>
        </w:numPr>
        <w:ind w:left="436"/>
        <w:rPr>
          <w:sz w:val="20"/>
          <w:szCs w:val="20"/>
          <w:lang w:val="en-AU"/>
        </w:rPr>
      </w:pPr>
      <w:r w:rsidRPr="00302B20">
        <w:rPr>
          <w:sz w:val="20"/>
          <w:szCs w:val="20"/>
          <w:lang w:val="en-AU"/>
        </w:rPr>
        <w:t>where family violence has previously been disclosed</w:t>
      </w:r>
    </w:p>
    <w:p w14:paraId="06BA10FF" w14:textId="77777777" w:rsidR="00993D07" w:rsidRPr="00FD23BD" w:rsidRDefault="00993D07" w:rsidP="00B94C44">
      <w:pPr>
        <w:pStyle w:val="ListParagraph"/>
        <w:numPr>
          <w:ilvl w:val="0"/>
          <w:numId w:val="36"/>
        </w:numPr>
        <w:ind w:left="436"/>
        <w:rPr>
          <w:sz w:val="20"/>
          <w:szCs w:val="20"/>
          <w:lang w:val="en-AU"/>
        </w:rPr>
      </w:pPr>
      <w:r w:rsidRPr="00302B20">
        <w:rPr>
          <w:sz w:val="20"/>
          <w:szCs w:val="20"/>
          <w:lang w:val="en-AU"/>
        </w:rPr>
        <w:t>where family violence is suspected</w:t>
      </w:r>
    </w:p>
    <w:p w14:paraId="2B2AC91A" w14:textId="77777777" w:rsidR="00935A58" w:rsidRDefault="00993D07" w:rsidP="00B94C44">
      <w:pPr>
        <w:pStyle w:val="ListParagraph"/>
        <w:numPr>
          <w:ilvl w:val="0"/>
          <w:numId w:val="36"/>
        </w:numPr>
        <w:ind w:left="436"/>
        <w:rPr>
          <w:sz w:val="20"/>
          <w:szCs w:val="20"/>
          <w:lang w:val="en-AU"/>
        </w:rPr>
      </w:pPr>
      <w:r w:rsidRPr="00302B20">
        <w:rPr>
          <w:sz w:val="20"/>
          <w:szCs w:val="20"/>
          <w:lang w:val="en-AU"/>
        </w:rPr>
        <w:t>where there has been no prior opportunity to ask about family violence</w:t>
      </w:r>
      <w:r w:rsidR="00AF437D" w:rsidRPr="00302B20">
        <w:rPr>
          <w:sz w:val="20"/>
          <w:szCs w:val="20"/>
          <w:lang w:val="en-AU"/>
        </w:rPr>
        <w:t>.</w:t>
      </w:r>
    </w:p>
    <w:p w14:paraId="73DEA895" w14:textId="3FFE8196" w:rsidR="00477B25" w:rsidRPr="00477B25" w:rsidRDefault="00477B25" w:rsidP="00B94C44">
      <w:pPr>
        <w:pStyle w:val="Heading3"/>
        <w:spacing w:before="120"/>
        <w:rPr>
          <w:lang w:val="en-AU"/>
        </w:rPr>
      </w:pPr>
      <w:r w:rsidRPr="00023D41">
        <w:rPr>
          <w:lang w:val="en-AU"/>
        </w:rPr>
        <w:lastRenderedPageBreak/>
        <w:t xml:space="preserve">Funding </w:t>
      </w:r>
      <w:r>
        <w:rPr>
          <w:lang w:val="en-AU"/>
        </w:rPr>
        <w:t>source</w:t>
      </w:r>
    </w:p>
    <w:p w14:paraId="2371A258" w14:textId="7727EA70" w:rsidR="00935A58" w:rsidRPr="001017B5" w:rsidRDefault="00302B20" w:rsidP="00B94C44">
      <w:pPr>
        <w:spacing w:line="276" w:lineRule="auto"/>
        <w:jc w:val="both"/>
        <w:rPr>
          <w:sz w:val="20"/>
          <w:szCs w:val="20"/>
          <w:lang w:val="en-AU"/>
        </w:rPr>
      </w:pPr>
      <w:r w:rsidRPr="00302B20">
        <w:rPr>
          <w:sz w:val="20"/>
          <w:szCs w:val="20"/>
          <w:lang w:val="en-AU"/>
        </w:rPr>
        <w:t>Additional family violence visits</w:t>
      </w:r>
      <w:r>
        <w:rPr>
          <w:sz w:val="20"/>
          <w:szCs w:val="20"/>
          <w:lang w:val="en-AU"/>
        </w:rPr>
        <w:t xml:space="preserve"> are</w:t>
      </w:r>
      <w:r w:rsidRPr="00302B20">
        <w:rPr>
          <w:sz w:val="20"/>
          <w:szCs w:val="20"/>
          <w:lang w:val="en-AU"/>
        </w:rPr>
        <w:t xml:space="preserve"> </w:t>
      </w:r>
      <w:r w:rsidR="00935A58">
        <w:rPr>
          <w:sz w:val="20"/>
          <w:szCs w:val="20"/>
          <w:lang w:val="en-AU"/>
        </w:rPr>
        <w:t>fully funded by DET.</w:t>
      </w:r>
    </w:p>
    <w:p w14:paraId="596DD0C6" w14:textId="77777777" w:rsidR="00993D07" w:rsidRPr="00993D07" w:rsidRDefault="00993D07" w:rsidP="00B94C44">
      <w:pPr>
        <w:pStyle w:val="Heading3"/>
        <w:spacing w:before="120"/>
        <w:rPr>
          <w:rFonts w:asciiTheme="minorHAnsi" w:eastAsiaTheme="minorHAnsi" w:hAnsiTheme="minorHAnsi" w:cstheme="minorBidi"/>
          <w:b w:val="0"/>
          <w:color w:val="auto"/>
          <w:sz w:val="22"/>
          <w:lang w:val="en-AU"/>
        </w:rPr>
      </w:pPr>
      <w:r w:rsidRPr="00B65A4C">
        <w:rPr>
          <w:lang w:val="en-AU"/>
        </w:rPr>
        <w:t>How funding</w:t>
      </w:r>
      <w:r w:rsidRPr="00023D41">
        <w:rPr>
          <w:lang w:val="en-AU"/>
        </w:rPr>
        <w:t xml:space="preserve"> is calculated</w:t>
      </w:r>
    </w:p>
    <w:p w14:paraId="64EF2EB8" w14:textId="2F945A84" w:rsidR="00061CA5" w:rsidRPr="001017B5" w:rsidRDefault="00302B20" w:rsidP="00B94C44">
      <w:pPr>
        <w:spacing w:line="276" w:lineRule="auto"/>
        <w:jc w:val="both"/>
        <w:rPr>
          <w:sz w:val="20"/>
          <w:szCs w:val="20"/>
          <w:lang w:val="en-AU"/>
        </w:rPr>
      </w:pPr>
      <w:r>
        <w:rPr>
          <w:sz w:val="20"/>
          <w:szCs w:val="20"/>
          <w:lang w:val="en-AU"/>
        </w:rPr>
        <w:t>This fu</w:t>
      </w:r>
      <w:r w:rsidR="00993D07" w:rsidRPr="001017B5">
        <w:rPr>
          <w:sz w:val="20"/>
          <w:szCs w:val="20"/>
          <w:lang w:val="en-AU"/>
        </w:rPr>
        <w:t>nding is calculated in two distinct parts</w:t>
      </w:r>
      <w:r w:rsidR="00AF437D" w:rsidRPr="001017B5">
        <w:rPr>
          <w:sz w:val="20"/>
          <w:szCs w:val="20"/>
          <w:lang w:val="en-AU"/>
        </w:rPr>
        <w:t>:</w:t>
      </w:r>
      <w:r w:rsidR="00993D07" w:rsidRPr="001017B5">
        <w:rPr>
          <w:sz w:val="20"/>
          <w:szCs w:val="20"/>
          <w:lang w:val="en-AU"/>
        </w:rPr>
        <w:t xml:space="preserve"> </w:t>
      </w:r>
      <w:r w:rsidR="00993D07" w:rsidRPr="00302B20">
        <w:rPr>
          <w:sz w:val="20"/>
          <w:szCs w:val="20"/>
          <w:u w:val="single"/>
          <w:lang w:val="en-AU"/>
        </w:rPr>
        <w:t>Base funding</w:t>
      </w:r>
      <w:r w:rsidR="00993D07" w:rsidRPr="001017B5">
        <w:rPr>
          <w:sz w:val="20"/>
          <w:szCs w:val="20"/>
          <w:lang w:val="en-AU"/>
        </w:rPr>
        <w:t xml:space="preserve"> and </w:t>
      </w:r>
      <w:r w:rsidR="00993D07" w:rsidRPr="00302B20">
        <w:rPr>
          <w:sz w:val="20"/>
          <w:szCs w:val="20"/>
          <w:u w:val="single"/>
          <w:lang w:val="en-AU"/>
        </w:rPr>
        <w:t>Weighted</w:t>
      </w:r>
      <w:r w:rsidR="00061CA5" w:rsidRPr="00302B20">
        <w:rPr>
          <w:sz w:val="20"/>
          <w:szCs w:val="20"/>
          <w:u w:val="single"/>
          <w:lang w:val="en-AU"/>
        </w:rPr>
        <w:t xml:space="preserve"> funding</w:t>
      </w:r>
      <w:r w:rsidR="00061CA5" w:rsidRPr="001017B5">
        <w:rPr>
          <w:sz w:val="20"/>
          <w:szCs w:val="20"/>
          <w:lang w:val="en-AU"/>
        </w:rPr>
        <w:t>.</w:t>
      </w:r>
    </w:p>
    <w:p w14:paraId="46E02D2C" w14:textId="77777777" w:rsidR="000B5383" w:rsidRPr="000C2E41" w:rsidRDefault="00061CA5" w:rsidP="00B94C44">
      <w:pPr>
        <w:spacing w:line="276" w:lineRule="auto"/>
        <w:jc w:val="both"/>
        <w:rPr>
          <w:sz w:val="20"/>
          <w:szCs w:val="20"/>
          <w:lang w:val="en-AU"/>
        </w:rPr>
      </w:pPr>
      <w:r w:rsidRPr="000C2E41">
        <w:rPr>
          <w:sz w:val="20"/>
          <w:szCs w:val="20"/>
          <w:u w:val="single"/>
          <w:lang w:val="en-AU"/>
        </w:rPr>
        <w:t>Base funding</w:t>
      </w:r>
    </w:p>
    <w:p w14:paraId="2131D325" w14:textId="438E1A64" w:rsidR="00061CA5" w:rsidRPr="001017B5" w:rsidRDefault="000B5383" w:rsidP="00B94C44">
      <w:pPr>
        <w:spacing w:line="276" w:lineRule="auto"/>
        <w:jc w:val="both"/>
        <w:rPr>
          <w:sz w:val="20"/>
          <w:szCs w:val="20"/>
          <w:lang w:val="en-AU"/>
        </w:rPr>
      </w:pPr>
      <w:r w:rsidRPr="001017B5">
        <w:rPr>
          <w:sz w:val="20"/>
          <w:szCs w:val="20"/>
          <w:lang w:val="en-AU"/>
        </w:rPr>
        <w:t xml:space="preserve">Base funding </w:t>
      </w:r>
      <w:r w:rsidR="00061CA5" w:rsidRPr="001017B5">
        <w:rPr>
          <w:sz w:val="20"/>
          <w:szCs w:val="20"/>
          <w:lang w:val="en-AU"/>
        </w:rPr>
        <w:t xml:space="preserve">is </w:t>
      </w:r>
      <w:r w:rsidR="00D62EE5">
        <w:rPr>
          <w:sz w:val="20"/>
          <w:szCs w:val="20"/>
          <w:lang w:val="en-AU"/>
        </w:rPr>
        <w:t>calculated using</w:t>
      </w:r>
      <w:r w:rsidR="00061CA5" w:rsidRPr="001017B5">
        <w:rPr>
          <w:sz w:val="20"/>
          <w:szCs w:val="20"/>
          <w:lang w:val="en-AU"/>
        </w:rPr>
        <w:t xml:space="preserve"> </w:t>
      </w:r>
      <w:r w:rsidR="000D4FBD">
        <w:rPr>
          <w:sz w:val="20"/>
          <w:szCs w:val="20"/>
          <w:lang w:val="en-AU"/>
        </w:rPr>
        <w:t>10 per cent</w:t>
      </w:r>
      <w:r w:rsidRPr="001017B5">
        <w:rPr>
          <w:sz w:val="20"/>
          <w:szCs w:val="20"/>
          <w:lang w:val="en-AU"/>
        </w:rPr>
        <w:t xml:space="preserve"> of </w:t>
      </w:r>
      <w:r w:rsidR="00061CA5" w:rsidRPr="001017B5">
        <w:rPr>
          <w:sz w:val="20"/>
          <w:szCs w:val="20"/>
          <w:lang w:val="en-AU"/>
        </w:rPr>
        <w:t>the number of enrolled children in the 0-1 age cohort, multiplied by the hours of service delivery</w:t>
      </w:r>
      <w:r w:rsidRPr="001017B5">
        <w:rPr>
          <w:sz w:val="20"/>
          <w:szCs w:val="20"/>
          <w:lang w:val="en-AU"/>
        </w:rPr>
        <w:t xml:space="preserve"> per consultation</w:t>
      </w:r>
      <w:r w:rsidR="00061CA5" w:rsidRPr="001017B5">
        <w:rPr>
          <w:sz w:val="20"/>
          <w:szCs w:val="20"/>
          <w:lang w:val="en-AU"/>
        </w:rPr>
        <w:t>, multiplied by the agreed hourly unit price.</w:t>
      </w:r>
    </w:p>
    <w:tbl>
      <w:tblPr>
        <w:tblStyle w:val="TableGrid"/>
        <w:tblW w:w="5000" w:type="pct"/>
        <w:tblBorders>
          <w:top w:val="none" w:sz="0" w:space="0" w:color="auto"/>
        </w:tblBorders>
        <w:tblLook w:val="04A0" w:firstRow="1" w:lastRow="0" w:firstColumn="1" w:lastColumn="0" w:noHBand="0" w:noVBand="1"/>
        <w:tblCaption w:val="Table 6: Additional Family Violence Visit (Base) funding calculation method"/>
      </w:tblPr>
      <w:tblGrid>
        <w:gridCol w:w="1858"/>
        <w:gridCol w:w="464"/>
        <w:gridCol w:w="2321"/>
        <w:gridCol w:w="466"/>
        <w:gridCol w:w="797"/>
        <w:gridCol w:w="1549"/>
        <w:gridCol w:w="460"/>
        <w:gridCol w:w="1707"/>
      </w:tblGrid>
      <w:tr w:rsidR="000B5383" w:rsidRPr="00AF437D" w14:paraId="78C3B5EB" w14:textId="77777777" w:rsidTr="00A21F3B">
        <w:trPr>
          <w:cnfStyle w:val="100000000000" w:firstRow="1" w:lastRow="0" w:firstColumn="0" w:lastColumn="0" w:oddVBand="0" w:evenVBand="0" w:oddHBand="0" w:evenHBand="0" w:firstRowFirstColumn="0" w:firstRowLastColumn="0" w:lastRowFirstColumn="0" w:lastRowLastColumn="0"/>
          <w:trHeight w:val="951"/>
          <w:tblHeader/>
        </w:trPr>
        <w:tc>
          <w:tcPr>
            <w:cnfStyle w:val="001000000000" w:firstRow="0" w:lastRow="0" w:firstColumn="1" w:lastColumn="0" w:oddVBand="0" w:evenVBand="0" w:oddHBand="0" w:evenHBand="0" w:firstRowFirstColumn="0" w:firstRowLastColumn="0" w:lastRowFirstColumn="0" w:lastRowLastColumn="0"/>
            <w:tcW w:w="965" w:type="pct"/>
            <w:tcMar>
              <w:top w:w="0" w:type="dxa"/>
              <w:bottom w:w="0" w:type="dxa"/>
            </w:tcMar>
            <w:vAlign w:val="center"/>
          </w:tcPr>
          <w:p w14:paraId="0F7DE3F9" w14:textId="77777777" w:rsidR="000B5383" w:rsidRPr="001017B5" w:rsidRDefault="000B5383" w:rsidP="000B5383">
            <w:pPr>
              <w:spacing w:after="0" w:line="276" w:lineRule="auto"/>
              <w:jc w:val="center"/>
              <w:rPr>
                <w:sz w:val="20"/>
                <w:szCs w:val="20"/>
                <w:lang w:val="en-AU"/>
              </w:rPr>
            </w:pPr>
            <w:r w:rsidRPr="001017B5">
              <w:rPr>
                <w:sz w:val="20"/>
                <w:szCs w:val="20"/>
                <w:lang w:val="en-AU"/>
              </w:rPr>
              <w:t>% of cohort being funded</w:t>
            </w:r>
          </w:p>
        </w:tc>
        <w:tc>
          <w:tcPr>
            <w:tcW w:w="241" w:type="pct"/>
            <w:tcMar>
              <w:top w:w="0" w:type="dxa"/>
              <w:bottom w:w="0" w:type="dxa"/>
            </w:tcMar>
            <w:vAlign w:val="center"/>
          </w:tcPr>
          <w:p w14:paraId="6B9F7D67" w14:textId="77777777" w:rsidR="000B5383" w:rsidRPr="001017B5" w:rsidRDefault="000B5383" w:rsidP="000B5383">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206" w:type="pct"/>
            <w:tcMar>
              <w:top w:w="0" w:type="dxa"/>
              <w:bottom w:w="0" w:type="dxa"/>
            </w:tcMar>
            <w:vAlign w:val="center"/>
          </w:tcPr>
          <w:p w14:paraId="609AD03A" w14:textId="77777777" w:rsidR="000B5383" w:rsidRPr="001017B5" w:rsidRDefault="000B5383" w:rsidP="00AD4F8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xml:space="preserve"># of enrolled children in </w:t>
            </w:r>
            <w:r w:rsidR="00AD4F89">
              <w:rPr>
                <w:sz w:val="20"/>
                <w:szCs w:val="20"/>
                <w:lang w:val="en-AU"/>
              </w:rPr>
              <w:t>LGA</w:t>
            </w:r>
          </w:p>
        </w:tc>
        <w:tc>
          <w:tcPr>
            <w:tcW w:w="242" w:type="pct"/>
            <w:tcMar>
              <w:top w:w="0" w:type="dxa"/>
              <w:bottom w:w="0" w:type="dxa"/>
            </w:tcMar>
            <w:vAlign w:val="center"/>
          </w:tcPr>
          <w:p w14:paraId="2E332BFF" w14:textId="77777777" w:rsidR="000B5383" w:rsidRPr="001017B5" w:rsidRDefault="000B5383" w:rsidP="000B5383">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219" w:type="pct"/>
            <w:gridSpan w:val="2"/>
            <w:tcMar>
              <w:top w:w="0" w:type="dxa"/>
              <w:bottom w:w="0" w:type="dxa"/>
            </w:tcMar>
            <w:vAlign w:val="center"/>
          </w:tcPr>
          <w:p w14:paraId="7C2B90D4" w14:textId="77777777" w:rsidR="000B5383" w:rsidRPr="001017B5" w:rsidRDefault="000B5383" w:rsidP="000B5383">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Hours of service delivery</w:t>
            </w:r>
          </w:p>
        </w:tc>
        <w:tc>
          <w:tcPr>
            <w:tcW w:w="239" w:type="pct"/>
            <w:tcMar>
              <w:top w:w="0" w:type="dxa"/>
              <w:bottom w:w="0" w:type="dxa"/>
            </w:tcMar>
            <w:vAlign w:val="center"/>
          </w:tcPr>
          <w:p w14:paraId="2E6001E3" w14:textId="77777777" w:rsidR="000B5383" w:rsidRPr="001017B5" w:rsidRDefault="000B5383" w:rsidP="000B5383">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7" w:type="pct"/>
            <w:tcMar>
              <w:top w:w="0" w:type="dxa"/>
              <w:bottom w:w="0" w:type="dxa"/>
            </w:tcMar>
            <w:vAlign w:val="center"/>
          </w:tcPr>
          <w:p w14:paraId="34353875" w14:textId="77777777" w:rsidR="000B5383" w:rsidRPr="001017B5" w:rsidRDefault="000B5383" w:rsidP="000B5383">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Agreed hourly unit price</w:t>
            </w:r>
          </w:p>
        </w:tc>
      </w:tr>
      <w:tr w:rsidR="001017B5" w:rsidRPr="00AF437D" w14:paraId="40C0038C" w14:textId="77777777" w:rsidTr="00A21F3B">
        <w:tc>
          <w:tcPr>
            <w:cnfStyle w:val="001000000000" w:firstRow="0" w:lastRow="0" w:firstColumn="1" w:lastColumn="0" w:oddVBand="0" w:evenVBand="0" w:oddHBand="0" w:evenHBand="0" w:firstRowFirstColumn="0" w:firstRowLastColumn="0" w:lastRowFirstColumn="0" w:lastRowLastColumn="0"/>
            <w:tcW w:w="965" w:type="pct"/>
            <w:vMerge w:val="restart"/>
            <w:vAlign w:val="center"/>
          </w:tcPr>
          <w:p w14:paraId="0726FB46" w14:textId="77777777" w:rsidR="000B5383" w:rsidRPr="001017B5" w:rsidRDefault="000B5383" w:rsidP="000B5383">
            <w:pPr>
              <w:spacing w:after="0" w:line="276" w:lineRule="auto"/>
              <w:jc w:val="center"/>
              <w:rPr>
                <w:sz w:val="20"/>
                <w:szCs w:val="20"/>
                <w:lang w:val="en-AU"/>
              </w:rPr>
            </w:pPr>
            <w:r w:rsidRPr="001017B5">
              <w:rPr>
                <w:color w:val="auto"/>
                <w:sz w:val="20"/>
                <w:szCs w:val="20"/>
                <w:lang w:val="en-AU"/>
              </w:rPr>
              <w:t>10%</w:t>
            </w:r>
          </w:p>
        </w:tc>
        <w:tc>
          <w:tcPr>
            <w:tcW w:w="241" w:type="pct"/>
            <w:vMerge w:val="restart"/>
            <w:vAlign w:val="center"/>
          </w:tcPr>
          <w:p w14:paraId="7D826C7D"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206" w:type="pct"/>
            <w:vMerge w:val="restart"/>
            <w:vAlign w:val="center"/>
          </w:tcPr>
          <w:p w14:paraId="0F89033B" w14:textId="77777777" w:rsidR="000B5383" w:rsidRPr="001017B5" w:rsidRDefault="00AD4F89"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AD4F89">
              <w:rPr>
                <w:sz w:val="20"/>
                <w:szCs w:val="20"/>
                <w:lang w:val="en-AU"/>
              </w:rPr>
              <w:t>0-1 age cohort</w:t>
            </w:r>
          </w:p>
        </w:tc>
        <w:tc>
          <w:tcPr>
            <w:tcW w:w="242" w:type="pct"/>
            <w:vAlign w:val="center"/>
          </w:tcPr>
          <w:p w14:paraId="164D9FD0"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414" w:type="pct"/>
            <w:vAlign w:val="center"/>
          </w:tcPr>
          <w:p w14:paraId="3AF8BCF0"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Metro</w:t>
            </w:r>
          </w:p>
        </w:tc>
        <w:tc>
          <w:tcPr>
            <w:tcW w:w="805" w:type="pct"/>
            <w:vAlign w:val="center"/>
          </w:tcPr>
          <w:p w14:paraId="73751CE0"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w:t>
            </w:r>
            <w:r w:rsidR="0098510D" w:rsidRPr="001017B5">
              <w:rPr>
                <w:sz w:val="20"/>
                <w:szCs w:val="20"/>
                <w:lang w:val="en-AU"/>
              </w:rPr>
              <w:t>.0</w:t>
            </w:r>
          </w:p>
          <w:p w14:paraId="6EE1A779"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(60 mins)</w:t>
            </w:r>
          </w:p>
        </w:tc>
        <w:tc>
          <w:tcPr>
            <w:tcW w:w="239" w:type="pct"/>
            <w:vMerge w:val="restart"/>
            <w:vAlign w:val="center"/>
          </w:tcPr>
          <w:p w14:paraId="61E2AE96"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87" w:type="pct"/>
            <w:vMerge w:val="restart"/>
            <w:vAlign w:val="center"/>
          </w:tcPr>
          <w:p w14:paraId="5050A468"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$115.57</w:t>
            </w:r>
          </w:p>
        </w:tc>
      </w:tr>
      <w:tr w:rsidR="001017B5" w:rsidRPr="00AF437D" w14:paraId="57095B0B" w14:textId="77777777" w:rsidTr="00A21F3B">
        <w:tc>
          <w:tcPr>
            <w:cnfStyle w:val="001000000000" w:firstRow="0" w:lastRow="0" w:firstColumn="1" w:lastColumn="0" w:oddVBand="0" w:evenVBand="0" w:oddHBand="0" w:evenHBand="0" w:firstRowFirstColumn="0" w:firstRowLastColumn="0" w:lastRowFirstColumn="0" w:lastRowLastColumn="0"/>
            <w:tcW w:w="965" w:type="pct"/>
            <w:vMerge/>
            <w:vAlign w:val="center"/>
          </w:tcPr>
          <w:p w14:paraId="2154DC91" w14:textId="77777777" w:rsidR="000B5383" w:rsidRPr="001017B5" w:rsidRDefault="000B5383" w:rsidP="000B5383">
            <w:pPr>
              <w:spacing w:after="0" w:line="276" w:lineRule="auto"/>
              <w:jc w:val="center"/>
              <w:rPr>
                <w:sz w:val="20"/>
                <w:szCs w:val="20"/>
                <w:lang w:val="en-AU"/>
              </w:rPr>
            </w:pPr>
          </w:p>
        </w:tc>
        <w:tc>
          <w:tcPr>
            <w:tcW w:w="241" w:type="pct"/>
            <w:vMerge/>
            <w:vAlign w:val="center"/>
          </w:tcPr>
          <w:p w14:paraId="4F9E5DD3"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206" w:type="pct"/>
            <w:vMerge/>
            <w:vAlign w:val="center"/>
          </w:tcPr>
          <w:p w14:paraId="09823582"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242" w:type="pct"/>
            <w:vAlign w:val="center"/>
          </w:tcPr>
          <w:p w14:paraId="634B6523" w14:textId="77777777" w:rsidR="000B5383" w:rsidRPr="001017B5" w:rsidRDefault="001B74A7"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414" w:type="pct"/>
            <w:vAlign w:val="center"/>
          </w:tcPr>
          <w:p w14:paraId="5E73D04C"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Rural</w:t>
            </w:r>
          </w:p>
        </w:tc>
        <w:tc>
          <w:tcPr>
            <w:tcW w:w="805" w:type="pct"/>
            <w:vAlign w:val="center"/>
          </w:tcPr>
          <w:p w14:paraId="1C0AD29F"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1.133</w:t>
            </w:r>
          </w:p>
          <w:p w14:paraId="663EDD86"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(68 mins)</w:t>
            </w:r>
          </w:p>
        </w:tc>
        <w:tc>
          <w:tcPr>
            <w:tcW w:w="239" w:type="pct"/>
            <w:vMerge/>
          </w:tcPr>
          <w:p w14:paraId="14C54DA0" w14:textId="77777777" w:rsidR="000B5383" w:rsidRPr="001017B5" w:rsidRDefault="000B5383" w:rsidP="000B5383">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887" w:type="pct"/>
            <w:vMerge/>
            <w:vAlign w:val="center"/>
          </w:tcPr>
          <w:p w14:paraId="703FB4D6" w14:textId="77777777" w:rsidR="000B5383" w:rsidRPr="001017B5" w:rsidRDefault="000B5383" w:rsidP="001017B5">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r>
    </w:tbl>
    <w:p w14:paraId="1CF6A504" w14:textId="578DA2E9" w:rsidR="0032327F" w:rsidRDefault="0032327F" w:rsidP="00B94C44">
      <w:pPr>
        <w:pStyle w:val="Caption"/>
      </w:pPr>
      <w:r>
        <w:t xml:space="preserve">Table </w:t>
      </w:r>
      <w:fldSimple w:instr=" SEQ Table \* ARABIC ">
        <w:r w:rsidR="00BE5508">
          <w:rPr>
            <w:noProof/>
          </w:rPr>
          <w:t>6</w:t>
        </w:r>
      </w:fldSimple>
      <w:r>
        <w:t>: Additional F</w:t>
      </w:r>
      <w:r w:rsidR="00C656EC">
        <w:t xml:space="preserve">amily </w:t>
      </w:r>
      <w:r>
        <w:t>V</w:t>
      </w:r>
      <w:r w:rsidR="00C656EC">
        <w:t>iolence</w:t>
      </w:r>
      <w:r>
        <w:t xml:space="preserve"> Visit (Base) funding calculation method</w:t>
      </w:r>
    </w:p>
    <w:p w14:paraId="3D255322" w14:textId="77777777" w:rsidR="000B5383" w:rsidRPr="000C2E41" w:rsidRDefault="000B5383" w:rsidP="00B94C44">
      <w:pPr>
        <w:spacing w:before="120" w:line="276" w:lineRule="auto"/>
        <w:jc w:val="both"/>
        <w:rPr>
          <w:sz w:val="20"/>
          <w:szCs w:val="20"/>
          <w:lang w:val="en-AU"/>
        </w:rPr>
      </w:pPr>
      <w:r w:rsidRPr="000C2E41">
        <w:rPr>
          <w:sz w:val="20"/>
          <w:szCs w:val="20"/>
          <w:u w:val="single"/>
          <w:lang w:val="en-AU"/>
        </w:rPr>
        <w:t>Weighted funding</w:t>
      </w:r>
    </w:p>
    <w:p w14:paraId="5BF32088" w14:textId="250AC377" w:rsidR="006D5C39" w:rsidRPr="001017B5" w:rsidRDefault="00346F8F" w:rsidP="00B94C44">
      <w:pPr>
        <w:spacing w:line="276" w:lineRule="auto"/>
        <w:jc w:val="both"/>
        <w:rPr>
          <w:sz w:val="20"/>
          <w:szCs w:val="20"/>
          <w:lang w:val="en-AU"/>
        </w:rPr>
      </w:pPr>
      <w:r w:rsidRPr="001017B5">
        <w:rPr>
          <w:sz w:val="20"/>
          <w:szCs w:val="20"/>
          <w:lang w:val="en-AU"/>
        </w:rPr>
        <w:t>Weighted funding provides for</w:t>
      </w:r>
      <w:r w:rsidR="006D5C39" w:rsidRPr="001017B5">
        <w:rPr>
          <w:sz w:val="20"/>
          <w:szCs w:val="20"/>
          <w:lang w:val="en-AU"/>
        </w:rPr>
        <w:t xml:space="preserve"> consultations for a furt</w:t>
      </w:r>
      <w:r w:rsidR="000D4FBD">
        <w:rPr>
          <w:sz w:val="20"/>
          <w:szCs w:val="20"/>
          <w:lang w:val="en-AU"/>
        </w:rPr>
        <w:t>her 5 per cent</w:t>
      </w:r>
      <w:r w:rsidR="006D5C39" w:rsidRPr="001017B5">
        <w:rPr>
          <w:sz w:val="20"/>
          <w:szCs w:val="20"/>
          <w:lang w:val="en-AU"/>
        </w:rPr>
        <w:t xml:space="preserve"> of children in the 0-1 age cohort, </w:t>
      </w:r>
      <w:r w:rsidR="00AF437D" w:rsidRPr="001017B5">
        <w:rPr>
          <w:sz w:val="20"/>
          <w:szCs w:val="20"/>
          <w:lang w:val="en-AU"/>
        </w:rPr>
        <w:t>statewide</w:t>
      </w:r>
      <w:r w:rsidR="006D5C39" w:rsidRPr="001017B5">
        <w:rPr>
          <w:sz w:val="20"/>
          <w:szCs w:val="20"/>
          <w:lang w:val="en-AU"/>
        </w:rPr>
        <w:t>. These consultations are allocated</w:t>
      </w:r>
      <w:r w:rsidR="00D62EE5">
        <w:rPr>
          <w:sz w:val="20"/>
          <w:szCs w:val="20"/>
          <w:lang w:val="en-AU"/>
        </w:rPr>
        <w:t xml:space="preserve"> to LGA</w:t>
      </w:r>
      <w:r w:rsidR="00477B25">
        <w:rPr>
          <w:sz w:val="20"/>
          <w:szCs w:val="20"/>
          <w:lang w:val="en-AU"/>
        </w:rPr>
        <w:t>s</w:t>
      </w:r>
      <w:r w:rsidR="006D5C39" w:rsidRPr="001017B5">
        <w:rPr>
          <w:sz w:val="20"/>
          <w:szCs w:val="20"/>
          <w:lang w:val="en-AU"/>
        </w:rPr>
        <w:t xml:space="preserve"> based on</w:t>
      </w:r>
      <w:r w:rsidR="00477B25">
        <w:rPr>
          <w:sz w:val="20"/>
          <w:szCs w:val="20"/>
          <w:lang w:val="en-AU"/>
        </w:rPr>
        <w:t xml:space="preserve"> levels of</w:t>
      </w:r>
      <w:r w:rsidR="006D5C39" w:rsidRPr="001017B5">
        <w:rPr>
          <w:sz w:val="20"/>
          <w:szCs w:val="20"/>
          <w:lang w:val="en-AU"/>
        </w:rPr>
        <w:t xml:space="preserve"> disadvantage</w:t>
      </w:r>
      <w:r w:rsidR="00477B25">
        <w:rPr>
          <w:sz w:val="20"/>
          <w:szCs w:val="20"/>
          <w:lang w:val="en-AU"/>
        </w:rPr>
        <w:t>.</w:t>
      </w:r>
    </w:p>
    <w:p w14:paraId="1933F1CD" w14:textId="577BDCC7" w:rsidR="006D5C39" w:rsidRPr="001017B5" w:rsidRDefault="006D5C39" w:rsidP="00B94C44">
      <w:pPr>
        <w:spacing w:line="276" w:lineRule="auto"/>
        <w:jc w:val="both"/>
        <w:rPr>
          <w:sz w:val="20"/>
          <w:szCs w:val="20"/>
          <w:lang w:val="en-AU"/>
        </w:rPr>
      </w:pPr>
      <w:r w:rsidRPr="001017B5">
        <w:rPr>
          <w:sz w:val="20"/>
          <w:szCs w:val="20"/>
          <w:lang w:val="en-AU"/>
        </w:rPr>
        <w:t xml:space="preserve">Funding for each LGA is based on the total number of consultations </w:t>
      </w:r>
      <w:r w:rsidR="00AF437D" w:rsidRPr="001017B5">
        <w:rPr>
          <w:sz w:val="20"/>
          <w:szCs w:val="20"/>
          <w:lang w:val="en-AU"/>
        </w:rPr>
        <w:t>statewide</w:t>
      </w:r>
      <w:r w:rsidRPr="001017B5">
        <w:rPr>
          <w:sz w:val="20"/>
          <w:szCs w:val="20"/>
          <w:lang w:val="en-AU"/>
        </w:rPr>
        <w:t xml:space="preserve">, multiplied by the LGA’s level of disadvantage (as a percentage of </w:t>
      </w:r>
      <w:r w:rsidR="00AF437D" w:rsidRPr="001017B5">
        <w:rPr>
          <w:sz w:val="20"/>
          <w:szCs w:val="20"/>
          <w:lang w:val="en-AU"/>
        </w:rPr>
        <w:t>statewide</w:t>
      </w:r>
      <w:r w:rsidRPr="001017B5">
        <w:rPr>
          <w:sz w:val="20"/>
          <w:szCs w:val="20"/>
          <w:lang w:val="en-AU"/>
        </w:rPr>
        <w:t xml:space="preserve"> disadvantage)</w:t>
      </w:r>
      <w:r w:rsidR="0098510D" w:rsidRPr="001017B5">
        <w:rPr>
          <w:sz w:val="20"/>
          <w:szCs w:val="20"/>
          <w:lang w:val="en-AU"/>
        </w:rPr>
        <w:t>, multiplied by the hours of service delivery per consultation, multiplied by the agreed hourly unit price.</w:t>
      </w:r>
    </w:p>
    <w:p w14:paraId="78D00AA1" w14:textId="4CD45328" w:rsidR="006D5C39" w:rsidRPr="001017B5" w:rsidRDefault="0098510D" w:rsidP="00B94C44">
      <w:pPr>
        <w:spacing w:line="276" w:lineRule="auto"/>
        <w:rPr>
          <w:i/>
          <w:sz w:val="20"/>
          <w:szCs w:val="20"/>
          <w:lang w:val="en-AU"/>
        </w:rPr>
      </w:pPr>
      <w:r w:rsidRPr="001017B5">
        <w:rPr>
          <w:i/>
          <w:sz w:val="20"/>
          <w:szCs w:val="20"/>
          <w:lang w:val="en-AU"/>
        </w:rPr>
        <w:t xml:space="preserve">See the section on </w:t>
      </w:r>
      <w:r w:rsidRPr="001017B5">
        <w:rPr>
          <w:b/>
          <w:i/>
          <w:sz w:val="20"/>
          <w:szCs w:val="20"/>
          <w:lang w:val="en-AU"/>
        </w:rPr>
        <w:t xml:space="preserve">Additional </w:t>
      </w:r>
      <w:r w:rsidR="00261AD6">
        <w:rPr>
          <w:b/>
          <w:i/>
          <w:sz w:val="20"/>
          <w:szCs w:val="20"/>
          <w:lang w:val="en-AU"/>
        </w:rPr>
        <w:t>w</w:t>
      </w:r>
      <w:bookmarkStart w:id="0" w:name="_GoBack"/>
      <w:bookmarkEnd w:id="0"/>
      <w:r w:rsidRPr="001017B5">
        <w:rPr>
          <w:b/>
          <w:i/>
          <w:sz w:val="20"/>
          <w:szCs w:val="20"/>
          <w:lang w:val="en-AU"/>
        </w:rPr>
        <w:t>eightings</w:t>
      </w:r>
      <w:r w:rsidRPr="001017B5">
        <w:rPr>
          <w:i/>
          <w:sz w:val="20"/>
          <w:szCs w:val="20"/>
          <w:lang w:val="en-AU"/>
        </w:rPr>
        <w:t xml:space="preserve"> for a description of how percentage of </w:t>
      </w:r>
      <w:r w:rsidR="00AF437D" w:rsidRPr="001017B5">
        <w:rPr>
          <w:i/>
          <w:sz w:val="20"/>
          <w:szCs w:val="20"/>
          <w:lang w:val="en-AU"/>
        </w:rPr>
        <w:t>statewide</w:t>
      </w:r>
      <w:r w:rsidRPr="001017B5">
        <w:rPr>
          <w:i/>
          <w:sz w:val="20"/>
          <w:szCs w:val="20"/>
          <w:lang w:val="en-AU"/>
        </w:rPr>
        <w:t xml:space="preserve"> disadvantage is calculated.</w:t>
      </w:r>
    </w:p>
    <w:tbl>
      <w:tblPr>
        <w:tblStyle w:val="TableGrid"/>
        <w:tblW w:w="5000" w:type="pct"/>
        <w:tblBorders>
          <w:top w:val="none" w:sz="0" w:space="0" w:color="auto"/>
        </w:tblBorders>
        <w:tblLook w:val="04A0" w:firstRow="1" w:lastRow="0" w:firstColumn="1" w:lastColumn="0" w:noHBand="0" w:noVBand="1"/>
        <w:tblCaption w:val="Table 7: Additional Family Violence Visit (Weighted) funding calculation method"/>
      </w:tblPr>
      <w:tblGrid>
        <w:gridCol w:w="1704"/>
        <w:gridCol w:w="333"/>
        <w:gridCol w:w="1963"/>
        <w:gridCol w:w="333"/>
        <w:gridCol w:w="1565"/>
        <w:gridCol w:w="333"/>
        <w:gridCol w:w="737"/>
        <w:gridCol w:w="1072"/>
        <w:gridCol w:w="333"/>
        <w:gridCol w:w="1249"/>
      </w:tblGrid>
      <w:tr w:rsidR="00FE455F" w:rsidRPr="00935A58" w14:paraId="0923BC56" w14:textId="77777777" w:rsidTr="00A21F3B">
        <w:trPr>
          <w:cnfStyle w:val="100000000000" w:firstRow="1" w:lastRow="0" w:firstColumn="0" w:lastColumn="0" w:oddVBand="0" w:evenVBand="0" w:oddHBand="0" w:evenHBand="0" w:firstRowFirstColumn="0" w:firstRowLastColumn="0" w:lastRowFirstColumn="0" w:lastRowLastColumn="0"/>
          <w:trHeight w:val="931"/>
          <w:tblHeader/>
        </w:trPr>
        <w:tc>
          <w:tcPr>
            <w:cnfStyle w:val="001000000000" w:firstRow="0" w:lastRow="0" w:firstColumn="1" w:lastColumn="0" w:oddVBand="0" w:evenVBand="0" w:oddHBand="0" w:evenHBand="0" w:firstRowFirstColumn="0" w:firstRowLastColumn="0" w:lastRowFirstColumn="0" w:lastRowLastColumn="0"/>
            <w:tcW w:w="885" w:type="pct"/>
            <w:tcMar>
              <w:top w:w="0" w:type="dxa"/>
              <w:bottom w:w="0" w:type="dxa"/>
            </w:tcMar>
            <w:vAlign w:val="center"/>
          </w:tcPr>
          <w:p w14:paraId="6034B56D" w14:textId="77777777" w:rsidR="006D5C39" w:rsidRPr="001017B5" w:rsidRDefault="006D5C39" w:rsidP="006D5C39">
            <w:pPr>
              <w:spacing w:after="0" w:line="276" w:lineRule="auto"/>
              <w:jc w:val="center"/>
              <w:rPr>
                <w:sz w:val="20"/>
                <w:szCs w:val="20"/>
                <w:lang w:val="en-AU"/>
              </w:rPr>
            </w:pPr>
            <w:r w:rsidRPr="001017B5">
              <w:rPr>
                <w:sz w:val="20"/>
                <w:szCs w:val="20"/>
                <w:lang w:val="en-AU"/>
              </w:rPr>
              <w:t>% of cohort being funded</w:t>
            </w:r>
          </w:p>
        </w:tc>
        <w:tc>
          <w:tcPr>
            <w:tcW w:w="173" w:type="pct"/>
            <w:tcMar>
              <w:top w:w="0" w:type="dxa"/>
              <w:bottom w:w="0" w:type="dxa"/>
            </w:tcMar>
            <w:vAlign w:val="center"/>
          </w:tcPr>
          <w:p w14:paraId="61210903"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020" w:type="pct"/>
            <w:tcMar>
              <w:top w:w="0" w:type="dxa"/>
              <w:bottom w:w="0" w:type="dxa"/>
            </w:tcMar>
            <w:vAlign w:val="center"/>
          </w:tcPr>
          <w:p w14:paraId="4B639FF1" w14:textId="60B898D8" w:rsidR="006D5C39" w:rsidRPr="001017B5" w:rsidRDefault="006D5C39" w:rsidP="00A10E9F">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xml:space="preserve"># of enrolled children in 0-1 cohort, </w:t>
            </w:r>
            <w:r w:rsidR="00AF437D" w:rsidRPr="001017B5">
              <w:rPr>
                <w:sz w:val="20"/>
                <w:szCs w:val="20"/>
                <w:lang w:val="en-AU"/>
              </w:rPr>
              <w:t>statewide</w:t>
            </w:r>
          </w:p>
        </w:tc>
        <w:tc>
          <w:tcPr>
            <w:tcW w:w="173" w:type="pct"/>
            <w:tcMar>
              <w:top w:w="0" w:type="dxa"/>
              <w:bottom w:w="0" w:type="dxa"/>
            </w:tcMar>
            <w:vAlign w:val="center"/>
          </w:tcPr>
          <w:p w14:paraId="47FBB0F3"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13" w:type="pct"/>
            <w:tcMar>
              <w:top w:w="0" w:type="dxa"/>
              <w:bottom w:w="0" w:type="dxa"/>
            </w:tcMar>
            <w:vAlign w:val="center"/>
          </w:tcPr>
          <w:p w14:paraId="1DC0304C" w14:textId="77777777" w:rsidR="006D5C39" w:rsidRPr="001017B5" w:rsidRDefault="006D5C39" w:rsidP="00FE455F">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 xml:space="preserve">LGA’s </w:t>
            </w:r>
            <w:r w:rsidR="00FE455F">
              <w:rPr>
                <w:sz w:val="20"/>
                <w:szCs w:val="20"/>
                <w:lang w:val="en-AU"/>
              </w:rPr>
              <w:t>%</w:t>
            </w:r>
            <w:r w:rsidRPr="001017B5">
              <w:rPr>
                <w:sz w:val="20"/>
                <w:szCs w:val="20"/>
                <w:lang w:val="en-AU"/>
              </w:rPr>
              <w:t xml:space="preserve"> of </w:t>
            </w:r>
            <w:r w:rsidR="00AF437D" w:rsidRPr="001017B5">
              <w:rPr>
                <w:sz w:val="20"/>
                <w:szCs w:val="20"/>
                <w:lang w:val="en-AU"/>
              </w:rPr>
              <w:t>statewide</w:t>
            </w:r>
            <w:r w:rsidRPr="001017B5">
              <w:rPr>
                <w:sz w:val="20"/>
                <w:szCs w:val="20"/>
                <w:lang w:val="en-AU"/>
              </w:rPr>
              <w:t xml:space="preserve"> disadvantage</w:t>
            </w:r>
          </w:p>
        </w:tc>
        <w:tc>
          <w:tcPr>
            <w:tcW w:w="173" w:type="pct"/>
            <w:tcMar>
              <w:top w:w="0" w:type="dxa"/>
              <w:bottom w:w="0" w:type="dxa"/>
            </w:tcMar>
            <w:vAlign w:val="center"/>
          </w:tcPr>
          <w:p w14:paraId="71099B2A"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940" w:type="pct"/>
            <w:gridSpan w:val="2"/>
            <w:tcMar>
              <w:top w:w="0" w:type="dxa"/>
              <w:bottom w:w="0" w:type="dxa"/>
            </w:tcMar>
            <w:vAlign w:val="center"/>
          </w:tcPr>
          <w:p w14:paraId="18928602"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Hours of service delivery</w:t>
            </w:r>
          </w:p>
        </w:tc>
        <w:tc>
          <w:tcPr>
            <w:tcW w:w="173" w:type="pct"/>
            <w:tcMar>
              <w:top w:w="0" w:type="dxa"/>
              <w:bottom w:w="0" w:type="dxa"/>
            </w:tcMar>
            <w:vAlign w:val="center"/>
          </w:tcPr>
          <w:p w14:paraId="482BB5FF"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649" w:type="pct"/>
            <w:tcMar>
              <w:top w:w="0" w:type="dxa"/>
              <w:bottom w:w="0" w:type="dxa"/>
            </w:tcMar>
            <w:vAlign w:val="center"/>
          </w:tcPr>
          <w:p w14:paraId="4FF1C51D" w14:textId="77777777" w:rsidR="006D5C39" w:rsidRPr="001017B5" w:rsidRDefault="006D5C39" w:rsidP="006D5C39">
            <w:pPr>
              <w:spacing w:after="0"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Agreed hourly unit price</w:t>
            </w:r>
          </w:p>
        </w:tc>
      </w:tr>
      <w:tr w:rsidR="00FE455F" w:rsidRPr="00935A58" w14:paraId="0733E7D5" w14:textId="77777777" w:rsidTr="00A21F3B">
        <w:tc>
          <w:tcPr>
            <w:cnfStyle w:val="001000000000" w:firstRow="0" w:lastRow="0" w:firstColumn="1" w:lastColumn="0" w:oddVBand="0" w:evenVBand="0" w:oddHBand="0" w:evenHBand="0" w:firstRowFirstColumn="0" w:firstRowLastColumn="0" w:lastRowFirstColumn="0" w:lastRowLastColumn="0"/>
            <w:tcW w:w="885" w:type="pct"/>
            <w:vMerge w:val="restart"/>
            <w:vAlign w:val="center"/>
          </w:tcPr>
          <w:p w14:paraId="3AFCD7B4" w14:textId="77777777" w:rsidR="006D5C39" w:rsidRPr="001017B5" w:rsidRDefault="006D5C39" w:rsidP="006D5C39">
            <w:pPr>
              <w:spacing w:after="0" w:line="276" w:lineRule="auto"/>
              <w:jc w:val="center"/>
              <w:rPr>
                <w:sz w:val="20"/>
                <w:szCs w:val="20"/>
                <w:lang w:val="en-AU"/>
              </w:rPr>
            </w:pPr>
            <w:r w:rsidRPr="001017B5">
              <w:rPr>
                <w:color w:val="auto"/>
                <w:sz w:val="20"/>
                <w:szCs w:val="20"/>
                <w:lang w:val="en-AU"/>
              </w:rPr>
              <w:t>5%</w:t>
            </w:r>
          </w:p>
        </w:tc>
        <w:tc>
          <w:tcPr>
            <w:tcW w:w="173" w:type="pct"/>
            <w:vMerge w:val="restart"/>
            <w:vAlign w:val="center"/>
          </w:tcPr>
          <w:p w14:paraId="10EBF188"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1020" w:type="pct"/>
            <w:vMerge w:val="restart"/>
            <w:vAlign w:val="center"/>
          </w:tcPr>
          <w:p w14:paraId="31D72556" w14:textId="77777777" w:rsidR="00A10E9F" w:rsidRDefault="00A10E9F" w:rsidP="00C656EC">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$75,994</w:t>
            </w:r>
          </w:p>
          <w:p w14:paraId="469D996A" w14:textId="6291C91E" w:rsidR="006D5C39" w:rsidRPr="001017B5" w:rsidRDefault="00A10E9F" w:rsidP="00C656EC">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(projected, based on 2017-18 March data)</w:t>
            </w:r>
          </w:p>
        </w:tc>
        <w:tc>
          <w:tcPr>
            <w:tcW w:w="173" w:type="pct"/>
            <w:vMerge w:val="restart"/>
            <w:vAlign w:val="center"/>
          </w:tcPr>
          <w:p w14:paraId="27135B64"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813" w:type="pct"/>
            <w:vMerge w:val="restart"/>
            <w:vAlign w:val="center"/>
          </w:tcPr>
          <w:p w14:paraId="2CA5C3AD" w14:textId="5AEB8403" w:rsidR="006D5C39" w:rsidRPr="001017B5" w:rsidRDefault="00477B25"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Pr>
                <w:sz w:val="20"/>
                <w:szCs w:val="20"/>
                <w:lang w:val="en-AU"/>
              </w:rPr>
              <w:t>#</w:t>
            </w:r>
            <w:r w:rsidR="006D5C39" w:rsidRPr="001017B5">
              <w:rPr>
                <w:sz w:val="20"/>
                <w:szCs w:val="20"/>
                <w:lang w:val="en-AU"/>
              </w:rPr>
              <w:t>%</w:t>
            </w:r>
          </w:p>
        </w:tc>
        <w:tc>
          <w:tcPr>
            <w:tcW w:w="173" w:type="pct"/>
            <w:vAlign w:val="center"/>
          </w:tcPr>
          <w:p w14:paraId="6E508E19"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383" w:type="pct"/>
            <w:vAlign w:val="center"/>
          </w:tcPr>
          <w:p w14:paraId="23685583"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Metro</w:t>
            </w:r>
          </w:p>
        </w:tc>
        <w:tc>
          <w:tcPr>
            <w:tcW w:w="557" w:type="pct"/>
            <w:vAlign w:val="center"/>
          </w:tcPr>
          <w:p w14:paraId="74A542F3"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w:t>
            </w:r>
            <w:r w:rsidR="0098510D" w:rsidRPr="001017B5">
              <w:rPr>
                <w:sz w:val="20"/>
                <w:szCs w:val="20"/>
                <w:lang w:val="en-AU"/>
              </w:rPr>
              <w:t>.0</w:t>
            </w:r>
          </w:p>
          <w:p w14:paraId="0306659C"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(60 mins)</w:t>
            </w:r>
          </w:p>
        </w:tc>
        <w:tc>
          <w:tcPr>
            <w:tcW w:w="173" w:type="pct"/>
            <w:vMerge w:val="restart"/>
            <w:vAlign w:val="center"/>
          </w:tcPr>
          <w:p w14:paraId="2774B291"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649" w:type="pct"/>
            <w:vMerge w:val="restart"/>
            <w:vAlign w:val="center"/>
          </w:tcPr>
          <w:p w14:paraId="42F3348D"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$115.57</w:t>
            </w:r>
          </w:p>
        </w:tc>
      </w:tr>
      <w:tr w:rsidR="00FE455F" w:rsidRPr="00935A58" w14:paraId="5B17FE07" w14:textId="77777777" w:rsidTr="00A21F3B">
        <w:tc>
          <w:tcPr>
            <w:cnfStyle w:val="001000000000" w:firstRow="0" w:lastRow="0" w:firstColumn="1" w:lastColumn="0" w:oddVBand="0" w:evenVBand="0" w:oddHBand="0" w:evenHBand="0" w:firstRowFirstColumn="0" w:firstRowLastColumn="0" w:lastRowFirstColumn="0" w:lastRowLastColumn="0"/>
            <w:tcW w:w="885" w:type="pct"/>
            <w:vMerge/>
            <w:vAlign w:val="center"/>
          </w:tcPr>
          <w:p w14:paraId="6D518B5A" w14:textId="77777777" w:rsidR="006D5C39" w:rsidRPr="001017B5" w:rsidRDefault="006D5C39" w:rsidP="006D5C39">
            <w:pPr>
              <w:spacing w:after="0" w:line="276" w:lineRule="auto"/>
              <w:jc w:val="center"/>
              <w:rPr>
                <w:sz w:val="20"/>
                <w:szCs w:val="20"/>
                <w:lang w:val="en-AU"/>
              </w:rPr>
            </w:pPr>
          </w:p>
        </w:tc>
        <w:tc>
          <w:tcPr>
            <w:tcW w:w="173" w:type="pct"/>
            <w:vMerge/>
            <w:vAlign w:val="center"/>
          </w:tcPr>
          <w:p w14:paraId="6C5BE5A4"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020" w:type="pct"/>
            <w:vMerge/>
            <w:vAlign w:val="center"/>
          </w:tcPr>
          <w:p w14:paraId="1C85BECA"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73" w:type="pct"/>
            <w:vMerge/>
            <w:vAlign w:val="center"/>
          </w:tcPr>
          <w:p w14:paraId="51F508C0"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813" w:type="pct"/>
            <w:vMerge/>
            <w:vAlign w:val="center"/>
          </w:tcPr>
          <w:p w14:paraId="405D7E86" w14:textId="77777777" w:rsidR="006D5C39" w:rsidRPr="001017B5" w:rsidRDefault="006D5C39" w:rsidP="006D5C39">
            <w:pPr>
              <w:spacing w:after="0" w:line="276" w:lineRule="auto"/>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173" w:type="pct"/>
            <w:vAlign w:val="center"/>
          </w:tcPr>
          <w:p w14:paraId="5DCBAD2D" w14:textId="77777777" w:rsidR="006D5C39" w:rsidRPr="001017B5" w:rsidRDefault="001B74A7"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x</w:t>
            </w:r>
          </w:p>
        </w:tc>
        <w:tc>
          <w:tcPr>
            <w:tcW w:w="383" w:type="pct"/>
            <w:vAlign w:val="center"/>
          </w:tcPr>
          <w:p w14:paraId="69BF70A9"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Rural</w:t>
            </w:r>
          </w:p>
        </w:tc>
        <w:tc>
          <w:tcPr>
            <w:tcW w:w="557" w:type="pct"/>
            <w:vAlign w:val="center"/>
          </w:tcPr>
          <w:p w14:paraId="7051F103"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1.133</w:t>
            </w:r>
          </w:p>
          <w:p w14:paraId="1297F654"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r w:rsidRPr="001017B5">
              <w:rPr>
                <w:sz w:val="20"/>
                <w:szCs w:val="20"/>
                <w:lang w:val="en-AU"/>
              </w:rPr>
              <w:t>(68 mins)</w:t>
            </w:r>
          </w:p>
        </w:tc>
        <w:tc>
          <w:tcPr>
            <w:tcW w:w="173" w:type="pct"/>
            <w:vMerge/>
          </w:tcPr>
          <w:p w14:paraId="6AD1C044" w14:textId="77777777" w:rsidR="006D5C39" w:rsidRPr="001017B5" w:rsidRDefault="006D5C39" w:rsidP="006D5C39">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c>
          <w:tcPr>
            <w:tcW w:w="649" w:type="pct"/>
            <w:vMerge/>
            <w:vAlign w:val="center"/>
          </w:tcPr>
          <w:p w14:paraId="0BC9E30C" w14:textId="77777777" w:rsidR="006D5C39" w:rsidRPr="001017B5" w:rsidRDefault="006D5C39" w:rsidP="001017B5">
            <w:pPr>
              <w:keepNext/>
              <w:spacing w:after="0"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AU"/>
              </w:rPr>
            </w:pPr>
          </w:p>
        </w:tc>
      </w:tr>
    </w:tbl>
    <w:p w14:paraId="3CAE7AD4" w14:textId="3A3329CA" w:rsidR="00477B25" w:rsidRPr="00594EA5" w:rsidRDefault="0032327F" w:rsidP="00B94C44">
      <w:pPr>
        <w:pStyle w:val="Caption"/>
        <w:spacing w:after="60"/>
      </w:pPr>
      <w:r>
        <w:t xml:space="preserve">Table </w:t>
      </w:r>
      <w:fldSimple w:instr=" SEQ Table \* ARABIC ">
        <w:r w:rsidR="00BE5508">
          <w:rPr>
            <w:noProof/>
          </w:rPr>
          <w:t>7</w:t>
        </w:r>
      </w:fldSimple>
      <w:r>
        <w:t>: Additional F</w:t>
      </w:r>
      <w:r w:rsidR="00C656EC">
        <w:t xml:space="preserve">amily </w:t>
      </w:r>
      <w:r>
        <w:t>V</w:t>
      </w:r>
      <w:r w:rsidR="00C656EC">
        <w:t>iolence</w:t>
      </w:r>
      <w:r>
        <w:t xml:space="preserve"> Visit (Weighted</w:t>
      </w:r>
      <w:r w:rsidRPr="007B7BBE">
        <w:t>) funding calculation method</w:t>
      </w:r>
    </w:p>
    <w:p w14:paraId="0CAADB5B" w14:textId="77777777" w:rsidR="00477B25" w:rsidRDefault="00477B25" w:rsidP="00B94C44">
      <w:pPr>
        <w:pStyle w:val="Heading2"/>
        <w:pBdr>
          <w:top w:val="single" w:sz="4" w:space="1" w:color="AF272F" w:themeColor="accent1"/>
        </w:pBdr>
        <w:rPr>
          <w:lang w:val="en-AU"/>
        </w:rPr>
      </w:pPr>
      <w:r>
        <w:rPr>
          <w:lang w:val="en-AU"/>
        </w:rPr>
        <w:lastRenderedPageBreak/>
        <w:t xml:space="preserve">Rural Sustainability Grant </w:t>
      </w:r>
    </w:p>
    <w:p w14:paraId="11ADD85A" w14:textId="77777777" w:rsidR="00477B25" w:rsidRDefault="00477B25" w:rsidP="00B94C44">
      <w:pPr>
        <w:pStyle w:val="Heading3"/>
        <w:spacing w:before="120"/>
        <w:rPr>
          <w:lang w:val="en-AU"/>
        </w:rPr>
      </w:pPr>
      <w:r w:rsidRPr="00023D41">
        <w:rPr>
          <w:lang w:val="en-AU"/>
        </w:rPr>
        <w:t xml:space="preserve">Funding </w:t>
      </w:r>
      <w:r w:rsidRPr="00B65A4C">
        <w:rPr>
          <w:lang w:val="en-AU"/>
        </w:rPr>
        <w:t>purpose</w:t>
      </w:r>
    </w:p>
    <w:p w14:paraId="5551A134" w14:textId="142501E9" w:rsidR="00477B25" w:rsidRPr="00BB5E6B" w:rsidRDefault="00477B25" w:rsidP="00B94C44">
      <w:pPr>
        <w:rPr>
          <w:sz w:val="20"/>
          <w:szCs w:val="20"/>
          <w:lang w:val="en-AU"/>
        </w:rPr>
      </w:pPr>
      <w:r w:rsidRPr="00BB5E6B">
        <w:rPr>
          <w:sz w:val="20"/>
          <w:szCs w:val="20"/>
          <w:lang w:val="en-AU"/>
        </w:rPr>
        <w:t>The Rural Sustainability Grant (RSG) helps to stabilise funding for very small MCH services</w:t>
      </w:r>
      <w:r w:rsidR="00302B20" w:rsidRPr="00BB5E6B">
        <w:rPr>
          <w:sz w:val="20"/>
          <w:szCs w:val="20"/>
          <w:lang w:val="en-AU"/>
        </w:rPr>
        <w:t>, providing</w:t>
      </w:r>
      <w:r w:rsidRPr="00BB5E6B">
        <w:rPr>
          <w:sz w:val="20"/>
          <w:szCs w:val="20"/>
          <w:lang w:val="en-AU"/>
        </w:rPr>
        <w:t xml:space="preserve"> a measure of sustainability.</w:t>
      </w:r>
    </w:p>
    <w:p w14:paraId="37A21DAF" w14:textId="77777777" w:rsidR="00477B25" w:rsidRPr="00096726" w:rsidRDefault="00477B25" w:rsidP="00B94C44">
      <w:pPr>
        <w:pStyle w:val="Heading3"/>
        <w:spacing w:before="120"/>
        <w:rPr>
          <w:lang w:val="en-AU"/>
        </w:rPr>
      </w:pPr>
      <w:r w:rsidRPr="00023D41">
        <w:rPr>
          <w:lang w:val="en-AU"/>
        </w:rPr>
        <w:t xml:space="preserve">Funding </w:t>
      </w:r>
      <w:r>
        <w:rPr>
          <w:lang w:val="en-AU"/>
        </w:rPr>
        <w:t>source</w:t>
      </w:r>
    </w:p>
    <w:p w14:paraId="61599B96" w14:textId="7D12DD4D" w:rsidR="00477B25" w:rsidRPr="001017B5" w:rsidRDefault="00302B20" w:rsidP="00B94C44">
      <w:pPr>
        <w:rPr>
          <w:b/>
          <w:sz w:val="20"/>
          <w:szCs w:val="20"/>
          <w:lang w:val="en-AU"/>
        </w:rPr>
      </w:pPr>
      <w:r>
        <w:rPr>
          <w:sz w:val="20"/>
          <w:szCs w:val="20"/>
          <w:lang w:val="en-AU"/>
        </w:rPr>
        <w:t>The Rural Sustainability Grant</w:t>
      </w:r>
      <w:r w:rsidR="00477B25" w:rsidRPr="001017B5">
        <w:rPr>
          <w:sz w:val="20"/>
          <w:szCs w:val="20"/>
          <w:lang w:val="en-AU"/>
        </w:rPr>
        <w:t xml:space="preserve"> is fully funded by DET.</w:t>
      </w:r>
    </w:p>
    <w:p w14:paraId="45B2C19A" w14:textId="77777777" w:rsidR="00477B25" w:rsidRDefault="00477B25" w:rsidP="00B94C44">
      <w:pPr>
        <w:pStyle w:val="Heading3"/>
        <w:spacing w:before="120"/>
        <w:rPr>
          <w:rFonts w:asciiTheme="minorHAnsi" w:eastAsiaTheme="minorHAnsi" w:hAnsiTheme="minorHAnsi" w:cstheme="minorBidi"/>
          <w:b w:val="0"/>
          <w:color w:val="auto"/>
          <w:sz w:val="22"/>
          <w:lang w:val="en-AU"/>
        </w:rPr>
      </w:pPr>
      <w:r w:rsidRPr="00B65A4C">
        <w:rPr>
          <w:lang w:val="en-AU"/>
        </w:rPr>
        <w:t>How funding</w:t>
      </w:r>
      <w:r w:rsidRPr="00023D41">
        <w:rPr>
          <w:lang w:val="en-AU"/>
        </w:rPr>
        <w:t xml:space="preserve"> is calculated</w:t>
      </w:r>
    </w:p>
    <w:p w14:paraId="75BA114D" w14:textId="6C93B488" w:rsidR="00477B25" w:rsidRPr="00FD23BD" w:rsidRDefault="00477B25" w:rsidP="00B94C44">
      <w:pPr>
        <w:rPr>
          <w:sz w:val="20"/>
          <w:szCs w:val="20"/>
          <w:lang w:val="en-AU"/>
        </w:rPr>
      </w:pPr>
      <w:r w:rsidRPr="00FD23BD">
        <w:rPr>
          <w:sz w:val="20"/>
          <w:szCs w:val="20"/>
          <w:lang w:val="en-AU"/>
        </w:rPr>
        <w:t xml:space="preserve">Services that receive less than the RSG threshold amount in funding from </w:t>
      </w:r>
      <w:r w:rsidR="00302B20" w:rsidRPr="00FD23BD">
        <w:rPr>
          <w:sz w:val="20"/>
          <w:szCs w:val="20"/>
          <w:lang w:val="en-AU"/>
        </w:rPr>
        <w:t xml:space="preserve">DET for </w:t>
      </w:r>
      <w:r w:rsidRPr="00FD23BD">
        <w:rPr>
          <w:sz w:val="20"/>
          <w:szCs w:val="20"/>
          <w:lang w:val="en-AU"/>
        </w:rPr>
        <w:t>U</w:t>
      </w:r>
      <w:r w:rsidR="00302B20" w:rsidRPr="00FD23BD">
        <w:rPr>
          <w:sz w:val="20"/>
          <w:szCs w:val="20"/>
          <w:lang w:val="en-AU"/>
        </w:rPr>
        <w:t>MCH</w:t>
      </w:r>
      <w:r w:rsidR="00E379B6">
        <w:rPr>
          <w:sz w:val="20"/>
          <w:szCs w:val="20"/>
          <w:lang w:val="en-AU"/>
        </w:rPr>
        <w:t xml:space="preserve"> p</w:t>
      </w:r>
      <w:r w:rsidR="003079C0" w:rsidRPr="00FD23BD">
        <w:rPr>
          <w:sz w:val="20"/>
          <w:szCs w:val="20"/>
          <w:lang w:val="en-AU"/>
        </w:rPr>
        <w:t>rogram</w:t>
      </w:r>
      <w:r w:rsidR="00302B20" w:rsidRPr="00FD23BD">
        <w:rPr>
          <w:sz w:val="20"/>
          <w:szCs w:val="20"/>
          <w:lang w:val="en-AU"/>
        </w:rPr>
        <w:t xml:space="preserve"> s</w:t>
      </w:r>
      <w:r w:rsidRPr="00FD23BD">
        <w:rPr>
          <w:sz w:val="20"/>
          <w:szCs w:val="20"/>
          <w:lang w:val="en-AU"/>
        </w:rPr>
        <w:t>ervice</w:t>
      </w:r>
      <w:r w:rsidR="00302B20" w:rsidRPr="00FD23BD">
        <w:rPr>
          <w:sz w:val="20"/>
          <w:szCs w:val="20"/>
          <w:lang w:val="en-AU"/>
        </w:rPr>
        <w:t xml:space="preserve"> delivery</w:t>
      </w:r>
      <w:r w:rsidRPr="00FD23BD">
        <w:rPr>
          <w:sz w:val="20"/>
          <w:szCs w:val="20"/>
          <w:lang w:val="en-AU"/>
        </w:rPr>
        <w:t xml:space="preserve"> </w:t>
      </w:r>
      <w:r w:rsidR="00FD4049" w:rsidRPr="00FD23BD">
        <w:rPr>
          <w:sz w:val="20"/>
          <w:szCs w:val="20"/>
          <w:lang w:val="en-AU"/>
        </w:rPr>
        <w:t xml:space="preserve">are eligible to </w:t>
      </w:r>
      <w:r w:rsidRPr="00FD23BD">
        <w:rPr>
          <w:sz w:val="20"/>
          <w:szCs w:val="20"/>
          <w:lang w:val="en-AU"/>
        </w:rPr>
        <w:t xml:space="preserve">receive a </w:t>
      </w:r>
      <w:r w:rsidR="00302B20" w:rsidRPr="00FD23BD">
        <w:rPr>
          <w:sz w:val="20"/>
          <w:szCs w:val="20"/>
          <w:lang w:val="en-AU"/>
        </w:rPr>
        <w:t>RSG</w:t>
      </w:r>
      <w:r w:rsidRPr="00FD23BD">
        <w:rPr>
          <w:sz w:val="20"/>
          <w:szCs w:val="20"/>
          <w:lang w:val="en-AU"/>
        </w:rPr>
        <w:t xml:space="preserve"> to top up their funding to that threshold.</w:t>
      </w:r>
    </w:p>
    <w:p w14:paraId="5B3C2420" w14:textId="793A4AB2" w:rsidR="00FD4049" w:rsidRPr="00FD4049" w:rsidRDefault="00FD4049" w:rsidP="00B94C44">
      <w:pPr>
        <w:pStyle w:val="Heading3"/>
        <w:spacing w:before="0"/>
        <w:rPr>
          <w:rFonts w:asciiTheme="minorHAnsi" w:eastAsiaTheme="minorHAnsi" w:hAnsiTheme="minorHAnsi" w:cstheme="minorBidi"/>
          <w:b w:val="0"/>
          <w:color w:val="auto"/>
          <w:sz w:val="20"/>
          <w:szCs w:val="20"/>
          <w:u w:val="single"/>
          <w:lang w:val="en-AU"/>
        </w:rPr>
      </w:pPr>
      <w:r w:rsidRPr="00FD4049">
        <w:rPr>
          <w:rFonts w:asciiTheme="minorHAnsi" w:eastAsiaTheme="minorHAnsi" w:hAnsiTheme="minorHAnsi" w:cstheme="minorBidi"/>
          <w:b w:val="0"/>
          <w:color w:val="auto"/>
          <w:sz w:val="20"/>
          <w:szCs w:val="20"/>
          <w:u w:val="single"/>
          <w:lang w:val="en-AU"/>
        </w:rPr>
        <w:t>Determining RSG eligibility</w:t>
      </w:r>
    </w:p>
    <w:p w14:paraId="7E36A770" w14:textId="6E57A049" w:rsidR="00477B25" w:rsidRPr="00FD23BD" w:rsidRDefault="00FD4049" w:rsidP="00B94C44">
      <w:pPr>
        <w:rPr>
          <w:sz w:val="20"/>
          <w:szCs w:val="20"/>
          <w:lang w:val="en-AU"/>
        </w:rPr>
      </w:pPr>
      <w:r>
        <w:rPr>
          <w:sz w:val="20"/>
          <w:szCs w:val="20"/>
          <w:lang w:val="en-AU"/>
        </w:rPr>
        <w:t xml:space="preserve">For the purposes of determining RSG eligibility, DET funding for </w:t>
      </w:r>
      <w:r w:rsidRPr="001017B5">
        <w:rPr>
          <w:sz w:val="20"/>
          <w:szCs w:val="20"/>
          <w:lang w:val="en-AU"/>
        </w:rPr>
        <w:t>U</w:t>
      </w:r>
      <w:r>
        <w:rPr>
          <w:sz w:val="20"/>
          <w:szCs w:val="20"/>
          <w:lang w:val="en-AU"/>
        </w:rPr>
        <w:t xml:space="preserve">MCH </w:t>
      </w:r>
      <w:r w:rsidR="00E379B6">
        <w:rPr>
          <w:sz w:val="20"/>
          <w:szCs w:val="20"/>
          <w:lang w:val="en-AU"/>
        </w:rPr>
        <w:t>p</w:t>
      </w:r>
      <w:r w:rsidR="003079C0">
        <w:rPr>
          <w:sz w:val="20"/>
          <w:szCs w:val="20"/>
          <w:lang w:val="en-AU"/>
        </w:rPr>
        <w:t xml:space="preserve">rogram </w:t>
      </w:r>
      <w:r>
        <w:rPr>
          <w:sz w:val="20"/>
          <w:szCs w:val="20"/>
          <w:lang w:val="en-AU"/>
        </w:rPr>
        <w:t>s</w:t>
      </w:r>
      <w:r w:rsidRPr="001017B5">
        <w:rPr>
          <w:sz w:val="20"/>
          <w:szCs w:val="20"/>
          <w:lang w:val="en-AU"/>
        </w:rPr>
        <w:t>ervice</w:t>
      </w:r>
      <w:r>
        <w:rPr>
          <w:sz w:val="20"/>
          <w:szCs w:val="20"/>
          <w:lang w:val="en-AU"/>
        </w:rPr>
        <w:t xml:space="preserve"> delivery consists of the sum of DET’s contributions to:</w:t>
      </w:r>
    </w:p>
    <w:p w14:paraId="11C26642" w14:textId="3E98AA7E" w:rsidR="00477B25" w:rsidRPr="00B94C44" w:rsidRDefault="00477B25" w:rsidP="00B94C44">
      <w:pPr>
        <w:pStyle w:val="ListParagraph"/>
        <w:numPr>
          <w:ilvl w:val="0"/>
          <w:numId w:val="37"/>
        </w:numPr>
        <w:ind w:left="436"/>
        <w:rPr>
          <w:b/>
          <w:sz w:val="20"/>
          <w:szCs w:val="20"/>
          <w:lang w:val="en-AU"/>
        </w:rPr>
      </w:pPr>
      <w:r w:rsidRPr="00B94C44">
        <w:rPr>
          <w:sz w:val="20"/>
          <w:szCs w:val="20"/>
          <w:lang w:val="en-AU"/>
        </w:rPr>
        <w:t>K</w:t>
      </w:r>
      <w:r w:rsidR="00FD4049" w:rsidRPr="00B94C44">
        <w:rPr>
          <w:sz w:val="20"/>
          <w:szCs w:val="20"/>
          <w:lang w:val="en-AU"/>
        </w:rPr>
        <w:t>ey ages and stages consultation funding</w:t>
      </w:r>
    </w:p>
    <w:p w14:paraId="69D99B1C" w14:textId="0CA13957" w:rsidR="00477B25" w:rsidRPr="00B94C44" w:rsidRDefault="00477B25" w:rsidP="00B94C44">
      <w:pPr>
        <w:pStyle w:val="ListParagraph"/>
        <w:numPr>
          <w:ilvl w:val="0"/>
          <w:numId w:val="37"/>
        </w:numPr>
        <w:ind w:left="436"/>
        <w:rPr>
          <w:b/>
          <w:sz w:val="20"/>
          <w:szCs w:val="20"/>
          <w:lang w:val="en-AU"/>
        </w:rPr>
      </w:pPr>
      <w:r w:rsidRPr="00B94C44">
        <w:rPr>
          <w:sz w:val="20"/>
          <w:szCs w:val="20"/>
          <w:lang w:val="en-AU"/>
        </w:rPr>
        <w:t>Flexible service capacity</w:t>
      </w:r>
      <w:r w:rsidR="00FD4049" w:rsidRPr="00B94C44">
        <w:rPr>
          <w:sz w:val="20"/>
          <w:szCs w:val="20"/>
          <w:lang w:val="en-AU"/>
        </w:rPr>
        <w:t xml:space="preserve"> funding</w:t>
      </w:r>
    </w:p>
    <w:p w14:paraId="4E1B9724" w14:textId="05410511" w:rsidR="00FD4049" w:rsidRPr="00B94C44" w:rsidRDefault="00477B25" w:rsidP="00B94C44">
      <w:pPr>
        <w:pStyle w:val="ListParagraph"/>
        <w:numPr>
          <w:ilvl w:val="0"/>
          <w:numId w:val="37"/>
        </w:numPr>
        <w:ind w:left="436"/>
        <w:rPr>
          <w:b/>
          <w:sz w:val="20"/>
          <w:szCs w:val="20"/>
          <w:lang w:val="en-AU"/>
        </w:rPr>
      </w:pPr>
      <w:r w:rsidRPr="00B94C44">
        <w:rPr>
          <w:sz w:val="20"/>
          <w:szCs w:val="20"/>
          <w:lang w:val="en-AU"/>
        </w:rPr>
        <w:t>Additional weightings</w:t>
      </w:r>
      <w:r w:rsidR="00FD4049" w:rsidRPr="00B94C44">
        <w:rPr>
          <w:sz w:val="20"/>
          <w:szCs w:val="20"/>
          <w:lang w:val="en-AU"/>
        </w:rPr>
        <w:t xml:space="preserve"> funding</w:t>
      </w:r>
      <w:r w:rsidR="002B0079" w:rsidRPr="00B94C44">
        <w:rPr>
          <w:sz w:val="20"/>
          <w:szCs w:val="20"/>
          <w:lang w:val="en-AU"/>
        </w:rPr>
        <w:t>.</w:t>
      </w:r>
    </w:p>
    <w:p w14:paraId="4A2CE0E4" w14:textId="58A74AF7" w:rsidR="00FD4049" w:rsidRPr="00FD23BD" w:rsidRDefault="0066101A" w:rsidP="00B94C44">
      <w:pPr>
        <w:rPr>
          <w:sz w:val="20"/>
          <w:szCs w:val="20"/>
          <w:lang w:val="en-AU"/>
        </w:rPr>
      </w:pPr>
      <w:r>
        <w:rPr>
          <w:sz w:val="20"/>
          <w:szCs w:val="20"/>
          <w:lang w:val="en-AU"/>
        </w:rPr>
        <w:t>DET funding for a</w:t>
      </w:r>
      <w:r w:rsidR="00FD4049" w:rsidRPr="00FD4049">
        <w:rPr>
          <w:sz w:val="20"/>
          <w:szCs w:val="20"/>
          <w:lang w:val="en-AU"/>
        </w:rPr>
        <w:t>dditional family violence visits is not included when determining RSG eligibility.</w:t>
      </w:r>
    </w:p>
    <w:p w14:paraId="24F3D30E" w14:textId="6D5FB278" w:rsidR="0066101A" w:rsidRPr="0066101A" w:rsidRDefault="0066101A" w:rsidP="00B94C44">
      <w:pPr>
        <w:pStyle w:val="Heading3"/>
        <w:spacing w:before="0"/>
        <w:rPr>
          <w:rFonts w:asciiTheme="minorHAnsi" w:eastAsiaTheme="minorHAnsi" w:hAnsiTheme="minorHAnsi" w:cstheme="minorBidi"/>
          <w:b w:val="0"/>
          <w:color w:val="auto"/>
          <w:sz w:val="20"/>
          <w:szCs w:val="20"/>
          <w:u w:val="single"/>
          <w:lang w:val="en-AU"/>
        </w:rPr>
      </w:pPr>
      <w:r>
        <w:rPr>
          <w:rFonts w:asciiTheme="minorHAnsi" w:eastAsiaTheme="minorHAnsi" w:hAnsiTheme="minorHAnsi" w:cstheme="minorBidi"/>
          <w:b w:val="0"/>
          <w:color w:val="auto"/>
          <w:sz w:val="20"/>
          <w:szCs w:val="20"/>
          <w:u w:val="single"/>
          <w:lang w:val="en-AU"/>
        </w:rPr>
        <w:t>RSG threshold</w:t>
      </w:r>
    </w:p>
    <w:p w14:paraId="64E717C0" w14:textId="7AC12349" w:rsidR="00477B25" w:rsidRDefault="00477B25" w:rsidP="00B94C44">
      <w:pPr>
        <w:rPr>
          <w:sz w:val="20"/>
          <w:szCs w:val="20"/>
          <w:lang w:val="en-AU"/>
        </w:rPr>
      </w:pPr>
      <w:r>
        <w:rPr>
          <w:sz w:val="20"/>
          <w:szCs w:val="20"/>
          <w:lang w:val="en-AU"/>
        </w:rPr>
        <w:t xml:space="preserve">The </w:t>
      </w:r>
      <w:r w:rsidRPr="00F73512">
        <w:rPr>
          <w:sz w:val="20"/>
          <w:szCs w:val="20"/>
          <w:lang w:val="en-AU"/>
        </w:rPr>
        <w:t>RSG threshold</w:t>
      </w:r>
      <w:r w:rsidR="00BB5E6B">
        <w:rPr>
          <w:sz w:val="20"/>
          <w:szCs w:val="20"/>
          <w:lang w:val="en-AU"/>
        </w:rPr>
        <w:t xml:space="preserve"> in</w:t>
      </w:r>
      <w:r>
        <w:rPr>
          <w:sz w:val="20"/>
          <w:szCs w:val="20"/>
          <w:lang w:val="en-AU"/>
        </w:rPr>
        <w:t xml:space="preserve"> </w:t>
      </w:r>
      <w:r w:rsidR="00C656EC">
        <w:rPr>
          <w:sz w:val="20"/>
          <w:szCs w:val="20"/>
          <w:lang w:val="en-AU"/>
        </w:rPr>
        <w:t>2018</w:t>
      </w:r>
      <w:r w:rsidR="00BB5E6B">
        <w:rPr>
          <w:sz w:val="20"/>
          <w:szCs w:val="20"/>
          <w:lang w:val="en-AU"/>
        </w:rPr>
        <w:t xml:space="preserve">-19 will be </w:t>
      </w:r>
      <w:r w:rsidR="00A10E9F" w:rsidRPr="00A10E9F">
        <w:rPr>
          <w:sz w:val="20"/>
          <w:szCs w:val="20"/>
          <w:lang w:val="en-AU"/>
        </w:rPr>
        <w:t>$31,009</w:t>
      </w:r>
      <w:r w:rsidR="00BB5E6B" w:rsidRPr="00A10E9F">
        <w:rPr>
          <w:sz w:val="20"/>
          <w:szCs w:val="20"/>
          <w:lang w:val="en-AU"/>
        </w:rPr>
        <w:t>.</w:t>
      </w:r>
    </w:p>
    <w:p w14:paraId="0E1B3C5A" w14:textId="77777777" w:rsidR="00BB5E6B" w:rsidRDefault="00BB5E6B" w:rsidP="00B94C44">
      <w:pPr>
        <w:rPr>
          <w:sz w:val="20"/>
          <w:szCs w:val="20"/>
          <w:lang w:val="en-AU"/>
        </w:rPr>
      </w:pPr>
    </w:p>
    <w:p w14:paraId="02AE53B4" w14:textId="14C2DF23" w:rsidR="002B0079" w:rsidRPr="00BB5E6B" w:rsidRDefault="002B0079" w:rsidP="00BB5E6B">
      <w:pPr>
        <w:pStyle w:val="Heading2"/>
        <w:pBdr>
          <w:top w:val="single" w:sz="4" w:space="1" w:color="AF272F" w:themeColor="accent1"/>
        </w:pBdr>
        <w:rPr>
          <w:lang w:val="en-AU"/>
        </w:rPr>
      </w:pPr>
      <w:r w:rsidRPr="00BB5E6B">
        <w:rPr>
          <w:lang w:val="en-AU"/>
        </w:rPr>
        <w:t>fuRTHER INFORMATION</w:t>
      </w:r>
    </w:p>
    <w:p w14:paraId="4812F89B" w14:textId="7125A224" w:rsidR="007677F7" w:rsidRDefault="00FD4049" w:rsidP="008079D1">
      <w:pPr>
        <w:rPr>
          <w:sz w:val="20"/>
          <w:szCs w:val="20"/>
          <w:lang w:val="en-AU"/>
        </w:rPr>
      </w:pPr>
      <w:r>
        <w:rPr>
          <w:sz w:val="20"/>
          <w:szCs w:val="20"/>
          <w:lang w:val="en-AU"/>
        </w:rPr>
        <w:t>For further information</w:t>
      </w:r>
      <w:r w:rsidR="000D4FBD">
        <w:rPr>
          <w:sz w:val="20"/>
          <w:szCs w:val="20"/>
          <w:lang w:val="en-AU"/>
        </w:rPr>
        <w:t>,</w:t>
      </w:r>
      <w:r>
        <w:rPr>
          <w:sz w:val="20"/>
          <w:szCs w:val="20"/>
          <w:lang w:val="en-AU"/>
        </w:rPr>
        <w:t xml:space="preserve"> please contact your DET Early Childhood Performance and Planning Advisor.</w:t>
      </w:r>
    </w:p>
    <w:p w14:paraId="34040F9E" w14:textId="68E30523" w:rsidR="00BB5E6B" w:rsidRDefault="00BB5E6B" w:rsidP="00BB5E6B">
      <w:pPr>
        <w:rPr>
          <w:sz w:val="20"/>
          <w:szCs w:val="20"/>
          <w:lang w:val="en-AU"/>
        </w:rPr>
      </w:pPr>
    </w:p>
    <w:p w14:paraId="1AD7DFF1" w14:textId="77777777" w:rsidR="00BB5E6B" w:rsidRPr="00FD4049" w:rsidRDefault="00BB5E6B" w:rsidP="00BB5E6B">
      <w:pPr>
        <w:pStyle w:val="Intro"/>
        <w:rPr>
          <w:sz w:val="8"/>
          <w:szCs w:val="8"/>
        </w:rPr>
      </w:pPr>
    </w:p>
    <w:p w14:paraId="66B6D539" w14:textId="77777777" w:rsidR="00BB5E6B" w:rsidRDefault="00BB5E6B" w:rsidP="00BB5E6B">
      <w:pPr>
        <w:rPr>
          <w:sz w:val="20"/>
          <w:szCs w:val="20"/>
          <w:lang w:val="en-AU"/>
        </w:rPr>
      </w:pPr>
      <w:r w:rsidRPr="00E04FA1">
        <w:rPr>
          <w:sz w:val="20"/>
          <w:szCs w:val="20"/>
          <w:u w:val="single"/>
          <w:lang w:val="en-AU"/>
        </w:rPr>
        <w:t>Note</w:t>
      </w:r>
      <w:r>
        <w:rPr>
          <w:sz w:val="20"/>
          <w:szCs w:val="20"/>
          <w:lang w:val="en-AU"/>
        </w:rPr>
        <w:t>: The calculations in this fact sheet apply at the whole-of-LGA level. They do not demonstrate methods of funding allocation for service providers delivering services to less than an entire LGA.</w:t>
      </w:r>
    </w:p>
    <w:p w14:paraId="4E8FF2B8" w14:textId="77777777" w:rsidR="00BB5E6B" w:rsidRPr="002C45F8" w:rsidRDefault="00BB5E6B" w:rsidP="008079D1">
      <w:pPr>
        <w:rPr>
          <w:sz w:val="20"/>
          <w:szCs w:val="20"/>
          <w:lang w:val="en-AU"/>
        </w:rPr>
      </w:pPr>
    </w:p>
    <w:sectPr w:rsidR="00BB5E6B" w:rsidRPr="002C45F8" w:rsidSect="006E2B9A">
      <w:headerReference w:type="default" r:id="rId12"/>
      <w:footerReference w:type="even" r:id="rId13"/>
      <w:footerReference w:type="default" r:id="rId14"/>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30411" w14:textId="77777777" w:rsidR="00FD4049" w:rsidRDefault="00FD4049" w:rsidP="003967DD">
      <w:pPr>
        <w:spacing w:after="0"/>
      </w:pPr>
      <w:r>
        <w:separator/>
      </w:r>
    </w:p>
  </w:endnote>
  <w:endnote w:type="continuationSeparator" w:id="0">
    <w:p w14:paraId="0B07FA6A" w14:textId="77777777" w:rsidR="00FD4049" w:rsidRDefault="00FD4049" w:rsidP="003967DD">
      <w:pPr>
        <w:spacing w:after="0"/>
      </w:pPr>
      <w:r>
        <w:continuationSeparator/>
      </w:r>
    </w:p>
  </w:endnote>
  <w:endnote w:type="continuationNotice" w:id="1">
    <w:p w14:paraId="43FE31F0" w14:textId="77777777" w:rsidR="00FD4049" w:rsidRDefault="00FD4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1AB2" w14:textId="77777777" w:rsidR="00FD4049" w:rsidRDefault="00FD4049" w:rsidP="008E21C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921EE9D" w14:textId="77777777" w:rsidR="00FD4049" w:rsidRDefault="00FD4049"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84D97" w14:textId="7D17D13B" w:rsidR="00FD4049" w:rsidRDefault="00FD4049" w:rsidP="008E21C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61AD6">
      <w:rPr>
        <w:rStyle w:val="PageNumber"/>
        <w:noProof/>
      </w:rPr>
      <w:t>4</w:t>
    </w:r>
    <w:r>
      <w:rPr>
        <w:rStyle w:val="PageNumber"/>
      </w:rPr>
      <w:fldChar w:fldCharType="end"/>
    </w:r>
  </w:p>
  <w:p w14:paraId="58F5835A" w14:textId="371F64DE" w:rsidR="00FD4049" w:rsidRPr="006E44E7" w:rsidRDefault="00FD4049" w:rsidP="0050254F">
    <w:pPr>
      <w:pStyle w:val="Footer"/>
      <w:tabs>
        <w:tab w:val="clear" w:pos="4513"/>
        <w:tab w:val="clear" w:pos="9026"/>
        <w:tab w:val="left" w:pos="6660"/>
      </w:tabs>
      <w:ind w:firstLine="993"/>
      <w:rPr>
        <w:color w:val="53565A" w:themeColor="text2"/>
      </w:rPr>
    </w:pPr>
    <w:r w:rsidRPr="006E44E7">
      <w:rPr>
        <w:color w:val="53565A" w:themeColor="text2"/>
      </w:rPr>
      <w:t xml:space="preserve">Fact sheet: </w:t>
    </w:r>
    <w:r>
      <w:rPr>
        <w:color w:val="53565A" w:themeColor="text2"/>
      </w:rPr>
      <w:t>U</w:t>
    </w:r>
    <w:r w:rsidRPr="006E44E7">
      <w:rPr>
        <w:color w:val="53565A" w:themeColor="text2"/>
      </w:rPr>
      <w:t xml:space="preserve">MCH Funding </w:t>
    </w:r>
    <w:r>
      <w:rPr>
        <w:rFonts w:ascii="Calibri" w:hAnsi="Calibri" w:cs="Calibri"/>
        <w:color w:val="53565A" w:themeColor="text2"/>
      </w:rPr>
      <w:t>•</w:t>
    </w:r>
    <w:r>
      <w:rPr>
        <w:color w:val="53565A" w:themeColor="text2"/>
      </w:rPr>
      <w:t xml:space="preserve"> </w:t>
    </w:r>
    <w:r w:rsidR="004B37F5">
      <w:rPr>
        <w:color w:val="53565A" w:themeColor="text2"/>
      </w:rPr>
      <w:t>Release Version 1</w:t>
    </w:r>
    <w:r w:rsidR="00537DD1">
      <w:rPr>
        <w:color w:val="53565A" w:themeColor="text2"/>
      </w:rPr>
      <w:t>2</w:t>
    </w:r>
    <w:r w:rsidR="004B37F5">
      <w:rPr>
        <w:color w:val="53565A" w:themeColor="text2"/>
      </w:rPr>
      <w:t xml:space="preserve"> July</w:t>
    </w:r>
    <w:r w:rsidRPr="006E44E7">
      <w:rPr>
        <w:color w:val="53565A" w:themeColor="text2"/>
      </w:rPr>
      <w:t xml:space="preserve"> 2018</w:t>
    </w:r>
    <w:r>
      <w:rPr>
        <w:color w:val="53565A" w:themeColor="text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3DD1" w14:textId="77777777" w:rsidR="00FD4049" w:rsidRDefault="00FD4049" w:rsidP="003967DD">
      <w:pPr>
        <w:spacing w:after="0"/>
      </w:pPr>
      <w:r>
        <w:separator/>
      </w:r>
    </w:p>
  </w:footnote>
  <w:footnote w:type="continuationSeparator" w:id="0">
    <w:p w14:paraId="4285CAA9" w14:textId="77777777" w:rsidR="00FD4049" w:rsidRDefault="00FD4049" w:rsidP="003967DD">
      <w:pPr>
        <w:spacing w:after="0"/>
      </w:pPr>
      <w:r>
        <w:continuationSeparator/>
      </w:r>
    </w:p>
  </w:footnote>
  <w:footnote w:type="continuationNotice" w:id="1">
    <w:p w14:paraId="56F2C372" w14:textId="77777777" w:rsidR="00FD4049" w:rsidRDefault="00FD4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55E2" w14:textId="77777777" w:rsidR="00FD4049" w:rsidRDefault="00FD4049">
    <w:pPr>
      <w:pStyle w:val="Header"/>
    </w:pPr>
    <w:r>
      <w:rPr>
        <w:noProof/>
        <w:lang w:val="en-AU" w:eastAsia="en-AU"/>
      </w:rPr>
      <w:drawing>
        <wp:anchor distT="0" distB="0" distL="114300" distR="114300" simplePos="0" relativeHeight="251657216" behindDoc="1" locked="0" layoutInCell="1" allowOverlap="1" wp14:anchorId="6AD43523" wp14:editId="6AF86B30">
          <wp:simplePos x="0" y="0"/>
          <wp:positionH relativeFrom="page">
            <wp:align>left</wp:align>
          </wp:positionH>
          <wp:positionV relativeFrom="page">
            <wp:align>top</wp:align>
          </wp:positionV>
          <wp:extent cx="7556400" cy="10692000"/>
          <wp:effectExtent l="0" t="0" r="6985" b="0"/>
          <wp:wrapNone/>
          <wp:docPr id="2" name="Picture 2" title="The Education State: Early Child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E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F75E7"/>
    <w:multiLevelType w:val="hybridMultilevel"/>
    <w:tmpl w:val="0544524C"/>
    <w:lvl w:ilvl="0" w:tplc="B1BC230C">
      <w:start w:val="1"/>
      <w:numFmt w:val="bullet"/>
      <w:lvlText w:val="•"/>
      <w:lvlJc w:val="left"/>
      <w:pPr>
        <w:tabs>
          <w:tab w:val="num" w:pos="720"/>
        </w:tabs>
        <w:ind w:left="720" w:hanging="360"/>
      </w:pPr>
      <w:rPr>
        <w:rFonts w:ascii="Arial" w:hAnsi="Arial" w:hint="default"/>
      </w:rPr>
    </w:lvl>
    <w:lvl w:ilvl="1" w:tplc="EFFE8120" w:tentative="1">
      <w:start w:val="1"/>
      <w:numFmt w:val="bullet"/>
      <w:lvlText w:val="•"/>
      <w:lvlJc w:val="left"/>
      <w:pPr>
        <w:tabs>
          <w:tab w:val="num" w:pos="1440"/>
        </w:tabs>
        <w:ind w:left="1440" w:hanging="360"/>
      </w:pPr>
      <w:rPr>
        <w:rFonts w:ascii="Arial" w:hAnsi="Arial" w:hint="default"/>
      </w:rPr>
    </w:lvl>
    <w:lvl w:ilvl="2" w:tplc="1E865DB2" w:tentative="1">
      <w:start w:val="1"/>
      <w:numFmt w:val="bullet"/>
      <w:lvlText w:val="•"/>
      <w:lvlJc w:val="left"/>
      <w:pPr>
        <w:tabs>
          <w:tab w:val="num" w:pos="2160"/>
        </w:tabs>
        <w:ind w:left="2160" w:hanging="360"/>
      </w:pPr>
      <w:rPr>
        <w:rFonts w:ascii="Arial" w:hAnsi="Arial" w:hint="default"/>
      </w:rPr>
    </w:lvl>
    <w:lvl w:ilvl="3" w:tplc="DBB06B0E" w:tentative="1">
      <w:start w:val="1"/>
      <w:numFmt w:val="bullet"/>
      <w:lvlText w:val="•"/>
      <w:lvlJc w:val="left"/>
      <w:pPr>
        <w:tabs>
          <w:tab w:val="num" w:pos="2880"/>
        </w:tabs>
        <w:ind w:left="2880" w:hanging="360"/>
      </w:pPr>
      <w:rPr>
        <w:rFonts w:ascii="Arial" w:hAnsi="Arial" w:hint="default"/>
      </w:rPr>
    </w:lvl>
    <w:lvl w:ilvl="4" w:tplc="7D6401EE" w:tentative="1">
      <w:start w:val="1"/>
      <w:numFmt w:val="bullet"/>
      <w:lvlText w:val="•"/>
      <w:lvlJc w:val="left"/>
      <w:pPr>
        <w:tabs>
          <w:tab w:val="num" w:pos="3600"/>
        </w:tabs>
        <w:ind w:left="3600" w:hanging="360"/>
      </w:pPr>
      <w:rPr>
        <w:rFonts w:ascii="Arial" w:hAnsi="Arial" w:hint="default"/>
      </w:rPr>
    </w:lvl>
    <w:lvl w:ilvl="5" w:tplc="4A563FC4" w:tentative="1">
      <w:start w:val="1"/>
      <w:numFmt w:val="bullet"/>
      <w:lvlText w:val="•"/>
      <w:lvlJc w:val="left"/>
      <w:pPr>
        <w:tabs>
          <w:tab w:val="num" w:pos="4320"/>
        </w:tabs>
        <w:ind w:left="4320" w:hanging="360"/>
      </w:pPr>
      <w:rPr>
        <w:rFonts w:ascii="Arial" w:hAnsi="Arial" w:hint="default"/>
      </w:rPr>
    </w:lvl>
    <w:lvl w:ilvl="6" w:tplc="B74EC8E2" w:tentative="1">
      <w:start w:val="1"/>
      <w:numFmt w:val="bullet"/>
      <w:lvlText w:val="•"/>
      <w:lvlJc w:val="left"/>
      <w:pPr>
        <w:tabs>
          <w:tab w:val="num" w:pos="5040"/>
        </w:tabs>
        <w:ind w:left="5040" w:hanging="360"/>
      </w:pPr>
      <w:rPr>
        <w:rFonts w:ascii="Arial" w:hAnsi="Arial" w:hint="default"/>
      </w:rPr>
    </w:lvl>
    <w:lvl w:ilvl="7" w:tplc="3C784B3C" w:tentative="1">
      <w:start w:val="1"/>
      <w:numFmt w:val="bullet"/>
      <w:lvlText w:val="•"/>
      <w:lvlJc w:val="left"/>
      <w:pPr>
        <w:tabs>
          <w:tab w:val="num" w:pos="5760"/>
        </w:tabs>
        <w:ind w:left="5760" w:hanging="360"/>
      </w:pPr>
      <w:rPr>
        <w:rFonts w:ascii="Arial" w:hAnsi="Arial" w:hint="default"/>
      </w:rPr>
    </w:lvl>
    <w:lvl w:ilvl="8" w:tplc="C778C6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D46B31"/>
    <w:multiLevelType w:val="hybridMultilevel"/>
    <w:tmpl w:val="CFEACC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764375C"/>
    <w:multiLevelType w:val="hybridMultilevel"/>
    <w:tmpl w:val="1BC833B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080F5B8F"/>
    <w:multiLevelType w:val="hybridMultilevel"/>
    <w:tmpl w:val="8722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B75CF0"/>
    <w:multiLevelType w:val="hybridMultilevel"/>
    <w:tmpl w:val="7D9C3CFA"/>
    <w:lvl w:ilvl="0" w:tplc="A000AF32">
      <w:start w:val="1"/>
      <w:numFmt w:val="bullet"/>
      <w:lvlText w:val="•"/>
      <w:lvlJc w:val="left"/>
      <w:pPr>
        <w:tabs>
          <w:tab w:val="num" w:pos="720"/>
        </w:tabs>
        <w:ind w:left="720" w:hanging="360"/>
      </w:pPr>
      <w:rPr>
        <w:rFonts w:ascii="Arial" w:hAnsi="Arial" w:hint="default"/>
      </w:rPr>
    </w:lvl>
    <w:lvl w:ilvl="1" w:tplc="A1CA416E" w:tentative="1">
      <w:start w:val="1"/>
      <w:numFmt w:val="bullet"/>
      <w:lvlText w:val="•"/>
      <w:lvlJc w:val="left"/>
      <w:pPr>
        <w:tabs>
          <w:tab w:val="num" w:pos="1440"/>
        </w:tabs>
        <w:ind w:left="1440" w:hanging="360"/>
      </w:pPr>
      <w:rPr>
        <w:rFonts w:ascii="Arial" w:hAnsi="Arial" w:hint="default"/>
      </w:rPr>
    </w:lvl>
    <w:lvl w:ilvl="2" w:tplc="7E2CF890" w:tentative="1">
      <w:start w:val="1"/>
      <w:numFmt w:val="bullet"/>
      <w:lvlText w:val="•"/>
      <w:lvlJc w:val="left"/>
      <w:pPr>
        <w:tabs>
          <w:tab w:val="num" w:pos="2160"/>
        </w:tabs>
        <w:ind w:left="2160" w:hanging="360"/>
      </w:pPr>
      <w:rPr>
        <w:rFonts w:ascii="Arial" w:hAnsi="Arial" w:hint="default"/>
      </w:rPr>
    </w:lvl>
    <w:lvl w:ilvl="3" w:tplc="36DC0A5A" w:tentative="1">
      <w:start w:val="1"/>
      <w:numFmt w:val="bullet"/>
      <w:lvlText w:val="•"/>
      <w:lvlJc w:val="left"/>
      <w:pPr>
        <w:tabs>
          <w:tab w:val="num" w:pos="2880"/>
        </w:tabs>
        <w:ind w:left="2880" w:hanging="360"/>
      </w:pPr>
      <w:rPr>
        <w:rFonts w:ascii="Arial" w:hAnsi="Arial" w:hint="default"/>
      </w:rPr>
    </w:lvl>
    <w:lvl w:ilvl="4" w:tplc="626C5116" w:tentative="1">
      <w:start w:val="1"/>
      <w:numFmt w:val="bullet"/>
      <w:lvlText w:val="•"/>
      <w:lvlJc w:val="left"/>
      <w:pPr>
        <w:tabs>
          <w:tab w:val="num" w:pos="3600"/>
        </w:tabs>
        <w:ind w:left="3600" w:hanging="360"/>
      </w:pPr>
      <w:rPr>
        <w:rFonts w:ascii="Arial" w:hAnsi="Arial" w:hint="default"/>
      </w:rPr>
    </w:lvl>
    <w:lvl w:ilvl="5" w:tplc="3CCE0B1C" w:tentative="1">
      <w:start w:val="1"/>
      <w:numFmt w:val="bullet"/>
      <w:lvlText w:val="•"/>
      <w:lvlJc w:val="left"/>
      <w:pPr>
        <w:tabs>
          <w:tab w:val="num" w:pos="4320"/>
        </w:tabs>
        <w:ind w:left="4320" w:hanging="360"/>
      </w:pPr>
      <w:rPr>
        <w:rFonts w:ascii="Arial" w:hAnsi="Arial" w:hint="default"/>
      </w:rPr>
    </w:lvl>
    <w:lvl w:ilvl="6" w:tplc="7F56A7A6" w:tentative="1">
      <w:start w:val="1"/>
      <w:numFmt w:val="bullet"/>
      <w:lvlText w:val="•"/>
      <w:lvlJc w:val="left"/>
      <w:pPr>
        <w:tabs>
          <w:tab w:val="num" w:pos="5040"/>
        </w:tabs>
        <w:ind w:left="5040" w:hanging="360"/>
      </w:pPr>
      <w:rPr>
        <w:rFonts w:ascii="Arial" w:hAnsi="Arial" w:hint="default"/>
      </w:rPr>
    </w:lvl>
    <w:lvl w:ilvl="7" w:tplc="0EC4C462" w:tentative="1">
      <w:start w:val="1"/>
      <w:numFmt w:val="bullet"/>
      <w:lvlText w:val="•"/>
      <w:lvlJc w:val="left"/>
      <w:pPr>
        <w:tabs>
          <w:tab w:val="num" w:pos="5760"/>
        </w:tabs>
        <w:ind w:left="5760" w:hanging="360"/>
      </w:pPr>
      <w:rPr>
        <w:rFonts w:ascii="Arial" w:hAnsi="Arial" w:hint="default"/>
      </w:rPr>
    </w:lvl>
    <w:lvl w:ilvl="8" w:tplc="5C4C25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EE273E"/>
    <w:multiLevelType w:val="hybridMultilevel"/>
    <w:tmpl w:val="6A06E518"/>
    <w:lvl w:ilvl="0" w:tplc="512EB6B0">
      <w:start w:val="1"/>
      <w:numFmt w:val="bullet"/>
      <w:lvlText w:val="•"/>
      <w:lvlJc w:val="left"/>
      <w:pPr>
        <w:tabs>
          <w:tab w:val="num" w:pos="720"/>
        </w:tabs>
        <w:ind w:left="720" w:hanging="360"/>
      </w:pPr>
      <w:rPr>
        <w:rFonts w:ascii="Arial" w:hAnsi="Arial" w:hint="default"/>
      </w:rPr>
    </w:lvl>
    <w:lvl w:ilvl="1" w:tplc="FA7854C0" w:tentative="1">
      <w:start w:val="1"/>
      <w:numFmt w:val="bullet"/>
      <w:lvlText w:val="•"/>
      <w:lvlJc w:val="left"/>
      <w:pPr>
        <w:tabs>
          <w:tab w:val="num" w:pos="1440"/>
        </w:tabs>
        <w:ind w:left="1440" w:hanging="360"/>
      </w:pPr>
      <w:rPr>
        <w:rFonts w:ascii="Arial" w:hAnsi="Arial" w:hint="default"/>
      </w:rPr>
    </w:lvl>
    <w:lvl w:ilvl="2" w:tplc="AB52F9B4" w:tentative="1">
      <w:start w:val="1"/>
      <w:numFmt w:val="bullet"/>
      <w:lvlText w:val="•"/>
      <w:lvlJc w:val="left"/>
      <w:pPr>
        <w:tabs>
          <w:tab w:val="num" w:pos="2160"/>
        </w:tabs>
        <w:ind w:left="2160" w:hanging="360"/>
      </w:pPr>
      <w:rPr>
        <w:rFonts w:ascii="Arial" w:hAnsi="Arial" w:hint="default"/>
      </w:rPr>
    </w:lvl>
    <w:lvl w:ilvl="3" w:tplc="0E841E46" w:tentative="1">
      <w:start w:val="1"/>
      <w:numFmt w:val="bullet"/>
      <w:lvlText w:val="•"/>
      <w:lvlJc w:val="left"/>
      <w:pPr>
        <w:tabs>
          <w:tab w:val="num" w:pos="2880"/>
        </w:tabs>
        <w:ind w:left="2880" w:hanging="360"/>
      </w:pPr>
      <w:rPr>
        <w:rFonts w:ascii="Arial" w:hAnsi="Arial" w:hint="default"/>
      </w:rPr>
    </w:lvl>
    <w:lvl w:ilvl="4" w:tplc="DEA26C54" w:tentative="1">
      <w:start w:val="1"/>
      <w:numFmt w:val="bullet"/>
      <w:lvlText w:val="•"/>
      <w:lvlJc w:val="left"/>
      <w:pPr>
        <w:tabs>
          <w:tab w:val="num" w:pos="3600"/>
        </w:tabs>
        <w:ind w:left="3600" w:hanging="360"/>
      </w:pPr>
      <w:rPr>
        <w:rFonts w:ascii="Arial" w:hAnsi="Arial" w:hint="default"/>
      </w:rPr>
    </w:lvl>
    <w:lvl w:ilvl="5" w:tplc="3B246496" w:tentative="1">
      <w:start w:val="1"/>
      <w:numFmt w:val="bullet"/>
      <w:lvlText w:val="•"/>
      <w:lvlJc w:val="left"/>
      <w:pPr>
        <w:tabs>
          <w:tab w:val="num" w:pos="4320"/>
        </w:tabs>
        <w:ind w:left="4320" w:hanging="360"/>
      </w:pPr>
      <w:rPr>
        <w:rFonts w:ascii="Arial" w:hAnsi="Arial" w:hint="default"/>
      </w:rPr>
    </w:lvl>
    <w:lvl w:ilvl="6" w:tplc="69A8AE3A" w:tentative="1">
      <w:start w:val="1"/>
      <w:numFmt w:val="bullet"/>
      <w:lvlText w:val="•"/>
      <w:lvlJc w:val="left"/>
      <w:pPr>
        <w:tabs>
          <w:tab w:val="num" w:pos="5040"/>
        </w:tabs>
        <w:ind w:left="5040" w:hanging="360"/>
      </w:pPr>
      <w:rPr>
        <w:rFonts w:ascii="Arial" w:hAnsi="Arial" w:hint="default"/>
      </w:rPr>
    </w:lvl>
    <w:lvl w:ilvl="7" w:tplc="590C790A" w:tentative="1">
      <w:start w:val="1"/>
      <w:numFmt w:val="bullet"/>
      <w:lvlText w:val="•"/>
      <w:lvlJc w:val="left"/>
      <w:pPr>
        <w:tabs>
          <w:tab w:val="num" w:pos="5760"/>
        </w:tabs>
        <w:ind w:left="5760" w:hanging="360"/>
      </w:pPr>
      <w:rPr>
        <w:rFonts w:ascii="Arial" w:hAnsi="Arial" w:hint="default"/>
      </w:rPr>
    </w:lvl>
    <w:lvl w:ilvl="8" w:tplc="FD88E4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300080"/>
    <w:multiLevelType w:val="hybridMultilevel"/>
    <w:tmpl w:val="D7D810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BBA5972"/>
    <w:multiLevelType w:val="hybridMultilevel"/>
    <w:tmpl w:val="C85893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4F1D42"/>
    <w:multiLevelType w:val="hybridMultilevel"/>
    <w:tmpl w:val="68D88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5A446B"/>
    <w:multiLevelType w:val="hybridMultilevel"/>
    <w:tmpl w:val="0CB493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1D11548"/>
    <w:multiLevelType w:val="hybridMultilevel"/>
    <w:tmpl w:val="47A8561A"/>
    <w:lvl w:ilvl="0" w:tplc="B8C29F74">
      <w:start w:val="1"/>
      <w:numFmt w:val="bullet"/>
      <w:lvlText w:val="•"/>
      <w:lvlJc w:val="left"/>
      <w:pPr>
        <w:tabs>
          <w:tab w:val="num" w:pos="720"/>
        </w:tabs>
        <w:ind w:left="720" w:hanging="360"/>
      </w:pPr>
      <w:rPr>
        <w:rFonts w:ascii="Arial" w:hAnsi="Arial" w:hint="default"/>
      </w:rPr>
    </w:lvl>
    <w:lvl w:ilvl="1" w:tplc="D2708D42" w:tentative="1">
      <w:start w:val="1"/>
      <w:numFmt w:val="bullet"/>
      <w:lvlText w:val="•"/>
      <w:lvlJc w:val="left"/>
      <w:pPr>
        <w:tabs>
          <w:tab w:val="num" w:pos="1440"/>
        </w:tabs>
        <w:ind w:left="1440" w:hanging="360"/>
      </w:pPr>
      <w:rPr>
        <w:rFonts w:ascii="Arial" w:hAnsi="Arial" w:hint="default"/>
      </w:rPr>
    </w:lvl>
    <w:lvl w:ilvl="2" w:tplc="915E6988" w:tentative="1">
      <w:start w:val="1"/>
      <w:numFmt w:val="bullet"/>
      <w:lvlText w:val="•"/>
      <w:lvlJc w:val="left"/>
      <w:pPr>
        <w:tabs>
          <w:tab w:val="num" w:pos="2160"/>
        </w:tabs>
        <w:ind w:left="2160" w:hanging="360"/>
      </w:pPr>
      <w:rPr>
        <w:rFonts w:ascii="Arial" w:hAnsi="Arial" w:hint="default"/>
      </w:rPr>
    </w:lvl>
    <w:lvl w:ilvl="3" w:tplc="F43AD654" w:tentative="1">
      <w:start w:val="1"/>
      <w:numFmt w:val="bullet"/>
      <w:lvlText w:val="•"/>
      <w:lvlJc w:val="left"/>
      <w:pPr>
        <w:tabs>
          <w:tab w:val="num" w:pos="2880"/>
        </w:tabs>
        <w:ind w:left="2880" w:hanging="360"/>
      </w:pPr>
      <w:rPr>
        <w:rFonts w:ascii="Arial" w:hAnsi="Arial" w:hint="default"/>
      </w:rPr>
    </w:lvl>
    <w:lvl w:ilvl="4" w:tplc="CDA0150C" w:tentative="1">
      <w:start w:val="1"/>
      <w:numFmt w:val="bullet"/>
      <w:lvlText w:val="•"/>
      <w:lvlJc w:val="left"/>
      <w:pPr>
        <w:tabs>
          <w:tab w:val="num" w:pos="3600"/>
        </w:tabs>
        <w:ind w:left="3600" w:hanging="360"/>
      </w:pPr>
      <w:rPr>
        <w:rFonts w:ascii="Arial" w:hAnsi="Arial" w:hint="default"/>
      </w:rPr>
    </w:lvl>
    <w:lvl w:ilvl="5" w:tplc="E2CEB362" w:tentative="1">
      <w:start w:val="1"/>
      <w:numFmt w:val="bullet"/>
      <w:lvlText w:val="•"/>
      <w:lvlJc w:val="left"/>
      <w:pPr>
        <w:tabs>
          <w:tab w:val="num" w:pos="4320"/>
        </w:tabs>
        <w:ind w:left="4320" w:hanging="360"/>
      </w:pPr>
      <w:rPr>
        <w:rFonts w:ascii="Arial" w:hAnsi="Arial" w:hint="default"/>
      </w:rPr>
    </w:lvl>
    <w:lvl w:ilvl="6" w:tplc="30DAA06C" w:tentative="1">
      <w:start w:val="1"/>
      <w:numFmt w:val="bullet"/>
      <w:lvlText w:val="•"/>
      <w:lvlJc w:val="left"/>
      <w:pPr>
        <w:tabs>
          <w:tab w:val="num" w:pos="5040"/>
        </w:tabs>
        <w:ind w:left="5040" w:hanging="360"/>
      </w:pPr>
      <w:rPr>
        <w:rFonts w:ascii="Arial" w:hAnsi="Arial" w:hint="default"/>
      </w:rPr>
    </w:lvl>
    <w:lvl w:ilvl="7" w:tplc="E35CE8FC" w:tentative="1">
      <w:start w:val="1"/>
      <w:numFmt w:val="bullet"/>
      <w:lvlText w:val="•"/>
      <w:lvlJc w:val="left"/>
      <w:pPr>
        <w:tabs>
          <w:tab w:val="num" w:pos="5760"/>
        </w:tabs>
        <w:ind w:left="5760" w:hanging="360"/>
      </w:pPr>
      <w:rPr>
        <w:rFonts w:ascii="Arial" w:hAnsi="Arial" w:hint="default"/>
      </w:rPr>
    </w:lvl>
    <w:lvl w:ilvl="8" w:tplc="C2DCE3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4B976EF"/>
    <w:multiLevelType w:val="hybridMultilevel"/>
    <w:tmpl w:val="0972C27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26902D00"/>
    <w:multiLevelType w:val="hybridMultilevel"/>
    <w:tmpl w:val="41326BCA"/>
    <w:lvl w:ilvl="0" w:tplc="8BA0E902">
      <w:start w:val="1"/>
      <w:numFmt w:val="bullet"/>
      <w:lvlText w:val="•"/>
      <w:lvlJc w:val="left"/>
      <w:pPr>
        <w:tabs>
          <w:tab w:val="num" w:pos="720"/>
        </w:tabs>
        <w:ind w:left="720" w:hanging="360"/>
      </w:pPr>
      <w:rPr>
        <w:rFonts w:ascii="Arial" w:hAnsi="Arial" w:hint="default"/>
      </w:rPr>
    </w:lvl>
    <w:lvl w:ilvl="1" w:tplc="95545BF2" w:tentative="1">
      <w:start w:val="1"/>
      <w:numFmt w:val="bullet"/>
      <w:lvlText w:val="•"/>
      <w:lvlJc w:val="left"/>
      <w:pPr>
        <w:tabs>
          <w:tab w:val="num" w:pos="1440"/>
        </w:tabs>
        <w:ind w:left="1440" w:hanging="360"/>
      </w:pPr>
      <w:rPr>
        <w:rFonts w:ascii="Arial" w:hAnsi="Arial" w:hint="default"/>
      </w:rPr>
    </w:lvl>
    <w:lvl w:ilvl="2" w:tplc="D2521360" w:tentative="1">
      <w:start w:val="1"/>
      <w:numFmt w:val="bullet"/>
      <w:lvlText w:val="•"/>
      <w:lvlJc w:val="left"/>
      <w:pPr>
        <w:tabs>
          <w:tab w:val="num" w:pos="2160"/>
        </w:tabs>
        <w:ind w:left="2160" w:hanging="360"/>
      </w:pPr>
      <w:rPr>
        <w:rFonts w:ascii="Arial" w:hAnsi="Arial" w:hint="default"/>
      </w:rPr>
    </w:lvl>
    <w:lvl w:ilvl="3" w:tplc="D21C1640" w:tentative="1">
      <w:start w:val="1"/>
      <w:numFmt w:val="bullet"/>
      <w:lvlText w:val="•"/>
      <w:lvlJc w:val="left"/>
      <w:pPr>
        <w:tabs>
          <w:tab w:val="num" w:pos="2880"/>
        </w:tabs>
        <w:ind w:left="2880" w:hanging="360"/>
      </w:pPr>
      <w:rPr>
        <w:rFonts w:ascii="Arial" w:hAnsi="Arial" w:hint="default"/>
      </w:rPr>
    </w:lvl>
    <w:lvl w:ilvl="4" w:tplc="0C905334" w:tentative="1">
      <w:start w:val="1"/>
      <w:numFmt w:val="bullet"/>
      <w:lvlText w:val="•"/>
      <w:lvlJc w:val="left"/>
      <w:pPr>
        <w:tabs>
          <w:tab w:val="num" w:pos="3600"/>
        </w:tabs>
        <w:ind w:left="3600" w:hanging="360"/>
      </w:pPr>
      <w:rPr>
        <w:rFonts w:ascii="Arial" w:hAnsi="Arial" w:hint="default"/>
      </w:rPr>
    </w:lvl>
    <w:lvl w:ilvl="5" w:tplc="42A4F42C" w:tentative="1">
      <w:start w:val="1"/>
      <w:numFmt w:val="bullet"/>
      <w:lvlText w:val="•"/>
      <w:lvlJc w:val="left"/>
      <w:pPr>
        <w:tabs>
          <w:tab w:val="num" w:pos="4320"/>
        </w:tabs>
        <w:ind w:left="4320" w:hanging="360"/>
      </w:pPr>
      <w:rPr>
        <w:rFonts w:ascii="Arial" w:hAnsi="Arial" w:hint="default"/>
      </w:rPr>
    </w:lvl>
    <w:lvl w:ilvl="6" w:tplc="E738E368" w:tentative="1">
      <w:start w:val="1"/>
      <w:numFmt w:val="bullet"/>
      <w:lvlText w:val="•"/>
      <w:lvlJc w:val="left"/>
      <w:pPr>
        <w:tabs>
          <w:tab w:val="num" w:pos="5040"/>
        </w:tabs>
        <w:ind w:left="5040" w:hanging="360"/>
      </w:pPr>
      <w:rPr>
        <w:rFonts w:ascii="Arial" w:hAnsi="Arial" w:hint="default"/>
      </w:rPr>
    </w:lvl>
    <w:lvl w:ilvl="7" w:tplc="CB32C00E" w:tentative="1">
      <w:start w:val="1"/>
      <w:numFmt w:val="bullet"/>
      <w:lvlText w:val="•"/>
      <w:lvlJc w:val="left"/>
      <w:pPr>
        <w:tabs>
          <w:tab w:val="num" w:pos="5760"/>
        </w:tabs>
        <w:ind w:left="5760" w:hanging="360"/>
      </w:pPr>
      <w:rPr>
        <w:rFonts w:ascii="Arial" w:hAnsi="Arial" w:hint="default"/>
      </w:rPr>
    </w:lvl>
    <w:lvl w:ilvl="8" w:tplc="6CBCD4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28265F"/>
    <w:multiLevelType w:val="hybridMultilevel"/>
    <w:tmpl w:val="33EC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F79E1"/>
    <w:multiLevelType w:val="hybridMultilevel"/>
    <w:tmpl w:val="E28CC5D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435F43B3"/>
    <w:multiLevelType w:val="hybridMultilevel"/>
    <w:tmpl w:val="D1902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5522AD"/>
    <w:multiLevelType w:val="hybridMultilevel"/>
    <w:tmpl w:val="0E5A0BC0"/>
    <w:lvl w:ilvl="0" w:tplc="1C1A57A8">
      <w:start w:val="1"/>
      <w:numFmt w:val="bullet"/>
      <w:lvlText w:val="•"/>
      <w:lvlJc w:val="left"/>
      <w:pPr>
        <w:tabs>
          <w:tab w:val="num" w:pos="720"/>
        </w:tabs>
        <w:ind w:left="720" w:hanging="360"/>
      </w:pPr>
      <w:rPr>
        <w:rFonts w:ascii="Arial" w:hAnsi="Arial" w:hint="default"/>
      </w:rPr>
    </w:lvl>
    <w:lvl w:ilvl="1" w:tplc="311A028C" w:tentative="1">
      <w:start w:val="1"/>
      <w:numFmt w:val="bullet"/>
      <w:lvlText w:val="•"/>
      <w:lvlJc w:val="left"/>
      <w:pPr>
        <w:tabs>
          <w:tab w:val="num" w:pos="1440"/>
        </w:tabs>
        <w:ind w:left="1440" w:hanging="360"/>
      </w:pPr>
      <w:rPr>
        <w:rFonts w:ascii="Arial" w:hAnsi="Arial" w:hint="default"/>
      </w:rPr>
    </w:lvl>
    <w:lvl w:ilvl="2" w:tplc="1BA29B02" w:tentative="1">
      <w:start w:val="1"/>
      <w:numFmt w:val="bullet"/>
      <w:lvlText w:val="•"/>
      <w:lvlJc w:val="left"/>
      <w:pPr>
        <w:tabs>
          <w:tab w:val="num" w:pos="2160"/>
        </w:tabs>
        <w:ind w:left="2160" w:hanging="360"/>
      </w:pPr>
      <w:rPr>
        <w:rFonts w:ascii="Arial" w:hAnsi="Arial" w:hint="default"/>
      </w:rPr>
    </w:lvl>
    <w:lvl w:ilvl="3" w:tplc="0270E640" w:tentative="1">
      <w:start w:val="1"/>
      <w:numFmt w:val="bullet"/>
      <w:lvlText w:val="•"/>
      <w:lvlJc w:val="left"/>
      <w:pPr>
        <w:tabs>
          <w:tab w:val="num" w:pos="2880"/>
        </w:tabs>
        <w:ind w:left="2880" w:hanging="360"/>
      </w:pPr>
      <w:rPr>
        <w:rFonts w:ascii="Arial" w:hAnsi="Arial" w:hint="default"/>
      </w:rPr>
    </w:lvl>
    <w:lvl w:ilvl="4" w:tplc="BC00F4EE" w:tentative="1">
      <w:start w:val="1"/>
      <w:numFmt w:val="bullet"/>
      <w:lvlText w:val="•"/>
      <w:lvlJc w:val="left"/>
      <w:pPr>
        <w:tabs>
          <w:tab w:val="num" w:pos="3600"/>
        </w:tabs>
        <w:ind w:left="3600" w:hanging="360"/>
      </w:pPr>
      <w:rPr>
        <w:rFonts w:ascii="Arial" w:hAnsi="Arial" w:hint="default"/>
      </w:rPr>
    </w:lvl>
    <w:lvl w:ilvl="5" w:tplc="FA7865FC" w:tentative="1">
      <w:start w:val="1"/>
      <w:numFmt w:val="bullet"/>
      <w:lvlText w:val="•"/>
      <w:lvlJc w:val="left"/>
      <w:pPr>
        <w:tabs>
          <w:tab w:val="num" w:pos="4320"/>
        </w:tabs>
        <w:ind w:left="4320" w:hanging="360"/>
      </w:pPr>
      <w:rPr>
        <w:rFonts w:ascii="Arial" w:hAnsi="Arial" w:hint="default"/>
      </w:rPr>
    </w:lvl>
    <w:lvl w:ilvl="6" w:tplc="0ED8B32A" w:tentative="1">
      <w:start w:val="1"/>
      <w:numFmt w:val="bullet"/>
      <w:lvlText w:val="•"/>
      <w:lvlJc w:val="left"/>
      <w:pPr>
        <w:tabs>
          <w:tab w:val="num" w:pos="5040"/>
        </w:tabs>
        <w:ind w:left="5040" w:hanging="360"/>
      </w:pPr>
      <w:rPr>
        <w:rFonts w:ascii="Arial" w:hAnsi="Arial" w:hint="default"/>
      </w:rPr>
    </w:lvl>
    <w:lvl w:ilvl="7" w:tplc="FDB218BE" w:tentative="1">
      <w:start w:val="1"/>
      <w:numFmt w:val="bullet"/>
      <w:lvlText w:val="•"/>
      <w:lvlJc w:val="left"/>
      <w:pPr>
        <w:tabs>
          <w:tab w:val="num" w:pos="5760"/>
        </w:tabs>
        <w:ind w:left="5760" w:hanging="360"/>
      </w:pPr>
      <w:rPr>
        <w:rFonts w:ascii="Arial" w:hAnsi="Arial" w:hint="default"/>
      </w:rPr>
    </w:lvl>
    <w:lvl w:ilvl="8" w:tplc="ACBE86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36AE3"/>
    <w:multiLevelType w:val="hybridMultilevel"/>
    <w:tmpl w:val="ACE8C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FC3663"/>
    <w:multiLevelType w:val="hybridMultilevel"/>
    <w:tmpl w:val="F7A28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B94FD6"/>
    <w:multiLevelType w:val="hybridMultilevel"/>
    <w:tmpl w:val="2CE25F1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7"/>
  </w:num>
  <w:num w:numId="13">
    <w:abstractNumId w:val="32"/>
  </w:num>
  <w:num w:numId="14">
    <w:abstractNumId w:val="33"/>
  </w:num>
  <w:num w:numId="15">
    <w:abstractNumId w:val="24"/>
  </w:num>
  <w:num w:numId="16">
    <w:abstractNumId w:val="30"/>
  </w:num>
  <w:num w:numId="17">
    <w:abstractNumId w:val="25"/>
  </w:num>
  <w:num w:numId="18">
    <w:abstractNumId w:val="35"/>
  </w:num>
  <w:num w:numId="19">
    <w:abstractNumId w:val="20"/>
  </w:num>
  <w:num w:numId="20">
    <w:abstractNumId w:val="18"/>
  </w:num>
  <w:num w:numId="21">
    <w:abstractNumId w:val="21"/>
  </w:num>
  <w:num w:numId="22">
    <w:abstractNumId w:val="15"/>
  </w:num>
  <w:num w:numId="23">
    <w:abstractNumId w:val="23"/>
  </w:num>
  <w:num w:numId="24">
    <w:abstractNumId w:val="11"/>
  </w:num>
  <w:num w:numId="25">
    <w:abstractNumId w:val="31"/>
  </w:num>
  <w:num w:numId="26">
    <w:abstractNumId w:val="16"/>
  </w:num>
  <w:num w:numId="27">
    <w:abstractNumId w:val="26"/>
  </w:num>
  <w:num w:numId="28">
    <w:abstractNumId w:val="29"/>
  </w:num>
  <w:num w:numId="29">
    <w:abstractNumId w:val="12"/>
  </w:num>
  <w:num w:numId="30">
    <w:abstractNumId w:val="36"/>
  </w:num>
  <w:num w:numId="31">
    <w:abstractNumId w:val="22"/>
  </w:num>
  <w:num w:numId="32">
    <w:abstractNumId w:val="17"/>
  </w:num>
  <w:num w:numId="33">
    <w:abstractNumId w:val="28"/>
  </w:num>
  <w:num w:numId="34">
    <w:abstractNumId w:val="13"/>
  </w:num>
  <w:num w:numId="35">
    <w:abstractNumId w:val="19"/>
  </w:num>
  <w:num w:numId="36">
    <w:abstractNumId w:val="1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4A54"/>
    <w:rsid w:val="00013339"/>
    <w:rsid w:val="000202B8"/>
    <w:rsid w:val="00023D41"/>
    <w:rsid w:val="000303AB"/>
    <w:rsid w:val="000329C2"/>
    <w:rsid w:val="000437DE"/>
    <w:rsid w:val="00051732"/>
    <w:rsid w:val="00061CA5"/>
    <w:rsid w:val="00081639"/>
    <w:rsid w:val="00096726"/>
    <w:rsid w:val="00097A42"/>
    <w:rsid w:val="000A47D4"/>
    <w:rsid w:val="000B5383"/>
    <w:rsid w:val="000C2E41"/>
    <w:rsid w:val="000D3904"/>
    <w:rsid w:val="000D4FBD"/>
    <w:rsid w:val="001017B5"/>
    <w:rsid w:val="001021FD"/>
    <w:rsid w:val="00122369"/>
    <w:rsid w:val="00134A86"/>
    <w:rsid w:val="00150E0F"/>
    <w:rsid w:val="00174D14"/>
    <w:rsid w:val="001A5CD4"/>
    <w:rsid w:val="001B74A7"/>
    <w:rsid w:val="001C0F7E"/>
    <w:rsid w:val="001D0A63"/>
    <w:rsid w:val="001D13F9"/>
    <w:rsid w:val="001E00D3"/>
    <w:rsid w:val="001F5EB8"/>
    <w:rsid w:val="00202788"/>
    <w:rsid w:val="0021282F"/>
    <w:rsid w:val="0024022A"/>
    <w:rsid w:val="00261AD6"/>
    <w:rsid w:val="00285D69"/>
    <w:rsid w:val="002A03D5"/>
    <w:rsid w:val="002A4A96"/>
    <w:rsid w:val="002B0079"/>
    <w:rsid w:val="002B324F"/>
    <w:rsid w:val="002C45F8"/>
    <w:rsid w:val="002D0B15"/>
    <w:rsid w:val="002E3BED"/>
    <w:rsid w:val="0030158D"/>
    <w:rsid w:val="00302B20"/>
    <w:rsid w:val="0030463B"/>
    <w:rsid w:val="003079C0"/>
    <w:rsid w:val="00312720"/>
    <w:rsid w:val="00320A17"/>
    <w:rsid w:val="00322406"/>
    <w:rsid w:val="0032327F"/>
    <w:rsid w:val="00330D25"/>
    <w:rsid w:val="00346F8F"/>
    <w:rsid w:val="003510AF"/>
    <w:rsid w:val="003562E4"/>
    <w:rsid w:val="00383EED"/>
    <w:rsid w:val="0038533E"/>
    <w:rsid w:val="003967DD"/>
    <w:rsid w:val="003B76DD"/>
    <w:rsid w:val="003C25EF"/>
    <w:rsid w:val="003E3079"/>
    <w:rsid w:val="00436703"/>
    <w:rsid w:val="004575C2"/>
    <w:rsid w:val="0046002F"/>
    <w:rsid w:val="004702C5"/>
    <w:rsid w:val="00471029"/>
    <w:rsid w:val="00472570"/>
    <w:rsid w:val="00477B25"/>
    <w:rsid w:val="00481C8F"/>
    <w:rsid w:val="0048401B"/>
    <w:rsid w:val="00484B36"/>
    <w:rsid w:val="004A61FA"/>
    <w:rsid w:val="004B2ED6"/>
    <w:rsid w:val="004B37F5"/>
    <w:rsid w:val="004D2A75"/>
    <w:rsid w:val="004E45BA"/>
    <w:rsid w:val="004F4733"/>
    <w:rsid w:val="0050254F"/>
    <w:rsid w:val="00514D5B"/>
    <w:rsid w:val="00537DD1"/>
    <w:rsid w:val="005622C4"/>
    <w:rsid w:val="00562562"/>
    <w:rsid w:val="00564AA0"/>
    <w:rsid w:val="00571D98"/>
    <w:rsid w:val="00574CD3"/>
    <w:rsid w:val="00584366"/>
    <w:rsid w:val="00594EA5"/>
    <w:rsid w:val="005A160C"/>
    <w:rsid w:val="005A4F12"/>
    <w:rsid w:val="005B19B0"/>
    <w:rsid w:val="005B2832"/>
    <w:rsid w:val="005B2FA2"/>
    <w:rsid w:val="005D726E"/>
    <w:rsid w:val="005F4263"/>
    <w:rsid w:val="00624A55"/>
    <w:rsid w:val="00626766"/>
    <w:rsid w:val="00634969"/>
    <w:rsid w:val="006405C6"/>
    <w:rsid w:val="0066101A"/>
    <w:rsid w:val="006671CE"/>
    <w:rsid w:val="006A25AC"/>
    <w:rsid w:val="006A6858"/>
    <w:rsid w:val="006B35C2"/>
    <w:rsid w:val="006B54DF"/>
    <w:rsid w:val="006D462F"/>
    <w:rsid w:val="006D4CDD"/>
    <w:rsid w:val="006D5C39"/>
    <w:rsid w:val="006D715F"/>
    <w:rsid w:val="006E2B9A"/>
    <w:rsid w:val="006E44E7"/>
    <w:rsid w:val="00724003"/>
    <w:rsid w:val="00732550"/>
    <w:rsid w:val="00742C00"/>
    <w:rsid w:val="00747937"/>
    <w:rsid w:val="007677F7"/>
    <w:rsid w:val="007856DD"/>
    <w:rsid w:val="00793340"/>
    <w:rsid w:val="00796E05"/>
    <w:rsid w:val="007A5602"/>
    <w:rsid w:val="007B556E"/>
    <w:rsid w:val="007C2332"/>
    <w:rsid w:val="007D3E38"/>
    <w:rsid w:val="007E6D51"/>
    <w:rsid w:val="007F6BC1"/>
    <w:rsid w:val="008006DC"/>
    <w:rsid w:val="008051E5"/>
    <w:rsid w:val="008065DA"/>
    <w:rsid w:val="008079D1"/>
    <w:rsid w:val="00815F4C"/>
    <w:rsid w:val="008273F8"/>
    <w:rsid w:val="00842402"/>
    <w:rsid w:val="008475A7"/>
    <w:rsid w:val="00852CC6"/>
    <w:rsid w:val="00861F1A"/>
    <w:rsid w:val="00873138"/>
    <w:rsid w:val="00890DA6"/>
    <w:rsid w:val="008B1737"/>
    <w:rsid w:val="008D2B42"/>
    <w:rsid w:val="008D7348"/>
    <w:rsid w:val="008E21C8"/>
    <w:rsid w:val="009302CD"/>
    <w:rsid w:val="00932F57"/>
    <w:rsid w:val="00934AB7"/>
    <w:rsid w:val="00935A58"/>
    <w:rsid w:val="0095380A"/>
    <w:rsid w:val="009748D9"/>
    <w:rsid w:val="0098510D"/>
    <w:rsid w:val="00993D07"/>
    <w:rsid w:val="009A10B1"/>
    <w:rsid w:val="009B4B3B"/>
    <w:rsid w:val="009D5014"/>
    <w:rsid w:val="00A10E9F"/>
    <w:rsid w:val="00A15543"/>
    <w:rsid w:val="00A20169"/>
    <w:rsid w:val="00A2090F"/>
    <w:rsid w:val="00A219DE"/>
    <w:rsid w:val="00A21F3B"/>
    <w:rsid w:val="00A221AE"/>
    <w:rsid w:val="00A275EF"/>
    <w:rsid w:val="00A27FC3"/>
    <w:rsid w:val="00A31926"/>
    <w:rsid w:val="00A57241"/>
    <w:rsid w:val="00A710DF"/>
    <w:rsid w:val="00A80610"/>
    <w:rsid w:val="00A82DCF"/>
    <w:rsid w:val="00AC089A"/>
    <w:rsid w:val="00AD3BD8"/>
    <w:rsid w:val="00AD4F89"/>
    <w:rsid w:val="00AF437D"/>
    <w:rsid w:val="00AF6E6E"/>
    <w:rsid w:val="00B00C7E"/>
    <w:rsid w:val="00B11AF4"/>
    <w:rsid w:val="00B1261E"/>
    <w:rsid w:val="00B65A4C"/>
    <w:rsid w:val="00B70197"/>
    <w:rsid w:val="00B94C44"/>
    <w:rsid w:val="00BA4C10"/>
    <w:rsid w:val="00BB120B"/>
    <w:rsid w:val="00BB5E6B"/>
    <w:rsid w:val="00BC3244"/>
    <w:rsid w:val="00BC4095"/>
    <w:rsid w:val="00BD234C"/>
    <w:rsid w:val="00BE5508"/>
    <w:rsid w:val="00C11F0D"/>
    <w:rsid w:val="00C20760"/>
    <w:rsid w:val="00C37929"/>
    <w:rsid w:val="00C37A55"/>
    <w:rsid w:val="00C656EC"/>
    <w:rsid w:val="00C819EA"/>
    <w:rsid w:val="00C907A7"/>
    <w:rsid w:val="00C94228"/>
    <w:rsid w:val="00C95070"/>
    <w:rsid w:val="00CA0341"/>
    <w:rsid w:val="00CB1C6C"/>
    <w:rsid w:val="00CC3E89"/>
    <w:rsid w:val="00CE3C3D"/>
    <w:rsid w:val="00D04853"/>
    <w:rsid w:val="00D133A9"/>
    <w:rsid w:val="00D3000E"/>
    <w:rsid w:val="00D332FB"/>
    <w:rsid w:val="00D56F60"/>
    <w:rsid w:val="00D62EE5"/>
    <w:rsid w:val="00D82BFE"/>
    <w:rsid w:val="00DA5461"/>
    <w:rsid w:val="00DD7F4B"/>
    <w:rsid w:val="00DF3842"/>
    <w:rsid w:val="00DF723D"/>
    <w:rsid w:val="00E04FA1"/>
    <w:rsid w:val="00E1692D"/>
    <w:rsid w:val="00E235CB"/>
    <w:rsid w:val="00E34263"/>
    <w:rsid w:val="00E379B6"/>
    <w:rsid w:val="00E44011"/>
    <w:rsid w:val="00E52423"/>
    <w:rsid w:val="00E56259"/>
    <w:rsid w:val="00EA1838"/>
    <w:rsid w:val="00EB77CD"/>
    <w:rsid w:val="00EC5F96"/>
    <w:rsid w:val="00EE2F1F"/>
    <w:rsid w:val="00F16D3A"/>
    <w:rsid w:val="00F26914"/>
    <w:rsid w:val="00F3456E"/>
    <w:rsid w:val="00F442B9"/>
    <w:rsid w:val="00F80FAD"/>
    <w:rsid w:val="00F8199C"/>
    <w:rsid w:val="00FB245B"/>
    <w:rsid w:val="00FD23BD"/>
    <w:rsid w:val="00FD2C55"/>
    <w:rsid w:val="00FD4049"/>
    <w:rsid w:val="00FE455F"/>
    <w:rsid w:val="00FF4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DC2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E6B"/>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ListParagraph">
    <w:name w:val="List Paragraph"/>
    <w:aliases w:val="List Paragraph1,List Paragraph11,Capire List Paragraph,Bullet point,L,Recommendation,DDM Gen Text,List Paragraph - bullets,NFP GP Bulleted List,bullet point list,Bullet points,Content descriptions,Bullet Point,Dot Points,List Bullet 1"/>
    <w:basedOn w:val="Normal"/>
    <w:link w:val="ListParagraphChar"/>
    <w:uiPriority w:val="34"/>
    <w:qFormat/>
    <w:rsid w:val="0030158D"/>
    <w:pPr>
      <w:ind w:left="720"/>
      <w:contextualSpacing/>
    </w:pPr>
  </w:style>
  <w:style w:type="character" w:customStyle="1" w:styleId="ListParagraphChar">
    <w:name w:val="List Paragraph Char"/>
    <w:aliases w:val="List Paragraph1 Char,List Paragraph11 Char,Capire List Paragraph Char,Bullet point Char,L Char,Recommendation Char,DDM Gen Text Char,List Paragraph - bullets Char,NFP GP Bulleted List Char,bullet point list Char,Bullet points Char"/>
    <w:link w:val="ListParagraph"/>
    <w:uiPriority w:val="34"/>
    <w:rsid w:val="00F26914"/>
    <w:rPr>
      <w:sz w:val="22"/>
    </w:rPr>
  </w:style>
  <w:style w:type="character" w:styleId="CommentReference">
    <w:name w:val="annotation reference"/>
    <w:basedOn w:val="DefaultParagraphFont"/>
    <w:uiPriority w:val="99"/>
    <w:semiHidden/>
    <w:unhideWhenUsed/>
    <w:rsid w:val="00E44011"/>
    <w:rPr>
      <w:sz w:val="16"/>
      <w:szCs w:val="16"/>
    </w:rPr>
  </w:style>
  <w:style w:type="paragraph" w:styleId="CommentText">
    <w:name w:val="annotation text"/>
    <w:basedOn w:val="Normal"/>
    <w:link w:val="CommentTextChar"/>
    <w:uiPriority w:val="99"/>
    <w:semiHidden/>
    <w:unhideWhenUsed/>
    <w:rsid w:val="00E44011"/>
    <w:rPr>
      <w:sz w:val="20"/>
      <w:szCs w:val="20"/>
    </w:rPr>
  </w:style>
  <w:style w:type="character" w:customStyle="1" w:styleId="CommentTextChar">
    <w:name w:val="Comment Text Char"/>
    <w:basedOn w:val="DefaultParagraphFont"/>
    <w:link w:val="CommentText"/>
    <w:uiPriority w:val="99"/>
    <w:semiHidden/>
    <w:rsid w:val="00E44011"/>
    <w:rPr>
      <w:sz w:val="20"/>
      <w:szCs w:val="20"/>
    </w:rPr>
  </w:style>
  <w:style w:type="paragraph" w:styleId="CommentSubject">
    <w:name w:val="annotation subject"/>
    <w:basedOn w:val="CommentText"/>
    <w:next w:val="CommentText"/>
    <w:link w:val="CommentSubjectChar"/>
    <w:uiPriority w:val="99"/>
    <w:semiHidden/>
    <w:unhideWhenUsed/>
    <w:rsid w:val="00E44011"/>
    <w:rPr>
      <w:b/>
      <w:bCs/>
    </w:rPr>
  </w:style>
  <w:style w:type="character" w:customStyle="1" w:styleId="CommentSubjectChar">
    <w:name w:val="Comment Subject Char"/>
    <w:basedOn w:val="CommentTextChar"/>
    <w:link w:val="CommentSubject"/>
    <w:uiPriority w:val="99"/>
    <w:semiHidden/>
    <w:rsid w:val="00E44011"/>
    <w:rPr>
      <w:b/>
      <w:bCs/>
      <w:sz w:val="20"/>
      <w:szCs w:val="20"/>
    </w:rPr>
  </w:style>
  <w:style w:type="paragraph" w:styleId="BalloonText">
    <w:name w:val="Balloon Text"/>
    <w:basedOn w:val="Normal"/>
    <w:link w:val="BalloonTextChar"/>
    <w:uiPriority w:val="99"/>
    <w:semiHidden/>
    <w:unhideWhenUsed/>
    <w:rsid w:val="00E440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11"/>
    <w:rPr>
      <w:rFonts w:ascii="Segoe UI" w:hAnsi="Segoe UI" w:cs="Segoe UI"/>
      <w:sz w:val="18"/>
      <w:szCs w:val="18"/>
    </w:rPr>
  </w:style>
  <w:style w:type="paragraph" w:styleId="NormalWeb">
    <w:name w:val="Normal (Web)"/>
    <w:basedOn w:val="Normal"/>
    <w:uiPriority w:val="99"/>
    <w:semiHidden/>
    <w:unhideWhenUsed/>
    <w:rsid w:val="00EE2F1F"/>
    <w:pPr>
      <w:spacing w:before="100" w:beforeAutospacing="1" w:after="100" w:afterAutospacing="1"/>
    </w:pPr>
    <w:rPr>
      <w:rFonts w:ascii="Times New Roman" w:eastAsia="Times New Roman" w:hAnsi="Times New Roman" w:cs="Times New Roman"/>
      <w:sz w:val="24"/>
      <w:lang w:val="en-AU" w:eastAsia="en-AU"/>
    </w:rPr>
  </w:style>
  <w:style w:type="table" w:styleId="TableGridLight">
    <w:name w:val="Grid Table Light"/>
    <w:basedOn w:val="TableNormal"/>
    <w:uiPriority w:val="40"/>
    <w:rsid w:val="004725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46002F"/>
    <w:rPr>
      <w:color w:val="004EA8" w:themeColor="hyperlink"/>
      <w:u w:val="single"/>
    </w:rPr>
  </w:style>
  <w:style w:type="character" w:styleId="FollowedHyperlink">
    <w:name w:val="FollowedHyperlink"/>
    <w:basedOn w:val="DefaultParagraphFont"/>
    <w:uiPriority w:val="99"/>
    <w:semiHidden/>
    <w:unhideWhenUsed/>
    <w:rsid w:val="00A219DE"/>
    <w:rPr>
      <w:color w:val="87189D" w:themeColor="followedHyperlink"/>
      <w:u w:val="single"/>
    </w:rPr>
  </w:style>
  <w:style w:type="paragraph" w:styleId="Revision">
    <w:name w:val="Revision"/>
    <w:hidden/>
    <w:uiPriority w:val="99"/>
    <w:semiHidden/>
    <w:rsid w:val="00A20169"/>
    <w:rPr>
      <w:sz w:val="22"/>
    </w:rPr>
  </w:style>
  <w:style w:type="paragraph" w:styleId="Caption">
    <w:name w:val="caption"/>
    <w:basedOn w:val="Normal"/>
    <w:next w:val="Normal"/>
    <w:uiPriority w:val="35"/>
    <w:unhideWhenUsed/>
    <w:qFormat/>
    <w:rsid w:val="00562562"/>
    <w:pPr>
      <w:spacing w:after="200"/>
    </w:pPr>
    <w:rPr>
      <w:i/>
      <w:iCs/>
      <w:color w:val="53565A" w:themeColor="text2"/>
      <w:sz w:val="18"/>
      <w:szCs w:val="18"/>
    </w:rPr>
  </w:style>
  <w:style w:type="paragraph" w:styleId="EndnoteText">
    <w:name w:val="endnote text"/>
    <w:basedOn w:val="Normal"/>
    <w:link w:val="EndnoteTextChar"/>
    <w:uiPriority w:val="99"/>
    <w:semiHidden/>
    <w:unhideWhenUsed/>
    <w:rsid w:val="00932F57"/>
    <w:pPr>
      <w:spacing w:after="0"/>
    </w:pPr>
    <w:rPr>
      <w:sz w:val="20"/>
      <w:szCs w:val="20"/>
    </w:rPr>
  </w:style>
  <w:style w:type="character" w:customStyle="1" w:styleId="EndnoteTextChar">
    <w:name w:val="Endnote Text Char"/>
    <w:basedOn w:val="DefaultParagraphFont"/>
    <w:link w:val="EndnoteText"/>
    <w:uiPriority w:val="99"/>
    <w:semiHidden/>
    <w:rsid w:val="00932F57"/>
    <w:rPr>
      <w:sz w:val="20"/>
      <w:szCs w:val="20"/>
    </w:rPr>
  </w:style>
  <w:style w:type="character" w:styleId="EndnoteReference">
    <w:name w:val="endnote reference"/>
    <w:basedOn w:val="DefaultParagraphFont"/>
    <w:uiPriority w:val="99"/>
    <w:semiHidden/>
    <w:unhideWhenUsed/>
    <w:rsid w:val="00932F57"/>
    <w:rPr>
      <w:vertAlign w:val="superscript"/>
    </w:rPr>
  </w:style>
  <w:style w:type="paragraph" w:styleId="FootnoteText">
    <w:name w:val="footnote text"/>
    <w:basedOn w:val="Normal"/>
    <w:link w:val="FootnoteTextChar"/>
    <w:uiPriority w:val="99"/>
    <w:semiHidden/>
    <w:unhideWhenUsed/>
    <w:rsid w:val="00932F57"/>
    <w:pPr>
      <w:spacing w:after="0"/>
    </w:pPr>
    <w:rPr>
      <w:sz w:val="20"/>
      <w:szCs w:val="20"/>
    </w:rPr>
  </w:style>
  <w:style w:type="character" w:customStyle="1" w:styleId="FootnoteTextChar">
    <w:name w:val="Footnote Text Char"/>
    <w:basedOn w:val="DefaultParagraphFont"/>
    <w:link w:val="FootnoteText"/>
    <w:uiPriority w:val="99"/>
    <w:semiHidden/>
    <w:rsid w:val="00932F57"/>
    <w:rPr>
      <w:sz w:val="20"/>
      <w:szCs w:val="20"/>
    </w:rPr>
  </w:style>
  <w:style w:type="character" w:styleId="FootnoteReference">
    <w:name w:val="footnote reference"/>
    <w:basedOn w:val="DefaultParagraphFont"/>
    <w:uiPriority w:val="99"/>
    <w:semiHidden/>
    <w:unhideWhenUsed/>
    <w:rsid w:val="00932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5714">
      <w:bodyDiv w:val="1"/>
      <w:marLeft w:val="0"/>
      <w:marRight w:val="0"/>
      <w:marTop w:val="0"/>
      <w:marBottom w:val="0"/>
      <w:divBdr>
        <w:top w:val="none" w:sz="0" w:space="0" w:color="auto"/>
        <w:left w:val="none" w:sz="0" w:space="0" w:color="auto"/>
        <w:bottom w:val="none" w:sz="0" w:space="0" w:color="auto"/>
        <w:right w:val="none" w:sz="0" w:space="0" w:color="auto"/>
      </w:divBdr>
    </w:div>
    <w:div w:id="238291942">
      <w:bodyDiv w:val="1"/>
      <w:marLeft w:val="0"/>
      <w:marRight w:val="0"/>
      <w:marTop w:val="0"/>
      <w:marBottom w:val="0"/>
      <w:divBdr>
        <w:top w:val="none" w:sz="0" w:space="0" w:color="auto"/>
        <w:left w:val="none" w:sz="0" w:space="0" w:color="auto"/>
        <w:bottom w:val="none" w:sz="0" w:space="0" w:color="auto"/>
        <w:right w:val="none" w:sz="0" w:space="0" w:color="auto"/>
      </w:divBdr>
      <w:divsChild>
        <w:div w:id="1913391451">
          <w:marLeft w:val="446"/>
          <w:marRight w:val="0"/>
          <w:marTop w:val="60"/>
          <w:marBottom w:val="60"/>
          <w:divBdr>
            <w:top w:val="none" w:sz="0" w:space="0" w:color="auto"/>
            <w:left w:val="none" w:sz="0" w:space="0" w:color="auto"/>
            <w:bottom w:val="none" w:sz="0" w:space="0" w:color="auto"/>
            <w:right w:val="none" w:sz="0" w:space="0" w:color="auto"/>
          </w:divBdr>
        </w:div>
        <w:div w:id="1693728913">
          <w:marLeft w:val="446"/>
          <w:marRight w:val="0"/>
          <w:marTop w:val="60"/>
          <w:marBottom w:val="60"/>
          <w:divBdr>
            <w:top w:val="none" w:sz="0" w:space="0" w:color="auto"/>
            <w:left w:val="none" w:sz="0" w:space="0" w:color="auto"/>
            <w:bottom w:val="none" w:sz="0" w:space="0" w:color="auto"/>
            <w:right w:val="none" w:sz="0" w:space="0" w:color="auto"/>
          </w:divBdr>
        </w:div>
      </w:divsChild>
    </w:div>
    <w:div w:id="261685416">
      <w:bodyDiv w:val="1"/>
      <w:marLeft w:val="0"/>
      <w:marRight w:val="0"/>
      <w:marTop w:val="0"/>
      <w:marBottom w:val="0"/>
      <w:divBdr>
        <w:top w:val="none" w:sz="0" w:space="0" w:color="auto"/>
        <w:left w:val="none" w:sz="0" w:space="0" w:color="auto"/>
        <w:bottom w:val="none" w:sz="0" w:space="0" w:color="auto"/>
        <w:right w:val="none" w:sz="0" w:space="0" w:color="auto"/>
      </w:divBdr>
      <w:divsChild>
        <w:div w:id="216279521">
          <w:marLeft w:val="274"/>
          <w:marRight w:val="0"/>
          <w:marTop w:val="60"/>
          <w:marBottom w:val="0"/>
          <w:divBdr>
            <w:top w:val="none" w:sz="0" w:space="0" w:color="auto"/>
            <w:left w:val="none" w:sz="0" w:space="0" w:color="auto"/>
            <w:bottom w:val="none" w:sz="0" w:space="0" w:color="auto"/>
            <w:right w:val="none" w:sz="0" w:space="0" w:color="auto"/>
          </w:divBdr>
        </w:div>
        <w:div w:id="1539706458">
          <w:marLeft w:val="274"/>
          <w:marRight w:val="0"/>
          <w:marTop w:val="60"/>
          <w:marBottom w:val="0"/>
          <w:divBdr>
            <w:top w:val="none" w:sz="0" w:space="0" w:color="auto"/>
            <w:left w:val="none" w:sz="0" w:space="0" w:color="auto"/>
            <w:bottom w:val="none" w:sz="0" w:space="0" w:color="auto"/>
            <w:right w:val="none" w:sz="0" w:space="0" w:color="auto"/>
          </w:divBdr>
        </w:div>
      </w:divsChild>
    </w:div>
    <w:div w:id="269778107">
      <w:bodyDiv w:val="1"/>
      <w:marLeft w:val="0"/>
      <w:marRight w:val="0"/>
      <w:marTop w:val="0"/>
      <w:marBottom w:val="0"/>
      <w:divBdr>
        <w:top w:val="none" w:sz="0" w:space="0" w:color="auto"/>
        <w:left w:val="none" w:sz="0" w:space="0" w:color="auto"/>
        <w:bottom w:val="none" w:sz="0" w:space="0" w:color="auto"/>
        <w:right w:val="none" w:sz="0" w:space="0" w:color="auto"/>
      </w:divBdr>
    </w:div>
    <w:div w:id="457261450">
      <w:bodyDiv w:val="1"/>
      <w:marLeft w:val="0"/>
      <w:marRight w:val="0"/>
      <w:marTop w:val="0"/>
      <w:marBottom w:val="0"/>
      <w:divBdr>
        <w:top w:val="none" w:sz="0" w:space="0" w:color="auto"/>
        <w:left w:val="none" w:sz="0" w:space="0" w:color="auto"/>
        <w:bottom w:val="none" w:sz="0" w:space="0" w:color="auto"/>
        <w:right w:val="none" w:sz="0" w:space="0" w:color="auto"/>
      </w:divBdr>
      <w:divsChild>
        <w:div w:id="400636286">
          <w:marLeft w:val="274"/>
          <w:marRight w:val="0"/>
          <w:marTop w:val="60"/>
          <w:marBottom w:val="0"/>
          <w:divBdr>
            <w:top w:val="none" w:sz="0" w:space="0" w:color="auto"/>
            <w:left w:val="none" w:sz="0" w:space="0" w:color="auto"/>
            <w:bottom w:val="none" w:sz="0" w:space="0" w:color="auto"/>
            <w:right w:val="none" w:sz="0" w:space="0" w:color="auto"/>
          </w:divBdr>
        </w:div>
        <w:div w:id="339477595">
          <w:marLeft w:val="274"/>
          <w:marRight w:val="0"/>
          <w:marTop w:val="60"/>
          <w:marBottom w:val="0"/>
          <w:divBdr>
            <w:top w:val="none" w:sz="0" w:space="0" w:color="auto"/>
            <w:left w:val="none" w:sz="0" w:space="0" w:color="auto"/>
            <w:bottom w:val="none" w:sz="0" w:space="0" w:color="auto"/>
            <w:right w:val="none" w:sz="0" w:space="0" w:color="auto"/>
          </w:divBdr>
        </w:div>
      </w:divsChild>
    </w:div>
    <w:div w:id="463735292">
      <w:bodyDiv w:val="1"/>
      <w:marLeft w:val="0"/>
      <w:marRight w:val="0"/>
      <w:marTop w:val="0"/>
      <w:marBottom w:val="0"/>
      <w:divBdr>
        <w:top w:val="none" w:sz="0" w:space="0" w:color="auto"/>
        <w:left w:val="none" w:sz="0" w:space="0" w:color="auto"/>
        <w:bottom w:val="none" w:sz="0" w:space="0" w:color="auto"/>
        <w:right w:val="none" w:sz="0" w:space="0" w:color="auto"/>
      </w:divBdr>
      <w:divsChild>
        <w:div w:id="308095522">
          <w:marLeft w:val="274"/>
          <w:marRight w:val="0"/>
          <w:marTop w:val="60"/>
          <w:marBottom w:val="0"/>
          <w:divBdr>
            <w:top w:val="none" w:sz="0" w:space="0" w:color="auto"/>
            <w:left w:val="none" w:sz="0" w:space="0" w:color="auto"/>
            <w:bottom w:val="none" w:sz="0" w:space="0" w:color="auto"/>
            <w:right w:val="none" w:sz="0" w:space="0" w:color="auto"/>
          </w:divBdr>
        </w:div>
        <w:div w:id="353003314">
          <w:marLeft w:val="274"/>
          <w:marRight w:val="0"/>
          <w:marTop w:val="60"/>
          <w:marBottom w:val="0"/>
          <w:divBdr>
            <w:top w:val="none" w:sz="0" w:space="0" w:color="auto"/>
            <w:left w:val="none" w:sz="0" w:space="0" w:color="auto"/>
            <w:bottom w:val="none" w:sz="0" w:space="0" w:color="auto"/>
            <w:right w:val="none" w:sz="0" w:space="0" w:color="auto"/>
          </w:divBdr>
        </w:div>
      </w:divsChild>
    </w:div>
    <w:div w:id="759253655">
      <w:bodyDiv w:val="1"/>
      <w:marLeft w:val="0"/>
      <w:marRight w:val="0"/>
      <w:marTop w:val="0"/>
      <w:marBottom w:val="0"/>
      <w:divBdr>
        <w:top w:val="none" w:sz="0" w:space="0" w:color="auto"/>
        <w:left w:val="none" w:sz="0" w:space="0" w:color="auto"/>
        <w:bottom w:val="none" w:sz="0" w:space="0" w:color="auto"/>
        <w:right w:val="none" w:sz="0" w:space="0" w:color="auto"/>
      </w:divBdr>
      <w:divsChild>
        <w:div w:id="951598139">
          <w:marLeft w:val="0"/>
          <w:marRight w:val="0"/>
          <w:marTop w:val="60"/>
          <w:marBottom w:val="0"/>
          <w:divBdr>
            <w:top w:val="none" w:sz="0" w:space="0" w:color="auto"/>
            <w:left w:val="none" w:sz="0" w:space="0" w:color="auto"/>
            <w:bottom w:val="none" w:sz="0" w:space="0" w:color="auto"/>
            <w:right w:val="none" w:sz="0" w:space="0" w:color="auto"/>
          </w:divBdr>
        </w:div>
        <w:div w:id="1825125975">
          <w:marLeft w:val="0"/>
          <w:marRight w:val="0"/>
          <w:marTop w:val="60"/>
          <w:marBottom w:val="0"/>
          <w:divBdr>
            <w:top w:val="none" w:sz="0" w:space="0" w:color="auto"/>
            <w:left w:val="none" w:sz="0" w:space="0" w:color="auto"/>
            <w:bottom w:val="none" w:sz="0" w:space="0" w:color="auto"/>
            <w:right w:val="none" w:sz="0" w:space="0" w:color="auto"/>
          </w:divBdr>
        </w:div>
      </w:divsChild>
    </w:div>
    <w:div w:id="1234581312">
      <w:bodyDiv w:val="1"/>
      <w:marLeft w:val="0"/>
      <w:marRight w:val="0"/>
      <w:marTop w:val="0"/>
      <w:marBottom w:val="0"/>
      <w:divBdr>
        <w:top w:val="none" w:sz="0" w:space="0" w:color="auto"/>
        <w:left w:val="none" w:sz="0" w:space="0" w:color="auto"/>
        <w:bottom w:val="none" w:sz="0" w:space="0" w:color="auto"/>
        <w:right w:val="none" w:sz="0" w:space="0" w:color="auto"/>
      </w:divBdr>
      <w:divsChild>
        <w:div w:id="1084566699">
          <w:marLeft w:val="274"/>
          <w:marRight w:val="0"/>
          <w:marTop w:val="60"/>
          <w:marBottom w:val="0"/>
          <w:divBdr>
            <w:top w:val="none" w:sz="0" w:space="0" w:color="auto"/>
            <w:left w:val="none" w:sz="0" w:space="0" w:color="auto"/>
            <w:bottom w:val="none" w:sz="0" w:space="0" w:color="auto"/>
            <w:right w:val="none" w:sz="0" w:space="0" w:color="auto"/>
          </w:divBdr>
        </w:div>
        <w:div w:id="1037463118">
          <w:marLeft w:val="274"/>
          <w:marRight w:val="0"/>
          <w:marTop w:val="60"/>
          <w:marBottom w:val="0"/>
          <w:divBdr>
            <w:top w:val="none" w:sz="0" w:space="0" w:color="auto"/>
            <w:left w:val="none" w:sz="0" w:space="0" w:color="auto"/>
            <w:bottom w:val="none" w:sz="0" w:space="0" w:color="auto"/>
            <w:right w:val="none" w:sz="0" w:space="0" w:color="auto"/>
          </w:divBdr>
        </w:div>
      </w:divsChild>
    </w:div>
    <w:div w:id="1264920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2745">
          <w:marLeft w:val="274"/>
          <w:marRight w:val="0"/>
          <w:marTop w:val="60"/>
          <w:marBottom w:val="0"/>
          <w:divBdr>
            <w:top w:val="none" w:sz="0" w:space="0" w:color="auto"/>
            <w:left w:val="none" w:sz="0" w:space="0" w:color="auto"/>
            <w:bottom w:val="none" w:sz="0" w:space="0" w:color="auto"/>
            <w:right w:val="none" w:sz="0" w:space="0" w:color="auto"/>
          </w:divBdr>
        </w:div>
        <w:div w:id="1833449905">
          <w:marLeft w:val="274"/>
          <w:marRight w:val="0"/>
          <w:marTop w:val="60"/>
          <w:marBottom w:val="0"/>
          <w:divBdr>
            <w:top w:val="none" w:sz="0" w:space="0" w:color="auto"/>
            <w:left w:val="none" w:sz="0" w:space="0" w:color="auto"/>
            <w:bottom w:val="none" w:sz="0" w:space="0" w:color="auto"/>
            <w:right w:val="none" w:sz="0" w:space="0" w:color="auto"/>
          </w:divBdr>
        </w:div>
      </w:divsChild>
    </w:div>
    <w:div w:id="1738279826">
      <w:bodyDiv w:val="1"/>
      <w:marLeft w:val="0"/>
      <w:marRight w:val="0"/>
      <w:marTop w:val="0"/>
      <w:marBottom w:val="0"/>
      <w:divBdr>
        <w:top w:val="none" w:sz="0" w:space="0" w:color="auto"/>
        <w:left w:val="none" w:sz="0" w:space="0" w:color="auto"/>
        <w:bottom w:val="none" w:sz="0" w:space="0" w:color="auto"/>
        <w:right w:val="none" w:sz="0" w:space="0" w:color="auto"/>
      </w:divBdr>
    </w:div>
    <w:div w:id="1817142000">
      <w:bodyDiv w:val="1"/>
      <w:marLeft w:val="0"/>
      <w:marRight w:val="0"/>
      <w:marTop w:val="0"/>
      <w:marBottom w:val="0"/>
      <w:divBdr>
        <w:top w:val="none" w:sz="0" w:space="0" w:color="auto"/>
        <w:left w:val="none" w:sz="0" w:space="0" w:color="auto"/>
        <w:bottom w:val="none" w:sz="0" w:space="0" w:color="auto"/>
        <w:right w:val="none" w:sz="0" w:space="0" w:color="auto"/>
      </w:divBdr>
      <w:divsChild>
        <w:div w:id="280189861">
          <w:marLeft w:val="0"/>
          <w:marRight w:val="0"/>
          <w:marTop w:val="60"/>
          <w:marBottom w:val="0"/>
          <w:divBdr>
            <w:top w:val="none" w:sz="0" w:space="0" w:color="auto"/>
            <w:left w:val="none" w:sz="0" w:space="0" w:color="auto"/>
            <w:bottom w:val="none" w:sz="0" w:space="0" w:color="auto"/>
            <w:right w:val="none" w:sz="0" w:space="0" w:color="auto"/>
          </w:divBdr>
        </w:div>
        <w:div w:id="37122032">
          <w:marLeft w:val="0"/>
          <w:marRight w:val="0"/>
          <w:marTop w:val="60"/>
          <w:marBottom w:val="0"/>
          <w:divBdr>
            <w:top w:val="none" w:sz="0" w:space="0" w:color="auto"/>
            <w:left w:val="none" w:sz="0" w:space="0" w:color="auto"/>
            <w:bottom w:val="none" w:sz="0" w:space="0" w:color="auto"/>
            <w:right w:val="none" w:sz="0" w:space="0" w:color="auto"/>
          </w:divBdr>
        </w:div>
      </w:divsChild>
    </w:div>
    <w:div w:id="1989507200">
      <w:bodyDiv w:val="1"/>
      <w:marLeft w:val="0"/>
      <w:marRight w:val="0"/>
      <w:marTop w:val="0"/>
      <w:marBottom w:val="0"/>
      <w:divBdr>
        <w:top w:val="none" w:sz="0" w:space="0" w:color="auto"/>
        <w:left w:val="none" w:sz="0" w:space="0" w:color="auto"/>
        <w:bottom w:val="none" w:sz="0" w:space="0" w:color="auto"/>
        <w:right w:val="none" w:sz="0" w:space="0" w:color="auto"/>
      </w:divBdr>
    </w:div>
    <w:div w:id="2042902125">
      <w:bodyDiv w:val="1"/>
      <w:marLeft w:val="0"/>
      <w:marRight w:val="0"/>
      <w:marTop w:val="0"/>
      <w:marBottom w:val="0"/>
      <w:divBdr>
        <w:top w:val="none" w:sz="0" w:space="0" w:color="auto"/>
        <w:left w:val="none" w:sz="0" w:space="0" w:color="auto"/>
        <w:bottom w:val="none" w:sz="0" w:space="0" w:color="auto"/>
        <w:right w:val="none" w:sz="0" w:space="0" w:color="auto"/>
      </w:divBdr>
    </w:div>
    <w:div w:id="2117167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Documents/childhood/professionals/health/MOU_DET-MAV_MCH-Service_2017-2020.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A159B-0375-4A8F-910C-2065623CC4E6}"/>
</file>

<file path=customXml/itemProps2.xml><?xml version="1.0" encoding="utf-8"?>
<ds:datastoreItem xmlns:ds="http://schemas.openxmlformats.org/officeDocument/2006/customXml" ds:itemID="{7C9C8E06-0F27-450A-85DD-8FE5127549FA}"/>
</file>

<file path=customXml/itemProps3.xml><?xml version="1.0" encoding="utf-8"?>
<ds:datastoreItem xmlns:ds="http://schemas.openxmlformats.org/officeDocument/2006/customXml" ds:itemID="{12204FAB-C0BC-46BE-B81F-9C63679B1761}"/>
</file>

<file path=customXml/itemProps4.xml><?xml version="1.0" encoding="utf-8"?>
<ds:datastoreItem xmlns:ds="http://schemas.openxmlformats.org/officeDocument/2006/customXml" ds:itemID="{1550A2F5-9586-4A25-B984-FA759188D7F5}"/>
</file>

<file path=docProps/app.xml><?xml version="1.0" encoding="utf-8"?>
<Properties xmlns="http://schemas.openxmlformats.org/officeDocument/2006/extended-properties" xmlns:vt="http://schemas.openxmlformats.org/officeDocument/2006/docPropsVTypes">
  <Template>Normal</Template>
  <TotalTime>43</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Von Carate, Jenna J</cp:lastModifiedBy>
  <cp:revision>9</cp:revision>
  <cp:lastPrinted>2018-05-21T04:37:00Z</cp:lastPrinted>
  <dcterms:created xsi:type="dcterms:W3CDTF">2018-07-12T00:10:00Z</dcterms:created>
  <dcterms:modified xsi:type="dcterms:W3CDTF">2018-07-24T01:00:00Z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