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A9E1" w14:textId="2803A8B6" w:rsidR="00E57F59" w:rsidRDefault="00E57F59" w:rsidP="00917D60">
      <w:pPr>
        <w:pStyle w:val="Heading1"/>
        <w:jc w:val="center"/>
        <w:rPr>
          <w:rFonts w:cstheme="majorHAnsi"/>
          <w:color w:val="auto"/>
        </w:rPr>
      </w:pPr>
      <w:r w:rsidRPr="001121A2">
        <w:rPr>
          <w:rFonts w:cstheme="majorHAnsi"/>
          <w:color w:val="auto"/>
        </w:rPr>
        <w:t xml:space="preserve">Innovation Grants to </w:t>
      </w:r>
      <w:r w:rsidR="005016EE">
        <w:rPr>
          <w:rFonts w:cstheme="majorHAnsi"/>
          <w:color w:val="auto"/>
        </w:rPr>
        <w:t>s</w:t>
      </w:r>
      <w:r w:rsidRPr="001121A2">
        <w:rPr>
          <w:rFonts w:cstheme="majorHAnsi"/>
          <w:color w:val="auto"/>
        </w:rPr>
        <w:t xml:space="preserve">upport </w:t>
      </w:r>
      <w:r w:rsidR="004A4427">
        <w:rPr>
          <w:rFonts w:cstheme="majorHAnsi"/>
          <w:color w:val="auto"/>
        </w:rPr>
        <w:t>E</w:t>
      </w:r>
      <w:r w:rsidRPr="001121A2">
        <w:rPr>
          <w:rFonts w:cstheme="majorHAnsi"/>
          <w:color w:val="auto"/>
        </w:rPr>
        <w:t xml:space="preserve">arly </w:t>
      </w:r>
      <w:r w:rsidR="004A4427">
        <w:rPr>
          <w:rFonts w:cstheme="majorHAnsi"/>
          <w:color w:val="auto"/>
        </w:rPr>
        <w:t>C</w:t>
      </w:r>
      <w:r w:rsidRPr="001121A2">
        <w:rPr>
          <w:rFonts w:cstheme="majorHAnsi"/>
          <w:color w:val="auto"/>
        </w:rPr>
        <w:t xml:space="preserve">areer </w:t>
      </w:r>
      <w:r w:rsidR="004A4427">
        <w:rPr>
          <w:rFonts w:cstheme="majorHAnsi"/>
          <w:color w:val="auto"/>
        </w:rPr>
        <w:t>T</w:t>
      </w:r>
      <w:r w:rsidRPr="001121A2">
        <w:rPr>
          <w:rFonts w:cstheme="majorHAnsi"/>
          <w:color w:val="auto"/>
        </w:rPr>
        <w:t xml:space="preserve">eacher </w:t>
      </w:r>
      <w:r w:rsidR="004A4427">
        <w:rPr>
          <w:rFonts w:cstheme="majorHAnsi"/>
          <w:color w:val="auto"/>
        </w:rPr>
        <w:t>R</w:t>
      </w:r>
      <w:r w:rsidRPr="001121A2">
        <w:rPr>
          <w:rFonts w:cstheme="majorHAnsi"/>
          <w:color w:val="auto"/>
        </w:rPr>
        <w:t>etention</w:t>
      </w:r>
      <w:r>
        <w:rPr>
          <w:rFonts w:cstheme="majorHAnsi"/>
          <w:color w:val="auto"/>
        </w:rPr>
        <w:t xml:space="preserve"> (Innovation Grants)</w:t>
      </w:r>
    </w:p>
    <w:p w14:paraId="4FF5AB13" w14:textId="3BEEB414" w:rsidR="005778FF" w:rsidRDefault="00DD784C" w:rsidP="00917D60">
      <w:pPr>
        <w:pStyle w:val="Heading1"/>
        <w:jc w:val="center"/>
        <w:rPr>
          <w:sz w:val="40"/>
          <w:szCs w:val="40"/>
          <w:lang w:val="en-AU"/>
        </w:rPr>
      </w:pPr>
      <w:r>
        <w:rPr>
          <w:sz w:val="40"/>
          <w:szCs w:val="40"/>
          <w:lang w:val="en-AU"/>
        </w:rPr>
        <w:t xml:space="preserve">Program </w:t>
      </w:r>
      <w:r w:rsidR="00917D60">
        <w:rPr>
          <w:sz w:val="40"/>
          <w:szCs w:val="40"/>
          <w:lang w:val="en-AU"/>
        </w:rPr>
        <w:t xml:space="preserve">Guidelines </w:t>
      </w:r>
    </w:p>
    <w:p w14:paraId="2F963818" w14:textId="7E2B670A" w:rsidR="00392BCE" w:rsidRPr="00A97A1D" w:rsidRDefault="00392BCE" w:rsidP="007750C5">
      <w:pPr>
        <w:pStyle w:val="Heading2"/>
      </w:pPr>
      <w:r w:rsidRPr="00A97A1D">
        <w:t>Introduction</w:t>
      </w:r>
    </w:p>
    <w:p w14:paraId="60E67FB0" w14:textId="6135EEB8" w:rsidR="008B6481" w:rsidRDefault="00D47374" w:rsidP="00392BCE">
      <w:pPr>
        <w:rPr>
          <w:szCs w:val="22"/>
        </w:rPr>
      </w:pPr>
      <w:r>
        <w:rPr>
          <w:szCs w:val="22"/>
        </w:rPr>
        <w:t>The roll-out of</w:t>
      </w:r>
      <w:r w:rsidR="00392BCE" w:rsidRPr="00392BCE">
        <w:rPr>
          <w:szCs w:val="22"/>
        </w:rPr>
        <w:t xml:space="preserve"> Three-Year-Old Kindergarten</w:t>
      </w:r>
      <w:r>
        <w:rPr>
          <w:szCs w:val="22"/>
        </w:rPr>
        <w:t xml:space="preserve"> </w:t>
      </w:r>
      <w:r w:rsidR="00392BCE" w:rsidRPr="00392BCE">
        <w:rPr>
          <w:szCs w:val="22"/>
        </w:rPr>
        <w:t>will</w:t>
      </w:r>
      <w:r w:rsidR="00392BCE" w:rsidRPr="00392BCE" w:rsidDel="00D47374">
        <w:rPr>
          <w:szCs w:val="22"/>
        </w:rPr>
        <w:t xml:space="preserve"> </w:t>
      </w:r>
      <w:r>
        <w:rPr>
          <w:szCs w:val="22"/>
        </w:rPr>
        <w:t>require the Victorian early childhood workforce</w:t>
      </w:r>
      <w:r w:rsidRPr="00392BCE">
        <w:rPr>
          <w:szCs w:val="22"/>
        </w:rPr>
        <w:t xml:space="preserve"> </w:t>
      </w:r>
      <w:r w:rsidR="00392BCE" w:rsidRPr="00392BCE">
        <w:rPr>
          <w:szCs w:val="22"/>
        </w:rPr>
        <w:t xml:space="preserve">to approximately double over the next ten years. </w:t>
      </w:r>
      <w:r w:rsidR="008B6481">
        <w:rPr>
          <w:szCs w:val="22"/>
        </w:rPr>
        <w:t>The retention and development of the existing workforce will play a critical role in e</w:t>
      </w:r>
      <w:r w:rsidR="008B6481" w:rsidRPr="00392BCE">
        <w:rPr>
          <w:szCs w:val="22"/>
        </w:rPr>
        <w:t>nsur</w:t>
      </w:r>
      <w:r w:rsidR="008B6481">
        <w:rPr>
          <w:szCs w:val="22"/>
        </w:rPr>
        <w:t>ing</w:t>
      </w:r>
      <w:r w:rsidR="008B6481" w:rsidRPr="00392BCE">
        <w:rPr>
          <w:szCs w:val="22"/>
        </w:rPr>
        <w:t xml:space="preserve"> that every child has access to a Three-Year-Old Kindergarten program led by a qualified </w:t>
      </w:r>
      <w:r w:rsidR="008B6481">
        <w:rPr>
          <w:szCs w:val="22"/>
        </w:rPr>
        <w:t>early childhood teacher (ECT).</w:t>
      </w:r>
    </w:p>
    <w:p w14:paraId="3B43096A" w14:textId="63D5B4A4" w:rsidR="00A97A1D" w:rsidRPr="00392BCE" w:rsidRDefault="00A97A1D" w:rsidP="00392BCE">
      <w:pPr>
        <w:rPr>
          <w:szCs w:val="22"/>
        </w:rPr>
      </w:pPr>
      <w:r>
        <w:t>Recent research and feedback from the sector indicate that a significant portion of</w:t>
      </w:r>
      <w:r w:rsidR="00147318">
        <w:t xml:space="preserve"> </w:t>
      </w:r>
      <w:r>
        <w:t>ECTs leave the profession within five years.</w:t>
      </w:r>
    </w:p>
    <w:p w14:paraId="070CE155" w14:textId="3D7BEC9C" w:rsidR="00A97A1D" w:rsidRDefault="0040347F" w:rsidP="00A97A1D">
      <w:pPr>
        <w:rPr>
          <w:szCs w:val="22"/>
        </w:rPr>
      </w:pPr>
      <w:r>
        <w:rPr>
          <w:szCs w:val="22"/>
        </w:rPr>
        <w:t xml:space="preserve">In this period of massive </w:t>
      </w:r>
      <w:r w:rsidR="009B11B7">
        <w:rPr>
          <w:szCs w:val="22"/>
        </w:rPr>
        <w:t>growth</w:t>
      </w:r>
      <w:r>
        <w:rPr>
          <w:szCs w:val="22"/>
        </w:rPr>
        <w:t xml:space="preserve"> and reform, new and innovative approaches to </w:t>
      </w:r>
      <w:r w:rsidR="00880912">
        <w:rPr>
          <w:szCs w:val="22"/>
        </w:rPr>
        <w:t>keeping our</w:t>
      </w:r>
      <w:r>
        <w:rPr>
          <w:szCs w:val="22"/>
        </w:rPr>
        <w:t xml:space="preserve"> early career ECTs </w:t>
      </w:r>
      <w:r w:rsidR="00880912">
        <w:rPr>
          <w:szCs w:val="22"/>
        </w:rPr>
        <w:t xml:space="preserve">in the profession </w:t>
      </w:r>
      <w:r>
        <w:rPr>
          <w:szCs w:val="22"/>
        </w:rPr>
        <w:t xml:space="preserve">are needed to deliver </w:t>
      </w:r>
      <w:r w:rsidR="00880912">
        <w:rPr>
          <w:szCs w:val="22"/>
        </w:rPr>
        <w:t>on the</w:t>
      </w:r>
      <w:r>
        <w:rPr>
          <w:szCs w:val="22"/>
        </w:rPr>
        <w:t xml:space="preserve"> workforce </w:t>
      </w:r>
      <w:r w:rsidR="00880912">
        <w:rPr>
          <w:szCs w:val="22"/>
        </w:rPr>
        <w:t>needed to meet the Three-Year-Old Kindergarten commitments for Victorian children</w:t>
      </w:r>
      <w:r>
        <w:rPr>
          <w:szCs w:val="22"/>
        </w:rPr>
        <w:t xml:space="preserve">. </w:t>
      </w:r>
    </w:p>
    <w:p w14:paraId="0EF1B767" w14:textId="6D44E4DD" w:rsidR="00392BCE" w:rsidRPr="00392BCE" w:rsidRDefault="00FF5A68" w:rsidP="007750C5">
      <w:pPr>
        <w:pStyle w:val="Heading2"/>
        <w:rPr>
          <w:i/>
          <w:iCs/>
          <w:szCs w:val="22"/>
          <w:u w:val="single"/>
        </w:rPr>
      </w:pPr>
      <w:r>
        <w:t>The</w:t>
      </w:r>
      <w:r w:rsidRPr="00392BCE">
        <w:t xml:space="preserve"> </w:t>
      </w:r>
      <w:r>
        <w:t xml:space="preserve">Early Career Teacher Retention Innovation Grants </w:t>
      </w:r>
    </w:p>
    <w:p w14:paraId="553B02C6" w14:textId="297C52F1" w:rsidR="00960654" w:rsidRDefault="00960654" w:rsidP="00960654">
      <w:r>
        <w:t xml:space="preserve">The </w:t>
      </w:r>
      <w:r w:rsidR="00E57F59" w:rsidRPr="00E57F59">
        <w:t xml:space="preserve">Innovation Grants to </w:t>
      </w:r>
      <w:r w:rsidR="005016EE">
        <w:t>s</w:t>
      </w:r>
      <w:r w:rsidR="00E57F59" w:rsidRPr="00E57F59">
        <w:t xml:space="preserve">upport </w:t>
      </w:r>
      <w:r w:rsidR="004A4427">
        <w:t>E</w:t>
      </w:r>
      <w:r w:rsidR="00E57F59" w:rsidRPr="00E57F59">
        <w:t xml:space="preserve">arly </w:t>
      </w:r>
      <w:r w:rsidR="004A4427">
        <w:t>C</w:t>
      </w:r>
      <w:r w:rsidR="00E57F59" w:rsidRPr="00E57F59">
        <w:t xml:space="preserve">areer </w:t>
      </w:r>
      <w:r w:rsidR="004A4427">
        <w:t>T</w:t>
      </w:r>
      <w:r w:rsidR="00E57F59" w:rsidRPr="00E57F59">
        <w:t xml:space="preserve">eacher </w:t>
      </w:r>
      <w:r w:rsidR="004A4427">
        <w:t>R</w:t>
      </w:r>
      <w:r w:rsidR="00E57F59" w:rsidRPr="00E57F59">
        <w:t>etention (Innovation Grants)</w:t>
      </w:r>
      <w:r w:rsidR="00E57F59">
        <w:t xml:space="preserve"> </w:t>
      </w:r>
      <w:r w:rsidR="0040347F">
        <w:t xml:space="preserve">seek to </w:t>
      </w:r>
      <w:r>
        <w:t xml:space="preserve">strengthen the Department’s partnership with the </w:t>
      </w:r>
      <w:r w:rsidR="008C57AF">
        <w:t xml:space="preserve">early childhood </w:t>
      </w:r>
      <w:r>
        <w:t>sector</w:t>
      </w:r>
      <w:r w:rsidR="0040347F">
        <w:t xml:space="preserve"> in </w:t>
      </w:r>
      <w:r>
        <w:t>deliver</w:t>
      </w:r>
      <w:r w:rsidR="0040347F">
        <w:t>ing</w:t>
      </w:r>
      <w:r>
        <w:t xml:space="preserve"> the workforce</w:t>
      </w:r>
      <w:r w:rsidR="0040347F">
        <w:t xml:space="preserve"> solutions</w:t>
      </w:r>
      <w:r>
        <w:t xml:space="preserve"> required to meet the demand of Three-Year-Old Kindergarten. </w:t>
      </w:r>
    </w:p>
    <w:p w14:paraId="53E63BB9" w14:textId="09304CDF" w:rsidR="00960654" w:rsidRDefault="00960654" w:rsidP="00960654">
      <w:r>
        <w:t xml:space="preserve">Through </w:t>
      </w:r>
      <w:r w:rsidR="00E47223">
        <w:t xml:space="preserve">the </w:t>
      </w:r>
      <w:r w:rsidR="00E57F59">
        <w:t>Innovation Grants</w:t>
      </w:r>
      <w:r>
        <w:t xml:space="preserve">, early childhood services </w:t>
      </w:r>
      <w:r w:rsidR="00FF5A68">
        <w:t xml:space="preserve">that </w:t>
      </w:r>
      <w:r w:rsidR="004D0922">
        <w:t>deliver</w:t>
      </w:r>
      <w:r>
        <w:t xml:space="preserve"> a </w:t>
      </w:r>
      <w:r w:rsidR="00E57F59">
        <w:t>Victorian</w:t>
      </w:r>
      <w:r w:rsidR="004D0922">
        <w:t>-</w:t>
      </w:r>
      <w:r>
        <w:t xml:space="preserve">funded kindergarten program will be able to apply for grants to implement </w:t>
      </w:r>
      <w:r w:rsidR="0040347F">
        <w:t xml:space="preserve">innovative </w:t>
      </w:r>
      <w:r>
        <w:t xml:space="preserve">place-based solutions for improving </w:t>
      </w:r>
      <w:r w:rsidR="008C57AF">
        <w:t xml:space="preserve">early career </w:t>
      </w:r>
      <w:r>
        <w:t xml:space="preserve">ECT retention rates in their organisations. </w:t>
      </w:r>
    </w:p>
    <w:p w14:paraId="74C4777F" w14:textId="457FFB7F" w:rsidR="00960654" w:rsidRDefault="00811CA3" w:rsidP="00960654">
      <w:pPr>
        <w:spacing w:after="240"/>
      </w:pPr>
      <w:r>
        <w:t>G</w:t>
      </w:r>
      <w:r w:rsidR="00960654">
        <w:t xml:space="preserve">rants </w:t>
      </w:r>
      <w:r w:rsidR="00792FD8">
        <w:t>from</w:t>
      </w:r>
      <w:r w:rsidR="00960654">
        <w:t xml:space="preserve"> $5,000</w:t>
      </w:r>
      <w:r w:rsidR="007B4718">
        <w:t xml:space="preserve"> up</w:t>
      </w:r>
      <w:r w:rsidR="00960654">
        <w:t xml:space="preserve"> </w:t>
      </w:r>
      <w:r w:rsidR="00792FD8">
        <w:t>to $30,000</w:t>
      </w:r>
      <w:r w:rsidR="007B4718">
        <w:t>*</w:t>
      </w:r>
      <w:r w:rsidR="00960654">
        <w:t xml:space="preserve"> are available for initiatives and/or projects designed to improve the retention of ECTs in the first five years of their careers. </w:t>
      </w:r>
    </w:p>
    <w:p w14:paraId="7E3A2B8F" w14:textId="27119C3A" w:rsidR="005E1741" w:rsidRDefault="00792FD8" w:rsidP="005E1741">
      <w:pPr>
        <w:rPr>
          <w:szCs w:val="22"/>
        </w:rPr>
      </w:pPr>
      <w:r w:rsidRPr="005D7E50">
        <w:rPr>
          <w:szCs w:val="22"/>
        </w:rPr>
        <w:t xml:space="preserve">The </w:t>
      </w:r>
      <w:r>
        <w:rPr>
          <w:szCs w:val="22"/>
        </w:rPr>
        <w:t xml:space="preserve">Department will review successful projects </w:t>
      </w:r>
      <w:r w:rsidR="005E1741">
        <w:rPr>
          <w:szCs w:val="22"/>
        </w:rPr>
        <w:t xml:space="preserve">to assess if any can be replicated in other </w:t>
      </w:r>
      <w:r w:rsidR="004A4427">
        <w:rPr>
          <w:szCs w:val="22"/>
        </w:rPr>
        <w:t xml:space="preserve">early childhood </w:t>
      </w:r>
      <w:r w:rsidR="005E1741">
        <w:rPr>
          <w:szCs w:val="22"/>
        </w:rPr>
        <w:t>services across Victoria.</w:t>
      </w:r>
      <w:r w:rsidR="005E1741" w:rsidRPr="005E1741">
        <w:rPr>
          <w:szCs w:val="22"/>
        </w:rPr>
        <w:t xml:space="preserve"> </w:t>
      </w:r>
    </w:p>
    <w:p w14:paraId="20747F51" w14:textId="6644C4B0" w:rsidR="007B4718" w:rsidRPr="00AE3BAD" w:rsidRDefault="007B4718" w:rsidP="005E1741">
      <w:pPr>
        <w:rPr>
          <w:sz w:val="18"/>
          <w:szCs w:val="18"/>
        </w:rPr>
      </w:pPr>
      <w:r w:rsidRPr="00AE3BAD">
        <w:rPr>
          <w:sz w:val="18"/>
          <w:szCs w:val="18"/>
        </w:rPr>
        <w:t>* see Funding Available section below for more information</w:t>
      </w:r>
    </w:p>
    <w:p w14:paraId="237523F8" w14:textId="142D34DA" w:rsidR="005778FF" w:rsidRPr="00F069FC" w:rsidRDefault="005778FF" w:rsidP="007750C5">
      <w:pPr>
        <w:pStyle w:val="Heading2"/>
        <w:rPr>
          <w:lang w:val="en-AU"/>
        </w:rPr>
      </w:pPr>
      <w:bookmarkStart w:id="0" w:name="_Hlk68080574"/>
      <w:r w:rsidRPr="00F069FC">
        <w:rPr>
          <w:lang w:val="en-AU"/>
        </w:rPr>
        <w:t>What is Innovation</w:t>
      </w:r>
      <w:r w:rsidR="00384ACA">
        <w:rPr>
          <w:lang w:val="en-AU"/>
        </w:rPr>
        <w:t>?</w:t>
      </w:r>
    </w:p>
    <w:bookmarkEnd w:id="0"/>
    <w:p w14:paraId="37677D74" w14:textId="709B2729" w:rsidR="005778FF" w:rsidRDefault="00C012DC" w:rsidP="005778FF">
      <w:pPr>
        <w:rPr>
          <w:lang w:val="en-AU"/>
        </w:rPr>
      </w:pPr>
      <w:r>
        <w:rPr>
          <w:lang w:val="en-AU"/>
        </w:rPr>
        <w:t xml:space="preserve">For the purposes of </w:t>
      </w:r>
      <w:r w:rsidR="00E57F59">
        <w:rPr>
          <w:lang w:val="en-AU"/>
        </w:rPr>
        <w:t>the Innovation Grants</w:t>
      </w:r>
      <w:r>
        <w:rPr>
          <w:lang w:val="en-AU"/>
        </w:rPr>
        <w:t xml:space="preserve"> ‘i</w:t>
      </w:r>
      <w:r w:rsidR="00392BCE">
        <w:rPr>
          <w:lang w:val="en-AU"/>
        </w:rPr>
        <w:t>nnovation</w:t>
      </w:r>
      <w:r>
        <w:rPr>
          <w:lang w:val="en-AU"/>
        </w:rPr>
        <w:t>’</w:t>
      </w:r>
      <w:r w:rsidR="00392BCE">
        <w:rPr>
          <w:lang w:val="en-AU"/>
        </w:rPr>
        <w:t xml:space="preserve"> is defined as </w:t>
      </w:r>
      <w:r w:rsidR="004D0922">
        <w:rPr>
          <w:lang w:val="en-AU"/>
        </w:rPr>
        <w:t>‘</w:t>
      </w:r>
      <w:r w:rsidR="000C0BB7" w:rsidRPr="00AE3BAD">
        <w:rPr>
          <w:i/>
          <w:iCs/>
          <w:lang w:val="en-AU"/>
        </w:rPr>
        <w:t>new ideas,</w:t>
      </w:r>
      <w:r w:rsidR="000C0BB7">
        <w:rPr>
          <w:lang w:val="en-AU"/>
        </w:rPr>
        <w:t xml:space="preserve"> </w:t>
      </w:r>
      <w:r w:rsidR="004D0922" w:rsidRPr="004D0922">
        <w:rPr>
          <w:i/>
          <w:iCs/>
          <w:lang w:val="en-AU"/>
        </w:rPr>
        <w:t>projects and initiatives</w:t>
      </w:r>
      <w:r w:rsidR="00392BCE" w:rsidRPr="004D0922">
        <w:rPr>
          <w:i/>
          <w:iCs/>
          <w:lang w:val="en-AU"/>
        </w:rPr>
        <w:t xml:space="preserve"> </w:t>
      </w:r>
      <w:r w:rsidR="005778FF" w:rsidRPr="004D0922">
        <w:rPr>
          <w:i/>
          <w:iCs/>
          <w:lang w:val="en-AU"/>
        </w:rPr>
        <w:t xml:space="preserve">that </w:t>
      </w:r>
      <w:r w:rsidR="00074F71" w:rsidRPr="004D0922">
        <w:rPr>
          <w:i/>
          <w:iCs/>
          <w:lang w:val="en-AU"/>
        </w:rPr>
        <w:t>advance</w:t>
      </w:r>
      <w:r w:rsidR="005778FF" w:rsidRPr="004D0922">
        <w:rPr>
          <w:i/>
          <w:iCs/>
          <w:lang w:val="en-AU"/>
        </w:rPr>
        <w:t xml:space="preserve"> </w:t>
      </w:r>
      <w:r w:rsidR="004D0922" w:rsidRPr="004D0922">
        <w:rPr>
          <w:i/>
          <w:iCs/>
          <w:lang w:val="en-AU"/>
        </w:rPr>
        <w:t xml:space="preserve">ECT </w:t>
      </w:r>
      <w:r w:rsidR="005778FF" w:rsidRPr="004D0922">
        <w:rPr>
          <w:i/>
          <w:iCs/>
          <w:lang w:val="en-AU"/>
        </w:rPr>
        <w:t>retention practices in the early childhood sector</w:t>
      </w:r>
      <w:r w:rsidR="004D0922">
        <w:rPr>
          <w:lang w:val="en-AU"/>
        </w:rPr>
        <w:t>’</w:t>
      </w:r>
      <w:r w:rsidR="005778FF">
        <w:rPr>
          <w:lang w:val="en-AU"/>
        </w:rPr>
        <w:t>.</w:t>
      </w:r>
    </w:p>
    <w:p w14:paraId="411FFD97" w14:textId="61E25ECA" w:rsidR="00902C2C" w:rsidRDefault="00397B51" w:rsidP="005778FF">
      <w:pPr>
        <w:rPr>
          <w:lang w:val="en-AU"/>
        </w:rPr>
      </w:pPr>
      <w:bookmarkStart w:id="1" w:name="_Hlk69293199"/>
      <w:r>
        <w:rPr>
          <w:lang w:val="en-AU"/>
        </w:rPr>
        <w:t>Examples of possible projects include:</w:t>
      </w:r>
    </w:p>
    <w:p w14:paraId="013E2AA9" w14:textId="18B3CD7E" w:rsidR="00902C2C" w:rsidRDefault="00397B51" w:rsidP="00664C26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C</w:t>
      </w:r>
      <w:r w:rsidR="00C012DC">
        <w:rPr>
          <w:lang w:val="en-AU"/>
        </w:rPr>
        <w:t xml:space="preserve">ollaboration </w:t>
      </w:r>
      <w:r w:rsidR="00E84672">
        <w:rPr>
          <w:lang w:val="en-AU"/>
        </w:rPr>
        <w:t xml:space="preserve">between early childhood services and/or organisations </w:t>
      </w:r>
      <w:r w:rsidR="00C012DC">
        <w:rPr>
          <w:lang w:val="en-AU"/>
        </w:rPr>
        <w:t>to</w:t>
      </w:r>
      <w:r w:rsidR="00902C2C">
        <w:rPr>
          <w:lang w:val="en-AU"/>
        </w:rPr>
        <w:t xml:space="preserve"> make better use of resources and technology </w:t>
      </w:r>
      <w:r w:rsidR="00E84672">
        <w:rPr>
          <w:lang w:val="en-AU"/>
        </w:rPr>
        <w:t>that support ECT retention</w:t>
      </w:r>
    </w:p>
    <w:p w14:paraId="65256510" w14:textId="151D0006" w:rsidR="00902C2C" w:rsidRDefault="00902C2C" w:rsidP="00664C26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 xml:space="preserve">Improve current practices to </w:t>
      </w:r>
      <w:r w:rsidR="005E6A64">
        <w:rPr>
          <w:lang w:val="en-AU"/>
        </w:rPr>
        <w:t>articulate</w:t>
      </w:r>
      <w:r>
        <w:rPr>
          <w:lang w:val="en-AU"/>
        </w:rPr>
        <w:t xml:space="preserve"> career </w:t>
      </w:r>
      <w:r w:rsidR="005E6A64">
        <w:rPr>
          <w:lang w:val="en-AU"/>
        </w:rPr>
        <w:t xml:space="preserve">pathways and </w:t>
      </w:r>
      <w:r>
        <w:rPr>
          <w:lang w:val="en-AU"/>
        </w:rPr>
        <w:t>progression</w:t>
      </w:r>
      <w:r w:rsidR="004D0922">
        <w:rPr>
          <w:lang w:val="en-AU"/>
        </w:rPr>
        <w:t xml:space="preserve"> for ECTs</w:t>
      </w:r>
    </w:p>
    <w:p w14:paraId="7C509FDD" w14:textId="3A2BB6EE" w:rsidR="0013299B" w:rsidRDefault="00074F71" w:rsidP="00B42270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Early childhood</w:t>
      </w:r>
      <w:r w:rsidR="00FD44AF">
        <w:rPr>
          <w:lang w:val="en-AU"/>
        </w:rPr>
        <w:t xml:space="preserve"> services coming together to implement a shared ‘deep dive’ induction program for early career teachers</w:t>
      </w:r>
    </w:p>
    <w:p w14:paraId="747FE60B" w14:textId="6A2A3643" w:rsidR="001B3B49" w:rsidRPr="00B42270" w:rsidRDefault="00E71ED8" w:rsidP="00B42270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 xml:space="preserve">Set up a trial of </w:t>
      </w:r>
      <w:r w:rsidR="00074F71">
        <w:rPr>
          <w:lang w:val="en-AU"/>
        </w:rPr>
        <w:t>ECT</w:t>
      </w:r>
      <w:r w:rsidR="001B3B49">
        <w:rPr>
          <w:lang w:val="en-AU"/>
        </w:rPr>
        <w:t xml:space="preserve"> rotation across </w:t>
      </w:r>
      <w:r w:rsidR="001E358B">
        <w:rPr>
          <w:lang w:val="en-AU"/>
        </w:rPr>
        <w:t>early childhood services</w:t>
      </w:r>
      <w:r>
        <w:rPr>
          <w:lang w:val="en-AU"/>
        </w:rPr>
        <w:t xml:space="preserve"> in a local area</w:t>
      </w:r>
      <w:r w:rsidR="001E358B">
        <w:rPr>
          <w:lang w:val="en-AU"/>
        </w:rPr>
        <w:t>, including between long day care and sessional services</w:t>
      </w:r>
    </w:p>
    <w:p w14:paraId="1EBC125F" w14:textId="533EC3EC" w:rsidR="00A97A1D" w:rsidRPr="00B42270" w:rsidRDefault="00A97A1D" w:rsidP="00B42270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 xml:space="preserve">Piloting an ECT career pathway program through a partnership </w:t>
      </w:r>
      <w:r w:rsidR="007842C5">
        <w:rPr>
          <w:lang w:val="en-AU"/>
        </w:rPr>
        <w:t xml:space="preserve">of </w:t>
      </w:r>
      <w:r w:rsidR="004A4427">
        <w:rPr>
          <w:lang w:val="en-AU"/>
        </w:rPr>
        <w:t xml:space="preserve">early childhood </w:t>
      </w:r>
      <w:r w:rsidR="00397B51">
        <w:rPr>
          <w:lang w:val="en-AU"/>
        </w:rPr>
        <w:t>services</w:t>
      </w:r>
      <w:r>
        <w:rPr>
          <w:lang w:val="en-AU"/>
        </w:rPr>
        <w:t xml:space="preserve"> providing different career development opportunities</w:t>
      </w:r>
    </w:p>
    <w:bookmarkEnd w:id="1"/>
    <w:p w14:paraId="7ED4945D" w14:textId="45B0E772" w:rsidR="00BC646A" w:rsidRDefault="00BC646A" w:rsidP="00BC646A">
      <w:pPr>
        <w:rPr>
          <w:szCs w:val="22"/>
        </w:rPr>
      </w:pPr>
      <w:r>
        <w:rPr>
          <w:szCs w:val="22"/>
        </w:rPr>
        <w:t>Projects</w:t>
      </w:r>
      <w:r w:rsidDel="00BC646A">
        <w:rPr>
          <w:szCs w:val="22"/>
        </w:rPr>
        <w:t xml:space="preserve"> </w:t>
      </w:r>
      <w:r>
        <w:rPr>
          <w:szCs w:val="22"/>
        </w:rPr>
        <w:t xml:space="preserve">and initiatives </w:t>
      </w:r>
      <w:r w:rsidRPr="00A97A1D">
        <w:rPr>
          <w:szCs w:val="22"/>
        </w:rPr>
        <w:t xml:space="preserve">that </w:t>
      </w:r>
      <w:r w:rsidR="00E47223" w:rsidRPr="00AE3BAD">
        <w:rPr>
          <w:szCs w:val="22"/>
          <w:u w:val="single"/>
        </w:rPr>
        <w:t>do</w:t>
      </w:r>
      <w:r w:rsidR="00E71ED8" w:rsidRPr="00AE3BAD">
        <w:rPr>
          <w:szCs w:val="22"/>
          <w:u w:val="single"/>
        </w:rPr>
        <w:t xml:space="preserve"> </w:t>
      </w:r>
      <w:r w:rsidRPr="00AE3BAD">
        <w:rPr>
          <w:szCs w:val="22"/>
          <w:u w:val="single"/>
        </w:rPr>
        <w:t>not</w:t>
      </w:r>
      <w:r w:rsidRPr="00A97A1D">
        <w:rPr>
          <w:szCs w:val="22"/>
        </w:rPr>
        <w:t xml:space="preserve"> meet the </w:t>
      </w:r>
      <w:r w:rsidR="00E57F59">
        <w:rPr>
          <w:szCs w:val="22"/>
        </w:rPr>
        <w:t>Innovation Grant’s</w:t>
      </w:r>
      <w:r w:rsidRPr="00A97A1D">
        <w:rPr>
          <w:szCs w:val="22"/>
        </w:rPr>
        <w:t xml:space="preserve"> definition of innovation</w:t>
      </w:r>
      <w:r>
        <w:rPr>
          <w:szCs w:val="22"/>
        </w:rPr>
        <w:t xml:space="preserve"> include:</w:t>
      </w:r>
    </w:p>
    <w:p w14:paraId="3C4CB6AF" w14:textId="2E6E0F96" w:rsidR="00BC646A" w:rsidRDefault="00BC646A" w:rsidP="00074F71">
      <w:pPr>
        <w:pStyle w:val="ListParagraph"/>
        <w:numPr>
          <w:ilvl w:val="0"/>
          <w:numId w:val="22"/>
        </w:numPr>
      </w:pPr>
      <w:bookmarkStart w:id="2" w:name="_Hlk69293985"/>
      <w:r>
        <w:lastRenderedPageBreak/>
        <w:t xml:space="preserve">‘Business as usual’ and compliance activities and costs </w:t>
      </w:r>
      <w:r w:rsidR="00E71ED8">
        <w:t>(</w:t>
      </w:r>
      <w:r>
        <w:t xml:space="preserve">e.g. payroll support, regular performance management and induction </w:t>
      </w:r>
      <w:r w:rsidR="00E71ED8">
        <w:t>activities)</w:t>
      </w:r>
      <w:r>
        <w:t xml:space="preserve">  </w:t>
      </w:r>
    </w:p>
    <w:p w14:paraId="66093E00" w14:textId="13DF87E0" w:rsidR="00BC646A" w:rsidRDefault="009440A0" w:rsidP="00074F71">
      <w:pPr>
        <w:pStyle w:val="ListParagraph"/>
        <w:numPr>
          <w:ilvl w:val="0"/>
          <w:numId w:val="22"/>
        </w:numPr>
      </w:pPr>
      <w:r>
        <w:t>Additional teachers or educators</w:t>
      </w:r>
      <w:r w:rsidR="00397B51">
        <w:t xml:space="preserve"> to work with children</w:t>
      </w:r>
    </w:p>
    <w:p w14:paraId="0AD318BC" w14:textId="451E5F28" w:rsidR="00BC646A" w:rsidRDefault="00074F71" w:rsidP="00074F71">
      <w:pPr>
        <w:pStyle w:val="ListParagraph"/>
        <w:numPr>
          <w:ilvl w:val="0"/>
          <w:numId w:val="22"/>
        </w:numPr>
      </w:pPr>
      <w:r>
        <w:t>F</w:t>
      </w:r>
      <w:r w:rsidR="00BC646A">
        <w:t>undraising activities</w:t>
      </w:r>
    </w:p>
    <w:p w14:paraId="5F68A4BC" w14:textId="2E3CF3EE" w:rsidR="00BC646A" w:rsidRDefault="00BC646A" w:rsidP="00C43836">
      <w:pPr>
        <w:pStyle w:val="ListParagraph"/>
        <w:numPr>
          <w:ilvl w:val="0"/>
          <w:numId w:val="22"/>
        </w:numPr>
      </w:pPr>
      <w:r>
        <w:t>Initiatives, projects, or proposed activities that are financially supported through other means (including other forms of Government funding)</w:t>
      </w:r>
    </w:p>
    <w:bookmarkEnd w:id="2"/>
    <w:p w14:paraId="2DD0331D" w14:textId="378E3155" w:rsidR="00C43836" w:rsidRDefault="00C43836" w:rsidP="00074F71">
      <w:pPr>
        <w:pStyle w:val="ListParagraph"/>
        <w:numPr>
          <w:ilvl w:val="0"/>
          <w:numId w:val="22"/>
        </w:numPr>
      </w:pPr>
      <w:r>
        <w:t xml:space="preserve">Funding to supplement other Department initiatives such as </w:t>
      </w:r>
      <w:r w:rsidR="004D0922">
        <w:t xml:space="preserve">but not limited to </w:t>
      </w:r>
      <w:r>
        <w:t xml:space="preserve">School Readiness Funding, </w:t>
      </w:r>
      <w:r w:rsidR="00074F71">
        <w:t>Early Childhood Scholarships and Incentives, and the Effective Mentoring Program.</w:t>
      </w:r>
    </w:p>
    <w:p w14:paraId="606204AF" w14:textId="569BE7A7" w:rsidR="00960DDD" w:rsidRPr="00A97A1D" w:rsidRDefault="00960DDD" w:rsidP="007750C5">
      <w:pPr>
        <w:pStyle w:val="Heading2"/>
      </w:pPr>
      <w:r w:rsidRPr="00A97A1D">
        <w:t>Funding available</w:t>
      </w:r>
    </w:p>
    <w:p w14:paraId="4CF177C9" w14:textId="635938CF" w:rsidR="00F91DF6" w:rsidRDefault="00F91DF6" w:rsidP="00B42270">
      <w:pPr>
        <w:pStyle w:val="ListParagraph"/>
        <w:ind w:left="0"/>
        <w:rPr>
          <w:szCs w:val="22"/>
        </w:rPr>
      </w:pPr>
      <w:r>
        <w:rPr>
          <w:szCs w:val="22"/>
        </w:rPr>
        <w:t xml:space="preserve">Grants </w:t>
      </w:r>
      <w:r w:rsidR="00792FD8">
        <w:rPr>
          <w:szCs w:val="22"/>
        </w:rPr>
        <w:t xml:space="preserve">from </w:t>
      </w:r>
      <w:r>
        <w:rPr>
          <w:szCs w:val="22"/>
        </w:rPr>
        <w:t xml:space="preserve">$5,000 </w:t>
      </w:r>
      <w:r w:rsidR="007B4718">
        <w:rPr>
          <w:szCs w:val="22"/>
        </w:rPr>
        <w:t xml:space="preserve">up </w:t>
      </w:r>
      <w:r w:rsidR="00792FD8">
        <w:rPr>
          <w:szCs w:val="22"/>
        </w:rPr>
        <w:t>to $30,000</w:t>
      </w:r>
      <w:r>
        <w:rPr>
          <w:szCs w:val="22"/>
        </w:rPr>
        <w:t xml:space="preserve"> are available for initiatives and/or projects designed to improve the retention of early childhood teachers in the first five years of their careers.</w:t>
      </w:r>
      <w:r w:rsidR="007B4718">
        <w:rPr>
          <w:szCs w:val="22"/>
        </w:rPr>
        <w:t xml:space="preserve"> If your initiative and/or project requires funding above $30,000 please contact the Innovation Grants team on </w:t>
      </w:r>
      <w:hyperlink r:id="rId11" w:history="1">
        <w:r w:rsidR="0067049D" w:rsidRPr="0079646B">
          <w:rPr>
            <w:rStyle w:val="Hyperlink"/>
          </w:rPr>
          <w:t>early.years.workforce.grants@education.vic.gov.au</w:t>
        </w:r>
      </w:hyperlink>
      <w:r w:rsidR="0067049D">
        <w:t xml:space="preserve"> </w:t>
      </w:r>
      <w:r w:rsidR="007B4718">
        <w:rPr>
          <w:szCs w:val="22"/>
        </w:rPr>
        <w:t>to discuss this further.</w:t>
      </w:r>
    </w:p>
    <w:p w14:paraId="340EC9C9" w14:textId="384916B9" w:rsidR="00F91DF6" w:rsidRPr="00A97A1D" w:rsidRDefault="00F91DF6" w:rsidP="007750C5">
      <w:pPr>
        <w:pStyle w:val="Heading2"/>
      </w:pPr>
      <w:bookmarkStart w:id="3" w:name="_Eligibility"/>
      <w:bookmarkEnd w:id="3"/>
      <w:r w:rsidRPr="00A97A1D">
        <w:t xml:space="preserve">Eligibility </w:t>
      </w:r>
    </w:p>
    <w:p w14:paraId="04C8B53F" w14:textId="4242F4D7" w:rsidR="00F91DF6" w:rsidRPr="005369D7" w:rsidRDefault="00B42270" w:rsidP="005369D7">
      <w:pPr>
        <w:rPr>
          <w:lang w:val="en-AU"/>
        </w:rPr>
      </w:pPr>
      <w:r w:rsidRPr="005369D7">
        <w:rPr>
          <w:lang w:val="en-AU"/>
        </w:rPr>
        <w:t xml:space="preserve">Organisations are eligible to apply for </w:t>
      </w:r>
      <w:r w:rsidR="00E57F59" w:rsidRPr="005369D7">
        <w:rPr>
          <w:lang w:val="en-AU"/>
        </w:rPr>
        <w:t>Innovation Grants</w:t>
      </w:r>
      <w:r w:rsidRPr="005369D7">
        <w:rPr>
          <w:lang w:val="en-AU"/>
        </w:rPr>
        <w:t xml:space="preserve"> if they</w:t>
      </w:r>
      <w:r w:rsidR="00EF34B2" w:rsidRPr="005369D7">
        <w:rPr>
          <w:lang w:val="en-AU"/>
        </w:rPr>
        <w:t>:</w:t>
      </w:r>
    </w:p>
    <w:p w14:paraId="160B29F2" w14:textId="698F07F9" w:rsidR="00F91DF6" w:rsidRPr="005369D7" w:rsidRDefault="00D536DC" w:rsidP="005369D7">
      <w:pPr>
        <w:pStyle w:val="ListParagraph"/>
        <w:numPr>
          <w:ilvl w:val="0"/>
          <w:numId w:val="23"/>
        </w:numPr>
        <w:spacing w:after="160" w:line="259" w:lineRule="auto"/>
        <w:rPr>
          <w:lang w:val="en-AU"/>
        </w:rPr>
      </w:pPr>
      <w:bookmarkStart w:id="4" w:name="_Hlk70502652"/>
      <w:r w:rsidRPr="005369D7">
        <w:rPr>
          <w:lang w:val="en-AU"/>
        </w:rPr>
        <w:t>provide</w:t>
      </w:r>
      <w:r w:rsidR="00B42270" w:rsidRPr="005369D7">
        <w:rPr>
          <w:lang w:val="en-AU"/>
        </w:rPr>
        <w:t xml:space="preserve"> </w:t>
      </w:r>
      <w:r w:rsidR="0015405E" w:rsidRPr="005369D7">
        <w:rPr>
          <w:lang w:val="en-AU"/>
        </w:rPr>
        <w:t>a</w:t>
      </w:r>
      <w:r w:rsidR="00F91DF6" w:rsidRPr="005369D7">
        <w:rPr>
          <w:lang w:val="en-AU"/>
        </w:rPr>
        <w:t xml:space="preserve">n approved early childhood </w:t>
      </w:r>
      <w:r w:rsidR="00486054" w:rsidRPr="005369D7">
        <w:rPr>
          <w:lang w:val="en-AU"/>
        </w:rPr>
        <w:t xml:space="preserve">education and care </w:t>
      </w:r>
      <w:r w:rsidR="00F91DF6" w:rsidRPr="005369D7">
        <w:rPr>
          <w:lang w:val="en-AU"/>
        </w:rPr>
        <w:t>service</w:t>
      </w:r>
      <w:r w:rsidR="00792FD8" w:rsidRPr="005369D7">
        <w:rPr>
          <w:lang w:val="en-AU"/>
        </w:rPr>
        <w:t xml:space="preserve"> operating in Victoria</w:t>
      </w:r>
    </w:p>
    <w:bookmarkEnd w:id="4"/>
    <w:p w14:paraId="4554EEF9" w14:textId="23929B7F" w:rsidR="00F91DF6" w:rsidRDefault="00F91DF6" w:rsidP="00074F71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deliver </w:t>
      </w:r>
      <w:r w:rsidRPr="004D0922">
        <w:t xml:space="preserve">a </w:t>
      </w:r>
      <w:r w:rsidR="00457144" w:rsidRPr="004D0922">
        <w:t>Victorian</w:t>
      </w:r>
      <w:r w:rsidRPr="004D0922">
        <w:t>-funded kindergarten</w:t>
      </w:r>
      <w:r>
        <w:t xml:space="preserve"> program</w:t>
      </w:r>
    </w:p>
    <w:p w14:paraId="666099ED" w14:textId="795F5832" w:rsidR="00F91DF6" w:rsidRDefault="00F91DF6" w:rsidP="00074F71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have at least one </w:t>
      </w:r>
      <w:r w:rsidR="00457144">
        <w:t>ECT</w:t>
      </w:r>
      <w:r>
        <w:t xml:space="preserve"> in the first five years of their career employed </w:t>
      </w:r>
      <w:r w:rsidR="00457144">
        <w:t xml:space="preserve">in a teaching role </w:t>
      </w:r>
      <w:r>
        <w:t>at the service</w:t>
      </w:r>
      <w:r w:rsidR="004D0922">
        <w:t xml:space="preserve"> (not including casual relief teachers)</w:t>
      </w:r>
    </w:p>
    <w:p w14:paraId="57B16C04" w14:textId="5890623E" w:rsidR="00956711" w:rsidRDefault="00956711" w:rsidP="00074F71">
      <w:pPr>
        <w:pStyle w:val="ListParagraph"/>
        <w:numPr>
          <w:ilvl w:val="0"/>
          <w:numId w:val="23"/>
        </w:numPr>
        <w:spacing w:after="160" w:line="259" w:lineRule="auto"/>
      </w:pPr>
      <w:r>
        <w:t>do not owe any money to the Department as a result of previous funding or grants</w:t>
      </w:r>
    </w:p>
    <w:p w14:paraId="6A5AEB3E" w14:textId="0EA2EAD3" w:rsidR="00956711" w:rsidRDefault="00FE552E" w:rsidP="00074F71">
      <w:pPr>
        <w:pStyle w:val="ListParagraph"/>
        <w:numPr>
          <w:ilvl w:val="0"/>
          <w:numId w:val="23"/>
        </w:numPr>
        <w:spacing w:after="160" w:line="259" w:lineRule="auto"/>
      </w:pPr>
      <w:r>
        <w:t>have</w:t>
      </w:r>
      <w:r w:rsidR="00956711">
        <w:t xml:space="preserve"> the appropriate type and level of insurance for the activities that are the subject of this grant</w:t>
      </w:r>
    </w:p>
    <w:p w14:paraId="1B174EE3" w14:textId="5DAA0275" w:rsidR="004D0922" w:rsidRDefault="004D0922" w:rsidP="004D0922">
      <w:pPr>
        <w:pStyle w:val="ListParagraph"/>
        <w:numPr>
          <w:ilvl w:val="0"/>
          <w:numId w:val="23"/>
        </w:numPr>
        <w:spacing w:after="160" w:line="259" w:lineRule="auto"/>
      </w:pPr>
      <w:r>
        <w:t>are</w:t>
      </w:r>
      <w:r w:rsidRPr="00902C5E">
        <w:t xml:space="preserve"> </w:t>
      </w:r>
      <w:r>
        <w:t xml:space="preserve">not receiving funding by other means (including </w:t>
      </w:r>
      <w:r w:rsidR="00175EFA">
        <w:t xml:space="preserve">Victorian </w:t>
      </w:r>
      <w:r>
        <w:t>State Government funding) for the proposed initiative or project.</w:t>
      </w:r>
    </w:p>
    <w:p w14:paraId="51E16634" w14:textId="399BFF2A" w:rsidR="007A5E58" w:rsidRPr="00A97A1D" w:rsidRDefault="007A5E58" w:rsidP="007A5E58">
      <w:pPr>
        <w:spacing w:after="0" w:line="315" w:lineRule="exact"/>
        <w:rPr>
          <w:rFonts w:ascii="Arial" w:hAnsi="Arial" w:cs="Arial"/>
          <w:i/>
          <w:szCs w:val="22"/>
          <w:u w:val="single"/>
        </w:rPr>
      </w:pPr>
      <w:r w:rsidRPr="00A97A1D">
        <w:rPr>
          <w:rFonts w:ascii="Arial" w:hAnsi="Arial" w:cs="Arial"/>
          <w:i/>
          <w:szCs w:val="22"/>
          <w:u w:val="single"/>
        </w:rPr>
        <w:t>Consortiums can apply</w:t>
      </w:r>
    </w:p>
    <w:p w14:paraId="1D3B0EAF" w14:textId="2F31D943" w:rsidR="007A5E58" w:rsidRPr="007A5E58" w:rsidRDefault="007A5E58" w:rsidP="007A5E58">
      <w:pPr>
        <w:spacing w:after="0" w:line="315" w:lineRule="exact"/>
        <w:rPr>
          <w:rFonts w:ascii="Arial" w:hAnsi="Arial" w:cs="Arial"/>
          <w:szCs w:val="22"/>
        </w:rPr>
      </w:pPr>
      <w:r w:rsidRPr="007A5E58">
        <w:rPr>
          <w:rFonts w:ascii="Arial" w:hAnsi="Arial" w:cs="Arial"/>
          <w:szCs w:val="22"/>
        </w:rPr>
        <w:t>Consortium applications</w:t>
      </w:r>
      <w:r w:rsidR="00E74A74">
        <w:rPr>
          <w:rFonts w:ascii="Arial" w:hAnsi="Arial" w:cs="Arial"/>
          <w:szCs w:val="22"/>
        </w:rPr>
        <w:t xml:space="preserve"> will be considered,</w:t>
      </w:r>
      <w:r w:rsidRPr="007A5E58">
        <w:rPr>
          <w:rFonts w:ascii="Arial" w:hAnsi="Arial" w:cs="Arial"/>
          <w:szCs w:val="22"/>
        </w:rPr>
        <w:t xml:space="preserve"> including partnerships with non-</w:t>
      </w:r>
      <w:r w:rsidR="004D0922">
        <w:rPr>
          <w:rFonts w:ascii="Arial" w:hAnsi="Arial" w:cs="Arial"/>
          <w:szCs w:val="22"/>
        </w:rPr>
        <w:t xml:space="preserve">early childhood </w:t>
      </w:r>
      <w:r w:rsidR="00E74A74">
        <w:rPr>
          <w:rFonts w:ascii="Arial" w:hAnsi="Arial" w:cs="Arial"/>
          <w:szCs w:val="22"/>
        </w:rPr>
        <w:t>organisations</w:t>
      </w:r>
      <w:r w:rsidRPr="007A5E58">
        <w:rPr>
          <w:rFonts w:ascii="Arial" w:hAnsi="Arial" w:cs="Arial"/>
          <w:szCs w:val="22"/>
        </w:rPr>
        <w:t xml:space="preserve">, provided an approved Victorian </w:t>
      </w:r>
      <w:r w:rsidR="004D0922">
        <w:rPr>
          <w:rFonts w:ascii="Arial" w:hAnsi="Arial" w:cs="Arial"/>
          <w:szCs w:val="22"/>
        </w:rPr>
        <w:t>early childhood</w:t>
      </w:r>
      <w:r w:rsidRPr="007A5E58">
        <w:rPr>
          <w:rFonts w:ascii="Arial" w:hAnsi="Arial" w:cs="Arial"/>
          <w:szCs w:val="22"/>
        </w:rPr>
        <w:t xml:space="preserve"> service that meets all the eligibility criteria is nominated as the lead organisation. This will allow applicants to combine their capacity, specialist capability and expertise to deliver the </w:t>
      </w:r>
      <w:r w:rsidR="004A4427">
        <w:rPr>
          <w:rFonts w:ascii="Arial" w:hAnsi="Arial" w:cs="Arial"/>
          <w:szCs w:val="22"/>
        </w:rPr>
        <w:t>Innovation Grant’</w:t>
      </w:r>
      <w:r w:rsidR="004A4427" w:rsidRPr="007A5E58">
        <w:rPr>
          <w:rFonts w:ascii="Arial" w:hAnsi="Arial" w:cs="Arial"/>
          <w:szCs w:val="22"/>
        </w:rPr>
        <w:t xml:space="preserve">s </w:t>
      </w:r>
      <w:r w:rsidRPr="007A5E58">
        <w:rPr>
          <w:rFonts w:ascii="Arial" w:hAnsi="Arial" w:cs="Arial"/>
          <w:szCs w:val="22"/>
        </w:rPr>
        <w:t>desired outcomes.</w:t>
      </w:r>
    </w:p>
    <w:p w14:paraId="6A5098E2" w14:textId="6C3CD321" w:rsidR="001F6EA2" w:rsidRPr="00A97A1D" w:rsidRDefault="001F6EA2" w:rsidP="00175EFA">
      <w:pPr>
        <w:pStyle w:val="Heading2"/>
      </w:pPr>
      <w:r w:rsidRPr="00A97A1D">
        <w:t>Out of scope</w:t>
      </w:r>
    </w:p>
    <w:p w14:paraId="39FB50CF" w14:textId="141AE859" w:rsidR="00FF778D" w:rsidRDefault="001F6EA2" w:rsidP="00FF778D">
      <w:r>
        <w:t>The following o</w:t>
      </w:r>
      <w:r w:rsidR="00FF778D">
        <w:t xml:space="preserve">rganisations </w:t>
      </w:r>
      <w:r>
        <w:t xml:space="preserve">are considered outside of the scope of the </w:t>
      </w:r>
      <w:r w:rsidR="00175EFA">
        <w:t>Innovation Grants</w:t>
      </w:r>
      <w:r>
        <w:t xml:space="preserve"> and are </w:t>
      </w:r>
      <w:r w:rsidR="00FF778D" w:rsidRPr="009233BA">
        <w:rPr>
          <w:u w:val="single"/>
        </w:rPr>
        <w:t>not</w:t>
      </w:r>
      <w:r w:rsidR="00FF778D">
        <w:t xml:space="preserve"> eligible to apply</w:t>
      </w:r>
      <w:r w:rsidR="00A551CB">
        <w:t>:</w:t>
      </w:r>
      <w:r w:rsidR="00FF778D">
        <w:t xml:space="preserve"> </w:t>
      </w:r>
    </w:p>
    <w:p w14:paraId="7957D5EF" w14:textId="77777777" w:rsidR="00FF778D" w:rsidRDefault="00FF778D" w:rsidP="007750C5">
      <w:pPr>
        <w:pStyle w:val="ListParagraph"/>
        <w:numPr>
          <w:ilvl w:val="0"/>
          <w:numId w:val="24"/>
        </w:numPr>
        <w:spacing w:after="160" w:line="259" w:lineRule="auto"/>
      </w:pPr>
      <w:r>
        <w:t>Family day care providers</w:t>
      </w:r>
    </w:p>
    <w:p w14:paraId="39B72FA1" w14:textId="77777777" w:rsidR="00FF778D" w:rsidRDefault="00FF778D" w:rsidP="007750C5">
      <w:pPr>
        <w:pStyle w:val="ListParagraph"/>
        <w:numPr>
          <w:ilvl w:val="0"/>
          <w:numId w:val="24"/>
        </w:numPr>
        <w:spacing w:after="160" w:line="259" w:lineRule="auto"/>
      </w:pPr>
      <w:r>
        <w:t>Outside School Hours Care services</w:t>
      </w:r>
    </w:p>
    <w:p w14:paraId="43AB0C6E" w14:textId="13830D4C" w:rsidR="00FF778D" w:rsidRDefault="00A33656" w:rsidP="007750C5">
      <w:pPr>
        <w:pStyle w:val="ListParagraph"/>
        <w:numPr>
          <w:ilvl w:val="0"/>
          <w:numId w:val="24"/>
        </w:numPr>
        <w:spacing w:after="160" w:line="259" w:lineRule="auto"/>
      </w:pPr>
      <w:r>
        <w:t>E</w:t>
      </w:r>
      <w:r w:rsidR="00FF778D">
        <w:t xml:space="preserve">arly childhood </w:t>
      </w:r>
      <w:r w:rsidR="00982C6E">
        <w:t xml:space="preserve">education and care </w:t>
      </w:r>
      <w:r w:rsidR="00FF778D">
        <w:t>services</w:t>
      </w:r>
      <w:r>
        <w:t xml:space="preserve"> not receiving </w:t>
      </w:r>
      <w:r w:rsidR="00A0034D">
        <w:t xml:space="preserve">Victorian </w:t>
      </w:r>
      <w:r>
        <w:t>kindergarten funding</w:t>
      </w:r>
    </w:p>
    <w:p w14:paraId="51D38CEF" w14:textId="2668B835" w:rsidR="00982C6E" w:rsidRDefault="00982C6E">
      <w:pPr>
        <w:spacing w:after="0"/>
        <w:rPr>
          <w:rFonts w:asciiTheme="majorHAnsi" w:eastAsiaTheme="majorEastAsia" w:hAnsiTheme="majorHAnsi" w:cs="Times New Roman (Headings CS)"/>
          <w:b/>
          <w:color w:val="201547" w:themeColor="accent2"/>
          <w:sz w:val="32"/>
          <w:szCs w:val="26"/>
        </w:rPr>
      </w:pPr>
    </w:p>
    <w:p w14:paraId="3952FF15" w14:textId="52008D07" w:rsidR="00F069FC" w:rsidRDefault="00B42270" w:rsidP="007750C5">
      <w:pPr>
        <w:pStyle w:val="Heading2"/>
      </w:pPr>
      <w:r>
        <w:t>Application process</w:t>
      </w:r>
    </w:p>
    <w:p w14:paraId="18A17712" w14:textId="0C8E5FA8" w:rsidR="00235F04" w:rsidRPr="002B7478" w:rsidRDefault="00235F04" w:rsidP="00235F04">
      <w:r>
        <w:t xml:space="preserve">The application process will require services to </w:t>
      </w:r>
      <w:r w:rsidR="00982C6E">
        <w:t xml:space="preserve">respond to </w:t>
      </w:r>
      <w:r w:rsidR="00321861">
        <w:t>six</w:t>
      </w:r>
      <w:r w:rsidR="001B0A3B">
        <w:t xml:space="preserve"> </w:t>
      </w:r>
      <w:r w:rsidR="00956711">
        <w:t>selection criteria that will be scored</w:t>
      </w:r>
      <w:r w:rsidR="008A1286">
        <w:t>.  See the table below for criteria weighting.</w:t>
      </w:r>
      <w:r>
        <w:t xml:space="preserve"> </w:t>
      </w:r>
      <w:r w:rsidR="00956711">
        <w:t xml:space="preserve">Applications can only be submitted online via the </w:t>
      </w:r>
      <w:r>
        <w:t>Smarty</w:t>
      </w:r>
      <w:r w:rsidR="0090040F">
        <w:t>g</w:t>
      </w:r>
      <w:r>
        <w:t>rants platform</w:t>
      </w:r>
      <w:r w:rsidR="009F31CF">
        <w:t xml:space="preserve"> </w:t>
      </w:r>
      <w:hyperlink r:id="rId12" w:history="1">
        <w:r w:rsidR="00BC5C9E" w:rsidRPr="00331FAD">
          <w:rPr>
            <w:rStyle w:val="Hyperlink"/>
            <w:rFonts w:ascii="Helvetica" w:hAnsi="Helvetica" w:cs="Times New Roman"/>
            <w:szCs w:val="22"/>
          </w:rPr>
          <w:t>https://detearlyyears.smartygrants.com.au/InnovationGrantsR1</w:t>
        </w:r>
      </w:hyperlink>
      <w:r w:rsidR="002B7478">
        <w:rPr>
          <w:rStyle w:val="Hyperlink"/>
          <w:rFonts w:ascii="Helvetica" w:hAnsi="Helvetica" w:cs="Times New Roman"/>
          <w:szCs w:val="22"/>
          <w:u w:val="none"/>
        </w:rPr>
        <w:t>.</w:t>
      </w:r>
    </w:p>
    <w:p w14:paraId="0561B7DF" w14:textId="36C36800" w:rsidR="00235F04" w:rsidRDefault="00982C6E" w:rsidP="00235F04">
      <w:r>
        <w:lastRenderedPageBreak/>
        <w:t>As noted above o</w:t>
      </w:r>
      <w:r w:rsidR="00235F04">
        <w:t>rganisations may apply as part of a consortium. These applications must clearly identify a lead organisation.</w:t>
      </w:r>
      <w:r w:rsidR="009F31CF">
        <w:t xml:space="preserve"> The lead organisation must be an early childhood </w:t>
      </w:r>
      <w:r>
        <w:t>education and care</w:t>
      </w:r>
      <w:r w:rsidR="009F31CF">
        <w:t xml:space="preserve"> service that meets the eligibility criteria defined in </w:t>
      </w:r>
      <w:hyperlink w:anchor="_Eligibility" w:history="1">
        <w:r w:rsidR="009F31CF" w:rsidRPr="00672E85">
          <w:rPr>
            <w:rStyle w:val="Hyperlink"/>
          </w:rPr>
          <w:t xml:space="preserve">Eligibility </w:t>
        </w:r>
        <w:r w:rsidR="001F6EA2" w:rsidRPr="00672E85">
          <w:rPr>
            <w:rStyle w:val="Hyperlink"/>
          </w:rPr>
          <w:t>section</w:t>
        </w:r>
      </w:hyperlink>
      <w:r w:rsidR="00672E85">
        <w:t xml:space="preserve"> of this document</w:t>
      </w:r>
      <w:r w:rsidR="009F31CF">
        <w:rPr>
          <w:b/>
          <w:bCs/>
        </w:rPr>
        <w:t>.</w:t>
      </w:r>
    </w:p>
    <w:p w14:paraId="37CB3856" w14:textId="4CF8641B" w:rsidR="0002088D" w:rsidRDefault="00061A99" w:rsidP="0015405E">
      <w:r>
        <w:t xml:space="preserve">Any queries about the </w:t>
      </w:r>
      <w:r w:rsidR="00175EFA">
        <w:t>Innovation Grants</w:t>
      </w:r>
      <w:r>
        <w:t xml:space="preserve"> or the application process, can be directed to </w:t>
      </w:r>
      <w:hyperlink r:id="rId13" w:history="1">
        <w:r w:rsidR="00787B6D" w:rsidRPr="003D0D1D">
          <w:rPr>
            <w:rStyle w:val="Hyperlink"/>
          </w:rPr>
          <w:t>early.years.workforce.grants@education.vic.gov.au</w:t>
        </w:r>
      </w:hyperlink>
      <w:r w:rsidR="00BF4744">
        <w:t>.</w:t>
      </w:r>
    </w:p>
    <w:p w14:paraId="5F000B4B" w14:textId="326C4E0E" w:rsidR="00061A99" w:rsidRDefault="007842C5" w:rsidP="007750C5">
      <w:pPr>
        <w:pStyle w:val="Heading2"/>
      </w:pPr>
      <w:r>
        <w:t>Selection Criteria</w:t>
      </w:r>
    </w:p>
    <w:p w14:paraId="48E23F53" w14:textId="1B4D3ED7" w:rsidR="00982C6E" w:rsidRDefault="00175EFA" w:rsidP="00CC4679">
      <w:pPr>
        <w:tabs>
          <w:tab w:val="left" w:pos="709"/>
          <w:tab w:val="left" w:pos="1418"/>
          <w:tab w:val="left" w:pos="2126"/>
          <w:tab w:val="right" w:pos="9356"/>
        </w:tabs>
        <w:overflowPunct w:val="0"/>
        <w:autoSpaceDE w:val="0"/>
        <w:autoSpaceDN w:val="0"/>
        <w:adjustRightInd w:val="0"/>
        <w:spacing w:before="120"/>
        <w:textAlignment w:val="baseline"/>
        <w:rPr>
          <w:bCs/>
          <w:iCs/>
          <w:szCs w:val="20"/>
        </w:rPr>
      </w:pPr>
      <w:r>
        <w:rPr>
          <w:szCs w:val="22"/>
        </w:rPr>
        <w:t>Innovation Grant</w:t>
      </w:r>
      <w:r w:rsidR="00061A99">
        <w:rPr>
          <w:szCs w:val="22"/>
        </w:rPr>
        <w:t xml:space="preserve"> applications </w:t>
      </w:r>
      <w:r w:rsidR="007C40F2">
        <w:rPr>
          <w:szCs w:val="22"/>
        </w:rPr>
        <w:t xml:space="preserve">that meet the eligibility requirements </w:t>
      </w:r>
      <w:r w:rsidR="00061A99">
        <w:rPr>
          <w:szCs w:val="22"/>
        </w:rPr>
        <w:t>will be assessed against</w:t>
      </w:r>
      <w:r w:rsidR="008A1286">
        <w:rPr>
          <w:szCs w:val="22"/>
        </w:rPr>
        <w:t xml:space="preserve"> their responses to the </w:t>
      </w:r>
      <w:r w:rsidR="00061A99">
        <w:rPr>
          <w:szCs w:val="22"/>
        </w:rPr>
        <w:t>criteria listed below</w:t>
      </w:r>
      <w:r w:rsidR="00CC4679">
        <w:rPr>
          <w:bCs/>
          <w:iCs/>
          <w:szCs w:val="20"/>
        </w:rPr>
        <w:t xml:space="preserve">. </w:t>
      </w:r>
    </w:p>
    <w:p w14:paraId="79F12054" w14:textId="77777777" w:rsidR="00982C6E" w:rsidRDefault="00CC4679" w:rsidP="00CC4679">
      <w:pPr>
        <w:tabs>
          <w:tab w:val="left" w:pos="709"/>
          <w:tab w:val="left" w:pos="1418"/>
          <w:tab w:val="left" w:pos="2126"/>
          <w:tab w:val="right" w:pos="9356"/>
        </w:tabs>
        <w:overflowPunct w:val="0"/>
        <w:autoSpaceDE w:val="0"/>
        <w:autoSpaceDN w:val="0"/>
        <w:adjustRightInd w:val="0"/>
        <w:spacing w:before="120"/>
        <w:textAlignment w:val="baseline"/>
        <w:rPr>
          <w:bCs/>
          <w:iCs/>
          <w:szCs w:val="20"/>
        </w:rPr>
      </w:pPr>
      <w:r>
        <w:rPr>
          <w:bCs/>
          <w:iCs/>
          <w:szCs w:val="20"/>
        </w:rPr>
        <w:t>The Department will consider the geographic spread and mix of project types and sizes in the assessment process.</w:t>
      </w:r>
      <w:r w:rsidR="00A33656" w:rsidRPr="00A33656">
        <w:rPr>
          <w:bCs/>
          <w:iCs/>
          <w:szCs w:val="20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97"/>
        <w:gridCol w:w="1830"/>
      </w:tblGrid>
      <w:tr w:rsidR="00061A99" w14:paraId="38C08A04" w14:textId="77777777" w:rsidTr="00154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shd w:val="clear" w:color="auto" w:fill="F2F2F2" w:themeFill="background1" w:themeFillShade="F2"/>
          </w:tcPr>
          <w:p w14:paraId="7DAD953D" w14:textId="7D7074A6" w:rsidR="00061A99" w:rsidRPr="00A97A1D" w:rsidRDefault="008A1286" w:rsidP="00061A99">
            <w:pPr>
              <w:rPr>
                <w:color w:val="002060"/>
                <w:szCs w:val="22"/>
              </w:rPr>
            </w:pPr>
            <w:r>
              <w:rPr>
                <w:color w:val="002060"/>
                <w:szCs w:val="22"/>
              </w:rPr>
              <w:t>Selection</w:t>
            </w:r>
            <w:r w:rsidRPr="00A97A1D">
              <w:rPr>
                <w:color w:val="002060"/>
                <w:szCs w:val="22"/>
              </w:rPr>
              <w:t xml:space="preserve"> </w:t>
            </w:r>
            <w:r w:rsidR="00061A99" w:rsidRPr="00A97A1D">
              <w:rPr>
                <w:color w:val="002060"/>
                <w:szCs w:val="22"/>
              </w:rPr>
              <w:t>Criteria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14:paraId="074337CE" w14:textId="40EE67C1" w:rsidR="00061A99" w:rsidRPr="00A97A1D" w:rsidRDefault="00061A99" w:rsidP="00061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Cs w:val="22"/>
              </w:rPr>
            </w:pPr>
            <w:r w:rsidRPr="00A97A1D">
              <w:rPr>
                <w:color w:val="002060"/>
                <w:szCs w:val="22"/>
              </w:rPr>
              <w:t xml:space="preserve">Weighting </w:t>
            </w:r>
          </w:p>
        </w:tc>
      </w:tr>
      <w:tr w:rsidR="00061A99" w14:paraId="1214E450" w14:textId="77777777" w:rsidTr="0015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3A3AB8D9" w14:textId="1A6F8D11" w:rsidR="00061A99" w:rsidRPr="00061A99" w:rsidRDefault="00061A99" w:rsidP="007750C5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  <w:tab w:val="left" w:pos="1418"/>
                <w:tab w:val="left" w:pos="2126"/>
                <w:tab w:val="right" w:pos="935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Cs/>
                <w:iCs/>
                <w:szCs w:val="20"/>
              </w:rPr>
            </w:pPr>
            <w:r w:rsidRPr="00794A00">
              <w:rPr>
                <w:b/>
                <w:szCs w:val="20"/>
              </w:rPr>
              <w:t>Innovation</w:t>
            </w:r>
            <w:r>
              <w:rPr>
                <w:bCs/>
                <w:szCs w:val="20"/>
              </w:rPr>
              <w:t xml:space="preserve"> – the </w:t>
            </w:r>
            <w:r w:rsidR="00BE190E">
              <w:rPr>
                <w:bCs/>
                <w:szCs w:val="20"/>
              </w:rPr>
              <w:t>proposal</w:t>
            </w:r>
            <w:r w:rsidDel="00BE190E">
              <w:rPr>
                <w:bCs/>
                <w:szCs w:val="20"/>
              </w:rPr>
              <w:t xml:space="preserve"> </w:t>
            </w:r>
            <w:r w:rsidR="00BE190E">
              <w:rPr>
                <w:bCs/>
                <w:szCs w:val="20"/>
              </w:rPr>
              <w:t xml:space="preserve">outlines </w:t>
            </w:r>
            <w:r w:rsidR="00794A00">
              <w:rPr>
                <w:bCs/>
                <w:szCs w:val="20"/>
              </w:rPr>
              <w:t>an innovative</w:t>
            </w:r>
            <w:r>
              <w:rPr>
                <w:bCs/>
                <w:szCs w:val="20"/>
              </w:rPr>
              <w:t xml:space="preserve"> respon</w:t>
            </w:r>
            <w:r w:rsidR="00794A00">
              <w:rPr>
                <w:bCs/>
                <w:szCs w:val="20"/>
              </w:rPr>
              <w:t>se</w:t>
            </w:r>
            <w:r>
              <w:rPr>
                <w:bCs/>
                <w:szCs w:val="20"/>
              </w:rPr>
              <w:t xml:space="preserve"> to early childhood teacher retention </w:t>
            </w:r>
            <w:r w:rsidR="003E2182">
              <w:rPr>
                <w:bCs/>
                <w:szCs w:val="20"/>
              </w:rPr>
              <w:t>for</w:t>
            </w:r>
            <w:r w:rsidR="00BE190E">
              <w:rPr>
                <w:bCs/>
                <w:szCs w:val="20"/>
              </w:rPr>
              <w:t xml:space="preserve"> teachers in the first five years of their career</w:t>
            </w:r>
          </w:p>
        </w:tc>
        <w:tc>
          <w:tcPr>
            <w:tcW w:w="1830" w:type="dxa"/>
          </w:tcPr>
          <w:p w14:paraId="79D24102" w14:textId="26AA6CDD" w:rsidR="00061A99" w:rsidRDefault="00061A99" w:rsidP="00061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40%</w:t>
            </w:r>
          </w:p>
        </w:tc>
      </w:tr>
      <w:tr w:rsidR="00061A99" w14:paraId="04BA6E66" w14:textId="77777777" w:rsidTr="0015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763B0AD5" w14:textId="2D018FA1" w:rsidR="00061A99" w:rsidRPr="00794A00" w:rsidRDefault="00061A99" w:rsidP="007750C5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  <w:tab w:val="left" w:pos="1418"/>
                <w:tab w:val="left" w:pos="2126"/>
                <w:tab w:val="right" w:pos="935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Cs/>
                <w:iCs/>
                <w:szCs w:val="20"/>
              </w:rPr>
            </w:pPr>
            <w:r w:rsidRPr="00794A00">
              <w:rPr>
                <w:b/>
                <w:szCs w:val="20"/>
              </w:rPr>
              <w:t>Retention outcomes / benefits</w:t>
            </w:r>
            <w:r>
              <w:rPr>
                <w:bCs/>
                <w:szCs w:val="20"/>
              </w:rPr>
              <w:t xml:space="preserve"> – the </w:t>
            </w:r>
            <w:r w:rsidR="007C40F2">
              <w:rPr>
                <w:bCs/>
                <w:szCs w:val="20"/>
              </w:rPr>
              <w:t xml:space="preserve">proposal </w:t>
            </w:r>
            <w:r>
              <w:rPr>
                <w:bCs/>
                <w:szCs w:val="20"/>
              </w:rPr>
              <w:t xml:space="preserve">clearly outlines the </w:t>
            </w:r>
            <w:r w:rsidR="00D941A8">
              <w:rPr>
                <w:bCs/>
                <w:szCs w:val="20"/>
              </w:rPr>
              <w:t xml:space="preserve">expected </w:t>
            </w:r>
            <w:r>
              <w:rPr>
                <w:bCs/>
                <w:szCs w:val="20"/>
              </w:rPr>
              <w:t xml:space="preserve">benefits and outcomes of the project </w:t>
            </w:r>
            <w:r w:rsidR="007C40F2">
              <w:rPr>
                <w:bCs/>
                <w:szCs w:val="20"/>
              </w:rPr>
              <w:t>in retaining early childhood teachers in the first five years of their careers</w:t>
            </w:r>
          </w:p>
        </w:tc>
        <w:tc>
          <w:tcPr>
            <w:tcW w:w="1830" w:type="dxa"/>
          </w:tcPr>
          <w:p w14:paraId="521B8497" w14:textId="0F485053" w:rsidR="00061A99" w:rsidRDefault="005A0DCE" w:rsidP="00061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061A99">
              <w:rPr>
                <w:szCs w:val="22"/>
              </w:rPr>
              <w:t>0%</w:t>
            </w:r>
          </w:p>
        </w:tc>
      </w:tr>
      <w:tr w:rsidR="00061A99" w14:paraId="20FC2EF7" w14:textId="77777777" w:rsidTr="0015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7E628E3B" w14:textId="73AA8740" w:rsidR="00061A99" w:rsidRDefault="0024110B" w:rsidP="007750C5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  <w:tab w:val="left" w:pos="1418"/>
                <w:tab w:val="left" w:pos="2126"/>
                <w:tab w:val="right" w:pos="935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Cs/>
                <w:szCs w:val="20"/>
              </w:rPr>
            </w:pPr>
            <w:r>
              <w:rPr>
                <w:b/>
                <w:szCs w:val="20"/>
              </w:rPr>
              <w:t>Sustainability / s</w:t>
            </w:r>
            <w:r w:rsidR="00061A99" w:rsidRPr="00E16E2B">
              <w:rPr>
                <w:b/>
                <w:szCs w:val="20"/>
              </w:rPr>
              <w:t>calability potential</w:t>
            </w:r>
            <w:r w:rsidR="00061A99">
              <w:rPr>
                <w:bCs/>
                <w:szCs w:val="20"/>
              </w:rPr>
              <w:t xml:space="preserve"> –</w:t>
            </w:r>
            <w:r>
              <w:rPr>
                <w:bCs/>
                <w:szCs w:val="20"/>
              </w:rPr>
              <w:t xml:space="preserve">The proposal outlines </w:t>
            </w:r>
            <w:r w:rsidR="003E2182">
              <w:rPr>
                <w:bCs/>
                <w:szCs w:val="20"/>
              </w:rPr>
              <w:t xml:space="preserve">how the project will be </w:t>
            </w:r>
            <w:r w:rsidR="00792FD8">
              <w:rPr>
                <w:bCs/>
                <w:szCs w:val="20"/>
              </w:rPr>
              <w:t>sustain</w:t>
            </w:r>
            <w:r w:rsidR="003E2182">
              <w:rPr>
                <w:bCs/>
                <w:szCs w:val="20"/>
              </w:rPr>
              <w:t>ed</w:t>
            </w:r>
            <w:r w:rsidR="00792FD8">
              <w:rPr>
                <w:bCs/>
                <w:szCs w:val="20"/>
              </w:rPr>
              <w:t xml:space="preserve"> </w:t>
            </w:r>
            <w:r w:rsidR="000D6D01">
              <w:rPr>
                <w:bCs/>
                <w:szCs w:val="20"/>
              </w:rPr>
              <w:t>beyond the grant funding</w:t>
            </w:r>
            <w:r w:rsidR="003E2182">
              <w:rPr>
                <w:bCs/>
                <w:szCs w:val="20"/>
              </w:rPr>
              <w:t xml:space="preserve"> and could be introduced in other </w:t>
            </w:r>
            <w:r w:rsidR="004A4427">
              <w:rPr>
                <w:bCs/>
                <w:szCs w:val="20"/>
              </w:rPr>
              <w:t xml:space="preserve">early childhood </w:t>
            </w:r>
            <w:r w:rsidR="003E2182">
              <w:rPr>
                <w:bCs/>
                <w:szCs w:val="20"/>
              </w:rPr>
              <w:t xml:space="preserve">services </w:t>
            </w:r>
            <w:r>
              <w:rPr>
                <w:bCs/>
                <w:szCs w:val="20"/>
              </w:rPr>
              <w:t>should it be successful</w:t>
            </w:r>
          </w:p>
        </w:tc>
        <w:tc>
          <w:tcPr>
            <w:tcW w:w="1830" w:type="dxa"/>
          </w:tcPr>
          <w:p w14:paraId="25F772CF" w14:textId="2FAAE306" w:rsidR="00061A99" w:rsidRDefault="00982C6E" w:rsidP="00061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061A99">
              <w:rPr>
                <w:szCs w:val="22"/>
              </w:rPr>
              <w:t>%</w:t>
            </w:r>
          </w:p>
        </w:tc>
      </w:tr>
      <w:tr w:rsidR="00061A99" w14:paraId="2FF83110" w14:textId="77777777" w:rsidTr="0015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75C10681" w14:textId="583D2874" w:rsidR="00061A99" w:rsidRPr="00CC4679" w:rsidRDefault="00061A99" w:rsidP="007750C5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  <w:tab w:val="left" w:pos="1418"/>
                <w:tab w:val="left" w:pos="2126"/>
                <w:tab w:val="right" w:pos="935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Cs/>
                <w:iCs/>
                <w:szCs w:val="20"/>
              </w:rPr>
            </w:pPr>
            <w:r w:rsidRPr="00E16E2B">
              <w:rPr>
                <w:b/>
                <w:szCs w:val="20"/>
              </w:rPr>
              <w:t>Project management / evaluation</w:t>
            </w:r>
            <w:r>
              <w:rPr>
                <w:bCs/>
                <w:szCs w:val="20"/>
              </w:rPr>
              <w:t xml:space="preserve"> – the </w:t>
            </w:r>
            <w:r w:rsidR="007C40F2">
              <w:rPr>
                <w:bCs/>
                <w:szCs w:val="20"/>
              </w:rPr>
              <w:t xml:space="preserve">proposal details </w:t>
            </w:r>
            <w:r>
              <w:rPr>
                <w:bCs/>
                <w:szCs w:val="20"/>
              </w:rPr>
              <w:t>the organisation</w:t>
            </w:r>
            <w:r w:rsidR="00E16E2B">
              <w:rPr>
                <w:bCs/>
                <w:szCs w:val="20"/>
              </w:rPr>
              <w:t>’s capacity</w:t>
            </w:r>
            <w:r>
              <w:rPr>
                <w:bCs/>
                <w:szCs w:val="20"/>
              </w:rPr>
              <w:t xml:space="preserve"> to manage </w:t>
            </w:r>
            <w:r w:rsidR="00E16E2B">
              <w:rPr>
                <w:bCs/>
                <w:szCs w:val="20"/>
              </w:rPr>
              <w:t xml:space="preserve">the </w:t>
            </w:r>
            <w:r w:rsidR="00397B51">
              <w:rPr>
                <w:bCs/>
                <w:szCs w:val="20"/>
              </w:rPr>
              <w:t xml:space="preserve">project to </w:t>
            </w:r>
            <w:r w:rsidR="00E16E2B">
              <w:rPr>
                <w:bCs/>
                <w:szCs w:val="20"/>
              </w:rPr>
              <w:t>completion</w:t>
            </w:r>
            <w:r w:rsidR="005A0DCE">
              <w:rPr>
                <w:bCs/>
                <w:szCs w:val="20"/>
              </w:rPr>
              <w:t xml:space="preserve"> and provide evidence of success</w:t>
            </w:r>
            <w:r w:rsidR="00397B51">
              <w:rPr>
                <w:bCs/>
                <w:szCs w:val="20"/>
              </w:rPr>
              <w:t xml:space="preserve"> back to the Department</w:t>
            </w:r>
          </w:p>
        </w:tc>
        <w:tc>
          <w:tcPr>
            <w:tcW w:w="1830" w:type="dxa"/>
          </w:tcPr>
          <w:p w14:paraId="092372CF" w14:textId="49D42F90" w:rsidR="00061A99" w:rsidRDefault="00982C6E" w:rsidP="00061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061A99">
              <w:rPr>
                <w:szCs w:val="22"/>
              </w:rPr>
              <w:t>%</w:t>
            </w:r>
          </w:p>
        </w:tc>
      </w:tr>
      <w:tr w:rsidR="00982C6E" w14:paraId="14BE047D" w14:textId="77777777" w:rsidTr="0015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6FE5E818" w14:textId="6C31895B" w:rsidR="00982C6E" w:rsidRPr="00E16E2B" w:rsidRDefault="00982C6E" w:rsidP="007750C5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  <w:tab w:val="left" w:pos="1418"/>
                <w:tab w:val="left" w:pos="2126"/>
                <w:tab w:val="right" w:pos="935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Number of early career ECTs supported</w:t>
            </w:r>
            <w:r>
              <w:rPr>
                <w:bCs/>
                <w:szCs w:val="20"/>
              </w:rPr>
              <w:t xml:space="preserve"> – the number of early career ECTs that would be supported by the </w:t>
            </w:r>
            <w:r w:rsidR="00A0034D">
              <w:rPr>
                <w:bCs/>
                <w:szCs w:val="20"/>
              </w:rPr>
              <w:t>initiative</w:t>
            </w:r>
          </w:p>
        </w:tc>
        <w:tc>
          <w:tcPr>
            <w:tcW w:w="1830" w:type="dxa"/>
          </w:tcPr>
          <w:p w14:paraId="6205D4B5" w14:textId="1B49EA90" w:rsidR="00982C6E" w:rsidRDefault="00982C6E" w:rsidP="00061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5%</w:t>
            </w:r>
          </w:p>
        </w:tc>
      </w:tr>
      <w:tr w:rsidR="00982C6E" w14:paraId="3AC2A933" w14:textId="77777777" w:rsidTr="0015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4A8E432F" w14:textId="53A5C646" w:rsidR="00982C6E" w:rsidRDefault="00982C6E" w:rsidP="007750C5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  <w:tab w:val="left" w:pos="1418"/>
                <w:tab w:val="left" w:pos="2126"/>
                <w:tab w:val="right" w:pos="935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Socioeconomic disadvantage of the service/s</w:t>
            </w:r>
            <w:r>
              <w:rPr>
                <w:bCs/>
                <w:szCs w:val="20"/>
              </w:rPr>
              <w:t xml:space="preserve"> – the level of socioeconomic disadvantage as measured by </w:t>
            </w:r>
            <w:r w:rsidR="00A0034D">
              <w:t>Student Family Occupation Education (</w:t>
            </w:r>
            <w:r>
              <w:rPr>
                <w:bCs/>
                <w:szCs w:val="20"/>
              </w:rPr>
              <w:t>SFOE</w:t>
            </w:r>
            <w:r w:rsidR="00A0034D">
              <w:rPr>
                <w:bCs/>
                <w:szCs w:val="20"/>
              </w:rPr>
              <w:t>) data</w:t>
            </w:r>
            <w:r w:rsidR="00183EE3">
              <w:rPr>
                <w:bCs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</w:p>
          <w:p w14:paraId="285CFB50" w14:textId="760E4F55" w:rsidR="00183EE3" w:rsidRPr="00183EE3" w:rsidRDefault="00183EE3" w:rsidP="00183EE3">
            <w:r>
              <w:rPr>
                <w:b/>
                <w:szCs w:val="20"/>
              </w:rPr>
              <w:t xml:space="preserve">Update 17/06/21: </w:t>
            </w:r>
            <w:r w:rsidRPr="00183EE3">
              <w:t>The SFOE indexed data of the service/s will be accessed internally by the Department and will be used in the assessment of your application with the 5% weighting allocated as described in the guidelines. You do not need to supply this data yourself. You are welcome to provide a response that addresses the criterion</w:t>
            </w:r>
            <w:r w:rsidRPr="00183EE3">
              <w:rPr>
                <w:i/>
                <w:iCs/>
              </w:rPr>
              <w:t> </w:t>
            </w:r>
            <w:r w:rsidRPr="00183EE3">
              <w:t>without the SFOE data.</w:t>
            </w:r>
          </w:p>
        </w:tc>
        <w:tc>
          <w:tcPr>
            <w:tcW w:w="1830" w:type="dxa"/>
          </w:tcPr>
          <w:p w14:paraId="1221EE61" w14:textId="259CB1E5" w:rsidR="00982C6E" w:rsidRDefault="00982C6E" w:rsidP="00061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5%</w:t>
            </w:r>
          </w:p>
        </w:tc>
      </w:tr>
      <w:tr w:rsidR="00A0034D" w14:paraId="7E36BFFD" w14:textId="77777777" w:rsidTr="0015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6D6B0542" w14:textId="5853B20C" w:rsidR="00A0034D" w:rsidRPr="00A0034D" w:rsidRDefault="00A0034D" w:rsidP="00A0034D">
            <w:pPr>
              <w:tabs>
                <w:tab w:val="left" w:pos="709"/>
                <w:tab w:val="left" w:pos="1418"/>
                <w:tab w:val="left" w:pos="2126"/>
                <w:tab w:val="right" w:pos="935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TOTAL</w:t>
            </w:r>
          </w:p>
        </w:tc>
        <w:tc>
          <w:tcPr>
            <w:tcW w:w="1830" w:type="dxa"/>
          </w:tcPr>
          <w:p w14:paraId="3DB5B03C" w14:textId="48C7359C" w:rsidR="00A0034D" w:rsidRDefault="00A0034D" w:rsidP="00061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100%</w:t>
            </w:r>
          </w:p>
        </w:tc>
      </w:tr>
    </w:tbl>
    <w:p w14:paraId="1A2B7620" w14:textId="77777777" w:rsidR="00061A99" w:rsidRPr="00061A99" w:rsidRDefault="00061A99" w:rsidP="00061A99">
      <w:pPr>
        <w:ind w:left="360"/>
        <w:rPr>
          <w:szCs w:val="22"/>
        </w:rPr>
      </w:pPr>
    </w:p>
    <w:p w14:paraId="2B860C9B" w14:textId="1FC8209A" w:rsidR="00CC4679" w:rsidRDefault="00FE552E" w:rsidP="007750C5">
      <w:pPr>
        <w:pStyle w:val="Heading2"/>
      </w:pPr>
      <w:bookmarkStart w:id="5" w:name="_Hlk68178438"/>
      <w:r>
        <w:lastRenderedPageBreak/>
        <w:t>Notification of grant outcome</w:t>
      </w:r>
    </w:p>
    <w:bookmarkEnd w:id="5"/>
    <w:p w14:paraId="67BC4D4E" w14:textId="75A1DD90" w:rsidR="00FE552E" w:rsidRDefault="00CC4679" w:rsidP="00220D4B">
      <w:pPr>
        <w:rPr>
          <w:szCs w:val="22"/>
        </w:rPr>
      </w:pPr>
      <w:r w:rsidRPr="00CC4679">
        <w:rPr>
          <w:szCs w:val="22"/>
        </w:rPr>
        <w:t xml:space="preserve">Applicants </w:t>
      </w:r>
      <w:r>
        <w:rPr>
          <w:szCs w:val="22"/>
        </w:rPr>
        <w:t>will be informed in writing of the outcome of</w:t>
      </w:r>
      <w:r w:rsidR="00FE552E">
        <w:rPr>
          <w:szCs w:val="22"/>
        </w:rPr>
        <w:t xml:space="preserve"> their grant application following the completion of</w:t>
      </w:r>
      <w:r>
        <w:rPr>
          <w:szCs w:val="22"/>
        </w:rPr>
        <w:t xml:space="preserve"> the assessment process. </w:t>
      </w:r>
      <w:r w:rsidR="00FE552E">
        <w:rPr>
          <w:szCs w:val="22"/>
        </w:rPr>
        <w:t xml:space="preserve">See the </w:t>
      </w:r>
      <w:hyperlink w:anchor="_Key_Dates" w:history="1">
        <w:r w:rsidR="00FE552E" w:rsidRPr="00672E85">
          <w:rPr>
            <w:rStyle w:val="Hyperlink"/>
            <w:szCs w:val="22"/>
          </w:rPr>
          <w:t>Key Dates</w:t>
        </w:r>
      </w:hyperlink>
      <w:r w:rsidR="00FE552E">
        <w:rPr>
          <w:szCs w:val="22"/>
        </w:rPr>
        <w:t xml:space="preserve"> section for more information.</w:t>
      </w:r>
    </w:p>
    <w:p w14:paraId="2ACA41CA" w14:textId="7DE7940D" w:rsidR="00CC4679" w:rsidRPr="002B7478" w:rsidRDefault="00FE552E" w:rsidP="00220D4B">
      <w:pPr>
        <w:rPr>
          <w:szCs w:val="22"/>
        </w:rPr>
      </w:pPr>
      <w:r>
        <w:rPr>
          <w:szCs w:val="22"/>
        </w:rPr>
        <w:t>Successful applications will be required to confirm their a</w:t>
      </w:r>
      <w:r w:rsidR="00CC4679">
        <w:rPr>
          <w:szCs w:val="22"/>
        </w:rPr>
        <w:t>cceptance of offers for funding in writing and will need to be signed by the accepting organisation and uploaded onto the Smartygrants website at</w:t>
      </w:r>
      <w:r w:rsidR="00BC5C9E">
        <w:rPr>
          <w:szCs w:val="22"/>
        </w:rPr>
        <w:t xml:space="preserve"> </w:t>
      </w:r>
      <w:hyperlink r:id="rId14" w:history="1">
        <w:r w:rsidR="00BC5C9E" w:rsidRPr="00331FAD">
          <w:rPr>
            <w:rStyle w:val="Hyperlink"/>
            <w:rFonts w:ascii="Helvetica" w:hAnsi="Helvetica" w:cs="Times New Roman"/>
            <w:szCs w:val="22"/>
          </w:rPr>
          <w:t>https://detearlyyears.smartygrants.com.au/InnovationGrantsR1</w:t>
        </w:r>
      </w:hyperlink>
      <w:r w:rsidR="002B7478">
        <w:rPr>
          <w:rStyle w:val="Hyperlink"/>
          <w:rFonts w:ascii="Helvetica" w:hAnsi="Helvetica" w:cs="Times New Roman"/>
          <w:szCs w:val="22"/>
          <w:u w:val="none"/>
        </w:rPr>
        <w:t>.</w:t>
      </w:r>
    </w:p>
    <w:p w14:paraId="2DCBEE47" w14:textId="36A13231" w:rsidR="00CC4679" w:rsidRDefault="003E507D" w:rsidP="007750C5">
      <w:pPr>
        <w:pStyle w:val="Heading2"/>
      </w:pPr>
      <w:r>
        <w:t>Contracting and payment</w:t>
      </w:r>
    </w:p>
    <w:p w14:paraId="22BFF47D" w14:textId="77777777" w:rsidR="00A33656" w:rsidRDefault="00A33656" w:rsidP="00A33656">
      <w:pPr>
        <w:rPr>
          <w:szCs w:val="22"/>
        </w:rPr>
      </w:pPr>
      <w:r w:rsidRPr="00CC4679">
        <w:rPr>
          <w:szCs w:val="22"/>
        </w:rPr>
        <w:t xml:space="preserve">Funding to successful </w:t>
      </w:r>
      <w:r>
        <w:rPr>
          <w:szCs w:val="22"/>
        </w:rPr>
        <w:t>organisations</w:t>
      </w:r>
      <w:r w:rsidRPr="00CC4679">
        <w:rPr>
          <w:szCs w:val="22"/>
        </w:rPr>
        <w:t xml:space="preserve"> will be distributed through existing </w:t>
      </w:r>
      <w:r>
        <w:rPr>
          <w:szCs w:val="22"/>
        </w:rPr>
        <w:t xml:space="preserve">agreements in the </w:t>
      </w:r>
      <w:r>
        <w:t>Kindergarten Information Management System</w:t>
      </w:r>
      <w:r w:rsidRPr="00CC4679">
        <w:rPr>
          <w:szCs w:val="22"/>
        </w:rPr>
        <w:t>.</w:t>
      </w:r>
    </w:p>
    <w:p w14:paraId="0A0AA8CA" w14:textId="3ACCBA61" w:rsidR="00E16E2B" w:rsidRDefault="00E16E2B" w:rsidP="00220D4B">
      <w:pPr>
        <w:rPr>
          <w:szCs w:val="22"/>
        </w:rPr>
      </w:pPr>
      <w:r>
        <w:rPr>
          <w:szCs w:val="22"/>
        </w:rPr>
        <w:t xml:space="preserve">In the case of </w:t>
      </w:r>
      <w:r w:rsidR="00BE190E">
        <w:rPr>
          <w:szCs w:val="22"/>
        </w:rPr>
        <w:t>consortiums</w:t>
      </w:r>
      <w:r>
        <w:rPr>
          <w:szCs w:val="22"/>
        </w:rPr>
        <w:t xml:space="preserve">, funding will be allocated to the lead organisation </w:t>
      </w:r>
      <w:r w:rsidR="007A5E58">
        <w:rPr>
          <w:szCs w:val="22"/>
        </w:rPr>
        <w:t>that</w:t>
      </w:r>
      <w:r>
        <w:rPr>
          <w:szCs w:val="22"/>
        </w:rPr>
        <w:t xml:space="preserve"> is already delivering a </w:t>
      </w:r>
      <w:r w:rsidR="00346F4D">
        <w:rPr>
          <w:szCs w:val="22"/>
        </w:rPr>
        <w:t>Victorian</w:t>
      </w:r>
      <w:r>
        <w:rPr>
          <w:szCs w:val="22"/>
        </w:rPr>
        <w:t>-funded kindergarten program. The lead organisation will be responsible for dispersing funding to other partner organisations.</w:t>
      </w:r>
    </w:p>
    <w:p w14:paraId="6175110D" w14:textId="285B9742" w:rsidR="003F498F" w:rsidRPr="00A97A1D" w:rsidRDefault="003F498F" w:rsidP="007750C5">
      <w:pPr>
        <w:pStyle w:val="Heading2"/>
      </w:pPr>
      <w:r w:rsidRPr="00A97A1D">
        <w:t>Project reporting</w:t>
      </w:r>
      <w:r w:rsidR="00BE190E">
        <w:t xml:space="preserve"> and financial</w:t>
      </w:r>
      <w:r w:rsidR="007C40F2">
        <w:t xml:space="preserve"> acquittal </w:t>
      </w:r>
    </w:p>
    <w:p w14:paraId="0E23B117" w14:textId="43F88A3B" w:rsidR="00BE190E" w:rsidRDefault="003F498F">
      <w:pPr>
        <w:rPr>
          <w:szCs w:val="22"/>
        </w:rPr>
      </w:pPr>
      <w:r>
        <w:rPr>
          <w:szCs w:val="22"/>
        </w:rPr>
        <w:t>A mid-point</w:t>
      </w:r>
      <w:r w:rsidDel="00BE190E">
        <w:rPr>
          <w:szCs w:val="22"/>
        </w:rPr>
        <w:t xml:space="preserve"> </w:t>
      </w:r>
      <w:r w:rsidR="00BE190E">
        <w:rPr>
          <w:szCs w:val="22"/>
        </w:rPr>
        <w:t xml:space="preserve">and final project </w:t>
      </w:r>
      <w:r>
        <w:rPr>
          <w:szCs w:val="22"/>
        </w:rPr>
        <w:t xml:space="preserve">report </w:t>
      </w:r>
      <w:r w:rsidR="00BE190E">
        <w:rPr>
          <w:szCs w:val="22"/>
        </w:rPr>
        <w:t xml:space="preserve">that includes an acquittal of </w:t>
      </w:r>
      <w:r w:rsidR="00175EFA">
        <w:rPr>
          <w:szCs w:val="22"/>
        </w:rPr>
        <w:t>Innovation Grant</w:t>
      </w:r>
      <w:r w:rsidR="00BE190E">
        <w:rPr>
          <w:szCs w:val="22"/>
        </w:rPr>
        <w:t xml:space="preserve"> funding will be required in a format as agreed with the Department.  </w:t>
      </w:r>
    </w:p>
    <w:p w14:paraId="4BFA08C1" w14:textId="424B45CB" w:rsidR="00917D60" w:rsidRDefault="00917D60">
      <w:pPr>
        <w:rPr>
          <w:szCs w:val="22"/>
        </w:rPr>
      </w:pPr>
      <w:r>
        <w:rPr>
          <w:szCs w:val="22"/>
        </w:rPr>
        <w:t>The</w:t>
      </w:r>
      <w:r w:rsidDel="00BE190E">
        <w:rPr>
          <w:szCs w:val="22"/>
        </w:rPr>
        <w:t xml:space="preserve"> </w:t>
      </w:r>
      <w:r>
        <w:rPr>
          <w:szCs w:val="22"/>
        </w:rPr>
        <w:t xml:space="preserve">information </w:t>
      </w:r>
      <w:r w:rsidR="00BE190E">
        <w:rPr>
          <w:szCs w:val="22"/>
        </w:rPr>
        <w:t xml:space="preserve">included in reports may be published or promoted by the Department </w:t>
      </w:r>
      <w:r w:rsidR="00FE552E">
        <w:rPr>
          <w:szCs w:val="22"/>
        </w:rPr>
        <w:t>with the</w:t>
      </w:r>
      <w:r w:rsidR="00BE190E">
        <w:rPr>
          <w:szCs w:val="22"/>
        </w:rPr>
        <w:t xml:space="preserve"> agreement </w:t>
      </w:r>
      <w:r w:rsidR="00FE552E">
        <w:rPr>
          <w:szCs w:val="22"/>
        </w:rPr>
        <w:t>of</w:t>
      </w:r>
      <w:r w:rsidR="00BE190E">
        <w:rPr>
          <w:szCs w:val="22"/>
        </w:rPr>
        <w:t xml:space="preserve"> </w:t>
      </w:r>
      <w:r w:rsidR="00175EFA">
        <w:rPr>
          <w:szCs w:val="22"/>
        </w:rPr>
        <w:t>Innovation Grant</w:t>
      </w:r>
      <w:r w:rsidR="00BE190E">
        <w:rPr>
          <w:szCs w:val="22"/>
        </w:rPr>
        <w:t xml:space="preserve"> recipients</w:t>
      </w:r>
      <w:r>
        <w:rPr>
          <w:szCs w:val="22"/>
        </w:rPr>
        <w:t>.</w:t>
      </w:r>
    </w:p>
    <w:p w14:paraId="62D1F904" w14:textId="77777777" w:rsidR="00FE552E" w:rsidRPr="00524B63" w:rsidRDefault="00FE552E" w:rsidP="008732D6">
      <w:pPr>
        <w:pStyle w:val="Heading2"/>
      </w:pPr>
      <w:bookmarkStart w:id="6" w:name="_Key_Dates"/>
      <w:bookmarkEnd w:id="6"/>
      <w:r w:rsidRPr="00524B63">
        <w:t>Key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99"/>
      </w:tblGrid>
      <w:tr w:rsidR="00FE552E" w:rsidRPr="005F114C" w14:paraId="751FDA47" w14:textId="77777777" w:rsidTr="00164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single" w:sz="4" w:space="0" w:color="auto"/>
            </w:tcBorders>
          </w:tcPr>
          <w:p w14:paraId="2C4B0C42" w14:textId="77777777" w:rsidR="00FE552E" w:rsidRPr="005F114C" w:rsidRDefault="00FE552E" w:rsidP="00164BF5">
            <w:pPr>
              <w:pStyle w:val="ListParagraph"/>
              <w:ind w:left="0"/>
              <w:rPr>
                <w:szCs w:val="22"/>
              </w:rPr>
            </w:pPr>
            <w:r w:rsidRPr="005F114C">
              <w:rPr>
                <w:szCs w:val="22"/>
              </w:rPr>
              <w:t>Activity</w:t>
            </w: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14:paraId="562218D7" w14:textId="77777777" w:rsidR="00FE552E" w:rsidRPr="005F114C" w:rsidRDefault="00FE552E" w:rsidP="00164BF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5F114C">
              <w:rPr>
                <w:szCs w:val="22"/>
              </w:rPr>
              <w:t>Date</w:t>
            </w:r>
          </w:p>
        </w:tc>
      </w:tr>
      <w:tr w:rsidR="00FE552E" w:rsidRPr="005F114C" w14:paraId="0F038988" w14:textId="77777777" w:rsidTr="00164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BE64" w14:textId="77777777" w:rsidR="00FE552E" w:rsidRPr="005F114C" w:rsidRDefault="00FE552E" w:rsidP="00164BF5">
            <w:pPr>
              <w:pStyle w:val="ListParagraph"/>
              <w:ind w:left="0"/>
              <w:rPr>
                <w:szCs w:val="22"/>
              </w:rPr>
            </w:pPr>
            <w:r w:rsidRPr="005F114C">
              <w:rPr>
                <w:szCs w:val="22"/>
              </w:rPr>
              <w:t>Applications open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F20D" w14:textId="4C36EF51" w:rsidR="00FE552E" w:rsidRPr="00175EFA" w:rsidRDefault="00633830" w:rsidP="00164BF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12</w:t>
            </w:r>
            <w:r w:rsidR="00A33656" w:rsidRPr="00175EFA">
              <w:rPr>
                <w:color w:val="000000" w:themeColor="text1"/>
                <w:szCs w:val="22"/>
              </w:rPr>
              <w:t xml:space="preserve"> May</w:t>
            </w:r>
            <w:r w:rsidR="00FE552E" w:rsidRPr="00175EFA">
              <w:rPr>
                <w:color w:val="000000" w:themeColor="text1"/>
                <w:szCs w:val="22"/>
              </w:rPr>
              <w:t xml:space="preserve"> 2021</w:t>
            </w:r>
          </w:p>
        </w:tc>
      </w:tr>
      <w:tr w:rsidR="00FE552E" w:rsidRPr="005F114C" w14:paraId="0268028E" w14:textId="77777777" w:rsidTr="00164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29CF" w14:textId="77777777" w:rsidR="00FE552E" w:rsidRDefault="00FE552E" w:rsidP="00164BF5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Applications close</w:t>
            </w:r>
          </w:p>
          <w:p w14:paraId="15BFF1B6" w14:textId="5F334BE7" w:rsidR="00330395" w:rsidRPr="005F114C" w:rsidRDefault="00330395" w:rsidP="00164BF5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DC8" w14:textId="77777777" w:rsidR="00FE552E" w:rsidRPr="0005398B" w:rsidRDefault="00633830" w:rsidP="00164BF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000000" w:themeColor="text1"/>
                <w:szCs w:val="22"/>
              </w:rPr>
            </w:pPr>
            <w:r w:rsidRPr="0005398B">
              <w:rPr>
                <w:strike/>
                <w:color w:val="000000" w:themeColor="text1"/>
                <w:szCs w:val="22"/>
              </w:rPr>
              <w:t>21</w:t>
            </w:r>
            <w:r w:rsidR="00CC364F" w:rsidRPr="0005398B">
              <w:rPr>
                <w:strike/>
                <w:color w:val="000000" w:themeColor="text1"/>
                <w:szCs w:val="22"/>
              </w:rPr>
              <w:t xml:space="preserve"> June</w:t>
            </w:r>
            <w:r w:rsidR="00FE552E" w:rsidRPr="0005398B">
              <w:rPr>
                <w:strike/>
                <w:color w:val="000000" w:themeColor="text1"/>
                <w:szCs w:val="22"/>
              </w:rPr>
              <w:t xml:space="preserve"> 2021</w:t>
            </w:r>
            <w:r w:rsidRPr="0005398B">
              <w:rPr>
                <w:strike/>
                <w:color w:val="000000" w:themeColor="text1"/>
                <w:szCs w:val="22"/>
              </w:rPr>
              <w:t xml:space="preserve"> (2:00pm)</w:t>
            </w:r>
          </w:p>
          <w:p w14:paraId="7FA89BA5" w14:textId="563E74FE" w:rsidR="00330395" w:rsidRPr="00175EFA" w:rsidRDefault="00330395" w:rsidP="00164BF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>
              <w:rPr>
                <w:szCs w:val="22"/>
              </w:rPr>
              <w:t>Closing date has been extended</w:t>
            </w:r>
            <w:r>
              <w:rPr>
                <w:szCs w:val="22"/>
              </w:rPr>
              <w:t xml:space="preserve"> to 5pm 2 July 2021</w:t>
            </w:r>
          </w:p>
        </w:tc>
      </w:tr>
      <w:tr w:rsidR="00FE552E" w:rsidRPr="005F114C" w14:paraId="3AE44073" w14:textId="77777777" w:rsidTr="00164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AD91" w14:textId="77777777" w:rsidR="00FE552E" w:rsidRDefault="00FE552E" w:rsidP="00164BF5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Notification of outcome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56C" w14:textId="04B2ED9F" w:rsidR="00FE552E" w:rsidRDefault="00CC364F" w:rsidP="00164BF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Mid-</w:t>
            </w:r>
            <w:r w:rsidR="00633830">
              <w:rPr>
                <w:color w:val="000000" w:themeColor="text1"/>
                <w:szCs w:val="22"/>
              </w:rPr>
              <w:t>late July</w:t>
            </w:r>
            <w:r w:rsidR="00FE552E">
              <w:rPr>
                <w:color w:val="000000" w:themeColor="text1"/>
                <w:szCs w:val="22"/>
              </w:rPr>
              <w:t xml:space="preserve"> 2021</w:t>
            </w:r>
          </w:p>
        </w:tc>
      </w:tr>
      <w:tr w:rsidR="00FE552E" w:rsidRPr="005F114C" w14:paraId="1CB7B0A1" w14:textId="77777777" w:rsidTr="00164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8CD" w14:textId="77777777" w:rsidR="00FE552E" w:rsidRDefault="00FE552E" w:rsidP="00164BF5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Grant payment and project commencement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D62F" w14:textId="4E246794" w:rsidR="00FE552E" w:rsidRDefault="00CC364F" w:rsidP="00164BF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Mid-late July</w:t>
            </w:r>
            <w:r w:rsidR="00FE552E">
              <w:rPr>
                <w:color w:val="000000" w:themeColor="text1"/>
                <w:szCs w:val="22"/>
              </w:rPr>
              <w:t xml:space="preserve"> 2021</w:t>
            </w:r>
          </w:p>
        </w:tc>
      </w:tr>
      <w:tr w:rsidR="00FE552E" w:rsidRPr="005F114C" w14:paraId="77758F46" w14:textId="77777777" w:rsidTr="00164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C503" w14:textId="77777777" w:rsidR="00FE552E" w:rsidRDefault="00FE552E" w:rsidP="00164BF5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Project mid-point reporting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A97" w14:textId="77777777" w:rsidR="00FE552E" w:rsidRDefault="00FE552E" w:rsidP="00164BF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Half-way through funded project</w:t>
            </w:r>
          </w:p>
        </w:tc>
      </w:tr>
      <w:tr w:rsidR="00FE552E" w:rsidRPr="005F114C" w14:paraId="458D2D2E" w14:textId="77777777" w:rsidTr="00164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6A43" w14:textId="77777777" w:rsidR="00FE552E" w:rsidRDefault="00FE552E" w:rsidP="00164BF5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Final Project Report due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73AB" w14:textId="77777777" w:rsidR="00FE552E" w:rsidRDefault="00FE552E" w:rsidP="00164BF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One month following project end date</w:t>
            </w:r>
          </w:p>
        </w:tc>
      </w:tr>
      <w:tr w:rsidR="00FE552E" w:rsidRPr="005F114C" w14:paraId="38BEFAE0" w14:textId="77777777" w:rsidTr="00164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112E" w14:textId="77777777" w:rsidR="00FE552E" w:rsidRDefault="00FE552E" w:rsidP="00164BF5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Latest date for project completion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F8E3" w14:textId="2A595827" w:rsidR="00FE552E" w:rsidRDefault="00CC364F" w:rsidP="00164BF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12 months from commencement unless otherwise agreed</w:t>
            </w:r>
          </w:p>
        </w:tc>
      </w:tr>
    </w:tbl>
    <w:p w14:paraId="7817B47B" w14:textId="77777777" w:rsidR="007842C5" w:rsidRDefault="007842C5" w:rsidP="00FE552E">
      <w:pPr>
        <w:pStyle w:val="ListParagraph"/>
        <w:ind w:left="142"/>
        <w:rPr>
          <w:color w:val="000000" w:themeColor="text1"/>
          <w:szCs w:val="22"/>
        </w:rPr>
      </w:pPr>
    </w:p>
    <w:p w14:paraId="11AB381F" w14:textId="2B5F42AE" w:rsidR="00FE552E" w:rsidRPr="00183EE3" w:rsidRDefault="00FE552E" w:rsidP="00183EE3">
      <w:pPr>
        <w:rPr>
          <w:b/>
          <w:bCs/>
          <w:color w:val="201547" w:themeColor="accent2"/>
          <w:sz w:val="28"/>
          <w:szCs w:val="28"/>
        </w:rPr>
      </w:pPr>
      <w:r w:rsidRPr="00183EE3">
        <w:rPr>
          <w:color w:val="000000" w:themeColor="text1"/>
          <w:szCs w:val="22"/>
        </w:rPr>
        <w:t xml:space="preserve">Applications must be submitted by </w:t>
      </w:r>
      <w:r w:rsidR="00330395">
        <w:rPr>
          <w:b/>
          <w:bCs/>
          <w:color w:val="000000" w:themeColor="text1"/>
          <w:szCs w:val="22"/>
        </w:rPr>
        <w:t>5</w:t>
      </w:r>
      <w:r w:rsidRPr="00183EE3">
        <w:rPr>
          <w:b/>
          <w:bCs/>
          <w:color w:val="000000" w:themeColor="text1"/>
          <w:szCs w:val="22"/>
        </w:rPr>
        <w:t xml:space="preserve">:00pm </w:t>
      </w:r>
      <w:r w:rsidR="00330395">
        <w:rPr>
          <w:b/>
          <w:bCs/>
          <w:color w:val="000000" w:themeColor="text1"/>
          <w:szCs w:val="22"/>
        </w:rPr>
        <w:t>Friday 2 July</w:t>
      </w:r>
      <w:r w:rsidR="00CC364F" w:rsidRPr="00183EE3">
        <w:rPr>
          <w:b/>
          <w:bCs/>
          <w:color w:val="000000" w:themeColor="text1"/>
          <w:szCs w:val="22"/>
        </w:rPr>
        <w:t xml:space="preserve"> </w:t>
      </w:r>
      <w:r w:rsidRPr="00183EE3">
        <w:rPr>
          <w:b/>
          <w:bCs/>
          <w:color w:val="000000" w:themeColor="text1"/>
          <w:szCs w:val="22"/>
        </w:rPr>
        <w:t>2021</w:t>
      </w:r>
      <w:r w:rsidRPr="00183EE3">
        <w:rPr>
          <w:color w:val="000000" w:themeColor="text1"/>
          <w:szCs w:val="22"/>
        </w:rPr>
        <w:t>. Late applications will not be accepted.</w:t>
      </w:r>
    </w:p>
    <w:p w14:paraId="6EACC4FF" w14:textId="77777777" w:rsidR="000A48BC" w:rsidRDefault="000A48BC">
      <w:pPr>
        <w:spacing w:after="0"/>
        <w:rPr>
          <w:rFonts w:asciiTheme="majorHAnsi" w:eastAsiaTheme="majorEastAsia" w:hAnsiTheme="majorHAnsi" w:cs="Times New Roman (Headings CS)"/>
          <w:b/>
          <w:color w:val="201547" w:themeColor="accent2"/>
          <w:sz w:val="32"/>
          <w:szCs w:val="26"/>
        </w:rPr>
      </w:pPr>
      <w:r>
        <w:br w:type="page"/>
      </w:r>
    </w:p>
    <w:p w14:paraId="632DE36E" w14:textId="485136B6" w:rsidR="00917D60" w:rsidRPr="00A97A1D" w:rsidRDefault="00917D60" w:rsidP="008732D6">
      <w:pPr>
        <w:pStyle w:val="Heading2"/>
      </w:pPr>
      <w:r w:rsidRPr="00A97A1D">
        <w:lastRenderedPageBreak/>
        <w:t>Other conditions</w:t>
      </w:r>
    </w:p>
    <w:p w14:paraId="5F4E7D8A" w14:textId="730FF46D" w:rsidR="00917D60" w:rsidRDefault="00BE190E" w:rsidP="008732D6">
      <w:pPr>
        <w:pStyle w:val="Heading3"/>
      </w:pPr>
      <w:r>
        <w:t>Promotion</w:t>
      </w:r>
    </w:p>
    <w:p w14:paraId="65B72595" w14:textId="1C0864A4" w:rsidR="00917D60" w:rsidRDefault="00917D60" w:rsidP="00220D4B">
      <w:pPr>
        <w:rPr>
          <w:szCs w:val="22"/>
        </w:rPr>
      </w:pPr>
      <w:r>
        <w:rPr>
          <w:szCs w:val="22"/>
        </w:rPr>
        <w:t xml:space="preserve">Successful projects may be promoted and featured in relevant communications. </w:t>
      </w:r>
      <w:r w:rsidR="0048652A">
        <w:rPr>
          <w:szCs w:val="22"/>
        </w:rPr>
        <w:t xml:space="preserve">As a condition of accepting grants organisations must agree to provide information </w:t>
      </w:r>
      <w:r w:rsidR="00FB2EC8">
        <w:rPr>
          <w:szCs w:val="22"/>
        </w:rPr>
        <w:t xml:space="preserve">as requested </w:t>
      </w:r>
      <w:r w:rsidR="0048652A">
        <w:rPr>
          <w:szCs w:val="22"/>
        </w:rPr>
        <w:t>for ongoing promotions</w:t>
      </w:r>
      <w:r w:rsidR="00FB2EC8">
        <w:rPr>
          <w:szCs w:val="22"/>
        </w:rPr>
        <w:t xml:space="preserve"> and communications</w:t>
      </w:r>
      <w:r w:rsidR="00BE190E">
        <w:rPr>
          <w:szCs w:val="22"/>
        </w:rPr>
        <w:t xml:space="preserve"> unless otherwise agreed with the Department</w:t>
      </w:r>
      <w:r w:rsidR="0048652A">
        <w:rPr>
          <w:szCs w:val="22"/>
        </w:rPr>
        <w:t>.</w:t>
      </w:r>
    </w:p>
    <w:p w14:paraId="086AAD96" w14:textId="38C78843" w:rsidR="00917D60" w:rsidRDefault="00917D60" w:rsidP="008732D6">
      <w:pPr>
        <w:pStyle w:val="Heading3"/>
      </w:pPr>
      <w:r>
        <w:t xml:space="preserve">Acknowledgement </w:t>
      </w:r>
    </w:p>
    <w:p w14:paraId="7DE2DD20" w14:textId="1073272F" w:rsidR="00917D60" w:rsidRDefault="00917D60" w:rsidP="00220D4B">
      <w:pPr>
        <w:rPr>
          <w:szCs w:val="22"/>
        </w:rPr>
      </w:pPr>
      <w:r>
        <w:rPr>
          <w:szCs w:val="22"/>
        </w:rPr>
        <w:t xml:space="preserve">All successful applicants are required to acknowledge the </w:t>
      </w:r>
      <w:r w:rsidR="00175EFA">
        <w:rPr>
          <w:szCs w:val="22"/>
        </w:rPr>
        <w:t>Innovation Grant</w:t>
      </w:r>
      <w:r>
        <w:rPr>
          <w:szCs w:val="22"/>
        </w:rPr>
        <w:t xml:space="preserve"> in speeches and presentations regarding </w:t>
      </w:r>
      <w:r w:rsidR="0048652A">
        <w:rPr>
          <w:szCs w:val="22"/>
        </w:rPr>
        <w:t xml:space="preserve">the </w:t>
      </w:r>
      <w:r>
        <w:rPr>
          <w:szCs w:val="22"/>
        </w:rPr>
        <w:t>funded project</w:t>
      </w:r>
      <w:r w:rsidR="00FB2EC8">
        <w:rPr>
          <w:szCs w:val="22"/>
        </w:rPr>
        <w:t>,</w:t>
      </w:r>
      <w:r>
        <w:rPr>
          <w:szCs w:val="22"/>
        </w:rPr>
        <w:t xml:space="preserve"> and if applicable on the organisation’s website.</w:t>
      </w:r>
    </w:p>
    <w:p w14:paraId="2ADA308F" w14:textId="136CEDFC" w:rsidR="00917D60" w:rsidRDefault="00917D60" w:rsidP="00220D4B">
      <w:pPr>
        <w:rPr>
          <w:szCs w:val="22"/>
        </w:rPr>
      </w:pPr>
      <w:r>
        <w:rPr>
          <w:szCs w:val="22"/>
        </w:rPr>
        <w:t>Successful applicants may be required to host an event with the Minister or representative</w:t>
      </w:r>
      <w:r w:rsidR="00FB2EC8">
        <w:rPr>
          <w:szCs w:val="22"/>
        </w:rPr>
        <w:t xml:space="preserve"> to showcase the </w:t>
      </w:r>
      <w:r w:rsidR="00175EFA">
        <w:rPr>
          <w:szCs w:val="22"/>
        </w:rPr>
        <w:t>Innovation Grants</w:t>
      </w:r>
      <w:r>
        <w:rPr>
          <w:szCs w:val="22"/>
        </w:rPr>
        <w:t>.</w:t>
      </w:r>
    </w:p>
    <w:p w14:paraId="5BCAB563" w14:textId="7013A0F3" w:rsidR="00FE552E" w:rsidRPr="00CC364F" w:rsidRDefault="00FE552E" w:rsidP="008732D6">
      <w:pPr>
        <w:pStyle w:val="Heading3"/>
      </w:pPr>
      <w:r w:rsidRPr="00CC364F">
        <w:t>Evaluat</w:t>
      </w:r>
      <w:r w:rsidR="004A4427">
        <w:t>ion</w:t>
      </w:r>
    </w:p>
    <w:p w14:paraId="6C3E5B08" w14:textId="7A730E6B" w:rsidR="00FE552E" w:rsidRDefault="00FE552E" w:rsidP="00FE552E">
      <w:pPr>
        <w:rPr>
          <w:szCs w:val="22"/>
        </w:rPr>
      </w:pPr>
      <w:r>
        <w:rPr>
          <w:szCs w:val="22"/>
        </w:rPr>
        <w:t xml:space="preserve">As a condition of accepting </w:t>
      </w:r>
      <w:r w:rsidR="00175EFA">
        <w:rPr>
          <w:szCs w:val="22"/>
        </w:rPr>
        <w:t>funding</w:t>
      </w:r>
      <w:r>
        <w:rPr>
          <w:szCs w:val="22"/>
        </w:rPr>
        <w:t xml:space="preserve"> organisations must agree to provide information and/or provide appropriate staff for interview </w:t>
      </w:r>
      <w:r w:rsidR="009633E3">
        <w:rPr>
          <w:szCs w:val="22"/>
        </w:rPr>
        <w:t xml:space="preserve">to assist in the evaluation of the </w:t>
      </w:r>
      <w:r w:rsidR="00175EFA">
        <w:rPr>
          <w:szCs w:val="22"/>
        </w:rPr>
        <w:t>Innovation Grants</w:t>
      </w:r>
      <w:r>
        <w:rPr>
          <w:szCs w:val="22"/>
        </w:rPr>
        <w:t>.</w:t>
      </w:r>
    </w:p>
    <w:p w14:paraId="17CAD046" w14:textId="77777777" w:rsidR="00FE552E" w:rsidRDefault="00FE552E" w:rsidP="008732D6">
      <w:pPr>
        <w:pStyle w:val="Heading2"/>
      </w:pPr>
      <w:r>
        <w:t>Further information</w:t>
      </w:r>
    </w:p>
    <w:p w14:paraId="44C554B1" w14:textId="10287AD2" w:rsidR="00392BCE" w:rsidRDefault="00FE552E" w:rsidP="00E17BA5">
      <w:r w:rsidRPr="00917D60">
        <w:rPr>
          <w:szCs w:val="22"/>
        </w:rPr>
        <w:t>For further information</w:t>
      </w:r>
      <w:r w:rsidR="007B4718">
        <w:rPr>
          <w:szCs w:val="22"/>
        </w:rPr>
        <w:t xml:space="preserve"> please contact your local Early Childhood Improvement Branch or</w:t>
      </w:r>
      <w:r w:rsidRPr="00917D60">
        <w:rPr>
          <w:szCs w:val="22"/>
        </w:rPr>
        <w:t xml:space="preserve"> </w:t>
      </w:r>
      <w:r w:rsidR="007B4718">
        <w:rPr>
          <w:szCs w:val="22"/>
        </w:rPr>
        <w:t xml:space="preserve">the Innovation Grants team </w:t>
      </w:r>
      <w:r w:rsidRPr="00917D60">
        <w:rPr>
          <w:szCs w:val="22"/>
        </w:rPr>
        <w:t xml:space="preserve">via </w:t>
      </w:r>
      <w:hyperlink r:id="rId15" w:history="1">
        <w:r w:rsidR="00787B6D" w:rsidRPr="003D0D1D">
          <w:rPr>
            <w:rStyle w:val="Hyperlink"/>
            <w:szCs w:val="22"/>
          </w:rPr>
          <w:t>early.years.workforce.grants@education.vic.gov.au</w:t>
        </w:r>
      </w:hyperlink>
      <w:r w:rsidR="00A551CB">
        <w:rPr>
          <w:rStyle w:val="Hyperlink"/>
          <w:szCs w:val="22"/>
          <w:u w:val="none"/>
        </w:rPr>
        <w:t>.</w:t>
      </w:r>
      <w:r w:rsidR="00787B6D">
        <w:rPr>
          <w:szCs w:val="22"/>
        </w:rPr>
        <w:t xml:space="preserve"> </w:t>
      </w:r>
      <w:r w:rsidR="00E17BA5">
        <w:rPr>
          <w:szCs w:val="22"/>
          <w:u w:val="single"/>
        </w:rPr>
        <w:t xml:space="preserve"> </w:t>
      </w:r>
    </w:p>
    <w:sectPr w:rsidR="00392BCE" w:rsidSect="000A48B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01385" w14:textId="77777777" w:rsidR="00F80D6B" w:rsidRDefault="00F80D6B" w:rsidP="003967DD">
      <w:pPr>
        <w:spacing w:after="0"/>
      </w:pPr>
      <w:r>
        <w:separator/>
      </w:r>
    </w:p>
  </w:endnote>
  <w:endnote w:type="continuationSeparator" w:id="0">
    <w:p w14:paraId="781CF253" w14:textId="77777777" w:rsidR="00F80D6B" w:rsidRDefault="00F80D6B" w:rsidP="003967DD">
      <w:pPr>
        <w:spacing w:after="0"/>
      </w:pPr>
      <w:r>
        <w:continuationSeparator/>
      </w:r>
    </w:p>
  </w:endnote>
  <w:endnote w:type="continuationNotice" w:id="1">
    <w:p w14:paraId="73DDD814" w14:textId="77777777" w:rsidR="00F80D6B" w:rsidRDefault="00F80D6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1B0A3B" w:rsidRDefault="001B0A3B" w:rsidP="00B4227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1B0A3B" w:rsidRDefault="001B0A3B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1B0A3B" w:rsidRDefault="001B0A3B" w:rsidP="00B4227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20AC02" w14:textId="77777777" w:rsidR="007B4718" w:rsidRDefault="007B4718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4DD4B" w14:textId="77777777" w:rsidR="00F80D6B" w:rsidRDefault="00F80D6B" w:rsidP="003967DD">
      <w:pPr>
        <w:spacing w:after="0"/>
      </w:pPr>
      <w:r>
        <w:separator/>
      </w:r>
    </w:p>
  </w:footnote>
  <w:footnote w:type="continuationSeparator" w:id="0">
    <w:p w14:paraId="6BADF88C" w14:textId="77777777" w:rsidR="00F80D6B" w:rsidRDefault="00F80D6B" w:rsidP="003967DD">
      <w:pPr>
        <w:spacing w:after="0"/>
      </w:pPr>
      <w:r>
        <w:continuationSeparator/>
      </w:r>
    </w:p>
  </w:footnote>
  <w:footnote w:type="continuationNotice" w:id="1">
    <w:p w14:paraId="0082363A" w14:textId="77777777" w:rsidR="00F80D6B" w:rsidRDefault="00F80D6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63E76" w14:textId="2D18138D" w:rsidR="001B0A3B" w:rsidRDefault="001B0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0FB2DA59" w:rsidR="001B0A3B" w:rsidRDefault="001B0A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C6283D" wp14:editId="0006D8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D5D6" w14:textId="0381FEC9" w:rsidR="001B0A3B" w:rsidRDefault="001B0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52C0"/>
    <w:multiLevelType w:val="hybridMultilevel"/>
    <w:tmpl w:val="C6124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22FB6"/>
    <w:multiLevelType w:val="hybridMultilevel"/>
    <w:tmpl w:val="2E90AF8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27F"/>
    <w:multiLevelType w:val="hybridMultilevel"/>
    <w:tmpl w:val="FB1E79E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A097B"/>
    <w:multiLevelType w:val="hybridMultilevel"/>
    <w:tmpl w:val="DF22CBD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DF4946"/>
    <w:multiLevelType w:val="hybridMultilevel"/>
    <w:tmpl w:val="9C305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44F06"/>
    <w:multiLevelType w:val="hybridMultilevel"/>
    <w:tmpl w:val="E0EAF7E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671E5"/>
    <w:multiLevelType w:val="hybridMultilevel"/>
    <w:tmpl w:val="7A580A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B7B5E"/>
    <w:multiLevelType w:val="hybridMultilevel"/>
    <w:tmpl w:val="240EBA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A228E"/>
    <w:multiLevelType w:val="hybridMultilevel"/>
    <w:tmpl w:val="A156C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1CA3"/>
    <w:multiLevelType w:val="hybridMultilevel"/>
    <w:tmpl w:val="C5B429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D377B"/>
    <w:multiLevelType w:val="hybridMultilevel"/>
    <w:tmpl w:val="E4F2DA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EF7A8B"/>
    <w:multiLevelType w:val="hybridMultilevel"/>
    <w:tmpl w:val="F7DC6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F64F90"/>
    <w:multiLevelType w:val="hybridMultilevel"/>
    <w:tmpl w:val="23CE0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AD302C"/>
    <w:multiLevelType w:val="hybridMultilevel"/>
    <w:tmpl w:val="7192552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3155A4"/>
    <w:multiLevelType w:val="hybridMultilevel"/>
    <w:tmpl w:val="8DEE759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300ED"/>
    <w:multiLevelType w:val="hybridMultilevel"/>
    <w:tmpl w:val="73C27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550EEE"/>
    <w:multiLevelType w:val="hybridMultilevel"/>
    <w:tmpl w:val="C772D7A4"/>
    <w:lvl w:ilvl="0" w:tplc="543AC8B8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1856C5A"/>
    <w:multiLevelType w:val="hybridMultilevel"/>
    <w:tmpl w:val="ED3A8D6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85006"/>
    <w:multiLevelType w:val="hybridMultilevel"/>
    <w:tmpl w:val="8A4854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E859B4"/>
    <w:multiLevelType w:val="multilevel"/>
    <w:tmpl w:val="4410A5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F827CA3"/>
    <w:multiLevelType w:val="multilevel"/>
    <w:tmpl w:val="B70A9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11"/>
  </w:num>
  <w:num w:numId="5">
    <w:abstractNumId w:val="24"/>
  </w:num>
  <w:num w:numId="6">
    <w:abstractNumId w:val="5"/>
  </w:num>
  <w:num w:numId="7">
    <w:abstractNumId w:val="23"/>
  </w:num>
  <w:num w:numId="8">
    <w:abstractNumId w:val="13"/>
  </w:num>
  <w:num w:numId="9">
    <w:abstractNumId w:val="15"/>
  </w:num>
  <w:num w:numId="10">
    <w:abstractNumId w:val="17"/>
  </w:num>
  <w:num w:numId="11">
    <w:abstractNumId w:val="3"/>
  </w:num>
  <w:num w:numId="12">
    <w:abstractNumId w:val="19"/>
  </w:num>
  <w:num w:numId="13">
    <w:abstractNumId w:val="1"/>
  </w:num>
  <w:num w:numId="14">
    <w:abstractNumId w:val="2"/>
  </w:num>
  <w:num w:numId="15">
    <w:abstractNumId w:val="0"/>
  </w:num>
  <w:num w:numId="16">
    <w:abstractNumId w:val="16"/>
  </w:num>
  <w:num w:numId="17">
    <w:abstractNumId w:val="3"/>
  </w:num>
  <w:num w:numId="18">
    <w:abstractNumId w:val="20"/>
  </w:num>
  <w:num w:numId="19">
    <w:abstractNumId w:val="22"/>
  </w:num>
  <w:num w:numId="20">
    <w:abstractNumId w:val="18"/>
  </w:num>
  <w:num w:numId="21">
    <w:abstractNumId w:val="4"/>
  </w:num>
  <w:num w:numId="22">
    <w:abstractNumId w:val="6"/>
  </w:num>
  <w:num w:numId="23">
    <w:abstractNumId w:val="7"/>
  </w:num>
  <w:num w:numId="24">
    <w:abstractNumId w:val="14"/>
  </w:num>
  <w:num w:numId="25">
    <w:abstractNumId w:val="10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6466"/>
    <w:rsid w:val="00011F31"/>
    <w:rsid w:val="00013339"/>
    <w:rsid w:val="0002088D"/>
    <w:rsid w:val="000256E2"/>
    <w:rsid w:val="00041A96"/>
    <w:rsid w:val="0004384C"/>
    <w:rsid w:val="00046142"/>
    <w:rsid w:val="0005398B"/>
    <w:rsid w:val="00054123"/>
    <w:rsid w:val="00061A99"/>
    <w:rsid w:val="0006643D"/>
    <w:rsid w:val="00074F71"/>
    <w:rsid w:val="00080DA9"/>
    <w:rsid w:val="000861DD"/>
    <w:rsid w:val="00095D41"/>
    <w:rsid w:val="000A47D4"/>
    <w:rsid w:val="000A48BC"/>
    <w:rsid w:val="000A686E"/>
    <w:rsid w:val="000A7023"/>
    <w:rsid w:val="000C0BB7"/>
    <w:rsid w:val="000C2E30"/>
    <w:rsid w:val="000C600E"/>
    <w:rsid w:val="000D6D01"/>
    <w:rsid w:val="000E4FC7"/>
    <w:rsid w:val="00101C37"/>
    <w:rsid w:val="00105577"/>
    <w:rsid w:val="00107677"/>
    <w:rsid w:val="00117E54"/>
    <w:rsid w:val="00121D15"/>
    <w:rsid w:val="00122369"/>
    <w:rsid w:val="0013299B"/>
    <w:rsid w:val="00144981"/>
    <w:rsid w:val="00147318"/>
    <w:rsid w:val="00150E0F"/>
    <w:rsid w:val="0015405E"/>
    <w:rsid w:val="0015448F"/>
    <w:rsid w:val="00157212"/>
    <w:rsid w:val="0016287D"/>
    <w:rsid w:val="00163408"/>
    <w:rsid w:val="00164BF5"/>
    <w:rsid w:val="00175EFA"/>
    <w:rsid w:val="001812F3"/>
    <w:rsid w:val="00183EE3"/>
    <w:rsid w:val="001A2B91"/>
    <w:rsid w:val="001A3B5D"/>
    <w:rsid w:val="001A4341"/>
    <w:rsid w:val="001B0A3B"/>
    <w:rsid w:val="001B3B49"/>
    <w:rsid w:val="001C6C24"/>
    <w:rsid w:val="001D0D94"/>
    <w:rsid w:val="001D13F9"/>
    <w:rsid w:val="001E358B"/>
    <w:rsid w:val="001F39DD"/>
    <w:rsid w:val="001F5366"/>
    <w:rsid w:val="001F6EA2"/>
    <w:rsid w:val="001F7ECC"/>
    <w:rsid w:val="00220D4B"/>
    <w:rsid w:val="00235F04"/>
    <w:rsid w:val="0024110B"/>
    <w:rsid w:val="002512BE"/>
    <w:rsid w:val="002611A9"/>
    <w:rsid w:val="002639FC"/>
    <w:rsid w:val="002657D1"/>
    <w:rsid w:val="00267E73"/>
    <w:rsid w:val="00271127"/>
    <w:rsid w:val="0027331F"/>
    <w:rsid w:val="00273FA0"/>
    <w:rsid w:val="00275FB8"/>
    <w:rsid w:val="002A4A96"/>
    <w:rsid w:val="002B5D8A"/>
    <w:rsid w:val="002B7478"/>
    <w:rsid w:val="002D2F4B"/>
    <w:rsid w:val="002D312E"/>
    <w:rsid w:val="002D38AD"/>
    <w:rsid w:val="002E3BED"/>
    <w:rsid w:val="002E769D"/>
    <w:rsid w:val="002E774C"/>
    <w:rsid w:val="002F1AC5"/>
    <w:rsid w:val="002F486B"/>
    <w:rsid w:val="002F6115"/>
    <w:rsid w:val="00312720"/>
    <w:rsid w:val="00320E92"/>
    <w:rsid w:val="00321861"/>
    <w:rsid w:val="00330395"/>
    <w:rsid w:val="00331FAD"/>
    <w:rsid w:val="0033314D"/>
    <w:rsid w:val="003413F2"/>
    <w:rsid w:val="00342EFF"/>
    <w:rsid w:val="00343AFC"/>
    <w:rsid w:val="00346F4D"/>
    <w:rsid w:val="0034745C"/>
    <w:rsid w:val="00347694"/>
    <w:rsid w:val="003479B1"/>
    <w:rsid w:val="00347C49"/>
    <w:rsid w:val="00373D6A"/>
    <w:rsid w:val="003770F1"/>
    <w:rsid w:val="00384ACA"/>
    <w:rsid w:val="00392BCE"/>
    <w:rsid w:val="003967DD"/>
    <w:rsid w:val="00396D7F"/>
    <w:rsid w:val="00397B51"/>
    <w:rsid w:val="003A2E34"/>
    <w:rsid w:val="003A4C39"/>
    <w:rsid w:val="003B6609"/>
    <w:rsid w:val="003D3671"/>
    <w:rsid w:val="003D5DF3"/>
    <w:rsid w:val="003D65BD"/>
    <w:rsid w:val="003E0F8C"/>
    <w:rsid w:val="003E2182"/>
    <w:rsid w:val="003E507D"/>
    <w:rsid w:val="003F27BB"/>
    <w:rsid w:val="003F498F"/>
    <w:rsid w:val="0040347F"/>
    <w:rsid w:val="00407D0C"/>
    <w:rsid w:val="00416409"/>
    <w:rsid w:val="0042333B"/>
    <w:rsid w:val="004264C4"/>
    <w:rsid w:val="004367BF"/>
    <w:rsid w:val="004420F8"/>
    <w:rsid w:val="00456F8A"/>
    <w:rsid w:val="00457144"/>
    <w:rsid w:val="00460DAC"/>
    <w:rsid w:val="00486054"/>
    <w:rsid w:val="0048652A"/>
    <w:rsid w:val="00492C54"/>
    <w:rsid w:val="004A4427"/>
    <w:rsid w:val="004A721E"/>
    <w:rsid w:val="004B2ED6"/>
    <w:rsid w:val="004B607F"/>
    <w:rsid w:val="004D0922"/>
    <w:rsid w:val="004E5573"/>
    <w:rsid w:val="004E5835"/>
    <w:rsid w:val="004E76D5"/>
    <w:rsid w:val="004F08B4"/>
    <w:rsid w:val="004F231E"/>
    <w:rsid w:val="005016EE"/>
    <w:rsid w:val="00512BBA"/>
    <w:rsid w:val="0051418F"/>
    <w:rsid w:val="00527835"/>
    <w:rsid w:val="005328A3"/>
    <w:rsid w:val="005369D7"/>
    <w:rsid w:val="00541F81"/>
    <w:rsid w:val="00543F3B"/>
    <w:rsid w:val="005441F0"/>
    <w:rsid w:val="005478A0"/>
    <w:rsid w:val="00547BD7"/>
    <w:rsid w:val="005504FA"/>
    <w:rsid w:val="00550857"/>
    <w:rsid w:val="00555277"/>
    <w:rsid w:val="00557FDA"/>
    <w:rsid w:val="00567CF0"/>
    <w:rsid w:val="00573ECC"/>
    <w:rsid w:val="005778FF"/>
    <w:rsid w:val="00580D66"/>
    <w:rsid w:val="00584366"/>
    <w:rsid w:val="00586871"/>
    <w:rsid w:val="00597548"/>
    <w:rsid w:val="005A0DCE"/>
    <w:rsid w:val="005A4F12"/>
    <w:rsid w:val="005B14FC"/>
    <w:rsid w:val="005D7E50"/>
    <w:rsid w:val="005E1741"/>
    <w:rsid w:val="005E2C87"/>
    <w:rsid w:val="005E6A64"/>
    <w:rsid w:val="005F114C"/>
    <w:rsid w:val="00602E35"/>
    <w:rsid w:val="00624A55"/>
    <w:rsid w:val="00633830"/>
    <w:rsid w:val="00654310"/>
    <w:rsid w:val="006578F7"/>
    <w:rsid w:val="0066240E"/>
    <w:rsid w:val="00664C26"/>
    <w:rsid w:val="0066646A"/>
    <w:rsid w:val="006671CE"/>
    <w:rsid w:val="0067007B"/>
    <w:rsid w:val="0067049D"/>
    <w:rsid w:val="00672E85"/>
    <w:rsid w:val="0067394E"/>
    <w:rsid w:val="00681CF1"/>
    <w:rsid w:val="00685C78"/>
    <w:rsid w:val="00696EA8"/>
    <w:rsid w:val="006A1F8A"/>
    <w:rsid w:val="006A25AC"/>
    <w:rsid w:val="006C0C0A"/>
    <w:rsid w:val="006C45C0"/>
    <w:rsid w:val="006C4B0A"/>
    <w:rsid w:val="006D14D6"/>
    <w:rsid w:val="006D5A85"/>
    <w:rsid w:val="006E2B9A"/>
    <w:rsid w:val="006E3DA2"/>
    <w:rsid w:val="006E5EA1"/>
    <w:rsid w:val="006F1F58"/>
    <w:rsid w:val="0070271C"/>
    <w:rsid w:val="00704A00"/>
    <w:rsid w:val="00710CED"/>
    <w:rsid w:val="00711158"/>
    <w:rsid w:val="00715E8C"/>
    <w:rsid w:val="0072463F"/>
    <w:rsid w:val="00735566"/>
    <w:rsid w:val="00750FE4"/>
    <w:rsid w:val="00753F08"/>
    <w:rsid w:val="0075585E"/>
    <w:rsid w:val="007562A0"/>
    <w:rsid w:val="00760B3D"/>
    <w:rsid w:val="00764CB5"/>
    <w:rsid w:val="00766532"/>
    <w:rsid w:val="00767573"/>
    <w:rsid w:val="00771CF8"/>
    <w:rsid w:val="007750C5"/>
    <w:rsid w:val="007842C5"/>
    <w:rsid w:val="00787B6D"/>
    <w:rsid w:val="00792FD8"/>
    <w:rsid w:val="00794A00"/>
    <w:rsid w:val="007A45D6"/>
    <w:rsid w:val="007A5E58"/>
    <w:rsid w:val="007B4718"/>
    <w:rsid w:val="007B556E"/>
    <w:rsid w:val="007C0860"/>
    <w:rsid w:val="007C40F2"/>
    <w:rsid w:val="007D38E7"/>
    <w:rsid w:val="007D3E38"/>
    <w:rsid w:val="007D775C"/>
    <w:rsid w:val="007F0955"/>
    <w:rsid w:val="00805881"/>
    <w:rsid w:val="008065DA"/>
    <w:rsid w:val="00811CA3"/>
    <w:rsid w:val="0083669A"/>
    <w:rsid w:val="0086036D"/>
    <w:rsid w:val="00863AFE"/>
    <w:rsid w:val="008732D6"/>
    <w:rsid w:val="00877478"/>
    <w:rsid w:val="00880912"/>
    <w:rsid w:val="00890680"/>
    <w:rsid w:val="00892E24"/>
    <w:rsid w:val="008A1286"/>
    <w:rsid w:val="008A3453"/>
    <w:rsid w:val="008A489D"/>
    <w:rsid w:val="008A6961"/>
    <w:rsid w:val="008A7366"/>
    <w:rsid w:val="008B1737"/>
    <w:rsid w:val="008B6481"/>
    <w:rsid w:val="008C57AF"/>
    <w:rsid w:val="008E6D13"/>
    <w:rsid w:val="008F3D35"/>
    <w:rsid w:val="0090040F"/>
    <w:rsid w:val="00900417"/>
    <w:rsid w:val="00902C2C"/>
    <w:rsid w:val="00904815"/>
    <w:rsid w:val="00910214"/>
    <w:rsid w:val="00912177"/>
    <w:rsid w:val="00917144"/>
    <w:rsid w:val="00917D60"/>
    <w:rsid w:val="009440A0"/>
    <w:rsid w:val="00952690"/>
    <w:rsid w:val="00953E08"/>
    <w:rsid w:val="00956711"/>
    <w:rsid w:val="00960654"/>
    <w:rsid w:val="00960DDD"/>
    <w:rsid w:val="009633E3"/>
    <w:rsid w:val="00963827"/>
    <w:rsid w:val="00972FF2"/>
    <w:rsid w:val="00975829"/>
    <w:rsid w:val="00982C6E"/>
    <w:rsid w:val="00983130"/>
    <w:rsid w:val="00985464"/>
    <w:rsid w:val="009926F4"/>
    <w:rsid w:val="00996031"/>
    <w:rsid w:val="00997ED7"/>
    <w:rsid w:val="009A0BE0"/>
    <w:rsid w:val="009A523E"/>
    <w:rsid w:val="009A6ED8"/>
    <w:rsid w:val="009B0A07"/>
    <w:rsid w:val="009B11B7"/>
    <w:rsid w:val="009B4DBD"/>
    <w:rsid w:val="009C26DB"/>
    <w:rsid w:val="009C36D8"/>
    <w:rsid w:val="009F31CF"/>
    <w:rsid w:val="009F3CE7"/>
    <w:rsid w:val="009F6A77"/>
    <w:rsid w:val="00A0034D"/>
    <w:rsid w:val="00A14C49"/>
    <w:rsid w:val="00A30FBB"/>
    <w:rsid w:val="00A31926"/>
    <w:rsid w:val="00A33656"/>
    <w:rsid w:val="00A351E9"/>
    <w:rsid w:val="00A3589C"/>
    <w:rsid w:val="00A448C3"/>
    <w:rsid w:val="00A45375"/>
    <w:rsid w:val="00A50C32"/>
    <w:rsid w:val="00A52F62"/>
    <w:rsid w:val="00A54FFE"/>
    <w:rsid w:val="00A551CB"/>
    <w:rsid w:val="00A710DF"/>
    <w:rsid w:val="00A766D2"/>
    <w:rsid w:val="00A911C8"/>
    <w:rsid w:val="00A91202"/>
    <w:rsid w:val="00A95A58"/>
    <w:rsid w:val="00A97660"/>
    <w:rsid w:val="00A97A1D"/>
    <w:rsid w:val="00AA6281"/>
    <w:rsid w:val="00AA7641"/>
    <w:rsid w:val="00AC46C6"/>
    <w:rsid w:val="00AC5107"/>
    <w:rsid w:val="00AE1623"/>
    <w:rsid w:val="00AE3BAD"/>
    <w:rsid w:val="00AE6DDA"/>
    <w:rsid w:val="00AF0EB5"/>
    <w:rsid w:val="00B02C2E"/>
    <w:rsid w:val="00B1144E"/>
    <w:rsid w:val="00B21562"/>
    <w:rsid w:val="00B42270"/>
    <w:rsid w:val="00B42400"/>
    <w:rsid w:val="00B46CE8"/>
    <w:rsid w:val="00B47BEB"/>
    <w:rsid w:val="00B538EE"/>
    <w:rsid w:val="00B675A9"/>
    <w:rsid w:val="00B67636"/>
    <w:rsid w:val="00B6778B"/>
    <w:rsid w:val="00B72F38"/>
    <w:rsid w:val="00BA5EEC"/>
    <w:rsid w:val="00BC5C9E"/>
    <w:rsid w:val="00BC646A"/>
    <w:rsid w:val="00BD22F1"/>
    <w:rsid w:val="00BD3EAA"/>
    <w:rsid w:val="00BE190E"/>
    <w:rsid w:val="00BE3BDB"/>
    <w:rsid w:val="00BF4744"/>
    <w:rsid w:val="00C012DC"/>
    <w:rsid w:val="00C07847"/>
    <w:rsid w:val="00C238AA"/>
    <w:rsid w:val="00C316B2"/>
    <w:rsid w:val="00C43836"/>
    <w:rsid w:val="00C539BB"/>
    <w:rsid w:val="00C64990"/>
    <w:rsid w:val="00C70DEF"/>
    <w:rsid w:val="00C77547"/>
    <w:rsid w:val="00C8789A"/>
    <w:rsid w:val="00C93BBC"/>
    <w:rsid w:val="00C95404"/>
    <w:rsid w:val="00CA3480"/>
    <w:rsid w:val="00CB7048"/>
    <w:rsid w:val="00CC364F"/>
    <w:rsid w:val="00CC4679"/>
    <w:rsid w:val="00CC47D3"/>
    <w:rsid w:val="00CC5AA8"/>
    <w:rsid w:val="00CD3242"/>
    <w:rsid w:val="00CD5303"/>
    <w:rsid w:val="00CD56B8"/>
    <w:rsid w:val="00CD5993"/>
    <w:rsid w:val="00CF03F8"/>
    <w:rsid w:val="00CF5457"/>
    <w:rsid w:val="00CF7C4F"/>
    <w:rsid w:val="00D06F3C"/>
    <w:rsid w:val="00D175B6"/>
    <w:rsid w:val="00D2363E"/>
    <w:rsid w:val="00D260E6"/>
    <w:rsid w:val="00D27210"/>
    <w:rsid w:val="00D363DC"/>
    <w:rsid w:val="00D47374"/>
    <w:rsid w:val="00D50161"/>
    <w:rsid w:val="00D50A1B"/>
    <w:rsid w:val="00D536DC"/>
    <w:rsid w:val="00D6409E"/>
    <w:rsid w:val="00D8352E"/>
    <w:rsid w:val="00D83F77"/>
    <w:rsid w:val="00D941A8"/>
    <w:rsid w:val="00D9777A"/>
    <w:rsid w:val="00DA2649"/>
    <w:rsid w:val="00DA2B87"/>
    <w:rsid w:val="00DA64D2"/>
    <w:rsid w:val="00DA7AFC"/>
    <w:rsid w:val="00DB428D"/>
    <w:rsid w:val="00DC4D0D"/>
    <w:rsid w:val="00DD784C"/>
    <w:rsid w:val="00DE7658"/>
    <w:rsid w:val="00DF0AD3"/>
    <w:rsid w:val="00E04987"/>
    <w:rsid w:val="00E16E2B"/>
    <w:rsid w:val="00E17BA5"/>
    <w:rsid w:val="00E32BBC"/>
    <w:rsid w:val="00E33564"/>
    <w:rsid w:val="00E33BB5"/>
    <w:rsid w:val="00E34263"/>
    <w:rsid w:val="00E34721"/>
    <w:rsid w:val="00E35C2B"/>
    <w:rsid w:val="00E4317E"/>
    <w:rsid w:val="00E43970"/>
    <w:rsid w:val="00E47223"/>
    <w:rsid w:val="00E5030B"/>
    <w:rsid w:val="00E50D1B"/>
    <w:rsid w:val="00E53C5F"/>
    <w:rsid w:val="00E57F59"/>
    <w:rsid w:val="00E617F3"/>
    <w:rsid w:val="00E64758"/>
    <w:rsid w:val="00E71ED8"/>
    <w:rsid w:val="00E720CB"/>
    <w:rsid w:val="00E73756"/>
    <w:rsid w:val="00E74A74"/>
    <w:rsid w:val="00E75F56"/>
    <w:rsid w:val="00E77EB9"/>
    <w:rsid w:val="00E806D8"/>
    <w:rsid w:val="00E84672"/>
    <w:rsid w:val="00E92ABB"/>
    <w:rsid w:val="00EA3D54"/>
    <w:rsid w:val="00EC7E5D"/>
    <w:rsid w:val="00EF11CE"/>
    <w:rsid w:val="00EF2F98"/>
    <w:rsid w:val="00EF34B2"/>
    <w:rsid w:val="00EF4AD4"/>
    <w:rsid w:val="00EF6B1B"/>
    <w:rsid w:val="00F05EC5"/>
    <w:rsid w:val="00F069FC"/>
    <w:rsid w:val="00F110FB"/>
    <w:rsid w:val="00F11788"/>
    <w:rsid w:val="00F1584D"/>
    <w:rsid w:val="00F24E9D"/>
    <w:rsid w:val="00F47AB9"/>
    <w:rsid w:val="00F5271F"/>
    <w:rsid w:val="00F61777"/>
    <w:rsid w:val="00F76B34"/>
    <w:rsid w:val="00F80D6B"/>
    <w:rsid w:val="00F81757"/>
    <w:rsid w:val="00F84E34"/>
    <w:rsid w:val="00F856CC"/>
    <w:rsid w:val="00F91DF6"/>
    <w:rsid w:val="00F94715"/>
    <w:rsid w:val="00FA52C0"/>
    <w:rsid w:val="00FB2957"/>
    <w:rsid w:val="00FB2EC8"/>
    <w:rsid w:val="00FC116F"/>
    <w:rsid w:val="00FC5EA1"/>
    <w:rsid w:val="00FD4169"/>
    <w:rsid w:val="00FD44AF"/>
    <w:rsid w:val="00FE1F55"/>
    <w:rsid w:val="00FE552E"/>
    <w:rsid w:val="00FF3C0B"/>
    <w:rsid w:val="00FF5A68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577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8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FF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39"/>
    <w:rsid w:val="008A3453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6646A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2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C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arly.years.workforce.grants@education.vic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etearlyyears.smartygrants.com.au/InnovationGrantsR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arly.years.workforce.grants@education.vic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arly.years.workforce.grants@education.vic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tearlyyears.smartygrants.com.au/InnovationGrantsR1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The Early Career Teacher Retention (Innovation Grants) seek to strengthen the Department’s partnership with the early childhood sector in delivering the workforce solutions required to meet the demand of Three-Year-Old Kindergarten. 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22A958-2460-4BA5-BC58-D1F45E10BE56}"/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Early Career Teacher Retention Innovation Grants</dc:title>
  <dc:subject/>
  <dc:creator>Isabel Lim</dc:creator>
  <cp:keywords/>
  <dc:description/>
  <cp:lastModifiedBy>Elliott, Vicki L</cp:lastModifiedBy>
  <cp:revision>4</cp:revision>
  <dcterms:created xsi:type="dcterms:W3CDTF">2021-06-18T06:49:00Z</dcterms:created>
  <dcterms:modified xsi:type="dcterms:W3CDTF">2021-06-18T06:50:00Z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{675c9dc5-b1c9-4227-baa0-339d4f32c562}</vt:lpwstr>
  </property>
  <property fmtid="{D5CDD505-2E9C-101B-9397-08002B2CF9AE}" pid="5" name="RecordPoint_ActiveItemListId">
    <vt:lpwstr>{d9e944fc-1cc2-4259-ab4c-585604c78581}</vt:lpwstr>
  </property>
  <property fmtid="{D5CDD505-2E9C-101B-9397-08002B2CF9AE}" pid="6" name="RecordPoint_ActiveItemUniqueId">
    <vt:lpwstr>{d8158329-f302-42bb-9b07-c7077df95b1c}</vt:lpwstr>
  </property>
  <property fmtid="{D5CDD505-2E9C-101B-9397-08002B2CF9AE}" pid="7" name="RecordPoint_ActiveItemWebId">
    <vt:lpwstr>{2cb12009-40d9-454b-bd16-8fe8fc19de2f}</vt:lpwstr>
  </property>
  <property fmtid="{D5CDD505-2E9C-101B-9397-08002B2CF9AE}" pid="8" name="RecordPoint_RecordNumberSubmitted">
    <vt:lpwstr/>
  </property>
  <property fmtid="{D5CDD505-2E9C-101B-9397-08002B2CF9AE}" pid="9" name="DET_EDRMS_RCS">
    <vt:lpwstr>2;#1.2.2 Project Documentation|a3ce4c3c-7960-4756-834e-8cbbf9028802</vt:lpwstr>
  </property>
  <property fmtid="{D5CDD505-2E9C-101B-9397-08002B2CF9AE}" pid="10" name="DET_EDRMS_BusUnit">
    <vt:lpwstr/>
  </property>
  <property fmtid="{D5CDD505-2E9C-101B-9397-08002B2CF9AE}" pid="11" name="DET_EDRMS_SecClass">
    <vt:lpwstr/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/>
  </property>
  <property fmtid="{D5CDD505-2E9C-101B-9397-08002B2CF9AE}" pid="16" name="DEECD_Author">
    <vt:lpwstr/>
  </property>
  <property fmtid="{D5CDD505-2E9C-101B-9397-08002B2CF9AE}" pid="17" name="DEECD_SubjectCategory">
    <vt:lpwstr/>
  </property>
  <property fmtid="{D5CDD505-2E9C-101B-9397-08002B2CF9AE}" pid="18" name="DEECD_ItemType">
    <vt:lpwstr/>
  </property>
  <property fmtid="{D5CDD505-2E9C-101B-9397-08002B2CF9AE}" pid="19" name="DEECD_Audience">
    <vt:lpwstr/>
  </property>
</Properties>
</file>