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F5BE7" w14:textId="77777777" w:rsidR="000736D1" w:rsidRPr="009957EE" w:rsidRDefault="009957EE" w:rsidP="009957EE">
      <w:pPr>
        <w:pStyle w:val="Title"/>
        <w:rPr>
          <w:b/>
          <w:sz w:val="44"/>
          <w:szCs w:val="44"/>
        </w:rPr>
      </w:pPr>
      <w:bookmarkStart w:id="0" w:name="_GoBack"/>
      <w:bookmarkEnd w:id="0"/>
      <w:r w:rsidRPr="009957EE">
        <w:rPr>
          <w:b/>
          <w:sz w:val="44"/>
          <w:szCs w:val="44"/>
        </w:rPr>
        <w:t>ABOUT YOU</w:t>
      </w:r>
    </w:p>
    <w:p w14:paraId="6BF59584" w14:textId="77777777" w:rsidR="009957EE" w:rsidRPr="009957EE" w:rsidRDefault="009957EE" w:rsidP="009957EE">
      <w:pPr>
        <w:pStyle w:val="Title"/>
        <w:rPr>
          <w:b/>
          <w:sz w:val="44"/>
          <w:szCs w:val="44"/>
        </w:rPr>
      </w:pPr>
      <w:r w:rsidRPr="009957EE">
        <w:rPr>
          <w:b/>
          <w:sz w:val="44"/>
          <w:szCs w:val="44"/>
        </w:rPr>
        <w:t>Victorian Student Health and Wellbeing Survey</w:t>
      </w:r>
    </w:p>
    <w:p w14:paraId="4775D8AC" w14:textId="77777777" w:rsidR="009957EE" w:rsidRDefault="009957EE" w:rsidP="009957EE">
      <w:pPr>
        <w:pStyle w:val="Subtitle"/>
        <w:rPr>
          <w:sz w:val="36"/>
        </w:rPr>
      </w:pPr>
      <w:r w:rsidRPr="009957EE">
        <w:rPr>
          <w:sz w:val="36"/>
        </w:rPr>
        <w:t>Summary Findings 2018</w:t>
      </w:r>
    </w:p>
    <w:p w14:paraId="0F0611BC" w14:textId="77777777" w:rsidR="005F509B" w:rsidRDefault="005F509B" w:rsidP="005F509B">
      <w:pPr>
        <w:rPr>
          <w:b/>
          <w:sz w:val="28"/>
        </w:rPr>
      </w:pPr>
    </w:p>
    <w:p w14:paraId="76E30534" w14:textId="77777777" w:rsidR="005F509B" w:rsidRPr="005F509B" w:rsidRDefault="005F509B" w:rsidP="005F509B">
      <w:pPr>
        <w:rPr>
          <w:b/>
          <w:sz w:val="28"/>
        </w:rPr>
      </w:pPr>
      <w:r w:rsidRPr="005F509B">
        <w:rPr>
          <w:b/>
          <w:sz w:val="28"/>
        </w:rPr>
        <w:t>Table of Contents</w:t>
      </w:r>
    </w:p>
    <w:p w14:paraId="23754CC0" w14:textId="137591D5" w:rsidR="00941B3C" w:rsidRDefault="005F509B">
      <w:pPr>
        <w:pStyle w:val="TOC1"/>
        <w:tabs>
          <w:tab w:val="right" w:leader="dot" w:pos="9016"/>
        </w:tabs>
        <w:rPr>
          <w:rFonts w:eastAsiaTheme="minorEastAsia"/>
          <w:noProof/>
          <w:lang w:eastAsia="en-AU"/>
        </w:rPr>
      </w:pPr>
      <w:r>
        <w:fldChar w:fldCharType="begin"/>
      </w:r>
      <w:r>
        <w:instrText xml:space="preserve"> TOC \o "1-2" \h \z \u </w:instrText>
      </w:r>
      <w:r>
        <w:fldChar w:fldCharType="separate"/>
      </w:r>
      <w:hyperlink w:anchor="_Toc19111704" w:history="1">
        <w:r w:rsidR="00941B3C" w:rsidRPr="00CD4F12">
          <w:rPr>
            <w:rStyle w:val="Hyperlink"/>
            <w:noProof/>
          </w:rPr>
          <w:t>About the survey</w:t>
        </w:r>
        <w:r w:rsidR="00941B3C">
          <w:rPr>
            <w:noProof/>
            <w:webHidden/>
          </w:rPr>
          <w:tab/>
        </w:r>
        <w:r w:rsidR="00941B3C">
          <w:rPr>
            <w:noProof/>
            <w:webHidden/>
          </w:rPr>
          <w:fldChar w:fldCharType="begin"/>
        </w:r>
        <w:r w:rsidR="00941B3C">
          <w:rPr>
            <w:noProof/>
            <w:webHidden/>
          </w:rPr>
          <w:instrText xml:space="preserve"> PAGEREF _Toc19111704 \h </w:instrText>
        </w:r>
        <w:r w:rsidR="00941B3C">
          <w:rPr>
            <w:noProof/>
            <w:webHidden/>
          </w:rPr>
        </w:r>
        <w:r w:rsidR="00941B3C">
          <w:rPr>
            <w:noProof/>
            <w:webHidden/>
          </w:rPr>
          <w:fldChar w:fldCharType="separate"/>
        </w:r>
        <w:r w:rsidR="00941B3C">
          <w:rPr>
            <w:noProof/>
            <w:webHidden/>
          </w:rPr>
          <w:t>2</w:t>
        </w:r>
        <w:r w:rsidR="00941B3C">
          <w:rPr>
            <w:noProof/>
            <w:webHidden/>
          </w:rPr>
          <w:fldChar w:fldCharType="end"/>
        </w:r>
      </w:hyperlink>
    </w:p>
    <w:p w14:paraId="660E1E5D" w14:textId="0D12A306" w:rsidR="00941B3C" w:rsidRDefault="00D04C69">
      <w:pPr>
        <w:pStyle w:val="TOC1"/>
        <w:tabs>
          <w:tab w:val="right" w:leader="dot" w:pos="9016"/>
        </w:tabs>
        <w:rPr>
          <w:rFonts w:eastAsiaTheme="minorEastAsia"/>
          <w:noProof/>
          <w:lang w:eastAsia="en-AU"/>
        </w:rPr>
      </w:pPr>
      <w:hyperlink w:anchor="_Toc19111705" w:history="1">
        <w:r w:rsidR="00941B3C" w:rsidRPr="00CD4F12">
          <w:rPr>
            <w:rStyle w:val="Hyperlink"/>
            <w:noProof/>
          </w:rPr>
          <w:t>Interpreting ‘About You’ data</w:t>
        </w:r>
        <w:r w:rsidR="00941B3C">
          <w:rPr>
            <w:noProof/>
            <w:webHidden/>
          </w:rPr>
          <w:tab/>
        </w:r>
        <w:r w:rsidR="00941B3C">
          <w:rPr>
            <w:noProof/>
            <w:webHidden/>
          </w:rPr>
          <w:fldChar w:fldCharType="begin"/>
        </w:r>
        <w:r w:rsidR="00941B3C">
          <w:rPr>
            <w:noProof/>
            <w:webHidden/>
          </w:rPr>
          <w:instrText xml:space="preserve"> PAGEREF _Toc19111705 \h </w:instrText>
        </w:r>
        <w:r w:rsidR="00941B3C">
          <w:rPr>
            <w:noProof/>
            <w:webHidden/>
          </w:rPr>
        </w:r>
        <w:r w:rsidR="00941B3C">
          <w:rPr>
            <w:noProof/>
            <w:webHidden/>
          </w:rPr>
          <w:fldChar w:fldCharType="separate"/>
        </w:r>
        <w:r w:rsidR="00941B3C">
          <w:rPr>
            <w:noProof/>
            <w:webHidden/>
          </w:rPr>
          <w:t>2</w:t>
        </w:r>
        <w:r w:rsidR="00941B3C">
          <w:rPr>
            <w:noProof/>
            <w:webHidden/>
          </w:rPr>
          <w:fldChar w:fldCharType="end"/>
        </w:r>
      </w:hyperlink>
    </w:p>
    <w:p w14:paraId="46AFD3F7" w14:textId="35BE79AD" w:rsidR="00941B3C" w:rsidRDefault="00D04C69">
      <w:pPr>
        <w:pStyle w:val="TOC1"/>
        <w:tabs>
          <w:tab w:val="right" w:leader="dot" w:pos="9016"/>
        </w:tabs>
        <w:rPr>
          <w:rFonts w:eastAsiaTheme="minorEastAsia"/>
          <w:noProof/>
          <w:lang w:eastAsia="en-AU"/>
        </w:rPr>
      </w:pPr>
      <w:hyperlink w:anchor="_Toc19111706" w:history="1">
        <w:r w:rsidR="00941B3C" w:rsidRPr="00CD4F12">
          <w:rPr>
            <w:rStyle w:val="Hyperlink"/>
            <w:noProof/>
          </w:rPr>
          <w:t>Key statistics</w:t>
        </w:r>
        <w:r w:rsidR="00941B3C">
          <w:rPr>
            <w:noProof/>
            <w:webHidden/>
          </w:rPr>
          <w:tab/>
        </w:r>
        <w:r w:rsidR="00941B3C">
          <w:rPr>
            <w:noProof/>
            <w:webHidden/>
          </w:rPr>
          <w:fldChar w:fldCharType="begin"/>
        </w:r>
        <w:r w:rsidR="00941B3C">
          <w:rPr>
            <w:noProof/>
            <w:webHidden/>
          </w:rPr>
          <w:instrText xml:space="preserve"> PAGEREF _Toc19111706 \h </w:instrText>
        </w:r>
        <w:r w:rsidR="00941B3C">
          <w:rPr>
            <w:noProof/>
            <w:webHidden/>
          </w:rPr>
        </w:r>
        <w:r w:rsidR="00941B3C">
          <w:rPr>
            <w:noProof/>
            <w:webHidden/>
          </w:rPr>
          <w:fldChar w:fldCharType="separate"/>
        </w:r>
        <w:r w:rsidR="00941B3C">
          <w:rPr>
            <w:noProof/>
            <w:webHidden/>
          </w:rPr>
          <w:t>3</w:t>
        </w:r>
        <w:r w:rsidR="00941B3C">
          <w:rPr>
            <w:noProof/>
            <w:webHidden/>
          </w:rPr>
          <w:fldChar w:fldCharType="end"/>
        </w:r>
      </w:hyperlink>
    </w:p>
    <w:p w14:paraId="62638012" w14:textId="62EC0FDA" w:rsidR="00941B3C" w:rsidRDefault="00D04C69">
      <w:pPr>
        <w:pStyle w:val="TOC1"/>
        <w:tabs>
          <w:tab w:val="right" w:leader="dot" w:pos="9016"/>
        </w:tabs>
        <w:rPr>
          <w:rFonts w:eastAsiaTheme="minorEastAsia"/>
          <w:noProof/>
          <w:lang w:eastAsia="en-AU"/>
        </w:rPr>
      </w:pPr>
      <w:hyperlink w:anchor="_Toc19111707" w:history="1">
        <w:r w:rsidR="00941B3C" w:rsidRPr="00CD4F12">
          <w:rPr>
            <w:rStyle w:val="Hyperlink"/>
            <w:noProof/>
          </w:rPr>
          <w:t>How healthy are Victoria’s young people?</w:t>
        </w:r>
        <w:r w:rsidR="00941B3C">
          <w:rPr>
            <w:noProof/>
            <w:webHidden/>
          </w:rPr>
          <w:tab/>
        </w:r>
        <w:r w:rsidR="00941B3C">
          <w:rPr>
            <w:noProof/>
            <w:webHidden/>
          </w:rPr>
          <w:fldChar w:fldCharType="begin"/>
        </w:r>
        <w:r w:rsidR="00941B3C">
          <w:rPr>
            <w:noProof/>
            <w:webHidden/>
          </w:rPr>
          <w:instrText xml:space="preserve"> PAGEREF _Toc19111707 \h </w:instrText>
        </w:r>
        <w:r w:rsidR="00941B3C">
          <w:rPr>
            <w:noProof/>
            <w:webHidden/>
          </w:rPr>
        </w:r>
        <w:r w:rsidR="00941B3C">
          <w:rPr>
            <w:noProof/>
            <w:webHidden/>
          </w:rPr>
          <w:fldChar w:fldCharType="separate"/>
        </w:r>
        <w:r w:rsidR="00941B3C">
          <w:rPr>
            <w:noProof/>
            <w:webHidden/>
          </w:rPr>
          <w:t>4</w:t>
        </w:r>
        <w:r w:rsidR="00941B3C">
          <w:rPr>
            <w:noProof/>
            <w:webHidden/>
          </w:rPr>
          <w:fldChar w:fldCharType="end"/>
        </w:r>
      </w:hyperlink>
    </w:p>
    <w:p w14:paraId="1E352E79" w14:textId="0590668D" w:rsidR="00941B3C" w:rsidRDefault="00D04C69">
      <w:pPr>
        <w:pStyle w:val="TOC2"/>
        <w:tabs>
          <w:tab w:val="right" w:leader="dot" w:pos="9016"/>
        </w:tabs>
        <w:rPr>
          <w:rFonts w:eastAsiaTheme="minorEastAsia"/>
          <w:noProof/>
          <w:lang w:eastAsia="en-AU"/>
        </w:rPr>
      </w:pPr>
      <w:hyperlink w:anchor="_Toc19111708" w:history="1">
        <w:r w:rsidR="00941B3C" w:rsidRPr="00CD4F12">
          <w:rPr>
            <w:rStyle w:val="Hyperlink"/>
            <w:noProof/>
          </w:rPr>
          <w:t>General health</w:t>
        </w:r>
        <w:r w:rsidR="00941B3C">
          <w:rPr>
            <w:noProof/>
            <w:webHidden/>
          </w:rPr>
          <w:tab/>
        </w:r>
        <w:r w:rsidR="00941B3C">
          <w:rPr>
            <w:noProof/>
            <w:webHidden/>
          </w:rPr>
          <w:fldChar w:fldCharType="begin"/>
        </w:r>
        <w:r w:rsidR="00941B3C">
          <w:rPr>
            <w:noProof/>
            <w:webHidden/>
          </w:rPr>
          <w:instrText xml:space="preserve"> PAGEREF _Toc19111708 \h </w:instrText>
        </w:r>
        <w:r w:rsidR="00941B3C">
          <w:rPr>
            <w:noProof/>
            <w:webHidden/>
          </w:rPr>
        </w:r>
        <w:r w:rsidR="00941B3C">
          <w:rPr>
            <w:noProof/>
            <w:webHidden/>
          </w:rPr>
          <w:fldChar w:fldCharType="separate"/>
        </w:r>
        <w:r w:rsidR="00941B3C">
          <w:rPr>
            <w:noProof/>
            <w:webHidden/>
          </w:rPr>
          <w:t>4</w:t>
        </w:r>
        <w:r w:rsidR="00941B3C">
          <w:rPr>
            <w:noProof/>
            <w:webHidden/>
          </w:rPr>
          <w:fldChar w:fldCharType="end"/>
        </w:r>
      </w:hyperlink>
    </w:p>
    <w:p w14:paraId="79449C10" w14:textId="5254E636" w:rsidR="00941B3C" w:rsidRDefault="00D04C69">
      <w:pPr>
        <w:pStyle w:val="TOC2"/>
        <w:tabs>
          <w:tab w:val="right" w:leader="dot" w:pos="9016"/>
        </w:tabs>
        <w:rPr>
          <w:rFonts w:eastAsiaTheme="minorEastAsia"/>
          <w:noProof/>
          <w:lang w:eastAsia="en-AU"/>
        </w:rPr>
      </w:pPr>
      <w:hyperlink w:anchor="_Toc19111709" w:history="1">
        <w:r w:rsidR="00941B3C" w:rsidRPr="00CD4F12">
          <w:rPr>
            <w:rStyle w:val="Hyperlink"/>
            <w:noProof/>
          </w:rPr>
          <w:t>Special health care needs</w:t>
        </w:r>
        <w:r w:rsidR="00941B3C">
          <w:rPr>
            <w:noProof/>
            <w:webHidden/>
          </w:rPr>
          <w:tab/>
        </w:r>
        <w:r w:rsidR="00941B3C">
          <w:rPr>
            <w:noProof/>
            <w:webHidden/>
          </w:rPr>
          <w:fldChar w:fldCharType="begin"/>
        </w:r>
        <w:r w:rsidR="00941B3C">
          <w:rPr>
            <w:noProof/>
            <w:webHidden/>
          </w:rPr>
          <w:instrText xml:space="preserve"> PAGEREF _Toc19111709 \h </w:instrText>
        </w:r>
        <w:r w:rsidR="00941B3C">
          <w:rPr>
            <w:noProof/>
            <w:webHidden/>
          </w:rPr>
        </w:r>
        <w:r w:rsidR="00941B3C">
          <w:rPr>
            <w:noProof/>
            <w:webHidden/>
          </w:rPr>
          <w:fldChar w:fldCharType="separate"/>
        </w:r>
        <w:r w:rsidR="00941B3C">
          <w:rPr>
            <w:noProof/>
            <w:webHidden/>
          </w:rPr>
          <w:t>4</w:t>
        </w:r>
        <w:r w:rsidR="00941B3C">
          <w:rPr>
            <w:noProof/>
            <w:webHidden/>
          </w:rPr>
          <w:fldChar w:fldCharType="end"/>
        </w:r>
      </w:hyperlink>
    </w:p>
    <w:p w14:paraId="58241649" w14:textId="03355F86" w:rsidR="00941B3C" w:rsidRDefault="00D04C69">
      <w:pPr>
        <w:pStyle w:val="TOC2"/>
        <w:tabs>
          <w:tab w:val="right" w:leader="dot" w:pos="9016"/>
        </w:tabs>
        <w:rPr>
          <w:rFonts w:eastAsiaTheme="minorEastAsia"/>
          <w:noProof/>
          <w:lang w:eastAsia="en-AU"/>
        </w:rPr>
      </w:pPr>
      <w:hyperlink w:anchor="_Toc19111710" w:history="1">
        <w:r w:rsidR="00941B3C" w:rsidRPr="00CD4F12">
          <w:rPr>
            <w:rStyle w:val="Hyperlink"/>
            <w:noProof/>
          </w:rPr>
          <w:t>Asthma</w:t>
        </w:r>
        <w:r w:rsidR="00941B3C">
          <w:rPr>
            <w:noProof/>
            <w:webHidden/>
          </w:rPr>
          <w:tab/>
        </w:r>
        <w:r w:rsidR="00941B3C">
          <w:rPr>
            <w:noProof/>
            <w:webHidden/>
          </w:rPr>
          <w:fldChar w:fldCharType="begin"/>
        </w:r>
        <w:r w:rsidR="00941B3C">
          <w:rPr>
            <w:noProof/>
            <w:webHidden/>
          </w:rPr>
          <w:instrText xml:space="preserve"> PAGEREF _Toc19111710 \h </w:instrText>
        </w:r>
        <w:r w:rsidR="00941B3C">
          <w:rPr>
            <w:noProof/>
            <w:webHidden/>
          </w:rPr>
        </w:r>
        <w:r w:rsidR="00941B3C">
          <w:rPr>
            <w:noProof/>
            <w:webHidden/>
          </w:rPr>
          <w:fldChar w:fldCharType="separate"/>
        </w:r>
        <w:r w:rsidR="00941B3C">
          <w:rPr>
            <w:noProof/>
            <w:webHidden/>
          </w:rPr>
          <w:t>5</w:t>
        </w:r>
        <w:r w:rsidR="00941B3C">
          <w:rPr>
            <w:noProof/>
            <w:webHidden/>
          </w:rPr>
          <w:fldChar w:fldCharType="end"/>
        </w:r>
      </w:hyperlink>
    </w:p>
    <w:p w14:paraId="7B77CDC0" w14:textId="310CC385" w:rsidR="00941B3C" w:rsidRDefault="00D04C69">
      <w:pPr>
        <w:pStyle w:val="TOC2"/>
        <w:tabs>
          <w:tab w:val="right" w:leader="dot" w:pos="9016"/>
        </w:tabs>
        <w:rPr>
          <w:rFonts w:eastAsiaTheme="minorEastAsia"/>
          <w:noProof/>
          <w:lang w:eastAsia="en-AU"/>
        </w:rPr>
      </w:pPr>
      <w:hyperlink w:anchor="_Toc19111711" w:history="1">
        <w:r w:rsidR="00941B3C" w:rsidRPr="00CD4F12">
          <w:rPr>
            <w:rStyle w:val="Hyperlink"/>
            <w:noProof/>
          </w:rPr>
          <w:t>Physical activity</w:t>
        </w:r>
        <w:r w:rsidR="00941B3C">
          <w:rPr>
            <w:noProof/>
            <w:webHidden/>
          </w:rPr>
          <w:tab/>
        </w:r>
        <w:r w:rsidR="00941B3C">
          <w:rPr>
            <w:noProof/>
            <w:webHidden/>
          </w:rPr>
          <w:fldChar w:fldCharType="begin"/>
        </w:r>
        <w:r w:rsidR="00941B3C">
          <w:rPr>
            <w:noProof/>
            <w:webHidden/>
          </w:rPr>
          <w:instrText xml:space="preserve"> PAGEREF _Toc19111711 \h </w:instrText>
        </w:r>
        <w:r w:rsidR="00941B3C">
          <w:rPr>
            <w:noProof/>
            <w:webHidden/>
          </w:rPr>
        </w:r>
        <w:r w:rsidR="00941B3C">
          <w:rPr>
            <w:noProof/>
            <w:webHidden/>
          </w:rPr>
          <w:fldChar w:fldCharType="separate"/>
        </w:r>
        <w:r w:rsidR="00941B3C">
          <w:rPr>
            <w:noProof/>
            <w:webHidden/>
          </w:rPr>
          <w:t>5</w:t>
        </w:r>
        <w:r w:rsidR="00941B3C">
          <w:rPr>
            <w:noProof/>
            <w:webHidden/>
          </w:rPr>
          <w:fldChar w:fldCharType="end"/>
        </w:r>
      </w:hyperlink>
    </w:p>
    <w:p w14:paraId="3E1D39C8" w14:textId="3982EF6C" w:rsidR="00941B3C" w:rsidRDefault="00D04C69">
      <w:pPr>
        <w:pStyle w:val="TOC2"/>
        <w:tabs>
          <w:tab w:val="right" w:leader="dot" w:pos="9016"/>
        </w:tabs>
        <w:rPr>
          <w:rFonts w:eastAsiaTheme="minorEastAsia"/>
          <w:noProof/>
          <w:lang w:eastAsia="en-AU"/>
        </w:rPr>
      </w:pPr>
      <w:hyperlink w:anchor="_Toc19111712" w:history="1">
        <w:r w:rsidR="00941B3C" w:rsidRPr="00CD4F12">
          <w:rPr>
            <w:rStyle w:val="Hyperlink"/>
            <w:noProof/>
          </w:rPr>
          <w:t>Electronic media use</w:t>
        </w:r>
        <w:r w:rsidR="00941B3C">
          <w:rPr>
            <w:noProof/>
            <w:webHidden/>
          </w:rPr>
          <w:tab/>
        </w:r>
        <w:r w:rsidR="00941B3C">
          <w:rPr>
            <w:noProof/>
            <w:webHidden/>
          </w:rPr>
          <w:fldChar w:fldCharType="begin"/>
        </w:r>
        <w:r w:rsidR="00941B3C">
          <w:rPr>
            <w:noProof/>
            <w:webHidden/>
          </w:rPr>
          <w:instrText xml:space="preserve"> PAGEREF _Toc19111712 \h </w:instrText>
        </w:r>
        <w:r w:rsidR="00941B3C">
          <w:rPr>
            <w:noProof/>
            <w:webHidden/>
          </w:rPr>
        </w:r>
        <w:r w:rsidR="00941B3C">
          <w:rPr>
            <w:noProof/>
            <w:webHidden/>
          </w:rPr>
          <w:fldChar w:fldCharType="separate"/>
        </w:r>
        <w:r w:rsidR="00941B3C">
          <w:rPr>
            <w:noProof/>
            <w:webHidden/>
          </w:rPr>
          <w:t>6</w:t>
        </w:r>
        <w:r w:rsidR="00941B3C">
          <w:rPr>
            <w:noProof/>
            <w:webHidden/>
          </w:rPr>
          <w:fldChar w:fldCharType="end"/>
        </w:r>
      </w:hyperlink>
    </w:p>
    <w:p w14:paraId="023E9164" w14:textId="3AD7B2D1" w:rsidR="00941B3C" w:rsidRDefault="00D04C69">
      <w:pPr>
        <w:pStyle w:val="TOC2"/>
        <w:tabs>
          <w:tab w:val="right" w:leader="dot" w:pos="9016"/>
        </w:tabs>
        <w:rPr>
          <w:rFonts w:eastAsiaTheme="minorEastAsia"/>
          <w:noProof/>
          <w:lang w:eastAsia="en-AU"/>
        </w:rPr>
      </w:pPr>
      <w:hyperlink w:anchor="_Toc19111713" w:history="1">
        <w:r w:rsidR="00941B3C" w:rsidRPr="00CD4F12">
          <w:rPr>
            <w:rStyle w:val="Hyperlink"/>
            <w:noProof/>
          </w:rPr>
          <w:t>Healthy eating</w:t>
        </w:r>
        <w:r w:rsidR="00941B3C">
          <w:rPr>
            <w:noProof/>
            <w:webHidden/>
          </w:rPr>
          <w:tab/>
        </w:r>
        <w:r w:rsidR="00941B3C">
          <w:rPr>
            <w:noProof/>
            <w:webHidden/>
          </w:rPr>
          <w:fldChar w:fldCharType="begin"/>
        </w:r>
        <w:r w:rsidR="00941B3C">
          <w:rPr>
            <w:noProof/>
            <w:webHidden/>
          </w:rPr>
          <w:instrText xml:space="preserve"> PAGEREF _Toc19111713 \h </w:instrText>
        </w:r>
        <w:r w:rsidR="00941B3C">
          <w:rPr>
            <w:noProof/>
            <w:webHidden/>
          </w:rPr>
        </w:r>
        <w:r w:rsidR="00941B3C">
          <w:rPr>
            <w:noProof/>
            <w:webHidden/>
          </w:rPr>
          <w:fldChar w:fldCharType="separate"/>
        </w:r>
        <w:r w:rsidR="00941B3C">
          <w:rPr>
            <w:noProof/>
            <w:webHidden/>
          </w:rPr>
          <w:t>6</w:t>
        </w:r>
        <w:r w:rsidR="00941B3C">
          <w:rPr>
            <w:noProof/>
            <w:webHidden/>
          </w:rPr>
          <w:fldChar w:fldCharType="end"/>
        </w:r>
      </w:hyperlink>
    </w:p>
    <w:p w14:paraId="355C53BD" w14:textId="2F7E9D4E" w:rsidR="00941B3C" w:rsidRDefault="00D04C69">
      <w:pPr>
        <w:pStyle w:val="TOC2"/>
        <w:tabs>
          <w:tab w:val="right" w:leader="dot" w:pos="9016"/>
        </w:tabs>
        <w:rPr>
          <w:rFonts w:eastAsiaTheme="minorEastAsia"/>
          <w:noProof/>
          <w:lang w:eastAsia="en-AU"/>
        </w:rPr>
      </w:pPr>
      <w:hyperlink w:anchor="_Toc19111714" w:history="1">
        <w:r w:rsidR="00941B3C" w:rsidRPr="00CD4F12">
          <w:rPr>
            <w:rStyle w:val="Hyperlink"/>
            <w:noProof/>
          </w:rPr>
          <w:t>Oral health</w:t>
        </w:r>
        <w:r w:rsidR="00941B3C">
          <w:rPr>
            <w:noProof/>
            <w:webHidden/>
          </w:rPr>
          <w:tab/>
        </w:r>
        <w:r w:rsidR="00941B3C">
          <w:rPr>
            <w:noProof/>
            <w:webHidden/>
          </w:rPr>
          <w:fldChar w:fldCharType="begin"/>
        </w:r>
        <w:r w:rsidR="00941B3C">
          <w:rPr>
            <w:noProof/>
            <w:webHidden/>
          </w:rPr>
          <w:instrText xml:space="preserve"> PAGEREF _Toc19111714 \h </w:instrText>
        </w:r>
        <w:r w:rsidR="00941B3C">
          <w:rPr>
            <w:noProof/>
            <w:webHidden/>
          </w:rPr>
        </w:r>
        <w:r w:rsidR="00941B3C">
          <w:rPr>
            <w:noProof/>
            <w:webHidden/>
          </w:rPr>
          <w:fldChar w:fldCharType="separate"/>
        </w:r>
        <w:r w:rsidR="00941B3C">
          <w:rPr>
            <w:noProof/>
            <w:webHidden/>
          </w:rPr>
          <w:t>6</w:t>
        </w:r>
        <w:r w:rsidR="00941B3C">
          <w:rPr>
            <w:noProof/>
            <w:webHidden/>
          </w:rPr>
          <w:fldChar w:fldCharType="end"/>
        </w:r>
      </w:hyperlink>
    </w:p>
    <w:p w14:paraId="32054C29" w14:textId="0B75003E" w:rsidR="00941B3C" w:rsidRDefault="00D04C69">
      <w:pPr>
        <w:pStyle w:val="TOC1"/>
        <w:tabs>
          <w:tab w:val="right" w:leader="dot" w:pos="9016"/>
        </w:tabs>
        <w:rPr>
          <w:rFonts w:eastAsiaTheme="minorEastAsia"/>
          <w:noProof/>
          <w:lang w:eastAsia="en-AU"/>
        </w:rPr>
      </w:pPr>
      <w:hyperlink w:anchor="_Toc19111715" w:history="1">
        <w:r w:rsidR="00941B3C" w:rsidRPr="00CD4F12">
          <w:rPr>
            <w:rStyle w:val="Hyperlink"/>
            <w:noProof/>
          </w:rPr>
          <w:t>Risky health behaviours</w:t>
        </w:r>
        <w:r w:rsidR="00941B3C">
          <w:rPr>
            <w:noProof/>
            <w:webHidden/>
          </w:rPr>
          <w:tab/>
        </w:r>
        <w:r w:rsidR="00941B3C">
          <w:rPr>
            <w:noProof/>
            <w:webHidden/>
          </w:rPr>
          <w:fldChar w:fldCharType="begin"/>
        </w:r>
        <w:r w:rsidR="00941B3C">
          <w:rPr>
            <w:noProof/>
            <w:webHidden/>
          </w:rPr>
          <w:instrText xml:space="preserve"> PAGEREF _Toc19111715 \h </w:instrText>
        </w:r>
        <w:r w:rsidR="00941B3C">
          <w:rPr>
            <w:noProof/>
            <w:webHidden/>
          </w:rPr>
        </w:r>
        <w:r w:rsidR="00941B3C">
          <w:rPr>
            <w:noProof/>
            <w:webHidden/>
          </w:rPr>
          <w:fldChar w:fldCharType="separate"/>
        </w:r>
        <w:r w:rsidR="00941B3C">
          <w:rPr>
            <w:noProof/>
            <w:webHidden/>
          </w:rPr>
          <w:t>7</w:t>
        </w:r>
        <w:r w:rsidR="00941B3C">
          <w:rPr>
            <w:noProof/>
            <w:webHidden/>
          </w:rPr>
          <w:fldChar w:fldCharType="end"/>
        </w:r>
      </w:hyperlink>
    </w:p>
    <w:p w14:paraId="10478ADA" w14:textId="4D2797C4" w:rsidR="00941B3C" w:rsidRDefault="00D04C69">
      <w:pPr>
        <w:pStyle w:val="TOC2"/>
        <w:tabs>
          <w:tab w:val="right" w:leader="dot" w:pos="9016"/>
        </w:tabs>
        <w:rPr>
          <w:rFonts w:eastAsiaTheme="minorEastAsia"/>
          <w:noProof/>
          <w:lang w:eastAsia="en-AU"/>
        </w:rPr>
      </w:pPr>
      <w:hyperlink w:anchor="_Toc19111716" w:history="1">
        <w:r w:rsidR="00941B3C" w:rsidRPr="00CD4F12">
          <w:rPr>
            <w:rStyle w:val="Hyperlink"/>
            <w:noProof/>
          </w:rPr>
          <w:t>Sexual activity</w:t>
        </w:r>
        <w:r w:rsidR="00941B3C">
          <w:rPr>
            <w:noProof/>
            <w:webHidden/>
          </w:rPr>
          <w:tab/>
        </w:r>
        <w:r w:rsidR="00941B3C">
          <w:rPr>
            <w:noProof/>
            <w:webHidden/>
          </w:rPr>
          <w:fldChar w:fldCharType="begin"/>
        </w:r>
        <w:r w:rsidR="00941B3C">
          <w:rPr>
            <w:noProof/>
            <w:webHidden/>
          </w:rPr>
          <w:instrText xml:space="preserve"> PAGEREF _Toc19111716 \h </w:instrText>
        </w:r>
        <w:r w:rsidR="00941B3C">
          <w:rPr>
            <w:noProof/>
            <w:webHidden/>
          </w:rPr>
        </w:r>
        <w:r w:rsidR="00941B3C">
          <w:rPr>
            <w:noProof/>
            <w:webHidden/>
          </w:rPr>
          <w:fldChar w:fldCharType="separate"/>
        </w:r>
        <w:r w:rsidR="00941B3C">
          <w:rPr>
            <w:noProof/>
            <w:webHidden/>
          </w:rPr>
          <w:t>7</w:t>
        </w:r>
        <w:r w:rsidR="00941B3C">
          <w:rPr>
            <w:noProof/>
            <w:webHidden/>
          </w:rPr>
          <w:fldChar w:fldCharType="end"/>
        </w:r>
      </w:hyperlink>
    </w:p>
    <w:p w14:paraId="23A68B63" w14:textId="284E6C56" w:rsidR="00941B3C" w:rsidRDefault="00D04C69">
      <w:pPr>
        <w:pStyle w:val="TOC2"/>
        <w:tabs>
          <w:tab w:val="right" w:leader="dot" w:pos="9016"/>
        </w:tabs>
        <w:rPr>
          <w:rFonts w:eastAsiaTheme="minorEastAsia"/>
          <w:noProof/>
          <w:lang w:eastAsia="en-AU"/>
        </w:rPr>
      </w:pPr>
      <w:hyperlink w:anchor="_Toc19111717" w:history="1">
        <w:r w:rsidR="00941B3C" w:rsidRPr="00CD4F12">
          <w:rPr>
            <w:rStyle w:val="Hyperlink"/>
            <w:noProof/>
          </w:rPr>
          <w:t>Smoking</w:t>
        </w:r>
        <w:r w:rsidR="00941B3C">
          <w:rPr>
            <w:noProof/>
            <w:webHidden/>
          </w:rPr>
          <w:tab/>
        </w:r>
        <w:r w:rsidR="00941B3C">
          <w:rPr>
            <w:noProof/>
            <w:webHidden/>
          </w:rPr>
          <w:fldChar w:fldCharType="begin"/>
        </w:r>
        <w:r w:rsidR="00941B3C">
          <w:rPr>
            <w:noProof/>
            <w:webHidden/>
          </w:rPr>
          <w:instrText xml:space="preserve"> PAGEREF _Toc19111717 \h </w:instrText>
        </w:r>
        <w:r w:rsidR="00941B3C">
          <w:rPr>
            <w:noProof/>
            <w:webHidden/>
          </w:rPr>
        </w:r>
        <w:r w:rsidR="00941B3C">
          <w:rPr>
            <w:noProof/>
            <w:webHidden/>
          </w:rPr>
          <w:fldChar w:fldCharType="separate"/>
        </w:r>
        <w:r w:rsidR="00941B3C">
          <w:rPr>
            <w:noProof/>
            <w:webHidden/>
          </w:rPr>
          <w:t>7</w:t>
        </w:r>
        <w:r w:rsidR="00941B3C">
          <w:rPr>
            <w:noProof/>
            <w:webHidden/>
          </w:rPr>
          <w:fldChar w:fldCharType="end"/>
        </w:r>
      </w:hyperlink>
    </w:p>
    <w:p w14:paraId="473E25AA" w14:textId="2853B4E9" w:rsidR="00941B3C" w:rsidRDefault="00D04C69">
      <w:pPr>
        <w:pStyle w:val="TOC2"/>
        <w:tabs>
          <w:tab w:val="right" w:leader="dot" w:pos="9016"/>
        </w:tabs>
        <w:rPr>
          <w:rFonts w:eastAsiaTheme="minorEastAsia"/>
          <w:noProof/>
          <w:lang w:eastAsia="en-AU"/>
        </w:rPr>
      </w:pPr>
      <w:hyperlink w:anchor="_Toc19111718" w:history="1">
        <w:r w:rsidR="00941B3C" w:rsidRPr="00CD4F12">
          <w:rPr>
            <w:rStyle w:val="Hyperlink"/>
            <w:noProof/>
          </w:rPr>
          <w:t>Alcohol</w:t>
        </w:r>
        <w:r w:rsidR="00941B3C">
          <w:rPr>
            <w:noProof/>
            <w:webHidden/>
          </w:rPr>
          <w:tab/>
        </w:r>
        <w:r w:rsidR="00941B3C">
          <w:rPr>
            <w:noProof/>
            <w:webHidden/>
          </w:rPr>
          <w:fldChar w:fldCharType="begin"/>
        </w:r>
        <w:r w:rsidR="00941B3C">
          <w:rPr>
            <w:noProof/>
            <w:webHidden/>
          </w:rPr>
          <w:instrText xml:space="preserve"> PAGEREF _Toc19111718 \h </w:instrText>
        </w:r>
        <w:r w:rsidR="00941B3C">
          <w:rPr>
            <w:noProof/>
            <w:webHidden/>
          </w:rPr>
        </w:r>
        <w:r w:rsidR="00941B3C">
          <w:rPr>
            <w:noProof/>
            <w:webHidden/>
          </w:rPr>
          <w:fldChar w:fldCharType="separate"/>
        </w:r>
        <w:r w:rsidR="00941B3C">
          <w:rPr>
            <w:noProof/>
            <w:webHidden/>
          </w:rPr>
          <w:t>8</w:t>
        </w:r>
        <w:r w:rsidR="00941B3C">
          <w:rPr>
            <w:noProof/>
            <w:webHidden/>
          </w:rPr>
          <w:fldChar w:fldCharType="end"/>
        </w:r>
      </w:hyperlink>
    </w:p>
    <w:p w14:paraId="3637B649" w14:textId="37EEA864" w:rsidR="00941B3C" w:rsidRDefault="00D04C69">
      <w:pPr>
        <w:pStyle w:val="TOC2"/>
        <w:tabs>
          <w:tab w:val="right" w:leader="dot" w:pos="9016"/>
        </w:tabs>
        <w:rPr>
          <w:rFonts w:eastAsiaTheme="minorEastAsia"/>
          <w:noProof/>
          <w:lang w:eastAsia="en-AU"/>
        </w:rPr>
      </w:pPr>
      <w:hyperlink w:anchor="_Toc19111719" w:history="1">
        <w:r w:rsidR="00941B3C" w:rsidRPr="00CD4F12">
          <w:rPr>
            <w:rStyle w:val="Hyperlink"/>
            <w:noProof/>
          </w:rPr>
          <w:t>Illicit drugs</w:t>
        </w:r>
        <w:r w:rsidR="00941B3C">
          <w:rPr>
            <w:noProof/>
            <w:webHidden/>
          </w:rPr>
          <w:tab/>
        </w:r>
        <w:r w:rsidR="00941B3C">
          <w:rPr>
            <w:noProof/>
            <w:webHidden/>
          </w:rPr>
          <w:fldChar w:fldCharType="begin"/>
        </w:r>
        <w:r w:rsidR="00941B3C">
          <w:rPr>
            <w:noProof/>
            <w:webHidden/>
          </w:rPr>
          <w:instrText xml:space="preserve"> PAGEREF _Toc19111719 \h </w:instrText>
        </w:r>
        <w:r w:rsidR="00941B3C">
          <w:rPr>
            <w:noProof/>
            <w:webHidden/>
          </w:rPr>
        </w:r>
        <w:r w:rsidR="00941B3C">
          <w:rPr>
            <w:noProof/>
            <w:webHidden/>
          </w:rPr>
          <w:fldChar w:fldCharType="separate"/>
        </w:r>
        <w:r w:rsidR="00941B3C">
          <w:rPr>
            <w:noProof/>
            <w:webHidden/>
          </w:rPr>
          <w:t>8</w:t>
        </w:r>
        <w:r w:rsidR="00941B3C">
          <w:rPr>
            <w:noProof/>
            <w:webHidden/>
          </w:rPr>
          <w:fldChar w:fldCharType="end"/>
        </w:r>
      </w:hyperlink>
    </w:p>
    <w:p w14:paraId="1258EBF5" w14:textId="60C11C39" w:rsidR="00941B3C" w:rsidRDefault="00D04C69">
      <w:pPr>
        <w:pStyle w:val="TOC1"/>
        <w:tabs>
          <w:tab w:val="right" w:leader="dot" w:pos="9016"/>
        </w:tabs>
        <w:rPr>
          <w:rFonts w:eastAsiaTheme="minorEastAsia"/>
          <w:noProof/>
          <w:lang w:eastAsia="en-AU"/>
        </w:rPr>
      </w:pPr>
      <w:hyperlink w:anchor="_Toc19111720" w:history="1">
        <w:r w:rsidR="00941B3C" w:rsidRPr="00CD4F12">
          <w:rPr>
            <w:rStyle w:val="Hyperlink"/>
            <w:noProof/>
          </w:rPr>
          <w:t>Emotional wellbeing</w:t>
        </w:r>
        <w:r w:rsidR="00941B3C">
          <w:rPr>
            <w:noProof/>
            <w:webHidden/>
          </w:rPr>
          <w:tab/>
        </w:r>
        <w:r w:rsidR="00941B3C">
          <w:rPr>
            <w:noProof/>
            <w:webHidden/>
          </w:rPr>
          <w:fldChar w:fldCharType="begin"/>
        </w:r>
        <w:r w:rsidR="00941B3C">
          <w:rPr>
            <w:noProof/>
            <w:webHidden/>
          </w:rPr>
          <w:instrText xml:space="preserve"> PAGEREF _Toc19111720 \h </w:instrText>
        </w:r>
        <w:r w:rsidR="00941B3C">
          <w:rPr>
            <w:noProof/>
            <w:webHidden/>
          </w:rPr>
        </w:r>
        <w:r w:rsidR="00941B3C">
          <w:rPr>
            <w:noProof/>
            <w:webHidden/>
          </w:rPr>
          <w:fldChar w:fldCharType="separate"/>
        </w:r>
        <w:r w:rsidR="00941B3C">
          <w:rPr>
            <w:noProof/>
            <w:webHidden/>
          </w:rPr>
          <w:t>9</w:t>
        </w:r>
        <w:r w:rsidR="00941B3C">
          <w:rPr>
            <w:noProof/>
            <w:webHidden/>
          </w:rPr>
          <w:fldChar w:fldCharType="end"/>
        </w:r>
      </w:hyperlink>
    </w:p>
    <w:p w14:paraId="7860DCE2" w14:textId="10E9B567" w:rsidR="00941B3C" w:rsidRDefault="00D04C69">
      <w:pPr>
        <w:pStyle w:val="TOC2"/>
        <w:tabs>
          <w:tab w:val="right" w:leader="dot" w:pos="9016"/>
        </w:tabs>
        <w:rPr>
          <w:rFonts w:eastAsiaTheme="minorEastAsia"/>
          <w:noProof/>
          <w:lang w:eastAsia="en-AU"/>
        </w:rPr>
      </w:pPr>
      <w:hyperlink w:anchor="_Toc19111721" w:history="1">
        <w:r w:rsidR="00941B3C" w:rsidRPr="00CD4F12">
          <w:rPr>
            <w:rStyle w:val="Hyperlink"/>
            <w:noProof/>
          </w:rPr>
          <w:t>Psychological resilience</w:t>
        </w:r>
        <w:r w:rsidR="00941B3C">
          <w:rPr>
            <w:noProof/>
            <w:webHidden/>
          </w:rPr>
          <w:tab/>
        </w:r>
        <w:r w:rsidR="00941B3C">
          <w:rPr>
            <w:noProof/>
            <w:webHidden/>
          </w:rPr>
          <w:fldChar w:fldCharType="begin"/>
        </w:r>
        <w:r w:rsidR="00941B3C">
          <w:rPr>
            <w:noProof/>
            <w:webHidden/>
          </w:rPr>
          <w:instrText xml:space="preserve"> PAGEREF _Toc19111721 \h </w:instrText>
        </w:r>
        <w:r w:rsidR="00941B3C">
          <w:rPr>
            <w:noProof/>
            <w:webHidden/>
          </w:rPr>
        </w:r>
        <w:r w:rsidR="00941B3C">
          <w:rPr>
            <w:noProof/>
            <w:webHidden/>
          </w:rPr>
          <w:fldChar w:fldCharType="separate"/>
        </w:r>
        <w:r w:rsidR="00941B3C">
          <w:rPr>
            <w:noProof/>
            <w:webHidden/>
          </w:rPr>
          <w:t>9</w:t>
        </w:r>
        <w:r w:rsidR="00941B3C">
          <w:rPr>
            <w:noProof/>
            <w:webHidden/>
          </w:rPr>
          <w:fldChar w:fldCharType="end"/>
        </w:r>
      </w:hyperlink>
    </w:p>
    <w:p w14:paraId="3706C3DC" w14:textId="1FA9A0DD" w:rsidR="00941B3C" w:rsidRDefault="00D04C69">
      <w:pPr>
        <w:pStyle w:val="TOC2"/>
        <w:tabs>
          <w:tab w:val="right" w:leader="dot" w:pos="9016"/>
        </w:tabs>
        <w:rPr>
          <w:rFonts w:eastAsiaTheme="minorEastAsia"/>
          <w:noProof/>
          <w:lang w:eastAsia="en-AU"/>
        </w:rPr>
      </w:pPr>
      <w:hyperlink w:anchor="_Toc19111722" w:history="1">
        <w:r w:rsidR="00941B3C" w:rsidRPr="00CD4F12">
          <w:rPr>
            <w:rStyle w:val="Hyperlink"/>
            <w:noProof/>
          </w:rPr>
          <w:t>Quality of life</w:t>
        </w:r>
        <w:r w:rsidR="00941B3C">
          <w:rPr>
            <w:noProof/>
            <w:webHidden/>
          </w:rPr>
          <w:tab/>
        </w:r>
        <w:r w:rsidR="00941B3C">
          <w:rPr>
            <w:noProof/>
            <w:webHidden/>
          </w:rPr>
          <w:fldChar w:fldCharType="begin"/>
        </w:r>
        <w:r w:rsidR="00941B3C">
          <w:rPr>
            <w:noProof/>
            <w:webHidden/>
          </w:rPr>
          <w:instrText xml:space="preserve"> PAGEREF _Toc19111722 \h </w:instrText>
        </w:r>
        <w:r w:rsidR="00941B3C">
          <w:rPr>
            <w:noProof/>
            <w:webHidden/>
          </w:rPr>
        </w:r>
        <w:r w:rsidR="00941B3C">
          <w:rPr>
            <w:noProof/>
            <w:webHidden/>
          </w:rPr>
          <w:fldChar w:fldCharType="separate"/>
        </w:r>
        <w:r w:rsidR="00941B3C">
          <w:rPr>
            <w:noProof/>
            <w:webHidden/>
          </w:rPr>
          <w:t>9</w:t>
        </w:r>
        <w:r w:rsidR="00941B3C">
          <w:rPr>
            <w:noProof/>
            <w:webHidden/>
          </w:rPr>
          <w:fldChar w:fldCharType="end"/>
        </w:r>
      </w:hyperlink>
    </w:p>
    <w:p w14:paraId="1994AF35" w14:textId="393B0FF4" w:rsidR="00941B3C" w:rsidRDefault="00D04C69">
      <w:pPr>
        <w:pStyle w:val="TOC2"/>
        <w:tabs>
          <w:tab w:val="right" w:leader="dot" w:pos="9016"/>
        </w:tabs>
        <w:rPr>
          <w:rFonts w:eastAsiaTheme="minorEastAsia"/>
          <w:noProof/>
          <w:lang w:eastAsia="en-AU"/>
        </w:rPr>
      </w:pPr>
      <w:hyperlink w:anchor="_Toc19111723" w:history="1">
        <w:r w:rsidR="00941B3C" w:rsidRPr="00CD4F12">
          <w:rPr>
            <w:rStyle w:val="Hyperlink"/>
            <w:noProof/>
          </w:rPr>
          <w:t>Psychological distress</w:t>
        </w:r>
        <w:r w:rsidR="00941B3C">
          <w:rPr>
            <w:noProof/>
            <w:webHidden/>
          </w:rPr>
          <w:tab/>
        </w:r>
        <w:r w:rsidR="00941B3C">
          <w:rPr>
            <w:noProof/>
            <w:webHidden/>
          </w:rPr>
          <w:fldChar w:fldCharType="begin"/>
        </w:r>
        <w:r w:rsidR="00941B3C">
          <w:rPr>
            <w:noProof/>
            <w:webHidden/>
          </w:rPr>
          <w:instrText xml:space="preserve"> PAGEREF _Toc19111723 \h </w:instrText>
        </w:r>
        <w:r w:rsidR="00941B3C">
          <w:rPr>
            <w:noProof/>
            <w:webHidden/>
          </w:rPr>
        </w:r>
        <w:r w:rsidR="00941B3C">
          <w:rPr>
            <w:noProof/>
            <w:webHidden/>
          </w:rPr>
          <w:fldChar w:fldCharType="separate"/>
        </w:r>
        <w:r w:rsidR="00941B3C">
          <w:rPr>
            <w:noProof/>
            <w:webHidden/>
          </w:rPr>
          <w:t>10</w:t>
        </w:r>
        <w:r w:rsidR="00941B3C">
          <w:rPr>
            <w:noProof/>
            <w:webHidden/>
          </w:rPr>
          <w:fldChar w:fldCharType="end"/>
        </w:r>
      </w:hyperlink>
    </w:p>
    <w:p w14:paraId="78124763" w14:textId="36AE0A0E" w:rsidR="00941B3C" w:rsidRDefault="00D04C69">
      <w:pPr>
        <w:pStyle w:val="TOC1"/>
        <w:tabs>
          <w:tab w:val="right" w:leader="dot" w:pos="9016"/>
        </w:tabs>
        <w:rPr>
          <w:rFonts w:eastAsiaTheme="minorEastAsia"/>
          <w:noProof/>
          <w:lang w:eastAsia="en-AU"/>
        </w:rPr>
      </w:pPr>
      <w:hyperlink w:anchor="_Toc19111724" w:history="1">
        <w:r w:rsidR="00941B3C" w:rsidRPr="00CD4F12">
          <w:rPr>
            <w:rStyle w:val="Hyperlink"/>
            <w:noProof/>
          </w:rPr>
          <w:t>Social experiences and supports</w:t>
        </w:r>
        <w:r w:rsidR="00941B3C">
          <w:rPr>
            <w:noProof/>
            <w:webHidden/>
          </w:rPr>
          <w:tab/>
        </w:r>
        <w:r w:rsidR="00941B3C">
          <w:rPr>
            <w:noProof/>
            <w:webHidden/>
          </w:rPr>
          <w:fldChar w:fldCharType="begin"/>
        </w:r>
        <w:r w:rsidR="00941B3C">
          <w:rPr>
            <w:noProof/>
            <w:webHidden/>
          </w:rPr>
          <w:instrText xml:space="preserve"> PAGEREF _Toc19111724 \h </w:instrText>
        </w:r>
        <w:r w:rsidR="00941B3C">
          <w:rPr>
            <w:noProof/>
            <w:webHidden/>
          </w:rPr>
        </w:r>
        <w:r w:rsidR="00941B3C">
          <w:rPr>
            <w:noProof/>
            <w:webHidden/>
          </w:rPr>
          <w:fldChar w:fldCharType="separate"/>
        </w:r>
        <w:r w:rsidR="00941B3C">
          <w:rPr>
            <w:noProof/>
            <w:webHidden/>
          </w:rPr>
          <w:t>12</w:t>
        </w:r>
        <w:r w:rsidR="00941B3C">
          <w:rPr>
            <w:noProof/>
            <w:webHidden/>
          </w:rPr>
          <w:fldChar w:fldCharType="end"/>
        </w:r>
      </w:hyperlink>
    </w:p>
    <w:p w14:paraId="70499793" w14:textId="53775B9A" w:rsidR="00941B3C" w:rsidRDefault="00D04C69">
      <w:pPr>
        <w:pStyle w:val="TOC2"/>
        <w:tabs>
          <w:tab w:val="right" w:leader="dot" w:pos="9016"/>
        </w:tabs>
        <w:rPr>
          <w:rFonts w:eastAsiaTheme="minorEastAsia"/>
          <w:noProof/>
          <w:lang w:eastAsia="en-AU"/>
        </w:rPr>
      </w:pPr>
      <w:hyperlink w:anchor="_Toc19111725" w:history="1">
        <w:r w:rsidR="00941B3C" w:rsidRPr="00CD4F12">
          <w:rPr>
            <w:rStyle w:val="Hyperlink"/>
            <w:noProof/>
          </w:rPr>
          <w:t>Bullying</w:t>
        </w:r>
        <w:r w:rsidR="00941B3C">
          <w:rPr>
            <w:noProof/>
            <w:webHidden/>
          </w:rPr>
          <w:tab/>
        </w:r>
        <w:r w:rsidR="00941B3C">
          <w:rPr>
            <w:noProof/>
            <w:webHidden/>
          </w:rPr>
          <w:fldChar w:fldCharType="begin"/>
        </w:r>
        <w:r w:rsidR="00941B3C">
          <w:rPr>
            <w:noProof/>
            <w:webHidden/>
          </w:rPr>
          <w:instrText xml:space="preserve"> PAGEREF _Toc19111725 \h </w:instrText>
        </w:r>
        <w:r w:rsidR="00941B3C">
          <w:rPr>
            <w:noProof/>
            <w:webHidden/>
          </w:rPr>
        </w:r>
        <w:r w:rsidR="00941B3C">
          <w:rPr>
            <w:noProof/>
            <w:webHidden/>
          </w:rPr>
          <w:fldChar w:fldCharType="separate"/>
        </w:r>
        <w:r w:rsidR="00941B3C">
          <w:rPr>
            <w:noProof/>
            <w:webHidden/>
          </w:rPr>
          <w:t>12</w:t>
        </w:r>
        <w:r w:rsidR="00941B3C">
          <w:rPr>
            <w:noProof/>
            <w:webHidden/>
          </w:rPr>
          <w:fldChar w:fldCharType="end"/>
        </w:r>
      </w:hyperlink>
    </w:p>
    <w:p w14:paraId="5248D0EC" w14:textId="41742D12" w:rsidR="00941B3C" w:rsidRDefault="00D04C69">
      <w:pPr>
        <w:pStyle w:val="TOC2"/>
        <w:tabs>
          <w:tab w:val="right" w:leader="dot" w:pos="9016"/>
        </w:tabs>
        <w:rPr>
          <w:rFonts w:eastAsiaTheme="minorEastAsia"/>
          <w:noProof/>
          <w:lang w:eastAsia="en-AU"/>
        </w:rPr>
      </w:pPr>
      <w:hyperlink w:anchor="_Toc19111726" w:history="1">
        <w:r w:rsidR="00941B3C" w:rsidRPr="00CD4F12">
          <w:rPr>
            <w:rStyle w:val="Hyperlink"/>
            <w:noProof/>
          </w:rPr>
          <w:t>Cyberbullying</w:t>
        </w:r>
        <w:r w:rsidR="00941B3C">
          <w:rPr>
            <w:noProof/>
            <w:webHidden/>
          </w:rPr>
          <w:tab/>
        </w:r>
        <w:r w:rsidR="00941B3C">
          <w:rPr>
            <w:noProof/>
            <w:webHidden/>
          </w:rPr>
          <w:fldChar w:fldCharType="begin"/>
        </w:r>
        <w:r w:rsidR="00941B3C">
          <w:rPr>
            <w:noProof/>
            <w:webHidden/>
          </w:rPr>
          <w:instrText xml:space="preserve"> PAGEREF _Toc19111726 \h </w:instrText>
        </w:r>
        <w:r w:rsidR="00941B3C">
          <w:rPr>
            <w:noProof/>
            <w:webHidden/>
          </w:rPr>
        </w:r>
        <w:r w:rsidR="00941B3C">
          <w:rPr>
            <w:noProof/>
            <w:webHidden/>
          </w:rPr>
          <w:fldChar w:fldCharType="separate"/>
        </w:r>
        <w:r w:rsidR="00941B3C">
          <w:rPr>
            <w:noProof/>
            <w:webHidden/>
          </w:rPr>
          <w:t>12</w:t>
        </w:r>
        <w:r w:rsidR="00941B3C">
          <w:rPr>
            <w:noProof/>
            <w:webHidden/>
          </w:rPr>
          <w:fldChar w:fldCharType="end"/>
        </w:r>
      </w:hyperlink>
    </w:p>
    <w:p w14:paraId="4E83C493" w14:textId="2A3F19ED" w:rsidR="00941B3C" w:rsidRDefault="00D04C69">
      <w:pPr>
        <w:pStyle w:val="TOC2"/>
        <w:tabs>
          <w:tab w:val="right" w:leader="dot" w:pos="9016"/>
        </w:tabs>
        <w:rPr>
          <w:rFonts w:eastAsiaTheme="minorEastAsia"/>
          <w:noProof/>
          <w:lang w:eastAsia="en-AU"/>
        </w:rPr>
      </w:pPr>
      <w:hyperlink w:anchor="_Toc19111727" w:history="1">
        <w:r w:rsidR="00941B3C" w:rsidRPr="00CD4F12">
          <w:rPr>
            <w:rStyle w:val="Hyperlink"/>
            <w:noProof/>
          </w:rPr>
          <w:t>Trusted adult</w:t>
        </w:r>
        <w:r w:rsidR="00941B3C">
          <w:rPr>
            <w:noProof/>
            <w:webHidden/>
          </w:rPr>
          <w:tab/>
        </w:r>
        <w:r w:rsidR="00941B3C">
          <w:rPr>
            <w:noProof/>
            <w:webHidden/>
          </w:rPr>
          <w:fldChar w:fldCharType="begin"/>
        </w:r>
        <w:r w:rsidR="00941B3C">
          <w:rPr>
            <w:noProof/>
            <w:webHidden/>
          </w:rPr>
          <w:instrText xml:space="preserve"> PAGEREF _Toc19111727 \h </w:instrText>
        </w:r>
        <w:r w:rsidR="00941B3C">
          <w:rPr>
            <w:noProof/>
            <w:webHidden/>
          </w:rPr>
        </w:r>
        <w:r w:rsidR="00941B3C">
          <w:rPr>
            <w:noProof/>
            <w:webHidden/>
          </w:rPr>
          <w:fldChar w:fldCharType="separate"/>
        </w:r>
        <w:r w:rsidR="00941B3C">
          <w:rPr>
            <w:noProof/>
            <w:webHidden/>
          </w:rPr>
          <w:t>13</w:t>
        </w:r>
        <w:r w:rsidR="00941B3C">
          <w:rPr>
            <w:noProof/>
            <w:webHidden/>
          </w:rPr>
          <w:fldChar w:fldCharType="end"/>
        </w:r>
      </w:hyperlink>
    </w:p>
    <w:p w14:paraId="30192940" w14:textId="7AE135C3" w:rsidR="00941B3C" w:rsidRDefault="00D04C69">
      <w:pPr>
        <w:pStyle w:val="TOC2"/>
        <w:tabs>
          <w:tab w:val="right" w:leader="dot" w:pos="9016"/>
        </w:tabs>
        <w:rPr>
          <w:rFonts w:eastAsiaTheme="minorEastAsia"/>
          <w:noProof/>
          <w:lang w:eastAsia="en-AU"/>
        </w:rPr>
      </w:pPr>
      <w:hyperlink w:anchor="_Toc19111728" w:history="1">
        <w:r w:rsidR="00941B3C" w:rsidRPr="00CD4F12">
          <w:rPr>
            <w:rStyle w:val="Hyperlink"/>
            <w:noProof/>
          </w:rPr>
          <w:t>Family functioning</w:t>
        </w:r>
        <w:r w:rsidR="00941B3C">
          <w:rPr>
            <w:noProof/>
            <w:webHidden/>
          </w:rPr>
          <w:tab/>
        </w:r>
        <w:r w:rsidR="00941B3C">
          <w:rPr>
            <w:noProof/>
            <w:webHidden/>
          </w:rPr>
          <w:fldChar w:fldCharType="begin"/>
        </w:r>
        <w:r w:rsidR="00941B3C">
          <w:rPr>
            <w:noProof/>
            <w:webHidden/>
          </w:rPr>
          <w:instrText xml:space="preserve"> PAGEREF _Toc19111728 \h </w:instrText>
        </w:r>
        <w:r w:rsidR="00941B3C">
          <w:rPr>
            <w:noProof/>
            <w:webHidden/>
          </w:rPr>
        </w:r>
        <w:r w:rsidR="00941B3C">
          <w:rPr>
            <w:noProof/>
            <w:webHidden/>
          </w:rPr>
          <w:fldChar w:fldCharType="separate"/>
        </w:r>
        <w:r w:rsidR="00941B3C">
          <w:rPr>
            <w:noProof/>
            <w:webHidden/>
          </w:rPr>
          <w:t>13</w:t>
        </w:r>
        <w:r w:rsidR="00941B3C">
          <w:rPr>
            <w:noProof/>
            <w:webHidden/>
          </w:rPr>
          <w:fldChar w:fldCharType="end"/>
        </w:r>
      </w:hyperlink>
    </w:p>
    <w:p w14:paraId="50503AAA" w14:textId="72F53E97" w:rsidR="00941B3C" w:rsidRDefault="00D04C69">
      <w:pPr>
        <w:pStyle w:val="TOC2"/>
        <w:tabs>
          <w:tab w:val="right" w:leader="dot" w:pos="9016"/>
        </w:tabs>
        <w:rPr>
          <w:rFonts w:eastAsiaTheme="minorEastAsia"/>
          <w:noProof/>
          <w:lang w:eastAsia="en-AU"/>
        </w:rPr>
      </w:pPr>
      <w:hyperlink w:anchor="_Toc19111729" w:history="1">
        <w:r w:rsidR="00941B3C" w:rsidRPr="00CD4F12">
          <w:rPr>
            <w:rStyle w:val="Hyperlink"/>
            <w:noProof/>
          </w:rPr>
          <w:t>Connectedness to peers</w:t>
        </w:r>
        <w:r w:rsidR="00941B3C">
          <w:rPr>
            <w:noProof/>
            <w:webHidden/>
          </w:rPr>
          <w:tab/>
        </w:r>
        <w:r w:rsidR="00941B3C">
          <w:rPr>
            <w:noProof/>
            <w:webHidden/>
          </w:rPr>
          <w:fldChar w:fldCharType="begin"/>
        </w:r>
        <w:r w:rsidR="00941B3C">
          <w:rPr>
            <w:noProof/>
            <w:webHidden/>
          </w:rPr>
          <w:instrText xml:space="preserve"> PAGEREF _Toc19111729 \h </w:instrText>
        </w:r>
        <w:r w:rsidR="00941B3C">
          <w:rPr>
            <w:noProof/>
            <w:webHidden/>
          </w:rPr>
        </w:r>
        <w:r w:rsidR="00941B3C">
          <w:rPr>
            <w:noProof/>
            <w:webHidden/>
          </w:rPr>
          <w:fldChar w:fldCharType="separate"/>
        </w:r>
        <w:r w:rsidR="00941B3C">
          <w:rPr>
            <w:noProof/>
            <w:webHidden/>
          </w:rPr>
          <w:t>13</w:t>
        </w:r>
        <w:r w:rsidR="00941B3C">
          <w:rPr>
            <w:noProof/>
            <w:webHidden/>
          </w:rPr>
          <w:fldChar w:fldCharType="end"/>
        </w:r>
      </w:hyperlink>
    </w:p>
    <w:p w14:paraId="30E7715D" w14:textId="15D1CD45" w:rsidR="00941B3C" w:rsidRDefault="00D04C69">
      <w:pPr>
        <w:pStyle w:val="TOC1"/>
        <w:tabs>
          <w:tab w:val="right" w:leader="dot" w:pos="9016"/>
        </w:tabs>
        <w:rPr>
          <w:rFonts w:eastAsiaTheme="minorEastAsia"/>
          <w:noProof/>
          <w:lang w:eastAsia="en-AU"/>
        </w:rPr>
      </w:pPr>
      <w:hyperlink w:anchor="_Toc19111730" w:history="1">
        <w:r w:rsidR="00941B3C" w:rsidRPr="00CD4F12">
          <w:rPr>
            <w:rStyle w:val="Hyperlink"/>
            <w:noProof/>
          </w:rPr>
          <w:t>Additional information</w:t>
        </w:r>
        <w:r w:rsidR="00941B3C">
          <w:rPr>
            <w:noProof/>
            <w:webHidden/>
          </w:rPr>
          <w:tab/>
        </w:r>
        <w:r w:rsidR="00941B3C">
          <w:rPr>
            <w:noProof/>
            <w:webHidden/>
          </w:rPr>
          <w:fldChar w:fldCharType="begin"/>
        </w:r>
        <w:r w:rsidR="00941B3C">
          <w:rPr>
            <w:noProof/>
            <w:webHidden/>
          </w:rPr>
          <w:instrText xml:space="preserve"> PAGEREF _Toc19111730 \h </w:instrText>
        </w:r>
        <w:r w:rsidR="00941B3C">
          <w:rPr>
            <w:noProof/>
            <w:webHidden/>
          </w:rPr>
        </w:r>
        <w:r w:rsidR="00941B3C">
          <w:rPr>
            <w:noProof/>
            <w:webHidden/>
          </w:rPr>
          <w:fldChar w:fldCharType="separate"/>
        </w:r>
        <w:r w:rsidR="00941B3C">
          <w:rPr>
            <w:noProof/>
            <w:webHidden/>
          </w:rPr>
          <w:t>15</w:t>
        </w:r>
        <w:r w:rsidR="00941B3C">
          <w:rPr>
            <w:noProof/>
            <w:webHidden/>
          </w:rPr>
          <w:fldChar w:fldCharType="end"/>
        </w:r>
      </w:hyperlink>
    </w:p>
    <w:p w14:paraId="39F4BBF3" w14:textId="27347F48" w:rsidR="00941B3C" w:rsidRDefault="00D04C69">
      <w:pPr>
        <w:pStyle w:val="TOC1"/>
        <w:tabs>
          <w:tab w:val="right" w:leader="dot" w:pos="9016"/>
        </w:tabs>
        <w:rPr>
          <w:rFonts w:eastAsiaTheme="minorEastAsia"/>
          <w:noProof/>
          <w:lang w:eastAsia="en-AU"/>
        </w:rPr>
      </w:pPr>
      <w:hyperlink w:anchor="_Toc19111731" w:history="1">
        <w:r w:rsidR="00941B3C" w:rsidRPr="00CD4F12">
          <w:rPr>
            <w:rStyle w:val="Hyperlink"/>
            <w:noProof/>
          </w:rPr>
          <w:t>References</w:t>
        </w:r>
        <w:r w:rsidR="00941B3C">
          <w:rPr>
            <w:noProof/>
            <w:webHidden/>
          </w:rPr>
          <w:tab/>
        </w:r>
        <w:r w:rsidR="00941B3C">
          <w:rPr>
            <w:noProof/>
            <w:webHidden/>
          </w:rPr>
          <w:fldChar w:fldCharType="begin"/>
        </w:r>
        <w:r w:rsidR="00941B3C">
          <w:rPr>
            <w:noProof/>
            <w:webHidden/>
          </w:rPr>
          <w:instrText xml:space="preserve"> PAGEREF _Toc19111731 \h </w:instrText>
        </w:r>
        <w:r w:rsidR="00941B3C">
          <w:rPr>
            <w:noProof/>
            <w:webHidden/>
          </w:rPr>
        </w:r>
        <w:r w:rsidR="00941B3C">
          <w:rPr>
            <w:noProof/>
            <w:webHidden/>
          </w:rPr>
          <w:fldChar w:fldCharType="separate"/>
        </w:r>
        <w:r w:rsidR="00941B3C">
          <w:rPr>
            <w:noProof/>
            <w:webHidden/>
          </w:rPr>
          <w:t>15</w:t>
        </w:r>
        <w:r w:rsidR="00941B3C">
          <w:rPr>
            <w:noProof/>
            <w:webHidden/>
          </w:rPr>
          <w:fldChar w:fldCharType="end"/>
        </w:r>
      </w:hyperlink>
    </w:p>
    <w:p w14:paraId="667ED052" w14:textId="27E8A7AC" w:rsidR="005F509B" w:rsidRPr="005F509B" w:rsidRDefault="005F509B" w:rsidP="005F509B">
      <w:r>
        <w:fldChar w:fldCharType="end"/>
      </w:r>
    </w:p>
    <w:p w14:paraId="2A0AD6EC" w14:textId="77777777" w:rsidR="009957EE" w:rsidRDefault="009957EE" w:rsidP="009957EE">
      <w:pPr>
        <w:pStyle w:val="Heading1"/>
      </w:pPr>
      <w:r>
        <w:br w:type="page"/>
      </w:r>
      <w:bookmarkStart w:id="1" w:name="_Toc19111704"/>
      <w:r>
        <w:lastRenderedPageBreak/>
        <w:t>About the survey</w:t>
      </w:r>
      <w:bookmarkEnd w:id="1"/>
    </w:p>
    <w:p w14:paraId="7CE3DC3F" w14:textId="77777777" w:rsidR="009957EE" w:rsidRPr="00AB1992" w:rsidRDefault="009957EE" w:rsidP="009957EE">
      <w:r w:rsidRPr="00AB1992">
        <w:t xml:space="preserve">The Department of Education and Training conducted the first Victorian Student Health and Wellbeing Survey (‘About You’) in 2014. </w:t>
      </w:r>
    </w:p>
    <w:p w14:paraId="4C8545C9" w14:textId="6FA0511A" w:rsidR="009957EE" w:rsidRPr="00856AD2" w:rsidRDefault="00856AD2" w:rsidP="009957EE">
      <w:r w:rsidRPr="00AB1992">
        <w:t>In 201</w:t>
      </w:r>
      <w:r>
        <w:t>8</w:t>
      </w:r>
      <w:r w:rsidRPr="00AB1992">
        <w:t xml:space="preserve">, </w:t>
      </w:r>
      <w:r>
        <w:t>12,927</w:t>
      </w:r>
      <w:r w:rsidRPr="00AB1992">
        <w:t xml:space="preserve"> students </w:t>
      </w:r>
      <w:r>
        <w:t>in</w:t>
      </w:r>
      <w:r w:rsidRPr="00AB1992">
        <w:t xml:space="preserve"> Years 5, 8 and 11 from </w:t>
      </w:r>
      <w:r>
        <w:t>290</w:t>
      </w:r>
      <w:r w:rsidRPr="00AB1992">
        <w:t xml:space="preserve"> Victorian schools</w:t>
      </w:r>
      <w:r w:rsidRPr="00F00ED3">
        <w:t xml:space="preserve"> </w:t>
      </w:r>
      <w:r w:rsidRPr="00AB1992">
        <w:t xml:space="preserve">were surveyed in </w:t>
      </w:r>
      <w:r w:rsidRPr="00856AD2">
        <w:t>About You.</w:t>
      </w:r>
      <w:r w:rsidR="009957EE" w:rsidRPr="00856AD2">
        <w:t xml:space="preserve"> It was an anonymous voluntary survey, undertaken with parental consent. </w:t>
      </w:r>
    </w:p>
    <w:p w14:paraId="2FD31540" w14:textId="77777777" w:rsidR="009957EE" w:rsidRPr="00AB1992" w:rsidRDefault="009957EE" w:rsidP="009957EE">
      <w:r w:rsidRPr="00AB1992">
        <w:t>The About You instrument covers a wide range of outcome areas for young Victorians, including physical health and health risk behaviours, psychological/emotional wellbeing, and school and family relationships. It draws on questions from the Health Behaviour in School-aged Children (HBSC) and the previous Victorian Adolescent Health and Wellbeing Survey (</w:t>
      </w:r>
      <w:proofErr w:type="spellStart"/>
      <w:r w:rsidRPr="00AB1992">
        <w:t>HowRU</w:t>
      </w:r>
      <w:proofErr w:type="spellEnd"/>
      <w:r w:rsidRPr="00AB1992">
        <w:t xml:space="preserve">?) run by the then Department of Education and Early Childhood Development in 2009. The HBSC survey is conducted in 42 countries across Europe and North America. </w:t>
      </w:r>
    </w:p>
    <w:p w14:paraId="4FE2FAEF" w14:textId="77777777" w:rsidR="009957EE" w:rsidRPr="00AB1992" w:rsidRDefault="009957EE" w:rsidP="009957EE">
      <w:r w:rsidRPr="00AB1992">
        <w:t xml:space="preserve">The survey was designed to meet the following information needs: </w:t>
      </w:r>
    </w:p>
    <w:p w14:paraId="51C195FD" w14:textId="77777777" w:rsidR="009957EE" w:rsidRPr="006E383C" w:rsidRDefault="009957EE" w:rsidP="009957EE">
      <w:pPr>
        <w:pStyle w:val="ListParagraph"/>
        <w:numPr>
          <w:ilvl w:val="0"/>
          <w:numId w:val="2"/>
        </w:numPr>
      </w:pPr>
      <w:r w:rsidRPr="006E383C">
        <w:t xml:space="preserve">monitor and report on health and wellbeing measures for Victorian children and young people at a population level </w:t>
      </w:r>
    </w:p>
    <w:p w14:paraId="0AA3EBB9" w14:textId="77777777" w:rsidR="009957EE" w:rsidRPr="006E383C" w:rsidRDefault="009957EE" w:rsidP="009957EE">
      <w:pPr>
        <w:pStyle w:val="ListParagraph"/>
        <w:numPr>
          <w:ilvl w:val="0"/>
          <w:numId w:val="2"/>
        </w:numPr>
      </w:pPr>
      <w:r w:rsidRPr="006E383C">
        <w:t>enabling reporting of data in areas of high priority for the Education State agenda, namely resilience and physical activity</w:t>
      </w:r>
    </w:p>
    <w:p w14:paraId="4D96BF65" w14:textId="77777777" w:rsidR="009957EE" w:rsidRDefault="009957EE" w:rsidP="009957EE">
      <w:pPr>
        <w:pStyle w:val="ListParagraph"/>
        <w:numPr>
          <w:ilvl w:val="0"/>
          <w:numId w:val="2"/>
        </w:numPr>
      </w:pPr>
      <w:r w:rsidRPr="006E383C">
        <w:t xml:space="preserve">providing </w:t>
      </w:r>
      <w:proofErr w:type="gramStart"/>
      <w:r w:rsidRPr="006E383C">
        <w:t>internationally-comparable</w:t>
      </w:r>
      <w:proofErr w:type="gramEnd"/>
      <w:r w:rsidRPr="006E383C">
        <w:t xml:space="preserve"> state-level data for certain measures.</w:t>
      </w:r>
    </w:p>
    <w:p w14:paraId="2B395F75" w14:textId="77777777" w:rsidR="009957EE" w:rsidRDefault="009957EE" w:rsidP="009957EE">
      <w:pPr>
        <w:pStyle w:val="Heading1"/>
      </w:pPr>
      <w:bookmarkStart w:id="2" w:name="_Toc19111705"/>
      <w:r>
        <w:t>Interpreting ‘About You’ data</w:t>
      </w:r>
      <w:bookmarkEnd w:id="2"/>
    </w:p>
    <w:p w14:paraId="530FD635" w14:textId="77777777" w:rsidR="009957EE" w:rsidRPr="00AB1992" w:rsidRDefault="009957EE" w:rsidP="009957EE">
      <w:r w:rsidRPr="00AB1992">
        <w:t xml:space="preserve">About You is a cross sectional survey – it is possible to identify associations between variables in the </w:t>
      </w:r>
      <w:proofErr w:type="gramStart"/>
      <w:r w:rsidRPr="00AB1992">
        <w:t>dataset</w:t>
      </w:r>
      <w:proofErr w:type="gramEnd"/>
      <w:r w:rsidRPr="00AB1992">
        <w:t xml:space="preserve"> but we cannot attribute cause and effect.</w:t>
      </w:r>
    </w:p>
    <w:p w14:paraId="21998CC4" w14:textId="6AF1D328" w:rsidR="009957EE" w:rsidRPr="00AB1992" w:rsidRDefault="009957EE" w:rsidP="009957EE">
      <w:r w:rsidRPr="00AB1992">
        <w:t>There are no controls for confo</w:t>
      </w:r>
      <w:r w:rsidR="00EC768A">
        <w:t>unding factors in this analysis. F</w:t>
      </w:r>
      <w:r w:rsidRPr="00AB1992">
        <w:t xml:space="preserve">or example, the higher rates of alcohol consumption among regional students may be due to factors other than rurality. </w:t>
      </w:r>
    </w:p>
    <w:p w14:paraId="1ABA090E" w14:textId="77777777" w:rsidR="009957EE" w:rsidRDefault="009957EE" w:rsidP="009957EE">
      <w:r w:rsidRPr="00AB1992">
        <w:t>The estimates provided are based on sample data weighted to reflect the Victorian student population, and the confidence intervals indicate that there is a 95 per cent probability that the true value lies between the upper and lower limits of the confidence interval. Therefore, if the confidence intervals of two population groups do not overlap, it can be assumed that the true values of the two estimates are unlikely to fall within the same distribution, and that there is a true difference.</w:t>
      </w:r>
    </w:p>
    <w:p w14:paraId="6DFA2D5C" w14:textId="77777777" w:rsidR="009957EE" w:rsidRDefault="009957EE">
      <w:pPr>
        <w:rPr>
          <w:rFonts w:asciiTheme="majorHAnsi" w:eastAsiaTheme="majorEastAsia" w:hAnsiTheme="majorHAnsi" w:cstheme="majorBidi"/>
          <w:color w:val="2E74B5" w:themeColor="accent1" w:themeShade="BF"/>
          <w:sz w:val="32"/>
          <w:szCs w:val="32"/>
        </w:rPr>
      </w:pPr>
      <w:r>
        <w:br w:type="page"/>
      </w:r>
    </w:p>
    <w:p w14:paraId="31AB0301" w14:textId="77777777" w:rsidR="009957EE" w:rsidRPr="00AB1992" w:rsidRDefault="009957EE" w:rsidP="009957EE">
      <w:pPr>
        <w:pStyle w:val="Heading1"/>
      </w:pPr>
      <w:bookmarkStart w:id="3" w:name="_Toc19111706"/>
      <w:r>
        <w:lastRenderedPageBreak/>
        <w:t>Key statistics</w:t>
      </w:r>
      <w:bookmarkEnd w:id="3"/>
    </w:p>
    <w:tbl>
      <w:tblPr>
        <w:tblStyle w:val="TableGrid"/>
        <w:tblW w:w="0" w:type="auto"/>
        <w:tblLook w:val="04A0" w:firstRow="1" w:lastRow="0" w:firstColumn="1" w:lastColumn="0" w:noHBand="0" w:noVBand="1"/>
        <w:tblCaption w:val="Key statistics, 2016 and 2018, Victorian Student Health and Wellbeing Survey"/>
        <w:tblDescription w:val="This table sets out key statistics detailed in the report. It sets out the topic, 2016 results, 2018 results, and findings of note. The table includes key statistics for general health, asthma, physical activity, nutrition, oral health, sexual activity, smoking, alcohol, psychological resilience, quality of life, psychological distress, bullying, cyber bullying, and trusted adult.  "/>
      </w:tblPr>
      <w:tblGrid>
        <w:gridCol w:w="2658"/>
        <w:gridCol w:w="663"/>
        <w:gridCol w:w="663"/>
        <w:gridCol w:w="5032"/>
      </w:tblGrid>
      <w:tr w:rsidR="009957EE" w:rsidRPr="00380B36" w14:paraId="5D070FFB" w14:textId="77777777" w:rsidTr="005F509B">
        <w:trPr>
          <w:tblHeader/>
        </w:trPr>
        <w:tc>
          <w:tcPr>
            <w:tcW w:w="2658" w:type="dxa"/>
          </w:tcPr>
          <w:p w14:paraId="089F1C73" w14:textId="77777777" w:rsidR="009957EE" w:rsidRPr="00380B36" w:rsidRDefault="009957EE" w:rsidP="009957EE">
            <w:pPr>
              <w:rPr>
                <w:rFonts w:cstheme="minorHAnsi"/>
                <w:b/>
                <w:szCs w:val="20"/>
              </w:rPr>
            </w:pPr>
            <w:r w:rsidRPr="00380B36">
              <w:rPr>
                <w:rFonts w:cstheme="minorHAnsi"/>
                <w:b/>
                <w:szCs w:val="20"/>
              </w:rPr>
              <w:t xml:space="preserve">Topic </w:t>
            </w:r>
          </w:p>
        </w:tc>
        <w:tc>
          <w:tcPr>
            <w:tcW w:w="663" w:type="dxa"/>
          </w:tcPr>
          <w:p w14:paraId="5B132E82" w14:textId="77777777" w:rsidR="009957EE" w:rsidRPr="00380B36" w:rsidRDefault="009957EE" w:rsidP="009957EE">
            <w:pPr>
              <w:rPr>
                <w:rFonts w:cstheme="minorHAnsi"/>
                <w:b/>
                <w:szCs w:val="20"/>
              </w:rPr>
            </w:pPr>
            <w:r w:rsidRPr="00380B36">
              <w:rPr>
                <w:rFonts w:cstheme="minorHAnsi"/>
                <w:b/>
                <w:szCs w:val="20"/>
              </w:rPr>
              <w:t>2016</w:t>
            </w:r>
          </w:p>
        </w:tc>
        <w:tc>
          <w:tcPr>
            <w:tcW w:w="663" w:type="dxa"/>
          </w:tcPr>
          <w:p w14:paraId="09EC1D0D" w14:textId="77777777" w:rsidR="009957EE" w:rsidRPr="00380B36" w:rsidRDefault="009957EE" w:rsidP="009957EE">
            <w:pPr>
              <w:rPr>
                <w:rFonts w:cstheme="minorHAnsi"/>
                <w:b/>
                <w:szCs w:val="20"/>
              </w:rPr>
            </w:pPr>
            <w:r w:rsidRPr="00380B36">
              <w:rPr>
                <w:rFonts w:cstheme="minorHAnsi"/>
                <w:b/>
                <w:szCs w:val="20"/>
              </w:rPr>
              <w:t>2018</w:t>
            </w:r>
          </w:p>
        </w:tc>
        <w:tc>
          <w:tcPr>
            <w:tcW w:w="5032" w:type="dxa"/>
          </w:tcPr>
          <w:p w14:paraId="42233DCF" w14:textId="77777777" w:rsidR="009957EE" w:rsidRPr="00380B36" w:rsidRDefault="009957EE" w:rsidP="009957EE">
            <w:pPr>
              <w:rPr>
                <w:rFonts w:cstheme="minorHAnsi"/>
                <w:b/>
                <w:szCs w:val="20"/>
              </w:rPr>
            </w:pPr>
            <w:r w:rsidRPr="00380B36">
              <w:rPr>
                <w:rFonts w:cstheme="minorHAnsi"/>
                <w:b/>
                <w:szCs w:val="20"/>
              </w:rPr>
              <w:t>Findings of note</w:t>
            </w:r>
          </w:p>
        </w:tc>
      </w:tr>
      <w:tr w:rsidR="009957EE" w:rsidRPr="00380B36" w14:paraId="1032BC1C" w14:textId="77777777" w:rsidTr="009957EE">
        <w:tc>
          <w:tcPr>
            <w:tcW w:w="2658" w:type="dxa"/>
          </w:tcPr>
          <w:p w14:paraId="72FCEB98" w14:textId="77777777" w:rsidR="009957EE" w:rsidRPr="00380B36" w:rsidRDefault="009957EE" w:rsidP="009957EE">
            <w:pPr>
              <w:rPr>
                <w:rFonts w:cstheme="minorHAnsi"/>
                <w:bCs/>
                <w:sz w:val="20"/>
                <w:szCs w:val="20"/>
              </w:rPr>
            </w:pPr>
            <w:r w:rsidRPr="00380B36">
              <w:rPr>
                <w:rFonts w:cstheme="minorHAnsi"/>
                <w:bCs/>
                <w:sz w:val="20"/>
                <w:szCs w:val="20"/>
              </w:rPr>
              <w:t>General health – Students with ‘good, very good or excellent’ health</w:t>
            </w:r>
          </w:p>
        </w:tc>
        <w:tc>
          <w:tcPr>
            <w:tcW w:w="663" w:type="dxa"/>
            <w:vAlign w:val="center"/>
          </w:tcPr>
          <w:p w14:paraId="6BE71722" w14:textId="77777777" w:rsidR="009957EE" w:rsidRPr="00380B36" w:rsidRDefault="009957EE" w:rsidP="009957EE">
            <w:pPr>
              <w:rPr>
                <w:rFonts w:cstheme="minorHAnsi"/>
                <w:bCs/>
                <w:sz w:val="20"/>
                <w:szCs w:val="20"/>
              </w:rPr>
            </w:pPr>
            <w:r w:rsidRPr="00380B36">
              <w:rPr>
                <w:rFonts w:cstheme="minorHAnsi"/>
                <w:bCs/>
                <w:sz w:val="20"/>
                <w:szCs w:val="20"/>
              </w:rPr>
              <w:t>87%</w:t>
            </w:r>
          </w:p>
        </w:tc>
        <w:tc>
          <w:tcPr>
            <w:tcW w:w="663" w:type="dxa"/>
            <w:vAlign w:val="center"/>
          </w:tcPr>
          <w:p w14:paraId="1B6F695E" w14:textId="77777777" w:rsidR="009957EE" w:rsidRPr="00380B36" w:rsidRDefault="009957EE" w:rsidP="009957EE">
            <w:pPr>
              <w:rPr>
                <w:rFonts w:cstheme="minorHAnsi"/>
                <w:bCs/>
                <w:sz w:val="20"/>
                <w:szCs w:val="20"/>
              </w:rPr>
            </w:pPr>
            <w:r w:rsidRPr="00380B36">
              <w:rPr>
                <w:rFonts w:cstheme="minorHAnsi"/>
                <w:bCs/>
                <w:sz w:val="20"/>
                <w:szCs w:val="20"/>
              </w:rPr>
              <w:t>86%</w:t>
            </w:r>
          </w:p>
        </w:tc>
        <w:tc>
          <w:tcPr>
            <w:tcW w:w="5032" w:type="dxa"/>
          </w:tcPr>
          <w:p w14:paraId="1C29F1EC" w14:textId="0AF57BF2" w:rsidR="009957EE" w:rsidRPr="00380B36" w:rsidRDefault="009957EE" w:rsidP="009957EE">
            <w:pPr>
              <w:rPr>
                <w:rFonts w:cstheme="minorHAnsi"/>
                <w:bCs/>
                <w:sz w:val="20"/>
                <w:szCs w:val="20"/>
              </w:rPr>
            </w:pPr>
            <w:r w:rsidRPr="00380B36">
              <w:rPr>
                <w:rFonts w:cstheme="minorHAnsi"/>
                <w:bCs/>
                <w:sz w:val="20"/>
                <w:szCs w:val="20"/>
              </w:rPr>
              <w:t xml:space="preserve">Students from </w:t>
            </w:r>
            <w:r w:rsidR="00C447BB">
              <w:rPr>
                <w:rFonts w:cstheme="minorHAnsi"/>
                <w:bCs/>
                <w:sz w:val="20"/>
                <w:szCs w:val="20"/>
              </w:rPr>
              <w:t>one parent</w:t>
            </w:r>
            <w:r w:rsidRPr="00380B36">
              <w:rPr>
                <w:rFonts w:cstheme="minorHAnsi"/>
                <w:bCs/>
                <w:sz w:val="20"/>
                <w:szCs w:val="20"/>
              </w:rPr>
              <w:t xml:space="preserve"> families were less likely to rate their health as good, very good or excellent, compared to students from couple parent families.</w:t>
            </w:r>
          </w:p>
        </w:tc>
      </w:tr>
      <w:tr w:rsidR="009957EE" w:rsidRPr="00380B36" w14:paraId="1E7E5CAB" w14:textId="77777777" w:rsidTr="009957EE">
        <w:tc>
          <w:tcPr>
            <w:tcW w:w="2658" w:type="dxa"/>
          </w:tcPr>
          <w:p w14:paraId="05673BB1" w14:textId="77777777" w:rsidR="009957EE" w:rsidRPr="00380B36" w:rsidRDefault="009957EE" w:rsidP="009957EE">
            <w:pPr>
              <w:rPr>
                <w:rFonts w:cstheme="minorHAnsi"/>
                <w:bCs/>
                <w:sz w:val="20"/>
                <w:szCs w:val="20"/>
              </w:rPr>
            </w:pPr>
            <w:r w:rsidRPr="00380B36">
              <w:rPr>
                <w:rFonts w:cstheme="minorHAnsi"/>
                <w:bCs/>
                <w:sz w:val="20"/>
                <w:szCs w:val="20"/>
              </w:rPr>
              <w:t>Asthma – Students with current asthma</w:t>
            </w:r>
          </w:p>
        </w:tc>
        <w:tc>
          <w:tcPr>
            <w:tcW w:w="663" w:type="dxa"/>
            <w:vAlign w:val="center"/>
          </w:tcPr>
          <w:p w14:paraId="6469ADA5" w14:textId="77777777" w:rsidR="009957EE" w:rsidRPr="00380B36" w:rsidRDefault="009957EE" w:rsidP="009957EE">
            <w:pPr>
              <w:rPr>
                <w:rFonts w:cstheme="minorHAnsi"/>
                <w:bCs/>
                <w:sz w:val="20"/>
                <w:szCs w:val="20"/>
              </w:rPr>
            </w:pPr>
            <w:r w:rsidRPr="00380B36">
              <w:rPr>
                <w:rFonts w:cstheme="minorHAnsi"/>
                <w:bCs/>
                <w:sz w:val="20"/>
                <w:szCs w:val="20"/>
              </w:rPr>
              <w:t>12%</w:t>
            </w:r>
          </w:p>
        </w:tc>
        <w:tc>
          <w:tcPr>
            <w:tcW w:w="663" w:type="dxa"/>
            <w:vAlign w:val="center"/>
          </w:tcPr>
          <w:p w14:paraId="4537838F" w14:textId="77777777" w:rsidR="009957EE" w:rsidRPr="00380B36" w:rsidRDefault="009957EE" w:rsidP="009957EE">
            <w:pPr>
              <w:rPr>
                <w:rFonts w:cstheme="minorHAnsi"/>
                <w:bCs/>
                <w:sz w:val="20"/>
                <w:szCs w:val="20"/>
                <w:bdr w:val="single" w:sz="12" w:space="0" w:color="4BACC6"/>
              </w:rPr>
            </w:pPr>
            <w:r w:rsidRPr="00380B36">
              <w:rPr>
                <w:rFonts w:cstheme="minorHAnsi"/>
                <w:bCs/>
                <w:sz w:val="20"/>
                <w:szCs w:val="20"/>
              </w:rPr>
              <w:t>12%</w:t>
            </w:r>
          </w:p>
        </w:tc>
        <w:tc>
          <w:tcPr>
            <w:tcW w:w="5032" w:type="dxa"/>
          </w:tcPr>
          <w:p w14:paraId="7DBEDF02" w14:textId="77777777" w:rsidR="009957EE" w:rsidRPr="00380B36" w:rsidRDefault="009957EE" w:rsidP="009957EE">
            <w:pPr>
              <w:rPr>
                <w:rFonts w:cstheme="minorHAnsi"/>
                <w:bCs/>
                <w:sz w:val="20"/>
                <w:szCs w:val="20"/>
              </w:rPr>
            </w:pPr>
            <w:r w:rsidRPr="00380B36">
              <w:rPr>
                <w:rFonts w:cstheme="minorHAnsi"/>
                <w:bCs/>
                <w:sz w:val="20"/>
                <w:szCs w:val="20"/>
              </w:rPr>
              <w:t>Students from language backgrounds other than English were reportedly less likely to have asthma than those from an English-speaking background.</w:t>
            </w:r>
          </w:p>
        </w:tc>
      </w:tr>
      <w:tr w:rsidR="009957EE" w:rsidRPr="00380B36" w14:paraId="374C01CE" w14:textId="77777777" w:rsidTr="009957EE">
        <w:tc>
          <w:tcPr>
            <w:tcW w:w="2658" w:type="dxa"/>
          </w:tcPr>
          <w:p w14:paraId="70B5D938" w14:textId="77777777" w:rsidR="009957EE" w:rsidRPr="00380B36" w:rsidRDefault="009957EE" w:rsidP="009957EE">
            <w:pPr>
              <w:rPr>
                <w:rFonts w:cstheme="minorHAnsi"/>
                <w:bCs/>
                <w:sz w:val="20"/>
                <w:szCs w:val="20"/>
              </w:rPr>
            </w:pPr>
            <w:r w:rsidRPr="00380B36">
              <w:rPr>
                <w:rFonts w:cstheme="minorHAnsi"/>
                <w:bCs/>
                <w:sz w:val="20"/>
                <w:szCs w:val="20"/>
              </w:rPr>
              <w:t>Physical activity – Students doing at least one hour of exercise per day</w:t>
            </w:r>
          </w:p>
        </w:tc>
        <w:tc>
          <w:tcPr>
            <w:tcW w:w="663" w:type="dxa"/>
            <w:vAlign w:val="center"/>
          </w:tcPr>
          <w:p w14:paraId="0B5B3607" w14:textId="77777777" w:rsidR="009957EE" w:rsidRPr="00380B36" w:rsidRDefault="009957EE" w:rsidP="009957EE">
            <w:pPr>
              <w:rPr>
                <w:rFonts w:cstheme="minorHAnsi"/>
                <w:bCs/>
                <w:sz w:val="20"/>
                <w:szCs w:val="20"/>
              </w:rPr>
            </w:pPr>
            <w:r w:rsidRPr="00380B36">
              <w:rPr>
                <w:rFonts w:cstheme="minorHAnsi"/>
                <w:bCs/>
                <w:sz w:val="20"/>
                <w:szCs w:val="20"/>
              </w:rPr>
              <w:t>23%</w:t>
            </w:r>
          </w:p>
        </w:tc>
        <w:tc>
          <w:tcPr>
            <w:tcW w:w="663" w:type="dxa"/>
            <w:vAlign w:val="center"/>
          </w:tcPr>
          <w:p w14:paraId="4534679C" w14:textId="77777777" w:rsidR="009957EE" w:rsidRPr="00380B36" w:rsidRDefault="009957EE" w:rsidP="009957EE">
            <w:pPr>
              <w:rPr>
                <w:rFonts w:cstheme="minorHAnsi"/>
                <w:bCs/>
                <w:sz w:val="20"/>
                <w:szCs w:val="20"/>
              </w:rPr>
            </w:pPr>
            <w:r w:rsidRPr="00380B36">
              <w:rPr>
                <w:rFonts w:cstheme="minorHAnsi"/>
                <w:bCs/>
                <w:sz w:val="20"/>
                <w:szCs w:val="20"/>
              </w:rPr>
              <w:t>24%</w:t>
            </w:r>
          </w:p>
        </w:tc>
        <w:tc>
          <w:tcPr>
            <w:tcW w:w="5032" w:type="dxa"/>
          </w:tcPr>
          <w:p w14:paraId="0677A6F0" w14:textId="77777777" w:rsidR="009957EE" w:rsidRPr="00380B36" w:rsidRDefault="009957EE" w:rsidP="009957EE">
            <w:pPr>
              <w:rPr>
                <w:rFonts w:cstheme="minorHAnsi"/>
                <w:bCs/>
                <w:sz w:val="20"/>
                <w:szCs w:val="20"/>
              </w:rPr>
            </w:pPr>
            <w:r w:rsidRPr="00380B36">
              <w:rPr>
                <w:rFonts w:cstheme="minorHAnsi"/>
                <w:bCs/>
                <w:sz w:val="20"/>
                <w:szCs w:val="20"/>
              </w:rPr>
              <w:t>Males were more likely to meet this guideline than females, and rates of physical activity declined with year level.</w:t>
            </w:r>
          </w:p>
        </w:tc>
      </w:tr>
      <w:tr w:rsidR="009957EE" w:rsidRPr="00380B36" w14:paraId="75DC4EDC" w14:textId="77777777" w:rsidTr="009957EE">
        <w:tc>
          <w:tcPr>
            <w:tcW w:w="2658" w:type="dxa"/>
          </w:tcPr>
          <w:p w14:paraId="79EE13A6" w14:textId="77777777" w:rsidR="009957EE" w:rsidRPr="00380B36" w:rsidRDefault="009957EE" w:rsidP="009957EE">
            <w:pPr>
              <w:rPr>
                <w:rFonts w:cstheme="minorHAnsi"/>
                <w:bCs/>
                <w:sz w:val="20"/>
                <w:szCs w:val="20"/>
              </w:rPr>
            </w:pPr>
            <w:r w:rsidRPr="00380B36">
              <w:rPr>
                <w:rFonts w:cstheme="minorHAnsi"/>
                <w:bCs/>
                <w:sz w:val="20"/>
                <w:szCs w:val="20"/>
              </w:rPr>
              <w:t>Nutrition – Students meeting fruit intake guidelines</w:t>
            </w:r>
          </w:p>
        </w:tc>
        <w:tc>
          <w:tcPr>
            <w:tcW w:w="663" w:type="dxa"/>
            <w:vAlign w:val="center"/>
          </w:tcPr>
          <w:p w14:paraId="3D74C303" w14:textId="77777777" w:rsidR="009957EE" w:rsidRPr="00380B36" w:rsidRDefault="009957EE" w:rsidP="009957EE">
            <w:pPr>
              <w:rPr>
                <w:rFonts w:cstheme="minorHAnsi"/>
                <w:bCs/>
                <w:sz w:val="20"/>
                <w:szCs w:val="20"/>
              </w:rPr>
            </w:pPr>
            <w:r w:rsidRPr="00380B36">
              <w:rPr>
                <w:rFonts w:cstheme="minorHAnsi"/>
                <w:bCs/>
                <w:sz w:val="20"/>
                <w:szCs w:val="20"/>
              </w:rPr>
              <w:t>67%</w:t>
            </w:r>
          </w:p>
        </w:tc>
        <w:tc>
          <w:tcPr>
            <w:tcW w:w="663" w:type="dxa"/>
            <w:vAlign w:val="center"/>
          </w:tcPr>
          <w:p w14:paraId="436A1FBC" w14:textId="77777777" w:rsidR="009957EE" w:rsidRPr="00380B36" w:rsidRDefault="009957EE" w:rsidP="009957EE">
            <w:pPr>
              <w:rPr>
                <w:rFonts w:cstheme="minorHAnsi"/>
                <w:bCs/>
                <w:sz w:val="20"/>
                <w:szCs w:val="20"/>
              </w:rPr>
            </w:pPr>
            <w:r w:rsidRPr="00380B36">
              <w:rPr>
                <w:rFonts w:cstheme="minorHAnsi"/>
                <w:bCs/>
                <w:sz w:val="20"/>
                <w:szCs w:val="20"/>
              </w:rPr>
              <w:t>67%</w:t>
            </w:r>
          </w:p>
        </w:tc>
        <w:tc>
          <w:tcPr>
            <w:tcW w:w="5032" w:type="dxa"/>
          </w:tcPr>
          <w:p w14:paraId="59503A60" w14:textId="5E44032B" w:rsidR="009957EE" w:rsidRPr="00380B36" w:rsidRDefault="009957EE" w:rsidP="009957EE">
            <w:pPr>
              <w:rPr>
                <w:rFonts w:cstheme="minorHAnsi"/>
                <w:bCs/>
                <w:sz w:val="20"/>
                <w:szCs w:val="20"/>
              </w:rPr>
            </w:pPr>
            <w:r w:rsidRPr="00380B36">
              <w:rPr>
                <w:rFonts w:cstheme="minorHAnsi"/>
                <w:bCs/>
                <w:sz w:val="20"/>
                <w:szCs w:val="20"/>
              </w:rPr>
              <w:t xml:space="preserve">Males, and students from </w:t>
            </w:r>
            <w:r w:rsidR="00C447BB">
              <w:rPr>
                <w:rFonts w:cstheme="minorHAnsi"/>
                <w:bCs/>
                <w:sz w:val="20"/>
                <w:szCs w:val="20"/>
              </w:rPr>
              <w:t>one parent</w:t>
            </w:r>
            <w:r w:rsidRPr="00380B36">
              <w:rPr>
                <w:rFonts w:cstheme="minorHAnsi"/>
                <w:bCs/>
                <w:sz w:val="20"/>
                <w:szCs w:val="20"/>
              </w:rPr>
              <w:t xml:space="preserve"> families were less likely to meet fruit intake guidelines, and rates declined with year level.</w:t>
            </w:r>
          </w:p>
        </w:tc>
      </w:tr>
      <w:tr w:rsidR="009957EE" w:rsidRPr="00380B36" w14:paraId="4C4DBE3C" w14:textId="77777777" w:rsidTr="009957EE">
        <w:tc>
          <w:tcPr>
            <w:tcW w:w="2658" w:type="dxa"/>
          </w:tcPr>
          <w:p w14:paraId="1FCA53E5" w14:textId="77777777" w:rsidR="009957EE" w:rsidRPr="00380B36" w:rsidRDefault="009957EE" w:rsidP="009957EE">
            <w:pPr>
              <w:rPr>
                <w:rFonts w:cstheme="minorHAnsi"/>
                <w:bCs/>
                <w:sz w:val="20"/>
                <w:szCs w:val="20"/>
              </w:rPr>
            </w:pPr>
            <w:r w:rsidRPr="00380B36">
              <w:rPr>
                <w:rFonts w:cstheme="minorHAnsi"/>
                <w:bCs/>
                <w:sz w:val="20"/>
                <w:szCs w:val="20"/>
              </w:rPr>
              <w:t>Nutrition – Students meeting vegetable intake guidelines</w:t>
            </w:r>
          </w:p>
        </w:tc>
        <w:tc>
          <w:tcPr>
            <w:tcW w:w="663" w:type="dxa"/>
            <w:vAlign w:val="center"/>
          </w:tcPr>
          <w:p w14:paraId="30014957" w14:textId="77777777" w:rsidR="009957EE" w:rsidRPr="00380B36" w:rsidRDefault="009957EE" w:rsidP="009957EE">
            <w:pPr>
              <w:rPr>
                <w:rFonts w:cstheme="minorHAnsi"/>
                <w:bCs/>
                <w:sz w:val="20"/>
                <w:szCs w:val="20"/>
              </w:rPr>
            </w:pPr>
            <w:r w:rsidRPr="00380B36">
              <w:rPr>
                <w:rFonts w:cstheme="minorHAnsi"/>
                <w:bCs/>
                <w:sz w:val="20"/>
                <w:szCs w:val="20"/>
              </w:rPr>
              <w:t>13%</w:t>
            </w:r>
          </w:p>
        </w:tc>
        <w:tc>
          <w:tcPr>
            <w:tcW w:w="663" w:type="dxa"/>
            <w:vAlign w:val="center"/>
          </w:tcPr>
          <w:p w14:paraId="3C675D95" w14:textId="77777777" w:rsidR="009957EE" w:rsidRPr="00380B36" w:rsidRDefault="009957EE" w:rsidP="009957EE">
            <w:pPr>
              <w:rPr>
                <w:rFonts w:cstheme="minorHAnsi"/>
                <w:bCs/>
                <w:sz w:val="20"/>
                <w:szCs w:val="20"/>
              </w:rPr>
            </w:pPr>
            <w:r w:rsidRPr="00380B36">
              <w:rPr>
                <w:rFonts w:cstheme="minorHAnsi"/>
                <w:bCs/>
                <w:sz w:val="20"/>
                <w:szCs w:val="20"/>
              </w:rPr>
              <w:t>13%</w:t>
            </w:r>
          </w:p>
        </w:tc>
        <w:tc>
          <w:tcPr>
            <w:tcW w:w="5032" w:type="dxa"/>
          </w:tcPr>
          <w:p w14:paraId="647DE1D6" w14:textId="77777777" w:rsidR="009957EE" w:rsidRPr="00380B36" w:rsidRDefault="009957EE" w:rsidP="009957EE">
            <w:pPr>
              <w:rPr>
                <w:rFonts w:cstheme="minorHAnsi"/>
                <w:bCs/>
                <w:sz w:val="20"/>
                <w:szCs w:val="20"/>
              </w:rPr>
            </w:pPr>
            <w:r w:rsidRPr="00380B36">
              <w:rPr>
                <w:rFonts w:cstheme="minorHAnsi"/>
                <w:bCs/>
                <w:sz w:val="20"/>
                <w:szCs w:val="20"/>
              </w:rPr>
              <w:t>The proportion of students meeting the vegetable intake guidelines declined with year level.</w:t>
            </w:r>
          </w:p>
        </w:tc>
      </w:tr>
      <w:tr w:rsidR="009957EE" w:rsidRPr="00380B36" w14:paraId="2EC5FAE9" w14:textId="77777777" w:rsidTr="009957EE">
        <w:tc>
          <w:tcPr>
            <w:tcW w:w="2658" w:type="dxa"/>
          </w:tcPr>
          <w:p w14:paraId="5D87E86D" w14:textId="77777777" w:rsidR="009957EE" w:rsidRPr="00380B36" w:rsidRDefault="009957EE" w:rsidP="009957EE">
            <w:pPr>
              <w:rPr>
                <w:rFonts w:cstheme="minorHAnsi"/>
                <w:bCs/>
                <w:sz w:val="20"/>
                <w:szCs w:val="20"/>
              </w:rPr>
            </w:pPr>
            <w:r w:rsidRPr="00380B36">
              <w:rPr>
                <w:rFonts w:cstheme="minorHAnsi"/>
                <w:bCs/>
                <w:sz w:val="20"/>
                <w:szCs w:val="20"/>
              </w:rPr>
              <w:t>Oral health – Students brushing teeth at least twice a day</w:t>
            </w:r>
          </w:p>
        </w:tc>
        <w:tc>
          <w:tcPr>
            <w:tcW w:w="663" w:type="dxa"/>
            <w:vAlign w:val="center"/>
          </w:tcPr>
          <w:p w14:paraId="41EC7544" w14:textId="77777777" w:rsidR="009957EE" w:rsidRPr="00380B36" w:rsidRDefault="009957EE" w:rsidP="009957EE">
            <w:pPr>
              <w:rPr>
                <w:rFonts w:cstheme="minorHAnsi"/>
                <w:bCs/>
                <w:sz w:val="20"/>
                <w:szCs w:val="20"/>
              </w:rPr>
            </w:pPr>
            <w:r w:rsidRPr="00380B36">
              <w:rPr>
                <w:rFonts w:cstheme="minorHAnsi"/>
                <w:bCs/>
                <w:sz w:val="20"/>
                <w:szCs w:val="20"/>
              </w:rPr>
              <w:t>66%</w:t>
            </w:r>
          </w:p>
        </w:tc>
        <w:tc>
          <w:tcPr>
            <w:tcW w:w="663" w:type="dxa"/>
            <w:vAlign w:val="center"/>
          </w:tcPr>
          <w:p w14:paraId="275B791D" w14:textId="77777777" w:rsidR="009957EE" w:rsidRPr="00380B36" w:rsidRDefault="009957EE" w:rsidP="009957EE">
            <w:pPr>
              <w:rPr>
                <w:rFonts w:cstheme="minorHAnsi"/>
                <w:bCs/>
                <w:sz w:val="20"/>
                <w:szCs w:val="20"/>
              </w:rPr>
            </w:pPr>
            <w:r w:rsidRPr="00380B36">
              <w:rPr>
                <w:rFonts w:cstheme="minorHAnsi"/>
                <w:bCs/>
                <w:sz w:val="20"/>
                <w:szCs w:val="20"/>
              </w:rPr>
              <w:t>68%</w:t>
            </w:r>
          </w:p>
        </w:tc>
        <w:tc>
          <w:tcPr>
            <w:tcW w:w="5032" w:type="dxa"/>
          </w:tcPr>
          <w:p w14:paraId="7B4204FB" w14:textId="46F6C27C" w:rsidR="009957EE" w:rsidRPr="00380B36" w:rsidRDefault="009957EE" w:rsidP="009957EE">
            <w:pPr>
              <w:rPr>
                <w:rFonts w:cstheme="minorHAnsi"/>
                <w:bCs/>
                <w:sz w:val="20"/>
                <w:szCs w:val="20"/>
              </w:rPr>
            </w:pPr>
            <w:r w:rsidRPr="00380B36">
              <w:rPr>
                <w:rFonts w:cstheme="minorHAnsi"/>
                <w:bCs/>
                <w:sz w:val="20"/>
                <w:szCs w:val="20"/>
              </w:rPr>
              <w:t xml:space="preserve">Males and students from </w:t>
            </w:r>
            <w:r w:rsidR="00C447BB">
              <w:rPr>
                <w:rFonts w:cstheme="minorHAnsi"/>
                <w:bCs/>
                <w:sz w:val="20"/>
                <w:szCs w:val="20"/>
              </w:rPr>
              <w:t>one parent</w:t>
            </w:r>
            <w:r w:rsidRPr="00380B36">
              <w:rPr>
                <w:rFonts w:cstheme="minorHAnsi"/>
                <w:bCs/>
                <w:sz w:val="20"/>
                <w:szCs w:val="20"/>
              </w:rPr>
              <w:t xml:space="preserve"> families were less likely to have brushed their teeth twice a day, compared to females and those from couple families.</w:t>
            </w:r>
          </w:p>
        </w:tc>
      </w:tr>
      <w:tr w:rsidR="009957EE" w:rsidRPr="00380B36" w14:paraId="1F22E4C0" w14:textId="77777777" w:rsidTr="009957EE">
        <w:tc>
          <w:tcPr>
            <w:tcW w:w="2658" w:type="dxa"/>
          </w:tcPr>
          <w:p w14:paraId="7C377B82" w14:textId="77777777" w:rsidR="009957EE" w:rsidRPr="00380B36" w:rsidRDefault="009957EE" w:rsidP="009957EE">
            <w:pPr>
              <w:rPr>
                <w:rFonts w:cstheme="minorHAnsi"/>
                <w:bCs/>
                <w:sz w:val="20"/>
                <w:szCs w:val="20"/>
              </w:rPr>
            </w:pPr>
            <w:r w:rsidRPr="00380B36">
              <w:rPr>
                <w:rFonts w:cstheme="minorHAnsi"/>
                <w:bCs/>
                <w:sz w:val="20"/>
                <w:szCs w:val="20"/>
              </w:rPr>
              <w:t>Sexual activity – Students who have had sex (Years 8 and 11)</w:t>
            </w:r>
          </w:p>
        </w:tc>
        <w:tc>
          <w:tcPr>
            <w:tcW w:w="663" w:type="dxa"/>
            <w:vAlign w:val="center"/>
          </w:tcPr>
          <w:p w14:paraId="778A1346" w14:textId="77777777" w:rsidR="009957EE" w:rsidRPr="00380B36" w:rsidRDefault="009957EE" w:rsidP="009957EE">
            <w:pPr>
              <w:rPr>
                <w:rFonts w:cstheme="minorHAnsi"/>
                <w:bCs/>
                <w:sz w:val="20"/>
                <w:szCs w:val="20"/>
              </w:rPr>
            </w:pPr>
            <w:r w:rsidRPr="00380B36">
              <w:rPr>
                <w:rFonts w:cstheme="minorHAnsi"/>
                <w:bCs/>
                <w:sz w:val="20"/>
                <w:szCs w:val="20"/>
              </w:rPr>
              <w:t>15%</w:t>
            </w:r>
          </w:p>
        </w:tc>
        <w:tc>
          <w:tcPr>
            <w:tcW w:w="663" w:type="dxa"/>
            <w:vAlign w:val="center"/>
          </w:tcPr>
          <w:p w14:paraId="071257C0" w14:textId="77777777" w:rsidR="009957EE" w:rsidRPr="00380B36" w:rsidRDefault="009957EE" w:rsidP="009957EE">
            <w:pPr>
              <w:rPr>
                <w:rFonts w:cstheme="minorHAnsi"/>
                <w:bCs/>
                <w:sz w:val="20"/>
                <w:szCs w:val="20"/>
              </w:rPr>
            </w:pPr>
            <w:r w:rsidRPr="00380B36">
              <w:rPr>
                <w:rFonts w:cstheme="minorHAnsi"/>
                <w:bCs/>
                <w:sz w:val="20"/>
                <w:szCs w:val="20"/>
              </w:rPr>
              <w:t>14%</w:t>
            </w:r>
          </w:p>
        </w:tc>
        <w:tc>
          <w:tcPr>
            <w:tcW w:w="5032" w:type="dxa"/>
          </w:tcPr>
          <w:p w14:paraId="65BD02D7" w14:textId="42F19D9F" w:rsidR="009957EE" w:rsidRPr="00380B36" w:rsidRDefault="009957EE" w:rsidP="009957EE">
            <w:pPr>
              <w:rPr>
                <w:rFonts w:cstheme="minorHAnsi"/>
                <w:bCs/>
                <w:sz w:val="20"/>
                <w:szCs w:val="20"/>
              </w:rPr>
            </w:pPr>
            <w:r w:rsidRPr="00380B36">
              <w:rPr>
                <w:rFonts w:cstheme="minorHAnsi"/>
                <w:bCs/>
                <w:sz w:val="20"/>
                <w:szCs w:val="20"/>
              </w:rPr>
              <w:t>Students fr</w:t>
            </w:r>
            <w:r w:rsidR="00FB1647">
              <w:rPr>
                <w:rFonts w:cstheme="minorHAnsi"/>
                <w:bCs/>
                <w:sz w:val="20"/>
                <w:szCs w:val="20"/>
              </w:rPr>
              <w:t xml:space="preserve">om </w:t>
            </w:r>
            <w:r w:rsidR="00C447BB">
              <w:rPr>
                <w:rFonts w:cstheme="minorHAnsi"/>
                <w:bCs/>
                <w:sz w:val="20"/>
                <w:szCs w:val="20"/>
              </w:rPr>
              <w:t>one parent</w:t>
            </w:r>
            <w:r w:rsidR="00FB1647">
              <w:rPr>
                <w:rFonts w:cstheme="minorHAnsi"/>
                <w:bCs/>
                <w:sz w:val="20"/>
                <w:szCs w:val="20"/>
              </w:rPr>
              <w:t xml:space="preserve"> families, English-</w:t>
            </w:r>
            <w:r w:rsidRPr="00380B36">
              <w:rPr>
                <w:rFonts w:cstheme="minorHAnsi"/>
                <w:bCs/>
                <w:sz w:val="20"/>
                <w:szCs w:val="20"/>
              </w:rPr>
              <w:t xml:space="preserve">speaking backgrounds and regional Victoria were more likely to have had sex. </w:t>
            </w:r>
          </w:p>
        </w:tc>
      </w:tr>
      <w:tr w:rsidR="009957EE" w:rsidRPr="00380B36" w14:paraId="5AC26FE5" w14:textId="77777777" w:rsidTr="009957EE">
        <w:tc>
          <w:tcPr>
            <w:tcW w:w="2658" w:type="dxa"/>
          </w:tcPr>
          <w:p w14:paraId="18AE49C8" w14:textId="77777777" w:rsidR="009957EE" w:rsidRPr="00380B36" w:rsidRDefault="009957EE" w:rsidP="009957EE">
            <w:pPr>
              <w:rPr>
                <w:rFonts w:cstheme="minorHAnsi"/>
                <w:bCs/>
                <w:sz w:val="20"/>
                <w:szCs w:val="20"/>
              </w:rPr>
            </w:pPr>
            <w:r w:rsidRPr="00380B36">
              <w:rPr>
                <w:rFonts w:cstheme="minorHAnsi"/>
                <w:bCs/>
                <w:sz w:val="20"/>
                <w:szCs w:val="20"/>
              </w:rPr>
              <w:t>Smoking – Students who have smoked cigarettes</w:t>
            </w:r>
          </w:p>
        </w:tc>
        <w:tc>
          <w:tcPr>
            <w:tcW w:w="663" w:type="dxa"/>
            <w:vAlign w:val="center"/>
          </w:tcPr>
          <w:p w14:paraId="715141B0" w14:textId="77777777" w:rsidR="009957EE" w:rsidRPr="00380B36" w:rsidRDefault="009957EE" w:rsidP="009957EE">
            <w:pPr>
              <w:rPr>
                <w:rFonts w:cstheme="minorHAnsi"/>
                <w:bCs/>
                <w:sz w:val="20"/>
                <w:szCs w:val="20"/>
              </w:rPr>
            </w:pPr>
            <w:r w:rsidRPr="00380B36">
              <w:rPr>
                <w:rFonts w:cstheme="minorHAnsi"/>
                <w:bCs/>
                <w:sz w:val="20"/>
                <w:szCs w:val="20"/>
              </w:rPr>
              <w:t>10%</w:t>
            </w:r>
          </w:p>
        </w:tc>
        <w:tc>
          <w:tcPr>
            <w:tcW w:w="663" w:type="dxa"/>
            <w:vAlign w:val="center"/>
          </w:tcPr>
          <w:p w14:paraId="5551FA71" w14:textId="77777777" w:rsidR="009957EE" w:rsidRPr="00380B36" w:rsidRDefault="009957EE" w:rsidP="009957EE">
            <w:pPr>
              <w:rPr>
                <w:rFonts w:cstheme="minorHAnsi"/>
                <w:bCs/>
                <w:sz w:val="20"/>
                <w:szCs w:val="20"/>
                <w:bdr w:val="single" w:sz="12" w:space="0" w:color="4BACC6"/>
              </w:rPr>
            </w:pPr>
            <w:r w:rsidRPr="00380B36">
              <w:rPr>
                <w:rFonts w:cstheme="minorHAnsi"/>
                <w:bCs/>
                <w:sz w:val="20"/>
                <w:szCs w:val="20"/>
              </w:rPr>
              <w:t>8%</w:t>
            </w:r>
          </w:p>
        </w:tc>
        <w:tc>
          <w:tcPr>
            <w:tcW w:w="5032" w:type="dxa"/>
          </w:tcPr>
          <w:p w14:paraId="6B0FDDF2" w14:textId="0268131F" w:rsidR="009957EE" w:rsidRPr="00380B36" w:rsidRDefault="009957EE" w:rsidP="007503AF">
            <w:pPr>
              <w:rPr>
                <w:rFonts w:cstheme="minorHAnsi"/>
                <w:bCs/>
                <w:sz w:val="20"/>
                <w:szCs w:val="20"/>
              </w:rPr>
            </w:pPr>
            <w:r w:rsidRPr="00380B36">
              <w:rPr>
                <w:rFonts w:cstheme="minorHAnsi"/>
                <w:bCs/>
                <w:sz w:val="20"/>
                <w:szCs w:val="20"/>
              </w:rPr>
              <w:t xml:space="preserve">2018 results were </w:t>
            </w:r>
            <w:r w:rsidR="007503AF" w:rsidRPr="00B86078">
              <w:rPr>
                <w:rFonts w:cstheme="minorHAnsi"/>
                <w:sz w:val="20"/>
              </w:rPr>
              <w:t xml:space="preserve">statistically </w:t>
            </w:r>
            <w:r w:rsidRPr="00380B36">
              <w:rPr>
                <w:rFonts w:cstheme="minorHAnsi"/>
                <w:bCs/>
                <w:sz w:val="20"/>
                <w:szCs w:val="20"/>
              </w:rPr>
              <w:t xml:space="preserve">significantly lower than 2016. Students from </w:t>
            </w:r>
            <w:r w:rsidR="00C447BB">
              <w:rPr>
                <w:rFonts w:cstheme="minorHAnsi"/>
                <w:bCs/>
                <w:sz w:val="20"/>
                <w:szCs w:val="20"/>
              </w:rPr>
              <w:t>one parent</w:t>
            </w:r>
            <w:r w:rsidRPr="00380B36">
              <w:rPr>
                <w:rFonts w:cstheme="minorHAnsi"/>
                <w:bCs/>
                <w:sz w:val="20"/>
                <w:szCs w:val="20"/>
              </w:rPr>
              <w:t xml:space="preserve"> families, regional Victoria, female students and older students were more likely to have smoked cigarettes.</w:t>
            </w:r>
          </w:p>
        </w:tc>
      </w:tr>
      <w:tr w:rsidR="009957EE" w:rsidRPr="00380B36" w14:paraId="1ADAB6EC" w14:textId="77777777" w:rsidTr="009957EE">
        <w:tc>
          <w:tcPr>
            <w:tcW w:w="2658" w:type="dxa"/>
          </w:tcPr>
          <w:p w14:paraId="704B7C14" w14:textId="77777777" w:rsidR="009957EE" w:rsidRPr="00380B36" w:rsidRDefault="009957EE" w:rsidP="009957EE">
            <w:pPr>
              <w:rPr>
                <w:rFonts w:cstheme="minorHAnsi"/>
                <w:bCs/>
                <w:sz w:val="20"/>
                <w:szCs w:val="20"/>
              </w:rPr>
            </w:pPr>
            <w:r w:rsidRPr="00380B36">
              <w:rPr>
                <w:rFonts w:cstheme="minorHAnsi"/>
                <w:bCs/>
                <w:sz w:val="20"/>
                <w:szCs w:val="20"/>
              </w:rPr>
              <w:t>Alcohol – Students who have consumed alcohol (Years 8 and 11)</w:t>
            </w:r>
          </w:p>
        </w:tc>
        <w:tc>
          <w:tcPr>
            <w:tcW w:w="663" w:type="dxa"/>
            <w:vAlign w:val="center"/>
          </w:tcPr>
          <w:p w14:paraId="1AE40DF1" w14:textId="77777777" w:rsidR="009957EE" w:rsidRPr="00380B36" w:rsidRDefault="009957EE" w:rsidP="009957EE">
            <w:pPr>
              <w:rPr>
                <w:rFonts w:cstheme="minorHAnsi"/>
                <w:bCs/>
                <w:sz w:val="20"/>
                <w:szCs w:val="20"/>
              </w:rPr>
            </w:pPr>
            <w:r w:rsidRPr="00380B36">
              <w:rPr>
                <w:rFonts w:cstheme="minorHAnsi"/>
                <w:bCs/>
                <w:sz w:val="20"/>
                <w:szCs w:val="20"/>
              </w:rPr>
              <w:t>55%</w:t>
            </w:r>
          </w:p>
        </w:tc>
        <w:tc>
          <w:tcPr>
            <w:tcW w:w="663" w:type="dxa"/>
            <w:vAlign w:val="center"/>
          </w:tcPr>
          <w:p w14:paraId="39F7A800" w14:textId="77777777" w:rsidR="009957EE" w:rsidRPr="00380B36" w:rsidRDefault="009957EE" w:rsidP="009957EE">
            <w:pPr>
              <w:rPr>
                <w:rFonts w:cstheme="minorHAnsi"/>
                <w:bCs/>
                <w:sz w:val="20"/>
                <w:szCs w:val="20"/>
              </w:rPr>
            </w:pPr>
            <w:r w:rsidRPr="00380B36">
              <w:rPr>
                <w:rFonts w:cstheme="minorHAnsi"/>
                <w:bCs/>
                <w:sz w:val="20"/>
                <w:szCs w:val="20"/>
              </w:rPr>
              <w:t>52%</w:t>
            </w:r>
          </w:p>
        </w:tc>
        <w:tc>
          <w:tcPr>
            <w:tcW w:w="5032" w:type="dxa"/>
          </w:tcPr>
          <w:p w14:paraId="06558BA4" w14:textId="43F2F34F" w:rsidR="009957EE" w:rsidRPr="00380B36" w:rsidRDefault="009957EE" w:rsidP="007503AF">
            <w:pPr>
              <w:rPr>
                <w:rFonts w:cstheme="minorHAnsi"/>
                <w:bCs/>
                <w:sz w:val="20"/>
                <w:szCs w:val="20"/>
              </w:rPr>
            </w:pPr>
            <w:r w:rsidRPr="00380B36">
              <w:rPr>
                <w:rFonts w:cstheme="minorHAnsi"/>
                <w:bCs/>
                <w:sz w:val="20"/>
                <w:szCs w:val="20"/>
              </w:rPr>
              <w:t xml:space="preserve">2018 results were </w:t>
            </w:r>
            <w:r w:rsidR="007503AF" w:rsidRPr="00B86078">
              <w:rPr>
                <w:rFonts w:cstheme="minorHAnsi"/>
                <w:sz w:val="20"/>
              </w:rPr>
              <w:t xml:space="preserve">statistically </w:t>
            </w:r>
            <w:r w:rsidRPr="00380B36">
              <w:rPr>
                <w:rFonts w:cstheme="minorHAnsi"/>
                <w:bCs/>
                <w:sz w:val="20"/>
                <w:szCs w:val="20"/>
              </w:rPr>
              <w:t xml:space="preserve">significantly lower than 2016. Students in regional </w:t>
            </w:r>
            <w:r w:rsidR="00FB1647">
              <w:rPr>
                <w:rFonts w:cstheme="minorHAnsi"/>
                <w:bCs/>
                <w:sz w:val="20"/>
                <w:szCs w:val="20"/>
              </w:rPr>
              <w:t>Victoria and those from English-</w:t>
            </w:r>
            <w:r w:rsidRPr="00380B36">
              <w:rPr>
                <w:rFonts w:cstheme="minorHAnsi"/>
                <w:bCs/>
                <w:sz w:val="20"/>
                <w:szCs w:val="20"/>
              </w:rPr>
              <w:t>speaking backgrounds were more likely to have consumed alcohol than other students.</w:t>
            </w:r>
          </w:p>
        </w:tc>
      </w:tr>
      <w:tr w:rsidR="009957EE" w:rsidRPr="00380B36" w14:paraId="6E308C9A" w14:textId="77777777" w:rsidTr="009957EE">
        <w:tc>
          <w:tcPr>
            <w:tcW w:w="2658" w:type="dxa"/>
          </w:tcPr>
          <w:p w14:paraId="53A832E1" w14:textId="77777777" w:rsidR="009957EE" w:rsidRPr="00380B36" w:rsidRDefault="009957EE" w:rsidP="009957EE">
            <w:pPr>
              <w:rPr>
                <w:rFonts w:cstheme="minorHAnsi"/>
                <w:bCs/>
                <w:sz w:val="20"/>
                <w:szCs w:val="20"/>
              </w:rPr>
            </w:pPr>
            <w:r w:rsidRPr="00380B36">
              <w:rPr>
                <w:rFonts w:cstheme="minorHAnsi"/>
                <w:bCs/>
                <w:sz w:val="20"/>
                <w:szCs w:val="20"/>
              </w:rPr>
              <w:t xml:space="preserve">Psychological resilience – Students with a high level of resilience </w:t>
            </w:r>
          </w:p>
        </w:tc>
        <w:tc>
          <w:tcPr>
            <w:tcW w:w="663" w:type="dxa"/>
            <w:vAlign w:val="center"/>
          </w:tcPr>
          <w:p w14:paraId="76B4D5F3" w14:textId="77777777" w:rsidR="009957EE" w:rsidRPr="00380B36" w:rsidRDefault="009957EE" w:rsidP="009957EE">
            <w:pPr>
              <w:rPr>
                <w:rFonts w:cstheme="minorHAnsi"/>
                <w:bCs/>
                <w:sz w:val="20"/>
                <w:szCs w:val="20"/>
                <w:highlight w:val="yellow"/>
                <w:bdr w:val="single" w:sz="12" w:space="0" w:color="4BACC6"/>
              </w:rPr>
            </w:pPr>
            <w:r w:rsidRPr="00380B36">
              <w:rPr>
                <w:rFonts w:cstheme="minorHAnsi"/>
                <w:bCs/>
                <w:sz w:val="20"/>
                <w:szCs w:val="20"/>
              </w:rPr>
              <w:t>69%</w:t>
            </w:r>
          </w:p>
        </w:tc>
        <w:tc>
          <w:tcPr>
            <w:tcW w:w="663" w:type="dxa"/>
            <w:vAlign w:val="center"/>
          </w:tcPr>
          <w:p w14:paraId="1280C0EB" w14:textId="77777777" w:rsidR="009957EE" w:rsidRPr="00380B36" w:rsidRDefault="009957EE" w:rsidP="009957EE">
            <w:pPr>
              <w:rPr>
                <w:rFonts w:cstheme="minorHAnsi"/>
                <w:bCs/>
                <w:sz w:val="20"/>
                <w:szCs w:val="20"/>
              </w:rPr>
            </w:pPr>
            <w:r w:rsidRPr="00380B36">
              <w:rPr>
                <w:rFonts w:cstheme="minorHAnsi"/>
                <w:bCs/>
                <w:sz w:val="20"/>
                <w:szCs w:val="20"/>
              </w:rPr>
              <w:t>67%</w:t>
            </w:r>
          </w:p>
        </w:tc>
        <w:tc>
          <w:tcPr>
            <w:tcW w:w="5032" w:type="dxa"/>
          </w:tcPr>
          <w:p w14:paraId="7075B1BD" w14:textId="67804EDB" w:rsidR="009957EE" w:rsidRPr="00380B36" w:rsidRDefault="009957EE" w:rsidP="009957EE">
            <w:pPr>
              <w:rPr>
                <w:rFonts w:cstheme="minorHAnsi"/>
                <w:bCs/>
                <w:sz w:val="20"/>
                <w:szCs w:val="20"/>
              </w:rPr>
            </w:pPr>
            <w:r w:rsidRPr="00380B36">
              <w:rPr>
                <w:rFonts w:cstheme="minorHAnsi"/>
                <w:bCs/>
                <w:sz w:val="20"/>
                <w:szCs w:val="20"/>
              </w:rPr>
              <w:t xml:space="preserve">Students from </w:t>
            </w:r>
            <w:r w:rsidR="00C447BB">
              <w:rPr>
                <w:rFonts w:cstheme="minorHAnsi"/>
                <w:bCs/>
                <w:sz w:val="20"/>
                <w:szCs w:val="20"/>
              </w:rPr>
              <w:t>one parent</w:t>
            </w:r>
            <w:r w:rsidRPr="00380B36">
              <w:rPr>
                <w:rFonts w:cstheme="minorHAnsi"/>
                <w:bCs/>
                <w:sz w:val="20"/>
                <w:szCs w:val="20"/>
              </w:rPr>
              <w:t xml:space="preserve"> families, and from language backgrounds other than English were less likely to have high levels of resilience compared to other students.</w:t>
            </w:r>
          </w:p>
        </w:tc>
      </w:tr>
      <w:tr w:rsidR="009957EE" w:rsidRPr="00380B36" w14:paraId="21DFAA51" w14:textId="77777777" w:rsidTr="009957EE">
        <w:tc>
          <w:tcPr>
            <w:tcW w:w="2658" w:type="dxa"/>
          </w:tcPr>
          <w:p w14:paraId="578EF458" w14:textId="77777777" w:rsidR="009957EE" w:rsidRPr="00380B36" w:rsidRDefault="009957EE" w:rsidP="009957EE">
            <w:pPr>
              <w:rPr>
                <w:sz w:val="20"/>
                <w:szCs w:val="20"/>
              </w:rPr>
            </w:pPr>
            <w:r w:rsidRPr="00380B36">
              <w:rPr>
                <w:sz w:val="20"/>
                <w:szCs w:val="20"/>
              </w:rPr>
              <w:t>Quality of life – Students satisfied with the quality of their lives</w:t>
            </w:r>
          </w:p>
        </w:tc>
        <w:tc>
          <w:tcPr>
            <w:tcW w:w="663" w:type="dxa"/>
            <w:vAlign w:val="center"/>
          </w:tcPr>
          <w:p w14:paraId="2240AC50" w14:textId="77777777" w:rsidR="009957EE" w:rsidRPr="00380B36" w:rsidRDefault="009957EE" w:rsidP="009957EE">
            <w:pPr>
              <w:rPr>
                <w:sz w:val="20"/>
                <w:szCs w:val="20"/>
              </w:rPr>
            </w:pPr>
            <w:r w:rsidRPr="00380B36">
              <w:rPr>
                <w:sz w:val="20"/>
                <w:szCs w:val="20"/>
              </w:rPr>
              <w:t>75%</w:t>
            </w:r>
          </w:p>
        </w:tc>
        <w:tc>
          <w:tcPr>
            <w:tcW w:w="663" w:type="dxa"/>
            <w:vAlign w:val="center"/>
          </w:tcPr>
          <w:p w14:paraId="261F3276" w14:textId="77777777" w:rsidR="009957EE" w:rsidRPr="00380B36" w:rsidRDefault="009957EE" w:rsidP="009957EE">
            <w:pPr>
              <w:rPr>
                <w:sz w:val="20"/>
                <w:szCs w:val="20"/>
              </w:rPr>
            </w:pPr>
            <w:r w:rsidRPr="00380B36">
              <w:rPr>
                <w:sz w:val="20"/>
                <w:szCs w:val="20"/>
              </w:rPr>
              <w:t>72%</w:t>
            </w:r>
          </w:p>
        </w:tc>
        <w:tc>
          <w:tcPr>
            <w:tcW w:w="5032" w:type="dxa"/>
          </w:tcPr>
          <w:p w14:paraId="3CE11497" w14:textId="66C42677" w:rsidR="009957EE" w:rsidRPr="00380B36" w:rsidRDefault="009957EE" w:rsidP="007503AF">
            <w:pPr>
              <w:rPr>
                <w:sz w:val="20"/>
                <w:szCs w:val="20"/>
              </w:rPr>
            </w:pPr>
            <w:r w:rsidRPr="00380B36">
              <w:rPr>
                <w:sz w:val="20"/>
                <w:szCs w:val="20"/>
              </w:rPr>
              <w:t xml:space="preserve">2018 results were </w:t>
            </w:r>
            <w:r w:rsidR="007503AF" w:rsidRPr="00B86078">
              <w:rPr>
                <w:rFonts w:cstheme="minorHAnsi"/>
                <w:sz w:val="20"/>
              </w:rPr>
              <w:t xml:space="preserve">statistically </w:t>
            </w:r>
            <w:r w:rsidRPr="00380B36">
              <w:rPr>
                <w:sz w:val="20"/>
                <w:szCs w:val="20"/>
              </w:rPr>
              <w:t xml:space="preserve">significantly lower than 2016. Females, students from </w:t>
            </w:r>
            <w:r w:rsidR="00C447BB">
              <w:rPr>
                <w:sz w:val="20"/>
                <w:szCs w:val="20"/>
              </w:rPr>
              <w:t>one parent</w:t>
            </w:r>
            <w:r w:rsidRPr="00380B36">
              <w:rPr>
                <w:sz w:val="20"/>
                <w:szCs w:val="20"/>
              </w:rPr>
              <w:t xml:space="preserve"> families, and students from language backgrounds other than English were less likely to be satisfied with the quality of their lives.</w:t>
            </w:r>
          </w:p>
        </w:tc>
      </w:tr>
      <w:tr w:rsidR="009957EE" w:rsidRPr="00380B36" w14:paraId="6A0B1D9D" w14:textId="77777777" w:rsidTr="009957EE">
        <w:tc>
          <w:tcPr>
            <w:tcW w:w="2658" w:type="dxa"/>
          </w:tcPr>
          <w:p w14:paraId="1C95A784" w14:textId="77777777" w:rsidR="009957EE" w:rsidRPr="00380B36" w:rsidRDefault="009957EE" w:rsidP="009957EE">
            <w:pPr>
              <w:rPr>
                <w:sz w:val="20"/>
                <w:szCs w:val="20"/>
              </w:rPr>
            </w:pPr>
            <w:r w:rsidRPr="00380B36">
              <w:rPr>
                <w:sz w:val="20"/>
                <w:szCs w:val="20"/>
              </w:rPr>
              <w:t>Psychological distress – Students who showed high levels of depressive symptoms</w:t>
            </w:r>
          </w:p>
        </w:tc>
        <w:tc>
          <w:tcPr>
            <w:tcW w:w="663" w:type="dxa"/>
            <w:vAlign w:val="center"/>
          </w:tcPr>
          <w:p w14:paraId="34482E5F" w14:textId="77777777" w:rsidR="009957EE" w:rsidRPr="00380B36" w:rsidRDefault="009957EE" w:rsidP="009957EE">
            <w:pPr>
              <w:rPr>
                <w:sz w:val="20"/>
                <w:szCs w:val="20"/>
              </w:rPr>
            </w:pPr>
            <w:r w:rsidRPr="00380B36">
              <w:rPr>
                <w:sz w:val="20"/>
                <w:szCs w:val="20"/>
              </w:rPr>
              <w:t>18%</w:t>
            </w:r>
          </w:p>
        </w:tc>
        <w:tc>
          <w:tcPr>
            <w:tcW w:w="663" w:type="dxa"/>
            <w:vAlign w:val="center"/>
          </w:tcPr>
          <w:p w14:paraId="5027CDEC" w14:textId="77777777" w:rsidR="009957EE" w:rsidRPr="00380B36" w:rsidRDefault="009957EE" w:rsidP="009957EE">
            <w:pPr>
              <w:rPr>
                <w:sz w:val="20"/>
                <w:szCs w:val="20"/>
                <w:bdr w:val="single" w:sz="12" w:space="0" w:color="4BACC6"/>
              </w:rPr>
            </w:pPr>
            <w:r w:rsidRPr="00380B36">
              <w:rPr>
                <w:sz w:val="20"/>
                <w:szCs w:val="20"/>
              </w:rPr>
              <w:t>20%</w:t>
            </w:r>
          </w:p>
        </w:tc>
        <w:tc>
          <w:tcPr>
            <w:tcW w:w="5032" w:type="dxa"/>
          </w:tcPr>
          <w:p w14:paraId="6BDF213D" w14:textId="02DFBFA1" w:rsidR="009957EE" w:rsidRPr="00380B36" w:rsidRDefault="009957EE" w:rsidP="007503AF">
            <w:pPr>
              <w:rPr>
                <w:sz w:val="20"/>
                <w:szCs w:val="20"/>
              </w:rPr>
            </w:pPr>
            <w:r w:rsidRPr="00380B36">
              <w:rPr>
                <w:sz w:val="20"/>
                <w:szCs w:val="20"/>
              </w:rPr>
              <w:t xml:space="preserve">2018 results were </w:t>
            </w:r>
            <w:r w:rsidR="007503AF" w:rsidRPr="00B86078">
              <w:rPr>
                <w:rFonts w:cstheme="minorHAnsi"/>
                <w:sz w:val="20"/>
              </w:rPr>
              <w:t xml:space="preserve">statistically </w:t>
            </w:r>
            <w:r w:rsidRPr="00380B36">
              <w:rPr>
                <w:sz w:val="20"/>
                <w:szCs w:val="20"/>
              </w:rPr>
              <w:t xml:space="preserve">significantly higher than 2016. Females, and students from </w:t>
            </w:r>
            <w:r w:rsidR="00C447BB">
              <w:rPr>
                <w:sz w:val="20"/>
                <w:szCs w:val="20"/>
              </w:rPr>
              <w:t>one parent</w:t>
            </w:r>
            <w:r w:rsidRPr="00380B36">
              <w:rPr>
                <w:sz w:val="20"/>
                <w:szCs w:val="20"/>
              </w:rPr>
              <w:t xml:space="preserve"> families were more likely to show high levels of depressive symptoms and rates increased with year level.  </w:t>
            </w:r>
          </w:p>
        </w:tc>
      </w:tr>
      <w:tr w:rsidR="009957EE" w:rsidRPr="00380B36" w14:paraId="14EDE6AC" w14:textId="77777777" w:rsidTr="009957EE">
        <w:tc>
          <w:tcPr>
            <w:tcW w:w="2658" w:type="dxa"/>
          </w:tcPr>
          <w:p w14:paraId="2FF4FF8E" w14:textId="77777777" w:rsidR="009957EE" w:rsidRPr="00380B36" w:rsidRDefault="009957EE" w:rsidP="009957EE">
            <w:pPr>
              <w:rPr>
                <w:sz w:val="20"/>
                <w:szCs w:val="20"/>
              </w:rPr>
            </w:pPr>
            <w:r w:rsidRPr="00380B36">
              <w:rPr>
                <w:sz w:val="20"/>
                <w:szCs w:val="20"/>
              </w:rPr>
              <w:t>Cyber bullying – Students who had experienced cyber bullying in the last 30 days</w:t>
            </w:r>
          </w:p>
        </w:tc>
        <w:tc>
          <w:tcPr>
            <w:tcW w:w="663" w:type="dxa"/>
            <w:vAlign w:val="center"/>
          </w:tcPr>
          <w:p w14:paraId="64FCA6FA" w14:textId="77777777" w:rsidR="009957EE" w:rsidRPr="00380B36" w:rsidRDefault="009957EE" w:rsidP="009957EE">
            <w:pPr>
              <w:rPr>
                <w:sz w:val="20"/>
                <w:szCs w:val="20"/>
              </w:rPr>
            </w:pPr>
            <w:r w:rsidRPr="00380B36">
              <w:rPr>
                <w:sz w:val="20"/>
                <w:szCs w:val="20"/>
              </w:rPr>
              <w:t>33%</w:t>
            </w:r>
          </w:p>
        </w:tc>
        <w:tc>
          <w:tcPr>
            <w:tcW w:w="663" w:type="dxa"/>
            <w:vAlign w:val="center"/>
          </w:tcPr>
          <w:p w14:paraId="4B9EAE18" w14:textId="77777777" w:rsidR="009957EE" w:rsidRPr="00380B36" w:rsidRDefault="009957EE" w:rsidP="009957EE">
            <w:pPr>
              <w:rPr>
                <w:sz w:val="20"/>
                <w:szCs w:val="20"/>
                <w:bdr w:val="single" w:sz="12" w:space="0" w:color="4BACC6"/>
              </w:rPr>
            </w:pPr>
            <w:r w:rsidRPr="00380B36">
              <w:rPr>
                <w:sz w:val="20"/>
                <w:szCs w:val="20"/>
              </w:rPr>
              <w:t>30%</w:t>
            </w:r>
          </w:p>
        </w:tc>
        <w:tc>
          <w:tcPr>
            <w:tcW w:w="5032" w:type="dxa"/>
          </w:tcPr>
          <w:p w14:paraId="3A421A0B" w14:textId="11761CD8" w:rsidR="009957EE" w:rsidRPr="00380B36" w:rsidRDefault="009957EE" w:rsidP="007503AF">
            <w:pPr>
              <w:rPr>
                <w:sz w:val="20"/>
                <w:szCs w:val="20"/>
              </w:rPr>
            </w:pPr>
            <w:r w:rsidRPr="00380B36">
              <w:rPr>
                <w:sz w:val="20"/>
                <w:szCs w:val="20"/>
              </w:rPr>
              <w:t xml:space="preserve">2018 results were </w:t>
            </w:r>
            <w:r w:rsidR="007503AF" w:rsidRPr="00B86078">
              <w:rPr>
                <w:rFonts w:cstheme="minorHAnsi"/>
                <w:sz w:val="20"/>
              </w:rPr>
              <w:t xml:space="preserve">statistically </w:t>
            </w:r>
            <w:r w:rsidRPr="00380B36">
              <w:rPr>
                <w:sz w:val="20"/>
                <w:szCs w:val="20"/>
              </w:rPr>
              <w:t xml:space="preserve">significantly lower than 2016. Females, and students from </w:t>
            </w:r>
            <w:r w:rsidR="00C447BB">
              <w:rPr>
                <w:sz w:val="20"/>
                <w:szCs w:val="20"/>
              </w:rPr>
              <w:t>one parent</w:t>
            </w:r>
            <w:r w:rsidRPr="00380B36">
              <w:rPr>
                <w:sz w:val="20"/>
                <w:szCs w:val="20"/>
              </w:rPr>
              <w:t xml:space="preserve"> families were more likely to report cyber bullying, and cyber bullying increased with year level.</w:t>
            </w:r>
          </w:p>
        </w:tc>
      </w:tr>
      <w:tr w:rsidR="009957EE" w:rsidRPr="00380B36" w14:paraId="0D2D0F11" w14:textId="77777777" w:rsidTr="009957EE">
        <w:tc>
          <w:tcPr>
            <w:tcW w:w="2658" w:type="dxa"/>
          </w:tcPr>
          <w:p w14:paraId="05B723B0" w14:textId="77777777" w:rsidR="009957EE" w:rsidRPr="00380B36" w:rsidRDefault="009957EE" w:rsidP="009957EE">
            <w:pPr>
              <w:rPr>
                <w:sz w:val="20"/>
                <w:szCs w:val="20"/>
              </w:rPr>
            </w:pPr>
            <w:r w:rsidRPr="00380B36">
              <w:rPr>
                <w:sz w:val="20"/>
                <w:szCs w:val="20"/>
              </w:rPr>
              <w:t>Trusted adult – Students who have a trusted adult in their lives</w:t>
            </w:r>
          </w:p>
        </w:tc>
        <w:tc>
          <w:tcPr>
            <w:tcW w:w="663" w:type="dxa"/>
            <w:vAlign w:val="center"/>
          </w:tcPr>
          <w:p w14:paraId="5DE0CA30" w14:textId="77777777" w:rsidR="009957EE" w:rsidRPr="00380B36" w:rsidRDefault="009957EE" w:rsidP="009957EE">
            <w:pPr>
              <w:rPr>
                <w:sz w:val="20"/>
                <w:szCs w:val="20"/>
                <w:bdr w:val="single" w:sz="12" w:space="0" w:color="4BACC6"/>
              </w:rPr>
            </w:pPr>
            <w:r w:rsidRPr="00380B36">
              <w:rPr>
                <w:sz w:val="20"/>
                <w:szCs w:val="20"/>
              </w:rPr>
              <w:t>69%</w:t>
            </w:r>
          </w:p>
        </w:tc>
        <w:tc>
          <w:tcPr>
            <w:tcW w:w="663" w:type="dxa"/>
            <w:vAlign w:val="center"/>
          </w:tcPr>
          <w:p w14:paraId="13B97692" w14:textId="77777777" w:rsidR="009957EE" w:rsidRPr="00380B36" w:rsidRDefault="009957EE" w:rsidP="009957EE">
            <w:pPr>
              <w:rPr>
                <w:sz w:val="20"/>
                <w:szCs w:val="20"/>
                <w:bdr w:val="single" w:sz="12" w:space="0" w:color="4BACC6"/>
              </w:rPr>
            </w:pPr>
            <w:r w:rsidRPr="00380B36">
              <w:rPr>
                <w:sz w:val="20"/>
                <w:szCs w:val="20"/>
              </w:rPr>
              <w:t>69%</w:t>
            </w:r>
          </w:p>
        </w:tc>
        <w:tc>
          <w:tcPr>
            <w:tcW w:w="5032" w:type="dxa"/>
          </w:tcPr>
          <w:p w14:paraId="4D067E6E" w14:textId="56F3F1E8" w:rsidR="009957EE" w:rsidRPr="00380B36" w:rsidRDefault="009957EE" w:rsidP="009957EE">
            <w:pPr>
              <w:rPr>
                <w:sz w:val="20"/>
                <w:szCs w:val="20"/>
              </w:rPr>
            </w:pPr>
            <w:r w:rsidRPr="00380B36">
              <w:rPr>
                <w:sz w:val="20"/>
                <w:szCs w:val="20"/>
              </w:rPr>
              <w:t xml:space="preserve">Students from </w:t>
            </w:r>
            <w:r w:rsidR="00C447BB">
              <w:rPr>
                <w:sz w:val="20"/>
                <w:szCs w:val="20"/>
              </w:rPr>
              <w:t>one parent</w:t>
            </w:r>
            <w:r w:rsidRPr="00380B36">
              <w:rPr>
                <w:sz w:val="20"/>
                <w:szCs w:val="20"/>
              </w:rPr>
              <w:t xml:space="preserve"> families, and from language backgrounds other than English were less likely to have a trusted adult in their lives. </w:t>
            </w:r>
          </w:p>
        </w:tc>
      </w:tr>
    </w:tbl>
    <w:p w14:paraId="14A7AF22" w14:textId="77777777" w:rsidR="009957EE" w:rsidRDefault="009957EE" w:rsidP="009957EE"/>
    <w:p w14:paraId="7FF6686A" w14:textId="77777777" w:rsidR="009957EE" w:rsidRDefault="009957EE" w:rsidP="009957EE">
      <w:pPr>
        <w:pStyle w:val="Heading1"/>
      </w:pPr>
      <w:bookmarkStart w:id="4" w:name="_Toc19111707"/>
      <w:r>
        <w:lastRenderedPageBreak/>
        <w:t>How healthy are Victoria’s young people?</w:t>
      </w:r>
      <w:bookmarkEnd w:id="4"/>
    </w:p>
    <w:p w14:paraId="2B10AC23" w14:textId="77777777" w:rsidR="009957EE" w:rsidRDefault="009957EE" w:rsidP="009957EE">
      <w:pPr>
        <w:pStyle w:val="Heading2"/>
      </w:pPr>
      <w:bookmarkStart w:id="5" w:name="_Toc19111708"/>
      <w:r>
        <w:t>General health</w:t>
      </w:r>
      <w:bookmarkEnd w:id="5"/>
    </w:p>
    <w:p w14:paraId="39A8777B" w14:textId="3C43DF0B" w:rsidR="009957EE" w:rsidRDefault="009957EE" w:rsidP="009957EE">
      <w:r w:rsidRPr="00295CF4">
        <w:t xml:space="preserve">Most Victorian </w:t>
      </w:r>
      <w:r>
        <w:t>students in the About You survey</w:t>
      </w:r>
      <w:r w:rsidRPr="00295CF4">
        <w:t xml:space="preserve"> report</w:t>
      </w:r>
      <w:r>
        <w:t>ed</w:t>
      </w:r>
      <w:r w:rsidRPr="00295CF4">
        <w:t xml:space="preserve"> their health as good, very good or excellent (</w:t>
      </w:r>
      <w:r>
        <w:t xml:space="preserve">86 </w:t>
      </w:r>
      <w:r w:rsidRPr="00295CF4">
        <w:t>per</w:t>
      </w:r>
      <w:r>
        <w:t xml:space="preserve"> </w:t>
      </w:r>
      <w:r w:rsidRPr="00295CF4">
        <w:t>cent)</w:t>
      </w:r>
      <w:r>
        <w:t xml:space="preserve">. </w:t>
      </w:r>
      <w:r w:rsidRPr="00295CF4">
        <w:t>Younger students were more likely to rate their health</w:t>
      </w:r>
      <w:r>
        <w:t xml:space="preserve"> positively </w:t>
      </w:r>
      <w:r w:rsidRPr="00295CF4">
        <w:t>(</w:t>
      </w:r>
      <w:r>
        <w:t>90</w:t>
      </w:r>
      <w:r w:rsidRPr="00295CF4">
        <w:t xml:space="preserve"> per</w:t>
      </w:r>
      <w:r>
        <w:t xml:space="preserve"> cent in Year 5 compared to 85</w:t>
      </w:r>
      <w:r w:rsidRPr="00295CF4">
        <w:t xml:space="preserve"> per</w:t>
      </w:r>
      <w:r>
        <w:t xml:space="preserve"> cent in Year 8 and 80</w:t>
      </w:r>
      <w:r w:rsidRPr="00295CF4">
        <w:t xml:space="preserve"> per</w:t>
      </w:r>
      <w:r>
        <w:t xml:space="preserve"> cent in Year 11). Students living in </w:t>
      </w:r>
      <w:r w:rsidR="00C447BB">
        <w:t>one parent</w:t>
      </w:r>
      <w:r>
        <w:t xml:space="preserve"> families were less likely to rate their health positively (83 per cent), compared with their peers from couple parent families (88 per cent). Young people from language backgrounds other than English were also less likely to report good, very good or excellent health (84 per cent) compared to those from English-speaking backgrounds (87 per cent).</w:t>
      </w:r>
    </w:p>
    <w:p w14:paraId="0EFC8F71" w14:textId="77777777" w:rsidR="009B6CA1" w:rsidRPr="009B6CA1" w:rsidRDefault="009B6CA1" w:rsidP="009B6CA1">
      <w:pPr>
        <w:rPr>
          <w:i/>
          <w:sz w:val="20"/>
        </w:rPr>
      </w:pPr>
      <w:r w:rsidRPr="009B6CA1">
        <w:rPr>
          <w:i/>
          <w:sz w:val="20"/>
        </w:rPr>
        <w:t xml:space="preserve">Table </w:t>
      </w:r>
      <w:r w:rsidRPr="009B6CA1">
        <w:rPr>
          <w:i/>
          <w:sz w:val="20"/>
        </w:rPr>
        <w:fldChar w:fldCharType="begin"/>
      </w:r>
      <w:r w:rsidRPr="009B6CA1">
        <w:rPr>
          <w:i/>
          <w:sz w:val="20"/>
        </w:rPr>
        <w:instrText xml:space="preserve"> SEQ Table \* ARABIC </w:instrText>
      </w:r>
      <w:r w:rsidRPr="009B6CA1">
        <w:rPr>
          <w:i/>
          <w:sz w:val="20"/>
        </w:rPr>
        <w:fldChar w:fldCharType="separate"/>
      </w:r>
      <w:r w:rsidR="005F509B">
        <w:rPr>
          <w:i/>
          <w:noProof/>
          <w:sz w:val="20"/>
        </w:rPr>
        <w:t>1</w:t>
      </w:r>
      <w:r w:rsidRPr="009B6CA1">
        <w:rPr>
          <w:i/>
          <w:sz w:val="20"/>
        </w:rPr>
        <w:fldChar w:fldCharType="end"/>
      </w:r>
      <w:r w:rsidRPr="009B6CA1">
        <w:rPr>
          <w:i/>
          <w:sz w:val="20"/>
        </w:rPr>
        <w:t xml:space="preserve"> Proportion of students reporting good, very good or excellent health, by cohort, 2016 </w:t>
      </w:r>
      <w:r>
        <w:rPr>
          <w:i/>
          <w:sz w:val="20"/>
        </w:rPr>
        <w:t>&amp;</w:t>
      </w:r>
      <w:r w:rsidRPr="009B6CA1">
        <w:rPr>
          <w:i/>
          <w:sz w:val="20"/>
        </w:rPr>
        <w:t xml:space="preserve"> 2018</w:t>
      </w:r>
    </w:p>
    <w:tbl>
      <w:tblPr>
        <w:tblStyle w:val="TableGrid"/>
        <w:tblW w:w="0" w:type="auto"/>
        <w:tblLook w:val="04A0" w:firstRow="1" w:lastRow="0" w:firstColumn="1" w:lastColumn="0" w:noHBand="0" w:noVBand="1"/>
        <w:tblCaption w:val="Proportion of students reporting good, very good or excellent general health, by cohort, 2016 and 2018"/>
        <w:tblDescription w:val="This table sets out the proportion of Victorian students who rated their general health as good, very good or excellent, in 2016 and 2018. The table provides the proportion of students statewide, in couple parent families or single parent families, females, males, students from a language background other than English and students from English-speaking backgrounds, students in metropolitan and regional Victoria, and students in Year 5, Year 8 and Year 11. "/>
      </w:tblPr>
      <w:tblGrid>
        <w:gridCol w:w="3005"/>
        <w:gridCol w:w="1810"/>
        <w:gridCol w:w="1843"/>
      </w:tblGrid>
      <w:tr w:rsidR="00380B36" w14:paraId="570C5CC4" w14:textId="77777777" w:rsidTr="005F509B">
        <w:trPr>
          <w:tblHeader/>
        </w:trPr>
        <w:tc>
          <w:tcPr>
            <w:tcW w:w="3005" w:type="dxa"/>
          </w:tcPr>
          <w:p w14:paraId="0A1788CB" w14:textId="77777777" w:rsidR="00380B36" w:rsidRPr="00380B36" w:rsidRDefault="00380B36" w:rsidP="00380B36">
            <w:pPr>
              <w:jc w:val="center"/>
              <w:rPr>
                <w:b/>
              </w:rPr>
            </w:pPr>
            <w:r w:rsidRPr="00380B36">
              <w:rPr>
                <w:b/>
              </w:rPr>
              <w:t>Cohort</w:t>
            </w:r>
          </w:p>
        </w:tc>
        <w:tc>
          <w:tcPr>
            <w:tcW w:w="1810" w:type="dxa"/>
          </w:tcPr>
          <w:p w14:paraId="43E783B3" w14:textId="77777777" w:rsidR="00380B36" w:rsidRPr="00380B36" w:rsidRDefault="00380B36" w:rsidP="00380B36">
            <w:pPr>
              <w:jc w:val="center"/>
              <w:rPr>
                <w:b/>
              </w:rPr>
            </w:pPr>
            <w:r w:rsidRPr="00380B36">
              <w:rPr>
                <w:b/>
              </w:rPr>
              <w:t>2016</w:t>
            </w:r>
          </w:p>
        </w:tc>
        <w:tc>
          <w:tcPr>
            <w:tcW w:w="1843" w:type="dxa"/>
          </w:tcPr>
          <w:p w14:paraId="23B44D76" w14:textId="77777777" w:rsidR="00380B36" w:rsidRPr="00380B36" w:rsidRDefault="00380B36" w:rsidP="00380B36">
            <w:pPr>
              <w:jc w:val="center"/>
              <w:rPr>
                <w:b/>
              </w:rPr>
            </w:pPr>
            <w:r w:rsidRPr="00380B36">
              <w:rPr>
                <w:b/>
              </w:rPr>
              <w:t>2018</w:t>
            </w:r>
          </w:p>
        </w:tc>
      </w:tr>
      <w:tr w:rsidR="000736D1" w14:paraId="7F1B458D" w14:textId="77777777" w:rsidTr="00380B36">
        <w:tc>
          <w:tcPr>
            <w:tcW w:w="3005" w:type="dxa"/>
          </w:tcPr>
          <w:p w14:paraId="104FAE30" w14:textId="77777777" w:rsidR="000736D1" w:rsidRPr="000736D1" w:rsidRDefault="000736D1" w:rsidP="000736D1">
            <w:proofErr w:type="spellStart"/>
            <w:r>
              <w:t>Statewide</w:t>
            </w:r>
            <w:proofErr w:type="spellEnd"/>
            <w:r>
              <w:t xml:space="preserve"> </w:t>
            </w:r>
          </w:p>
        </w:tc>
        <w:tc>
          <w:tcPr>
            <w:tcW w:w="1810" w:type="dxa"/>
          </w:tcPr>
          <w:p w14:paraId="5BDA18E4" w14:textId="77777777" w:rsidR="000736D1" w:rsidRPr="000736D1" w:rsidRDefault="000736D1" w:rsidP="000736D1">
            <w:pPr>
              <w:jc w:val="right"/>
            </w:pPr>
            <w:r w:rsidRPr="000736D1">
              <w:t>87.4%</w:t>
            </w:r>
          </w:p>
        </w:tc>
        <w:tc>
          <w:tcPr>
            <w:tcW w:w="1843" w:type="dxa"/>
          </w:tcPr>
          <w:p w14:paraId="58F9B82C" w14:textId="77777777" w:rsidR="000736D1" w:rsidRPr="000736D1" w:rsidRDefault="000736D1" w:rsidP="000736D1">
            <w:pPr>
              <w:jc w:val="right"/>
            </w:pPr>
            <w:r>
              <w:t>86.0%</w:t>
            </w:r>
          </w:p>
        </w:tc>
      </w:tr>
      <w:tr w:rsidR="00380B36" w14:paraId="40A5EED1" w14:textId="77777777" w:rsidTr="00380B36">
        <w:tc>
          <w:tcPr>
            <w:tcW w:w="3005" w:type="dxa"/>
          </w:tcPr>
          <w:p w14:paraId="54481CB2" w14:textId="77777777" w:rsidR="00380B36" w:rsidRDefault="00380B36" w:rsidP="009957EE">
            <w:r>
              <w:t>Couple family</w:t>
            </w:r>
          </w:p>
        </w:tc>
        <w:tc>
          <w:tcPr>
            <w:tcW w:w="1810" w:type="dxa"/>
          </w:tcPr>
          <w:p w14:paraId="6D81B6D9" w14:textId="77777777" w:rsidR="00380B36" w:rsidRPr="009B6CA1" w:rsidRDefault="009B6CA1" w:rsidP="009B6CA1">
            <w:pPr>
              <w:jc w:val="right"/>
            </w:pPr>
            <w:r>
              <w:t>89.6%</w:t>
            </w:r>
          </w:p>
        </w:tc>
        <w:tc>
          <w:tcPr>
            <w:tcW w:w="1843" w:type="dxa"/>
          </w:tcPr>
          <w:p w14:paraId="24508909" w14:textId="77777777" w:rsidR="00380B36" w:rsidRDefault="00380B36" w:rsidP="000736D1">
            <w:pPr>
              <w:jc w:val="right"/>
            </w:pPr>
            <w:r>
              <w:t>88.4%</w:t>
            </w:r>
          </w:p>
        </w:tc>
      </w:tr>
      <w:tr w:rsidR="00380B36" w14:paraId="2A3ECFCE" w14:textId="77777777" w:rsidTr="00380B36">
        <w:tc>
          <w:tcPr>
            <w:tcW w:w="3005" w:type="dxa"/>
          </w:tcPr>
          <w:p w14:paraId="38C7ABE2" w14:textId="6412BF18" w:rsidR="00380B36" w:rsidRDefault="00C447BB" w:rsidP="009957EE">
            <w:r>
              <w:t>One parent</w:t>
            </w:r>
            <w:r w:rsidR="00380B36">
              <w:t xml:space="preserve"> family</w:t>
            </w:r>
          </w:p>
        </w:tc>
        <w:tc>
          <w:tcPr>
            <w:tcW w:w="1810" w:type="dxa"/>
          </w:tcPr>
          <w:p w14:paraId="5F19BC6A" w14:textId="77777777" w:rsidR="00380B36" w:rsidRDefault="009B6CA1" w:rsidP="009B6CA1">
            <w:pPr>
              <w:jc w:val="right"/>
            </w:pPr>
            <w:r>
              <w:t>83.6%</w:t>
            </w:r>
          </w:p>
        </w:tc>
        <w:tc>
          <w:tcPr>
            <w:tcW w:w="1843" w:type="dxa"/>
          </w:tcPr>
          <w:p w14:paraId="795E1B00" w14:textId="77777777" w:rsidR="00380B36" w:rsidRDefault="000736D1" w:rsidP="00380B36">
            <w:pPr>
              <w:jc w:val="right"/>
            </w:pPr>
            <w:r>
              <w:t>82.8</w:t>
            </w:r>
            <w:r w:rsidR="00380B36">
              <w:t>%</w:t>
            </w:r>
          </w:p>
        </w:tc>
      </w:tr>
      <w:tr w:rsidR="00380B36" w14:paraId="7BCC6F61" w14:textId="77777777" w:rsidTr="00380B36">
        <w:tc>
          <w:tcPr>
            <w:tcW w:w="3005" w:type="dxa"/>
          </w:tcPr>
          <w:p w14:paraId="46B6CE9A" w14:textId="77777777" w:rsidR="00380B36" w:rsidRDefault="00380B36" w:rsidP="009957EE">
            <w:r>
              <w:t>Female</w:t>
            </w:r>
          </w:p>
        </w:tc>
        <w:tc>
          <w:tcPr>
            <w:tcW w:w="1810" w:type="dxa"/>
          </w:tcPr>
          <w:p w14:paraId="6E20CFB2" w14:textId="77777777" w:rsidR="00380B36" w:rsidRDefault="009B6CA1" w:rsidP="009B6CA1">
            <w:pPr>
              <w:jc w:val="right"/>
            </w:pPr>
            <w:r>
              <w:t>87.2%</w:t>
            </w:r>
          </w:p>
        </w:tc>
        <w:tc>
          <w:tcPr>
            <w:tcW w:w="1843" w:type="dxa"/>
          </w:tcPr>
          <w:p w14:paraId="7BCCD320" w14:textId="77777777" w:rsidR="00380B36" w:rsidRDefault="00380B36" w:rsidP="00380B36">
            <w:pPr>
              <w:jc w:val="right"/>
            </w:pPr>
            <w:r>
              <w:t>86.4%</w:t>
            </w:r>
          </w:p>
        </w:tc>
      </w:tr>
      <w:tr w:rsidR="00380B36" w14:paraId="59A040D7" w14:textId="77777777" w:rsidTr="009B6CA1">
        <w:trPr>
          <w:trHeight w:val="77"/>
        </w:trPr>
        <w:tc>
          <w:tcPr>
            <w:tcW w:w="3005" w:type="dxa"/>
          </w:tcPr>
          <w:p w14:paraId="6CD9C6B5" w14:textId="77777777" w:rsidR="00380B36" w:rsidRDefault="00380B36" w:rsidP="009957EE">
            <w:r>
              <w:t>Male</w:t>
            </w:r>
          </w:p>
        </w:tc>
        <w:tc>
          <w:tcPr>
            <w:tcW w:w="1810" w:type="dxa"/>
          </w:tcPr>
          <w:p w14:paraId="79A9124D" w14:textId="77777777" w:rsidR="00380B36" w:rsidRDefault="009B6CA1" w:rsidP="009B6CA1">
            <w:pPr>
              <w:jc w:val="right"/>
            </w:pPr>
            <w:r>
              <w:t>87.6%</w:t>
            </w:r>
          </w:p>
        </w:tc>
        <w:tc>
          <w:tcPr>
            <w:tcW w:w="1843" w:type="dxa"/>
          </w:tcPr>
          <w:p w14:paraId="662FFA3F" w14:textId="77777777" w:rsidR="00380B36" w:rsidRDefault="00380B36" w:rsidP="00380B36">
            <w:pPr>
              <w:jc w:val="right"/>
            </w:pPr>
            <w:r>
              <w:t>86.6%</w:t>
            </w:r>
          </w:p>
        </w:tc>
      </w:tr>
      <w:tr w:rsidR="00380B36" w14:paraId="16B2F847" w14:textId="77777777" w:rsidTr="00380B36">
        <w:tc>
          <w:tcPr>
            <w:tcW w:w="3005" w:type="dxa"/>
          </w:tcPr>
          <w:p w14:paraId="73E45EE7" w14:textId="77777777" w:rsidR="00380B36" w:rsidRDefault="00380B36" w:rsidP="009957EE">
            <w:r>
              <w:t>LBOTE</w:t>
            </w:r>
          </w:p>
        </w:tc>
        <w:tc>
          <w:tcPr>
            <w:tcW w:w="1810" w:type="dxa"/>
          </w:tcPr>
          <w:p w14:paraId="1B19CC37" w14:textId="77777777" w:rsidR="00380B36" w:rsidRDefault="009B6CA1" w:rsidP="009B6CA1">
            <w:pPr>
              <w:jc w:val="right"/>
            </w:pPr>
            <w:r>
              <w:t>84.2%</w:t>
            </w:r>
          </w:p>
        </w:tc>
        <w:tc>
          <w:tcPr>
            <w:tcW w:w="1843" w:type="dxa"/>
          </w:tcPr>
          <w:p w14:paraId="47BC1D0B" w14:textId="77777777" w:rsidR="00380B36" w:rsidRDefault="00380B36" w:rsidP="00380B36">
            <w:pPr>
              <w:jc w:val="right"/>
            </w:pPr>
            <w:r>
              <w:t>83.5%</w:t>
            </w:r>
          </w:p>
        </w:tc>
      </w:tr>
      <w:tr w:rsidR="00380B36" w14:paraId="0DF2B2DD" w14:textId="77777777" w:rsidTr="00380B36">
        <w:tc>
          <w:tcPr>
            <w:tcW w:w="3005" w:type="dxa"/>
          </w:tcPr>
          <w:p w14:paraId="6AEB87FE" w14:textId="77777777" w:rsidR="00380B36" w:rsidRDefault="00380B36" w:rsidP="009957EE">
            <w:r>
              <w:t>Not LBOTE</w:t>
            </w:r>
          </w:p>
        </w:tc>
        <w:tc>
          <w:tcPr>
            <w:tcW w:w="1810" w:type="dxa"/>
          </w:tcPr>
          <w:p w14:paraId="68CD110F" w14:textId="77777777" w:rsidR="00380B36" w:rsidRDefault="009B6CA1" w:rsidP="009B6CA1">
            <w:pPr>
              <w:jc w:val="right"/>
            </w:pPr>
            <w:r>
              <w:t>88.2%</w:t>
            </w:r>
          </w:p>
        </w:tc>
        <w:tc>
          <w:tcPr>
            <w:tcW w:w="1843" w:type="dxa"/>
          </w:tcPr>
          <w:p w14:paraId="1E145AF9" w14:textId="77777777" w:rsidR="00380B36" w:rsidRDefault="00380B36" w:rsidP="00380B36">
            <w:pPr>
              <w:jc w:val="right"/>
            </w:pPr>
            <w:r>
              <w:t>86.7%</w:t>
            </w:r>
          </w:p>
        </w:tc>
      </w:tr>
      <w:tr w:rsidR="00380B36" w14:paraId="384B81B1" w14:textId="77777777" w:rsidTr="00380B36">
        <w:tc>
          <w:tcPr>
            <w:tcW w:w="3005" w:type="dxa"/>
          </w:tcPr>
          <w:p w14:paraId="32C488CD" w14:textId="77777777" w:rsidR="00380B36" w:rsidRDefault="00380B36" w:rsidP="009957EE">
            <w:r>
              <w:t xml:space="preserve">Metropolitan </w:t>
            </w:r>
          </w:p>
        </w:tc>
        <w:tc>
          <w:tcPr>
            <w:tcW w:w="1810" w:type="dxa"/>
          </w:tcPr>
          <w:p w14:paraId="38C0E302" w14:textId="77777777" w:rsidR="00380B36" w:rsidRDefault="009B6CA1" w:rsidP="009B6CA1">
            <w:pPr>
              <w:jc w:val="right"/>
            </w:pPr>
            <w:r>
              <w:t>87.0%</w:t>
            </w:r>
          </w:p>
        </w:tc>
        <w:tc>
          <w:tcPr>
            <w:tcW w:w="1843" w:type="dxa"/>
          </w:tcPr>
          <w:p w14:paraId="5AD1A8F4" w14:textId="77777777" w:rsidR="00380B36" w:rsidRDefault="00380B36" w:rsidP="00380B36">
            <w:pPr>
              <w:jc w:val="right"/>
            </w:pPr>
            <w:r>
              <w:t>85.5%</w:t>
            </w:r>
          </w:p>
        </w:tc>
      </w:tr>
      <w:tr w:rsidR="00380B36" w14:paraId="47670A19" w14:textId="77777777" w:rsidTr="00380B36">
        <w:tc>
          <w:tcPr>
            <w:tcW w:w="3005" w:type="dxa"/>
          </w:tcPr>
          <w:p w14:paraId="43BB301A" w14:textId="77777777" w:rsidR="00380B36" w:rsidRDefault="00380B36" w:rsidP="009957EE">
            <w:r>
              <w:t>Regional</w:t>
            </w:r>
          </w:p>
        </w:tc>
        <w:tc>
          <w:tcPr>
            <w:tcW w:w="1810" w:type="dxa"/>
          </w:tcPr>
          <w:p w14:paraId="7F313640" w14:textId="77777777" w:rsidR="00380B36" w:rsidRDefault="009B6CA1" w:rsidP="009B6CA1">
            <w:pPr>
              <w:jc w:val="right"/>
            </w:pPr>
            <w:r>
              <w:t>88.5%</w:t>
            </w:r>
          </w:p>
        </w:tc>
        <w:tc>
          <w:tcPr>
            <w:tcW w:w="1843" w:type="dxa"/>
          </w:tcPr>
          <w:p w14:paraId="1DFB292B" w14:textId="77777777" w:rsidR="00380B36" w:rsidRDefault="00380B36" w:rsidP="00380B36">
            <w:pPr>
              <w:jc w:val="right"/>
            </w:pPr>
            <w:r>
              <w:t>87.3%</w:t>
            </w:r>
          </w:p>
        </w:tc>
      </w:tr>
      <w:tr w:rsidR="00380B36" w14:paraId="08239C1D" w14:textId="77777777" w:rsidTr="00380B36">
        <w:tc>
          <w:tcPr>
            <w:tcW w:w="3005" w:type="dxa"/>
          </w:tcPr>
          <w:p w14:paraId="56FB32C1" w14:textId="77777777" w:rsidR="00380B36" w:rsidRDefault="00380B36" w:rsidP="009957EE">
            <w:r>
              <w:t>Year 5</w:t>
            </w:r>
          </w:p>
        </w:tc>
        <w:tc>
          <w:tcPr>
            <w:tcW w:w="1810" w:type="dxa"/>
          </w:tcPr>
          <w:p w14:paraId="7DD6EF80" w14:textId="77777777" w:rsidR="00380B36" w:rsidRDefault="009B6CA1" w:rsidP="009B6CA1">
            <w:pPr>
              <w:jc w:val="right"/>
            </w:pPr>
            <w:r>
              <w:t>90.8%</w:t>
            </w:r>
          </w:p>
        </w:tc>
        <w:tc>
          <w:tcPr>
            <w:tcW w:w="1843" w:type="dxa"/>
          </w:tcPr>
          <w:p w14:paraId="39AEF617" w14:textId="77777777" w:rsidR="00380B36" w:rsidRDefault="00380B36" w:rsidP="00380B36">
            <w:pPr>
              <w:jc w:val="right"/>
            </w:pPr>
            <w:r>
              <w:t>89.9%</w:t>
            </w:r>
          </w:p>
        </w:tc>
      </w:tr>
      <w:tr w:rsidR="00380B36" w14:paraId="500E3625" w14:textId="77777777" w:rsidTr="00380B36">
        <w:tc>
          <w:tcPr>
            <w:tcW w:w="3005" w:type="dxa"/>
          </w:tcPr>
          <w:p w14:paraId="5928AA26" w14:textId="77777777" w:rsidR="00380B36" w:rsidRDefault="00380B36" w:rsidP="009957EE">
            <w:r>
              <w:t>Year 8</w:t>
            </w:r>
          </w:p>
        </w:tc>
        <w:tc>
          <w:tcPr>
            <w:tcW w:w="1810" w:type="dxa"/>
          </w:tcPr>
          <w:p w14:paraId="081454B1" w14:textId="77777777" w:rsidR="00380B36" w:rsidRPr="009B6CA1" w:rsidRDefault="009B6CA1" w:rsidP="009B6CA1">
            <w:pPr>
              <w:jc w:val="right"/>
            </w:pPr>
            <w:r>
              <w:t>87.0%</w:t>
            </w:r>
          </w:p>
        </w:tc>
        <w:tc>
          <w:tcPr>
            <w:tcW w:w="1843" w:type="dxa"/>
          </w:tcPr>
          <w:p w14:paraId="0F01B876" w14:textId="77777777" w:rsidR="00380B36" w:rsidRDefault="00380B36" w:rsidP="00380B36">
            <w:pPr>
              <w:jc w:val="right"/>
            </w:pPr>
            <w:r>
              <w:t>84.6%</w:t>
            </w:r>
          </w:p>
        </w:tc>
      </w:tr>
      <w:tr w:rsidR="00380B36" w14:paraId="793C3BE0" w14:textId="77777777" w:rsidTr="00380B36">
        <w:trPr>
          <w:trHeight w:val="77"/>
        </w:trPr>
        <w:tc>
          <w:tcPr>
            <w:tcW w:w="3005" w:type="dxa"/>
          </w:tcPr>
          <w:p w14:paraId="4C401AE2" w14:textId="77777777" w:rsidR="00380B36" w:rsidRDefault="00380B36" w:rsidP="009957EE">
            <w:r>
              <w:t>Year 11</w:t>
            </w:r>
          </w:p>
        </w:tc>
        <w:tc>
          <w:tcPr>
            <w:tcW w:w="1810" w:type="dxa"/>
          </w:tcPr>
          <w:p w14:paraId="52542A17" w14:textId="77777777" w:rsidR="00380B36" w:rsidRPr="009B6CA1" w:rsidRDefault="009B6CA1" w:rsidP="009B6CA1">
            <w:pPr>
              <w:jc w:val="right"/>
            </w:pPr>
            <w:r>
              <w:t>82.6%</w:t>
            </w:r>
          </w:p>
        </w:tc>
        <w:tc>
          <w:tcPr>
            <w:tcW w:w="1843" w:type="dxa"/>
          </w:tcPr>
          <w:p w14:paraId="01DF93F8" w14:textId="77777777" w:rsidR="00380B36" w:rsidRDefault="00380B36" w:rsidP="00380B36">
            <w:pPr>
              <w:jc w:val="right"/>
            </w:pPr>
            <w:r>
              <w:t>80.4%</w:t>
            </w:r>
          </w:p>
        </w:tc>
      </w:tr>
    </w:tbl>
    <w:p w14:paraId="16D1F5B8" w14:textId="77777777" w:rsidR="00380B36" w:rsidRPr="00380B36" w:rsidRDefault="00380B36" w:rsidP="009957EE"/>
    <w:p w14:paraId="0FCC4945" w14:textId="77777777" w:rsidR="009957EE" w:rsidRDefault="009957EE" w:rsidP="009957EE">
      <w:pPr>
        <w:pStyle w:val="Heading2"/>
      </w:pPr>
      <w:bookmarkStart w:id="6" w:name="_Toc19111709"/>
      <w:r>
        <w:t>Special health care needs</w:t>
      </w:r>
      <w:bookmarkEnd w:id="6"/>
    </w:p>
    <w:p w14:paraId="2B23A31A" w14:textId="76D8E2DD" w:rsidR="009957EE" w:rsidRPr="00F52A14" w:rsidRDefault="009957EE" w:rsidP="009957EE">
      <w:r w:rsidRPr="009478A4">
        <w:t>Some children and young people have long-term health conditions which require medication, therapy or other support.</w:t>
      </w:r>
      <w:r>
        <w:t xml:space="preserve"> A student </w:t>
      </w:r>
      <w:r w:rsidR="00F52A14">
        <w:t>i</w:t>
      </w:r>
      <w:r>
        <w:t>s considered to have special health care needs where they are</w:t>
      </w:r>
      <w:r w:rsidRPr="009478A4">
        <w:t xml:space="preserve"> at increased risk for a chronic physical, developmental, behavioural, or emotional condition </w:t>
      </w:r>
      <w:proofErr w:type="gramStart"/>
      <w:r w:rsidRPr="009478A4">
        <w:t>and also</w:t>
      </w:r>
      <w:proofErr w:type="gramEnd"/>
      <w:r w:rsidRPr="009478A4">
        <w:t xml:space="preserve"> require health and related services of a type or amount beyond that</w:t>
      </w:r>
      <w:r>
        <w:t xml:space="preserve"> required by children generally</w:t>
      </w:r>
      <w:r w:rsidRPr="00EE0F00">
        <w:rPr>
          <w:rStyle w:val="EndnoteReference"/>
          <w:rFonts w:cs="Arial"/>
          <w:sz w:val="24"/>
          <w:vertAlign w:val="superscript"/>
        </w:rPr>
        <w:endnoteReference w:id="1"/>
      </w:r>
      <w:r>
        <w:t xml:space="preserve">. </w:t>
      </w:r>
      <w:r w:rsidR="00F52A14" w:rsidRPr="00E306CE">
        <w:t xml:space="preserve">In 2018, one in </w:t>
      </w:r>
      <w:r w:rsidR="00F52A14">
        <w:t>five</w:t>
      </w:r>
      <w:r w:rsidR="00F52A14" w:rsidRPr="00E306CE">
        <w:t xml:space="preserve"> students</w:t>
      </w:r>
      <w:r w:rsidR="00F52A14">
        <w:t xml:space="preserve"> </w:t>
      </w:r>
      <w:r w:rsidR="00F52A14" w:rsidRPr="00E306CE">
        <w:t xml:space="preserve">(20 per cent) reported having a special health care need in the </w:t>
      </w:r>
      <w:r w:rsidR="00F52A14" w:rsidRPr="00F52A14">
        <w:t>About You survey.</w:t>
      </w:r>
    </w:p>
    <w:p w14:paraId="2662663D" w14:textId="77777777" w:rsidR="009957EE" w:rsidRDefault="009957EE" w:rsidP="009957EE">
      <w:r w:rsidRPr="00770E95">
        <w:t xml:space="preserve">Females were significantly more likely to report a special health care need (24 per cent) compared with males (13 per cent), and Year 11 students were more likely to report a special health care need than Year 8 students (23 per cent compared with 17 per cent). Figure 2 below shows that non-LBOTE students were significantly more likely to report having special health care needs compared to LBOTE students and there was a significant increase among non-LBOTE students in 2018 that was not seen among LBOTE students. </w:t>
      </w:r>
    </w:p>
    <w:p w14:paraId="27F8FF7D" w14:textId="77777777" w:rsidR="005F509B" w:rsidRDefault="005F509B">
      <w:pPr>
        <w:rPr>
          <w:i/>
          <w:sz w:val="20"/>
        </w:rPr>
      </w:pPr>
      <w:r>
        <w:rPr>
          <w:i/>
          <w:sz w:val="20"/>
        </w:rPr>
        <w:br w:type="page"/>
      </w:r>
    </w:p>
    <w:p w14:paraId="166E2346" w14:textId="77777777" w:rsidR="009B6CA1" w:rsidRPr="009B6CA1" w:rsidRDefault="009B6CA1" w:rsidP="009B6CA1">
      <w:pPr>
        <w:rPr>
          <w:i/>
          <w:sz w:val="20"/>
        </w:rPr>
      </w:pPr>
      <w:r w:rsidRPr="009B6CA1">
        <w:rPr>
          <w:i/>
          <w:sz w:val="20"/>
        </w:rPr>
        <w:lastRenderedPageBreak/>
        <w:t xml:space="preserve">Table </w:t>
      </w:r>
      <w:r w:rsidRPr="009B6CA1">
        <w:rPr>
          <w:i/>
          <w:sz w:val="20"/>
        </w:rPr>
        <w:fldChar w:fldCharType="begin"/>
      </w:r>
      <w:r w:rsidRPr="009B6CA1">
        <w:rPr>
          <w:i/>
          <w:sz w:val="20"/>
        </w:rPr>
        <w:instrText xml:space="preserve"> SEQ Table \* ARABIC </w:instrText>
      </w:r>
      <w:r w:rsidRPr="009B6CA1">
        <w:rPr>
          <w:i/>
          <w:sz w:val="20"/>
        </w:rPr>
        <w:fldChar w:fldCharType="separate"/>
      </w:r>
      <w:r w:rsidR="005F509B">
        <w:rPr>
          <w:i/>
          <w:noProof/>
          <w:sz w:val="20"/>
        </w:rPr>
        <w:t>2</w:t>
      </w:r>
      <w:r w:rsidRPr="009B6CA1">
        <w:rPr>
          <w:i/>
          <w:sz w:val="20"/>
        </w:rPr>
        <w:fldChar w:fldCharType="end"/>
      </w:r>
      <w:r w:rsidRPr="009B6CA1">
        <w:rPr>
          <w:i/>
          <w:sz w:val="20"/>
        </w:rPr>
        <w:t xml:space="preserve"> Proportion of students with special health care ne</w:t>
      </w:r>
      <w:r>
        <w:rPr>
          <w:i/>
          <w:sz w:val="20"/>
        </w:rPr>
        <w:t>eds by cohort</w:t>
      </w:r>
      <w:r w:rsidRPr="009B6CA1">
        <w:rPr>
          <w:i/>
          <w:sz w:val="20"/>
        </w:rPr>
        <w:t>, 2016 &amp; 2018</w:t>
      </w:r>
    </w:p>
    <w:tbl>
      <w:tblPr>
        <w:tblStyle w:val="TableGrid"/>
        <w:tblW w:w="0" w:type="auto"/>
        <w:tblLook w:val="04A0" w:firstRow="1" w:lastRow="0" w:firstColumn="1" w:lastColumn="0" w:noHBand="0" w:noVBand="1"/>
        <w:tblCaption w:val="Proportion of students with special health care needs, by cohort, 2016 and 2018"/>
        <w:tblDescription w:val="This table sets out the proportion of Victorian students with special health care needs in 2016 and 2018, by cohort. The table provides the proportion of students statewide, in couple parent families or single parent families, females, males, students from a language background other than English and students from English-speaking backgrounds, students in metropolitan and regional Victoria, and students in Year 8 and Year 11. "/>
      </w:tblPr>
      <w:tblGrid>
        <w:gridCol w:w="3005"/>
        <w:gridCol w:w="1826"/>
        <w:gridCol w:w="1827"/>
      </w:tblGrid>
      <w:tr w:rsidR="009B6CA1" w:rsidRPr="009B6CA1" w14:paraId="31066BA1" w14:textId="77777777" w:rsidTr="005F509B">
        <w:trPr>
          <w:tblHeader/>
        </w:trPr>
        <w:tc>
          <w:tcPr>
            <w:tcW w:w="3005" w:type="dxa"/>
          </w:tcPr>
          <w:p w14:paraId="1A4BE523" w14:textId="77777777" w:rsidR="009B6CA1" w:rsidRPr="009B6CA1" w:rsidRDefault="009B6CA1" w:rsidP="009B6CA1">
            <w:pPr>
              <w:pStyle w:val="NoSpacing"/>
              <w:rPr>
                <w:b/>
              </w:rPr>
            </w:pPr>
            <w:r w:rsidRPr="009B6CA1">
              <w:rPr>
                <w:b/>
              </w:rPr>
              <w:t>Cohort</w:t>
            </w:r>
          </w:p>
        </w:tc>
        <w:tc>
          <w:tcPr>
            <w:tcW w:w="1826" w:type="dxa"/>
          </w:tcPr>
          <w:p w14:paraId="6CA225BC" w14:textId="77777777" w:rsidR="009B6CA1" w:rsidRPr="009B6CA1" w:rsidRDefault="009B6CA1" w:rsidP="009B6CA1">
            <w:pPr>
              <w:pStyle w:val="NoSpacing"/>
              <w:jc w:val="center"/>
              <w:rPr>
                <w:b/>
              </w:rPr>
            </w:pPr>
            <w:r w:rsidRPr="009B6CA1">
              <w:rPr>
                <w:b/>
              </w:rPr>
              <w:t>2016</w:t>
            </w:r>
          </w:p>
        </w:tc>
        <w:tc>
          <w:tcPr>
            <w:tcW w:w="1827" w:type="dxa"/>
          </w:tcPr>
          <w:p w14:paraId="238E9C14" w14:textId="77777777" w:rsidR="009B6CA1" w:rsidRPr="009B6CA1" w:rsidRDefault="009B6CA1" w:rsidP="009B6CA1">
            <w:pPr>
              <w:pStyle w:val="NoSpacing"/>
              <w:jc w:val="center"/>
              <w:rPr>
                <w:b/>
              </w:rPr>
            </w:pPr>
            <w:r w:rsidRPr="009B6CA1">
              <w:rPr>
                <w:b/>
              </w:rPr>
              <w:t>2018</w:t>
            </w:r>
          </w:p>
        </w:tc>
      </w:tr>
      <w:tr w:rsidR="008214BE" w:rsidRPr="009B6CA1" w14:paraId="3176CD49" w14:textId="77777777" w:rsidTr="009B6CA1">
        <w:tc>
          <w:tcPr>
            <w:tcW w:w="3005" w:type="dxa"/>
          </w:tcPr>
          <w:p w14:paraId="5E5BDA73" w14:textId="77777777" w:rsidR="008214BE" w:rsidRPr="008214BE" w:rsidRDefault="008214BE" w:rsidP="009B6CA1">
            <w:pPr>
              <w:pStyle w:val="NoSpacing"/>
            </w:pPr>
            <w:proofErr w:type="spellStart"/>
            <w:r>
              <w:t>Statewide</w:t>
            </w:r>
            <w:proofErr w:type="spellEnd"/>
            <w:r>
              <w:t xml:space="preserve"> </w:t>
            </w:r>
          </w:p>
        </w:tc>
        <w:tc>
          <w:tcPr>
            <w:tcW w:w="1826" w:type="dxa"/>
          </w:tcPr>
          <w:p w14:paraId="04D85B40" w14:textId="77777777" w:rsidR="008214BE" w:rsidRPr="000736D1" w:rsidRDefault="000736D1" w:rsidP="000736D1">
            <w:pPr>
              <w:pStyle w:val="NoSpacing"/>
              <w:jc w:val="right"/>
            </w:pPr>
            <w:r w:rsidRPr="000736D1">
              <w:t>17.7%</w:t>
            </w:r>
          </w:p>
        </w:tc>
        <w:tc>
          <w:tcPr>
            <w:tcW w:w="1827" w:type="dxa"/>
          </w:tcPr>
          <w:p w14:paraId="7B31682F" w14:textId="77777777" w:rsidR="008214BE" w:rsidRPr="000736D1" w:rsidRDefault="000736D1" w:rsidP="000736D1">
            <w:pPr>
              <w:pStyle w:val="NoSpacing"/>
              <w:jc w:val="right"/>
            </w:pPr>
            <w:r w:rsidRPr="000736D1">
              <w:t>19.5%</w:t>
            </w:r>
          </w:p>
        </w:tc>
      </w:tr>
      <w:tr w:rsidR="009B6CA1" w:rsidRPr="009B6CA1" w14:paraId="76C15F6B" w14:textId="77777777" w:rsidTr="009B6CA1">
        <w:tc>
          <w:tcPr>
            <w:tcW w:w="3005" w:type="dxa"/>
          </w:tcPr>
          <w:p w14:paraId="35AE26E3" w14:textId="77777777" w:rsidR="009B6CA1" w:rsidRPr="009B6CA1" w:rsidRDefault="009B6CA1" w:rsidP="009B6CA1">
            <w:pPr>
              <w:pStyle w:val="NoSpacing"/>
            </w:pPr>
            <w:r w:rsidRPr="009B6CA1">
              <w:t>Couple family</w:t>
            </w:r>
          </w:p>
        </w:tc>
        <w:tc>
          <w:tcPr>
            <w:tcW w:w="1826" w:type="dxa"/>
          </w:tcPr>
          <w:p w14:paraId="7516A33C" w14:textId="77777777" w:rsidR="009B6CA1" w:rsidRPr="009B6CA1" w:rsidRDefault="009B6CA1" w:rsidP="000736D1">
            <w:pPr>
              <w:pStyle w:val="NoSpacing"/>
              <w:jc w:val="right"/>
            </w:pPr>
            <w:r w:rsidRPr="009B6CA1">
              <w:t>17.0%</w:t>
            </w:r>
          </w:p>
        </w:tc>
        <w:tc>
          <w:tcPr>
            <w:tcW w:w="1827" w:type="dxa"/>
          </w:tcPr>
          <w:p w14:paraId="00812DA9" w14:textId="77777777" w:rsidR="009B6CA1" w:rsidRPr="009B6CA1" w:rsidRDefault="009B6CA1" w:rsidP="000736D1">
            <w:pPr>
              <w:pStyle w:val="NoSpacing"/>
              <w:jc w:val="right"/>
            </w:pPr>
            <w:r w:rsidRPr="009B6CA1">
              <w:t>18.7%</w:t>
            </w:r>
          </w:p>
        </w:tc>
      </w:tr>
      <w:tr w:rsidR="009B6CA1" w:rsidRPr="009B6CA1" w14:paraId="63BFD393" w14:textId="77777777" w:rsidTr="009B6CA1">
        <w:tc>
          <w:tcPr>
            <w:tcW w:w="3005" w:type="dxa"/>
          </w:tcPr>
          <w:p w14:paraId="73768075" w14:textId="4DF8E725" w:rsidR="009B6CA1" w:rsidRPr="009B6CA1" w:rsidRDefault="00C447BB" w:rsidP="009B6CA1">
            <w:pPr>
              <w:pStyle w:val="NoSpacing"/>
            </w:pPr>
            <w:r>
              <w:t>One parent</w:t>
            </w:r>
            <w:r w:rsidR="009B6CA1" w:rsidRPr="009B6CA1">
              <w:t xml:space="preserve"> family</w:t>
            </w:r>
          </w:p>
        </w:tc>
        <w:tc>
          <w:tcPr>
            <w:tcW w:w="1826" w:type="dxa"/>
          </w:tcPr>
          <w:p w14:paraId="242B0629" w14:textId="77777777" w:rsidR="009B6CA1" w:rsidRPr="009B6CA1" w:rsidRDefault="009B6CA1" w:rsidP="000736D1">
            <w:pPr>
              <w:pStyle w:val="NoSpacing"/>
              <w:jc w:val="right"/>
            </w:pPr>
            <w:r w:rsidRPr="009B6CA1">
              <w:t>23.0%</w:t>
            </w:r>
          </w:p>
        </w:tc>
        <w:tc>
          <w:tcPr>
            <w:tcW w:w="1827" w:type="dxa"/>
          </w:tcPr>
          <w:p w14:paraId="21981DE6" w14:textId="77777777" w:rsidR="009B6CA1" w:rsidRPr="009B6CA1" w:rsidRDefault="009B6CA1" w:rsidP="000736D1">
            <w:pPr>
              <w:pStyle w:val="NoSpacing"/>
              <w:jc w:val="right"/>
            </w:pPr>
            <w:r w:rsidRPr="009B6CA1">
              <w:t>24.9%</w:t>
            </w:r>
          </w:p>
        </w:tc>
      </w:tr>
      <w:tr w:rsidR="009B6CA1" w:rsidRPr="009B6CA1" w14:paraId="5CC7AF94" w14:textId="77777777" w:rsidTr="009B6CA1">
        <w:tc>
          <w:tcPr>
            <w:tcW w:w="3005" w:type="dxa"/>
          </w:tcPr>
          <w:p w14:paraId="51249222" w14:textId="77777777" w:rsidR="009B6CA1" w:rsidRPr="009B6CA1" w:rsidRDefault="009B6CA1" w:rsidP="009B6CA1">
            <w:pPr>
              <w:pStyle w:val="NoSpacing"/>
            </w:pPr>
            <w:r w:rsidRPr="009B6CA1">
              <w:t>Female</w:t>
            </w:r>
          </w:p>
        </w:tc>
        <w:tc>
          <w:tcPr>
            <w:tcW w:w="1826" w:type="dxa"/>
          </w:tcPr>
          <w:p w14:paraId="0306F321" w14:textId="77777777" w:rsidR="009B6CA1" w:rsidRPr="009B6CA1" w:rsidRDefault="009B6CA1" w:rsidP="000736D1">
            <w:pPr>
              <w:pStyle w:val="NoSpacing"/>
              <w:jc w:val="right"/>
            </w:pPr>
            <w:r w:rsidRPr="009B6CA1">
              <w:t>22.4%</w:t>
            </w:r>
          </w:p>
        </w:tc>
        <w:tc>
          <w:tcPr>
            <w:tcW w:w="1827" w:type="dxa"/>
          </w:tcPr>
          <w:p w14:paraId="3CA9E51F" w14:textId="77777777" w:rsidR="009B6CA1" w:rsidRPr="009B6CA1" w:rsidRDefault="009B6CA1" w:rsidP="000736D1">
            <w:pPr>
              <w:pStyle w:val="NoSpacing"/>
              <w:jc w:val="right"/>
            </w:pPr>
            <w:r w:rsidRPr="009B6CA1">
              <w:t>24.1%</w:t>
            </w:r>
          </w:p>
        </w:tc>
      </w:tr>
      <w:tr w:rsidR="009B6CA1" w:rsidRPr="009B6CA1" w14:paraId="7D96B476" w14:textId="77777777" w:rsidTr="009B6CA1">
        <w:trPr>
          <w:trHeight w:val="77"/>
        </w:trPr>
        <w:tc>
          <w:tcPr>
            <w:tcW w:w="3005" w:type="dxa"/>
          </w:tcPr>
          <w:p w14:paraId="73A79F06" w14:textId="77777777" w:rsidR="009B6CA1" w:rsidRPr="009B6CA1" w:rsidRDefault="009B6CA1" w:rsidP="009B6CA1">
            <w:pPr>
              <w:pStyle w:val="NoSpacing"/>
            </w:pPr>
            <w:r w:rsidRPr="009B6CA1">
              <w:t>Male</w:t>
            </w:r>
          </w:p>
        </w:tc>
        <w:tc>
          <w:tcPr>
            <w:tcW w:w="1826" w:type="dxa"/>
          </w:tcPr>
          <w:p w14:paraId="008C965B" w14:textId="77777777" w:rsidR="009B6CA1" w:rsidRPr="009B6CA1" w:rsidRDefault="009B6CA1" w:rsidP="000736D1">
            <w:pPr>
              <w:pStyle w:val="NoSpacing"/>
              <w:jc w:val="right"/>
            </w:pPr>
            <w:r w:rsidRPr="009B6CA1">
              <w:t>13.1%</w:t>
            </w:r>
          </w:p>
        </w:tc>
        <w:tc>
          <w:tcPr>
            <w:tcW w:w="1827" w:type="dxa"/>
          </w:tcPr>
          <w:p w14:paraId="2C70C733" w14:textId="77777777" w:rsidR="009B6CA1" w:rsidRPr="009B6CA1" w:rsidRDefault="009B6CA1" w:rsidP="000736D1">
            <w:pPr>
              <w:pStyle w:val="NoSpacing"/>
              <w:jc w:val="right"/>
            </w:pPr>
            <w:r w:rsidRPr="009B6CA1">
              <w:t>13.2%</w:t>
            </w:r>
          </w:p>
        </w:tc>
      </w:tr>
      <w:tr w:rsidR="009B6CA1" w:rsidRPr="009B6CA1" w14:paraId="24948474" w14:textId="77777777" w:rsidTr="009B6CA1">
        <w:tc>
          <w:tcPr>
            <w:tcW w:w="3005" w:type="dxa"/>
          </w:tcPr>
          <w:p w14:paraId="1995FC68" w14:textId="77777777" w:rsidR="009B6CA1" w:rsidRPr="009B6CA1" w:rsidRDefault="009B6CA1" w:rsidP="009B6CA1">
            <w:pPr>
              <w:pStyle w:val="NoSpacing"/>
            </w:pPr>
            <w:r w:rsidRPr="009B6CA1">
              <w:t>LBOTE</w:t>
            </w:r>
          </w:p>
        </w:tc>
        <w:tc>
          <w:tcPr>
            <w:tcW w:w="1826" w:type="dxa"/>
          </w:tcPr>
          <w:p w14:paraId="2A00E272" w14:textId="77777777" w:rsidR="009B6CA1" w:rsidRPr="009B6CA1" w:rsidRDefault="009B6CA1" w:rsidP="000736D1">
            <w:pPr>
              <w:pStyle w:val="NoSpacing"/>
              <w:jc w:val="right"/>
            </w:pPr>
            <w:r w:rsidRPr="009B6CA1">
              <w:t>13.5%</w:t>
            </w:r>
          </w:p>
        </w:tc>
        <w:tc>
          <w:tcPr>
            <w:tcW w:w="1827" w:type="dxa"/>
          </w:tcPr>
          <w:p w14:paraId="7EFBFFE2" w14:textId="77777777" w:rsidR="009B6CA1" w:rsidRPr="009B6CA1" w:rsidRDefault="009B6CA1" w:rsidP="000736D1">
            <w:pPr>
              <w:pStyle w:val="NoSpacing"/>
              <w:jc w:val="right"/>
            </w:pPr>
            <w:r w:rsidRPr="009B6CA1">
              <w:t>13.5%</w:t>
            </w:r>
          </w:p>
        </w:tc>
      </w:tr>
      <w:tr w:rsidR="009B6CA1" w:rsidRPr="009B6CA1" w14:paraId="7807E713" w14:textId="77777777" w:rsidTr="009B6CA1">
        <w:tc>
          <w:tcPr>
            <w:tcW w:w="3005" w:type="dxa"/>
          </w:tcPr>
          <w:p w14:paraId="70AA19A6" w14:textId="77777777" w:rsidR="009B6CA1" w:rsidRPr="009B6CA1" w:rsidRDefault="009B6CA1" w:rsidP="009B6CA1">
            <w:pPr>
              <w:pStyle w:val="NoSpacing"/>
            </w:pPr>
            <w:r w:rsidRPr="009B6CA1">
              <w:t>Not LBOTE</w:t>
            </w:r>
          </w:p>
        </w:tc>
        <w:tc>
          <w:tcPr>
            <w:tcW w:w="1826" w:type="dxa"/>
          </w:tcPr>
          <w:p w14:paraId="48A6E865" w14:textId="77777777" w:rsidR="009B6CA1" w:rsidRPr="009B6CA1" w:rsidRDefault="009B6CA1" w:rsidP="000736D1">
            <w:pPr>
              <w:pStyle w:val="NoSpacing"/>
              <w:jc w:val="right"/>
            </w:pPr>
            <w:r w:rsidRPr="009B6CA1">
              <w:t>18.5%</w:t>
            </w:r>
          </w:p>
        </w:tc>
        <w:tc>
          <w:tcPr>
            <w:tcW w:w="1827" w:type="dxa"/>
          </w:tcPr>
          <w:p w14:paraId="462E4488" w14:textId="77777777" w:rsidR="009B6CA1" w:rsidRPr="009B6CA1" w:rsidRDefault="009B6CA1" w:rsidP="000736D1">
            <w:pPr>
              <w:pStyle w:val="NoSpacing"/>
              <w:jc w:val="right"/>
            </w:pPr>
            <w:r w:rsidRPr="009B6CA1">
              <w:t>21.1%</w:t>
            </w:r>
          </w:p>
        </w:tc>
      </w:tr>
      <w:tr w:rsidR="009B6CA1" w:rsidRPr="009B6CA1" w14:paraId="5B3BB0CD" w14:textId="77777777" w:rsidTr="009B6CA1">
        <w:tc>
          <w:tcPr>
            <w:tcW w:w="3005" w:type="dxa"/>
          </w:tcPr>
          <w:p w14:paraId="6238C3A7" w14:textId="77777777" w:rsidR="009B6CA1" w:rsidRPr="009B6CA1" w:rsidRDefault="009B6CA1" w:rsidP="009B6CA1">
            <w:pPr>
              <w:pStyle w:val="NoSpacing"/>
            </w:pPr>
            <w:r w:rsidRPr="009B6CA1">
              <w:t xml:space="preserve">Metropolitan </w:t>
            </w:r>
          </w:p>
        </w:tc>
        <w:tc>
          <w:tcPr>
            <w:tcW w:w="1826" w:type="dxa"/>
          </w:tcPr>
          <w:p w14:paraId="36B6D255" w14:textId="77777777" w:rsidR="009B6CA1" w:rsidRPr="009B6CA1" w:rsidRDefault="009B6CA1" w:rsidP="000736D1">
            <w:pPr>
              <w:pStyle w:val="NoSpacing"/>
              <w:jc w:val="right"/>
            </w:pPr>
            <w:r w:rsidRPr="009B6CA1">
              <w:t>17.2%</w:t>
            </w:r>
          </w:p>
        </w:tc>
        <w:tc>
          <w:tcPr>
            <w:tcW w:w="1827" w:type="dxa"/>
          </w:tcPr>
          <w:p w14:paraId="1EAFD99A" w14:textId="77777777" w:rsidR="009B6CA1" w:rsidRPr="009B6CA1" w:rsidRDefault="009B6CA1" w:rsidP="000736D1">
            <w:pPr>
              <w:pStyle w:val="NoSpacing"/>
              <w:jc w:val="right"/>
            </w:pPr>
            <w:r w:rsidRPr="009B6CA1">
              <w:t>19.0%</w:t>
            </w:r>
          </w:p>
        </w:tc>
      </w:tr>
      <w:tr w:rsidR="009B6CA1" w:rsidRPr="009B6CA1" w14:paraId="06534B3E" w14:textId="77777777" w:rsidTr="009B6CA1">
        <w:tc>
          <w:tcPr>
            <w:tcW w:w="3005" w:type="dxa"/>
          </w:tcPr>
          <w:p w14:paraId="1BFA89BB" w14:textId="77777777" w:rsidR="009B6CA1" w:rsidRPr="009B6CA1" w:rsidRDefault="009B6CA1" w:rsidP="009B6CA1">
            <w:pPr>
              <w:pStyle w:val="NoSpacing"/>
            </w:pPr>
            <w:r w:rsidRPr="009B6CA1">
              <w:t>Regional</w:t>
            </w:r>
          </w:p>
        </w:tc>
        <w:tc>
          <w:tcPr>
            <w:tcW w:w="1826" w:type="dxa"/>
          </w:tcPr>
          <w:p w14:paraId="75829BEE" w14:textId="77777777" w:rsidR="009B6CA1" w:rsidRPr="009B6CA1" w:rsidRDefault="009B6CA1" w:rsidP="000736D1">
            <w:pPr>
              <w:pStyle w:val="NoSpacing"/>
              <w:jc w:val="right"/>
            </w:pPr>
            <w:r w:rsidRPr="009B6CA1">
              <w:t>19.3%</w:t>
            </w:r>
          </w:p>
        </w:tc>
        <w:tc>
          <w:tcPr>
            <w:tcW w:w="1827" w:type="dxa"/>
          </w:tcPr>
          <w:p w14:paraId="2EA4E0DD" w14:textId="77777777" w:rsidR="009B6CA1" w:rsidRPr="009B6CA1" w:rsidRDefault="009B6CA1" w:rsidP="000736D1">
            <w:pPr>
              <w:pStyle w:val="NoSpacing"/>
              <w:jc w:val="right"/>
            </w:pPr>
            <w:r w:rsidRPr="009B6CA1">
              <w:t>21.0%</w:t>
            </w:r>
          </w:p>
        </w:tc>
      </w:tr>
      <w:tr w:rsidR="009B6CA1" w:rsidRPr="009B6CA1" w14:paraId="72C36D5A" w14:textId="77777777" w:rsidTr="009B6CA1">
        <w:tc>
          <w:tcPr>
            <w:tcW w:w="3005" w:type="dxa"/>
          </w:tcPr>
          <w:p w14:paraId="447A2B8A" w14:textId="77777777" w:rsidR="009B6CA1" w:rsidRPr="009B6CA1" w:rsidRDefault="009B6CA1" w:rsidP="009B6CA1">
            <w:pPr>
              <w:pStyle w:val="NoSpacing"/>
            </w:pPr>
            <w:r w:rsidRPr="009B6CA1">
              <w:t>Year 8</w:t>
            </w:r>
          </w:p>
        </w:tc>
        <w:tc>
          <w:tcPr>
            <w:tcW w:w="1826" w:type="dxa"/>
          </w:tcPr>
          <w:p w14:paraId="1DE538CF" w14:textId="77777777" w:rsidR="009B6CA1" w:rsidRPr="009B6CA1" w:rsidRDefault="009B6CA1" w:rsidP="000736D1">
            <w:pPr>
              <w:pStyle w:val="NoSpacing"/>
              <w:jc w:val="right"/>
            </w:pPr>
            <w:r w:rsidRPr="009B6CA1">
              <w:t>15.2%</w:t>
            </w:r>
          </w:p>
        </w:tc>
        <w:tc>
          <w:tcPr>
            <w:tcW w:w="1827" w:type="dxa"/>
          </w:tcPr>
          <w:p w14:paraId="7DC11159" w14:textId="77777777" w:rsidR="009B6CA1" w:rsidRPr="009B6CA1" w:rsidRDefault="009B6CA1" w:rsidP="000736D1">
            <w:pPr>
              <w:pStyle w:val="NoSpacing"/>
              <w:jc w:val="right"/>
            </w:pPr>
            <w:r w:rsidRPr="009B6CA1">
              <w:t>17.1%</w:t>
            </w:r>
          </w:p>
        </w:tc>
      </w:tr>
      <w:tr w:rsidR="009B6CA1" w:rsidRPr="009B6CA1" w14:paraId="5118856A" w14:textId="77777777" w:rsidTr="009B6CA1">
        <w:trPr>
          <w:trHeight w:val="77"/>
        </w:trPr>
        <w:tc>
          <w:tcPr>
            <w:tcW w:w="3005" w:type="dxa"/>
          </w:tcPr>
          <w:p w14:paraId="4E4716CC" w14:textId="77777777" w:rsidR="009B6CA1" w:rsidRPr="009B6CA1" w:rsidRDefault="009B6CA1" w:rsidP="009B6CA1">
            <w:pPr>
              <w:pStyle w:val="NoSpacing"/>
            </w:pPr>
            <w:r w:rsidRPr="009B6CA1">
              <w:t>Year 11</w:t>
            </w:r>
          </w:p>
        </w:tc>
        <w:tc>
          <w:tcPr>
            <w:tcW w:w="1826" w:type="dxa"/>
          </w:tcPr>
          <w:p w14:paraId="184268C1" w14:textId="77777777" w:rsidR="009B6CA1" w:rsidRPr="009B6CA1" w:rsidRDefault="009B6CA1" w:rsidP="000736D1">
            <w:pPr>
              <w:pStyle w:val="NoSpacing"/>
              <w:jc w:val="right"/>
            </w:pPr>
            <w:r w:rsidRPr="009B6CA1">
              <w:t>21.7%</w:t>
            </w:r>
          </w:p>
        </w:tc>
        <w:tc>
          <w:tcPr>
            <w:tcW w:w="1827" w:type="dxa"/>
          </w:tcPr>
          <w:p w14:paraId="46B96305" w14:textId="77777777" w:rsidR="009B6CA1" w:rsidRPr="009B6CA1" w:rsidRDefault="009B6CA1" w:rsidP="000736D1">
            <w:pPr>
              <w:pStyle w:val="NoSpacing"/>
              <w:jc w:val="right"/>
            </w:pPr>
            <w:r w:rsidRPr="009B6CA1">
              <w:t>22.8%</w:t>
            </w:r>
          </w:p>
        </w:tc>
      </w:tr>
    </w:tbl>
    <w:p w14:paraId="34C3221A" w14:textId="77777777" w:rsidR="009957EE" w:rsidRDefault="009957EE" w:rsidP="009957EE"/>
    <w:p w14:paraId="3D001D2E" w14:textId="77777777" w:rsidR="009957EE" w:rsidRDefault="009957EE" w:rsidP="009957EE">
      <w:pPr>
        <w:pStyle w:val="Heading2"/>
      </w:pPr>
      <w:bookmarkStart w:id="7" w:name="_Toc19111710"/>
      <w:r>
        <w:t>Asthma</w:t>
      </w:r>
      <w:bookmarkEnd w:id="7"/>
    </w:p>
    <w:p w14:paraId="486C5077" w14:textId="77777777" w:rsidR="009957EE" w:rsidRPr="009478A4" w:rsidRDefault="009957EE" w:rsidP="009957EE">
      <w:r w:rsidRPr="009478A4">
        <w:t>Around one in eight students reported currently having asthma (12 per cent). Students from language backgrounds other than English were</w:t>
      </w:r>
      <w:r>
        <w:t xml:space="preserve"> less likely to report asthma (7</w:t>
      </w:r>
      <w:r w:rsidRPr="009478A4">
        <w:t xml:space="preserve"> per cent) compared to students from English-speaking backgrounds (13 per cent).</w:t>
      </w:r>
    </w:p>
    <w:p w14:paraId="7E57CE80" w14:textId="77777777" w:rsidR="009957EE" w:rsidRDefault="009957EE" w:rsidP="009957EE">
      <w:pPr>
        <w:pStyle w:val="Heading2"/>
      </w:pPr>
      <w:bookmarkStart w:id="8" w:name="_Toc19111711"/>
      <w:r>
        <w:t>Physical activity</w:t>
      </w:r>
      <w:bookmarkEnd w:id="8"/>
    </w:p>
    <w:p w14:paraId="099A0C93" w14:textId="77777777" w:rsidR="009957EE" w:rsidRPr="009478A4" w:rsidRDefault="009957EE" w:rsidP="009957EE">
      <w:r w:rsidRPr="009478A4">
        <w:t>Participating in physical activity and sport has many benefits for young people. These include benefits for self-esteem, positive social interactions, and a reduction in the symptoms of depression</w:t>
      </w:r>
      <w:r w:rsidRPr="00EE0F00">
        <w:rPr>
          <w:rStyle w:val="EndnoteReference"/>
          <w:rFonts w:cs="Arial"/>
          <w:sz w:val="24"/>
          <w:szCs w:val="24"/>
          <w:vertAlign w:val="superscript"/>
        </w:rPr>
        <w:endnoteReference w:id="2"/>
      </w:r>
      <w:r>
        <w:t>.</w:t>
      </w:r>
      <w:r w:rsidRPr="009478A4">
        <w:rPr>
          <w:sz w:val="24"/>
          <w:szCs w:val="24"/>
        </w:rPr>
        <w:t xml:space="preserve"> </w:t>
      </w:r>
      <w:r w:rsidRPr="009478A4">
        <w:t xml:space="preserve">Physical activity also </w:t>
      </w:r>
      <w:r>
        <w:t>helps to maintain a healthy weight and protects against</w:t>
      </w:r>
      <w:r w:rsidRPr="009478A4">
        <w:t xml:space="preserve"> other health issues. </w:t>
      </w:r>
    </w:p>
    <w:p w14:paraId="566890B8" w14:textId="272F8A8B" w:rsidR="009957EE" w:rsidRDefault="009957EE" w:rsidP="009957EE">
      <w:r>
        <w:t>Almost</w:t>
      </w:r>
      <w:r w:rsidRPr="009478A4">
        <w:t xml:space="preserve"> one in four students </w:t>
      </w:r>
      <w:r w:rsidR="00C72564" w:rsidRPr="009478A4">
        <w:t>(2</w:t>
      </w:r>
      <w:r w:rsidR="00C72564">
        <w:t>4</w:t>
      </w:r>
      <w:r w:rsidR="00C72564" w:rsidRPr="009478A4">
        <w:t xml:space="preserve"> per cent)</w:t>
      </w:r>
      <w:r w:rsidR="00C72564">
        <w:t xml:space="preserve"> </w:t>
      </w:r>
      <w:r w:rsidRPr="009478A4">
        <w:t>reported doing 60 minutes or more of physical activity every day, meeting the National Physical Activity guidelines</w:t>
      </w:r>
      <w:r w:rsidRPr="00EE0F00">
        <w:rPr>
          <w:rStyle w:val="EndnoteReference"/>
          <w:rFonts w:cs="Arial"/>
          <w:sz w:val="24"/>
          <w:szCs w:val="24"/>
          <w:vertAlign w:val="superscript"/>
        </w:rPr>
        <w:endnoteReference w:id="3"/>
      </w:r>
      <w:r>
        <w:t xml:space="preserve">, </w:t>
      </w:r>
      <w:proofErr w:type="gramStart"/>
      <w:r>
        <w:t>similar to</w:t>
      </w:r>
      <w:proofErr w:type="gramEnd"/>
      <w:r>
        <w:t xml:space="preserve"> 2016. </w:t>
      </w:r>
      <w:r w:rsidRPr="009478A4">
        <w:t>Males were more likely to meet</w:t>
      </w:r>
      <w:r>
        <w:t xml:space="preserve"> the guidelines than females (30</w:t>
      </w:r>
      <w:r w:rsidRPr="009478A4">
        <w:t xml:space="preserve"> per cent compared with 1</w:t>
      </w:r>
      <w:r>
        <w:t>8</w:t>
      </w:r>
      <w:r w:rsidRPr="009478A4">
        <w:t xml:space="preserve"> per cent), and physical activity decl</w:t>
      </w:r>
      <w:r>
        <w:t>ined sharply with year level (31</w:t>
      </w:r>
      <w:r w:rsidRPr="009478A4">
        <w:t xml:space="preserve"> per cent of stud</w:t>
      </w:r>
      <w:r w:rsidR="0025287B">
        <w:t>ents met</w:t>
      </w:r>
      <w:r w:rsidRPr="009478A4">
        <w:t xml:space="preserve"> the guidelines in Year 5, compared with 2</w:t>
      </w:r>
      <w:r>
        <w:t>1</w:t>
      </w:r>
      <w:r w:rsidRPr="009478A4">
        <w:t xml:space="preserve"> per cent in Year 8 and 1</w:t>
      </w:r>
      <w:r>
        <w:t>2</w:t>
      </w:r>
      <w:r w:rsidRPr="009478A4">
        <w:t xml:space="preserve"> per cent in Year 11).</w:t>
      </w:r>
    </w:p>
    <w:p w14:paraId="7774A722" w14:textId="77777777" w:rsidR="008214BE" w:rsidRPr="008214BE" w:rsidRDefault="008214BE" w:rsidP="008214BE">
      <w:pPr>
        <w:rPr>
          <w:i/>
          <w:sz w:val="20"/>
        </w:rPr>
      </w:pPr>
      <w:r w:rsidRPr="008214BE">
        <w:rPr>
          <w:i/>
          <w:sz w:val="20"/>
        </w:rPr>
        <w:t xml:space="preserve">Table </w:t>
      </w:r>
      <w:r w:rsidRPr="008214BE">
        <w:rPr>
          <w:i/>
          <w:sz w:val="20"/>
        </w:rPr>
        <w:fldChar w:fldCharType="begin"/>
      </w:r>
      <w:r w:rsidRPr="008214BE">
        <w:rPr>
          <w:i/>
          <w:sz w:val="20"/>
        </w:rPr>
        <w:instrText xml:space="preserve"> SEQ Table \* ARABIC </w:instrText>
      </w:r>
      <w:r w:rsidRPr="008214BE">
        <w:rPr>
          <w:i/>
          <w:sz w:val="20"/>
        </w:rPr>
        <w:fldChar w:fldCharType="separate"/>
      </w:r>
      <w:r w:rsidR="005F509B">
        <w:rPr>
          <w:i/>
          <w:noProof/>
          <w:sz w:val="20"/>
        </w:rPr>
        <w:t>3</w:t>
      </w:r>
      <w:r w:rsidRPr="008214BE">
        <w:rPr>
          <w:i/>
          <w:sz w:val="20"/>
        </w:rPr>
        <w:fldChar w:fldCharType="end"/>
      </w:r>
      <w:r w:rsidRPr="008214BE">
        <w:rPr>
          <w:i/>
          <w:sz w:val="20"/>
        </w:rPr>
        <w:t xml:space="preserve"> Proportion of students doing at least one hour of exercise per day, by cohort, 2016 &amp; 2018</w:t>
      </w:r>
    </w:p>
    <w:tbl>
      <w:tblPr>
        <w:tblStyle w:val="TableGrid"/>
        <w:tblW w:w="0" w:type="auto"/>
        <w:tblLook w:val="04A0" w:firstRow="1" w:lastRow="0" w:firstColumn="1" w:lastColumn="0" w:noHBand="0" w:noVBand="1"/>
        <w:tblCaption w:val="Proportion of students doing at least one hour of exercise per day, by cohort, 2016 and 2018"/>
        <w:tblDescription w:val="This table sets out the proportion of Victorian students who reported doing at least one hour of exercise per day, in 2016 and 2018, by cohort. The table provides the proportion of students statewide, in couple parent families or single parent families, females, males, students from a language background other than English and students from English-speaking backgrounds, students in metropolitan and regional Victoria, and students in Year 5, Year 8 and Year 11. "/>
      </w:tblPr>
      <w:tblGrid>
        <w:gridCol w:w="3005"/>
        <w:gridCol w:w="1826"/>
        <w:gridCol w:w="1827"/>
      </w:tblGrid>
      <w:tr w:rsidR="009B6CA1" w:rsidRPr="009B6CA1" w14:paraId="57A0CA1A" w14:textId="77777777" w:rsidTr="005F509B">
        <w:trPr>
          <w:tblHeader/>
        </w:trPr>
        <w:tc>
          <w:tcPr>
            <w:tcW w:w="3005" w:type="dxa"/>
          </w:tcPr>
          <w:p w14:paraId="513CC49A" w14:textId="77777777" w:rsidR="009B6CA1" w:rsidRPr="009B6CA1" w:rsidRDefault="009B6CA1" w:rsidP="000736D1">
            <w:pPr>
              <w:pStyle w:val="NoSpacing"/>
              <w:rPr>
                <w:b/>
              </w:rPr>
            </w:pPr>
            <w:r w:rsidRPr="009B6CA1">
              <w:rPr>
                <w:b/>
              </w:rPr>
              <w:t>Cohort</w:t>
            </w:r>
          </w:p>
        </w:tc>
        <w:tc>
          <w:tcPr>
            <w:tcW w:w="1826" w:type="dxa"/>
          </w:tcPr>
          <w:p w14:paraId="234F2E86" w14:textId="77777777" w:rsidR="009B6CA1" w:rsidRPr="009B6CA1" w:rsidRDefault="009B6CA1" w:rsidP="000736D1">
            <w:pPr>
              <w:pStyle w:val="NoSpacing"/>
              <w:jc w:val="center"/>
              <w:rPr>
                <w:b/>
              </w:rPr>
            </w:pPr>
            <w:r w:rsidRPr="009B6CA1">
              <w:rPr>
                <w:b/>
              </w:rPr>
              <w:t>2016</w:t>
            </w:r>
          </w:p>
        </w:tc>
        <w:tc>
          <w:tcPr>
            <w:tcW w:w="1827" w:type="dxa"/>
          </w:tcPr>
          <w:p w14:paraId="2FB897B5" w14:textId="77777777" w:rsidR="009B6CA1" w:rsidRPr="009B6CA1" w:rsidRDefault="009B6CA1" w:rsidP="000736D1">
            <w:pPr>
              <w:pStyle w:val="NoSpacing"/>
              <w:jc w:val="center"/>
              <w:rPr>
                <w:b/>
              </w:rPr>
            </w:pPr>
            <w:r w:rsidRPr="009B6CA1">
              <w:rPr>
                <w:b/>
              </w:rPr>
              <w:t>2018</w:t>
            </w:r>
          </w:p>
        </w:tc>
      </w:tr>
      <w:tr w:rsidR="008214BE" w:rsidRPr="009B6CA1" w14:paraId="5F353F21" w14:textId="77777777" w:rsidTr="000736D1">
        <w:tc>
          <w:tcPr>
            <w:tcW w:w="3005" w:type="dxa"/>
          </w:tcPr>
          <w:p w14:paraId="4E762EFF" w14:textId="77777777" w:rsidR="008214BE" w:rsidRPr="008214BE" w:rsidRDefault="008214BE" w:rsidP="000736D1">
            <w:pPr>
              <w:pStyle w:val="NoSpacing"/>
            </w:pPr>
            <w:proofErr w:type="spellStart"/>
            <w:r>
              <w:t>Statewide</w:t>
            </w:r>
            <w:proofErr w:type="spellEnd"/>
            <w:r>
              <w:t xml:space="preserve"> </w:t>
            </w:r>
          </w:p>
        </w:tc>
        <w:tc>
          <w:tcPr>
            <w:tcW w:w="1826" w:type="dxa"/>
          </w:tcPr>
          <w:p w14:paraId="26F5C787" w14:textId="77777777" w:rsidR="008214BE" w:rsidRPr="000736D1" w:rsidRDefault="000736D1" w:rsidP="000736D1">
            <w:pPr>
              <w:pStyle w:val="NoSpacing"/>
              <w:jc w:val="right"/>
            </w:pPr>
            <w:r>
              <w:t>23.3%</w:t>
            </w:r>
          </w:p>
        </w:tc>
        <w:tc>
          <w:tcPr>
            <w:tcW w:w="1827" w:type="dxa"/>
          </w:tcPr>
          <w:p w14:paraId="3DF4462F" w14:textId="77777777" w:rsidR="008214BE" w:rsidRPr="000736D1" w:rsidRDefault="000736D1" w:rsidP="000736D1">
            <w:pPr>
              <w:pStyle w:val="NoSpacing"/>
              <w:jc w:val="right"/>
            </w:pPr>
            <w:r w:rsidRPr="000736D1">
              <w:t>23.5%</w:t>
            </w:r>
          </w:p>
        </w:tc>
      </w:tr>
      <w:tr w:rsidR="009B6CA1" w:rsidRPr="009B6CA1" w14:paraId="3B9B0C53" w14:textId="77777777" w:rsidTr="000736D1">
        <w:tc>
          <w:tcPr>
            <w:tcW w:w="3005" w:type="dxa"/>
          </w:tcPr>
          <w:p w14:paraId="18C3CED3" w14:textId="77777777" w:rsidR="009B6CA1" w:rsidRPr="009B6CA1" w:rsidRDefault="009B6CA1" w:rsidP="000736D1">
            <w:pPr>
              <w:pStyle w:val="NoSpacing"/>
            </w:pPr>
            <w:r w:rsidRPr="009B6CA1">
              <w:t>Couple family</w:t>
            </w:r>
          </w:p>
        </w:tc>
        <w:tc>
          <w:tcPr>
            <w:tcW w:w="1826" w:type="dxa"/>
          </w:tcPr>
          <w:p w14:paraId="2AE23578" w14:textId="77777777" w:rsidR="009B6CA1" w:rsidRPr="009B6CA1" w:rsidRDefault="008214BE" w:rsidP="008214BE">
            <w:pPr>
              <w:jc w:val="right"/>
            </w:pPr>
            <w:r>
              <w:t>24.3%</w:t>
            </w:r>
          </w:p>
        </w:tc>
        <w:tc>
          <w:tcPr>
            <w:tcW w:w="1827" w:type="dxa"/>
          </w:tcPr>
          <w:p w14:paraId="4329F4A4" w14:textId="77777777" w:rsidR="009B6CA1" w:rsidRPr="009B6CA1" w:rsidRDefault="008214BE" w:rsidP="008214BE">
            <w:pPr>
              <w:jc w:val="right"/>
            </w:pPr>
            <w:r>
              <w:t>24.1%</w:t>
            </w:r>
          </w:p>
        </w:tc>
      </w:tr>
      <w:tr w:rsidR="009B6CA1" w:rsidRPr="009B6CA1" w14:paraId="56165EF6" w14:textId="77777777" w:rsidTr="000736D1">
        <w:tc>
          <w:tcPr>
            <w:tcW w:w="3005" w:type="dxa"/>
          </w:tcPr>
          <w:p w14:paraId="46349056" w14:textId="7EBCD756" w:rsidR="009B6CA1" w:rsidRPr="009B6CA1" w:rsidRDefault="00C447BB" w:rsidP="000736D1">
            <w:pPr>
              <w:pStyle w:val="NoSpacing"/>
            </w:pPr>
            <w:r>
              <w:t>One parent</w:t>
            </w:r>
            <w:r w:rsidR="009B6CA1" w:rsidRPr="009B6CA1">
              <w:t xml:space="preserve"> family</w:t>
            </w:r>
          </w:p>
        </w:tc>
        <w:tc>
          <w:tcPr>
            <w:tcW w:w="1826" w:type="dxa"/>
          </w:tcPr>
          <w:p w14:paraId="69921851" w14:textId="77777777" w:rsidR="009B6CA1" w:rsidRPr="009B6CA1" w:rsidRDefault="008214BE" w:rsidP="008214BE">
            <w:pPr>
              <w:jc w:val="right"/>
            </w:pPr>
            <w:r>
              <w:t>20.8%</w:t>
            </w:r>
          </w:p>
        </w:tc>
        <w:tc>
          <w:tcPr>
            <w:tcW w:w="1827" w:type="dxa"/>
          </w:tcPr>
          <w:p w14:paraId="24BBDCE7" w14:textId="77777777" w:rsidR="009B6CA1" w:rsidRPr="009B6CA1" w:rsidRDefault="008214BE" w:rsidP="008214BE">
            <w:pPr>
              <w:jc w:val="right"/>
            </w:pPr>
            <w:r>
              <w:t>20.4%</w:t>
            </w:r>
          </w:p>
        </w:tc>
      </w:tr>
      <w:tr w:rsidR="009B6CA1" w:rsidRPr="009B6CA1" w14:paraId="4BC8F677" w14:textId="77777777" w:rsidTr="000736D1">
        <w:tc>
          <w:tcPr>
            <w:tcW w:w="3005" w:type="dxa"/>
          </w:tcPr>
          <w:p w14:paraId="3345E36D" w14:textId="77777777" w:rsidR="009B6CA1" w:rsidRPr="009B6CA1" w:rsidRDefault="009B6CA1" w:rsidP="000736D1">
            <w:pPr>
              <w:pStyle w:val="NoSpacing"/>
            </w:pPr>
            <w:r w:rsidRPr="009B6CA1">
              <w:t>Female</w:t>
            </w:r>
          </w:p>
        </w:tc>
        <w:tc>
          <w:tcPr>
            <w:tcW w:w="1826" w:type="dxa"/>
          </w:tcPr>
          <w:p w14:paraId="1B32A132" w14:textId="77777777" w:rsidR="009B6CA1" w:rsidRPr="009B6CA1" w:rsidRDefault="008214BE" w:rsidP="008214BE">
            <w:pPr>
              <w:jc w:val="right"/>
            </w:pPr>
            <w:r>
              <w:t>17.4%</w:t>
            </w:r>
          </w:p>
        </w:tc>
        <w:tc>
          <w:tcPr>
            <w:tcW w:w="1827" w:type="dxa"/>
          </w:tcPr>
          <w:p w14:paraId="005EB16B" w14:textId="77777777" w:rsidR="009B6CA1" w:rsidRPr="008214BE" w:rsidRDefault="008214BE" w:rsidP="008214BE">
            <w:pPr>
              <w:jc w:val="right"/>
            </w:pPr>
            <w:r>
              <w:t>17.8%</w:t>
            </w:r>
          </w:p>
        </w:tc>
      </w:tr>
      <w:tr w:rsidR="009B6CA1" w:rsidRPr="009B6CA1" w14:paraId="40560953" w14:textId="77777777" w:rsidTr="000736D1">
        <w:trPr>
          <w:trHeight w:val="77"/>
        </w:trPr>
        <w:tc>
          <w:tcPr>
            <w:tcW w:w="3005" w:type="dxa"/>
          </w:tcPr>
          <w:p w14:paraId="77A40D98" w14:textId="77777777" w:rsidR="009B6CA1" w:rsidRPr="009B6CA1" w:rsidRDefault="009B6CA1" w:rsidP="000736D1">
            <w:pPr>
              <w:pStyle w:val="NoSpacing"/>
            </w:pPr>
            <w:r w:rsidRPr="009B6CA1">
              <w:t>Male</w:t>
            </w:r>
          </w:p>
        </w:tc>
        <w:tc>
          <w:tcPr>
            <w:tcW w:w="1826" w:type="dxa"/>
          </w:tcPr>
          <w:p w14:paraId="6BAA6AB1" w14:textId="77777777" w:rsidR="009B6CA1" w:rsidRPr="009B6CA1" w:rsidRDefault="008214BE" w:rsidP="008214BE">
            <w:pPr>
              <w:jc w:val="right"/>
            </w:pPr>
            <w:r>
              <w:t>29.2%</w:t>
            </w:r>
          </w:p>
        </w:tc>
        <w:tc>
          <w:tcPr>
            <w:tcW w:w="1827" w:type="dxa"/>
          </w:tcPr>
          <w:p w14:paraId="03CBE67D" w14:textId="77777777" w:rsidR="009B6CA1" w:rsidRPr="009B6CA1" w:rsidRDefault="008214BE" w:rsidP="008214BE">
            <w:pPr>
              <w:jc w:val="right"/>
            </w:pPr>
            <w:r>
              <w:t>29.6%</w:t>
            </w:r>
          </w:p>
        </w:tc>
      </w:tr>
      <w:tr w:rsidR="009B6CA1" w:rsidRPr="009B6CA1" w14:paraId="6172C06C" w14:textId="77777777" w:rsidTr="000736D1">
        <w:tc>
          <w:tcPr>
            <w:tcW w:w="3005" w:type="dxa"/>
          </w:tcPr>
          <w:p w14:paraId="3FB08CAB" w14:textId="77777777" w:rsidR="009B6CA1" w:rsidRPr="009B6CA1" w:rsidRDefault="009B6CA1" w:rsidP="000736D1">
            <w:pPr>
              <w:pStyle w:val="NoSpacing"/>
            </w:pPr>
            <w:r w:rsidRPr="009B6CA1">
              <w:t>LBOTE</w:t>
            </w:r>
          </w:p>
        </w:tc>
        <w:tc>
          <w:tcPr>
            <w:tcW w:w="1826" w:type="dxa"/>
          </w:tcPr>
          <w:p w14:paraId="73115BF4" w14:textId="77777777" w:rsidR="009B6CA1" w:rsidRPr="009B6CA1" w:rsidRDefault="008214BE" w:rsidP="008214BE">
            <w:pPr>
              <w:jc w:val="right"/>
            </w:pPr>
            <w:r>
              <w:t>20.9%</w:t>
            </w:r>
          </w:p>
        </w:tc>
        <w:tc>
          <w:tcPr>
            <w:tcW w:w="1827" w:type="dxa"/>
          </w:tcPr>
          <w:p w14:paraId="7C0185B1" w14:textId="77777777" w:rsidR="009B6CA1" w:rsidRPr="009B6CA1" w:rsidRDefault="008214BE" w:rsidP="008214BE">
            <w:pPr>
              <w:jc w:val="right"/>
            </w:pPr>
            <w:r>
              <w:t>19.7%</w:t>
            </w:r>
          </w:p>
        </w:tc>
      </w:tr>
      <w:tr w:rsidR="009B6CA1" w:rsidRPr="009B6CA1" w14:paraId="36345891" w14:textId="77777777" w:rsidTr="000736D1">
        <w:tc>
          <w:tcPr>
            <w:tcW w:w="3005" w:type="dxa"/>
          </w:tcPr>
          <w:p w14:paraId="0A4CE972" w14:textId="77777777" w:rsidR="009B6CA1" w:rsidRPr="009B6CA1" w:rsidRDefault="009B6CA1" w:rsidP="000736D1">
            <w:pPr>
              <w:pStyle w:val="NoSpacing"/>
            </w:pPr>
            <w:r w:rsidRPr="009B6CA1">
              <w:t>Not LBOTE</w:t>
            </w:r>
          </w:p>
        </w:tc>
        <w:tc>
          <w:tcPr>
            <w:tcW w:w="1826" w:type="dxa"/>
          </w:tcPr>
          <w:p w14:paraId="43A477B5" w14:textId="77777777" w:rsidR="009B6CA1" w:rsidRPr="009B6CA1" w:rsidRDefault="008214BE" w:rsidP="008214BE">
            <w:pPr>
              <w:jc w:val="right"/>
            </w:pPr>
            <w:r>
              <w:t>23.7%</w:t>
            </w:r>
          </w:p>
        </w:tc>
        <w:tc>
          <w:tcPr>
            <w:tcW w:w="1827" w:type="dxa"/>
          </w:tcPr>
          <w:p w14:paraId="17912490" w14:textId="77777777" w:rsidR="009B6CA1" w:rsidRPr="009B6CA1" w:rsidRDefault="008214BE" w:rsidP="008214BE">
            <w:pPr>
              <w:jc w:val="right"/>
            </w:pPr>
            <w:r>
              <w:t>24.3%</w:t>
            </w:r>
          </w:p>
        </w:tc>
      </w:tr>
      <w:tr w:rsidR="009B6CA1" w:rsidRPr="009B6CA1" w14:paraId="233D57D2" w14:textId="77777777" w:rsidTr="000736D1">
        <w:tc>
          <w:tcPr>
            <w:tcW w:w="3005" w:type="dxa"/>
          </w:tcPr>
          <w:p w14:paraId="11368B9E" w14:textId="77777777" w:rsidR="009B6CA1" w:rsidRPr="009B6CA1" w:rsidRDefault="009B6CA1" w:rsidP="000736D1">
            <w:pPr>
              <w:pStyle w:val="NoSpacing"/>
            </w:pPr>
            <w:r w:rsidRPr="009B6CA1">
              <w:t xml:space="preserve">Metropolitan </w:t>
            </w:r>
          </w:p>
        </w:tc>
        <w:tc>
          <w:tcPr>
            <w:tcW w:w="1826" w:type="dxa"/>
          </w:tcPr>
          <w:p w14:paraId="7496F72D" w14:textId="77777777" w:rsidR="009B6CA1" w:rsidRPr="009B6CA1" w:rsidRDefault="008214BE" w:rsidP="008214BE">
            <w:pPr>
              <w:jc w:val="right"/>
            </w:pPr>
            <w:r>
              <w:t>23.2%</w:t>
            </w:r>
          </w:p>
        </w:tc>
        <w:tc>
          <w:tcPr>
            <w:tcW w:w="1827" w:type="dxa"/>
          </w:tcPr>
          <w:p w14:paraId="5E955DD3" w14:textId="77777777" w:rsidR="009B6CA1" w:rsidRPr="009B6CA1" w:rsidRDefault="008214BE" w:rsidP="008214BE">
            <w:pPr>
              <w:jc w:val="right"/>
            </w:pPr>
            <w:r>
              <w:t>22.8%</w:t>
            </w:r>
          </w:p>
        </w:tc>
      </w:tr>
      <w:tr w:rsidR="009B6CA1" w:rsidRPr="009B6CA1" w14:paraId="00AB2CAE" w14:textId="77777777" w:rsidTr="000736D1">
        <w:tc>
          <w:tcPr>
            <w:tcW w:w="3005" w:type="dxa"/>
          </w:tcPr>
          <w:p w14:paraId="035EE9E9" w14:textId="77777777" w:rsidR="009B6CA1" w:rsidRPr="009B6CA1" w:rsidRDefault="009B6CA1" w:rsidP="000736D1">
            <w:pPr>
              <w:pStyle w:val="NoSpacing"/>
            </w:pPr>
            <w:r w:rsidRPr="009B6CA1">
              <w:t>Regional</w:t>
            </w:r>
          </w:p>
        </w:tc>
        <w:tc>
          <w:tcPr>
            <w:tcW w:w="1826" w:type="dxa"/>
          </w:tcPr>
          <w:p w14:paraId="6B404238" w14:textId="77777777" w:rsidR="009B6CA1" w:rsidRPr="009B6CA1" w:rsidRDefault="008214BE" w:rsidP="008214BE">
            <w:pPr>
              <w:jc w:val="right"/>
            </w:pPr>
            <w:r>
              <w:t>23.7%</w:t>
            </w:r>
          </w:p>
        </w:tc>
        <w:tc>
          <w:tcPr>
            <w:tcW w:w="1827" w:type="dxa"/>
          </w:tcPr>
          <w:p w14:paraId="1B394F7D" w14:textId="77777777" w:rsidR="009B6CA1" w:rsidRPr="009B6CA1" w:rsidRDefault="008214BE" w:rsidP="008214BE">
            <w:pPr>
              <w:jc w:val="right"/>
            </w:pPr>
            <w:r>
              <w:t>25.2%</w:t>
            </w:r>
          </w:p>
        </w:tc>
      </w:tr>
      <w:tr w:rsidR="008214BE" w:rsidRPr="009B6CA1" w14:paraId="38BE3F72" w14:textId="77777777" w:rsidTr="000736D1">
        <w:tc>
          <w:tcPr>
            <w:tcW w:w="3005" w:type="dxa"/>
          </w:tcPr>
          <w:p w14:paraId="41DDC084" w14:textId="77777777" w:rsidR="008214BE" w:rsidRPr="009B6CA1" w:rsidRDefault="008214BE" w:rsidP="000736D1">
            <w:pPr>
              <w:pStyle w:val="NoSpacing"/>
            </w:pPr>
            <w:r>
              <w:t>Year 5</w:t>
            </w:r>
          </w:p>
        </w:tc>
        <w:tc>
          <w:tcPr>
            <w:tcW w:w="1826" w:type="dxa"/>
          </w:tcPr>
          <w:p w14:paraId="732F4F5C" w14:textId="77777777" w:rsidR="008214BE" w:rsidRDefault="008214BE" w:rsidP="008214BE">
            <w:pPr>
              <w:jc w:val="right"/>
            </w:pPr>
            <w:r>
              <w:t>33.2%</w:t>
            </w:r>
          </w:p>
        </w:tc>
        <w:tc>
          <w:tcPr>
            <w:tcW w:w="1827" w:type="dxa"/>
          </w:tcPr>
          <w:p w14:paraId="790465B1" w14:textId="77777777" w:rsidR="008214BE" w:rsidRPr="009B6CA1" w:rsidRDefault="008214BE" w:rsidP="008214BE">
            <w:pPr>
              <w:jc w:val="right"/>
            </w:pPr>
            <w:r>
              <w:t>31.4%</w:t>
            </w:r>
          </w:p>
        </w:tc>
      </w:tr>
      <w:tr w:rsidR="009B6CA1" w:rsidRPr="009B6CA1" w14:paraId="067A0356" w14:textId="77777777" w:rsidTr="000736D1">
        <w:tc>
          <w:tcPr>
            <w:tcW w:w="3005" w:type="dxa"/>
          </w:tcPr>
          <w:p w14:paraId="7594D3E6" w14:textId="77777777" w:rsidR="009B6CA1" w:rsidRPr="009B6CA1" w:rsidRDefault="009B6CA1" w:rsidP="000736D1">
            <w:pPr>
              <w:pStyle w:val="NoSpacing"/>
            </w:pPr>
            <w:r w:rsidRPr="009B6CA1">
              <w:t>Year 8</w:t>
            </w:r>
          </w:p>
        </w:tc>
        <w:tc>
          <w:tcPr>
            <w:tcW w:w="1826" w:type="dxa"/>
          </w:tcPr>
          <w:p w14:paraId="69921670" w14:textId="77777777" w:rsidR="009B6CA1" w:rsidRPr="009B6CA1" w:rsidRDefault="008214BE" w:rsidP="008214BE">
            <w:pPr>
              <w:jc w:val="right"/>
            </w:pPr>
            <w:r>
              <w:t>19.8%</w:t>
            </w:r>
          </w:p>
        </w:tc>
        <w:tc>
          <w:tcPr>
            <w:tcW w:w="1827" w:type="dxa"/>
          </w:tcPr>
          <w:p w14:paraId="2473B881" w14:textId="77777777" w:rsidR="009B6CA1" w:rsidRPr="009B6CA1" w:rsidRDefault="008214BE" w:rsidP="008214BE">
            <w:pPr>
              <w:jc w:val="right"/>
            </w:pPr>
            <w:r>
              <w:t>21.0%</w:t>
            </w:r>
          </w:p>
        </w:tc>
      </w:tr>
      <w:tr w:rsidR="009B6CA1" w:rsidRPr="009B6CA1" w14:paraId="68E0580B" w14:textId="77777777" w:rsidTr="008214BE">
        <w:trPr>
          <w:trHeight w:val="77"/>
        </w:trPr>
        <w:tc>
          <w:tcPr>
            <w:tcW w:w="3005" w:type="dxa"/>
          </w:tcPr>
          <w:p w14:paraId="11DE9EE3" w14:textId="77777777" w:rsidR="009B6CA1" w:rsidRPr="009B6CA1" w:rsidRDefault="009B6CA1" w:rsidP="000736D1">
            <w:pPr>
              <w:pStyle w:val="NoSpacing"/>
            </w:pPr>
            <w:r w:rsidRPr="009B6CA1">
              <w:t>Year 11</w:t>
            </w:r>
          </w:p>
        </w:tc>
        <w:tc>
          <w:tcPr>
            <w:tcW w:w="1826" w:type="dxa"/>
          </w:tcPr>
          <w:p w14:paraId="24821720" w14:textId="77777777" w:rsidR="009B6CA1" w:rsidRPr="009B6CA1" w:rsidRDefault="008214BE" w:rsidP="008214BE">
            <w:pPr>
              <w:jc w:val="right"/>
            </w:pPr>
            <w:r>
              <w:t>12.5%</w:t>
            </w:r>
          </w:p>
        </w:tc>
        <w:tc>
          <w:tcPr>
            <w:tcW w:w="1827" w:type="dxa"/>
          </w:tcPr>
          <w:p w14:paraId="2DBDE3FE" w14:textId="77777777" w:rsidR="009B6CA1" w:rsidRPr="009B6CA1" w:rsidRDefault="008214BE" w:rsidP="008214BE">
            <w:pPr>
              <w:jc w:val="right"/>
            </w:pPr>
            <w:r>
              <w:t>11.9%</w:t>
            </w:r>
          </w:p>
        </w:tc>
      </w:tr>
    </w:tbl>
    <w:p w14:paraId="019E96DC" w14:textId="77777777" w:rsidR="009B6CA1" w:rsidRDefault="009B6CA1" w:rsidP="009957EE"/>
    <w:p w14:paraId="3C0E28E0" w14:textId="77777777" w:rsidR="009957EE" w:rsidRDefault="009957EE" w:rsidP="009957EE">
      <w:pPr>
        <w:pStyle w:val="Heading2"/>
      </w:pPr>
      <w:bookmarkStart w:id="9" w:name="_Toc19111712"/>
      <w:r>
        <w:lastRenderedPageBreak/>
        <w:t>Electronic media use</w:t>
      </w:r>
      <w:bookmarkEnd w:id="9"/>
    </w:p>
    <w:p w14:paraId="0642E0A3" w14:textId="14C999C6" w:rsidR="009957EE" w:rsidRPr="009478A4" w:rsidRDefault="009957EE" w:rsidP="009957EE">
      <w:r w:rsidRPr="009478A4">
        <w:t>Research also suggests a strong relationship between sedentary behaviour/sitting time and negative health outcome indicators, including the risk of chronic disease and obesity.</w:t>
      </w:r>
      <w:r>
        <w:rPr>
          <w:rStyle w:val="EndnoteReference"/>
        </w:rPr>
        <w:endnoteReference w:id="4"/>
      </w:r>
      <w:r w:rsidRPr="009478A4">
        <w:t xml:space="preserve"> </w:t>
      </w:r>
      <w:r>
        <w:t xml:space="preserve">Use of electronic media for entertainment is commonly used as a measure of sedentary behaviour as the adverse health impacts of sedentary behaviour are often strongly associated with ‘screen time’. </w:t>
      </w:r>
      <w:r w:rsidRPr="009478A4">
        <w:t xml:space="preserve">National Sedentary Behaviour </w:t>
      </w:r>
      <w:proofErr w:type="spellStart"/>
      <w:r w:rsidRPr="009478A4">
        <w:t>Guidelines</w:t>
      </w:r>
      <w:r w:rsidRPr="009478A4">
        <w:rPr>
          <w:sz w:val="24"/>
          <w:szCs w:val="24"/>
          <w:vertAlign w:val="superscript"/>
        </w:rPr>
        <w:t>iii</w:t>
      </w:r>
      <w:proofErr w:type="spellEnd"/>
      <w:r w:rsidRPr="009478A4">
        <w:t xml:space="preserve"> recommend that young people limit the use of electronic media for entertainment (for example, television, seated electronic games and computer use) to no more than two hours a day.</w:t>
      </w:r>
      <w:r>
        <w:t xml:space="preserve"> In addition to adverse physical health outcomes, sedentary behaviour for longer than two hours a day is associated with lower self-esteem, poor prosocial behaviour and decreased</w:t>
      </w:r>
      <w:r w:rsidR="004B3F12">
        <w:t xml:space="preserve"> academic achievement in school-</w:t>
      </w:r>
      <w:r>
        <w:t>aged children and young people.</w:t>
      </w:r>
      <w:r>
        <w:rPr>
          <w:rStyle w:val="EndnoteReference"/>
        </w:rPr>
        <w:endnoteReference w:id="5"/>
      </w:r>
      <w:r>
        <w:t xml:space="preserve"> </w:t>
      </w:r>
    </w:p>
    <w:p w14:paraId="03FB8AAA" w14:textId="77777777" w:rsidR="009957EE" w:rsidRPr="009478A4" w:rsidRDefault="009957EE" w:rsidP="009957EE">
      <w:r w:rsidRPr="009478A4">
        <w:t>The survey found that around two in three students exceeded the national recommendations for electronic m</w:t>
      </w:r>
      <w:r>
        <w:t>edia use, of 2 hours per day (64</w:t>
      </w:r>
      <w:r w:rsidRPr="009478A4">
        <w:t xml:space="preserve"> per cent). Males (</w:t>
      </w:r>
      <w:r>
        <w:t>68</w:t>
      </w:r>
      <w:r w:rsidRPr="009478A4">
        <w:t xml:space="preserve"> per cent) were more likely to exceed the guidelines than females (6</w:t>
      </w:r>
      <w:r>
        <w:t>1</w:t>
      </w:r>
      <w:r w:rsidRPr="009478A4">
        <w:t xml:space="preserve"> per cent). The proportion of students exceeding the guidelines increased markedly with year level, from 5</w:t>
      </w:r>
      <w:r>
        <w:t>1</w:t>
      </w:r>
      <w:r w:rsidRPr="009478A4">
        <w:t xml:space="preserve"> per cent in Year 5, to 7</w:t>
      </w:r>
      <w:r>
        <w:t>2</w:t>
      </w:r>
      <w:r w:rsidRPr="009478A4">
        <w:t xml:space="preserve"> per cent in Year 8, and </w:t>
      </w:r>
      <w:r>
        <w:t>78</w:t>
      </w:r>
      <w:r w:rsidRPr="009478A4">
        <w:t xml:space="preserve"> per cent in Year 11.</w:t>
      </w:r>
    </w:p>
    <w:p w14:paraId="64034B1C" w14:textId="77777777" w:rsidR="009957EE" w:rsidRDefault="009957EE" w:rsidP="009957EE">
      <w:pPr>
        <w:pStyle w:val="Heading2"/>
      </w:pPr>
      <w:bookmarkStart w:id="10" w:name="_Toc19111713"/>
      <w:r>
        <w:t>Healthy eating</w:t>
      </w:r>
      <w:bookmarkEnd w:id="10"/>
    </w:p>
    <w:p w14:paraId="6D656994" w14:textId="77777777" w:rsidR="00485278" w:rsidRPr="009478A4" w:rsidRDefault="00485278" w:rsidP="00485278">
      <w:r w:rsidRPr="009478A4">
        <w:t xml:space="preserve">The National Health and Medical Research Council’s (NHMRC) Australian Dietary Guidelines give advice on eating for health and wellbeing, based on scientific evidence. </w:t>
      </w:r>
      <w:r>
        <w:t>It</w:t>
      </w:r>
      <w:r w:rsidRPr="009478A4">
        <w:t xml:space="preserve"> describe</w:t>
      </w:r>
      <w:r>
        <w:t>s</w:t>
      </w:r>
      <w:r w:rsidRPr="009478A4">
        <w:t xml:space="preserve"> the best approach to eating for a long and healthy life, including recommended servings of each of the five food groups for children and adults.</w:t>
      </w:r>
      <w:r>
        <w:t xml:space="preserve"> </w:t>
      </w:r>
      <w:r w:rsidRPr="009478A4">
        <w:t>For students covered by the survey, the recommended daily int</w:t>
      </w:r>
      <w:r>
        <w:t>ake of fruit and vegetables is two</w:t>
      </w:r>
      <w:r w:rsidRPr="009478A4">
        <w:t xml:space="preserve"> servings of fruit, and </w:t>
      </w:r>
      <w:r>
        <w:t>five</w:t>
      </w:r>
      <w:r w:rsidRPr="009478A4">
        <w:t xml:space="preserve"> to </w:t>
      </w:r>
      <w:r>
        <w:t>five and a half</w:t>
      </w:r>
      <w:r w:rsidRPr="009478A4">
        <w:t xml:space="preserve"> servings of vegetables</w:t>
      </w:r>
      <w:r w:rsidRPr="00EE0F00">
        <w:rPr>
          <w:rStyle w:val="EndnoteReference"/>
          <w:rFonts w:cs="Arial"/>
          <w:sz w:val="24"/>
          <w:szCs w:val="24"/>
          <w:vertAlign w:val="superscript"/>
        </w:rPr>
        <w:endnoteReference w:id="6"/>
      </w:r>
      <w:r>
        <w:t>.</w:t>
      </w:r>
    </w:p>
    <w:p w14:paraId="49336CC5" w14:textId="1E9F2AF6" w:rsidR="00485278" w:rsidRPr="00E82F16" w:rsidRDefault="00485278" w:rsidP="00485278">
      <w:r w:rsidRPr="009478A4">
        <w:t>Around two in three students met the NHMRC fruit intake guidelines (67 per cent). This proportion was lower for males (64 per cent) compared to females (7</w:t>
      </w:r>
      <w:r>
        <w:t>1</w:t>
      </w:r>
      <w:r w:rsidRPr="009478A4">
        <w:t xml:space="preserve"> per cent</w:t>
      </w:r>
      <w:proofErr w:type="gramStart"/>
      <w:r w:rsidRPr="009478A4">
        <w:t>), and</w:t>
      </w:r>
      <w:proofErr w:type="gramEnd"/>
      <w:r w:rsidRPr="009478A4">
        <w:t xml:space="preserve"> declined with year level from 7</w:t>
      </w:r>
      <w:r>
        <w:t>6</w:t>
      </w:r>
      <w:r w:rsidRPr="009478A4">
        <w:t xml:space="preserve"> per cent in Year 5, to 64 per cent in Year 8 and 5</w:t>
      </w:r>
      <w:r>
        <w:t>6</w:t>
      </w:r>
      <w:r w:rsidRPr="009478A4">
        <w:t xml:space="preserve"> per cent in Year 11.</w:t>
      </w:r>
      <w:r>
        <w:t xml:space="preserve"> </w:t>
      </w:r>
      <w:r w:rsidRPr="00E82F16">
        <w:t xml:space="preserve">Students living in couple parent families were more likely to meet fruit intake guidelines (70 per cent) than students from </w:t>
      </w:r>
      <w:r w:rsidR="00C447BB">
        <w:t>one parent</w:t>
      </w:r>
      <w:r w:rsidRPr="00E82F16">
        <w:t xml:space="preserve"> families (63 per cent). </w:t>
      </w:r>
    </w:p>
    <w:p w14:paraId="54E09D21" w14:textId="77777777" w:rsidR="00485278" w:rsidRPr="0097641D" w:rsidRDefault="00485278" w:rsidP="00485278">
      <w:r w:rsidRPr="009478A4">
        <w:t xml:space="preserve">Only a </w:t>
      </w:r>
      <w:r>
        <w:t>small proportion</w:t>
      </w:r>
      <w:r w:rsidRPr="009478A4">
        <w:t xml:space="preserve"> of students met the NHMRC vegetable intake guidelines (13 per cent), and this varied little by gender or family type. There was some decline with year level, from 16 per cent in Year 5, to 1</w:t>
      </w:r>
      <w:r>
        <w:t>2</w:t>
      </w:r>
      <w:r w:rsidRPr="009478A4">
        <w:t xml:space="preserve"> per cent in Year 8 and 9 per cent in Year 11.</w:t>
      </w:r>
    </w:p>
    <w:p w14:paraId="47F8D37A" w14:textId="77777777" w:rsidR="00485278" w:rsidRDefault="00485278" w:rsidP="00485278">
      <w:pPr>
        <w:pStyle w:val="Heading2"/>
      </w:pPr>
      <w:bookmarkStart w:id="11" w:name="_Toc19111714"/>
      <w:r>
        <w:t>Oral health</w:t>
      </w:r>
      <w:bookmarkEnd w:id="11"/>
    </w:p>
    <w:p w14:paraId="2FD5DD04" w14:textId="77777777" w:rsidR="00485278" w:rsidRPr="009478A4" w:rsidRDefault="00485278" w:rsidP="00485278">
      <w:r>
        <w:t xml:space="preserve">Just over </w:t>
      </w:r>
      <w:r w:rsidRPr="009478A4">
        <w:t>two in three students brushed their teeth at least twice a day (6</w:t>
      </w:r>
      <w:r>
        <w:t>8</w:t>
      </w:r>
      <w:r w:rsidRPr="009478A4">
        <w:t xml:space="preserve"> per cent), and females were more likely than males to brush twice a day or more (7</w:t>
      </w:r>
      <w:r>
        <w:t>6</w:t>
      </w:r>
      <w:r w:rsidRPr="009478A4">
        <w:t xml:space="preserve"> per cent compared to </w:t>
      </w:r>
      <w:r>
        <w:t>60</w:t>
      </w:r>
      <w:r w:rsidRPr="009478A4">
        <w:t xml:space="preserve"> per cent of males).</w:t>
      </w:r>
    </w:p>
    <w:p w14:paraId="3A8CB94C" w14:textId="3F25E4FD" w:rsidR="00485278" w:rsidRDefault="00485278" w:rsidP="00485278">
      <w:r w:rsidRPr="009478A4">
        <w:t xml:space="preserve">Students from </w:t>
      </w:r>
      <w:r w:rsidR="00C447BB">
        <w:t>one parent</w:t>
      </w:r>
      <w:r w:rsidRPr="009478A4">
        <w:t xml:space="preserve"> families were less likely to brush their teeth twice a day or more (</w:t>
      </w:r>
      <w:r>
        <w:t>64</w:t>
      </w:r>
      <w:r w:rsidRPr="009478A4">
        <w:t xml:space="preserve"> per cent) </w:t>
      </w:r>
      <w:r w:rsidR="004B3F12">
        <w:t>than</w:t>
      </w:r>
      <w:r w:rsidRPr="009478A4">
        <w:t xml:space="preserve"> those from couple families (</w:t>
      </w:r>
      <w:r>
        <w:t>70</w:t>
      </w:r>
      <w:r w:rsidRPr="009478A4">
        <w:t xml:space="preserve"> per cent).</w:t>
      </w:r>
    </w:p>
    <w:p w14:paraId="43AD6017" w14:textId="77777777" w:rsidR="00485278" w:rsidRDefault="00485278" w:rsidP="00485278">
      <w:r>
        <w:br w:type="page"/>
      </w:r>
    </w:p>
    <w:p w14:paraId="6D4C3722" w14:textId="77777777" w:rsidR="00485278" w:rsidRDefault="00485278" w:rsidP="00485278">
      <w:pPr>
        <w:pStyle w:val="Heading1"/>
      </w:pPr>
      <w:bookmarkStart w:id="12" w:name="_Toc19111715"/>
      <w:r>
        <w:lastRenderedPageBreak/>
        <w:t>Risky health behaviours</w:t>
      </w:r>
      <w:bookmarkEnd w:id="12"/>
    </w:p>
    <w:p w14:paraId="1FEBF8F5" w14:textId="77777777" w:rsidR="00485278" w:rsidRDefault="00485278" w:rsidP="00485278">
      <w:pPr>
        <w:pStyle w:val="Heading2"/>
      </w:pPr>
      <w:bookmarkStart w:id="13" w:name="_Toc19111716"/>
      <w:r>
        <w:t>Sexual activity</w:t>
      </w:r>
      <w:bookmarkEnd w:id="13"/>
    </w:p>
    <w:p w14:paraId="3ABA8E2B" w14:textId="77777777" w:rsidR="00485278" w:rsidRPr="009478A4" w:rsidRDefault="00485278" w:rsidP="00485278">
      <w:r w:rsidRPr="009478A4">
        <w:t>Sexual intercourse before the age of 16 years is associated with l</w:t>
      </w:r>
      <w:r>
        <w:t xml:space="preserve">ower use of contraception, more </w:t>
      </w:r>
      <w:r w:rsidRPr="009478A4">
        <w:t>sexual partners, a higher risk of sexually transmitted infections and teenage pregnancy</w:t>
      </w:r>
      <w:r w:rsidRPr="00EA4DBE">
        <w:rPr>
          <w:vertAlign w:val="superscript"/>
        </w:rPr>
        <w:endnoteReference w:id="7"/>
      </w:r>
      <w:r>
        <w:t>.</w:t>
      </w:r>
    </w:p>
    <w:p w14:paraId="18475565" w14:textId="4463A354" w:rsidR="00485278" w:rsidRPr="009478A4" w:rsidRDefault="006C045E" w:rsidP="00485278">
      <w:r w:rsidRPr="00E306CE">
        <w:rPr>
          <w:rFonts w:cs="Arial"/>
        </w:rPr>
        <w:t xml:space="preserve">Fewer than one in six students in Years 8 and 11 (14 per cent) </w:t>
      </w:r>
      <w:r>
        <w:rPr>
          <w:rFonts w:cs="Arial"/>
        </w:rPr>
        <w:t xml:space="preserve">reported having had sex </w:t>
      </w:r>
      <w:r w:rsidRPr="00E306CE">
        <w:rPr>
          <w:rFonts w:cs="Arial"/>
        </w:rPr>
        <w:t>and this was driven by Year 11 results (26 per cent).</w:t>
      </w:r>
    </w:p>
    <w:p w14:paraId="03A3BFA3" w14:textId="2EB1DD28" w:rsidR="00485278" w:rsidRPr="009478A4" w:rsidRDefault="00485278" w:rsidP="00485278">
      <w:r w:rsidRPr="009478A4">
        <w:t xml:space="preserve">A significantly higher proportion of young people in </w:t>
      </w:r>
      <w:r w:rsidR="00C447BB">
        <w:t>one parent</w:t>
      </w:r>
      <w:r w:rsidRPr="009478A4">
        <w:t xml:space="preserve"> families had had sex (</w:t>
      </w:r>
      <w:r>
        <w:t>19</w:t>
      </w:r>
      <w:r w:rsidRPr="009478A4">
        <w:t xml:space="preserve"> per cent) compared to young people in couple families (</w:t>
      </w:r>
      <w:r>
        <w:t>12</w:t>
      </w:r>
      <w:r w:rsidRPr="009478A4">
        <w:t xml:space="preserve"> per cent). Students from English-speaking backgrounds were also more likely to have had sex than those from language backgrounds other than English (</w:t>
      </w:r>
      <w:r>
        <w:t>15</w:t>
      </w:r>
      <w:r w:rsidRPr="009478A4">
        <w:t xml:space="preserve"> per cent compared to </w:t>
      </w:r>
      <w:r>
        <w:t>11</w:t>
      </w:r>
      <w:r w:rsidRPr="009478A4">
        <w:t xml:space="preserve"> per cent). </w:t>
      </w:r>
      <w:r>
        <w:t xml:space="preserve">Students from regional Victoria were more likely to have had sex than their peers in metropolitan areas (20 per cent compared to 13 per cent). </w:t>
      </w:r>
    </w:p>
    <w:p w14:paraId="1DFFBD4D" w14:textId="77777777" w:rsidR="006C045E" w:rsidRDefault="006C045E" w:rsidP="008214BE">
      <w:r w:rsidRPr="006C045E">
        <w:t>More than one in four (26 per cent) sexually active Year 8 and 11 students reported always using a condom when having sex. A similar proportion of male and female students reported having had sex (14 per cent for both cohorts).  Students from language backgrounds other than English were less likely to report always using a condom (18 per cent) than those from an English-speaking background (30 per cent). Students in regional Victoria were more likely to report always using a condom than their peers in metropolitan Victoria (33 per cent compared to 22 per cent). Year 11 students were also more likely to report always using a condom than Year 8 students (30 per cent compared to 15 per cent).</w:t>
      </w:r>
    </w:p>
    <w:p w14:paraId="4099CE5A" w14:textId="1339730F" w:rsidR="008214BE" w:rsidRPr="008214BE" w:rsidRDefault="008214BE" w:rsidP="008214BE">
      <w:pPr>
        <w:rPr>
          <w:i/>
          <w:sz w:val="20"/>
        </w:rPr>
      </w:pPr>
      <w:r w:rsidRPr="008214BE">
        <w:rPr>
          <w:i/>
          <w:sz w:val="20"/>
        </w:rPr>
        <w:t xml:space="preserve">Table </w:t>
      </w:r>
      <w:r w:rsidRPr="008214BE">
        <w:rPr>
          <w:i/>
          <w:sz w:val="20"/>
        </w:rPr>
        <w:fldChar w:fldCharType="begin"/>
      </w:r>
      <w:r w:rsidRPr="008214BE">
        <w:rPr>
          <w:i/>
          <w:sz w:val="20"/>
        </w:rPr>
        <w:instrText xml:space="preserve"> SEQ Table \* ARABIC </w:instrText>
      </w:r>
      <w:r w:rsidRPr="008214BE">
        <w:rPr>
          <w:i/>
          <w:sz w:val="20"/>
        </w:rPr>
        <w:fldChar w:fldCharType="separate"/>
      </w:r>
      <w:r w:rsidR="005F509B">
        <w:rPr>
          <w:i/>
          <w:noProof/>
          <w:sz w:val="20"/>
        </w:rPr>
        <w:t>4</w:t>
      </w:r>
      <w:r w:rsidRPr="008214BE">
        <w:rPr>
          <w:i/>
          <w:sz w:val="20"/>
        </w:rPr>
        <w:fldChar w:fldCharType="end"/>
      </w:r>
      <w:r w:rsidRPr="008214BE">
        <w:rPr>
          <w:i/>
          <w:sz w:val="20"/>
        </w:rPr>
        <w:t xml:space="preserve"> Proportion of students who have ever had sex, by cohort, 2016 &amp; 2018</w:t>
      </w:r>
    </w:p>
    <w:tbl>
      <w:tblPr>
        <w:tblStyle w:val="TableGrid"/>
        <w:tblW w:w="0" w:type="auto"/>
        <w:tblLook w:val="04A0" w:firstRow="1" w:lastRow="0" w:firstColumn="1" w:lastColumn="0" w:noHBand="0" w:noVBand="1"/>
        <w:tblCaption w:val="Proportion of students who have ever had sex, by cohort, 2016 and 2018"/>
        <w:tblDescription w:val="This table sets out the proportion of Victorian students in Year 8 and 11 who reported ever having had sex in 2016 and 2018, by cohort. The table provides the proportion of students statewide, in couple parent families or single parent families, females, males, students from a language background other than English and students from English-speaking backgrounds, students in metropolitan and regional Victoria, and students in Year 8 and Year 11. "/>
      </w:tblPr>
      <w:tblGrid>
        <w:gridCol w:w="3005"/>
        <w:gridCol w:w="1826"/>
        <w:gridCol w:w="1827"/>
      </w:tblGrid>
      <w:tr w:rsidR="008214BE" w:rsidRPr="009B6CA1" w14:paraId="464FCD3E" w14:textId="77777777" w:rsidTr="005F509B">
        <w:trPr>
          <w:tblHeader/>
        </w:trPr>
        <w:tc>
          <w:tcPr>
            <w:tcW w:w="3005" w:type="dxa"/>
          </w:tcPr>
          <w:p w14:paraId="678E367F" w14:textId="77777777" w:rsidR="008214BE" w:rsidRPr="009B6CA1" w:rsidRDefault="008214BE" w:rsidP="000736D1">
            <w:pPr>
              <w:pStyle w:val="NoSpacing"/>
              <w:rPr>
                <w:b/>
              </w:rPr>
            </w:pPr>
            <w:r w:rsidRPr="009B6CA1">
              <w:rPr>
                <w:b/>
              </w:rPr>
              <w:t>Cohort</w:t>
            </w:r>
          </w:p>
        </w:tc>
        <w:tc>
          <w:tcPr>
            <w:tcW w:w="1826" w:type="dxa"/>
          </w:tcPr>
          <w:p w14:paraId="55CDA43D" w14:textId="77777777" w:rsidR="008214BE" w:rsidRPr="009B6CA1" w:rsidRDefault="008214BE" w:rsidP="000736D1">
            <w:pPr>
              <w:pStyle w:val="NoSpacing"/>
              <w:jc w:val="center"/>
              <w:rPr>
                <w:b/>
              </w:rPr>
            </w:pPr>
            <w:r w:rsidRPr="009B6CA1">
              <w:rPr>
                <w:b/>
              </w:rPr>
              <w:t>2016</w:t>
            </w:r>
          </w:p>
        </w:tc>
        <w:tc>
          <w:tcPr>
            <w:tcW w:w="1827" w:type="dxa"/>
          </w:tcPr>
          <w:p w14:paraId="4D22ACE6" w14:textId="77777777" w:rsidR="008214BE" w:rsidRPr="009B6CA1" w:rsidRDefault="008214BE" w:rsidP="000736D1">
            <w:pPr>
              <w:pStyle w:val="NoSpacing"/>
              <w:jc w:val="center"/>
              <w:rPr>
                <w:b/>
              </w:rPr>
            </w:pPr>
            <w:r w:rsidRPr="009B6CA1">
              <w:rPr>
                <w:b/>
              </w:rPr>
              <w:t>2018</w:t>
            </w:r>
          </w:p>
        </w:tc>
      </w:tr>
      <w:tr w:rsidR="008214BE" w:rsidRPr="009B6CA1" w14:paraId="6CFFD249" w14:textId="77777777" w:rsidTr="000736D1">
        <w:tc>
          <w:tcPr>
            <w:tcW w:w="3005" w:type="dxa"/>
          </w:tcPr>
          <w:p w14:paraId="7E81AD9E" w14:textId="77777777" w:rsidR="008214BE" w:rsidRPr="008214BE" w:rsidRDefault="008214BE" w:rsidP="000736D1">
            <w:pPr>
              <w:pStyle w:val="NoSpacing"/>
            </w:pPr>
            <w:proofErr w:type="spellStart"/>
            <w:r>
              <w:t>Statewide</w:t>
            </w:r>
            <w:proofErr w:type="spellEnd"/>
            <w:r>
              <w:t xml:space="preserve"> </w:t>
            </w:r>
          </w:p>
        </w:tc>
        <w:tc>
          <w:tcPr>
            <w:tcW w:w="1826" w:type="dxa"/>
          </w:tcPr>
          <w:p w14:paraId="4FEE8E65" w14:textId="77777777" w:rsidR="008214BE" w:rsidRPr="000736D1" w:rsidRDefault="000736D1" w:rsidP="000736D1">
            <w:pPr>
              <w:pStyle w:val="NoSpacing"/>
              <w:jc w:val="right"/>
            </w:pPr>
            <w:r w:rsidRPr="000736D1">
              <w:t>15.1%</w:t>
            </w:r>
          </w:p>
        </w:tc>
        <w:tc>
          <w:tcPr>
            <w:tcW w:w="1827" w:type="dxa"/>
          </w:tcPr>
          <w:p w14:paraId="0DD9863F" w14:textId="77777777" w:rsidR="008214BE" w:rsidRPr="000736D1" w:rsidRDefault="000736D1" w:rsidP="000736D1">
            <w:pPr>
              <w:pStyle w:val="NoSpacing"/>
              <w:jc w:val="right"/>
            </w:pPr>
            <w:r>
              <w:t>14.3%</w:t>
            </w:r>
          </w:p>
        </w:tc>
      </w:tr>
      <w:tr w:rsidR="008214BE" w:rsidRPr="009B6CA1" w14:paraId="24980A26" w14:textId="77777777" w:rsidTr="000736D1">
        <w:tc>
          <w:tcPr>
            <w:tcW w:w="3005" w:type="dxa"/>
          </w:tcPr>
          <w:p w14:paraId="2D332B96" w14:textId="77777777" w:rsidR="008214BE" w:rsidRPr="009B6CA1" w:rsidRDefault="008214BE" w:rsidP="000736D1">
            <w:pPr>
              <w:pStyle w:val="NoSpacing"/>
            </w:pPr>
            <w:r w:rsidRPr="009B6CA1">
              <w:t>Couple family</w:t>
            </w:r>
          </w:p>
        </w:tc>
        <w:tc>
          <w:tcPr>
            <w:tcW w:w="1826" w:type="dxa"/>
          </w:tcPr>
          <w:p w14:paraId="1F1BF714" w14:textId="77777777" w:rsidR="008214BE" w:rsidRPr="009B6CA1" w:rsidRDefault="000736D1" w:rsidP="000736D1">
            <w:pPr>
              <w:pStyle w:val="NoSpacing"/>
              <w:jc w:val="right"/>
            </w:pPr>
            <w:r>
              <w:t>13.1%</w:t>
            </w:r>
          </w:p>
        </w:tc>
        <w:tc>
          <w:tcPr>
            <w:tcW w:w="1827" w:type="dxa"/>
          </w:tcPr>
          <w:p w14:paraId="0EE28F16" w14:textId="77777777" w:rsidR="008214BE" w:rsidRPr="009B6CA1" w:rsidRDefault="000736D1" w:rsidP="000736D1">
            <w:pPr>
              <w:pStyle w:val="NoSpacing"/>
              <w:jc w:val="right"/>
            </w:pPr>
            <w:r>
              <w:t>12.3%</w:t>
            </w:r>
          </w:p>
        </w:tc>
      </w:tr>
      <w:tr w:rsidR="008214BE" w:rsidRPr="009B6CA1" w14:paraId="1C7C4324" w14:textId="77777777" w:rsidTr="000736D1">
        <w:tc>
          <w:tcPr>
            <w:tcW w:w="3005" w:type="dxa"/>
          </w:tcPr>
          <w:p w14:paraId="77CA0E65" w14:textId="19463186" w:rsidR="008214BE" w:rsidRPr="009B6CA1" w:rsidRDefault="00C447BB" w:rsidP="000736D1">
            <w:pPr>
              <w:pStyle w:val="NoSpacing"/>
            </w:pPr>
            <w:r>
              <w:t>One parent</w:t>
            </w:r>
            <w:r w:rsidR="008214BE" w:rsidRPr="009B6CA1">
              <w:t xml:space="preserve"> family</w:t>
            </w:r>
          </w:p>
        </w:tc>
        <w:tc>
          <w:tcPr>
            <w:tcW w:w="1826" w:type="dxa"/>
          </w:tcPr>
          <w:p w14:paraId="1D973A8B" w14:textId="77777777" w:rsidR="008214BE" w:rsidRPr="009B6CA1" w:rsidRDefault="000736D1" w:rsidP="000736D1">
            <w:pPr>
              <w:pStyle w:val="NoSpacing"/>
              <w:jc w:val="right"/>
            </w:pPr>
            <w:r>
              <w:t>21.2%</w:t>
            </w:r>
          </w:p>
        </w:tc>
        <w:tc>
          <w:tcPr>
            <w:tcW w:w="1827" w:type="dxa"/>
          </w:tcPr>
          <w:p w14:paraId="4DADB818" w14:textId="77777777" w:rsidR="008214BE" w:rsidRPr="009B6CA1" w:rsidRDefault="000736D1" w:rsidP="000736D1">
            <w:pPr>
              <w:pStyle w:val="NoSpacing"/>
              <w:jc w:val="right"/>
            </w:pPr>
            <w:r>
              <w:t>18.9%</w:t>
            </w:r>
          </w:p>
        </w:tc>
      </w:tr>
      <w:tr w:rsidR="008214BE" w:rsidRPr="009B6CA1" w14:paraId="54F96CEA" w14:textId="77777777" w:rsidTr="000736D1">
        <w:tc>
          <w:tcPr>
            <w:tcW w:w="3005" w:type="dxa"/>
          </w:tcPr>
          <w:p w14:paraId="66288E6C" w14:textId="77777777" w:rsidR="008214BE" w:rsidRPr="009B6CA1" w:rsidRDefault="008214BE" w:rsidP="000736D1">
            <w:pPr>
              <w:pStyle w:val="NoSpacing"/>
            </w:pPr>
            <w:r w:rsidRPr="009B6CA1">
              <w:t>Female</w:t>
            </w:r>
          </w:p>
        </w:tc>
        <w:tc>
          <w:tcPr>
            <w:tcW w:w="1826" w:type="dxa"/>
          </w:tcPr>
          <w:p w14:paraId="3CECB6FA" w14:textId="77777777" w:rsidR="008214BE" w:rsidRPr="009B6CA1" w:rsidRDefault="000736D1" w:rsidP="000736D1">
            <w:pPr>
              <w:pStyle w:val="NoSpacing"/>
              <w:jc w:val="right"/>
            </w:pPr>
            <w:r>
              <w:t>14.0%</w:t>
            </w:r>
          </w:p>
        </w:tc>
        <w:tc>
          <w:tcPr>
            <w:tcW w:w="1827" w:type="dxa"/>
          </w:tcPr>
          <w:p w14:paraId="60346451" w14:textId="77777777" w:rsidR="008214BE" w:rsidRPr="009B6CA1" w:rsidRDefault="000736D1" w:rsidP="000736D1">
            <w:pPr>
              <w:pStyle w:val="NoSpacing"/>
              <w:jc w:val="right"/>
            </w:pPr>
            <w:r>
              <w:t>13.8%</w:t>
            </w:r>
          </w:p>
        </w:tc>
      </w:tr>
      <w:tr w:rsidR="008214BE" w:rsidRPr="009B6CA1" w14:paraId="07EE321E" w14:textId="77777777" w:rsidTr="000736D1">
        <w:trPr>
          <w:trHeight w:val="77"/>
        </w:trPr>
        <w:tc>
          <w:tcPr>
            <w:tcW w:w="3005" w:type="dxa"/>
          </w:tcPr>
          <w:p w14:paraId="7FD41FA6" w14:textId="77777777" w:rsidR="008214BE" w:rsidRPr="009B6CA1" w:rsidRDefault="008214BE" w:rsidP="000736D1">
            <w:pPr>
              <w:pStyle w:val="NoSpacing"/>
            </w:pPr>
            <w:r w:rsidRPr="009B6CA1">
              <w:t>Male</w:t>
            </w:r>
          </w:p>
        </w:tc>
        <w:tc>
          <w:tcPr>
            <w:tcW w:w="1826" w:type="dxa"/>
          </w:tcPr>
          <w:p w14:paraId="07CF30EC" w14:textId="77777777" w:rsidR="008214BE" w:rsidRPr="009B6CA1" w:rsidRDefault="000736D1" w:rsidP="000736D1">
            <w:pPr>
              <w:pStyle w:val="NoSpacing"/>
              <w:jc w:val="right"/>
            </w:pPr>
            <w:r>
              <w:t>16.0%</w:t>
            </w:r>
          </w:p>
        </w:tc>
        <w:tc>
          <w:tcPr>
            <w:tcW w:w="1827" w:type="dxa"/>
          </w:tcPr>
          <w:p w14:paraId="32948CE6" w14:textId="77777777" w:rsidR="008214BE" w:rsidRPr="009B6CA1" w:rsidRDefault="000736D1" w:rsidP="000736D1">
            <w:pPr>
              <w:pStyle w:val="NoSpacing"/>
              <w:jc w:val="right"/>
            </w:pPr>
            <w:r>
              <w:t>13.5%</w:t>
            </w:r>
          </w:p>
        </w:tc>
      </w:tr>
      <w:tr w:rsidR="008214BE" w:rsidRPr="009B6CA1" w14:paraId="66C00166" w14:textId="77777777" w:rsidTr="000736D1">
        <w:tc>
          <w:tcPr>
            <w:tcW w:w="3005" w:type="dxa"/>
          </w:tcPr>
          <w:p w14:paraId="58056537" w14:textId="77777777" w:rsidR="008214BE" w:rsidRPr="009B6CA1" w:rsidRDefault="008214BE" w:rsidP="000736D1">
            <w:pPr>
              <w:pStyle w:val="NoSpacing"/>
            </w:pPr>
            <w:r w:rsidRPr="009B6CA1">
              <w:t>LBOTE</w:t>
            </w:r>
          </w:p>
        </w:tc>
        <w:tc>
          <w:tcPr>
            <w:tcW w:w="1826" w:type="dxa"/>
          </w:tcPr>
          <w:p w14:paraId="6208D149" w14:textId="77777777" w:rsidR="008214BE" w:rsidRPr="009B6CA1" w:rsidRDefault="000736D1" w:rsidP="000736D1">
            <w:pPr>
              <w:pStyle w:val="NoSpacing"/>
              <w:jc w:val="right"/>
            </w:pPr>
            <w:r>
              <w:t>11.3%</w:t>
            </w:r>
          </w:p>
        </w:tc>
        <w:tc>
          <w:tcPr>
            <w:tcW w:w="1827" w:type="dxa"/>
          </w:tcPr>
          <w:p w14:paraId="0751C35A" w14:textId="77777777" w:rsidR="008214BE" w:rsidRPr="009B6CA1" w:rsidRDefault="000736D1" w:rsidP="000736D1">
            <w:pPr>
              <w:pStyle w:val="NoSpacing"/>
              <w:jc w:val="right"/>
            </w:pPr>
            <w:r>
              <w:t>10.7%</w:t>
            </w:r>
          </w:p>
        </w:tc>
      </w:tr>
      <w:tr w:rsidR="008214BE" w:rsidRPr="009B6CA1" w14:paraId="631C1635" w14:textId="77777777" w:rsidTr="000736D1">
        <w:tc>
          <w:tcPr>
            <w:tcW w:w="3005" w:type="dxa"/>
          </w:tcPr>
          <w:p w14:paraId="6F029E9D" w14:textId="77777777" w:rsidR="008214BE" w:rsidRPr="009B6CA1" w:rsidRDefault="008214BE" w:rsidP="000736D1">
            <w:pPr>
              <w:pStyle w:val="NoSpacing"/>
            </w:pPr>
            <w:r w:rsidRPr="009B6CA1">
              <w:t>Not LBOTE</w:t>
            </w:r>
          </w:p>
        </w:tc>
        <w:tc>
          <w:tcPr>
            <w:tcW w:w="1826" w:type="dxa"/>
          </w:tcPr>
          <w:p w14:paraId="528BD0D7" w14:textId="77777777" w:rsidR="008214BE" w:rsidRPr="009B6CA1" w:rsidRDefault="000736D1" w:rsidP="000736D1">
            <w:pPr>
              <w:pStyle w:val="NoSpacing"/>
              <w:jc w:val="right"/>
            </w:pPr>
            <w:r>
              <w:t>15.7%</w:t>
            </w:r>
          </w:p>
        </w:tc>
        <w:tc>
          <w:tcPr>
            <w:tcW w:w="1827" w:type="dxa"/>
          </w:tcPr>
          <w:p w14:paraId="58D79FD8" w14:textId="77777777" w:rsidR="008214BE" w:rsidRPr="009B6CA1" w:rsidRDefault="000736D1" w:rsidP="000736D1">
            <w:pPr>
              <w:pStyle w:val="NoSpacing"/>
              <w:jc w:val="right"/>
            </w:pPr>
            <w:r>
              <w:t>15.3%</w:t>
            </w:r>
          </w:p>
        </w:tc>
      </w:tr>
      <w:tr w:rsidR="008214BE" w:rsidRPr="009B6CA1" w14:paraId="113748BE" w14:textId="77777777" w:rsidTr="000736D1">
        <w:tc>
          <w:tcPr>
            <w:tcW w:w="3005" w:type="dxa"/>
          </w:tcPr>
          <w:p w14:paraId="478CC8F1" w14:textId="77777777" w:rsidR="008214BE" w:rsidRPr="009B6CA1" w:rsidRDefault="008214BE" w:rsidP="000736D1">
            <w:pPr>
              <w:pStyle w:val="NoSpacing"/>
            </w:pPr>
            <w:r w:rsidRPr="009B6CA1">
              <w:t xml:space="preserve">Metropolitan </w:t>
            </w:r>
          </w:p>
        </w:tc>
        <w:tc>
          <w:tcPr>
            <w:tcW w:w="1826" w:type="dxa"/>
          </w:tcPr>
          <w:p w14:paraId="7F05AFA5" w14:textId="77777777" w:rsidR="008214BE" w:rsidRPr="009B6CA1" w:rsidRDefault="000736D1" w:rsidP="000736D1">
            <w:pPr>
              <w:pStyle w:val="NoSpacing"/>
              <w:jc w:val="right"/>
            </w:pPr>
            <w:r>
              <w:t>14.8%</w:t>
            </w:r>
          </w:p>
        </w:tc>
        <w:tc>
          <w:tcPr>
            <w:tcW w:w="1827" w:type="dxa"/>
          </w:tcPr>
          <w:p w14:paraId="183054F0" w14:textId="77777777" w:rsidR="008214BE" w:rsidRPr="009B6CA1" w:rsidRDefault="000736D1" w:rsidP="000736D1">
            <w:pPr>
              <w:pStyle w:val="NoSpacing"/>
              <w:jc w:val="right"/>
            </w:pPr>
            <w:r>
              <w:t>12.5%</w:t>
            </w:r>
          </w:p>
        </w:tc>
      </w:tr>
      <w:tr w:rsidR="008214BE" w:rsidRPr="009B6CA1" w14:paraId="7F0C91E5" w14:textId="77777777" w:rsidTr="000736D1">
        <w:tc>
          <w:tcPr>
            <w:tcW w:w="3005" w:type="dxa"/>
          </w:tcPr>
          <w:p w14:paraId="10EE546D" w14:textId="77777777" w:rsidR="008214BE" w:rsidRPr="009B6CA1" w:rsidRDefault="008214BE" w:rsidP="000736D1">
            <w:pPr>
              <w:pStyle w:val="NoSpacing"/>
            </w:pPr>
            <w:r w:rsidRPr="009B6CA1">
              <w:t>Regional</w:t>
            </w:r>
          </w:p>
        </w:tc>
        <w:tc>
          <w:tcPr>
            <w:tcW w:w="1826" w:type="dxa"/>
          </w:tcPr>
          <w:p w14:paraId="2229A44E" w14:textId="77777777" w:rsidR="008214BE" w:rsidRPr="009B6CA1" w:rsidRDefault="000736D1" w:rsidP="000736D1">
            <w:pPr>
              <w:pStyle w:val="NoSpacing"/>
              <w:jc w:val="right"/>
            </w:pPr>
            <w:r>
              <w:t>15.9%</w:t>
            </w:r>
          </w:p>
        </w:tc>
        <w:tc>
          <w:tcPr>
            <w:tcW w:w="1827" w:type="dxa"/>
          </w:tcPr>
          <w:p w14:paraId="3290FB7C" w14:textId="77777777" w:rsidR="008214BE" w:rsidRPr="009B6CA1" w:rsidRDefault="000736D1" w:rsidP="000736D1">
            <w:pPr>
              <w:pStyle w:val="NoSpacing"/>
              <w:jc w:val="right"/>
            </w:pPr>
            <w:r>
              <w:t>19.5%</w:t>
            </w:r>
          </w:p>
        </w:tc>
      </w:tr>
      <w:tr w:rsidR="008214BE" w:rsidRPr="009B6CA1" w14:paraId="1B0DC2C4" w14:textId="77777777" w:rsidTr="000736D1">
        <w:tc>
          <w:tcPr>
            <w:tcW w:w="3005" w:type="dxa"/>
          </w:tcPr>
          <w:p w14:paraId="2045F3D5" w14:textId="77777777" w:rsidR="008214BE" w:rsidRPr="009B6CA1" w:rsidRDefault="008214BE" w:rsidP="000736D1">
            <w:pPr>
              <w:pStyle w:val="NoSpacing"/>
            </w:pPr>
            <w:r w:rsidRPr="009B6CA1">
              <w:t>Year 8</w:t>
            </w:r>
          </w:p>
        </w:tc>
        <w:tc>
          <w:tcPr>
            <w:tcW w:w="1826" w:type="dxa"/>
          </w:tcPr>
          <w:p w14:paraId="36A7ECC0" w14:textId="77777777" w:rsidR="008214BE" w:rsidRPr="009B6CA1" w:rsidRDefault="000736D1" w:rsidP="000736D1">
            <w:pPr>
              <w:pStyle w:val="NoSpacing"/>
              <w:jc w:val="right"/>
            </w:pPr>
            <w:r>
              <w:t>5.6%</w:t>
            </w:r>
          </w:p>
        </w:tc>
        <w:tc>
          <w:tcPr>
            <w:tcW w:w="1827" w:type="dxa"/>
          </w:tcPr>
          <w:p w14:paraId="63324855" w14:textId="77777777" w:rsidR="008214BE" w:rsidRPr="009B6CA1" w:rsidRDefault="000736D1" w:rsidP="000736D1">
            <w:pPr>
              <w:pStyle w:val="NoSpacing"/>
              <w:jc w:val="right"/>
            </w:pPr>
            <w:r>
              <w:t>5.0%</w:t>
            </w:r>
          </w:p>
        </w:tc>
      </w:tr>
      <w:tr w:rsidR="008214BE" w:rsidRPr="009B6CA1" w14:paraId="173958B7" w14:textId="77777777" w:rsidTr="000736D1">
        <w:trPr>
          <w:trHeight w:val="77"/>
        </w:trPr>
        <w:tc>
          <w:tcPr>
            <w:tcW w:w="3005" w:type="dxa"/>
          </w:tcPr>
          <w:p w14:paraId="79F5A387" w14:textId="77777777" w:rsidR="008214BE" w:rsidRPr="009B6CA1" w:rsidRDefault="008214BE" w:rsidP="000736D1">
            <w:pPr>
              <w:pStyle w:val="NoSpacing"/>
            </w:pPr>
            <w:r w:rsidRPr="009B6CA1">
              <w:t>Year 11</w:t>
            </w:r>
          </w:p>
        </w:tc>
        <w:tc>
          <w:tcPr>
            <w:tcW w:w="1826" w:type="dxa"/>
          </w:tcPr>
          <w:p w14:paraId="5F8F7970" w14:textId="77777777" w:rsidR="008214BE" w:rsidRPr="009B6CA1" w:rsidRDefault="000736D1" w:rsidP="000736D1">
            <w:pPr>
              <w:pStyle w:val="NoSpacing"/>
              <w:jc w:val="right"/>
            </w:pPr>
            <w:r>
              <w:t>29.4%</w:t>
            </w:r>
          </w:p>
        </w:tc>
        <w:tc>
          <w:tcPr>
            <w:tcW w:w="1827" w:type="dxa"/>
          </w:tcPr>
          <w:p w14:paraId="1E32A038" w14:textId="77777777" w:rsidR="008214BE" w:rsidRPr="009B6CA1" w:rsidRDefault="000736D1" w:rsidP="000736D1">
            <w:pPr>
              <w:pStyle w:val="NoSpacing"/>
              <w:jc w:val="right"/>
            </w:pPr>
            <w:r>
              <w:t>26.2%</w:t>
            </w:r>
          </w:p>
        </w:tc>
      </w:tr>
    </w:tbl>
    <w:p w14:paraId="0E0D2C31" w14:textId="77777777" w:rsidR="008214BE" w:rsidRDefault="008214BE" w:rsidP="00485278"/>
    <w:p w14:paraId="2A6500C2" w14:textId="77777777" w:rsidR="00485278" w:rsidRDefault="00485278" w:rsidP="00485278">
      <w:pPr>
        <w:pStyle w:val="Heading2"/>
      </w:pPr>
      <w:bookmarkStart w:id="14" w:name="_Toc19111717"/>
      <w:r>
        <w:t>Smoking</w:t>
      </w:r>
      <w:bookmarkEnd w:id="14"/>
    </w:p>
    <w:p w14:paraId="7FDAEBB6" w14:textId="7E83C2B8" w:rsidR="00485278" w:rsidRPr="009478A4" w:rsidRDefault="00485278" w:rsidP="00485278">
      <w:r>
        <w:t>In 2018, 8 per cent of</w:t>
      </w:r>
      <w:r w:rsidRPr="009478A4">
        <w:t xml:space="preserve"> students in Years 5, 8 and</w:t>
      </w:r>
      <w:r>
        <w:t xml:space="preserve"> 11 had smoked cigarettes</w:t>
      </w:r>
      <w:r w:rsidRPr="009478A4">
        <w:t xml:space="preserve">, </w:t>
      </w:r>
      <w:r>
        <w:t>down from 10 per in 2016</w:t>
      </w:r>
      <w:r w:rsidRPr="009478A4">
        <w:t xml:space="preserve">. </w:t>
      </w:r>
    </w:p>
    <w:p w14:paraId="0C91B223" w14:textId="10420E1D" w:rsidR="00485278" w:rsidRPr="009478A4" w:rsidRDefault="00485278" w:rsidP="00485278">
      <w:r w:rsidRPr="009478A4">
        <w:t xml:space="preserve">The proportion of students </w:t>
      </w:r>
      <w:r>
        <w:t>who had smoked cigarettes</w:t>
      </w:r>
      <w:r w:rsidRPr="009478A4">
        <w:t xml:space="preserve"> increased markedly with year level, from 1 per cent in Year 5, to </w:t>
      </w:r>
      <w:r>
        <w:t>6</w:t>
      </w:r>
      <w:r w:rsidRPr="009478A4">
        <w:t xml:space="preserve"> per cent in Year 8, and </w:t>
      </w:r>
      <w:r>
        <w:t>23</w:t>
      </w:r>
      <w:r w:rsidRPr="009478A4">
        <w:t xml:space="preserve"> per cent in Year 11. </w:t>
      </w:r>
    </w:p>
    <w:p w14:paraId="4C6B967F" w14:textId="0E6AA065" w:rsidR="00485278" w:rsidRPr="00B4762E" w:rsidRDefault="00485278" w:rsidP="00485278">
      <w:r w:rsidRPr="009478A4">
        <w:t xml:space="preserve">Students from </w:t>
      </w:r>
      <w:r w:rsidR="00C447BB">
        <w:t>one parent</w:t>
      </w:r>
      <w:r w:rsidRPr="009478A4">
        <w:t xml:space="preserve"> families were more likely to have smoked cigarettes (</w:t>
      </w:r>
      <w:r>
        <w:t>14</w:t>
      </w:r>
      <w:r w:rsidRPr="009478A4">
        <w:t xml:space="preserve"> per cent) </w:t>
      </w:r>
      <w:r w:rsidR="0095059D">
        <w:t>than</w:t>
      </w:r>
      <w:r w:rsidRPr="009478A4">
        <w:t xml:space="preserve"> students from couple </w:t>
      </w:r>
      <w:r>
        <w:t xml:space="preserve">parent </w:t>
      </w:r>
      <w:r w:rsidRPr="009478A4">
        <w:t>families (</w:t>
      </w:r>
      <w:r>
        <w:t>7</w:t>
      </w:r>
      <w:r w:rsidRPr="009478A4">
        <w:t xml:space="preserve"> per cent).</w:t>
      </w:r>
    </w:p>
    <w:p w14:paraId="56795F4D" w14:textId="77777777" w:rsidR="00485278" w:rsidRDefault="00485278" w:rsidP="00485278">
      <w:pPr>
        <w:pStyle w:val="Heading2"/>
      </w:pPr>
      <w:bookmarkStart w:id="15" w:name="_Toc19111718"/>
      <w:r>
        <w:lastRenderedPageBreak/>
        <w:t>Alcohol</w:t>
      </w:r>
      <w:bookmarkEnd w:id="15"/>
      <w:r>
        <w:t xml:space="preserve"> </w:t>
      </w:r>
    </w:p>
    <w:p w14:paraId="73C24001" w14:textId="77777777" w:rsidR="00A37771" w:rsidRPr="00A37771" w:rsidRDefault="00A37771" w:rsidP="00A37771">
      <w:r w:rsidRPr="00A37771">
        <w:t>The National Health and Medical Research Council’s (NHMRC’s) Guidelines to Reduce Health Risks from Drinking Alcohol recommend that not drinking alcohol at all is the safest choice for young people under 18 years. Children under 15 years of age are at greatest risk of harm from drinking, and for this reason, not drinking alcohol is especially important</w:t>
      </w:r>
      <w:sdt>
        <w:sdtPr>
          <w:id w:val="-1521613625"/>
          <w:citation/>
        </w:sdtPr>
        <w:sdtEndPr/>
        <w:sdtContent>
          <w:r w:rsidRPr="00A37771">
            <w:fldChar w:fldCharType="begin"/>
          </w:r>
          <w:r w:rsidRPr="00A37771">
            <w:instrText xml:space="preserve"> CITATION Nat131 \l 3081 </w:instrText>
          </w:r>
          <w:r w:rsidRPr="00A37771">
            <w:fldChar w:fldCharType="separate"/>
          </w:r>
          <w:r w:rsidRPr="00A37771">
            <w:t xml:space="preserve"> (National Health and Medical Research Council, 2013)</w:t>
          </w:r>
          <w:r w:rsidRPr="00A37771">
            <w:fldChar w:fldCharType="end"/>
          </w:r>
        </w:sdtContent>
      </w:sdt>
      <w:r w:rsidRPr="00A37771">
        <w:t>. Evidence has shown that alcohol consumption is harmful to the developing brain, particularly to the area of the brain responsible for rational thinking. Damage to this part of the brain during its development can lead to learning difficulties, memory problems, mental health issues and other problems later in life such as alcohol dependence</w:t>
      </w:r>
      <w:sdt>
        <w:sdtPr>
          <w:id w:val="1571236177"/>
          <w:citation/>
        </w:sdtPr>
        <w:sdtEndPr/>
        <w:sdtContent>
          <w:r w:rsidRPr="00A37771">
            <w:fldChar w:fldCharType="begin"/>
          </w:r>
          <w:r w:rsidRPr="00A37771">
            <w:instrText xml:space="preserve"> CITATION Dep07 \l 3081 </w:instrText>
          </w:r>
          <w:r w:rsidRPr="00A37771">
            <w:fldChar w:fldCharType="separate"/>
          </w:r>
          <w:r w:rsidRPr="00A37771">
            <w:t xml:space="preserve"> (Department for Communities Office for Youth and Drug and Alcohol Office, 2007)</w:t>
          </w:r>
          <w:r w:rsidRPr="00A37771">
            <w:fldChar w:fldCharType="end"/>
          </w:r>
        </w:sdtContent>
      </w:sdt>
      <w:r w:rsidRPr="00A37771">
        <w:t xml:space="preserve">. </w:t>
      </w:r>
    </w:p>
    <w:p w14:paraId="7E1E53AE" w14:textId="77777777" w:rsidR="00A37771" w:rsidRPr="00A37771" w:rsidRDefault="00A37771" w:rsidP="00A37771">
      <w:r w:rsidRPr="00A37771">
        <w:t xml:space="preserve">In 2018, 52 per cent of students in Years 8 and 11 had drunk alcohol, down from 55 per cent in 2016. For Year 11 students, around two in three had consumed alcohol at least once (65 per cent) compared to less than half of Year 8 students (42 per cent). </w:t>
      </w:r>
    </w:p>
    <w:p w14:paraId="6C7D3B03" w14:textId="77777777" w:rsidR="00A37771" w:rsidRPr="00A37771" w:rsidRDefault="00A37771" w:rsidP="00A37771">
      <w:r w:rsidRPr="00A37771">
        <w:t>Regional students were more likely to have drunk alcohol (64 per cent) than students in metropolitan Victoria (47 per cent).</w:t>
      </w:r>
    </w:p>
    <w:p w14:paraId="1B4DC539" w14:textId="7FEE1FBD" w:rsidR="00A37771" w:rsidRPr="00A37771" w:rsidRDefault="00A37771" w:rsidP="00A37771">
      <w:r w:rsidRPr="00A37771">
        <w:t xml:space="preserve">Students from language backgrounds other than English were less likely to have drunk alcohol (41 per cent) compared with those from an English-speaking background (55 per cent). Students living in </w:t>
      </w:r>
      <w:r w:rsidR="00C447BB">
        <w:t>one parent</w:t>
      </w:r>
      <w:r w:rsidRPr="00A37771">
        <w:t xml:space="preserve"> families were more likely to have drunk alcohol (62 per cent) than those living in couple families (50 per cent).</w:t>
      </w:r>
    </w:p>
    <w:p w14:paraId="4D426ECF" w14:textId="77777777" w:rsidR="00485278" w:rsidRDefault="00485278" w:rsidP="00485278">
      <w:pPr>
        <w:pStyle w:val="Heading2"/>
      </w:pPr>
      <w:bookmarkStart w:id="16" w:name="_Toc19111719"/>
      <w:r>
        <w:t>Illicit drugs</w:t>
      </w:r>
      <w:bookmarkEnd w:id="16"/>
    </w:p>
    <w:p w14:paraId="7142F4A7" w14:textId="77777777" w:rsidR="00A37771" w:rsidRPr="00A37771" w:rsidRDefault="00A37771" w:rsidP="00A37771">
      <w:r w:rsidRPr="00A37771">
        <w:t xml:space="preserve">Around 10 per cent of Year 8 and 11 students had tried illicit drugs on at least one occasion, down slightly from 12 per cent in 2016. While 4 per cent of Year 8 students had tried illegal drugs (including marijuana, ecstasy, amphetamines and hallucinogens), this increased to 19 per cent of Year 11 students. </w:t>
      </w:r>
    </w:p>
    <w:p w14:paraId="30B0912C" w14:textId="797B64F2" w:rsidR="00A37771" w:rsidRPr="00A37771" w:rsidRDefault="00A37771" w:rsidP="00A37771">
      <w:r w:rsidRPr="00A37771">
        <w:t xml:space="preserve">Students living in </w:t>
      </w:r>
      <w:r w:rsidR="00C447BB">
        <w:t>one parent</w:t>
      </w:r>
      <w:r w:rsidRPr="00A37771">
        <w:t xml:space="preserve"> families were more likely to have tried illegal drugs (16 per cent) than students living in couple families (8.3 per cent). </w:t>
      </w:r>
    </w:p>
    <w:p w14:paraId="00BE0B0C" w14:textId="77777777" w:rsidR="00A37771" w:rsidRPr="00A37771" w:rsidRDefault="00A37771" w:rsidP="00A37771">
      <w:r w:rsidRPr="00A37771">
        <w:t xml:space="preserve">Students from language backgrounds other than English were less likely to have tried illegal drugs (6 per cent) than those from English-speaking backgrounds (11 per cent). </w:t>
      </w:r>
    </w:p>
    <w:p w14:paraId="15BA7878" w14:textId="77777777" w:rsidR="00A37771" w:rsidRPr="00A37771" w:rsidRDefault="00A37771" w:rsidP="00A37771">
      <w:r w:rsidRPr="00A37771">
        <w:t xml:space="preserve">Compared to 2016, the proportion of students who reported having used illicit drugs was lower across all cohorts, with significant differences for males, students in metropolitan areas and Year 11 students. </w:t>
      </w:r>
    </w:p>
    <w:p w14:paraId="755CCBF4" w14:textId="2DAC5469" w:rsidR="008E2644" w:rsidRPr="008E2644" w:rsidRDefault="00A37771" w:rsidP="00A37771">
      <w:pPr>
        <w:pStyle w:val="NoSpacing"/>
        <w:rPr>
          <w:i/>
          <w:sz w:val="20"/>
        </w:rPr>
      </w:pPr>
      <w:r w:rsidRPr="008E2644">
        <w:rPr>
          <w:i/>
          <w:sz w:val="20"/>
        </w:rPr>
        <w:t xml:space="preserve"> </w:t>
      </w:r>
      <w:r w:rsidR="008E2644" w:rsidRPr="008E2644">
        <w:rPr>
          <w:i/>
          <w:sz w:val="20"/>
        </w:rPr>
        <w:t xml:space="preserve">Table </w:t>
      </w:r>
      <w:r w:rsidR="008E2644" w:rsidRPr="008E2644">
        <w:rPr>
          <w:i/>
          <w:sz w:val="20"/>
        </w:rPr>
        <w:fldChar w:fldCharType="begin"/>
      </w:r>
      <w:r w:rsidR="008E2644" w:rsidRPr="008E2644">
        <w:rPr>
          <w:i/>
          <w:sz w:val="20"/>
        </w:rPr>
        <w:instrText xml:space="preserve"> SEQ Table \* ARABIC </w:instrText>
      </w:r>
      <w:r w:rsidR="008E2644" w:rsidRPr="008E2644">
        <w:rPr>
          <w:i/>
          <w:sz w:val="20"/>
        </w:rPr>
        <w:fldChar w:fldCharType="separate"/>
      </w:r>
      <w:r w:rsidR="005F509B">
        <w:rPr>
          <w:i/>
          <w:noProof/>
          <w:sz w:val="20"/>
        </w:rPr>
        <w:t>5</w:t>
      </w:r>
      <w:r w:rsidR="008E2644" w:rsidRPr="008E2644">
        <w:rPr>
          <w:i/>
          <w:sz w:val="20"/>
        </w:rPr>
        <w:fldChar w:fldCharType="end"/>
      </w:r>
      <w:r w:rsidR="008E2644" w:rsidRPr="008E2644">
        <w:rPr>
          <w:i/>
          <w:sz w:val="20"/>
        </w:rPr>
        <w:t xml:space="preserve"> Proportion of students who have ever used illicit drugs, by cohort, 2016 &amp; 2018</w:t>
      </w:r>
    </w:p>
    <w:tbl>
      <w:tblPr>
        <w:tblStyle w:val="TableGrid"/>
        <w:tblW w:w="0" w:type="auto"/>
        <w:tblLook w:val="04A0" w:firstRow="1" w:lastRow="0" w:firstColumn="1" w:lastColumn="0" w:noHBand="0" w:noVBand="1"/>
        <w:tblCaption w:val="Proportion of students who have ever used illicit drugs, by cohort, 2016 and 2018"/>
        <w:tblDescription w:val="This table sets out the proportion of Victorian students in Year 8 and 11 who reported ever having used illicit drugs, for 2016 and 2018, by cohort. The table provides the proportion of students statewide, in couple parent families or single parent families, females, males, students from a language background other than English and students from English-speaking backgrounds, students in metropolitan and regional Victoria, and students in Year 8 and Year 11. "/>
      </w:tblPr>
      <w:tblGrid>
        <w:gridCol w:w="3005"/>
        <w:gridCol w:w="1120"/>
        <w:gridCol w:w="1120"/>
      </w:tblGrid>
      <w:tr w:rsidR="000736D1" w:rsidRPr="009B6CA1" w14:paraId="04CAA6E2" w14:textId="77777777" w:rsidTr="005F509B">
        <w:trPr>
          <w:tblHeader/>
        </w:trPr>
        <w:tc>
          <w:tcPr>
            <w:tcW w:w="3005" w:type="dxa"/>
          </w:tcPr>
          <w:p w14:paraId="040958C3" w14:textId="77777777" w:rsidR="000736D1" w:rsidRPr="000736D1" w:rsidRDefault="000736D1" w:rsidP="000736D1">
            <w:pPr>
              <w:pStyle w:val="NoSpacing"/>
              <w:rPr>
                <w:b/>
              </w:rPr>
            </w:pPr>
            <w:r w:rsidRPr="000736D1">
              <w:rPr>
                <w:b/>
              </w:rPr>
              <w:t xml:space="preserve">Cohort </w:t>
            </w:r>
          </w:p>
        </w:tc>
        <w:tc>
          <w:tcPr>
            <w:tcW w:w="1120" w:type="dxa"/>
            <w:vAlign w:val="bottom"/>
          </w:tcPr>
          <w:p w14:paraId="759EF3E6" w14:textId="77777777" w:rsidR="000736D1" w:rsidRPr="00CE671A" w:rsidRDefault="000736D1" w:rsidP="000736D1">
            <w:pPr>
              <w:jc w:val="center"/>
              <w:rPr>
                <w:rFonts w:cstheme="minorHAnsi"/>
                <w:b/>
                <w:color w:val="000000"/>
              </w:rPr>
            </w:pPr>
            <w:r w:rsidRPr="00CE671A">
              <w:rPr>
                <w:rFonts w:cstheme="minorHAnsi"/>
                <w:b/>
                <w:color w:val="000000"/>
              </w:rPr>
              <w:t>2016</w:t>
            </w:r>
          </w:p>
        </w:tc>
        <w:tc>
          <w:tcPr>
            <w:tcW w:w="1120" w:type="dxa"/>
            <w:vAlign w:val="bottom"/>
          </w:tcPr>
          <w:p w14:paraId="6DFFAE32" w14:textId="77777777" w:rsidR="000736D1" w:rsidRPr="00CE671A" w:rsidRDefault="000736D1" w:rsidP="000736D1">
            <w:pPr>
              <w:jc w:val="center"/>
              <w:rPr>
                <w:rFonts w:cstheme="minorHAnsi"/>
                <w:b/>
                <w:color w:val="000000"/>
              </w:rPr>
            </w:pPr>
            <w:r w:rsidRPr="00CE671A">
              <w:rPr>
                <w:rFonts w:cstheme="minorHAnsi"/>
                <w:b/>
                <w:color w:val="000000"/>
              </w:rPr>
              <w:t>2018</w:t>
            </w:r>
          </w:p>
        </w:tc>
      </w:tr>
      <w:tr w:rsidR="000736D1" w:rsidRPr="009B6CA1" w14:paraId="7D5E02F6" w14:textId="77777777" w:rsidTr="000736D1">
        <w:tc>
          <w:tcPr>
            <w:tcW w:w="3005" w:type="dxa"/>
          </w:tcPr>
          <w:p w14:paraId="6D70E32C" w14:textId="77777777" w:rsidR="000736D1" w:rsidRPr="008214BE" w:rsidRDefault="000736D1" w:rsidP="000736D1">
            <w:pPr>
              <w:pStyle w:val="NoSpacing"/>
            </w:pPr>
            <w:proofErr w:type="spellStart"/>
            <w:r>
              <w:t>Statewide</w:t>
            </w:r>
            <w:proofErr w:type="spellEnd"/>
            <w:r>
              <w:t xml:space="preserve"> </w:t>
            </w:r>
          </w:p>
        </w:tc>
        <w:tc>
          <w:tcPr>
            <w:tcW w:w="1120" w:type="dxa"/>
            <w:vAlign w:val="bottom"/>
          </w:tcPr>
          <w:p w14:paraId="1EC7FC3B" w14:textId="77777777" w:rsidR="000736D1" w:rsidRPr="00CE671A" w:rsidRDefault="000736D1" w:rsidP="000736D1">
            <w:pPr>
              <w:jc w:val="right"/>
              <w:rPr>
                <w:rFonts w:cstheme="minorHAnsi"/>
                <w:color w:val="000000"/>
              </w:rPr>
            </w:pPr>
            <w:r w:rsidRPr="00CE671A">
              <w:rPr>
                <w:rFonts w:cstheme="minorHAnsi"/>
                <w:color w:val="000000"/>
              </w:rPr>
              <w:t>11.9%</w:t>
            </w:r>
          </w:p>
        </w:tc>
        <w:tc>
          <w:tcPr>
            <w:tcW w:w="1120" w:type="dxa"/>
            <w:vAlign w:val="bottom"/>
          </w:tcPr>
          <w:p w14:paraId="792436FA" w14:textId="77777777" w:rsidR="000736D1" w:rsidRPr="00CE671A" w:rsidRDefault="000736D1" w:rsidP="000736D1">
            <w:pPr>
              <w:jc w:val="right"/>
              <w:rPr>
                <w:rFonts w:cstheme="minorHAnsi"/>
                <w:color w:val="000000"/>
              </w:rPr>
            </w:pPr>
            <w:r w:rsidRPr="00CE671A">
              <w:rPr>
                <w:rFonts w:cstheme="minorHAnsi"/>
                <w:color w:val="000000"/>
              </w:rPr>
              <w:t>10.1%</w:t>
            </w:r>
          </w:p>
        </w:tc>
      </w:tr>
      <w:tr w:rsidR="000736D1" w:rsidRPr="009B6CA1" w14:paraId="3FCD2CF7" w14:textId="77777777" w:rsidTr="000736D1">
        <w:tc>
          <w:tcPr>
            <w:tcW w:w="3005" w:type="dxa"/>
          </w:tcPr>
          <w:p w14:paraId="1AA4982C" w14:textId="77777777" w:rsidR="000736D1" w:rsidRPr="009B6CA1" w:rsidRDefault="000736D1" w:rsidP="000736D1">
            <w:pPr>
              <w:pStyle w:val="NoSpacing"/>
            </w:pPr>
            <w:r w:rsidRPr="009B6CA1">
              <w:t>Couple family</w:t>
            </w:r>
          </w:p>
        </w:tc>
        <w:tc>
          <w:tcPr>
            <w:tcW w:w="0" w:type="auto"/>
            <w:vAlign w:val="bottom"/>
          </w:tcPr>
          <w:p w14:paraId="376E8CC1" w14:textId="77777777" w:rsidR="000736D1" w:rsidRPr="00CE671A" w:rsidRDefault="000736D1" w:rsidP="000736D1">
            <w:pPr>
              <w:jc w:val="right"/>
              <w:rPr>
                <w:rFonts w:cstheme="minorHAnsi"/>
                <w:color w:val="000000"/>
              </w:rPr>
            </w:pPr>
            <w:r w:rsidRPr="00CE671A">
              <w:rPr>
                <w:rFonts w:cstheme="minorHAnsi"/>
                <w:color w:val="000000"/>
              </w:rPr>
              <w:t>10.0%</w:t>
            </w:r>
          </w:p>
        </w:tc>
        <w:tc>
          <w:tcPr>
            <w:tcW w:w="0" w:type="auto"/>
            <w:vAlign w:val="bottom"/>
          </w:tcPr>
          <w:p w14:paraId="271A8781" w14:textId="77777777" w:rsidR="000736D1" w:rsidRPr="00CE671A" w:rsidRDefault="000736D1" w:rsidP="000736D1">
            <w:pPr>
              <w:jc w:val="right"/>
              <w:rPr>
                <w:rFonts w:cstheme="minorHAnsi"/>
                <w:color w:val="000000"/>
              </w:rPr>
            </w:pPr>
            <w:r w:rsidRPr="00CE671A">
              <w:rPr>
                <w:rFonts w:cstheme="minorHAnsi"/>
                <w:color w:val="000000"/>
              </w:rPr>
              <w:t>8.3%</w:t>
            </w:r>
          </w:p>
        </w:tc>
      </w:tr>
      <w:tr w:rsidR="000736D1" w:rsidRPr="009B6CA1" w14:paraId="52C8D1EC" w14:textId="77777777" w:rsidTr="000736D1">
        <w:tc>
          <w:tcPr>
            <w:tcW w:w="3005" w:type="dxa"/>
          </w:tcPr>
          <w:p w14:paraId="3D42D60C" w14:textId="6120DB86" w:rsidR="000736D1" w:rsidRPr="009B6CA1" w:rsidRDefault="00C447BB" w:rsidP="000736D1">
            <w:pPr>
              <w:pStyle w:val="NoSpacing"/>
            </w:pPr>
            <w:r>
              <w:t>One parent</w:t>
            </w:r>
            <w:r w:rsidR="000736D1" w:rsidRPr="009B6CA1">
              <w:t xml:space="preserve"> family</w:t>
            </w:r>
          </w:p>
        </w:tc>
        <w:tc>
          <w:tcPr>
            <w:tcW w:w="0" w:type="auto"/>
            <w:vAlign w:val="bottom"/>
          </w:tcPr>
          <w:p w14:paraId="481A6DCA" w14:textId="77777777" w:rsidR="000736D1" w:rsidRPr="00CE671A" w:rsidRDefault="000736D1" w:rsidP="000736D1">
            <w:pPr>
              <w:jc w:val="right"/>
              <w:rPr>
                <w:rFonts w:cstheme="minorHAnsi"/>
                <w:color w:val="000000"/>
              </w:rPr>
            </w:pPr>
            <w:r w:rsidRPr="00CE671A">
              <w:rPr>
                <w:rFonts w:cstheme="minorHAnsi"/>
                <w:color w:val="000000"/>
              </w:rPr>
              <w:t>16.5%</w:t>
            </w:r>
          </w:p>
        </w:tc>
        <w:tc>
          <w:tcPr>
            <w:tcW w:w="0" w:type="auto"/>
            <w:vAlign w:val="bottom"/>
          </w:tcPr>
          <w:p w14:paraId="38F2B9A5" w14:textId="77777777" w:rsidR="000736D1" w:rsidRPr="00CE671A" w:rsidRDefault="000736D1" w:rsidP="000736D1">
            <w:pPr>
              <w:jc w:val="right"/>
              <w:rPr>
                <w:rFonts w:cstheme="minorHAnsi"/>
                <w:color w:val="000000"/>
              </w:rPr>
            </w:pPr>
            <w:r w:rsidRPr="00CE671A">
              <w:rPr>
                <w:rFonts w:cstheme="minorHAnsi"/>
                <w:color w:val="000000"/>
              </w:rPr>
              <w:t>15.9%</w:t>
            </w:r>
          </w:p>
        </w:tc>
      </w:tr>
      <w:tr w:rsidR="000736D1" w:rsidRPr="009B6CA1" w14:paraId="64B234DE" w14:textId="77777777" w:rsidTr="000736D1">
        <w:tc>
          <w:tcPr>
            <w:tcW w:w="3005" w:type="dxa"/>
          </w:tcPr>
          <w:p w14:paraId="7D2A228C" w14:textId="77777777" w:rsidR="000736D1" w:rsidRPr="009B6CA1" w:rsidRDefault="000736D1" w:rsidP="000736D1">
            <w:pPr>
              <w:pStyle w:val="NoSpacing"/>
            </w:pPr>
            <w:r w:rsidRPr="009B6CA1">
              <w:t>Female</w:t>
            </w:r>
          </w:p>
        </w:tc>
        <w:tc>
          <w:tcPr>
            <w:tcW w:w="0" w:type="auto"/>
            <w:vAlign w:val="bottom"/>
          </w:tcPr>
          <w:p w14:paraId="547C5091" w14:textId="77777777" w:rsidR="000736D1" w:rsidRPr="00CE671A" w:rsidRDefault="000736D1" w:rsidP="000736D1">
            <w:pPr>
              <w:jc w:val="right"/>
              <w:rPr>
                <w:rFonts w:cstheme="minorHAnsi"/>
                <w:color w:val="000000"/>
              </w:rPr>
            </w:pPr>
            <w:r w:rsidRPr="00CE671A">
              <w:rPr>
                <w:rFonts w:cstheme="minorHAnsi"/>
                <w:color w:val="000000"/>
              </w:rPr>
              <w:t>10.4%</w:t>
            </w:r>
          </w:p>
        </w:tc>
        <w:tc>
          <w:tcPr>
            <w:tcW w:w="0" w:type="auto"/>
            <w:vAlign w:val="bottom"/>
          </w:tcPr>
          <w:p w14:paraId="402BA052" w14:textId="77777777" w:rsidR="000736D1" w:rsidRPr="00CE671A" w:rsidRDefault="000736D1" w:rsidP="000736D1">
            <w:pPr>
              <w:jc w:val="right"/>
              <w:rPr>
                <w:rFonts w:cstheme="minorHAnsi"/>
                <w:color w:val="000000"/>
              </w:rPr>
            </w:pPr>
            <w:r w:rsidRPr="00CE671A">
              <w:rPr>
                <w:rFonts w:cstheme="minorHAnsi"/>
                <w:color w:val="000000"/>
              </w:rPr>
              <w:t>9.9%</w:t>
            </w:r>
          </w:p>
        </w:tc>
      </w:tr>
      <w:tr w:rsidR="000736D1" w:rsidRPr="009B6CA1" w14:paraId="51ED9072" w14:textId="77777777" w:rsidTr="000736D1">
        <w:trPr>
          <w:trHeight w:val="77"/>
        </w:trPr>
        <w:tc>
          <w:tcPr>
            <w:tcW w:w="3005" w:type="dxa"/>
          </w:tcPr>
          <w:p w14:paraId="23A302A4" w14:textId="77777777" w:rsidR="000736D1" w:rsidRPr="009B6CA1" w:rsidRDefault="000736D1" w:rsidP="000736D1">
            <w:pPr>
              <w:pStyle w:val="NoSpacing"/>
            </w:pPr>
            <w:r w:rsidRPr="009B6CA1">
              <w:t>Male</w:t>
            </w:r>
          </w:p>
        </w:tc>
        <w:tc>
          <w:tcPr>
            <w:tcW w:w="0" w:type="auto"/>
            <w:vAlign w:val="bottom"/>
          </w:tcPr>
          <w:p w14:paraId="3FA906D3" w14:textId="77777777" w:rsidR="000736D1" w:rsidRPr="00CE671A" w:rsidRDefault="000736D1" w:rsidP="000736D1">
            <w:pPr>
              <w:jc w:val="right"/>
              <w:rPr>
                <w:rFonts w:cstheme="minorHAnsi"/>
                <w:color w:val="000000"/>
              </w:rPr>
            </w:pPr>
            <w:r w:rsidRPr="00CE671A">
              <w:rPr>
                <w:rFonts w:cstheme="minorHAnsi"/>
                <w:color w:val="000000"/>
              </w:rPr>
              <w:t>13.4%</w:t>
            </w:r>
          </w:p>
        </w:tc>
        <w:tc>
          <w:tcPr>
            <w:tcW w:w="0" w:type="auto"/>
            <w:vAlign w:val="bottom"/>
          </w:tcPr>
          <w:p w14:paraId="52779DCD" w14:textId="77777777" w:rsidR="000736D1" w:rsidRPr="00CE671A" w:rsidRDefault="000736D1" w:rsidP="000736D1">
            <w:pPr>
              <w:jc w:val="right"/>
              <w:rPr>
                <w:rFonts w:cstheme="minorHAnsi"/>
                <w:color w:val="000000"/>
              </w:rPr>
            </w:pPr>
            <w:r w:rsidRPr="00CE671A">
              <w:rPr>
                <w:rFonts w:cstheme="minorHAnsi"/>
                <w:color w:val="000000"/>
              </w:rPr>
              <w:t>9.6%</w:t>
            </w:r>
          </w:p>
        </w:tc>
      </w:tr>
      <w:tr w:rsidR="000736D1" w:rsidRPr="009B6CA1" w14:paraId="6DB34E81" w14:textId="77777777" w:rsidTr="000736D1">
        <w:tc>
          <w:tcPr>
            <w:tcW w:w="3005" w:type="dxa"/>
          </w:tcPr>
          <w:p w14:paraId="21CB507D" w14:textId="77777777" w:rsidR="000736D1" w:rsidRPr="009B6CA1" w:rsidRDefault="000736D1" w:rsidP="000736D1">
            <w:pPr>
              <w:pStyle w:val="NoSpacing"/>
            </w:pPr>
            <w:r w:rsidRPr="009B6CA1">
              <w:t>LBOTE</w:t>
            </w:r>
          </w:p>
        </w:tc>
        <w:tc>
          <w:tcPr>
            <w:tcW w:w="0" w:type="auto"/>
            <w:vAlign w:val="bottom"/>
          </w:tcPr>
          <w:p w14:paraId="0FDB948B" w14:textId="77777777" w:rsidR="000736D1" w:rsidRPr="00CE671A" w:rsidRDefault="000736D1" w:rsidP="000736D1">
            <w:pPr>
              <w:jc w:val="right"/>
              <w:rPr>
                <w:rFonts w:cstheme="minorHAnsi"/>
                <w:color w:val="000000"/>
              </w:rPr>
            </w:pPr>
            <w:r w:rsidRPr="00CE671A">
              <w:rPr>
                <w:rFonts w:cstheme="minorHAnsi"/>
                <w:color w:val="000000"/>
              </w:rPr>
              <w:t>8.3%</w:t>
            </w:r>
          </w:p>
        </w:tc>
        <w:tc>
          <w:tcPr>
            <w:tcW w:w="0" w:type="auto"/>
            <w:vAlign w:val="bottom"/>
          </w:tcPr>
          <w:p w14:paraId="75DE56C2" w14:textId="77777777" w:rsidR="000736D1" w:rsidRPr="00CE671A" w:rsidRDefault="000736D1" w:rsidP="000736D1">
            <w:pPr>
              <w:jc w:val="right"/>
              <w:rPr>
                <w:rFonts w:cstheme="minorHAnsi"/>
                <w:color w:val="000000"/>
              </w:rPr>
            </w:pPr>
            <w:r w:rsidRPr="00CE671A">
              <w:rPr>
                <w:rFonts w:cstheme="minorHAnsi"/>
                <w:color w:val="000000"/>
              </w:rPr>
              <w:t>5.8%</w:t>
            </w:r>
          </w:p>
        </w:tc>
      </w:tr>
      <w:tr w:rsidR="000736D1" w:rsidRPr="009B6CA1" w14:paraId="4695D37F" w14:textId="77777777" w:rsidTr="000736D1">
        <w:tc>
          <w:tcPr>
            <w:tcW w:w="3005" w:type="dxa"/>
          </w:tcPr>
          <w:p w14:paraId="12D798C9" w14:textId="77777777" w:rsidR="000736D1" w:rsidRPr="009B6CA1" w:rsidRDefault="000736D1" w:rsidP="000736D1">
            <w:pPr>
              <w:pStyle w:val="NoSpacing"/>
            </w:pPr>
            <w:r w:rsidRPr="009B6CA1">
              <w:t>Not LBOTE</w:t>
            </w:r>
          </w:p>
        </w:tc>
        <w:tc>
          <w:tcPr>
            <w:tcW w:w="0" w:type="auto"/>
            <w:vAlign w:val="bottom"/>
          </w:tcPr>
          <w:p w14:paraId="740D1C7A" w14:textId="77777777" w:rsidR="000736D1" w:rsidRPr="00CE671A" w:rsidRDefault="000736D1" w:rsidP="000736D1">
            <w:pPr>
              <w:jc w:val="right"/>
              <w:rPr>
                <w:rFonts w:cstheme="minorHAnsi"/>
                <w:color w:val="000000"/>
              </w:rPr>
            </w:pPr>
            <w:r w:rsidRPr="00CE671A">
              <w:rPr>
                <w:rFonts w:cstheme="minorHAnsi"/>
                <w:color w:val="000000"/>
              </w:rPr>
              <w:t>12.5%</w:t>
            </w:r>
          </w:p>
        </w:tc>
        <w:tc>
          <w:tcPr>
            <w:tcW w:w="0" w:type="auto"/>
            <w:vAlign w:val="bottom"/>
          </w:tcPr>
          <w:p w14:paraId="360A5CC5" w14:textId="77777777" w:rsidR="000736D1" w:rsidRPr="00CE671A" w:rsidRDefault="000736D1" w:rsidP="000736D1">
            <w:pPr>
              <w:jc w:val="right"/>
              <w:rPr>
                <w:rFonts w:cstheme="minorHAnsi"/>
                <w:color w:val="000000"/>
              </w:rPr>
            </w:pPr>
            <w:r w:rsidRPr="00CE671A">
              <w:rPr>
                <w:rFonts w:cstheme="minorHAnsi"/>
                <w:color w:val="000000"/>
              </w:rPr>
              <w:t>11.2%</w:t>
            </w:r>
          </w:p>
        </w:tc>
      </w:tr>
      <w:tr w:rsidR="000736D1" w:rsidRPr="009B6CA1" w14:paraId="3253F254" w14:textId="77777777" w:rsidTr="000736D1">
        <w:tc>
          <w:tcPr>
            <w:tcW w:w="3005" w:type="dxa"/>
          </w:tcPr>
          <w:p w14:paraId="7CDF987C" w14:textId="77777777" w:rsidR="000736D1" w:rsidRPr="009B6CA1" w:rsidRDefault="000736D1" w:rsidP="000736D1">
            <w:pPr>
              <w:pStyle w:val="NoSpacing"/>
            </w:pPr>
            <w:r w:rsidRPr="009B6CA1">
              <w:t xml:space="preserve">Metropolitan </w:t>
            </w:r>
          </w:p>
        </w:tc>
        <w:tc>
          <w:tcPr>
            <w:tcW w:w="0" w:type="auto"/>
            <w:vAlign w:val="bottom"/>
          </w:tcPr>
          <w:p w14:paraId="28E9B5B9" w14:textId="77777777" w:rsidR="000736D1" w:rsidRPr="00CE671A" w:rsidRDefault="000736D1" w:rsidP="000736D1">
            <w:pPr>
              <w:jc w:val="right"/>
              <w:rPr>
                <w:rFonts w:cstheme="minorHAnsi"/>
                <w:color w:val="000000"/>
              </w:rPr>
            </w:pPr>
            <w:r w:rsidRPr="00CE671A">
              <w:rPr>
                <w:rFonts w:cstheme="minorHAnsi"/>
                <w:color w:val="000000"/>
              </w:rPr>
              <w:t>12.0%</w:t>
            </w:r>
          </w:p>
        </w:tc>
        <w:tc>
          <w:tcPr>
            <w:tcW w:w="0" w:type="auto"/>
            <w:vAlign w:val="bottom"/>
          </w:tcPr>
          <w:p w14:paraId="28ED4A9B" w14:textId="77777777" w:rsidR="000736D1" w:rsidRPr="00CE671A" w:rsidRDefault="000736D1" w:rsidP="000736D1">
            <w:pPr>
              <w:jc w:val="right"/>
              <w:rPr>
                <w:rFonts w:cstheme="minorHAnsi"/>
                <w:color w:val="000000"/>
              </w:rPr>
            </w:pPr>
            <w:r w:rsidRPr="00CE671A">
              <w:rPr>
                <w:rFonts w:cstheme="minorHAnsi"/>
                <w:color w:val="000000"/>
              </w:rPr>
              <w:t>9.7%</w:t>
            </w:r>
          </w:p>
        </w:tc>
      </w:tr>
      <w:tr w:rsidR="000736D1" w:rsidRPr="009B6CA1" w14:paraId="149EA5E8" w14:textId="77777777" w:rsidTr="000736D1">
        <w:tc>
          <w:tcPr>
            <w:tcW w:w="3005" w:type="dxa"/>
          </w:tcPr>
          <w:p w14:paraId="59844812" w14:textId="77777777" w:rsidR="000736D1" w:rsidRPr="009B6CA1" w:rsidRDefault="000736D1" w:rsidP="000736D1">
            <w:pPr>
              <w:pStyle w:val="NoSpacing"/>
            </w:pPr>
            <w:r w:rsidRPr="009B6CA1">
              <w:t>Regional</w:t>
            </w:r>
          </w:p>
        </w:tc>
        <w:tc>
          <w:tcPr>
            <w:tcW w:w="0" w:type="auto"/>
            <w:vAlign w:val="bottom"/>
          </w:tcPr>
          <w:p w14:paraId="42CDC649" w14:textId="77777777" w:rsidR="000736D1" w:rsidRPr="00CE671A" w:rsidRDefault="000736D1" w:rsidP="000736D1">
            <w:pPr>
              <w:jc w:val="right"/>
              <w:rPr>
                <w:rFonts w:cstheme="minorHAnsi"/>
                <w:color w:val="000000"/>
              </w:rPr>
            </w:pPr>
            <w:r w:rsidRPr="00CE671A">
              <w:rPr>
                <w:rFonts w:cstheme="minorHAnsi"/>
                <w:color w:val="000000"/>
              </w:rPr>
              <w:t>11.5%</w:t>
            </w:r>
          </w:p>
        </w:tc>
        <w:tc>
          <w:tcPr>
            <w:tcW w:w="0" w:type="auto"/>
            <w:vAlign w:val="bottom"/>
          </w:tcPr>
          <w:p w14:paraId="6B3CC000" w14:textId="77777777" w:rsidR="000736D1" w:rsidRPr="00CE671A" w:rsidRDefault="000736D1" w:rsidP="000736D1">
            <w:pPr>
              <w:jc w:val="right"/>
              <w:rPr>
                <w:rFonts w:cstheme="minorHAnsi"/>
                <w:color w:val="000000"/>
              </w:rPr>
            </w:pPr>
            <w:r w:rsidRPr="00CE671A">
              <w:rPr>
                <w:rFonts w:cstheme="minorHAnsi"/>
                <w:color w:val="000000"/>
              </w:rPr>
              <w:t>11.3%</w:t>
            </w:r>
          </w:p>
        </w:tc>
      </w:tr>
      <w:tr w:rsidR="000736D1" w:rsidRPr="009B6CA1" w14:paraId="3F3CDAB5" w14:textId="77777777" w:rsidTr="000736D1">
        <w:tc>
          <w:tcPr>
            <w:tcW w:w="3005" w:type="dxa"/>
          </w:tcPr>
          <w:p w14:paraId="254F69F5" w14:textId="77777777" w:rsidR="000736D1" w:rsidRPr="009B6CA1" w:rsidRDefault="000736D1" w:rsidP="000736D1">
            <w:pPr>
              <w:pStyle w:val="NoSpacing"/>
            </w:pPr>
            <w:r w:rsidRPr="009B6CA1">
              <w:t>Year 8</w:t>
            </w:r>
          </w:p>
        </w:tc>
        <w:tc>
          <w:tcPr>
            <w:tcW w:w="0" w:type="auto"/>
            <w:vAlign w:val="bottom"/>
          </w:tcPr>
          <w:p w14:paraId="72A0AA14" w14:textId="77777777" w:rsidR="000736D1" w:rsidRPr="00CE671A" w:rsidRDefault="000736D1" w:rsidP="000736D1">
            <w:pPr>
              <w:jc w:val="right"/>
              <w:rPr>
                <w:rFonts w:cstheme="minorHAnsi"/>
                <w:color w:val="000000"/>
              </w:rPr>
            </w:pPr>
            <w:r w:rsidRPr="00CE671A">
              <w:rPr>
                <w:rFonts w:cstheme="minorHAnsi"/>
                <w:color w:val="000000"/>
              </w:rPr>
              <w:t>4.7%</w:t>
            </w:r>
          </w:p>
        </w:tc>
        <w:tc>
          <w:tcPr>
            <w:tcW w:w="0" w:type="auto"/>
            <w:vAlign w:val="bottom"/>
          </w:tcPr>
          <w:p w14:paraId="18A9A573" w14:textId="77777777" w:rsidR="000736D1" w:rsidRPr="00CE671A" w:rsidRDefault="000736D1" w:rsidP="000736D1">
            <w:pPr>
              <w:jc w:val="right"/>
              <w:rPr>
                <w:rFonts w:cstheme="minorHAnsi"/>
                <w:color w:val="000000"/>
              </w:rPr>
            </w:pPr>
            <w:r w:rsidRPr="00CE671A">
              <w:rPr>
                <w:rFonts w:cstheme="minorHAnsi"/>
                <w:color w:val="000000"/>
              </w:rPr>
              <w:t>3.8%</w:t>
            </w:r>
          </w:p>
        </w:tc>
      </w:tr>
      <w:tr w:rsidR="000736D1" w:rsidRPr="009B6CA1" w14:paraId="15634976" w14:textId="77777777" w:rsidTr="000736D1">
        <w:trPr>
          <w:trHeight w:val="77"/>
        </w:trPr>
        <w:tc>
          <w:tcPr>
            <w:tcW w:w="3005" w:type="dxa"/>
          </w:tcPr>
          <w:p w14:paraId="1C9F38DC" w14:textId="77777777" w:rsidR="000736D1" w:rsidRPr="009B6CA1" w:rsidRDefault="000736D1" w:rsidP="000736D1">
            <w:pPr>
              <w:pStyle w:val="NoSpacing"/>
            </w:pPr>
            <w:r w:rsidRPr="009B6CA1">
              <w:lastRenderedPageBreak/>
              <w:t>Year 11</w:t>
            </w:r>
          </w:p>
        </w:tc>
        <w:tc>
          <w:tcPr>
            <w:tcW w:w="0" w:type="auto"/>
            <w:vAlign w:val="bottom"/>
          </w:tcPr>
          <w:p w14:paraId="23550101" w14:textId="77777777" w:rsidR="000736D1" w:rsidRPr="00CE671A" w:rsidRDefault="000736D1" w:rsidP="000736D1">
            <w:pPr>
              <w:jc w:val="right"/>
              <w:rPr>
                <w:rFonts w:cstheme="minorHAnsi"/>
                <w:color w:val="000000"/>
              </w:rPr>
            </w:pPr>
            <w:r w:rsidRPr="00CE671A">
              <w:rPr>
                <w:rFonts w:cstheme="minorHAnsi"/>
                <w:color w:val="000000"/>
              </w:rPr>
              <w:t>22.9%</w:t>
            </w:r>
          </w:p>
        </w:tc>
        <w:tc>
          <w:tcPr>
            <w:tcW w:w="0" w:type="auto"/>
            <w:vAlign w:val="bottom"/>
          </w:tcPr>
          <w:p w14:paraId="0F1435DE" w14:textId="77777777" w:rsidR="000736D1" w:rsidRPr="00CE671A" w:rsidRDefault="000736D1" w:rsidP="000736D1">
            <w:pPr>
              <w:jc w:val="right"/>
              <w:rPr>
                <w:rFonts w:cstheme="minorHAnsi"/>
                <w:color w:val="000000"/>
              </w:rPr>
            </w:pPr>
            <w:r w:rsidRPr="00CE671A">
              <w:rPr>
                <w:rFonts w:cstheme="minorHAnsi"/>
                <w:color w:val="000000"/>
              </w:rPr>
              <w:t>18.5%</w:t>
            </w:r>
          </w:p>
        </w:tc>
      </w:tr>
    </w:tbl>
    <w:p w14:paraId="1D05F61B" w14:textId="77777777" w:rsidR="00485278" w:rsidRDefault="00485278" w:rsidP="00485278">
      <w:pPr>
        <w:pStyle w:val="Heading1"/>
      </w:pPr>
      <w:bookmarkStart w:id="17" w:name="_Toc19111720"/>
      <w:r>
        <w:t>Emotional wellbeing</w:t>
      </w:r>
      <w:bookmarkEnd w:id="17"/>
    </w:p>
    <w:p w14:paraId="08BF332B" w14:textId="77777777" w:rsidR="00485278" w:rsidRDefault="00485278" w:rsidP="00485278">
      <w:pPr>
        <w:pStyle w:val="Heading2"/>
      </w:pPr>
      <w:bookmarkStart w:id="18" w:name="_Toc19111721"/>
      <w:r>
        <w:t>Psychological resilience</w:t>
      </w:r>
      <w:bookmarkEnd w:id="18"/>
    </w:p>
    <w:p w14:paraId="2A1AA56E" w14:textId="7D05DB50" w:rsidR="00485278" w:rsidRPr="009478A4" w:rsidRDefault="00485278" w:rsidP="00485278">
      <w:r w:rsidRPr="009478A4">
        <w:t>Psychological resilience refers to an adaptive and healthy state of social and emotional functioning. Young people who are psychologically resilient are more likely to respond constructively to challenges and difficulties they face in their lives. Ryan and Deci (2000)</w:t>
      </w:r>
      <w:r w:rsidRPr="00E82577">
        <w:rPr>
          <w:vertAlign w:val="superscript"/>
        </w:rPr>
        <w:endnoteReference w:id="8"/>
      </w:r>
      <w:r w:rsidRPr="00790DEF">
        <w:t xml:space="preserve"> </w:t>
      </w:r>
      <w:r w:rsidRPr="009478A4">
        <w:t>developed a scale which assesses autonomy (sense of personal agency), relatedness (positive connections with others) and competence (feeling capable or masterful</w:t>
      </w:r>
      <w:r w:rsidR="0086733B">
        <w:t xml:space="preserve">). </w:t>
      </w:r>
      <w:r w:rsidRPr="009478A4">
        <w:t>About You uses a shortened version of this, known as the Basic Psychological needs scale.</w:t>
      </w:r>
    </w:p>
    <w:p w14:paraId="2300513C" w14:textId="77777777" w:rsidR="00485278" w:rsidRPr="009478A4" w:rsidRDefault="00485278" w:rsidP="00485278">
      <w:r w:rsidRPr="009478A4">
        <w:t>More than two in three students in the survey (6</w:t>
      </w:r>
      <w:r>
        <w:t>7</w:t>
      </w:r>
      <w:r w:rsidRPr="009478A4">
        <w:t xml:space="preserve"> per cent) showed a high level of psychological resilience on this scale, an</w:t>
      </w:r>
      <w:r>
        <w:t>d this varied little by gender</w:t>
      </w:r>
      <w:r w:rsidRPr="009478A4">
        <w:t>.</w:t>
      </w:r>
    </w:p>
    <w:p w14:paraId="5E393E0A" w14:textId="47CE5079" w:rsidR="00485278" w:rsidRDefault="00485278" w:rsidP="00485278">
      <w:r w:rsidRPr="009478A4">
        <w:t xml:space="preserve">Students living in couple </w:t>
      </w:r>
      <w:r>
        <w:t xml:space="preserve">parent </w:t>
      </w:r>
      <w:r w:rsidRPr="009478A4">
        <w:t>families were significantly more likely to have a high level of psychological resilience (7</w:t>
      </w:r>
      <w:r>
        <w:t>2</w:t>
      </w:r>
      <w:r w:rsidRPr="009478A4">
        <w:t xml:space="preserve"> per cent) </w:t>
      </w:r>
      <w:r w:rsidR="0086733B">
        <w:t>than</w:t>
      </w:r>
      <w:r w:rsidRPr="009478A4">
        <w:t xml:space="preserve"> students from </w:t>
      </w:r>
      <w:r w:rsidR="00C447BB">
        <w:t>one parent</w:t>
      </w:r>
      <w:r w:rsidRPr="009478A4">
        <w:t xml:space="preserve"> families (6</w:t>
      </w:r>
      <w:r>
        <w:t>4</w:t>
      </w:r>
      <w:r w:rsidRPr="009478A4">
        <w:t xml:space="preserve"> per cent). Students from language backgrounds other than English were less likely to have a high level of resilience (</w:t>
      </w:r>
      <w:r>
        <w:t>62</w:t>
      </w:r>
      <w:r w:rsidRPr="009478A4">
        <w:t xml:space="preserve"> per cent) </w:t>
      </w:r>
      <w:r w:rsidR="0086733B">
        <w:t>than</w:t>
      </w:r>
      <w:r w:rsidRPr="009478A4">
        <w:t xml:space="preserve"> students from an English-speaking background (</w:t>
      </w:r>
      <w:r>
        <w:t>69</w:t>
      </w:r>
      <w:r w:rsidRPr="009478A4">
        <w:t xml:space="preserve"> per cent).</w:t>
      </w:r>
    </w:p>
    <w:p w14:paraId="550DFE44" w14:textId="1750D401" w:rsidR="00485278" w:rsidRPr="0002197E" w:rsidRDefault="00485278" w:rsidP="00485278">
      <w:r>
        <w:t xml:space="preserve">Students in primary school were more likely to report high levels of resilience </w:t>
      </w:r>
      <w:r w:rsidR="0086733B">
        <w:t>than</w:t>
      </w:r>
      <w:r>
        <w:t xml:space="preserve"> those in primary school; 73 per cent for Year 5 students</w:t>
      </w:r>
      <w:r w:rsidR="0086733B">
        <w:t>,</w:t>
      </w:r>
      <w:r>
        <w:t xml:space="preserve"> compared to 62 per cent for Year 8 and 64 per cent for Year 11 students. </w:t>
      </w:r>
    </w:p>
    <w:p w14:paraId="14E0617B" w14:textId="77777777" w:rsidR="00730B16" w:rsidRPr="00730B16" w:rsidRDefault="00730B16" w:rsidP="00730B16">
      <w:pPr>
        <w:rPr>
          <w:i/>
          <w:sz w:val="20"/>
        </w:rPr>
      </w:pPr>
      <w:r w:rsidRPr="00730B16">
        <w:rPr>
          <w:i/>
          <w:sz w:val="20"/>
        </w:rPr>
        <w:t xml:space="preserve">Table </w:t>
      </w:r>
      <w:r w:rsidRPr="00730B16">
        <w:rPr>
          <w:i/>
          <w:sz w:val="20"/>
        </w:rPr>
        <w:fldChar w:fldCharType="begin"/>
      </w:r>
      <w:r w:rsidRPr="00730B16">
        <w:rPr>
          <w:i/>
          <w:sz w:val="20"/>
        </w:rPr>
        <w:instrText xml:space="preserve"> SEQ Table \* ARABIC </w:instrText>
      </w:r>
      <w:r w:rsidRPr="00730B16">
        <w:rPr>
          <w:i/>
          <w:sz w:val="20"/>
        </w:rPr>
        <w:fldChar w:fldCharType="separate"/>
      </w:r>
      <w:r w:rsidR="005F509B">
        <w:rPr>
          <w:i/>
          <w:noProof/>
          <w:sz w:val="20"/>
        </w:rPr>
        <w:t>6</w:t>
      </w:r>
      <w:r w:rsidRPr="00730B16">
        <w:rPr>
          <w:i/>
          <w:sz w:val="20"/>
        </w:rPr>
        <w:fldChar w:fldCharType="end"/>
      </w:r>
      <w:r w:rsidRPr="00730B16">
        <w:rPr>
          <w:i/>
          <w:sz w:val="20"/>
        </w:rPr>
        <w:t xml:space="preserve"> Proportion of students reporting high levels of psychological resilience, by cohort, 2016 &amp; 2018</w:t>
      </w:r>
    </w:p>
    <w:tbl>
      <w:tblPr>
        <w:tblStyle w:val="TableGrid"/>
        <w:tblW w:w="0" w:type="auto"/>
        <w:tblLook w:val="04A0" w:firstRow="1" w:lastRow="0" w:firstColumn="1" w:lastColumn="0" w:noHBand="0" w:noVBand="1"/>
        <w:tblCaption w:val="Proportion of students reporting high levels of psychological resilience, by cohort, 2016 and 2018"/>
        <w:tblDescription w:val="This table sets out the proportion of Victorian students reporting high levels of psychological resilience in 2016 and 2018, by cohort. The table provides the proportion of students statewide, in couple parent families or single parent families, females, males, students from a language background other than English and students from English-speaking backgrounds, students in metropolitan and regional Victoria, and students in Year 5, Year 8 and Year 11. "/>
      </w:tblPr>
      <w:tblGrid>
        <w:gridCol w:w="3005"/>
        <w:gridCol w:w="1120"/>
        <w:gridCol w:w="1120"/>
      </w:tblGrid>
      <w:tr w:rsidR="00730B16" w:rsidRPr="009B6CA1" w14:paraId="24BEFE85" w14:textId="77777777" w:rsidTr="005F509B">
        <w:trPr>
          <w:tblHeader/>
        </w:trPr>
        <w:tc>
          <w:tcPr>
            <w:tcW w:w="3005" w:type="dxa"/>
          </w:tcPr>
          <w:p w14:paraId="7F0858F0" w14:textId="77777777" w:rsidR="00730B16" w:rsidRPr="009E0B8E" w:rsidRDefault="00730B16" w:rsidP="00730B16">
            <w:pPr>
              <w:pStyle w:val="NoSpacing"/>
              <w:rPr>
                <w:rFonts w:cstheme="minorHAnsi"/>
                <w:b/>
              </w:rPr>
            </w:pPr>
            <w:r w:rsidRPr="009E0B8E">
              <w:rPr>
                <w:rFonts w:cstheme="minorHAnsi"/>
                <w:b/>
              </w:rPr>
              <w:t xml:space="preserve">Cohort </w:t>
            </w:r>
          </w:p>
        </w:tc>
        <w:tc>
          <w:tcPr>
            <w:tcW w:w="1120" w:type="dxa"/>
            <w:vAlign w:val="bottom"/>
          </w:tcPr>
          <w:p w14:paraId="7E48E44C" w14:textId="77777777" w:rsidR="00730B16" w:rsidRPr="009E0B8E" w:rsidRDefault="00730B16" w:rsidP="00730B16">
            <w:pPr>
              <w:jc w:val="center"/>
              <w:rPr>
                <w:rFonts w:cstheme="minorHAnsi"/>
                <w:b/>
                <w:color w:val="000000"/>
                <w:szCs w:val="20"/>
              </w:rPr>
            </w:pPr>
            <w:r w:rsidRPr="009E0B8E">
              <w:rPr>
                <w:rFonts w:cstheme="minorHAnsi"/>
                <w:b/>
                <w:color w:val="000000"/>
                <w:szCs w:val="20"/>
              </w:rPr>
              <w:t>2016</w:t>
            </w:r>
          </w:p>
        </w:tc>
        <w:tc>
          <w:tcPr>
            <w:tcW w:w="1120" w:type="dxa"/>
            <w:vAlign w:val="bottom"/>
          </w:tcPr>
          <w:p w14:paraId="4D6B3437" w14:textId="77777777" w:rsidR="00730B16" w:rsidRPr="009E0B8E" w:rsidRDefault="00730B16" w:rsidP="00730B16">
            <w:pPr>
              <w:jc w:val="center"/>
              <w:rPr>
                <w:rFonts w:cstheme="minorHAnsi"/>
                <w:b/>
                <w:color w:val="000000"/>
                <w:szCs w:val="20"/>
              </w:rPr>
            </w:pPr>
            <w:r w:rsidRPr="009E0B8E">
              <w:rPr>
                <w:rFonts w:cstheme="minorHAnsi"/>
                <w:b/>
                <w:color w:val="000000"/>
                <w:szCs w:val="20"/>
              </w:rPr>
              <w:t>2018</w:t>
            </w:r>
          </w:p>
        </w:tc>
      </w:tr>
      <w:tr w:rsidR="00730B16" w:rsidRPr="009B6CA1" w14:paraId="796FAC6C" w14:textId="77777777" w:rsidTr="00596851">
        <w:tc>
          <w:tcPr>
            <w:tcW w:w="3005" w:type="dxa"/>
          </w:tcPr>
          <w:p w14:paraId="4E36F44E" w14:textId="77777777" w:rsidR="00730B16" w:rsidRPr="008214BE" w:rsidRDefault="00730B16" w:rsidP="00730B16">
            <w:pPr>
              <w:pStyle w:val="NoSpacing"/>
            </w:pPr>
            <w:proofErr w:type="spellStart"/>
            <w:r>
              <w:t>Statewide</w:t>
            </w:r>
            <w:proofErr w:type="spellEnd"/>
            <w:r>
              <w:t xml:space="preserve"> </w:t>
            </w:r>
          </w:p>
        </w:tc>
        <w:tc>
          <w:tcPr>
            <w:tcW w:w="1120" w:type="dxa"/>
            <w:vAlign w:val="bottom"/>
          </w:tcPr>
          <w:p w14:paraId="2D4732D2" w14:textId="77777777" w:rsidR="00730B16" w:rsidRPr="00730B16" w:rsidRDefault="00730B16" w:rsidP="00730B16">
            <w:pPr>
              <w:jc w:val="right"/>
              <w:rPr>
                <w:rFonts w:cstheme="minorHAnsi"/>
                <w:color w:val="000000"/>
              </w:rPr>
            </w:pPr>
            <w:r w:rsidRPr="00730B16">
              <w:rPr>
                <w:rFonts w:cstheme="minorHAnsi"/>
                <w:color w:val="000000"/>
              </w:rPr>
              <w:t>68.8%</w:t>
            </w:r>
          </w:p>
        </w:tc>
        <w:tc>
          <w:tcPr>
            <w:tcW w:w="1120" w:type="dxa"/>
            <w:vAlign w:val="bottom"/>
          </w:tcPr>
          <w:p w14:paraId="1F757E01" w14:textId="77777777" w:rsidR="00730B16" w:rsidRPr="00730B16" w:rsidRDefault="00730B16" w:rsidP="00730B16">
            <w:pPr>
              <w:jc w:val="right"/>
              <w:rPr>
                <w:rFonts w:cstheme="minorHAnsi"/>
                <w:color w:val="000000"/>
              </w:rPr>
            </w:pPr>
            <w:r w:rsidRPr="00730B16">
              <w:rPr>
                <w:rFonts w:cstheme="minorHAnsi"/>
                <w:color w:val="000000"/>
              </w:rPr>
              <w:t>67.3%</w:t>
            </w:r>
          </w:p>
        </w:tc>
      </w:tr>
      <w:tr w:rsidR="00730B16" w:rsidRPr="009B6CA1" w14:paraId="723F77FF" w14:textId="77777777" w:rsidTr="00596851">
        <w:tc>
          <w:tcPr>
            <w:tcW w:w="3005" w:type="dxa"/>
          </w:tcPr>
          <w:p w14:paraId="4C36B70D" w14:textId="77777777" w:rsidR="00730B16" w:rsidRPr="009B6CA1" w:rsidRDefault="00730B16" w:rsidP="00730B16">
            <w:pPr>
              <w:pStyle w:val="NoSpacing"/>
            </w:pPr>
            <w:r w:rsidRPr="009B6CA1">
              <w:t>Couple family</w:t>
            </w:r>
          </w:p>
        </w:tc>
        <w:tc>
          <w:tcPr>
            <w:tcW w:w="0" w:type="auto"/>
            <w:vAlign w:val="bottom"/>
          </w:tcPr>
          <w:p w14:paraId="6A194576" w14:textId="77777777" w:rsidR="00730B16" w:rsidRPr="00730B16" w:rsidRDefault="00730B16" w:rsidP="00730B16">
            <w:pPr>
              <w:jc w:val="right"/>
              <w:rPr>
                <w:rFonts w:cstheme="minorHAnsi"/>
                <w:color w:val="000000"/>
              </w:rPr>
            </w:pPr>
            <w:r w:rsidRPr="00730B16">
              <w:rPr>
                <w:rFonts w:cstheme="minorHAnsi"/>
                <w:color w:val="000000"/>
              </w:rPr>
              <w:t>73.9%</w:t>
            </w:r>
          </w:p>
        </w:tc>
        <w:tc>
          <w:tcPr>
            <w:tcW w:w="0" w:type="auto"/>
            <w:vAlign w:val="bottom"/>
          </w:tcPr>
          <w:p w14:paraId="668AB49A" w14:textId="77777777" w:rsidR="00730B16" w:rsidRPr="00730B16" w:rsidRDefault="00730B16" w:rsidP="00730B16">
            <w:pPr>
              <w:jc w:val="right"/>
              <w:rPr>
                <w:rFonts w:cstheme="minorHAnsi"/>
                <w:color w:val="000000"/>
              </w:rPr>
            </w:pPr>
            <w:r w:rsidRPr="00730B16">
              <w:rPr>
                <w:rFonts w:cstheme="minorHAnsi"/>
                <w:color w:val="000000"/>
              </w:rPr>
              <w:t>72.0%</w:t>
            </w:r>
          </w:p>
        </w:tc>
      </w:tr>
      <w:tr w:rsidR="00730B16" w:rsidRPr="009B6CA1" w14:paraId="09FB0123" w14:textId="77777777" w:rsidTr="00596851">
        <w:tc>
          <w:tcPr>
            <w:tcW w:w="3005" w:type="dxa"/>
          </w:tcPr>
          <w:p w14:paraId="07EB5BBD" w14:textId="70FD7FCE" w:rsidR="00730B16" w:rsidRPr="009B6CA1" w:rsidRDefault="00C447BB" w:rsidP="00730B16">
            <w:pPr>
              <w:pStyle w:val="NoSpacing"/>
            </w:pPr>
            <w:r>
              <w:t>One parent</w:t>
            </w:r>
            <w:r w:rsidR="00730B16" w:rsidRPr="009B6CA1">
              <w:t xml:space="preserve"> family</w:t>
            </w:r>
          </w:p>
        </w:tc>
        <w:tc>
          <w:tcPr>
            <w:tcW w:w="0" w:type="auto"/>
            <w:vAlign w:val="bottom"/>
          </w:tcPr>
          <w:p w14:paraId="6B2B1CED" w14:textId="77777777" w:rsidR="00730B16" w:rsidRPr="00730B16" w:rsidRDefault="00730B16" w:rsidP="00730B16">
            <w:pPr>
              <w:jc w:val="right"/>
              <w:rPr>
                <w:rFonts w:cstheme="minorHAnsi"/>
                <w:color w:val="000000"/>
              </w:rPr>
            </w:pPr>
            <w:r w:rsidRPr="00730B16">
              <w:rPr>
                <w:rFonts w:cstheme="minorHAnsi"/>
                <w:color w:val="000000"/>
              </w:rPr>
              <w:t>65.1%</w:t>
            </w:r>
          </w:p>
        </w:tc>
        <w:tc>
          <w:tcPr>
            <w:tcW w:w="0" w:type="auto"/>
            <w:vAlign w:val="bottom"/>
          </w:tcPr>
          <w:p w14:paraId="7001A3EF" w14:textId="77777777" w:rsidR="00730B16" w:rsidRPr="00730B16" w:rsidRDefault="00730B16" w:rsidP="00730B16">
            <w:pPr>
              <w:jc w:val="right"/>
              <w:rPr>
                <w:rFonts w:cstheme="minorHAnsi"/>
                <w:color w:val="000000"/>
              </w:rPr>
            </w:pPr>
            <w:r w:rsidRPr="00730B16">
              <w:rPr>
                <w:rFonts w:cstheme="minorHAnsi"/>
                <w:color w:val="000000"/>
              </w:rPr>
              <w:t>63.6%</w:t>
            </w:r>
          </w:p>
        </w:tc>
      </w:tr>
      <w:tr w:rsidR="00730B16" w:rsidRPr="009B6CA1" w14:paraId="1465577D" w14:textId="77777777" w:rsidTr="00596851">
        <w:tc>
          <w:tcPr>
            <w:tcW w:w="3005" w:type="dxa"/>
          </w:tcPr>
          <w:p w14:paraId="7D67522F" w14:textId="77777777" w:rsidR="00730B16" w:rsidRPr="009B6CA1" w:rsidRDefault="00730B16" w:rsidP="00730B16">
            <w:pPr>
              <w:pStyle w:val="NoSpacing"/>
            </w:pPr>
            <w:r w:rsidRPr="009B6CA1">
              <w:t>Female</w:t>
            </w:r>
          </w:p>
        </w:tc>
        <w:tc>
          <w:tcPr>
            <w:tcW w:w="0" w:type="auto"/>
            <w:vAlign w:val="bottom"/>
          </w:tcPr>
          <w:p w14:paraId="7FC8D74C" w14:textId="77777777" w:rsidR="00730B16" w:rsidRPr="00730B16" w:rsidRDefault="00730B16" w:rsidP="00730B16">
            <w:pPr>
              <w:jc w:val="right"/>
              <w:rPr>
                <w:rFonts w:cstheme="minorHAnsi"/>
                <w:color w:val="000000"/>
              </w:rPr>
            </w:pPr>
            <w:r w:rsidRPr="00730B16">
              <w:rPr>
                <w:rFonts w:cstheme="minorHAnsi"/>
                <w:color w:val="000000"/>
              </w:rPr>
              <w:t>68.7%</w:t>
            </w:r>
          </w:p>
        </w:tc>
        <w:tc>
          <w:tcPr>
            <w:tcW w:w="0" w:type="auto"/>
            <w:vAlign w:val="bottom"/>
          </w:tcPr>
          <w:p w14:paraId="56F8731F" w14:textId="77777777" w:rsidR="00730B16" w:rsidRPr="00730B16" w:rsidRDefault="00730B16" w:rsidP="00730B16">
            <w:pPr>
              <w:jc w:val="right"/>
              <w:rPr>
                <w:rFonts w:cstheme="minorHAnsi"/>
                <w:color w:val="000000"/>
              </w:rPr>
            </w:pPr>
            <w:r w:rsidRPr="00730B16">
              <w:rPr>
                <w:rFonts w:cstheme="minorHAnsi"/>
                <w:color w:val="000000"/>
              </w:rPr>
              <w:t>67.6%</w:t>
            </w:r>
          </w:p>
        </w:tc>
      </w:tr>
      <w:tr w:rsidR="00730B16" w:rsidRPr="009B6CA1" w14:paraId="483A2D88" w14:textId="77777777" w:rsidTr="00596851">
        <w:trPr>
          <w:trHeight w:val="77"/>
        </w:trPr>
        <w:tc>
          <w:tcPr>
            <w:tcW w:w="3005" w:type="dxa"/>
          </w:tcPr>
          <w:p w14:paraId="0EDA071E" w14:textId="77777777" w:rsidR="00730B16" w:rsidRPr="009B6CA1" w:rsidRDefault="00730B16" w:rsidP="00730B16">
            <w:pPr>
              <w:pStyle w:val="NoSpacing"/>
            </w:pPr>
            <w:r w:rsidRPr="009B6CA1">
              <w:t>Male</w:t>
            </w:r>
          </w:p>
        </w:tc>
        <w:tc>
          <w:tcPr>
            <w:tcW w:w="0" w:type="auto"/>
            <w:vAlign w:val="bottom"/>
          </w:tcPr>
          <w:p w14:paraId="5D4FBFEC" w14:textId="77777777" w:rsidR="00730B16" w:rsidRPr="00730B16" w:rsidRDefault="00730B16" w:rsidP="00730B16">
            <w:pPr>
              <w:jc w:val="right"/>
              <w:rPr>
                <w:rFonts w:cstheme="minorHAnsi"/>
                <w:color w:val="000000"/>
              </w:rPr>
            </w:pPr>
            <w:r w:rsidRPr="00730B16">
              <w:rPr>
                <w:rFonts w:cstheme="minorHAnsi"/>
                <w:color w:val="000000"/>
              </w:rPr>
              <w:t>68.9%</w:t>
            </w:r>
          </w:p>
        </w:tc>
        <w:tc>
          <w:tcPr>
            <w:tcW w:w="0" w:type="auto"/>
            <w:vAlign w:val="bottom"/>
          </w:tcPr>
          <w:p w14:paraId="57829926" w14:textId="77777777" w:rsidR="00730B16" w:rsidRPr="00730B16" w:rsidRDefault="00730B16" w:rsidP="00730B16">
            <w:pPr>
              <w:jc w:val="right"/>
              <w:rPr>
                <w:rFonts w:cstheme="minorHAnsi"/>
                <w:color w:val="000000"/>
              </w:rPr>
            </w:pPr>
            <w:r w:rsidRPr="00730B16">
              <w:rPr>
                <w:rFonts w:cstheme="minorHAnsi"/>
                <w:color w:val="000000"/>
              </w:rPr>
              <w:t>68.5%</w:t>
            </w:r>
          </w:p>
        </w:tc>
      </w:tr>
      <w:tr w:rsidR="00730B16" w:rsidRPr="009B6CA1" w14:paraId="4E1EEBBE" w14:textId="77777777" w:rsidTr="00596851">
        <w:tc>
          <w:tcPr>
            <w:tcW w:w="3005" w:type="dxa"/>
          </w:tcPr>
          <w:p w14:paraId="7AF1955E" w14:textId="77777777" w:rsidR="00730B16" w:rsidRPr="009B6CA1" w:rsidRDefault="00730B16" w:rsidP="00730B16">
            <w:pPr>
              <w:pStyle w:val="NoSpacing"/>
            </w:pPr>
            <w:r w:rsidRPr="009B6CA1">
              <w:t>LBOTE</w:t>
            </w:r>
          </w:p>
        </w:tc>
        <w:tc>
          <w:tcPr>
            <w:tcW w:w="0" w:type="auto"/>
            <w:vAlign w:val="bottom"/>
          </w:tcPr>
          <w:p w14:paraId="20FC249F" w14:textId="77777777" w:rsidR="00730B16" w:rsidRPr="00730B16" w:rsidRDefault="00730B16" w:rsidP="00730B16">
            <w:pPr>
              <w:jc w:val="right"/>
              <w:rPr>
                <w:rFonts w:cstheme="minorHAnsi"/>
                <w:color w:val="000000"/>
              </w:rPr>
            </w:pPr>
            <w:r w:rsidRPr="00730B16">
              <w:rPr>
                <w:rFonts w:cstheme="minorHAnsi"/>
                <w:color w:val="000000"/>
              </w:rPr>
              <w:t>58.8%</w:t>
            </w:r>
          </w:p>
        </w:tc>
        <w:tc>
          <w:tcPr>
            <w:tcW w:w="0" w:type="auto"/>
            <w:vAlign w:val="bottom"/>
          </w:tcPr>
          <w:p w14:paraId="0415A9C7" w14:textId="77777777" w:rsidR="00730B16" w:rsidRPr="00730B16" w:rsidRDefault="00730B16" w:rsidP="00730B16">
            <w:pPr>
              <w:jc w:val="right"/>
              <w:rPr>
                <w:rFonts w:cstheme="minorHAnsi"/>
                <w:color w:val="000000"/>
              </w:rPr>
            </w:pPr>
            <w:r w:rsidRPr="00730B16">
              <w:rPr>
                <w:rFonts w:cstheme="minorHAnsi"/>
                <w:color w:val="000000"/>
              </w:rPr>
              <w:t>61.6%</w:t>
            </w:r>
          </w:p>
        </w:tc>
      </w:tr>
      <w:tr w:rsidR="00730B16" w:rsidRPr="009B6CA1" w14:paraId="61522C53" w14:textId="77777777" w:rsidTr="00596851">
        <w:tc>
          <w:tcPr>
            <w:tcW w:w="3005" w:type="dxa"/>
          </w:tcPr>
          <w:p w14:paraId="1346B78F" w14:textId="77777777" w:rsidR="00730B16" w:rsidRPr="009B6CA1" w:rsidRDefault="00730B16" w:rsidP="00730B16">
            <w:pPr>
              <w:pStyle w:val="NoSpacing"/>
            </w:pPr>
            <w:r w:rsidRPr="009B6CA1">
              <w:t>Not LBOTE</w:t>
            </w:r>
          </w:p>
        </w:tc>
        <w:tc>
          <w:tcPr>
            <w:tcW w:w="0" w:type="auto"/>
            <w:vAlign w:val="bottom"/>
          </w:tcPr>
          <w:p w14:paraId="1AFCB321" w14:textId="77777777" w:rsidR="00730B16" w:rsidRPr="00730B16" w:rsidRDefault="00730B16" w:rsidP="00730B16">
            <w:pPr>
              <w:jc w:val="right"/>
              <w:rPr>
                <w:rFonts w:cstheme="minorHAnsi"/>
                <w:color w:val="000000"/>
              </w:rPr>
            </w:pPr>
            <w:r w:rsidRPr="00730B16">
              <w:rPr>
                <w:rFonts w:cstheme="minorHAnsi"/>
                <w:color w:val="000000"/>
              </w:rPr>
              <w:t>70.7%</w:t>
            </w:r>
          </w:p>
        </w:tc>
        <w:tc>
          <w:tcPr>
            <w:tcW w:w="0" w:type="auto"/>
            <w:vAlign w:val="bottom"/>
          </w:tcPr>
          <w:p w14:paraId="6B70CC15" w14:textId="77777777" w:rsidR="00730B16" w:rsidRPr="00730B16" w:rsidRDefault="00730B16" w:rsidP="00730B16">
            <w:pPr>
              <w:jc w:val="right"/>
              <w:rPr>
                <w:rFonts w:cstheme="minorHAnsi"/>
                <w:color w:val="000000"/>
              </w:rPr>
            </w:pPr>
            <w:r w:rsidRPr="00730B16">
              <w:rPr>
                <w:rFonts w:cstheme="minorHAnsi"/>
                <w:color w:val="000000"/>
              </w:rPr>
              <w:t>68.9%</w:t>
            </w:r>
          </w:p>
        </w:tc>
      </w:tr>
      <w:tr w:rsidR="00730B16" w:rsidRPr="009B6CA1" w14:paraId="5BC74DB0" w14:textId="77777777" w:rsidTr="00596851">
        <w:tc>
          <w:tcPr>
            <w:tcW w:w="3005" w:type="dxa"/>
          </w:tcPr>
          <w:p w14:paraId="287B5F2B" w14:textId="77777777" w:rsidR="00730B16" w:rsidRPr="009B6CA1" w:rsidRDefault="00730B16" w:rsidP="00730B16">
            <w:pPr>
              <w:pStyle w:val="NoSpacing"/>
            </w:pPr>
            <w:r w:rsidRPr="009B6CA1">
              <w:t xml:space="preserve">Metropolitan </w:t>
            </w:r>
          </w:p>
        </w:tc>
        <w:tc>
          <w:tcPr>
            <w:tcW w:w="0" w:type="auto"/>
            <w:vAlign w:val="bottom"/>
          </w:tcPr>
          <w:p w14:paraId="1FFEC77E" w14:textId="77777777" w:rsidR="00730B16" w:rsidRPr="00730B16" w:rsidRDefault="00730B16" w:rsidP="00730B16">
            <w:pPr>
              <w:jc w:val="right"/>
              <w:rPr>
                <w:rFonts w:cstheme="minorHAnsi"/>
                <w:color w:val="000000"/>
              </w:rPr>
            </w:pPr>
            <w:r w:rsidRPr="00730B16">
              <w:rPr>
                <w:rFonts w:cstheme="minorHAnsi"/>
                <w:color w:val="000000"/>
              </w:rPr>
              <w:t>68.6%</w:t>
            </w:r>
          </w:p>
        </w:tc>
        <w:tc>
          <w:tcPr>
            <w:tcW w:w="0" w:type="auto"/>
            <w:vAlign w:val="bottom"/>
          </w:tcPr>
          <w:p w14:paraId="0C380292" w14:textId="77777777" w:rsidR="00730B16" w:rsidRPr="00730B16" w:rsidRDefault="00730B16" w:rsidP="00730B16">
            <w:pPr>
              <w:jc w:val="right"/>
              <w:rPr>
                <w:rFonts w:cstheme="minorHAnsi"/>
                <w:color w:val="000000"/>
              </w:rPr>
            </w:pPr>
            <w:r w:rsidRPr="00730B16">
              <w:rPr>
                <w:rFonts w:cstheme="minorHAnsi"/>
                <w:color w:val="000000"/>
              </w:rPr>
              <w:t>67.2%</w:t>
            </w:r>
          </w:p>
        </w:tc>
      </w:tr>
      <w:tr w:rsidR="00730B16" w:rsidRPr="009B6CA1" w14:paraId="6839437A" w14:textId="77777777" w:rsidTr="00596851">
        <w:tc>
          <w:tcPr>
            <w:tcW w:w="3005" w:type="dxa"/>
          </w:tcPr>
          <w:p w14:paraId="07FC510D" w14:textId="77777777" w:rsidR="00730B16" w:rsidRPr="009B6CA1" w:rsidRDefault="00730B16" w:rsidP="00730B16">
            <w:pPr>
              <w:pStyle w:val="NoSpacing"/>
            </w:pPr>
            <w:r w:rsidRPr="009B6CA1">
              <w:t>Regional</w:t>
            </w:r>
          </w:p>
        </w:tc>
        <w:tc>
          <w:tcPr>
            <w:tcW w:w="0" w:type="auto"/>
            <w:vAlign w:val="bottom"/>
          </w:tcPr>
          <w:p w14:paraId="75BE19B7" w14:textId="77777777" w:rsidR="00730B16" w:rsidRPr="00730B16" w:rsidRDefault="00730B16" w:rsidP="00730B16">
            <w:pPr>
              <w:jc w:val="right"/>
              <w:rPr>
                <w:rFonts w:cstheme="minorHAnsi"/>
                <w:color w:val="000000"/>
              </w:rPr>
            </w:pPr>
            <w:r w:rsidRPr="00730B16">
              <w:rPr>
                <w:rFonts w:cstheme="minorHAnsi"/>
                <w:color w:val="000000"/>
              </w:rPr>
              <w:t>69.4%</w:t>
            </w:r>
          </w:p>
        </w:tc>
        <w:tc>
          <w:tcPr>
            <w:tcW w:w="0" w:type="auto"/>
            <w:vAlign w:val="bottom"/>
          </w:tcPr>
          <w:p w14:paraId="18ED71F3" w14:textId="77777777" w:rsidR="00730B16" w:rsidRPr="00730B16" w:rsidRDefault="00730B16" w:rsidP="00730B16">
            <w:pPr>
              <w:jc w:val="right"/>
              <w:rPr>
                <w:rFonts w:cstheme="minorHAnsi"/>
                <w:color w:val="000000"/>
              </w:rPr>
            </w:pPr>
            <w:r w:rsidRPr="00730B16">
              <w:rPr>
                <w:rFonts w:cstheme="minorHAnsi"/>
                <w:color w:val="000000"/>
              </w:rPr>
              <w:t>67.6%</w:t>
            </w:r>
          </w:p>
        </w:tc>
      </w:tr>
      <w:tr w:rsidR="00730B16" w:rsidRPr="009B6CA1" w14:paraId="132C5CE8" w14:textId="77777777" w:rsidTr="00596851">
        <w:tc>
          <w:tcPr>
            <w:tcW w:w="3005" w:type="dxa"/>
          </w:tcPr>
          <w:p w14:paraId="77DE951B" w14:textId="77777777" w:rsidR="00730B16" w:rsidRPr="009B6CA1" w:rsidRDefault="00730B16" w:rsidP="00730B16">
            <w:pPr>
              <w:pStyle w:val="NoSpacing"/>
            </w:pPr>
            <w:r>
              <w:t>Year 5</w:t>
            </w:r>
          </w:p>
        </w:tc>
        <w:tc>
          <w:tcPr>
            <w:tcW w:w="0" w:type="auto"/>
            <w:vAlign w:val="bottom"/>
          </w:tcPr>
          <w:p w14:paraId="310B1B54" w14:textId="77777777" w:rsidR="00730B16" w:rsidRPr="00730B16" w:rsidRDefault="00730B16" w:rsidP="00730B16">
            <w:pPr>
              <w:jc w:val="right"/>
              <w:rPr>
                <w:rFonts w:cstheme="minorHAnsi"/>
                <w:color w:val="000000"/>
              </w:rPr>
            </w:pPr>
            <w:r w:rsidRPr="00730B16">
              <w:rPr>
                <w:rFonts w:cstheme="minorHAnsi"/>
                <w:color w:val="000000"/>
              </w:rPr>
              <w:t>72.3%</w:t>
            </w:r>
          </w:p>
        </w:tc>
        <w:tc>
          <w:tcPr>
            <w:tcW w:w="0" w:type="auto"/>
            <w:vAlign w:val="bottom"/>
          </w:tcPr>
          <w:p w14:paraId="12243C5C" w14:textId="77777777" w:rsidR="00730B16" w:rsidRPr="00730B16" w:rsidRDefault="00730B16" w:rsidP="00730B16">
            <w:pPr>
              <w:jc w:val="right"/>
              <w:rPr>
                <w:rFonts w:cstheme="minorHAnsi"/>
                <w:color w:val="000000"/>
              </w:rPr>
            </w:pPr>
            <w:r w:rsidRPr="00730B16">
              <w:rPr>
                <w:rFonts w:cstheme="minorHAnsi"/>
                <w:color w:val="000000"/>
              </w:rPr>
              <w:t>72.6%</w:t>
            </w:r>
          </w:p>
        </w:tc>
      </w:tr>
      <w:tr w:rsidR="00730B16" w:rsidRPr="009B6CA1" w14:paraId="2250FC12" w14:textId="77777777" w:rsidTr="00596851">
        <w:tc>
          <w:tcPr>
            <w:tcW w:w="3005" w:type="dxa"/>
          </w:tcPr>
          <w:p w14:paraId="27F4EEB3" w14:textId="77777777" w:rsidR="00730B16" w:rsidRPr="009B6CA1" w:rsidRDefault="00730B16" w:rsidP="00730B16">
            <w:pPr>
              <w:pStyle w:val="NoSpacing"/>
            </w:pPr>
            <w:r w:rsidRPr="009B6CA1">
              <w:t>Year 8</w:t>
            </w:r>
          </w:p>
        </w:tc>
        <w:tc>
          <w:tcPr>
            <w:tcW w:w="0" w:type="auto"/>
            <w:vAlign w:val="bottom"/>
          </w:tcPr>
          <w:p w14:paraId="7A760843" w14:textId="77777777" w:rsidR="00730B16" w:rsidRPr="00730B16" w:rsidRDefault="00730B16" w:rsidP="00730B16">
            <w:pPr>
              <w:jc w:val="right"/>
              <w:rPr>
                <w:rFonts w:cstheme="minorHAnsi"/>
                <w:color w:val="000000"/>
              </w:rPr>
            </w:pPr>
            <w:r w:rsidRPr="00730B16">
              <w:rPr>
                <w:rFonts w:cstheme="minorHAnsi"/>
                <w:color w:val="000000"/>
              </w:rPr>
              <w:t>65.8%</w:t>
            </w:r>
          </w:p>
        </w:tc>
        <w:tc>
          <w:tcPr>
            <w:tcW w:w="0" w:type="auto"/>
            <w:vAlign w:val="bottom"/>
          </w:tcPr>
          <w:p w14:paraId="1D27FE3C" w14:textId="77777777" w:rsidR="00730B16" w:rsidRPr="00730B16" w:rsidRDefault="00730B16" w:rsidP="00730B16">
            <w:pPr>
              <w:jc w:val="right"/>
              <w:rPr>
                <w:rFonts w:cstheme="minorHAnsi"/>
                <w:color w:val="000000"/>
              </w:rPr>
            </w:pPr>
            <w:r w:rsidRPr="00730B16">
              <w:rPr>
                <w:rFonts w:cstheme="minorHAnsi"/>
                <w:color w:val="000000"/>
              </w:rPr>
              <w:t>62.4%</w:t>
            </w:r>
          </w:p>
        </w:tc>
      </w:tr>
      <w:tr w:rsidR="00730B16" w:rsidRPr="009B6CA1" w14:paraId="7BE13075" w14:textId="77777777" w:rsidTr="00596851">
        <w:trPr>
          <w:trHeight w:val="77"/>
        </w:trPr>
        <w:tc>
          <w:tcPr>
            <w:tcW w:w="3005" w:type="dxa"/>
          </w:tcPr>
          <w:p w14:paraId="17E301D4" w14:textId="77777777" w:rsidR="00730B16" w:rsidRPr="009B6CA1" w:rsidRDefault="00730B16" w:rsidP="00730B16">
            <w:pPr>
              <w:pStyle w:val="NoSpacing"/>
            </w:pPr>
            <w:r w:rsidRPr="009B6CA1">
              <w:t>Year 11</w:t>
            </w:r>
          </w:p>
        </w:tc>
        <w:tc>
          <w:tcPr>
            <w:tcW w:w="0" w:type="auto"/>
            <w:vAlign w:val="bottom"/>
          </w:tcPr>
          <w:p w14:paraId="7AC9D9D5" w14:textId="77777777" w:rsidR="00730B16" w:rsidRPr="00730B16" w:rsidRDefault="00730B16" w:rsidP="00730B16">
            <w:pPr>
              <w:jc w:val="right"/>
              <w:rPr>
                <w:rFonts w:cstheme="minorHAnsi"/>
                <w:color w:val="000000"/>
              </w:rPr>
            </w:pPr>
            <w:r w:rsidRPr="00730B16">
              <w:rPr>
                <w:rFonts w:cstheme="minorHAnsi"/>
                <w:color w:val="000000"/>
              </w:rPr>
              <w:t>67.6%</w:t>
            </w:r>
          </w:p>
        </w:tc>
        <w:tc>
          <w:tcPr>
            <w:tcW w:w="0" w:type="auto"/>
            <w:vAlign w:val="bottom"/>
          </w:tcPr>
          <w:p w14:paraId="2CB6CCF2" w14:textId="77777777" w:rsidR="00730B16" w:rsidRPr="00730B16" w:rsidRDefault="00730B16" w:rsidP="00730B16">
            <w:pPr>
              <w:jc w:val="right"/>
              <w:rPr>
                <w:rFonts w:cstheme="minorHAnsi"/>
                <w:color w:val="000000"/>
              </w:rPr>
            </w:pPr>
            <w:r w:rsidRPr="00730B16">
              <w:rPr>
                <w:rFonts w:cstheme="minorHAnsi"/>
                <w:color w:val="000000"/>
              </w:rPr>
              <w:t>64.0%</w:t>
            </w:r>
          </w:p>
        </w:tc>
      </w:tr>
    </w:tbl>
    <w:p w14:paraId="090D02D3" w14:textId="77777777" w:rsidR="00485278" w:rsidRDefault="00485278" w:rsidP="00485278">
      <w:pPr>
        <w:rPr>
          <w:b/>
        </w:rPr>
      </w:pPr>
    </w:p>
    <w:p w14:paraId="5332181E" w14:textId="77777777" w:rsidR="00485278" w:rsidRDefault="00485278" w:rsidP="00485278">
      <w:pPr>
        <w:pStyle w:val="Heading2"/>
      </w:pPr>
      <w:bookmarkStart w:id="19" w:name="_Toc19111722"/>
      <w:r>
        <w:t>Quality of life</w:t>
      </w:r>
      <w:bookmarkEnd w:id="19"/>
    </w:p>
    <w:p w14:paraId="1AB370D6" w14:textId="77777777" w:rsidR="008E14C5" w:rsidRPr="009478A4" w:rsidRDefault="008E14C5" w:rsidP="00790DEF">
      <w:r w:rsidRPr="00F14F4B">
        <w:t>Students were asked to rate their satisfaction with their lives on a scale from 0: “Worst possible life”</w:t>
      </w:r>
      <w:r>
        <w:t>,</w:t>
      </w:r>
      <w:r w:rsidRPr="00F14F4B">
        <w:t xml:space="preserve"> to 10</w:t>
      </w:r>
      <w:r>
        <w:t>:</w:t>
      </w:r>
      <w:r w:rsidRPr="00F14F4B">
        <w:t xml:space="preserve"> “Best possible life”. </w:t>
      </w:r>
      <w:r>
        <w:t>I</w:t>
      </w:r>
      <w:r w:rsidRPr="009478A4">
        <w:t>n 201</w:t>
      </w:r>
      <w:r>
        <w:t>8</w:t>
      </w:r>
      <w:r w:rsidRPr="009478A4">
        <w:t xml:space="preserve">, </w:t>
      </w:r>
      <w:r>
        <w:t xml:space="preserve">almost </w:t>
      </w:r>
      <w:r w:rsidRPr="009478A4">
        <w:t>three in four students were satisfied with their lives (</w:t>
      </w:r>
      <w:r>
        <w:t>72</w:t>
      </w:r>
      <w:r w:rsidRPr="009478A4">
        <w:t xml:space="preserve"> per cent)</w:t>
      </w:r>
      <w:r>
        <w:t>. This was a small, but significant decrease from 2016 when 75 per cent of students were satisfied with their life</w:t>
      </w:r>
      <w:r w:rsidRPr="009478A4">
        <w:t xml:space="preserve">. </w:t>
      </w:r>
    </w:p>
    <w:p w14:paraId="38B59E4A" w14:textId="191E0B40" w:rsidR="00485278" w:rsidRDefault="008E14C5" w:rsidP="008E14C5">
      <w:r w:rsidRPr="009478A4">
        <w:t>Males were more likely to be satisfied with their lives (</w:t>
      </w:r>
      <w:r>
        <w:t>75</w:t>
      </w:r>
      <w:r w:rsidRPr="009478A4">
        <w:t xml:space="preserve"> per cent) </w:t>
      </w:r>
      <w:r>
        <w:t>than</w:t>
      </w:r>
      <w:r w:rsidRPr="009478A4">
        <w:t xml:space="preserve"> females (</w:t>
      </w:r>
      <w:r>
        <w:t>70</w:t>
      </w:r>
      <w:r w:rsidRPr="009478A4">
        <w:t xml:space="preserve"> per cent).</w:t>
      </w:r>
      <w:r>
        <w:t xml:space="preserve"> </w:t>
      </w:r>
      <w:r w:rsidRPr="009478A4">
        <w:t xml:space="preserve">Students in couple families were significantly more likely </w:t>
      </w:r>
      <w:r>
        <w:t xml:space="preserve">to be </w:t>
      </w:r>
      <w:r w:rsidRPr="009478A4">
        <w:t>satisfied with their lives (</w:t>
      </w:r>
      <w:r>
        <w:t>77</w:t>
      </w:r>
      <w:r w:rsidRPr="009478A4">
        <w:t xml:space="preserve"> per cent) </w:t>
      </w:r>
      <w:r>
        <w:t>than</w:t>
      </w:r>
      <w:r w:rsidRPr="009478A4">
        <w:t xml:space="preserve"> students from </w:t>
      </w:r>
      <w:r w:rsidR="00C447BB">
        <w:t>one parent</w:t>
      </w:r>
      <w:r w:rsidRPr="009478A4">
        <w:t xml:space="preserve"> families (</w:t>
      </w:r>
      <w:r>
        <w:t>63</w:t>
      </w:r>
      <w:r w:rsidRPr="009478A4">
        <w:t xml:space="preserve"> per cent).</w:t>
      </w:r>
      <w:r>
        <w:t xml:space="preserve"> </w:t>
      </w:r>
      <w:r w:rsidRPr="009478A4">
        <w:t xml:space="preserve">Students from language backgrounds other </w:t>
      </w:r>
      <w:r w:rsidRPr="009478A4">
        <w:lastRenderedPageBreak/>
        <w:t>than English were less likely to report satisfaction with their lives (</w:t>
      </w:r>
      <w:r>
        <w:t>68</w:t>
      </w:r>
      <w:r w:rsidRPr="009478A4">
        <w:t xml:space="preserve"> per cent) </w:t>
      </w:r>
      <w:r>
        <w:t>than</w:t>
      </w:r>
      <w:r w:rsidRPr="009478A4">
        <w:t xml:space="preserve"> those from an English-speaking background (</w:t>
      </w:r>
      <w:r>
        <w:t>73</w:t>
      </w:r>
      <w:r w:rsidRPr="009478A4">
        <w:t xml:space="preserve"> per cent).</w:t>
      </w:r>
    </w:p>
    <w:p w14:paraId="2A8660B0" w14:textId="77777777" w:rsidR="00730293" w:rsidRDefault="00730293" w:rsidP="00485278"/>
    <w:p w14:paraId="003817AF" w14:textId="77777777" w:rsidR="00730293" w:rsidRPr="00730293" w:rsidRDefault="00730293" w:rsidP="00730293">
      <w:pPr>
        <w:rPr>
          <w:i/>
          <w:sz w:val="20"/>
        </w:rPr>
      </w:pPr>
      <w:r w:rsidRPr="00730293">
        <w:rPr>
          <w:i/>
          <w:sz w:val="20"/>
        </w:rPr>
        <w:t xml:space="preserve">Table </w:t>
      </w:r>
      <w:r w:rsidRPr="00730293">
        <w:rPr>
          <w:i/>
          <w:sz w:val="20"/>
        </w:rPr>
        <w:fldChar w:fldCharType="begin"/>
      </w:r>
      <w:r w:rsidRPr="00730293">
        <w:rPr>
          <w:i/>
          <w:sz w:val="20"/>
        </w:rPr>
        <w:instrText xml:space="preserve"> SEQ Table \* ARABIC </w:instrText>
      </w:r>
      <w:r w:rsidRPr="00730293">
        <w:rPr>
          <w:i/>
          <w:sz w:val="20"/>
        </w:rPr>
        <w:fldChar w:fldCharType="separate"/>
      </w:r>
      <w:r w:rsidR="005F509B">
        <w:rPr>
          <w:i/>
          <w:noProof/>
          <w:sz w:val="20"/>
        </w:rPr>
        <w:t>7</w:t>
      </w:r>
      <w:r w:rsidRPr="00730293">
        <w:rPr>
          <w:i/>
          <w:sz w:val="20"/>
        </w:rPr>
        <w:fldChar w:fldCharType="end"/>
      </w:r>
      <w:r w:rsidRPr="00730293">
        <w:rPr>
          <w:i/>
          <w:sz w:val="20"/>
        </w:rPr>
        <w:t xml:space="preserve"> Proportion of students who are satisfied with the quality of their life, by cohort, 2016 &amp; 2018</w:t>
      </w:r>
    </w:p>
    <w:tbl>
      <w:tblPr>
        <w:tblStyle w:val="TableGrid"/>
        <w:tblW w:w="0" w:type="auto"/>
        <w:tblLook w:val="04A0" w:firstRow="1" w:lastRow="0" w:firstColumn="1" w:lastColumn="0" w:noHBand="0" w:noVBand="1"/>
        <w:tblCaption w:val="Proportion of students who are satisfied with the quality of their life, by cohort, 2016 and 2018"/>
        <w:tblDescription w:val="This table sets out the proportion of Victorian students who reported being satisfied with their lives in 2016 and 2018, by cohort. The table provides the proportion of students statewide, in couple parent families or single parent families, females, males, students from a language background other than English and students from English-speaking backgrounds, students in metropolitan and regional Victoria, and students in Year 5, Year 8 and Year 11. "/>
      </w:tblPr>
      <w:tblGrid>
        <w:gridCol w:w="3005"/>
        <w:gridCol w:w="1120"/>
        <w:gridCol w:w="1120"/>
      </w:tblGrid>
      <w:tr w:rsidR="00730293" w:rsidRPr="00730293" w14:paraId="6D70510F" w14:textId="77777777" w:rsidTr="005F509B">
        <w:trPr>
          <w:tblHeader/>
        </w:trPr>
        <w:tc>
          <w:tcPr>
            <w:tcW w:w="3005" w:type="dxa"/>
          </w:tcPr>
          <w:p w14:paraId="02F13C97" w14:textId="77777777" w:rsidR="00730293" w:rsidRPr="00730293" w:rsidRDefault="00730293" w:rsidP="00730293">
            <w:pPr>
              <w:pStyle w:val="NoSpacing"/>
              <w:rPr>
                <w:rFonts w:cstheme="minorHAnsi"/>
                <w:b/>
              </w:rPr>
            </w:pPr>
            <w:r w:rsidRPr="00730293">
              <w:rPr>
                <w:rFonts w:cstheme="minorHAnsi"/>
                <w:b/>
              </w:rPr>
              <w:t xml:space="preserve">Cohort </w:t>
            </w:r>
          </w:p>
        </w:tc>
        <w:tc>
          <w:tcPr>
            <w:tcW w:w="1120" w:type="dxa"/>
            <w:vAlign w:val="bottom"/>
          </w:tcPr>
          <w:p w14:paraId="7BAE202E" w14:textId="77777777" w:rsidR="00730293" w:rsidRPr="00730293" w:rsidRDefault="00730293" w:rsidP="00730293">
            <w:pPr>
              <w:jc w:val="center"/>
              <w:rPr>
                <w:rFonts w:cstheme="minorHAnsi"/>
                <w:b/>
                <w:color w:val="000000"/>
              </w:rPr>
            </w:pPr>
            <w:r w:rsidRPr="00730293">
              <w:rPr>
                <w:rFonts w:cstheme="minorHAnsi"/>
                <w:b/>
                <w:color w:val="000000"/>
              </w:rPr>
              <w:t>2016</w:t>
            </w:r>
          </w:p>
        </w:tc>
        <w:tc>
          <w:tcPr>
            <w:tcW w:w="1120" w:type="dxa"/>
            <w:vAlign w:val="center"/>
          </w:tcPr>
          <w:p w14:paraId="62157D2F" w14:textId="77777777" w:rsidR="00730293" w:rsidRPr="00730293" w:rsidRDefault="00730293" w:rsidP="00730293">
            <w:pPr>
              <w:jc w:val="center"/>
              <w:rPr>
                <w:rFonts w:cstheme="minorHAnsi"/>
                <w:b/>
                <w:color w:val="000000"/>
              </w:rPr>
            </w:pPr>
            <w:r w:rsidRPr="00730293">
              <w:rPr>
                <w:rFonts w:cstheme="minorHAnsi"/>
                <w:b/>
                <w:color w:val="000000"/>
              </w:rPr>
              <w:t>2018</w:t>
            </w:r>
          </w:p>
        </w:tc>
      </w:tr>
      <w:tr w:rsidR="00730293" w:rsidRPr="00730293" w14:paraId="61006662" w14:textId="77777777" w:rsidTr="00596851">
        <w:tc>
          <w:tcPr>
            <w:tcW w:w="3005" w:type="dxa"/>
          </w:tcPr>
          <w:p w14:paraId="08E29640" w14:textId="77777777" w:rsidR="00730293" w:rsidRPr="00730293" w:rsidRDefault="00730293" w:rsidP="00730293">
            <w:pPr>
              <w:pStyle w:val="NoSpacing"/>
              <w:rPr>
                <w:rFonts w:cstheme="minorHAnsi"/>
              </w:rPr>
            </w:pPr>
            <w:proofErr w:type="spellStart"/>
            <w:r w:rsidRPr="00730293">
              <w:rPr>
                <w:rFonts w:cstheme="minorHAnsi"/>
              </w:rPr>
              <w:t>Statewide</w:t>
            </w:r>
            <w:proofErr w:type="spellEnd"/>
            <w:r w:rsidRPr="00730293">
              <w:rPr>
                <w:rFonts w:cstheme="minorHAnsi"/>
              </w:rPr>
              <w:t xml:space="preserve"> </w:t>
            </w:r>
          </w:p>
        </w:tc>
        <w:tc>
          <w:tcPr>
            <w:tcW w:w="1120" w:type="dxa"/>
            <w:vAlign w:val="bottom"/>
          </w:tcPr>
          <w:p w14:paraId="77AADB01" w14:textId="77777777" w:rsidR="00730293" w:rsidRPr="00730293" w:rsidRDefault="00730293" w:rsidP="00730293">
            <w:pPr>
              <w:jc w:val="right"/>
              <w:rPr>
                <w:rFonts w:cstheme="minorHAnsi"/>
                <w:color w:val="000000"/>
              </w:rPr>
            </w:pPr>
            <w:r w:rsidRPr="00730293">
              <w:rPr>
                <w:rFonts w:cstheme="minorHAnsi"/>
                <w:color w:val="000000"/>
              </w:rPr>
              <w:t>74.8%</w:t>
            </w:r>
          </w:p>
        </w:tc>
        <w:tc>
          <w:tcPr>
            <w:tcW w:w="1120" w:type="dxa"/>
            <w:vAlign w:val="center"/>
          </w:tcPr>
          <w:p w14:paraId="70A0B9AF" w14:textId="77777777" w:rsidR="00730293" w:rsidRPr="00730293" w:rsidRDefault="00730293" w:rsidP="00730293">
            <w:pPr>
              <w:jc w:val="right"/>
              <w:rPr>
                <w:rFonts w:cstheme="minorHAnsi"/>
                <w:color w:val="000000"/>
              </w:rPr>
            </w:pPr>
            <w:r w:rsidRPr="00730293">
              <w:rPr>
                <w:rFonts w:cstheme="minorHAnsi"/>
                <w:color w:val="000000"/>
              </w:rPr>
              <w:t>71.9%</w:t>
            </w:r>
          </w:p>
        </w:tc>
      </w:tr>
      <w:tr w:rsidR="00730293" w:rsidRPr="00730293" w14:paraId="7F8EE709" w14:textId="77777777" w:rsidTr="00596851">
        <w:tc>
          <w:tcPr>
            <w:tcW w:w="3005" w:type="dxa"/>
          </w:tcPr>
          <w:p w14:paraId="6764A886" w14:textId="77777777" w:rsidR="00730293" w:rsidRPr="00730293" w:rsidRDefault="00730293" w:rsidP="00730293">
            <w:pPr>
              <w:pStyle w:val="NoSpacing"/>
              <w:rPr>
                <w:rFonts w:cstheme="minorHAnsi"/>
              </w:rPr>
            </w:pPr>
            <w:r w:rsidRPr="00730293">
              <w:rPr>
                <w:rFonts w:cstheme="minorHAnsi"/>
              </w:rPr>
              <w:t>Couple family</w:t>
            </w:r>
          </w:p>
        </w:tc>
        <w:tc>
          <w:tcPr>
            <w:tcW w:w="0" w:type="auto"/>
            <w:vAlign w:val="bottom"/>
          </w:tcPr>
          <w:p w14:paraId="1BA1FE3D" w14:textId="77777777" w:rsidR="00730293" w:rsidRPr="00730293" w:rsidRDefault="00730293" w:rsidP="00730293">
            <w:pPr>
              <w:jc w:val="right"/>
              <w:rPr>
                <w:rFonts w:cstheme="minorHAnsi"/>
                <w:color w:val="000000"/>
              </w:rPr>
            </w:pPr>
            <w:r w:rsidRPr="00730293">
              <w:rPr>
                <w:rFonts w:cstheme="minorHAnsi"/>
                <w:color w:val="000000"/>
              </w:rPr>
              <w:t>80.1%</w:t>
            </w:r>
          </w:p>
        </w:tc>
        <w:tc>
          <w:tcPr>
            <w:tcW w:w="0" w:type="auto"/>
            <w:vAlign w:val="bottom"/>
          </w:tcPr>
          <w:p w14:paraId="30A330AB" w14:textId="77777777" w:rsidR="00730293" w:rsidRPr="00730293" w:rsidRDefault="00730293" w:rsidP="00730293">
            <w:pPr>
              <w:jc w:val="right"/>
              <w:rPr>
                <w:rFonts w:cstheme="minorHAnsi"/>
                <w:color w:val="000000"/>
              </w:rPr>
            </w:pPr>
            <w:r w:rsidRPr="00730293">
              <w:rPr>
                <w:rFonts w:cstheme="minorHAnsi"/>
                <w:color w:val="000000"/>
              </w:rPr>
              <w:t>77.2%</w:t>
            </w:r>
          </w:p>
        </w:tc>
      </w:tr>
      <w:tr w:rsidR="00730293" w:rsidRPr="00730293" w14:paraId="79A8E508" w14:textId="77777777" w:rsidTr="00596851">
        <w:tc>
          <w:tcPr>
            <w:tcW w:w="3005" w:type="dxa"/>
          </w:tcPr>
          <w:p w14:paraId="28423916" w14:textId="5FF2B3B6" w:rsidR="00730293" w:rsidRPr="00730293" w:rsidRDefault="00C447BB" w:rsidP="00730293">
            <w:pPr>
              <w:pStyle w:val="NoSpacing"/>
              <w:rPr>
                <w:rFonts w:cstheme="minorHAnsi"/>
              </w:rPr>
            </w:pPr>
            <w:r>
              <w:rPr>
                <w:rFonts w:cstheme="minorHAnsi"/>
              </w:rPr>
              <w:t>One parent</w:t>
            </w:r>
            <w:r w:rsidR="00730293" w:rsidRPr="00730293">
              <w:rPr>
                <w:rFonts w:cstheme="minorHAnsi"/>
              </w:rPr>
              <w:t xml:space="preserve"> family</w:t>
            </w:r>
          </w:p>
        </w:tc>
        <w:tc>
          <w:tcPr>
            <w:tcW w:w="0" w:type="auto"/>
            <w:vAlign w:val="bottom"/>
          </w:tcPr>
          <w:p w14:paraId="0F94BB5D" w14:textId="77777777" w:rsidR="00730293" w:rsidRPr="00730293" w:rsidRDefault="00730293" w:rsidP="00730293">
            <w:pPr>
              <w:jc w:val="right"/>
              <w:rPr>
                <w:rFonts w:cstheme="minorHAnsi"/>
                <w:color w:val="000000"/>
              </w:rPr>
            </w:pPr>
            <w:r w:rsidRPr="00730293">
              <w:rPr>
                <w:rFonts w:cstheme="minorHAnsi"/>
                <w:color w:val="000000"/>
              </w:rPr>
              <w:t>66.7%</w:t>
            </w:r>
          </w:p>
        </w:tc>
        <w:tc>
          <w:tcPr>
            <w:tcW w:w="0" w:type="auto"/>
            <w:vAlign w:val="bottom"/>
          </w:tcPr>
          <w:p w14:paraId="57E4A55E" w14:textId="77777777" w:rsidR="00730293" w:rsidRPr="00730293" w:rsidRDefault="00730293" w:rsidP="00730293">
            <w:pPr>
              <w:jc w:val="right"/>
              <w:rPr>
                <w:rFonts w:cstheme="minorHAnsi"/>
                <w:color w:val="000000"/>
              </w:rPr>
            </w:pPr>
            <w:r w:rsidRPr="00730293">
              <w:rPr>
                <w:rFonts w:cstheme="minorHAnsi"/>
                <w:color w:val="000000"/>
              </w:rPr>
              <w:t>63.4%</w:t>
            </w:r>
          </w:p>
        </w:tc>
      </w:tr>
      <w:tr w:rsidR="00730293" w:rsidRPr="00730293" w14:paraId="21C7362D" w14:textId="77777777" w:rsidTr="00596851">
        <w:tc>
          <w:tcPr>
            <w:tcW w:w="3005" w:type="dxa"/>
          </w:tcPr>
          <w:p w14:paraId="5F675499" w14:textId="77777777" w:rsidR="00730293" w:rsidRPr="00730293" w:rsidRDefault="00730293" w:rsidP="00730293">
            <w:pPr>
              <w:pStyle w:val="NoSpacing"/>
              <w:rPr>
                <w:rFonts w:cstheme="minorHAnsi"/>
              </w:rPr>
            </w:pPr>
            <w:r w:rsidRPr="00730293">
              <w:rPr>
                <w:rFonts w:cstheme="minorHAnsi"/>
              </w:rPr>
              <w:t>Female</w:t>
            </w:r>
          </w:p>
        </w:tc>
        <w:tc>
          <w:tcPr>
            <w:tcW w:w="0" w:type="auto"/>
            <w:vAlign w:val="bottom"/>
          </w:tcPr>
          <w:p w14:paraId="1A25529E" w14:textId="77777777" w:rsidR="00730293" w:rsidRPr="00730293" w:rsidRDefault="00730293" w:rsidP="00730293">
            <w:pPr>
              <w:jc w:val="right"/>
              <w:rPr>
                <w:rFonts w:cstheme="minorHAnsi"/>
                <w:color w:val="000000"/>
              </w:rPr>
            </w:pPr>
            <w:r w:rsidRPr="00730293">
              <w:rPr>
                <w:rFonts w:cstheme="minorHAnsi"/>
                <w:color w:val="000000"/>
              </w:rPr>
              <w:t>71.4%</w:t>
            </w:r>
          </w:p>
        </w:tc>
        <w:tc>
          <w:tcPr>
            <w:tcW w:w="0" w:type="auto"/>
            <w:vAlign w:val="bottom"/>
          </w:tcPr>
          <w:p w14:paraId="24DF337E" w14:textId="77777777" w:rsidR="00730293" w:rsidRPr="00730293" w:rsidRDefault="00730293" w:rsidP="00730293">
            <w:pPr>
              <w:jc w:val="right"/>
              <w:rPr>
                <w:rFonts w:cstheme="minorHAnsi"/>
                <w:color w:val="000000"/>
              </w:rPr>
            </w:pPr>
            <w:r w:rsidRPr="00730293">
              <w:rPr>
                <w:rFonts w:cstheme="minorHAnsi"/>
                <w:color w:val="000000"/>
              </w:rPr>
              <w:t>70.1%</w:t>
            </w:r>
          </w:p>
        </w:tc>
      </w:tr>
      <w:tr w:rsidR="00730293" w:rsidRPr="00730293" w14:paraId="6DA6147D" w14:textId="77777777" w:rsidTr="00596851">
        <w:trPr>
          <w:trHeight w:val="77"/>
        </w:trPr>
        <w:tc>
          <w:tcPr>
            <w:tcW w:w="3005" w:type="dxa"/>
          </w:tcPr>
          <w:p w14:paraId="7276282C" w14:textId="77777777" w:rsidR="00730293" w:rsidRPr="00730293" w:rsidRDefault="00730293" w:rsidP="00730293">
            <w:pPr>
              <w:pStyle w:val="NoSpacing"/>
              <w:rPr>
                <w:rFonts w:cstheme="minorHAnsi"/>
              </w:rPr>
            </w:pPr>
            <w:r w:rsidRPr="00730293">
              <w:rPr>
                <w:rFonts w:cstheme="minorHAnsi"/>
              </w:rPr>
              <w:t>Male</w:t>
            </w:r>
          </w:p>
        </w:tc>
        <w:tc>
          <w:tcPr>
            <w:tcW w:w="0" w:type="auto"/>
            <w:vAlign w:val="bottom"/>
          </w:tcPr>
          <w:p w14:paraId="39F0194B" w14:textId="77777777" w:rsidR="00730293" w:rsidRPr="00730293" w:rsidRDefault="00730293" w:rsidP="00730293">
            <w:pPr>
              <w:jc w:val="right"/>
              <w:rPr>
                <w:rFonts w:cstheme="minorHAnsi"/>
                <w:color w:val="000000"/>
              </w:rPr>
            </w:pPr>
            <w:r w:rsidRPr="00730293">
              <w:rPr>
                <w:rFonts w:cstheme="minorHAnsi"/>
                <w:color w:val="000000"/>
              </w:rPr>
              <w:t>78.2%</w:t>
            </w:r>
          </w:p>
        </w:tc>
        <w:tc>
          <w:tcPr>
            <w:tcW w:w="0" w:type="auto"/>
            <w:vAlign w:val="bottom"/>
          </w:tcPr>
          <w:p w14:paraId="4B072F15" w14:textId="77777777" w:rsidR="00730293" w:rsidRPr="00730293" w:rsidRDefault="00730293" w:rsidP="00730293">
            <w:pPr>
              <w:jc w:val="right"/>
              <w:rPr>
                <w:rFonts w:cstheme="minorHAnsi"/>
                <w:color w:val="000000"/>
              </w:rPr>
            </w:pPr>
            <w:r w:rsidRPr="00730293">
              <w:rPr>
                <w:rFonts w:cstheme="minorHAnsi"/>
                <w:color w:val="000000"/>
              </w:rPr>
              <w:t>75.2%</w:t>
            </w:r>
          </w:p>
        </w:tc>
      </w:tr>
      <w:tr w:rsidR="00730293" w:rsidRPr="00730293" w14:paraId="6294CB85" w14:textId="77777777" w:rsidTr="00596851">
        <w:tc>
          <w:tcPr>
            <w:tcW w:w="3005" w:type="dxa"/>
          </w:tcPr>
          <w:p w14:paraId="176CF3C7" w14:textId="77777777" w:rsidR="00730293" w:rsidRPr="00730293" w:rsidRDefault="00730293" w:rsidP="00730293">
            <w:pPr>
              <w:pStyle w:val="NoSpacing"/>
              <w:rPr>
                <w:rFonts w:cstheme="minorHAnsi"/>
              </w:rPr>
            </w:pPr>
            <w:r w:rsidRPr="00730293">
              <w:rPr>
                <w:rFonts w:cstheme="minorHAnsi"/>
              </w:rPr>
              <w:t>LBOTE</w:t>
            </w:r>
          </w:p>
        </w:tc>
        <w:tc>
          <w:tcPr>
            <w:tcW w:w="0" w:type="auto"/>
            <w:vAlign w:val="bottom"/>
          </w:tcPr>
          <w:p w14:paraId="49D0D037" w14:textId="77777777" w:rsidR="00730293" w:rsidRPr="00730293" w:rsidRDefault="00730293" w:rsidP="00730293">
            <w:pPr>
              <w:jc w:val="right"/>
              <w:rPr>
                <w:rFonts w:cstheme="minorHAnsi"/>
                <w:color w:val="000000"/>
              </w:rPr>
            </w:pPr>
            <w:r w:rsidRPr="00730293">
              <w:rPr>
                <w:rFonts w:cstheme="minorHAnsi"/>
                <w:color w:val="000000"/>
              </w:rPr>
              <w:t>71.1%</w:t>
            </w:r>
          </w:p>
        </w:tc>
        <w:tc>
          <w:tcPr>
            <w:tcW w:w="0" w:type="auto"/>
            <w:vAlign w:val="bottom"/>
          </w:tcPr>
          <w:p w14:paraId="6AD0AD49" w14:textId="77777777" w:rsidR="00730293" w:rsidRPr="00730293" w:rsidRDefault="00730293" w:rsidP="00730293">
            <w:pPr>
              <w:jc w:val="right"/>
              <w:rPr>
                <w:rFonts w:cstheme="minorHAnsi"/>
                <w:color w:val="000000"/>
              </w:rPr>
            </w:pPr>
            <w:r w:rsidRPr="00730293">
              <w:rPr>
                <w:rFonts w:cstheme="minorHAnsi"/>
                <w:color w:val="000000"/>
              </w:rPr>
              <w:t>67.8%</w:t>
            </w:r>
          </w:p>
        </w:tc>
      </w:tr>
      <w:tr w:rsidR="00730293" w:rsidRPr="00730293" w14:paraId="06F6FA4C" w14:textId="77777777" w:rsidTr="00596851">
        <w:tc>
          <w:tcPr>
            <w:tcW w:w="3005" w:type="dxa"/>
          </w:tcPr>
          <w:p w14:paraId="01508CDB" w14:textId="77777777" w:rsidR="00730293" w:rsidRPr="00730293" w:rsidRDefault="00730293" w:rsidP="00730293">
            <w:pPr>
              <w:pStyle w:val="NoSpacing"/>
              <w:rPr>
                <w:rFonts w:cstheme="minorHAnsi"/>
              </w:rPr>
            </w:pPr>
            <w:r w:rsidRPr="00730293">
              <w:rPr>
                <w:rFonts w:cstheme="minorHAnsi"/>
              </w:rPr>
              <w:t>Not LBOTE</w:t>
            </w:r>
          </w:p>
        </w:tc>
        <w:tc>
          <w:tcPr>
            <w:tcW w:w="0" w:type="auto"/>
            <w:vAlign w:val="bottom"/>
          </w:tcPr>
          <w:p w14:paraId="0A385161" w14:textId="77777777" w:rsidR="00730293" w:rsidRPr="00730293" w:rsidRDefault="00730293" w:rsidP="00730293">
            <w:pPr>
              <w:jc w:val="right"/>
              <w:rPr>
                <w:rFonts w:cstheme="minorHAnsi"/>
                <w:color w:val="000000"/>
              </w:rPr>
            </w:pPr>
            <w:r w:rsidRPr="00730293">
              <w:rPr>
                <w:rFonts w:cstheme="minorHAnsi"/>
                <w:color w:val="000000"/>
              </w:rPr>
              <w:t>75.7%</w:t>
            </w:r>
          </w:p>
        </w:tc>
        <w:tc>
          <w:tcPr>
            <w:tcW w:w="0" w:type="auto"/>
            <w:vAlign w:val="bottom"/>
          </w:tcPr>
          <w:p w14:paraId="2D96A2F9" w14:textId="77777777" w:rsidR="00730293" w:rsidRPr="00730293" w:rsidRDefault="00730293" w:rsidP="00730293">
            <w:pPr>
              <w:jc w:val="right"/>
              <w:rPr>
                <w:rFonts w:cstheme="minorHAnsi"/>
                <w:color w:val="000000"/>
              </w:rPr>
            </w:pPr>
            <w:r w:rsidRPr="00730293">
              <w:rPr>
                <w:rFonts w:cstheme="minorHAnsi"/>
                <w:color w:val="000000"/>
              </w:rPr>
              <w:t>73.1%</w:t>
            </w:r>
          </w:p>
        </w:tc>
      </w:tr>
      <w:tr w:rsidR="00730293" w:rsidRPr="00730293" w14:paraId="0D57A50D" w14:textId="77777777" w:rsidTr="00596851">
        <w:tc>
          <w:tcPr>
            <w:tcW w:w="3005" w:type="dxa"/>
          </w:tcPr>
          <w:p w14:paraId="4BECEA8C" w14:textId="77777777" w:rsidR="00730293" w:rsidRPr="00730293" w:rsidRDefault="00730293" w:rsidP="00730293">
            <w:pPr>
              <w:pStyle w:val="NoSpacing"/>
              <w:rPr>
                <w:rFonts w:cstheme="minorHAnsi"/>
              </w:rPr>
            </w:pPr>
            <w:r w:rsidRPr="00730293">
              <w:rPr>
                <w:rFonts w:cstheme="minorHAnsi"/>
              </w:rPr>
              <w:t xml:space="preserve">Metropolitan </w:t>
            </w:r>
          </w:p>
        </w:tc>
        <w:tc>
          <w:tcPr>
            <w:tcW w:w="0" w:type="auto"/>
            <w:vAlign w:val="bottom"/>
          </w:tcPr>
          <w:p w14:paraId="5AEED024" w14:textId="77777777" w:rsidR="00730293" w:rsidRPr="00730293" w:rsidRDefault="00730293" w:rsidP="00730293">
            <w:pPr>
              <w:jc w:val="right"/>
              <w:rPr>
                <w:rFonts w:cstheme="minorHAnsi"/>
                <w:color w:val="000000"/>
              </w:rPr>
            </w:pPr>
            <w:r w:rsidRPr="00730293">
              <w:rPr>
                <w:rFonts w:cstheme="minorHAnsi"/>
                <w:color w:val="000000"/>
              </w:rPr>
              <w:t>74.7%</w:t>
            </w:r>
          </w:p>
        </w:tc>
        <w:tc>
          <w:tcPr>
            <w:tcW w:w="0" w:type="auto"/>
            <w:vAlign w:val="bottom"/>
          </w:tcPr>
          <w:p w14:paraId="16B3DDFB" w14:textId="77777777" w:rsidR="00730293" w:rsidRPr="00730293" w:rsidRDefault="00730293" w:rsidP="00730293">
            <w:pPr>
              <w:jc w:val="right"/>
              <w:rPr>
                <w:rFonts w:cstheme="minorHAnsi"/>
                <w:color w:val="000000"/>
              </w:rPr>
            </w:pPr>
            <w:r w:rsidRPr="00730293">
              <w:rPr>
                <w:rFonts w:cstheme="minorHAnsi"/>
                <w:color w:val="000000"/>
              </w:rPr>
              <w:t>71.6%</w:t>
            </w:r>
          </w:p>
        </w:tc>
      </w:tr>
      <w:tr w:rsidR="00730293" w:rsidRPr="00730293" w14:paraId="14CE80A2" w14:textId="77777777" w:rsidTr="00596851">
        <w:tc>
          <w:tcPr>
            <w:tcW w:w="3005" w:type="dxa"/>
          </w:tcPr>
          <w:p w14:paraId="7663A668" w14:textId="77777777" w:rsidR="00730293" w:rsidRPr="00730293" w:rsidRDefault="00730293" w:rsidP="00730293">
            <w:pPr>
              <w:pStyle w:val="NoSpacing"/>
              <w:rPr>
                <w:rFonts w:cstheme="minorHAnsi"/>
              </w:rPr>
            </w:pPr>
            <w:r w:rsidRPr="00730293">
              <w:rPr>
                <w:rFonts w:cstheme="minorHAnsi"/>
              </w:rPr>
              <w:t>Regional</w:t>
            </w:r>
          </w:p>
        </w:tc>
        <w:tc>
          <w:tcPr>
            <w:tcW w:w="0" w:type="auto"/>
            <w:vAlign w:val="bottom"/>
          </w:tcPr>
          <w:p w14:paraId="67F3D6F2" w14:textId="77777777" w:rsidR="00730293" w:rsidRPr="00730293" w:rsidRDefault="00730293" w:rsidP="00730293">
            <w:pPr>
              <w:jc w:val="right"/>
              <w:rPr>
                <w:rFonts w:cstheme="minorHAnsi"/>
                <w:color w:val="000000"/>
              </w:rPr>
            </w:pPr>
            <w:r w:rsidRPr="00730293">
              <w:rPr>
                <w:rFonts w:cstheme="minorHAnsi"/>
                <w:color w:val="000000"/>
              </w:rPr>
              <w:t>75.1%</w:t>
            </w:r>
          </w:p>
        </w:tc>
        <w:tc>
          <w:tcPr>
            <w:tcW w:w="0" w:type="auto"/>
            <w:vAlign w:val="bottom"/>
          </w:tcPr>
          <w:p w14:paraId="1089E2CD" w14:textId="77777777" w:rsidR="00730293" w:rsidRPr="00730293" w:rsidRDefault="00730293" w:rsidP="00730293">
            <w:pPr>
              <w:jc w:val="right"/>
              <w:rPr>
                <w:rFonts w:cstheme="minorHAnsi"/>
                <w:color w:val="000000"/>
              </w:rPr>
            </w:pPr>
            <w:r w:rsidRPr="00730293">
              <w:rPr>
                <w:rFonts w:cstheme="minorHAnsi"/>
                <w:color w:val="000000"/>
              </w:rPr>
              <w:t>72.8%</w:t>
            </w:r>
          </w:p>
        </w:tc>
      </w:tr>
      <w:tr w:rsidR="00730293" w:rsidRPr="00730293" w14:paraId="5E18B3E2" w14:textId="77777777" w:rsidTr="00596851">
        <w:tc>
          <w:tcPr>
            <w:tcW w:w="3005" w:type="dxa"/>
          </w:tcPr>
          <w:p w14:paraId="51297621" w14:textId="77777777" w:rsidR="00730293" w:rsidRPr="00730293" w:rsidRDefault="00730293" w:rsidP="00730293">
            <w:pPr>
              <w:pStyle w:val="NoSpacing"/>
              <w:rPr>
                <w:rFonts w:cstheme="minorHAnsi"/>
              </w:rPr>
            </w:pPr>
            <w:r w:rsidRPr="00730293">
              <w:rPr>
                <w:rFonts w:cstheme="minorHAnsi"/>
              </w:rPr>
              <w:t>Year 5</w:t>
            </w:r>
          </w:p>
        </w:tc>
        <w:tc>
          <w:tcPr>
            <w:tcW w:w="0" w:type="auto"/>
            <w:vAlign w:val="bottom"/>
          </w:tcPr>
          <w:p w14:paraId="3EA5C16E" w14:textId="77777777" w:rsidR="00730293" w:rsidRPr="00730293" w:rsidRDefault="00730293" w:rsidP="00730293">
            <w:pPr>
              <w:jc w:val="right"/>
              <w:rPr>
                <w:rFonts w:cstheme="minorHAnsi"/>
                <w:color w:val="000000"/>
              </w:rPr>
            </w:pPr>
            <w:r w:rsidRPr="00730293">
              <w:rPr>
                <w:rFonts w:cstheme="minorHAnsi"/>
                <w:color w:val="000000"/>
              </w:rPr>
              <w:t>78.7%</w:t>
            </w:r>
          </w:p>
        </w:tc>
        <w:tc>
          <w:tcPr>
            <w:tcW w:w="0" w:type="auto"/>
            <w:vAlign w:val="bottom"/>
          </w:tcPr>
          <w:p w14:paraId="77FA72F2" w14:textId="77777777" w:rsidR="00730293" w:rsidRPr="00730293" w:rsidRDefault="00730293" w:rsidP="00730293">
            <w:pPr>
              <w:jc w:val="right"/>
              <w:rPr>
                <w:rFonts w:cstheme="minorHAnsi"/>
                <w:color w:val="000000"/>
              </w:rPr>
            </w:pPr>
            <w:r w:rsidRPr="00730293">
              <w:rPr>
                <w:rFonts w:cstheme="minorHAnsi"/>
                <w:color w:val="000000"/>
              </w:rPr>
              <w:t>76.7%</w:t>
            </w:r>
          </w:p>
        </w:tc>
      </w:tr>
      <w:tr w:rsidR="00730293" w:rsidRPr="00730293" w14:paraId="01AF0E59" w14:textId="77777777" w:rsidTr="00596851">
        <w:tc>
          <w:tcPr>
            <w:tcW w:w="3005" w:type="dxa"/>
          </w:tcPr>
          <w:p w14:paraId="74B9DC9C" w14:textId="77777777" w:rsidR="00730293" w:rsidRPr="00730293" w:rsidRDefault="00730293" w:rsidP="00730293">
            <w:pPr>
              <w:pStyle w:val="NoSpacing"/>
              <w:rPr>
                <w:rFonts w:cstheme="minorHAnsi"/>
              </w:rPr>
            </w:pPr>
            <w:r w:rsidRPr="00730293">
              <w:rPr>
                <w:rFonts w:cstheme="minorHAnsi"/>
              </w:rPr>
              <w:t>Year 8</w:t>
            </w:r>
          </w:p>
        </w:tc>
        <w:tc>
          <w:tcPr>
            <w:tcW w:w="0" w:type="auto"/>
            <w:vAlign w:val="bottom"/>
          </w:tcPr>
          <w:p w14:paraId="19514203" w14:textId="77777777" w:rsidR="00730293" w:rsidRPr="00730293" w:rsidRDefault="00730293" w:rsidP="00730293">
            <w:pPr>
              <w:jc w:val="right"/>
              <w:rPr>
                <w:rFonts w:cstheme="minorHAnsi"/>
                <w:color w:val="000000"/>
              </w:rPr>
            </w:pPr>
            <w:r w:rsidRPr="00730293">
              <w:rPr>
                <w:rFonts w:cstheme="minorHAnsi"/>
                <w:color w:val="000000"/>
              </w:rPr>
              <w:t>73.4%</w:t>
            </w:r>
          </w:p>
        </w:tc>
        <w:tc>
          <w:tcPr>
            <w:tcW w:w="0" w:type="auto"/>
            <w:vAlign w:val="bottom"/>
          </w:tcPr>
          <w:p w14:paraId="5D5E31F3" w14:textId="77777777" w:rsidR="00730293" w:rsidRPr="00730293" w:rsidRDefault="00730293" w:rsidP="00730293">
            <w:pPr>
              <w:jc w:val="right"/>
              <w:rPr>
                <w:rFonts w:cstheme="minorHAnsi"/>
                <w:color w:val="000000"/>
              </w:rPr>
            </w:pPr>
            <w:r w:rsidRPr="00730293">
              <w:rPr>
                <w:rFonts w:cstheme="minorHAnsi"/>
                <w:color w:val="000000"/>
              </w:rPr>
              <w:t>69.0%</w:t>
            </w:r>
          </w:p>
        </w:tc>
      </w:tr>
      <w:tr w:rsidR="00730293" w:rsidRPr="00730293" w14:paraId="0117B1D7" w14:textId="77777777" w:rsidTr="00596851">
        <w:trPr>
          <w:trHeight w:val="77"/>
        </w:trPr>
        <w:tc>
          <w:tcPr>
            <w:tcW w:w="3005" w:type="dxa"/>
          </w:tcPr>
          <w:p w14:paraId="33C6225B" w14:textId="77777777" w:rsidR="00730293" w:rsidRPr="00730293" w:rsidRDefault="00730293" w:rsidP="00730293">
            <w:pPr>
              <w:pStyle w:val="NoSpacing"/>
              <w:rPr>
                <w:rFonts w:cstheme="minorHAnsi"/>
              </w:rPr>
            </w:pPr>
            <w:r w:rsidRPr="00730293">
              <w:rPr>
                <w:rFonts w:cstheme="minorHAnsi"/>
              </w:rPr>
              <w:t>Year 11</w:t>
            </w:r>
          </w:p>
        </w:tc>
        <w:tc>
          <w:tcPr>
            <w:tcW w:w="0" w:type="auto"/>
            <w:vAlign w:val="bottom"/>
          </w:tcPr>
          <w:p w14:paraId="5320D57A" w14:textId="77777777" w:rsidR="00730293" w:rsidRPr="00730293" w:rsidRDefault="00730293" w:rsidP="00730293">
            <w:pPr>
              <w:jc w:val="right"/>
              <w:rPr>
                <w:rFonts w:cstheme="minorHAnsi"/>
                <w:color w:val="000000"/>
              </w:rPr>
            </w:pPr>
            <w:r w:rsidRPr="00730293">
              <w:rPr>
                <w:rFonts w:cstheme="minorHAnsi"/>
                <w:color w:val="000000"/>
              </w:rPr>
              <w:t>70.7%</w:t>
            </w:r>
          </w:p>
        </w:tc>
        <w:tc>
          <w:tcPr>
            <w:tcW w:w="0" w:type="auto"/>
            <w:vAlign w:val="bottom"/>
          </w:tcPr>
          <w:p w14:paraId="2DAA80B0" w14:textId="77777777" w:rsidR="00730293" w:rsidRPr="00730293" w:rsidRDefault="00730293" w:rsidP="00730293">
            <w:pPr>
              <w:jc w:val="right"/>
              <w:rPr>
                <w:rFonts w:cstheme="minorHAnsi"/>
                <w:color w:val="000000"/>
              </w:rPr>
            </w:pPr>
            <w:r w:rsidRPr="00730293">
              <w:rPr>
                <w:rFonts w:cstheme="minorHAnsi"/>
                <w:color w:val="000000"/>
              </w:rPr>
              <w:t>66.9%</w:t>
            </w:r>
          </w:p>
        </w:tc>
      </w:tr>
    </w:tbl>
    <w:p w14:paraId="050E26AD" w14:textId="77777777" w:rsidR="00485278" w:rsidRDefault="00485278" w:rsidP="00485278"/>
    <w:p w14:paraId="0AEE7CB7" w14:textId="77777777" w:rsidR="00485278" w:rsidRDefault="00485278" w:rsidP="00485278">
      <w:pPr>
        <w:pStyle w:val="Heading2"/>
      </w:pPr>
      <w:bookmarkStart w:id="20" w:name="_Toc19111723"/>
      <w:r>
        <w:t>Psychological distress</w:t>
      </w:r>
      <w:bookmarkEnd w:id="20"/>
    </w:p>
    <w:p w14:paraId="149EAD7C" w14:textId="77777777" w:rsidR="00790DEF" w:rsidRDefault="00790DEF" w:rsidP="00790DEF">
      <w:r>
        <w:t xml:space="preserve">On an index of depressive symptoms based on the International Youth Development Study (IYDS), short version moods and feelings scale, one in five students (20 per cent) showed high levels of depressive symptoms. </w:t>
      </w:r>
    </w:p>
    <w:p w14:paraId="2672298B" w14:textId="77777777" w:rsidR="00790DEF" w:rsidRDefault="00790DEF" w:rsidP="00790DEF">
      <w:r>
        <w:t xml:space="preserve">Increased levels of depressive symptoms were associated with older year levels. In 2018, 14 per cent of Year 5 students had depressive symptoms, 24 per cent of Year 8 students and 28 per cent of Year 11 students. </w:t>
      </w:r>
    </w:p>
    <w:p w14:paraId="04B07585" w14:textId="7FD7A25E" w:rsidR="00790DEF" w:rsidRDefault="00790DEF" w:rsidP="00790DEF">
      <w:r>
        <w:t xml:space="preserve">Females were more likely to show depressive symptoms (25 per cent) than males (14 per cent), and young people from </w:t>
      </w:r>
      <w:r w:rsidR="00C447BB">
        <w:t>one parent</w:t>
      </w:r>
      <w:r>
        <w:t xml:space="preserve"> families were more likely to experience depressive symptoms (28 per cent) than young people from couple families (19 per cent).</w:t>
      </w:r>
    </w:p>
    <w:p w14:paraId="08D3BD02" w14:textId="00990F64" w:rsidR="00485278" w:rsidRDefault="00790DEF" w:rsidP="00790DEF">
      <w:r>
        <w:t>There was a small but significant increase in the proportion of students experiencing psychological distress in 2018, compared to 2016. Students in couple parent families, students from English speaking backgrounds, students in rural areas and younger students (in Years 5 and 9) showed significant increases in experience of psychological distress.</w:t>
      </w:r>
    </w:p>
    <w:p w14:paraId="3E06AF0C" w14:textId="77777777" w:rsidR="00FA3374" w:rsidRPr="00FA3374" w:rsidRDefault="00FA3374" w:rsidP="00FA3374">
      <w:pPr>
        <w:rPr>
          <w:i/>
          <w:sz w:val="20"/>
        </w:rPr>
      </w:pPr>
      <w:r w:rsidRPr="00FA3374">
        <w:rPr>
          <w:i/>
          <w:sz w:val="20"/>
        </w:rPr>
        <w:t xml:space="preserve">Table </w:t>
      </w:r>
      <w:r w:rsidRPr="00FA3374">
        <w:rPr>
          <w:i/>
          <w:sz w:val="20"/>
        </w:rPr>
        <w:fldChar w:fldCharType="begin"/>
      </w:r>
      <w:r w:rsidRPr="00FA3374">
        <w:rPr>
          <w:i/>
          <w:sz w:val="20"/>
        </w:rPr>
        <w:instrText xml:space="preserve"> SEQ Table \* ARABIC </w:instrText>
      </w:r>
      <w:r w:rsidRPr="00FA3374">
        <w:rPr>
          <w:i/>
          <w:sz w:val="20"/>
        </w:rPr>
        <w:fldChar w:fldCharType="separate"/>
      </w:r>
      <w:r w:rsidR="005F509B">
        <w:rPr>
          <w:i/>
          <w:noProof/>
          <w:sz w:val="20"/>
        </w:rPr>
        <w:t>8</w:t>
      </w:r>
      <w:r w:rsidRPr="00FA3374">
        <w:rPr>
          <w:i/>
          <w:sz w:val="20"/>
        </w:rPr>
        <w:fldChar w:fldCharType="end"/>
      </w:r>
      <w:r w:rsidRPr="00FA3374">
        <w:rPr>
          <w:i/>
          <w:sz w:val="20"/>
        </w:rPr>
        <w:t xml:space="preserve"> Proportion of students experiencing psychological distress, by cohort, 2016 &amp; 2018</w:t>
      </w:r>
    </w:p>
    <w:tbl>
      <w:tblPr>
        <w:tblStyle w:val="TableGrid"/>
        <w:tblW w:w="0" w:type="auto"/>
        <w:tblLook w:val="04A0" w:firstRow="1" w:lastRow="0" w:firstColumn="1" w:lastColumn="0" w:noHBand="0" w:noVBand="1"/>
        <w:tblCaption w:val="Proportion of students experiencing psychological distress, by cohort, 2016 and 2018"/>
        <w:tblDescription w:val="This table sets out the proportion of Victorian students who reported depressive symptoms amounting to psychological distress in 2016 and 2018, by cohort. The table provides the proportion of students statewide, in couple parent families or single parent families, females, males, students from a language background other than English and students from English-speaking backgrounds, students in metropolitan and regional Victoria, and students in Year 5, Year 8 and Year 11. "/>
      </w:tblPr>
      <w:tblGrid>
        <w:gridCol w:w="3005"/>
        <w:gridCol w:w="1120"/>
        <w:gridCol w:w="1120"/>
      </w:tblGrid>
      <w:tr w:rsidR="00FA3374" w:rsidRPr="00730293" w14:paraId="1759FCEF" w14:textId="77777777" w:rsidTr="005F509B">
        <w:trPr>
          <w:tblHeader/>
        </w:trPr>
        <w:tc>
          <w:tcPr>
            <w:tcW w:w="3005" w:type="dxa"/>
          </w:tcPr>
          <w:p w14:paraId="2176377A" w14:textId="77777777" w:rsidR="00FA3374" w:rsidRPr="00FA3374" w:rsidRDefault="00FA3374" w:rsidP="00FA3374">
            <w:pPr>
              <w:pStyle w:val="NoSpacing"/>
              <w:rPr>
                <w:rFonts w:cstheme="minorHAnsi"/>
                <w:b/>
              </w:rPr>
            </w:pPr>
            <w:r w:rsidRPr="00FA3374">
              <w:rPr>
                <w:rFonts w:cstheme="minorHAnsi"/>
                <w:b/>
              </w:rPr>
              <w:t xml:space="preserve">Cohort </w:t>
            </w:r>
          </w:p>
        </w:tc>
        <w:tc>
          <w:tcPr>
            <w:tcW w:w="1120" w:type="dxa"/>
            <w:vAlign w:val="bottom"/>
          </w:tcPr>
          <w:p w14:paraId="4F3B0E2C" w14:textId="77777777" w:rsidR="00FA3374" w:rsidRPr="00FA3374" w:rsidRDefault="00FA3374" w:rsidP="00FA3374">
            <w:pPr>
              <w:jc w:val="center"/>
              <w:rPr>
                <w:rFonts w:cstheme="minorHAnsi"/>
                <w:b/>
                <w:color w:val="000000"/>
              </w:rPr>
            </w:pPr>
            <w:r w:rsidRPr="00FA3374">
              <w:rPr>
                <w:rFonts w:cstheme="minorHAnsi"/>
                <w:b/>
                <w:color w:val="000000"/>
              </w:rPr>
              <w:t>2016</w:t>
            </w:r>
          </w:p>
        </w:tc>
        <w:tc>
          <w:tcPr>
            <w:tcW w:w="1120" w:type="dxa"/>
            <w:vAlign w:val="bottom"/>
          </w:tcPr>
          <w:p w14:paraId="279B996F" w14:textId="77777777" w:rsidR="00FA3374" w:rsidRPr="00FA3374" w:rsidRDefault="00FA3374" w:rsidP="00FA3374">
            <w:pPr>
              <w:jc w:val="center"/>
              <w:rPr>
                <w:rFonts w:cstheme="minorHAnsi"/>
                <w:b/>
                <w:color w:val="000000"/>
              </w:rPr>
            </w:pPr>
            <w:r w:rsidRPr="00FA3374">
              <w:rPr>
                <w:rFonts w:cstheme="minorHAnsi"/>
                <w:b/>
                <w:color w:val="000000"/>
              </w:rPr>
              <w:t>2018</w:t>
            </w:r>
          </w:p>
        </w:tc>
      </w:tr>
      <w:tr w:rsidR="00FA3374" w:rsidRPr="00730293" w14:paraId="1A63F24E" w14:textId="77777777" w:rsidTr="00596851">
        <w:tc>
          <w:tcPr>
            <w:tcW w:w="3005" w:type="dxa"/>
          </w:tcPr>
          <w:p w14:paraId="72492CD8" w14:textId="77777777" w:rsidR="00FA3374" w:rsidRPr="00730293" w:rsidRDefault="00FA3374" w:rsidP="00FA3374">
            <w:pPr>
              <w:pStyle w:val="NoSpacing"/>
              <w:rPr>
                <w:rFonts w:cstheme="minorHAnsi"/>
              </w:rPr>
            </w:pPr>
            <w:proofErr w:type="spellStart"/>
            <w:r w:rsidRPr="00730293">
              <w:rPr>
                <w:rFonts w:cstheme="minorHAnsi"/>
              </w:rPr>
              <w:t>Statewide</w:t>
            </w:r>
            <w:proofErr w:type="spellEnd"/>
            <w:r w:rsidRPr="00730293">
              <w:rPr>
                <w:rFonts w:cstheme="minorHAnsi"/>
              </w:rPr>
              <w:t xml:space="preserve"> </w:t>
            </w:r>
          </w:p>
        </w:tc>
        <w:tc>
          <w:tcPr>
            <w:tcW w:w="1120" w:type="dxa"/>
            <w:vAlign w:val="bottom"/>
          </w:tcPr>
          <w:p w14:paraId="7C4A5A5E" w14:textId="77777777" w:rsidR="00FA3374" w:rsidRPr="00FA3374" w:rsidRDefault="00FA3374" w:rsidP="00FA3374">
            <w:pPr>
              <w:jc w:val="right"/>
              <w:rPr>
                <w:rFonts w:cstheme="minorHAnsi"/>
                <w:color w:val="000000"/>
              </w:rPr>
            </w:pPr>
            <w:r w:rsidRPr="00FA3374">
              <w:rPr>
                <w:rFonts w:cstheme="minorHAnsi"/>
                <w:color w:val="000000"/>
              </w:rPr>
              <w:t>17.8%</w:t>
            </w:r>
          </w:p>
        </w:tc>
        <w:tc>
          <w:tcPr>
            <w:tcW w:w="1120" w:type="dxa"/>
            <w:vAlign w:val="bottom"/>
          </w:tcPr>
          <w:p w14:paraId="4B79CAC0" w14:textId="77777777" w:rsidR="00FA3374" w:rsidRPr="00FA3374" w:rsidRDefault="00FA3374" w:rsidP="00FA3374">
            <w:pPr>
              <w:jc w:val="right"/>
              <w:rPr>
                <w:rFonts w:cstheme="minorHAnsi"/>
                <w:color w:val="000000"/>
              </w:rPr>
            </w:pPr>
            <w:r w:rsidRPr="00FA3374">
              <w:rPr>
                <w:rFonts w:cstheme="minorHAnsi"/>
                <w:color w:val="000000"/>
              </w:rPr>
              <w:t>20.4%</w:t>
            </w:r>
          </w:p>
        </w:tc>
      </w:tr>
      <w:tr w:rsidR="00FA3374" w:rsidRPr="00730293" w14:paraId="46D1BCB3" w14:textId="77777777" w:rsidTr="00596851">
        <w:tc>
          <w:tcPr>
            <w:tcW w:w="3005" w:type="dxa"/>
          </w:tcPr>
          <w:p w14:paraId="075369EA" w14:textId="77777777" w:rsidR="00FA3374" w:rsidRPr="00730293" w:rsidRDefault="00FA3374" w:rsidP="00FA3374">
            <w:pPr>
              <w:pStyle w:val="NoSpacing"/>
              <w:rPr>
                <w:rFonts w:cstheme="minorHAnsi"/>
              </w:rPr>
            </w:pPr>
            <w:r w:rsidRPr="00730293">
              <w:rPr>
                <w:rFonts w:cstheme="minorHAnsi"/>
              </w:rPr>
              <w:t>Couple family</w:t>
            </w:r>
          </w:p>
        </w:tc>
        <w:tc>
          <w:tcPr>
            <w:tcW w:w="0" w:type="auto"/>
            <w:vAlign w:val="bottom"/>
          </w:tcPr>
          <w:p w14:paraId="2612E5BD" w14:textId="77777777" w:rsidR="00FA3374" w:rsidRPr="00FA3374" w:rsidRDefault="00FA3374" w:rsidP="00FA3374">
            <w:pPr>
              <w:jc w:val="right"/>
              <w:rPr>
                <w:rFonts w:cstheme="minorHAnsi"/>
                <w:color w:val="000000"/>
              </w:rPr>
            </w:pPr>
            <w:r w:rsidRPr="00FA3374">
              <w:rPr>
                <w:rFonts w:cstheme="minorHAnsi"/>
                <w:color w:val="000000"/>
              </w:rPr>
              <w:t>16.5%</w:t>
            </w:r>
          </w:p>
        </w:tc>
        <w:tc>
          <w:tcPr>
            <w:tcW w:w="0" w:type="auto"/>
            <w:vAlign w:val="bottom"/>
          </w:tcPr>
          <w:p w14:paraId="3E04522F" w14:textId="77777777" w:rsidR="00FA3374" w:rsidRPr="00FA3374" w:rsidRDefault="00FA3374" w:rsidP="00FA3374">
            <w:pPr>
              <w:jc w:val="right"/>
              <w:rPr>
                <w:rFonts w:cstheme="minorHAnsi"/>
                <w:color w:val="000000"/>
              </w:rPr>
            </w:pPr>
            <w:r w:rsidRPr="00FA3374">
              <w:rPr>
                <w:rFonts w:cstheme="minorHAnsi"/>
                <w:color w:val="000000"/>
              </w:rPr>
              <w:t>18.7%</w:t>
            </w:r>
          </w:p>
        </w:tc>
      </w:tr>
      <w:tr w:rsidR="00FA3374" w:rsidRPr="00730293" w14:paraId="54C1ED80" w14:textId="77777777" w:rsidTr="00596851">
        <w:tc>
          <w:tcPr>
            <w:tcW w:w="3005" w:type="dxa"/>
          </w:tcPr>
          <w:p w14:paraId="774100E1" w14:textId="6AD5762A" w:rsidR="00FA3374" w:rsidRPr="00730293" w:rsidRDefault="00C447BB" w:rsidP="00FA3374">
            <w:pPr>
              <w:pStyle w:val="NoSpacing"/>
              <w:rPr>
                <w:rFonts w:cstheme="minorHAnsi"/>
              </w:rPr>
            </w:pPr>
            <w:r>
              <w:rPr>
                <w:rFonts w:cstheme="minorHAnsi"/>
              </w:rPr>
              <w:t>One parent</w:t>
            </w:r>
            <w:r w:rsidR="00FA3374" w:rsidRPr="00730293">
              <w:rPr>
                <w:rFonts w:cstheme="minorHAnsi"/>
              </w:rPr>
              <w:t xml:space="preserve"> family</w:t>
            </w:r>
          </w:p>
        </w:tc>
        <w:tc>
          <w:tcPr>
            <w:tcW w:w="0" w:type="auto"/>
            <w:vAlign w:val="bottom"/>
          </w:tcPr>
          <w:p w14:paraId="13CBC07C" w14:textId="77777777" w:rsidR="00FA3374" w:rsidRPr="00FA3374" w:rsidRDefault="00FA3374" w:rsidP="00FA3374">
            <w:pPr>
              <w:jc w:val="right"/>
              <w:rPr>
                <w:rFonts w:cstheme="minorHAnsi"/>
                <w:color w:val="000000"/>
              </w:rPr>
            </w:pPr>
            <w:r w:rsidRPr="00FA3374">
              <w:rPr>
                <w:rFonts w:cstheme="minorHAnsi"/>
                <w:color w:val="000000"/>
              </w:rPr>
              <w:t>23.8%</w:t>
            </w:r>
          </w:p>
        </w:tc>
        <w:tc>
          <w:tcPr>
            <w:tcW w:w="0" w:type="auto"/>
            <w:vAlign w:val="bottom"/>
          </w:tcPr>
          <w:p w14:paraId="0AA41B8F" w14:textId="77777777" w:rsidR="00FA3374" w:rsidRPr="00FA3374" w:rsidRDefault="00FA3374" w:rsidP="00FA3374">
            <w:pPr>
              <w:jc w:val="right"/>
              <w:rPr>
                <w:rFonts w:cstheme="minorHAnsi"/>
                <w:color w:val="000000"/>
              </w:rPr>
            </w:pPr>
            <w:r w:rsidRPr="00FA3374">
              <w:rPr>
                <w:rFonts w:cstheme="minorHAnsi"/>
                <w:color w:val="000000"/>
              </w:rPr>
              <w:t>27.6%</w:t>
            </w:r>
          </w:p>
        </w:tc>
      </w:tr>
      <w:tr w:rsidR="00FA3374" w:rsidRPr="00730293" w14:paraId="5404A34B" w14:textId="77777777" w:rsidTr="00596851">
        <w:tc>
          <w:tcPr>
            <w:tcW w:w="3005" w:type="dxa"/>
          </w:tcPr>
          <w:p w14:paraId="2EC13C51" w14:textId="77777777" w:rsidR="00FA3374" w:rsidRPr="00730293" w:rsidRDefault="00FA3374" w:rsidP="00FA3374">
            <w:pPr>
              <w:pStyle w:val="NoSpacing"/>
              <w:rPr>
                <w:rFonts w:cstheme="minorHAnsi"/>
              </w:rPr>
            </w:pPr>
            <w:r w:rsidRPr="00730293">
              <w:rPr>
                <w:rFonts w:cstheme="minorHAnsi"/>
              </w:rPr>
              <w:t>Female</w:t>
            </w:r>
          </w:p>
        </w:tc>
        <w:tc>
          <w:tcPr>
            <w:tcW w:w="0" w:type="auto"/>
            <w:vAlign w:val="bottom"/>
          </w:tcPr>
          <w:p w14:paraId="4633A9B8" w14:textId="77777777" w:rsidR="00FA3374" w:rsidRPr="00FA3374" w:rsidRDefault="00FA3374" w:rsidP="00FA3374">
            <w:pPr>
              <w:jc w:val="right"/>
              <w:rPr>
                <w:rFonts w:cstheme="minorHAnsi"/>
                <w:color w:val="000000"/>
              </w:rPr>
            </w:pPr>
            <w:r w:rsidRPr="00FA3374">
              <w:rPr>
                <w:rFonts w:cstheme="minorHAnsi"/>
                <w:color w:val="000000"/>
              </w:rPr>
              <w:t>23.1%</w:t>
            </w:r>
          </w:p>
        </w:tc>
        <w:tc>
          <w:tcPr>
            <w:tcW w:w="0" w:type="auto"/>
            <w:vAlign w:val="bottom"/>
          </w:tcPr>
          <w:p w14:paraId="4702DDD2" w14:textId="77777777" w:rsidR="00FA3374" w:rsidRPr="00FA3374" w:rsidRDefault="00FA3374" w:rsidP="00FA3374">
            <w:pPr>
              <w:jc w:val="right"/>
              <w:rPr>
                <w:rFonts w:cstheme="minorHAnsi"/>
                <w:color w:val="000000"/>
              </w:rPr>
            </w:pPr>
            <w:r w:rsidRPr="00FA3374">
              <w:rPr>
                <w:rFonts w:cstheme="minorHAnsi"/>
                <w:color w:val="000000"/>
              </w:rPr>
              <w:t>25.4%</w:t>
            </w:r>
          </w:p>
        </w:tc>
      </w:tr>
      <w:tr w:rsidR="00FA3374" w:rsidRPr="00730293" w14:paraId="719CEEDB" w14:textId="77777777" w:rsidTr="00596851">
        <w:trPr>
          <w:trHeight w:val="77"/>
        </w:trPr>
        <w:tc>
          <w:tcPr>
            <w:tcW w:w="3005" w:type="dxa"/>
          </w:tcPr>
          <w:p w14:paraId="50F96490" w14:textId="77777777" w:rsidR="00FA3374" w:rsidRPr="00730293" w:rsidRDefault="00FA3374" w:rsidP="00FA3374">
            <w:pPr>
              <w:pStyle w:val="NoSpacing"/>
              <w:rPr>
                <w:rFonts w:cstheme="minorHAnsi"/>
              </w:rPr>
            </w:pPr>
            <w:r w:rsidRPr="00730293">
              <w:rPr>
                <w:rFonts w:cstheme="minorHAnsi"/>
              </w:rPr>
              <w:t>Male</w:t>
            </w:r>
          </w:p>
        </w:tc>
        <w:tc>
          <w:tcPr>
            <w:tcW w:w="0" w:type="auto"/>
            <w:vAlign w:val="bottom"/>
          </w:tcPr>
          <w:p w14:paraId="0A93CCDF" w14:textId="77777777" w:rsidR="00FA3374" w:rsidRPr="00FA3374" w:rsidRDefault="00FA3374" w:rsidP="00FA3374">
            <w:pPr>
              <w:jc w:val="right"/>
              <w:rPr>
                <w:rFonts w:cstheme="minorHAnsi"/>
                <w:color w:val="000000"/>
              </w:rPr>
            </w:pPr>
            <w:r w:rsidRPr="00FA3374">
              <w:rPr>
                <w:rFonts w:cstheme="minorHAnsi"/>
                <w:color w:val="000000"/>
              </w:rPr>
              <w:t>12.5%</w:t>
            </w:r>
          </w:p>
        </w:tc>
        <w:tc>
          <w:tcPr>
            <w:tcW w:w="0" w:type="auto"/>
            <w:vAlign w:val="bottom"/>
          </w:tcPr>
          <w:p w14:paraId="63273158" w14:textId="77777777" w:rsidR="00FA3374" w:rsidRPr="00FA3374" w:rsidRDefault="00FA3374" w:rsidP="00FA3374">
            <w:pPr>
              <w:jc w:val="right"/>
              <w:rPr>
                <w:rFonts w:cstheme="minorHAnsi"/>
                <w:color w:val="000000"/>
              </w:rPr>
            </w:pPr>
            <w:r w:rsidRPr="00FA3374">
              <w:rPr>
                <w:rFonts w:cstheme="minorHAnsi"/>
                <w:color w:val="000000"/>
              </w:rPr>
              <w:t>14.3%</w:t>
            </w:r>
          </w:p>
        </w:tc>
      </w:tr>
      <w:tr w:rsidR="00FA3374" w:rsidRPr="00730293" w14:paraId="63216E08" w14:textId="77777777" w:rsidTr="00596851">
        <w:tc>
          <w:tcPr>
            <w:tcW w:w="3005" w:type="dxa"/>
          </w:tcPr>
          <w:p w14:paraId="2C844B5C" w14:textId="77777777" w:rsidR="00FA3374" w:rsidRPr="00730293" w:rsidRDefault="00FA3374" w:rsidP="00FA3374">
            <w:pPr>
              <w:pStyle w:val="NoSpacing"/>
              <w:rPr>
                <w:rFonts w:cstheme="minorHAnsi"/>
              </w:rPr>
            </w:pPr>
            <w:r w:rsidRPr="00730293">
              <w:rPr>
                <w:rFonts w:cstheme="minorHAnsi"/>
              </w:rPr>
              <w:t>LBOTE</w:t>
            </w:r>
          </w:p>
        </w:tc>
        <w:tc>
          <w:tcPr>
            <w:tcW w:w="0" w:type="auto"/>
            <w:vAlign w:val="bottom"/>
          </w:tcPr>
          <w:p w14:paraId="6A4BCF60" w14:textId="77777777" w:rsidR="00FA3374" w:rsidRPr="00FA3374" w:rsidRDefault="00FA3374" w:rsidP="00FA3374">
            <w:pPr>
              <w:jc w:val="right"/>
              <w:rPr>
                <w:rFonts w:cstheme="minorHAnsi"/>
                <w:color w:val="000000"/>
              </w:rPr>
            </w:pPr>
            <w:r w:rsidRPr="00FA3374">
              <w:rPr>
                <w:rFonts w:cstheme="minorHAnsi"/>
                <w:color w:val="000000"/>
              </w:rPr>
              <w:t>17.6%</w:t>
            </w:r>
          </w:p>
        </w:tc>
        <w:tc>
          <w:tcPr>
            <w:tcW w:w="0" w:type="auto"/>
            <w:vAlign w:val="bottom"/>
          </w:tcPr>
          <w:p w14:paraId="795F9699" w14:textId="77777777" w:rsidR="00FA3374" w:rsidRPr="00FA3374" w:rsidRDefault="00FA3374" w:rsidP="00FA3374">
            <w:pPr>
              <w:jc w:val="right"/>
              <w:rPr>
                <w:rFonts w:cstheme="minorHAnsi"/>
                <w:color w:val="000000"/>
              </w:rPr>
            </w:pPr>
            <w:r w:rsidRPr="00FA3374">
              <w:rPr>
                <w:rFonts w:cstheme="minorHAnsi"/>
                <w:color w:val="000000"/>
              </w:rPr>
              <w:t>18.8%</w:t>
            </w:r>
          </w:p>
        </w:tc>
      </w:tr>
      <w:tr w:rsidR="00FA3374" w:rsidRPr="00730293" w14:paraId="00C0BA13" w14:textId="77777777" w:rsidTr="00596851">
        <w:tc>
          <w:tcPr>
            <w:tcW w:w="3005" w:type="dxa"/>
          </w:tcPr>
          <w:p w14:paraId="14870BE4" w14:textId="77777777" w:rsidR="00FA3374" w:rsidRPr="00730293" w:rsidRDefault="00FA3374" w:rsidP="00FA3374">
            <w:pPr>
              <w:pStyle w:val="NoSpacing"/>
              <w:rPr>
                <w:rFonts w:cstheme="minorHAnsi"/>
              </w:rPr>
            </w:pPr>
            <w:r w:rsidRPr="00730293">
              <w:rPr>
                <w:rFonts w:cstheme="minorHAnsi"/>
              </w:rPr>
              <w:t>Not LBOTE</w:t>
            </w:r>
          </w:p>
        </w:tc>
        <w:tc>
          <w:tcPr>
            <w:tcW w:w="0" w:type="auto"/>
            <w:vAlign w:val="bottom"/>
          </w:tcPr>
          <w:p w14:paraId="1BDFDB49" w14:textId="77777777" w:rsidR="00FA3374" w:rsidRPr="00FA3374" w:rsidRDefault="00FA3374" w:rsidP="00FA3374">
            <w:pPr>
              <w:jc w:val="right"/>
              <w:rPr>
                <w:rFonts w:cstheme="minorHAnsi"/>
                <w:color w:val="000000"/>
              </w:rPr>
            </w:pPr>
            <w:r w:rsidRPr="00FA3374">
              <w:rPr>
                <w:rFonts w:cstheme="minorHAnsi"/>
                <w:color w:val="000000"/>
              </w:rPr>
              <w:t>17.9%</w:t>
            </w:r>
          </w:p>
        </w:tc>
        <w:tc>
          <w:tcPr>
            <w:tcW w:w="0" w:type="auto"/>
            <w:vAlign w:val="bottom"/>
          </w:tcPr>
          <w:p w14:paraId="75EC2E7F" w14:textId="77777777" w:rsidR="00FA3374" w:rsidRPr="00FA3374" w:rsidRDefault="00FA3374" w:rsidP="00FA3374">
            <w:pPr>
              <w:jc w:val="right"/>
              <w:rPr>
                <w:rFonts w:cstheme="minorHAnsi"/>
                <w:color w:val="000000"/>
              </w:rPr>
            </w:pPr>
            <w:r w:rsidRPr="00FA3374">
              <w:rPr>
                <w:rFonts w:cstheme="minorHAnsi"/>
                <w:color w:val="000000"/>
              </w:rPr>
              <w:t>20.8%</w:t>
            </w:r>
          </w:p>
        </w:tc>
      </w:tr>
      <w:tr w:rsidR="00FA3374" w:rsidRPr="00730293" w14:paraId="77280D2E" w14:textId="77777777" w:rsidTr="00596851">
        <w:tc>
          <w:tcPr>
            <w:tcW w:w="3005" w:type="dxa"/>
          </w:tcPr>
          <w:p w14:paraId="7CAF08CC" w14:textId="77777777" w:rsidR="00FA3374" w:rsidRPr="00730293" w:rsidRDefault="00FA3374" w:rsidP="00FA3374">
            <w:pPr>
              <w:pStyle w:val="NoSpacing"/>
              <w:rPr>
                <w:rFonts w:cstheme="minorHAnsi"/>
              </w:rPr>
            </w:pPr>
            <w:r w:rsidRPr="00730293">
              <w:rPr>
                <w:rFonts w:cstheme="minorHAnsi"/>
              </w:rPr>
              <w:t xml:space="preserve">Metropolitan </w:t>
            </w:r>
          </w:p>
        </w:tc>
        <w:tc>
          <w:tcPr>
            <w:tcW w:w="0" w:type="auto"/>
            <w:vAlign w:val="bottom"/>
          </w:tcPr>
          <w:p w14:paraId="61F16628" w14:textId="77777777" w:rsidR="00FA3374" w:rsidRPr="00FA3374" w:rsidRDefault="00FA3374" w:rsidP="00FA3374">
            <w:pPr>
              <w:jc w:val="right"/>
              <w:rPr>
                <w:rFonts w:cstheme="minorHAnsi"/>
                <w:color w:val="000000"/>
              </w:rPr>
            </w:pPr>
            <w:r w:rsidRPr="00FA3374">
              <w:rPr>
                <w:rFonts w:cstheme="minorHAnsi"/>
                <w:color w:val="000000"/>
              </w:rPr>
              <w:t>17.8%</w:t>
            </w:r>
          </w:p>
        </w:tc>
        <w:tc>
          <w:tcPr>
            <w:tcW w:w="0" w:type="auto"/>
            <w:vAlign w:val="bottom"/>
          </w:tcPr>
          <w:p w14:paraId="04E8EF11" w14:textId="77777777" w:rsidR="00FA3374" w:rsidRPr="00FA3374" w:rsidRDefault="00FA3374" w:rsidP="00FA3374">
            <w:pPr>
              <w:jc w:val="right"/>
              <w:rPr>
                <w:rFonts w:cstheme="minorHAnsi"/>
                <w:color w:val="000000"/>
              </w:rPr>
            </w:pPr>
            <w:r w:rsidRPr="00FA3374">
              <w:rPr>
                <w:rFonts w:cstheme="minorHAnsi"/>
                <w:color w:val="000000"/>
              </w:rPr>
              <w:t>20.0%</w:t>
            </w:r>
          </w:p>
        </w:tc>
      </w:tr>
      <w:tr w:rsidR="00FA3374" w:rsidRPr="00730293" w14:paraId="6255B9FD" w14:textId="77777777" w:rsidTr="00596851">
        <w:tc>
          <w:tcPr>
            <w:tcW w:w="3005" w:type="dxa"/>
          </w:tcPr>
          <w:p w14:paraId="568E8BC8" w14:textId="77777777" w:rsidR="00FA3374" w:rsidRPr="00730293" w:rsidRDefault="00FA3374" w:rsidP="00FA3374">
            <w:pPr>
              <w:pStyle w:val="NoSpacing"/>
              <w:rPr>
                <w:rFonts w:cstheme="minorHAnsi"/>
              </w:rPr>
            </w:pPr>
            <w:r w:rsidRPr="00730293">
              <w:rPr>
                <w:rFonts w:cstheme="minorHAnsi"/>
              </w:rPr>
              <w:t>Regional</w:t>
            </w:r>
          </w:p>
        </w:tc>
        <w:tc>
          <w:tcPr>
            <w:tcW w:w="0" w:type="auto"/>
            <w:vAlign w:val="bottom"/>
          </w:tcPr>
          <w:p w14:paraId="35954B0D" w14:textId="77777777" w:rsidR="00FA3374" w:rsidRPr="00FA3374" w:rsidRDefault="00FA3374" w:rsidP="00FA3374">
            <w:pPr>
              <w:jc w:val="right"/>
              <w:rPr>
                <w:rFonts w:cstheme="minorHAnsi"/>
                <w:color w:val="000000"/>
              </w:rPr>
            </w:pPr>
            <w:r w:rsidRPr="00FA3374">
              <w:rPr>
                <w:rFonts w:cstheme="minorHAnsi"/>
                <w:color w:val="000000"/>
              </w:rPr>
              <w:t>17.7%</w:t>
            </w:r>
          </w:p>
        </w:tc>
        <w:tc>
          <w:tcPr>
            <w:tcW w:w="0" w:type="auto"/>
            <w:vAlign w:val="bottom"/>
          </w:tcPr>
          <w:p w14:paraId="3B6D11EE" w14:textId="77777777" w:rsidR="00FA3374" w:rsidRPr="00FA3374" w:rsidRDefault="00FA3374" w:rsidP="00FA3374">
            <w:pPr>
              <w:jc w:val="right"/>
              <w:rPr>
                <w:rFonts w:cstheme="minorHAnsi"/>
                <w:color w:val="000000"/>
              </w:rPr>
            </w:pPr>
            <w:r w:rsidRPr="00FA3374">
              <w:rPr>
                <w:rFonts w:cstheme="minorHAnsi"/>
                <w:color w:val="000000"/>
              </w:rPr>
              <w:t>21.4%</w:t>
            </w:r>
          </w:p>
        </w:tc>
      </w:tr>
      <w:tr w:rsidR="00FA3374" w:rsidRPr="00730293" w14:paraId="6BA1A05D" w14:textId="77777777" w:rsidTr="00596851">
        <w:tc>
          <w:tcPr>
            <w:tcW w:w="3005" w:type="dxa"/>
          </w:tcPr>
          <w:p w14:paraId="0DCD19A5" w14:textId="77777777" w:rsidR="00FA3374" w:rsidRPr="00730293" w:rsidRDefault="00FA3374" w:rsidP="00FA3374">
            <w:pPr>
              <w:pStyle w:val="NoSpacing"/>
              <w:rPr>
                <w:rFonts w:cstheme="minorHAnsi"/>
              </w:rPr>
            </w:pPr>
            <w:r w:rsidRPr="00730293">
              <w:rPr>
                <w:rFonts w:cstheme="minorHAnsi"/>
              </w:rPr>
              <w:t>Year 5</w:t>
            </w:r>
          </w:p>
        </w:tc>
        <w:tc>
          <w:tcPr>
            <w:tcW w:w="0" w:type="auto"/>
            <w:vAlign w:val="bottom"/>
          </w:tcPr>
          <w:p w14:paraId="105D96A7" w14:textId="77777777" w:rsidR="00FA3374" w:rsidRPr="00FA3374" w:rsidRDefault="00FA3374" w:rsidP="00FA3374">
            <w:pPr>
              <w:jc w:val="right"/>
              <w:rPr>
                <w:rFonts w:cstheme="minorHAnsi"/>
                <w:color w:val="000000"/>
              </w:rPr>
            </w:pPr>
            <w:r w:rsidRPr="00FA3374">
              <w:rPr>
                <w:rFonts w:cstheme="minorHAnsi"/>
                <w:color w:val="000000"/>
              </w:rPr>
              <w:t>10.6%</w:t>
            </w:r>
          </w:p>
        </w:tc>
        <w:tc>
          <w:tcPr>
            <w:tcW w:w="0" w:type="auto"/>
            <w:vAlign w:val="bottom"/>
          </w:tcPr>
          <w:p w14:paraId="7169319F" w14:textId="77777777" w:rsidR="00FA3374" w:rsidRPr="00FA3374" w:rsidRDefault="00FA3374" w:rsidP="00FA3374">
            <w:pPr>
              <w:jc w:val="right"/>
              <w:rPr>
                <w:rFonts w:cstheme="minorHAnsi"/>
                <w:color w:val="000000"/>
              </w:rPr>
            </w:pPr>
            <w:r w:rsidRPr="00FA3374">
              <w:rPr>
                <w:rFonts w:cstheme="minorHAnsi"/>
                <w:color w:val="000000"/>
              </w:rPr>
              <w:t>14.0%</w:t>
            </w:r>
          </w:p>
        </w:tc>
      </w:tr>
      <w:tr w:rsidR="00FA3374" w:rsidRPr="00730293" w14:paraId="05F8187F" w14:textId="77777777" w:rsidTr="00596851">
        <w:tc>
          <w:tcPr>
            <w:tcW w:w="3005" w:type="dxa"/>
          </w:tcPr>
          <w:p w14:paraId="3291F683" w14:textId="77777777" w:rsidR="00FA3374" w:rsidRPr="00730293" w:rsidRDefault="00FA3374" w:rsidP="00FA3374">
            <w:pPr>
              <w:pStyle w:val="NoSpacing"/>
              <w:rPr>
                <w:rFonts w:cstheme="minorHAnsi"/>
              </w:rPr>
            </w:pPr>
            <w:r w:rsidRPr="00730293">
              <w:rPr>
                <w:rFonts w:cstheme="minorHAnsi"/>
              </w:rPr>
              <w:lastRenderedPageBreak/>
              <w:t>Year 8</w:t>
            </w:r>
          </w:p>
        </w:tc>
        <w:tc>
          <w:tcPr>
            <w:tcW w:w="0" w:type="auto"/>
            <w:vAlign w:val="bottom"/>
          </w:tcPr>
          <w:p w14:paraId="24AADAA1" w14:textId="77777777" w:rsidR="00FA3374" w:rsidRPr="00FA3374" w:rsidRDefault="00FA3374" w:rsidP="00FA3374">
            <w:pPr>
              <w:jc w:val="right"/>
              <w:rPr>
                <w:rFonts w:cstheme="minorHAnsi"/>
                <w:color w:val="000000"/>
              </w:rPr>
            </w:pPr>
            <w:r w:rsidRPr="00FA3374">
              <w:rPr>
                <w:rFonts w:cstheme="minorHAnsi"/>
                <w:color w:val="000000"/>
              </w:rPr>
              <w:t>20.1%</w:t>
            </w:r>
          </w:p>
        </w:tc>
        <w:tc>
          <w:tcPr>
            <w:tcW w:w="0" w:type="auto"/>
            <w:vAlign w:val="bottom"/>
          </w:tcPr>
          <w:p w14:paraId="49922090" w14:textId="77777777" w:rsidR="00FA3374" w:rsidRPr="00FA3374" w:rsidRDefault="00FA3374" w:rsidP="00FA3374">
            <w:pPr>
              <w:jc w:val="right"/>
              <w:rPr>
                <w:rFonts w:cstheme="minorHAnsi"/>
                <w:color w:val="000000"/>
              </w:rPr>
            </w:pPr>
            <w:r w:rsidRPr="00FA3374">
              <w:rPr>
                <w:rFonts w:cstheme="minorHAnsi"/>
                <w:color w:val="000000"/>
              </w:rPr>
              <w:t>23.7%</w:t>
            </w:r>
          </w:p>
        </w:tc>
      </w:tr>
      <w:tr w:rsidR="00FA3374" w:rsidRPr="00730293" w14:paraId="609DA69B" w14:textId="77777777" w:rsidTr="00596851">
        <w:trPr>
          <w:trHeight w:val="77"/>
        </w:trPr>
        <w:tc>
          <w:tcPr>
            <w:tcW w:w="3005" w:type="dxa"/>
          </w:tcPr>
          <w:p w14:paraId="19D06DFF" w14:textId="77777777" w:rsidR="00FA3374" w:rsidRPr="00730293" w:rsidRDefault="00FA3374" w:rsidP="00FA3374">
            <w:pPr>
              <w:pStyle w:val="NoSpacing"/>
              <w:rPr>
                <w:rFonts w:cstheme="minorHAnsi"/>
              </w:rPr>
            </w:pPr>
            <w:r w:rsidRPr="00730293">
              <w:rPr>
                <w:rFonts w:cstheme="minorHAnsi"/>
              </w:rPr>
              <w:t>Year 11</w:t>
            </w:r>
          </w:p>
        </w:tc>
        <w:tc>
          <w:tcPr>
            <w:tcW w:w="0" w:type="auto"/>
            <w:vAlign w:val="bottom"/>
          </w:tcPr>
          <w:p w14:paraId="6C188967" w14:textId="77777777" w:rsidR="00FA3374" w:rsidRPr="00FA3374" w:rsidRDefault="00FA3374" w:rsidP="00FA3374">
            <w:pPr>
              <w:jc w:val="right"/>
              <w:rPr>
                <w:rFonts w:cstheme="minorHAnsi"/>
                <w:color w:val="000000"/>
              </w:rPr>
            </w:pPr>
            <w:r w:rsidRPr="00FA3374">
              <w:rPr>
                <w:rFonts w:cstheme="minorHAnsi"/>
                <w:color w:val="000000"/>
              </w:rPr>
              <w:t>26.0%</w:t>
            </w:r>
          </w:p>
        </w:tc>
        <w:tc>
          <w:tcPr>
            <w:tcW w:w="0" w:type="auto"/>
            <w:vAlign w:val="bottom"/>
          </w:tcPr>
          <w:p w14:paraId="045C3659" w14:textId="77777777" w:rsidR="00FA3374" w:rsidRPr="00FA3374" w:rsidRDefault="00FA3374" w:rsidP="00FA3374">
            <w:pPr>
              <w:jc w:val="right"/>
              <w:rPr>
                <w:rFonts w:cstheme="minorHAnsi"/>
                <w:color w:val="000000"/>
              </w:rPr>
            </w:pPr>
            <w:r w:rsidRPr="00FA3374">
              <w:rPr>
                <w:rFonts w:cstheme="minorHAnsi"/>
                <w:color w:val="000000"/>
              </w:rPr>
              <w:t>27.8%</w:t>
            </w:r>
          </w:p>
        </w:tc>
      </w:tr>
    </w:tbl>
    <w:p w14:paraId="1B0D83F1" w14:textId="77777777" w:rsidR="00485278" w:rsidRDefault="00485278">
      <w:r>
        <w:br w:type="page"/>
      </w:r>
    </w:p>
    <w:p w14:paraId="708B8326" w14:textId="77777777" w:rsidR="00485278" w:rsidRDefault="00485278" w:rsidP="00485278">
      <w:pPr>
        <w:pStyle w:val="Heading1"/>
      </w:pPr>
      <w:bookmarkStart w:id="21" w:name="_Toc19111724"/>
      <w:r>
        <w:lastRenderedPageBreak/>
        <w:t>Social experiences and supports</w:t>
      </w:r>
      <w:bookmarkEnd w:id="21"/>
    </w:p>
    <w:p w14:paraId="33333766" w14:textId="77777777" w:rsidR="00485278" w:rsidRDefault="00485278" w:rsidP="00485278">
      <w:pPr>
        <w:pStyle w:val="Heading2"/>
      </w:pPr>
      <w:bookmarkStart w:id="22" w:name="_Toc19111725"/>
      <w:r>
        <w:t>Bullying</w:t>
      </w:r>
      <w:bookmarkEnd w:id="22"/>
    </w:p>
    <w:p w14:paraId="559F40BF" w14:textId="52820D46" w:rsidR="00E82577" w:rsidRDefault="00E82577" w:rsidP="00E82577">
      <w:r>
        <w:t xml:space="preserve">Bullying by peers can have a damaging impact on engagement with </w:t>
      </w:r>
      <w:proofErr w:type="gramStart"/>
      <w:r>
        <w:t>school, and</w:t>
      </w:r>
      <w:proofErr w:type="gramEnd"/>
      <w:r>
        <w:t xml:space="preserve"> can lead to social and emotional issues for young people (Queensland Department of Education and Training, 2015). In About You students are asked if they have been bullied at school in the past term and whether they have experienced, and how often they have experienced, any of a set of </w:t>
      </w:r>
      <w:r w:rsidR="006B04E5">
        <w:t>unwanted</w:t>
      </w:r>
      <w:r>
        <w:t xml:space="preserve"> behaviours. These include having been teased or called names; having had rumours spread about them; having been deliberately left out of things; or having been physically threatened or harmed. </w:t>
      </w:r>
    </w:p>
    <w:p w14:paraId="5983D120" w14:textId="1465B663" w:rsidR="00E82577" w:rsidRDefault="00E82577" w:rsidP="00E82577">
      <w:r>
        <w:t>Overall, 1</w:t>
      </w:r>
      <w:r w:rsidR="00B06956">
        <w:t>3</w:t>
      </w:r>
      <w:r>
        <w:t xml:space="preserve"> per cent of students reported that they had been </w:t>
      </w:r>
      <w:r w:rsidR="00B06956">
        <w:t>bullied in the past term. Year 5</w:t>
      </w:r>
      <w:r>
        <w:t xml:space="preserve"> students were more likely to report being bullied in the term</w:t>
      </w:r>
      <w:r w:rsidR="00B06956">
        <w:t xml:space="preserve"> (16.5 per cent) than the other </w:t>
      </w:r>
      <w:r>
        <w:t>year levels surveyed (1</w:t>
      </w:r>
      <w:r w:rsidR="00B06956">
        <w:t>3</w:t>
      </w:r>
      <w:r>
        <w:t>.</w:t>
      </w:r>
      <w:r w:rsidR="00B06956">
        <w:t>1</w:t>
      </w:r>
      <w:r>
        <w:t xml:space="preserve"> per cent for Year </w:t>
      </w:r>
      <w:r w:rsidR="00B06956">
        <w:t>8</w:t>
      </w:r>
      <w:r>
        <w:t xml:space="preserve"> students and </w:t>
      </w:r>
      <w:r w:rsidR="00B06956">
        <w:t>6</w:t>
      </w:r>
      <w:r>
        <w:t>.</w:t>
      </w:r>
      <w:r w:rsidR="00B06956">
        <w:t>3</w:t>
      </w:r>
      <w:r>
        <w:t xml:space="preserve"> per cent for Year 11 students).    </w:t>
      </w:r>
    </w:p>
    <w:p w14:paraId="30FAAE7D" w14:textId="77777777" w:rsidR="00E82577" w:rsidRDefault="00E82577" w:rsidP="00E82577">
      <w:r>
        <w:t xml:space="preserve">Almost half (45 per cent) of surveyed students reported recently experiencing one or more of the behaviours outlined above – being teased, having rumours spread about them, deliberately being left out of things and/or being threatened or physically hurt by another student. </w:t>
      </w:r>
    </w:p>
    <w:p w14:paraId="1C04C089" w14:textId="5855943F" w:rsidR="00E82577" w:rsidRDefault="00E82577" w:rsidP="00E82577">
      <w:r>
        <w:t>The proportion of students who reported recently experiencing these</w:t>
      </w:r>
      <w:r w:rsidR="006B04E5">
        <w:t xml:space="preserve"> unwanted</w:t>
      </w:r>
      <w:r>
        <w:t xml:space="preserve"> behaviours decreased as students got older. While 46 per cent of Year 5 students and 47 per cent of Year 8 students had recent experiences of these behaviours, this dropped to 37 per cent of Year 11 students. Students from </w:t>
      </w:r>
      <w:r w:rsidR="00C447BB">
        <w:t>one parent</w:t>
      </w:r>
      <w:r>
        <w:t xml:space="preserve"> families were more likely to experience one or more of these </w:t>
      </w:r>
      <w:r w:rsidR="006B04E5">
        <w:t xml:space="preserve">unwanted </w:t>
      </w:r>
      <w:r>
        <w:t xml:space="preserve">behaviours (49 per cent) than students from couple parent families (43 per cent). The proportion of students experiencing these </w:t>
      </w:r>
      <w:r w:rsidR="006B04E5">
        <w:t xml:space="preserve">unwanted </w:t>
      </w:r>
      <w:r>
        <w:t xml:space="preserve">behaviours was stable between 2016 and 2018 for all cohorts except females and students with a language background other than English. For these cohorts the proportion of students experiencing these </w:t>
      </w:r>
      <w:r w:rsidR="006B04E5">
        <w:t xml:space="preserve">unwanted </w:t>
      </w:r>
      <w:r>
        <w:t xml:space="preserve">behaviours decreased, from 48 per cent to 45 per cent for females and 50 to 43 per cent for LBOTE students. </w:t>
      </w:r>
    </w:p>
    <w:p w14:paraId="7D5B1A69" w14:textId="77777777" w:rsidR="00E82577" w:rsidRDefault="00E82577" w:rsidP="00E82577">
      <w:r>
        <w:t xml:space="preserve">In 2018, 30 per cent students reported being teased recently, 21 per cent reported being left out of things, 18 per cent reported having rumours spread about them and 13 per cent reported being physically threatened. These results were </w:t>
      </w:r>
      <w:proofErr w:type="gramStart"/>
      <w:r>
        <w:t>similar to</w:t>
      </w:r>
      <w:proofErr w:type="gramEnd"/>
      <w:r>
        <w:t xml:space="preserve"> the 2016 results. </w:t>
      </w:r>
    </w:p>
    <w:p w14:paraId="2BB02BD1" w14:textId="77777777" w:rsidR="00E82577" w:rsidRDefault="00E82577" w:rsidP="00E82577">
      <w:r>
        <w:t>Female students were more likely to report being left out of things and having rumours spread about them than male students. Male students were more likely to report being physically threatened. The proportion of students who reported having been teased recently was similar across both cohorts.</w:t>
      </w:r>
    </w:p>
    <w:p w14:paraId="61246524" w14:textId="23FC936B" w:rsidR="005F509B" w:rsidRPr="005F509B" w:rsidRDefault="005F509B" w:rsidP="00E82577">
      <w:pPr>
        <w:rPr>
          <w:i/>
          <w:sz w:val="20"/>
        </w:rPr>
      </w:pPr>
      <w:r w:rsidRPr="005F509B">
        <w:rPr>
          <w:i/>
          <w:sz w:val="20"/>
        </w:rPr>
        <w:t xml:space="preserve">Table </w:t>
      </w:r>
      <w:r w:rsidRPr="005F509B">
        <w:rPr>
          <w:i/>
          <w:sz w:val="20"/>
        </w:rPr>
        <w:fldChar w:fldCharType="begin"/>
      </w:r>
      <w:r w:rsidRPr="005F509B">
        <w:rPr>
          <w:i/>
          <w:sz w:val="20"/>
        </w:rPr>
        <w:instrText xml:space="preserve"> SEQ Table \* ARABIC </w:instrText>
      </w:r>
      <w:r w:rsidRPr="005F509B">
        <w:rPr>
          <w:i/>
          <w:sz w:val="20"/>
        </w:rPr>
        <w:fldChar w:fldCharType="separate"/>
      </w:r>
      <w:r w:rsidRPr="005F509B">
        <w:rPr>
          <w:i/>
          <w:noProof/>
          <w:sz w:val="20"/>
        </w:rPr>
        <w:t>9</w:t>
      </w:r>
      <w:r w:rsidRPr="005F509B">
        <w:rPr>
          <w:i/>
          <w:sz w:val="20"/>
        </w:rPr>
        <w:fldChar w:fldCharType="end"/>
      </w:r>
      <w:r w:rsidRPr="005F509B">
        <w:rPr>
          <w:i/>
          <w:sz w:val="20"/>
        </w:rPr>
        <w:t xml:space="preserve"> Types of </w:t>
      </w:r>
      <w:r w:rsidR="009C6FE5">
        <w:rPr>
          <w:i/>
          <w:sz w:val="20"/>
        </w:rPr>
        <w:t>behaviours</w:t>
      </w:r>
      <w:r w:rsidRPr="005F509B">
        <w:rPr>
          <w:i/>
          <w:sz w:val="20"/>
        </w:rPr>
        <w:t xml:space="preserve"> experienced</w:t>
      </w:r>
      <w:r w:rsidR="009C6FE5">
        <w:rPr>
          <w:i/>
          <w:sz w:val="20"/>
        </w:rPr>
        <w:t xml:space="preserve"> by students,</w:t>
      </w:r>
      <w:r w:rsidRPr="005F509B">
        <w:rPr>
          <w:i/>
          <w:sz w:val="20"/>
        </w:rPr>
        <w:t xml:space="preserve"> 2018</w:t>
      </w:r>
    </w:p>
    <w:tbl>
      <w:tblPr>
        <w:tblStyle w:val="TableGrid"/>
        <w:tblW w:w="9351" w:type="dxa"/>
        <w:tblLook w:val="04A0" w:firstRow="1" w:lastRow="0" w:firstColumn="1" w:lastColumn="0" w:noHBand="0" w:noVBand="1"/>
        <w:tblCaption w:val="Types of bullying experienced by students who reported being bullied recently, 2018"/>
        <w:tblDescription w:val="This table sets out the proportion of students in each year level (Year 5, Year 8 and Year 11) who reported experiencing being teased or called names, having rumours spread about them, being deliberately left out of things, and being threatened or physically hurt by another student in 2018. "/>
      </w:tblPr>
      <w:tblGrid>
        <w:gridCol w:w="4673"/>
        <w:gridCol w:w="2693"/>
        <w:gridCol w:w="1985"/>
      </w:tblGrid>
      <w:tr w:rsidR="001C7A79" w14:paraId="4FBF0115" w14:textId="77777777" w:rsidTr="001C7A79">
        <w:trPr>
          <w:tblHeader/>
        </w:trPr>
        <w:tc>
          <w:tcPr>
            <w:tcW w:w="4673" w:type="dxa"/>
          </w:tcPr>
          <w:p w14:paraId="4C490BA4" w14:textId="77777777" w:rsidR="001C7A79" w:rsidRPr="005F509B" w:rsidRDefault="001C7A79" w:rsidP="00485278">
            <w:pPr>
              <w:rPr>
                <w:b/>
              </w:rPr>
            </w:pPr>
            <w:r w:rsidRPr="005F509B">
              <w:rPr>
                <w:b/>
              </w:rPr>
              <w:t>Type of bullying</w:t>
            </w:r>
          </w:p>
        </w:tc>
        <w:tc>
          <w:tcPr>
            <w:tcW w:w="2693" w:type="dxa"/>
          </w:tcPr>
          <w:p w14:paraId="29506C32" w14:textId="68053DE6" w:rsidR="001C7A79" w:rsidRPr="001C7A79" w:rsidRDefault="001C7A79" w:rsidP="001C7A79">
            <w:pPr>
              <w:jc w:val="center"/>
              <w:rPr>
                <w:b/>
              </w:rPr>
            </w:pPr>
            <w:r w:rsidRPr="001C7A79">
              <w:rPr>
                <w:b/>
              </w:rPr>
              <w:t>Male</w:t>
            </w:r>
          </w:p>
        </w:tc>
        <w:tc>
          <w:tcPr>
            <w:tcW w:w="1985" w:type="dxa"/>
          </w:tcPr>
          <w:p w14:paraId="0D5376EF" w14:textId="54FE441E" w:rsidR="001C7A79" w:rsidRPr="001C7A79" w:rsidRDefault="001C7A79" w:rsidP="005F509B">
            <w:pPr>
              <w:jc w:val="center"/>
              <w:rPr>
                <w:b/>
              </w:rPr>
            </w:pPr>
            <w:r w:rsidRPr="001C7A79">
              <w:rPr>
                <w:b/>
              </w:rPr>
              <w:t>Female</w:t>
            </w:r>
          </w:p>
        </w:tc>
      </w:tr>
      <w:tr w:rsidR="001C7A79" w14:paraId="107BF438" w14:textId="77777777" w:rsidTr="001C7A79">
        <w:tc>
          <w:tcPr>
            <w:tcW w:w="4673" w:type="dxa"/>
          </w:tcPr>
          <w:p w14:paraId="6D9958F2" w14:textId="77777777" w:rsidR="001C7A79" w:rsidRDefault="001C7A79" w:rsidP="00485278">
            <w:r>
              <w:t>Teased or called names</w:t>
            </w:r>
          </w:p>
        </w:tc>
        <w:tc>
          <w:tcPr>
            <w:tcW w:w="2693" w:type="dxa"/>
          </w:tcPr>
          <w:p w14:paraId="2EF61F58" w14:textId="158C7A71" w:rsidR="001C7A79" w:rsidRPr="001C7A79" w:rsidRDefault="001C7A79" w:rsidP="005F509B">
            <w:pPr>
              <w:jc w:val="right"/>
            </w:pPr>
            <w:r w:rsidRPr="001C7A79">
              <w:t>30.7%</w:t>
            </w:r>
          </w:p>
        </w:tc>
        <w:tc>
          <w:tcPr>
            <w:tcW w:w="1985" w:type="dxa"/>
          </w:tcPr>
          <w:p w14:paraId="331D4E4F" w14:textId="45A70E64" w:rsidR="001C7A79" w:rsidRPr="001C7A79" w:rsidRDefault="001C7A79" w:rsidP="005F509B">
            <w:pPr>
              <w:jc w:val="right"/>
            </w:pPr>
            <w:r w:rsidRPr="001C7A79">
              <w:t>28.8%</w:t>
            </w:r>
          </w:p>
        </w:tc>
      </w:tr>
      <w:tr w:rsidR="001C7A79" w14:paraId="700B47BD" w14:textId="77777777" w:rsidTr="001C7A79">
        <w:tc>
          <w:tcPr>
            <w:tcW w:w="4673" w:type="dxa"/>
          </w:tcPr>
          <w:p w14:paraId="7E54B7B2" w14:textId="77777777" w:rsidR="001C7A79" w:rsidRDefault="001C7A79" w:rsidP="00485278">
            <w:r>
              <w:t>Rumours spread about them</w:t>
            </w:r>
          </w:p>
        </w:tc>
        <w:tc>
          <w:tcPr>
            <w:tcW w:w="2693" w:type="dxa"/>
          </w:tcPr>
          <w:p w14:paraId="13182014" w14:textId="46342EE4" w:rsidR="001C7A79" w:rsidRPr="001C7A79" w:rsidRDefault="001C7A79" w:rsidP="005F509B">
            <w:pPr>
              <w:jc w:val="right"/>
            </w:pPr>
            <w:r w:rsidRPr="001C7A79">
              <w:t>16.1%</w:t>
            </w:r>
          </w:p>
        </w:tc>
        <w:tc>
          <w:tcPr>
            <w:tcW w:w="1985" w:type="dxa"/>
          </w:tcPr>
          <w:p w14:paraId="1F934ED9" w14:textId="6894B538" w:rsidR="001C7A79" w:rsidRPr="001C7A79" w:rsidRDefault="001C7A79" w:rsidP="005F509B">
            <w:pPr>
              <w:jc w:val="right"/>
            </w:pPr>
            <w:r w:rsidRPr="001C7A79">
              <w:t>19.5%</w:t>
            </w:r>
          </w:p>
        </w:tc>
      </w:tr>
      <w:tr w:rsidR="001C7A79" w14:paraId="6D930A73" w14:textId="77777777" w:rsidTr="001C7A79">
        <w:tc>
          <w:tcPr>
            <w:tcW w:w="4673" w:type="dxa"/>
          </w:tcPr>
          <w:p w14:paraId="7BCBFED7" w14:textId="77777777" w:rsidR="001C7A79" w:rsidRDefault="001C7A79" w:rsidP="00485278">
            <w:r>
              <w:t>Deliberately left out of things</w:t>
            </w:r>
          </w:p>
        </w:tc>
        <w:tc>
          <w:tcPr>
            <w:tcW w:w="2693" w:type="dxa"/>
          </w:tcPr>
          <w:p w14:paraId="5BFC6E92" w14:textId="0DDFE3EE" w:rsidR="001C7A79" w:rsidRPr="001C7A79" w:rsidRDefault="001C7A79" w:rsidP="005F509B">
            <w:pPr>
              <w:jc w:val="right"/>
            </w:pPr>
            <w:r w:rsidRPr="001C7A79">
              <w:t>17.4%</w:t>
            </w:r>
          </w:p>
        </w:tc>
        <w:tc>
          <w:tcPr>
            <w:tcW w:w="1985" w:type="dxa"/>
          </w:tcPr>
          <w:p w14:paraId="7E2AC99A" w14:textId="1A01C23E" w:rsidR="001C7A79" w:rsidRPr="001C7A79" w:rsidRDefault="001C7A79" w:rsidP="005F509B">
            <w:pPr>
              <w:jc w:val="right"/>
            </w:pPr>
            <w:r w:rsidRPr="001C7A79">
              <w:t>22.8%</w:t>
            </w:r>
          </w:p>
        </w:tc>
      </w:tr>
      <w:tr w:rsidR="001C7A79" w14:paraId="225967A3" w14:textId="77777777" w:rsidTr="001C7A79">
        <w:tc>
          <w:tcPr>
            <w:tcW w:w="4673" w:type="dxa"/>
          </w:tcPr>
          <w:p w14:paraId="3D04DAE8" w14:textId="77777777" w:rsidR="001C7A79" w:rsidRDefault="001C7A79" w:rsidP="00485278">
            <w:r>
              <w:t>Threatened or physically hurt by another student</w:t>
            </w:r>
          </w:p>
        </w:tc>
        <w:tc>
          <w:tcPr>
            <w:tcW w:w="2693" w:type="dxa"/>
          </w:tcPr>
          <w:p w14:paraId="7E4EDD4E" w14:textId="684F9F78" w:rsidR="001C7A79" w:rsidRPr="001C7A79" w:rsidRDefault="001C7A79" w:rsidP="005F509B">
            <w:pPr>
              <w:jc w:val="right"/>
            </w:pPr>
            <w:r w:rsidRPr="001C7A79">
              <w:t>16.4%</w:t>
            </w:r>
          </w:p>
        </w:tc>
        <w:tc>
          <w:tcPr>
            <w:tcW w:w="1985" w:type="dxa"/>
          </w:tcPr>
          <w:p w14:paraId="328CF02C" w14:textId="69788F96" w:rsidR="001C7A79" w:rsidRPr="001C7A79" w:rsidRDefault="001C7A79" w:rsidP="005F509B">
            <w:pPr>
              <w:jc w:val="right"/>
            </w:pPr>
            <w:r w:rsidRPr="001C7A79">
              <w:t>9.2%</w:t>
            </w:r>
          </w:p>
        </w:tc>
      </w:tr>
    </w:tbl>
    <w:p w14:paraId="5AE995BB" w14:textId="77777777" w:rsidR="005F509B" w:rsidRPr="005F509B" w:rsidRDefault="005F509B" w:rsidP="00485278"/>
    <w:p w14:paraId="4E2205A4" w14:textId="26195595" w:rsidR="00485278" w:rsidRDefault="00934C9A" w:rsidP="00485278">
      <w:pPr>
        <w:pStyle w:val="Heading2"/>
      </w:pPr>
      <w:bookmarkStart w:id="23" w:name="_Toc19111726"/>
      <w:r>
        <w:t>Cyber</w:t>
      </w:r>
      <w:r w:rsidR="00485278">
        <w:t>bullying</w:t>
      </w:r>
      <w:bookmarkEnd w:id="23"/>
    </w:p>
    <w:p w14:paraId="58CC2E18" w14:textId="77777777" w:rsidR="002021AC" w:rsidRDefault="002021AC" w:rsidP="002021AC">
      <w:pPr>
        <w:spacing w:line="276" w:lineRule="auto"/>
      </w:pPr>
      <w:r>
        <w:t xml:space="preserve">Cyberbullying is bullying that is done </w:t>
      </w:r>
      <w:proofErr w:type="gramStart"/>
      <w:r>
        <w:t>through the use of</w:t>
      </w:r>
      <w:proofErr w:type="gramEnd"/>
      <w:r>
        <w:t xml:space="preserve"> technology, for example, using the Internet or a mobile phone to hurt or embarrass someone. It is often done </w:t>
      </w:r>
      <w:proofErr w:type="gramStart"/>
      <w:r>
        <w:t>anonymously, and</w:t>
      </w:r>
      <w:proofErr w:type="gramEnd"/>
      <w:r>
        <w:t xml:space="preserve"> can be shared with a lot of people quickly, which can make it particularly dangerous and hurtful.</w:t>
      </w:r>
    </w:p>
    <w:p w14:paraId="2C113F6A" w14:textId="77777777" w:rsidR="002021AC" w:rsidRDefault="002021AC" w:rsidP="002021AC">
      <w:pPr>
        <w:spacing w:line="276" w:lineRule="auto"/>
      </w:pPr>
      <w:r>
        <w:t>In 2018, almost one in three students (30 per cent) reported experiencing cyberbullying in the past 30 days.</w:t>
      </w:r>
    </w:p>
    <w:p w14:paraId="2CBA802E" w14:textId="5B22296B" w:rsidR="002021AC" w:rsidRDefault="002021AC" w:rsidP="002021AC">
      <w:pPr>
        <w:spacing w:line="276" w:lineRule="auto"/>
      </w:pPr>
      <w:bookmarkStart w:id="24" w:name="_Hlk19695346"/>
      <w:r>
        <w:lastRenderedPageBreak/>
        <w:t xml:space="preserve">Cyberbullying increased with year level from one in four students in Year 5 (25 per cent) to one in three students in Year 8 (33 per cent) and Year 11 (35 per cent). </w:t>
      </w:r>
      <w:bookmarkEnd w:id="24"/>
      <w:r>
        <w:t xml:space="preserve">Females were more likely than males to have experienced cyberbullying (32 per cent compared to 28 per cent). Students from </w:t>
      </w:r>
      <w:r w:rsidR="00C447BB">
        <w:t>one parent</w:t>
      </w:r>
      <w:r>
        <w:t xml:space="preserve"> families were more likely to experience cyberbullying than students from couple parent families (34 per cent compared with 29 per cent). </w:t>
      </w:r>
    </w:p>
    <w:p w14:paraId="347F6BD8" w14:textId="6CF2A0C7" w:rsidR="009757A0" w:rsidRPr="009757A0" w:rsidRDefault="009757A0" w:rsidP="009757A0">
      <w:pPr>
        <w:pStyle w:val="Body"/>
        <w:rPr>
          <w:rFonts w:asciiTheme="minorHAnsi" w:eastAsiaTheme="minorHAnsi" w:hAnsiTheme="minorHAnsi" w:cstheme="minorBidi"/>
          <w:color w:val="auto"/>
          <w:sz w:val="22"/>
          <w:szCs w:val="22"/>
          <w:lang w:eastAsia="en-US"/>
        </w:rPr>
      </w:pPr>
      <w:bookmarkStart w:id="25" w:name="_Toc19111727"/>
      <w:r w:rsidRPr="009757A0">
        <w:rPr>
          <w:rFonts w:asciiTheme="minorHAnsi" w:eastAsiaTheme="minorHAnsi" w:hAnsiTheme="minorHAnsi" w:cstheme="minorBidi"/>
          <w:color w:val="auto"/>
          <w:sz w:val="22"/>
          <w:szCs w:val="22"/>
          <w:lang w:eastAsia="en-US"/>
        </w:rPr>
        <w:t>Compared to 2016, the 2018 results showed a decrease in the proportion of students experiencing cyberbullying (from 3</w:t>
      </w:r>
      <w:r w:rsidR="00EF26B2">
        <w:rPr>
          <w:rFonts w:asciiTheme="minorHAnsi" w:eastAsiaTheme="minorHAnsi" w:hAnsiTheme="minorHAnsi" w:cstheme="minorBidi"/>
          <w:color w:val="auto"/>
          <w:sz w:val="22"/>
          <w:szCs w:val="22"/>
          <w:lang w:eastAsia="en-US"/>
        </w:rPr>
        <w:t>3</w:t>
      </w:r>
      <w:r w:rsidRPr="009757A0">
        <w:rPr>
          <w:rFonts w:asciiTheme="minorHAnsi" w:eastAsiaTheme="minorHAnsi" w:hAnsiTheme="minorHAnsi" w:cstheme="minorBidi"/>
          <w:color w:val="auto"/>
          <w:sz w:val="22"/>
          <w:szCs w:val="22"/>
          <w:lang w:eastAsia="en-US"/>
        </w:rPr>
        <w:t xml:space="preserve"> per cent in 2016 to 30 per cent in 2018). This result was driven by large decreases for females (36 per cent to 3</w:t>
      </w:r>
      <w:r w:rsidR="00EF26B2">
        <w:rPr>
          <w:rFonts w:asciiTheme="minorHAnsi" w:eastAsiaTheme="minorHAnsi" w:hAnsiTheme="minorHAnsi" w:cstheme="minorBidi"/>
          <w:color w:val="auto"/>
          <w:sz w:val="22"/>
          <w:szCs w:val="22"/>
          <w:lang w:eastAsia="en-US"/>
        </w:rPr>
        <w:t>2</w:t>
      </w:r>
      <w:r w:rsidRPr="009757A0">
        <w:rPr>
          <w:rFonts w:asciiTheme="minorHAnsi" w:eastAsiaTheme="minorHAnsi" w:hAnsiTheme="minorHAnsi" w:cstheme="minorBidi"/>
          <w:color w:val="auto"/>
          <w:sz w:val="22"/>
          <w:szCs w:val="22"/>
          <w:lang w:eastAsia="en-US"/>
        </w:rPr>
        <w:t xml:space="preserve"> per cent), students from one parent families (3</w:t>
      </w:r>
      <w:r w:rsidR="00EF26B2">
        <w:rPr>
          <w:rFonts w:asciiTheme="minorHAnsi" w:eastAsiaTheme="minorHAnsi" w:hAnsiTheme="minorHAnsi" w:cstheme="minorBidi"/>
          <w:color w:val="auto"/>
          <w:sz w:val="22"/>
          <w:szCs w:val="22"/>
          <w:lang w:eastAsia="en-US"/>
        </w:rPr>
        <w:t>9</w:t>
      </w:r>
      <w:r w:rsidRPr="009757A0">
        <w:rPr>
          <w:rFonts w:asciiTheme="minorHAnsi" w:eastAsiaTheme="minorHAnsi" w:hAnsiTheme="minorHAnsi" w:cstheme="minorBidi"/>
          <w:color w:val="auto"/>
          <w:sz w:val="22"/>
          <w:szCs w:val="22"/>
          <w:lang w:eastAsia="en-US"/>
        </w:rPr>
        <w:t xml:space="preserve"> per cent to 3</w:t>
      </w:r>
      <w:r w:rsidR="00EF26B2">
        <w:rPr>
          <w:rFonts w:asciiTheme="minorHAnsi" w:eastAsiaTheme="minorHAnsi" w:hAnsiTheme="minorHAnsi" w:cstheme="minorBidi"/>
          <w:color w:val="auto"/>
          <w:sz w:val="22"/>
          <w:szCs w:val="22"/>
          <w:lang w:eastAsia="en-US"/>
        </w:rPr>
        <w:t>4</w:t>
      </w:r>
      <w:r w:rsidRPr="009757A0">
        <w:rPr>
          <w:rFonts w:asciiTheme="minorHAnsi" w:eastAsiaTheme="minorHAnsi" w:hAnsiTheme="minorHAnsi" w:cstheme="minorBidi"/>
          <w:color w:val="auto"/>
          <w:sz w:val="22"/>
          <w:szCs w:val="22"/>
          <w:lang w:eastAsia="en-US"/>
        </w:rPr>
        <w:t xml:space="preserve"> per cent) and Year 11 students (4</w:t>
      </w:r>
      <w:r w:rsidR="00EF26B2">
        <w:rPr>
          <w:rFonts w:asciiTheme="minorHAnsi" w:eastAsiaTheme="minorHAnsi" w:hAnsiTheme="minorHAnsi" w:cstheme="minorBidi"/>
          <w:color w:val="auto"/>
          <w:sz w:val="22"/>
          <w:szCs w:val="22"/>
          <w:lang w:eastAsia="en-US"/>
        </w:rPr>
        <w:t>1</w:t>
      </w:r>
      <w:r w:rsidRPr="009757A0">
        <w:rPr>
          <w:rFonts w:asciiTheme="minorHAnsi" w:eastAsiaTheme="minorHAnsi" w:hAnsiTheme="minorHAnsi" w:cstheme="minorBidi"/>
          <w:color w:val="auto"/>
          <w:sz w:val="22"/>
          <w:szCs w:val="22"/>
          <w:lang w:eastAsia="en-US"/>
        </w:rPr>
        <w:t xml:space="preserve"> per cent to 35 per cent). </w:t>
      </w:r>
    </w:p>
    <w:p w14:paraId="59F3113A" w14:textId="77777777" w:rsidR="00485278" w:rsidRDefault="00485278" w:rsidP="00485278">
      <w:pPr>
        <w:pStyle w:val="Heading2"/>
      </w:pPr>
      <w:r>
        <w:t>Trusted adult</w:t>
      </w:r>
      <w:bookmarkEnd w:id="25"/>
    </w:p>
    <w:p w14:paraId="056C9C80" w14:textId="77777777" w:rsidR="000E1477" w:rsidRDefault="000E1477" w:rsidP="000E1477">
      <w:r>
        <w:t xml:space="preserve">For young people, having a trusted adult in their lives is considered a strong protective factor against school disengagement, mental health issues and development of anti-social or risky behaviours (National Scientific Council of the Developing Child, 2015; Bellis, et al., 2017). Parents, carers, relatives and teachers can play a significant role in building resilience in young people and contribute to their learning and development, health and wellbeing. </w:t>
      </w:r>
    </w:p>
    <w:p w14:paraId="32BC9DA3" w14:textId="77777777" w:rsidR="000E1477" w:rsidRDefault="000E1477" w:rsidP="000E1477">
      <w:r>
        <w:t xml:space="preserve">Over two in three students reported having a trusted adult in their lives (69 per cent). The proportion was significantly higher for young students. Around three in four Year 5 students reported having a trusted adult in their lives (74 per cent), this decreased to 66 per cent of Year 8 students and 64 per cent of Year 11 students. </w:t>
      </w:r>
    </w:p>
    <w:p w14:paraId="22EB2773" w14:textId="6CDAAA13" w:rsidR="00485278" w:rsidRDefault="000E1477" w:rsidP="000E1477">
      <w:r>
        <w:t xml:space="preserve">Students from </w:t>
      </w:r>
      <w:r w:rsidR="00C447BB">
        <w:t>one parent</w:t>
      </w:r>
      <w:r>
        <w:t xml:space="preserve"> families were less likely to have a trusted adult in their lives (68 per cent) than students from couple families (74 per cent). Young people from language backgrounds other than English were also less likely to have a trusted adult in their lives (63 per cent, compared with 71 per cent of those from English-speaking backgrounds).</w:t>
      </w:r>
    </w:p>
    <w:p w14:paraId="32552797" w14:textId="77777777" w:rsidR="00485278" w:rsidRDefault="00485278" w:rsidP="00485278">
      <w:pPr>
        <w:pStyle w:val="Heading2"/>
      </w:pPr>
      <w:bookmarkStart w:id="26" w:name="_Toc19111728"/>
      <w:r>
        <w:t>Family functioning</w:t>
      </w:r>
      <w:bookmarkEnd w:id="26"/>
    </w:p>
    <w:p w14:paraId="54F0678B" w14:textId="77777777" w:rsidR="000E1477" w:rsidRDefault="000E1477" w:rsidP="000E1477">
      <w:r>
        <w:t xml:space="preserve">Healthy family functioning is a key protective factor for children (Child Family Community Australia, 2017; National Collaborating Centre for Mental Health (UK), 2005). It includes positive parenting that establishes fair rules and role models family values that contribute to a child’s sense of wellbeing and to developing positive and self-regulating behaviours. Family functioning is considered unhealthy where both family conflict and disorganisation are present. </w:t>
      </w:r>
    </w:p>
    <w:p w14:paraId="11D4A473" w14:textId="13965764" w:rsidR="00485278" w:rsidRDefault="00636212" w:rsidP="000E1477">
      <w:r w:rsidRPr="00636212">
        <w:t xml:space="preserve">Around four in five students reported healthy family functioning (83 per cent), significantly higher than the 2016 result (79 per cent). Students from </w:t>
      </w:r>
      <w:r w:rsidR="00C447BB">
        <w:t>one parent</w:t>
      </w:r>
      <w:r w:rsidRPr="00636212">
        <w:t xml:space="preserve"> families are less likely to live in households with healthy family functioning than those from couple parent families (82 per cent compared to 90 per cent). A higher proportion of females reported living in a family with healthy family functioning (85 per cent) than males (83 per cent). Year 5 and 8 students were more likely to report healthy family functioning than Year 11 students (88 per cent, and 82 per</w:t>
      </w:r>
      <w:r w:rsidR="008533CD">
        <w:t xml:space="preserve"> </w:t>
      </w:r>
      <w:r w:rsidRPr="00636212">
        <w:t>cent compared to 78 per cent). Since 2016, there have been significant increases in reporting of healthy family functioning by male students, Year 5 students, metropolitan students and students from couple parent families.</w:t>
      </w:r>
      <w:r w:rsidR="00485278">
        <w:t xml:space="preserve"> </w:t>
      </w:r>
    </w:p>
    <w:p w14:paraId="25B58487" w14:textId="77777777" w:rsidR="00485278" w:rsidRDefault="00485278" w:rsidP="00485278">
      <w:pPr>
        <w:pStyle w:val="Heading2"/>
      </w:pPr>
      <w:bookmarkStart w:id="27" w:name="_Toc19111729"/>
      <w:r>
        <w:t>Connectedness to peers</w:t>
      </w:r>
      <w:bookmarkEnd w:id="27"/>
    </w:p>
    <w:p w14:paraId="3FAA0416" w14:textId="77777777" w:rsidR="00485278" w:rsidRDefault="00485278" w:rsidP="00485278">
      <w:pPr>
        <w:rPr>
          <w:rFonts w:asciiTheme="majorHAnsi" w:eastAsiaTheme="majorEastAsia" w:hAnsiTheme="majorHAnsi" w:cstheme="majorBidi"/>
          <w:b/>
          <w:caps/>
          <w:color w:val="5B9BD5" w:themeColor="accent1"/>
          <w:sz w:val="44"/>
          <w:szCs w:val="32"/>
        </w:rPr>
      </w:pPr>
      <w:r w:rsidRPr="009478A4">
        <w:t xml:space="preserve">Connectedness to peers </w:t>
      </w:r>
      <w:r>
        <w:t xml:space="preserve">at school </w:t>
      </w:r>
      <w:r w:rsidRPr="009478A4">
        <w:t>is an important protective factor for learning, development and wellbeing</w:t>
      </w:r>
      <w:r w:rsidRPr="00D71B13">
        <w:rPr>
          <w:rStyle w:val="EndnoteReference"/>
          <w:vertAlign w:val="superscript"/>
        </w:rPr>
        <w:endnoteReference w:id="9"/>
      </w:r>
      <w:r w:rsidRPr="009478A4">
        <w:t xml:space="preserve">. </w:t>
      </w:r>
      <w:proofErr w:type="gramStart"/>
      <w:r w:rsidRPr="009478A4">
        <w:t xml:space="preserve">The </w:t>
      </w:r>
      <w:r w:rsidRPr="00E37E4E">
        <w:t>majority of</w:t>
      </w:r>
      <w:proofErr w:type="gramEnd"/>
      <w:r w:rsidRPr="00E37E4E">
        <w:t xml:space="preserve"> students (93 per cent) reported feeling connected to their peers. Connectedness to peers increased with year level, from 92 per cent in Year 5 to 94 per cent in Year 11. Female students were slightly more likely to report feeling connected to their peers than male </w:t>
      </w:r>
      <w:r w:rsidRPr="00E37E4E">
        <w:lastRenderedPageBreak/>
        <w:t>students (94 per cent compared to 91 per cent). Students from language backgrounds other than English were less likely to report connectedness to peers (89 per cent) compared with those from an English-speaking background (93 per cent).</w:t>
      </w:r>
      <w:r w:rsidRPr="00E300FE">
        <w:t xml:space="preserve">The results for 2018 were similar to those from 2016 for all cohorts except Year 5 students, where the proportion reporting that they feel connected to peers increased from 90 per cent to 92 per cent. </w:t>
      </w:r>
    </w:p>
    <w:p w14:paraId="412BE416" w14:textId="77777777" w:rsidR="00D71B13" w:rsidRDefault="00D71B13">
      <w:pPr>
        <w:rPr>
          <w:rFonts w:asciiTheme="majorHAnsi" w:eastAsiaTheme="majorEastAsia" w:hAnsiTheme="majorHAnsi" w:cstheme="majorBidi"/>
          <w:color w:val="2E74B5" w:themeColor="accent1" w:themeShade="BF"/>
          <w:sz w:val="32"/>
          <w:szCs w:val="32"/>
        </w:rPr>
      </w:pPr>
      <w:r>
        <w:br w:type="page"/>
      </w:r>
    </w:p>
    <w:p w14:paraId="02A1EB1E" w14:textId="4C6E5E7E" w:rsidR="00485278" w:rsidRPr="00485278" w:rsidRDefault="00485278" w:rsidP="00485278">
      <w:pPr>
        <w:pStyle w:val="Heading1"/>
      </w:pPr>
      <w:bookmarkStart w:id="28" w:name="_Toc19111730"/>
      <w:r>
        <w:lastRenderedPageBreak/>
        <w:t>Additional information</w:t>
      </w:r>
      <w:bookmarkEnd w:id="28"/>
    </w:p>
    <w:p w14:paraId="18C58577" w14:textId="77777777" w:rsidR="005F509B" w:rsidRDefault="00485278" w:rsidP="00485278">
      <w:r w:rsidRPr="006E383C">
        <w:t xml:space="preserve">Area based data are published through the Victorian Child and Adolescent Monitoring System (VCAMS) </w:t>
      </w:r>
      <w:hyperlink r:id="rId11" w:history="1">
        <w:r w:rsidRPr="005F509B">
          <w:rPr>
            <w:rStyle w:val="Hyperlink"/>
          </w:rPr>
          <w:t>website</w:t>
        </w:r>
      </w:hyperlink>
      <w:r w:rsidR="005F509B">
        <w:t>.</w:t>
      </w:r>
      <w:r w:rsidRPr="006E383C">
        <w:t xml:space="preserve"> </w:t>
      </w:r>
    </w:p>
    <w:p w14:paraId="6C9DD61C" w14:textId="77777777" w:rsidR="00485278" w:rsidRDefault="00485278" w:rsidP="00485278">
      <w:r w:rsidRPr="009478A4">
        <w:t xml:space="preserve">For further information on the About You survey, contact the Performance and Evaluation Division, Department of Education and Training </w:t>
      </w:r>
      <w:r>
        <w:t xml:space="preserve">at </w:t>
      </w:r>
      <w:hyperlink r:id="rId12" w:history="1">
        <w:r w:rsidRPr="007D2DCB">
          <w:rPr>
            <w:rStyle w:val="Hyperlink"/>
          </w:rPr>
          <w:t>insights.and.evidence@edumail.vic.gov.au</w:t>
        </w:r>
      </w:hyperlink>
      <w:r w:rsidRPr="009478A4">
        <w:t>.</w:t>
      </w:r>
    </w:p>
    <w:p w14:paraId="7E2BE3A2" w14:textId="77777777" w:rsidR="00485278" w:rsidRPr="009478A4" w:rsidRDefault="00485278" w:rsidP="00485278">
      <w:pPr>
        <w:pStyle w:val="Heading1"/>
      </w:pPr>
      <w:bookmarkStart w:id="29" w:name="_Toc19111731"/>
      <w:r>
        <w:t>References</w:t>
      </w:r>
      <w:bookmarkEnd w:id="29"/>
      <w:r>
        <w:t xml:space="preserve"> </w:t>
      </w:r>
    </w:p>
    <w:sectPr w:rsidR="00485278" w:rsidRPr="009478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E6B04" w14:textId="77777777" w:rsidR="007503AF" w:rsidRDefault="007503AF" w:rsidP="009957EE">
      <w:pPr>
        <w:spacing w:after="0" w:line="240" w:lineRule="auto"/>
      </w:pPr>
      <w:r>
        <w:separator/>
      </w:r>
    </w:p>
  </w:endnote>
  <w:endnote w:type="continuationSeparator" w:id="0">
    <w:p w14:paraId="384C5C7C" w14:textId="77777777" w:rsidR="007503AF" w:rsidRDefault="007503AF" w:rsidP="009957EE">
      <w:pPr>
        <w:spacing w:after="0" w:line="240" w:lineRule="auto"/>
      </w:pPr>
      <w:r>
        <w:continuationSeparator/>
      </w:r>
    </w:p>
  </w:endnote>
  <w:endnote w:id="1">
    <w:p w14:paraId="6484C754" w14:textId="77777777" w:rsidR="007503AF" w:rsidRPr="00485278" w:rsidRDefault="007503AF" w:rsidP="00485278">
      <w:pPr>
        <w:rPr>
          <w:b/>
          <w:sz w:val="18"/>
          <w:szCs w:val="18"/>
        </w:rPr>
      </w:pPr>
      <w:r w:rsidRPr="00485278">
        <w:rPr>
          <w:sz w:val="18"/>
          <w:szCs w:val="18"/>
        </w:rPr>
        <w:endnoteRef/>
      </w:r>
      <w:r w:rsidRPr="00485278">
        <w:rPr>
          <w:sz w:val="18"/>
          <w:szCs w:val="18"/>
        </w:rPr>
        <w:t xml:space="preserve"> McPherson M, Arango P, Fox H, et al. (1998). A new definition of children with special health care needs. Paediatrics,  102: 137‐140</w:t>
      </w:r>
    </w:p>
  </w:endnote>
  <w:endnote w:id="2">
    <w:p w14:paraId="54DFC9E4" w14:textId="77777777" w:rsidR="007503AF" w:rsidRPr="00485278" w:rsidRDefault="007503AF" w:rsidP="00485278">
      <w:pPr>
        <w:rPr>
          <w:b/>
          <w:sz w:val="18"/>
          <w:szCs w:val="18"/>
        </w:rPr>
      </w:pPr>
      <w:r w:rsidRPr="00485278">
        <w:rPr>
          <w:sz w:val="18"/>
          <w:szCs w:val="18"/>
        </w:rPr>
        <w:t>ii Vella, S., Cliff, D., Magee, C. &amp; Okely, D. (2014). Sports participation and parent-reported health-related quality of life in children: longitudinal associations</w:t>
      </w:r>
      <w:r w:rsidRPr="00485278">
        <w:rPr>
          <w:rFonts w:hint="eastAsia"/>
          <w:sz w:val="18"/>
          <w:szCs w:val="18"/>
        </w:rPr>
        <w:t>.</w:t>
      </w:r>
      <w:r w:rsidRPr="00485278">
        <w:rPr>
          <w:sz w:val="18"/>
          <w:szCs w:val="18"/>
        </w:rPr>
        <w:t xml:space="preserve"> The Journal of Paediatrics</w:t>
      </w:r>
    </w:p>
  </w:endnote>
  <w:endnote w:id="3">
    <w:p w14:paraId="28510AA5" w14:textId="77777777" w:rsidR="007503AF" w:rsidRPr="00485278" w:rsidRDefault="007503AF" w:rsidP="00485278">
      <w:pPr>
        <w:rPr>
          <w:b/>
          <w:sz w:val="18"/>
          <w:szCs w:val="18"/>
        </w:rPr>
      </w:pPr>
      <w:r w:rsidRPr="00485278">
        <w:rPr>
          <w:sz w:val="18"/>
          <w:szCs w:val="18"/>
        </w:rPr>
        <w:endnoteRef/>
      </w:r>
      <w:r w:rsidRPr="00485278">
        <w:rPr>
          <w:sz w:val="18"/>
          <w:szCs w:val="18"/>
        </w:rPr>
        <w:t xml:space="preserve"> Australian Government Department of Health (2014). National Physical Activity and Sedentary Behaviour Guidelines (2014)</w:t>
      </w:r>
    </w:p>
  </w:endnote>
  <w:endnote w:id="4">
    <w:p w14:paraId="4812151D" w14:textId="77777777" w:rsidR="007503AF" w:rsidRPr="00485278" w:rsidRDefault="007503AF" w:rsidP="00485278">
      <w:pPr>
        <w:rPr>
          <w:b/>
          <w:sz w:val="18"/>
          <w:szCs w:val="18"/>
        </w:rPr>
      </w:pPr>
      <w:r w:rsidRPr="00485278">
        <w:rPr>
          <w:sz w:val="18"/>
          <w:szCs w:val="18"/>
        </w:rPr>
        <w:endnoteRef/>
      </w:r>
      <w:r w:rsidRPr="00485278">
        <w:rPr>
          <w:sz w:val="18"/>
          <w:szCs w:val="18"/>
        </w:rPr>
        <w:t xml:space="preserve"> VicHealth (2016). Physical activity and sedentary behaviour: Evidence summary. </w:t>
      </w:r>
    </w:p>
  </w:endnote>
  <w:endnote w:id="5">
    <w:p w14:paraId="78C0C3B6" w14:textId="77777777" w:rsidR="007503AF" w:rsidRPr="00485278" w:rsidRDefault="007503AF" w:rsidP="00485278">
      <w:pPr>
        <w:rPr>
          <w:b/>
          <w:sz w:val="18"/>
          <w:szCs w:val="18"/>
        </w:rPr>
      </w:pPr>
      <w:r w:rsidRPr="00485278">
        <w:rPr>
          <w:rStyle w:val="EndnoteReference"/>
          <w:sz w:val="18"/>
          <w:szCs w:val="18"/>
        </w:rPr>
        <w:endnoteRef/>
      </w:r>
      <w:r w:rsidRPr="00485278">
        <w:rPr>
          <w:sz w:val="18"/>
          <w:szCs w:val="18"/>
        </w:rPr>
        <w:t xml:space="preserve"> Tremblay, M.S. et al., (2011). Systematic review of sedentary behaviour and health indicators in school-aged children and youth. International Journal of Behavioral Nutrition and Physical Activity, 8, 98.</w:t>
      </w:r>
    </w:p>
  </w:endnote>
  <w:endnote w:id="6">
    <w:p w14:paraId="16211694" w14:textId="77777777" w:rsidR="007503AF" w:rsidRPr="00485278" w:rsidRDefault="007503AF" w:rsidP="00485278">
      <w:pPr>
        <w:rPr>
          <w:b/>
          <w:sz w:val="18"/>
          <w:szCs w:val="18"/>
        </w:rPr>
      </w:pPr>
      <w:r w:rsidRPr="00485278">
        <w:rPr>
          <w:sz w:val="18"/>
          <w:szCs w:val="18"/>
        </w:rPr>
        <w:t>iv National Health and Medical Research Council (2013). Eat for Health: Australian Healthy Eating Guidelines.</w:t>
      </w:r>
    </w:p>
  </w:endnote>
  <w:endnote w:id="7">
    <w:p w14:paraId="0E6BF02E" w14:textId="77777777" w:rsidR="007503AF" w:rsidRPr="00485278" w:rsidRDefault="007503AF" w:rsidP="00485278">
      <w:pPr>
        <w:rPr>
          <w:b/>
          <w:sz w:val="18"/>
          <w:szCs w:val="18"/>
        </w:rPr>
      </w:pPr>
      <w:r w:rsidRPr="00485278">
        <w:rPr>
          <w:sz w:val="18"/>
          <w:szCs w:val="18"/>
        </w:rPr>
        <w:t>v Department of Education and Early Childhood Development (2013) State of Victoria’s children 2011</w:t>
      </w:r>
    </w:p>
  </w:endnote>
  <w:endnote w:id="8">
    <w:p w14:paraId="3629D5A3" w14:textId="77777777" w:rsidR="007503AF" w:rsidRPr="00485278" w:rsidRDefault="007503AF" w:rsidP="00485278">
      <w:pPr>
        <w:rPr>
          <w:b/>
          <w:sz w:val="18"/>
          <w:szCs w:val="18"/>
        </w:rPr>
      </w:pPr>
      <w:r w:rsidRPr="00485278">
        <w:rPr>
          <w:sz w:val="18"/>
          <w:szCs w:val="18"/>
        </w:rPr>
        <w:t>viii Ryan, R. M., &amp; Deci, E. L. (2000). Self-determination theory and the facilitation of intrinsic motivation, social development, and well-being. American Psychologist, 55, 68–78.</w:t>
      </w:r>
    </w:p>
  </w:endnote>
  <w:endnote w:id="9">
    <w:p w14:paraId="58F0CF9C" w14:textId="77777777" w:rsidR="007503AF" w:rsidRPr="00E300FE" w:rsidRDefault="007503AF" w:rsidP="00485278">
      <w:r w:rsidRPr="00485278">
        <w:rPr>
          <w:sz w:val="18"/>
          <w:szCs w:val="18"/>
        </w:rPr>
        <w:endnoteRef/>
      </w:r>
      <w:r w:rsidRPr="00485278">
        <w:rPr>
          <w:sz w:val="18"/>
          <w:szCs w:val="18"/>
        </w:rPr>
        <w:t xml:space="preserve"> Gallardo, L. O., Barrasa, A., &amp; Guevara-Viejo, F. (2016). Positive Peer Relationships and Academic Achievement across Early and Midadolescence. Social Behavior and Personality: and international journal, 44, 10.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4FC6B" w14:textId="77777777" w:rsidR="007503AF" w:rsidRDefault="007503AF" w:rsidP="009957EE">
      <w:pPr>
        <w:spacing w:after="0" w:line="240" w:lineRule="auto"/>
      </w:pPr>
      <w:r>
        <w:separator/>
      </w:r>
    </w:p>
  </w:footnote>
  <w:footnote w:type="continuationSeparator" w:id="0">
    <w:p w14:paraId="3EA45DC7" w14:textId="77777777" w:rsidR="007503AF" w:rsidRDefault="007503AF" w:rsidP="00995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27FAB"/>
    <w:multiLevelType w:val="hybridMultilevel"/>
    <w:tmpl w:val="2E865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5110361"/>
    <w:multiLevelType w:val="hybridMultilevel"/>
    <w:tmpl w:val="C534F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7EE"/>
    <w:rsid w:val="00030AF3"/>
    <w:rsid w:val="000439D0"/>
    <w:rsid w:val="000736D1"/>
    <w:rsid w:val="000E1477"/>
    <w:rsid w:val="00100E2F"/>
    <w:rsid w:val="0015195D"/>
    <w:rsid w:val="00155EBE"/>
    <w:rsid w:val="00167012"/>
    <w:rsid w:val="001752DA"/>
    <w:rsid w:val="001C7A79"/>
    <w:rsid w:val="002021AC"/>
    <w:rsid w:val="00240D07"/>
    <w:rsid w:val="0025287B"/>
    <w:rsid w:val="002707DD"/>
    <w:rsid w:val="00380B36"/>
    <w:rsid w:val="0042323F"/>
    <w:rsid w:val="00485278"/>
    <w:rsid w:val="004B3F12"/>
    <w:rsid w:val="004E21D6"/>
    <w:rsid w:val="00526B10"/>
    <w:rsid w:val="00596851"/>
    <w:rsid w:val="005B476B"/>
    <w:rsid w:val="005F509B"/>
    <w:rsid w:val="00636212"/>
    <w:rsid w:val="006B04E5"/>
    <w:rsid w:val="006B29D9"/>
    <w:rsid w:val="006C045E"/>
    <w:rsid w:val="007137A5"/>
    <w:rsid w:val="00730293"/>
    <w:rsid w:val="00730B16"/>
    <w:rsid w:val="007503AF"/>
    <w:rsid w:val="00790DEF"/>
    <w:rsid w:val="007B5147"/>
    <w:rsid w:val="007E2769"/>
    <w:rsid w:val="008214BE"/>
    <w:rsid w:val="00847D30"/>
    <w:rsid w:val="008533CD"/>
    <w:rsid w:val="00856AD2"/>
    <w:rsid w:val="0086733B"/>
    <w:rsid w:val="008A3FF8"/>
    <w:rsid w:val="008E14C5"/>
    <w:rsid w:val="008E2644"/>
    <w:rsid w:val="008E641B"/>
    <w:rsid w:val="00934C9A"/>
    <w:rsid w:val="00940A9F"/>
    <w:rsid w:val="00941B3C"/>
    <w:rsid w:val="0095059D"/>
    <w:rsid w:val="009757A0"/>
    <w:rsid w:val="009957EE"/>
    <w:rsid w:val="009A08F9"/>
    <w:rsid w:val="009B6CA1"/>
    <w:rsid w:val="009C6FE5"/>
    <w:rsid w:val="009C776E"/>
    <w:rsid w:val="009D656E"/>
    <w:rsid w:val="009E0B8E"/>
    <w:rsid w:val="00A37771"/>
    <w:rsid w:val="00AB25CF"/>
    <w:rsid w:val="00B06956"/>
    <w:rsid w:val="00B95C6A"/>
    <w:rsid w:val="00BA6671"/>
    <w:rsid w:val="00BD70AB"/>
    <w:rsid w:val="00C10816"/>
    <w:rsid w:val="00C447BB"/>
    <w:rsid w:val="00C72564"/>
    <w:rsid w:val="00CE671A"/>
    <w:rsid w:val="00D04C69"/>
    <w:rsid w:val="00D44DFF"/>
    <w:rsid w:val="00D71B13"/>
    <w:rsid w:val="00D75D62"/>
    <w:rsid w:val="00DA338E"/>
    <w:rsid w:val="00DB5CF0"/>
    <w:rsid w:val="00E00B0F"/>
    <w:rsid w:val="00E23471"/>
    <w:rsid w:val="00E82577"/>
    <w:rsid w:val="00EC768A"/>
    <w:rsid w:val="00EE2922"/>
    <w:rsid w:val="00EF26B2"/>
    <w:rsid w:val="00F4664E"/>
    <w:rsid w:val="00F52A14"/>
    <w:rsid w:val="00F92FF5"/>
    <w:rsid w:val="00FA3374"/>
    <w:rsid w:val="00FB16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6BDE"/>
  <w15:chartTrackingRefBased/>
  <w15:docId w15:val="{515F0C55-BB3F-421D-9E1C-BDD5BE26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7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57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57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7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7E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957EE"/>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9957EE"/>
    <w:rPr>
      <w:rFonts w:asciiTheme="majorHAnsi" w:eastAsiaTheme="majorEastAsia" w:hAnsiTheme="majorHAnsi" w:cstheme="majorBidi"/>
      <w:color w:val="2E74B5" w:themeColor="accent1" w:themeShade="BF"/>
      <w:sz w:val="32"/>
      <w:szCs w:val="32"/>
    </w:rPr>
  </w:style>
  <w:style w:type="paragraph" w:customStyle="1" w:styleId="Body">
    <w:name w:val="Body"/>
    <w:link w:val="BodyChar"/>
    <w:rsid w:val="009957EE"/>
    <w:pPr>
      <w:spacing w:after="80" w:line="288" w:lineRule="auto"/>
    </w:pPr>
    <w:rPr>
      <w:rFonts w:ascii="Arial" w:eastAsia="ヒラギノ角ゴ Pro W3" w:hAnsi="Arial" w:cs="Times New Roman"/>
      <w:color w:val="333333"/>
      <w:sz w:val="20"/>
      <w:szCs w:val="20"/>
      <w:lang w:eastAsia="en-AU"/>
    </w:rPr>
  </w:style>
  <w:style w:type="character" w:customStyle="1" w:styleId="BodyChar">
    <w:name w:val="Body Char"/>
    <w:link w:val="Body"/>
    <w:rsid w:val="009957EE"/>
    <w:rPr>
      <w:rFonts w:ascii="Arial" w:eastAsia="ヒラギノ角ゴ Pro W3" w:hAnsi="Arial" w:cs="Times New Roman"/>
      <w:color w:val="333333"/>
      <w:sz w:val="20"/>
      <w:szCs w:val="20"/>
      <w:lang w:eastAsia="en-AU"/>
    </w:rPr>
  </w:style>
  <w:style w:type="paragraph" w:styleId="NoSpacing">
    <w:name w:val="No Spacing"/>
    <w:uiPriority w:val="1"/>
    <w:qFormat/>
    <w:rsid w:val="009957EE"/>
    <w:pPr>
      <w:spacing w:after="0" w:line="240" w:lineRule="auto"/>
    </w:pPr>
  </w:style>
  <w:style w:type="paragraph" w:styleId="ListParagraph">
    <w:name w:val="List Paragraph"/>
    <w:basedOn w:val="Normal"/>
    <w:uiPriority w:val="34"/>
    <w:qFormat/>
    <w:rsid w:val="009957EE"/>
    <w:pPr>
      <w:ind w:left="720"/>
      <w:contextualSpacing/>
    </w:pPr>
  </w:style>
  <w:style w:type="table" w:styleId="TableGrid">
    <w:name w:val="Table Grid"/>
    <w:basedOn w:val="TableNormal"/>
    <w:uiPriority w:val="39"/>
    <w:rsid w:val="00995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957EE"/>
    <w:rPr>
      <w:rFonts w:asciiTheme="majorHAnsi" w:eastAsiaTheme="majorEastAsia" w:hAnsiTheme="majorHAnsi" w:cstheme="majorBidi"/>
      <w:color w:val="2E74B5" w:themeColor="accent1" w:themeShade="BF"/>
      <w:sz w:val="26"/>
      <w:szCs w:val="26"/>
    </w:rPr>
  </w:style>
  <w:style w:type="paragraph" w:styleId="EndnoteText">
    <w:name w:val="endnote text"/>
    <w:basedOn w:val="Normal"/>
    <w:link w:val="EndnoteTextChar"/>
    <w:uiPriority w:val="99"/>
    <w:qFormat/>
    <w:rsid w:val="009957EE"/>
    <w:pPr>
      <w:spacing w:before="120" w:after="240" w:line="240" w:lineRule="atLeast"/>
    </w:pPr>
    <w:rPr>
      <w:rFonts w:ascii="Arial" w:eastAsiaTheme="minorEastAsia" w:hAnsi="Arial" w:cs="Arial"/>
      <w:b/>
      <w:color w:val="5A5A59"/>
      <w:sz w:val="18"/>
      <w:szCs w:val="24"/>
      <w:lang w:val="en-US"/>
    </w:rPr>
  </w:style>
  <w:style w:type="character" w:customStyle="1" w:styleId="EndnoteTextChar">
    <w:name w:val="Endnote Text Char"/>
    <w:basedOn w:val="DefaultParagraphFont"/>
    <w:link w:val="EndnoteText"/>
    <w:uiPriority w:val="99"/>
    <w:rsid w:val="009957EE"/>
    <w:rPr>
      <w:rFonts w:ascii="Arial" w:eastAsiaTheme="minorEastAsia" w:hAnsi="Arial" w:cs="Arial"/>
      <w:b/>
      <w:color w:val="5A5A59"/>
      <w:sz w:val="18"/>
      <w:szCs w:val="24"/>
      <w:lang w:val="en-US"/>
    </w:rPr>
  </w:style>
  <w:style w:type="character" w:styleId="EndnoteReference">
    <w:name w:val="endnote reference"/>
    <w:uiPriority w:val="99"/>
    <w:unhideWhenUsed/>
    <w:rsid w:val="009957EE"/>
    <w:rPr>
      <w:b w:val="0"/>
      <w:i w:val="0"/>
      <w:sz w:val="15"/>
      <w:szCs w:val="15"/>
      <w:lang w:val="en-AU"/>
    </w:rPr>
  </w:style>
  <w:style w:type="character" w:styleId="CommentReference">
    <w:name w:val="annotation reference"/>
    <w:basedOn w:val="DefaultParagraphFont"/>
    <w:uiPriority w:val="99"/>
    <w:semiHidden/>
    <w:unhideWhenUsed/>
    <w:rsid w:val="00485278"/>
    <w:rPr>
      <w:sz w:val="16"/>
      <w:szCs w:val="16"/>
    </w:rPr>
  </w:style>
  <w:style w:type="paragraph" w:styleId="CommentText">
    <w:name w:val="annotation text"/>
    <w:basedOn w:val="Normal"/>
    <w:link w:val="CommentTextChar"/>
    <w:uiPriority w:val="99"/>
    <w:semiHidden/>
    <w:unhideWhenUsed/>
    <w:rsid w:val="00485278"/>
    <w:pPr>
      <w:spacing w:after="80" w:line="288" w:lineRule="auto"/>
    </w:pPr>
    <w:rPr>
      <w:rFonts w:ascii="Arial" w:eastAsiaTheme="minorEastAsia" w:hAnsi="Arial" w:cs="Arial"/>
      <w:sz w:val="20"/>
      <w:szCs w:val="20"/>
      <w:lang w:val="en-US"/>
    </w:rPr>
  </w:style>
  <w:style w:type="character" w:customStyle="1" w:styleId="CommentTextChar">
    <w:name w:val="Comment Text Char"/>
    <w:basedOn w:val="DefaultParagraphFont"/>
    <w:link w:val="CommentText"/>
    <w:uiPriority w:val="99"/>
    <w:semiHidden/>
    <w:rsid w:val="00485278"/>
    <w:rPr>
      <w:rFonts w:ascii="Arial" w:eastAsiaTheme="minorEastAsia" w:hAnsi="Arial" w:cs="Arial"/>
      <w:sz w:val="20"/>
      <w:szCs w:val="20"/>
      <w:lang w:val="en-US"/>
    </w:rPr>
  </w:style>
  <w:style w:type="paragraph" w:styleId="BalloonText">
    <w:name w:val="Balloon Text"/>
    <w:basedOn w:val="Normal"/>
    <w:link w:val="BalloonTextChar"/>
    <w:uiPriority w:val="99"/>
    <w:semiHidden/>
    <w:unhideWhenUsed/>
    <w:rsid w:val="00485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278"/>
    <w:rPr>
      <w:rFonts w:ascii="Segoe UI" w:hAnsi="Segoe UI" w:cs="Segoe UI"/>
      <w:sz w:val="18"/>
      <w:szCs w:val="18"/>
    </w:rPr>
  </w:style>
  <w:style w:type="character" w:styleId="Hyperlink">
    <w:name w:val="Hyperlink"/>
    <w:basedOn w:val="DefaultParagraphFont"/>
    <w:uiPriority w:val="99"/>
    <w:unhideWhenUsed/>
    <w:rsid w:val="00485278"/>
    <w:rPr>
      <w:color w:val="0000FF"/>
      <w:u w:val="single"/>
    </w:rPr>
  </w:style>
  <w:style w:type="paragraph" w:styleId="Caption">
    <w:name w:val="caption"/>
    <w:basedOn w:val="Normal"/>
    <w:next w:val="Normal"/>
    <w:uiPriority w:val="35"/>
    <w:unhideWhenUsed/>
    <w:qFormat/>
    <w:rsid w:val="009B6CA1"/>
    <w:pPr>
      <w:spacing w:after="200" w:line="240" w:lineRule="auto"/>
    </w:pPr>
    <w:rPr>
      <w:i/>
      <w:iCs/>
      <w:color w:val="44546A" w:themeColor="text2"/>
      <w:sz w:val="18"/>
      <w:szCs w:val="18"/>
    </w:rPr>
  </w:style>
  <w:style w:type="paragraph" w:styleId="TOC1">
    <w:name w:val="toc 1"/>
    <w:basedOn w:val="Normal"/>
    <w:next w:val="Normal"/>
    <w:autoRedefine/>
    <w:uiPriority w:val="39"/>
    <w:unhideWhenUsed/>
    <w:rsid w:val="005F509B"/>
    <w:pPr>
      <w:spacing w:after="100"/>
    </w:pPr>
  </w:style>
  <w:style w:type="paragraph" w:styleId="TOC2">
    <w:name w:val="toc 2"/>
    <w:basedOn w:val="Normal"/>
    <w:next w:val="Normal"/>
    <w:autoRedefine/>
    <w:uiPriority w:val="39"/>
    <w:unhideWhenUsed/>
    <w:rsid w:val="005F509B"/>
    <w:pPr>
      <w:spacing w:after="100"/>
      <w:ind w:left="220"/>
    </w:pPr>
  </w:style>
  <w:style w:type="character" w:styleId="FollowedHyperlink">
    <w:name w:val="FollowedHyperlink"/>
    <w:basedOn w:val="DefaultParagraphFont"/>
    <w:uiPriority w:val="99"/>
    <w:semiHidden/>
    <w:unhideWhenUsed/>
    <w:rsid w:val="005F50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1965">
      <w:bodyDiv w:val="1"/>
      <w:marLeft w:val="0"/>
      <w:marRight w:val="0"/>
      <w:marTop w:val="0"/>
      <w:marBottom w:val="0"/>
      <w:divBdr>
        <w:top w:val="none" w:sz="0" w:space="0" w:color="auto"/>
        <w:left w:val="none" w:sz="0" w:space="0" w:color="auto"/>
        <w:bottom w:val="none" w:sz="0" w:space="0" w:color="auto"/>
        <w:right w:val="none" w:sz="0" w:space="0" w:color="auto"/>
      </w:divBdr>
    </w:div>
    <w:div w:id="71659393">
      <w:bodyDiv w:val="1"/>
      <w:marLeft w:val="0"/>
      <w:marRight w:val="0"/>
      <w:marTop w:val="0"/>
      <w:marBottom w:val="0"/>
      <w:divBdr>
        <w:top w:val="none" w:sz="0" w:space="0" w:color="auto"/>
        <w:left w:val="none" w:sz="0" w:space="0" w:color="auto"/>
        <w:bottom w:val="none" w:sz="0" w:space="0" w:color="auto"/>
        <w:right w:val="none" w:sz="0" w:space="0" w:color="auto"/>
      </w:divBdr>
    </w:div>
    <w:div w:id="102962506">
      <w:bodyDiv w:val="1"/>
      <w:marLeft w:val="0"/>
      <w:marRight w:val="0"/>
      <w:marTop w:val="0"/>
      <w:marBottom w:val="0"/>
      <w:divBdr>
        <w:top w:val="none" w:sz="0" w:space="0" w:color="auto"/>
        <w:left w:val="none" w:sz="0" w:space="0" w:color="auto"/>
        <w:bottom w:val="none" w:sz="0" w:space="0" w:color="auto"/>
        <w:right w:val="none" w:sz="0" w:space="0" w:color="auto"/>
      </w:divBdr>
    </w:div>
    <w:div w:id="155614164">
      <w:bodyDiv w:val="1"/>
      <w:marLeft w:val="0"/>
      <w:marRight w:val="0"/>
      <w:marTop w:val="0"/>
      <w:marBottom w:val="0"/>
      <w:divBdr>
        <w:top w:val="none" w:sz="0" w:space="0" w:color="auto"/>
        <w:left w:val="none" w:sz="0" w:space="0" w:color="auto"/>
        <w:bottom w:val="none" w:sz="0" w:space="0" w:color="auto"/>
        <w:right w:val="none" w:sz="0" w:space="0" w:color="auto"/>
      </w:divBdr>
    </w:div>
    <w:div w:id="172694657">
      <w:bodyDiv w:val="1"/>
      <w:marLeft w:val="0"/>
      <w:marRight w:val="0"/>
      <w:marTop w:val="0"/>
      <w:marBottom w:val="0"/>
      <w:divBdr>
        <w:top w:val="none" w:sz="0" w:space="0" w:color="auto"/>
        <w:left w:val="none" w:sz="0" w:space="0" w:color="auto"/>
        <w:bottom w:val="none" w:sz="0" w:space="0" w:color="auto"/>
        <w:right w:val="none" w:sz="0" w:space="0" w:color="auto"/>
      </w:divBdr>
    </w:div>
    <w:div w:id="180897036">
      <w:bodyDiv w:val="1"/>
      <w:marLeft w:val="0"/>
      <w:marRight w:val="0"/>
      <w:marTop w:val="0"/>
      <w:marBottom w:val="0"/>
      <w:divBdr>
        <w:top w:val="none" w:sz="0" w:space="0" w:color="auto"/>
        <w:left w:val="none" w:sz="0" w:space="0" w:color="auto"/>
        <w:bottom w:val="none" w:sz="0" w:space="0" w:color="auto"/>
        <w:right w:val="none" w:sz="0" w:space="0" w:color="auto"/>
      </w:divBdr>
    </w:div>
    <w:div w:id="195777641">
      <w:bodyDiv w:val="1"/>
      <w:marLeft w:val="0"/>
      <w:marRight w:val="0"/>
      <w:marTop w:val="0"/>
      <w:marBottom w:val="0"/>
      <w:divBdr>
        <w:top w:val="none" w:sz="0" w:space="0" w:color="auto"/>
        <w:left w:val="none" w:sz="0" w:space="0" w:color="auto"/>
        <w:bottom w:val="none" w:sz="0" w:space="0" w:color="auto"/>
        <w:right w:val="none" w:sz="0" w:space="0" w:color="auto"/>
      </w:divBdr>
    </w:div>
    <w:div w:id="200480127">
      <w:bodyDiv w:val="1"/>
      <w:marLeft w:val="0"/>
      <w:marRight w:val="0"/>
      <w:marTop w:val="0"/>
      <w:marBottom w:val="0"/>
      <w:divBdr>
        <w:top w:val="none" w:sz="0" w:space="0" w:color="auto"/>
        <w:left w:val="none" w:sz="0" w:space="0" w:color="auto"/>
        <w:bottom w:val="none" w:sz="0" w:space="0" w:color="auto"/>
        <w:right w:val="none" w:sz="0" w:space="0" w:color="auto"/>
      </w:divBdr>
    </w:div>
    <w:div w:id="215164903">
      <w:bodyDiv w:val="1"/>
      <w:marLeft w:val="0"/>
      <w:marRight w:val="0"/>
      <w:marTop w:val="0"/>
      <w:marBottom w:val="0"/>
      <w:divBdr>
        <w:top w:val="none" w:sz="0" w:space="0" w:color="auto"/>
        <w:left w:val="none" w:sz="0" w:space="0" w:color="auto"/>
        <w:bottom w:val="none" w:sz="0" w:space="0" w:color="auto"/>
        <w:right w:val="none" w:sz="0" w:space="0" w:color="auto"/>
      </w:divBdr>
    </w:div>
    <w:div w:id="298800681">
      <w:bodyDiv w:val="1"/>
      <w:marLeft w:val="0"/>
      <w:marRight w:val="0"/>
      <w:marTop w:val="0"/>
      <w:marBottom w:val="0"/>
      <w:divBdr>
        <w:top w:val="none" w:sz="0" w:space="0" w:color="auto"/>
        <w:left w:val="none" w:sz="0" w:space="0" w:color="auto"/>
        <w:bottom w:val="none" w:sz="0" w:space="0" w:color="auto"/>
        <w:right w:val="none" w:sz="0" w:space="0" w:color="auto"/>
      </w:divBdr>
    </w:div>
    <w:div w:id="325325448">
      <w:bodyDiv w:val="1"/>
      <w:marLeft w:val="0"/>
      <w:marRight w:val="0"/>
      <w:marTop w:val="0"/>
      <w:marBottom w:val="0"/>
      <w:divBdr>
        <w:top w:val="none" w:sz="0" w:space="0" w:color="auto"/>
        <w:left w:val="none" w:sz="0" w:space="0" w:color="auto"/>
        <w:bottom w:val="none" w:sz="0" w:space="0" w:color="auto"/>
        <w:right w:val="none" w:sz="0" w:space="0" w:color="auto"/>
      </w:divBdr>
    </w:div>
    <w:div w:id="332878506">
      <w:bodyDiv w:val="1"/>
      <w:marLeft w:val="0"/>
      <w:marRight w:val="0"/>
      <w:marTop w:val="0"/>
      <w:marBottom w:val="0"/>
      <w:divBdr>
        <w:top w:val="none" w:sz="0" w:space="0" w:color="auto"/>
        <w:left w:val="none" w:sz="0" w:space="0" w:color="auto"/>
        <w:bottom w:val="none" w:sz="0" w:space="0" w:color="auto"/>
        <w:right w:val="none" w:sz="0" w:space="0" w:color="auto"/>
      </w:divBdr>
    </w:div>
    <w:div w:id="353843036">
      <w:bodyDiv w:val="1"/>
      <w:marLeft w:val="0"/>
      <w:marRight w:val="0"/>
      <w:marTop w:val="0"/>
      <w:marBottom w:val="0"/>
      <w:divBdr>
        <w:top w:val="none" w:sz="0" w:space="0" w:color="auto"/>
        <w:left w:val="none" w:sz="0" w:space="0" w:color="auto"/>
        <w:bottom w:val="none" w:sz="0" w:space="0" w:color="auto"/>
        <w:right w:val="none" w:sz="0" w:space="0" w:color="auto"/>
      </w:divBdr>
    </w:div>
    <w:div w:id="472716967">
      <w:bodyDiv w:val="1"/>
      <w:marLeft w:val="0"/>
      <w:marRight w:val="0"/>
      <w:marTop w:val="0"/>
      <w:marBottom w:val="0"/>
      <w:divBdr>
        <w:top w:val="none" w:sz="0" w:space="0" w:color="auto"/>
        <w:left w:val="none" w:sz="0" w:space="0" w:color="auto"/>
        <w:bottom w:val="none" w:sz="0" w:space="0" w:color="auto"/>
        <w:right w:val="none" w:sz="0" w:space="0" w:color="auto"/>
      </w:divBdr>
    </w:div>
    <w:div w:id="658578220">
      <w:bodyDiv w:val="1"/>
      <w:marLeft w:val="0"/>
      <w:marRight w:val="0"/>
      <w:marTop w:val="0"/>
      <w:marBottom w:val="0"/>
      <w:divBdr>
        <w:top w:val="none" w:sz="0" w:space="0" w:color="auto"/>
        <w:left w:val="none" w:sz="0" w:space="0" w:color="auto"/>
        <w:bottom w:val="none" w:sz="0" w:space="0" w:color="auto"/>
        <w:right w:val="none" w:sz="0" w:space="0" w:color="auto"/>
      </w:divBdr>
    </w:div>
    <w:div w:id="732046329">
      <w:bodyDiv w:val="1"/>
      <w:marLeft w:val="0"/>
      <w:marRight w:val="0"/>
      <w:marTop w:val="0"/>
      <w:marBottom w:val="0"/>
      <w:divBdr>
        <w:top w:val="none" w:sz="0" w:space="0" w:color="auto"/>
        <w:left w:val="none" w:sz="0" w:space="0" w:color="auto"/>
        <w:bottom w:val="none" w:sz="0" w:space="0" w:color="auto"/>
        <w:right w:val="none" w:sz="0" w:space="0" w:color="auto"/>
      </w:divBdr>
    </w:div>
    <w:div w:id="735249529">
      <w:bodyDiv w:val="1"/>
      <w:marLeft w:val="0"/>
      <w:marRight w:val="0"/>
      <w:marTop w:val="0"/>
      <w:marBottom w:val="0"/>
      <w:divBdr>
        <w:top w:val="none" w:sz="0" w:space="0" w:color="auto"/>
        <w:left w:val="none" w:sz="0" w:space="0" w:color="auto"/>
        <w:bottom w:val="none" w:sz="0" w:space="0" w:color="auto"/>
        <w:right w:val="none" w:sz="0" w:space="0" w:color="auto"/>
      </w:divBdr>
    </w:div>
    <w:div w:id="899560040">
      <w:bodyDiv w:val="1"/>
      <w:marLeft w:val="0"/>
      <w:marRight w:val="0"/>
      <w:marTop w:val="0"/>
      <w:marBottom w:val="0"/>
      <w:divBdr>
        <w:top w:val="none" w:sz="0" w:space="0" w:color="auto"/>
        <w:left w:val="none" w:sz="0" w:space="0" w:color="auto"/>
        <w:bottom w:val="none" w:sz="0" w:space="0" w:color="auto"/>
        <w:right w:val="none" w:sz="0" w:space="0" w:color="auto"/>
      </w:divBdr>
    </w:div>
    <w:div w:id="1000697541">
      <w:bodyDiv w:val="1"/>
      <w:marLeft w:val="0"/>
      <w:marRight w:val="0"/>
      <w:marTop w:val="0"/>
      <w:marBottom w:val="0"/>
      <w:divBdr>
        <w:top w:val="none" w:sz="0" w:space="0" w:color="auto"/>
        <w:left w:val="none" w:sz="0" w:space="0" w:color="auto"/>
        <w:bottom w:val="none" w:sz="0" w:space="0" w:color="auto"/>
        <w:right w:val="none" w:sz="0" w:space="0" w:color="auto"/>
      </w:divBdr>
    </w:div>
    <w:div w:id="1024676555">
      <w:bodyDiv w:val="1"/>
      <w:marLeft w:val="0"/>
      <w:marRight w:val="0"/>
      <w:marTop w:val="0"/>
      <w:marBottom w:val="0"/>
      <w:divBdr>
        <w:top w:val="none" w:sz="0" w:space="0" w:color="auto"/>
        <w:left w:val="none" w:sz="0" w:space="0" w:color="auto"/>
        <w:bottom w:val="none" w:sz="0" w:space="0" w:color="auto"/>
        <w:right w:val="none" w:sz="0" w:space="0" w:color="auto"/>
      </w:divBdr>
    </w:div>
    <w:div w:id="1100636807">
      <w:bodyDiv w:val="1"/>
      <w:marLeft w:val="0"/>
      <w:marRight w:val="0"/>
      <w:marTop w:val="0"/>
      <w:marBottom w:val="0"/>
      <w:divBdr>
        <w:top w:val="none" w:sz="0" w:space="0" w:color="auto"/>
        <w:left w:val="none" w:sz="0" w:space="0" w:color="auto"/>
        <w:bottom w:val="none" w:sz="0" w:space="0" w:color="auto"/>
        <w:right w:val="none" w:sz="0" w:space="0" w:color="auto"/>
      </w:divBdr>
    </w:div>
    <w:div w:id="1139417868">
      <w:bodyDiv w:val="1"/>
      <w:marLeft w:val="0"/>
      <w:marRight w:val="0"/>
      <w:marTop w:val="0"/>
      <w:marBottom w:val="0"/>
      <w:divBdr>
        <w:top w:val="none" w:sz="0" w:space="0" w:color="auto"/>
        <w:left w:val="none" w:sz="0" w:space="0" w:color="auto"/>
        <w:bottom w:val="none" w:sz="0" w:space="0" w:color="auto"/>
        <w:right w:val="none" w:sz="0" w:space="0" w:color="auto"/>
      </w:divBdr>
    </w:div>
    <w:div w:id="1146554597">
      <w:bodyDiv w:val="1"/>
      <w:marLeft w:val="0"/>
      <w:marRight w:val="0"/>
      <w:marTop w:val="0"/>
      <w:marBottom w:val="0"/>
      <w:divBdr>
        <w:top w:val="none" w:sz="0" w:space="0" w:color="auto"/>
        <w:left w:val="none" w:sz="0" w:space="0" w:color="auto"/>
        <w:bottom w:val="none" w:sz="0" w:space="0" w:color="auto"/>
        <w:right w:val="none" w:sz="0" w:space="0" w:color="auto"/>
      </w:divBdr>
    </w:div>
    <w:div w:id="1150630947">
      <w:bodyDiv w:val="1"/>
      <w:marLeft w:val="0"/>
      <w:marRight w:val="0"/>
      <w:marTop w:val="0"/>
      <w:marBottom w:val="0"/>
      <w:divBdr>
        <w:top w:val="none" w:sz="0" w:space="0" w:color="auto"/>
        <w:left w:val="none" w:sz="0" w:space="0" w:color="auto"/>
        <w:bottom w:val="none" w:sz="0" w:space="0" w:color="auto"/>
        <w:right w:val="none" w:sz="0" w:space="0" w:color="auto"/>
      </w:divBdr>
    </w:div>
    <w:div w:id="1168864505">
      <w:bodyDiv w:val="1"/>
      <w:marLeft w:val="0"/>
      <w:marRight w:val="0"/>
      <w:marTop w:val="0"/>
      <w:marBottom w:val="0"/>
      <w:divBdr>
        <w:top w:val="none" w:sz="0" w:space="0" w:color="auto"/>
        <w:left w:val="none" w:sz="0" w:space="0" w:color="auto"/>
        <w:bottom w:val="none" w:sz="0" w:space="0" w:color="auto"/>
        <w:right w:val="none" w:sz="0" w:space="0" w:color="auto"/>
      </w:divBdr>
    </w:div>
    <w:div w:id="1235242156">
      <w:bodyDiv w:val="1"/>
      <w:marLeft w:val="0"/>
      <w:marRight w:val="0"/>
      <w:marTop w:val="0"/>
      <w:marBottom w:val="0"/>
      <w:divBdr>
        <w:top w:val="none" w:sz="0" w:space="0" w:color="auto"/>
        <w:left w:val="none" w:sz="0" w:space="0" w:color="auto"/>
        <w:bottom w:val="none" w:sz="0" w:space="0" w:color="auto"/>
        <w:right w:val="none" w:sz="0" w:space="0" w:color="auto"/>
      </w:divBdr>
    </w:div>
    <w:div w:id="1254707130">
      <w:bodyDiv w:val="1"/>
      <w:marLeft w:val="0"/>
      <w:marRight w:val="0"/>
      <w:marTop w:val="0"/>
      <w:marBottom w:val="0"/>
      <w:divBdr>
        <w:top w:val="none" w:sz="0" w:space="0" w:color="auto"/>
        <w:left w:val="none" w:sz="0" w:space="0" w:color="auto"/>
        <w:bottom w:val="none" w:sz="0" w:space="0" w:color="auto"/>
        <w:right w:val="none" w:sz="0" w:space="0" w:color="auto"/>
      </w:divBdr>
    </w:div>
    <w:div w:id="1281374368">
      <w:bodyDiv w:val="1"/>
      <w:marLeft w:val="0"/>
      <w:marRight w:val="0"/>
      <w:marTop w:val="0"/>
      <w:marBottom w:val="0"/>
      <w:divBdr>
        <w:top w:val="none" w:sz="0" w:space="0" w:color="auto"/>
        <w:left w:val="none" w:sz="0" w:space="0" w:color="auto"/>
        <w:bottom w:val="none" w:sz="0" w:space="0" w:color="auto"/>
        <w:right w:val="none" w:sz="0" w:space="0" w:color="auto"/>
      </w:divBdr>
    </w:div>
    <w:div w:id="1334649898">
      <w:bodyDiv w:val="1"/>
      <w:marLeft w:val="0"/>
      <w:marRight w:val="0"/>
      <w:marTop w:val="0"/>
      <w:marBottom w:val="0"/>
      <w:divBdr>
        <w:top w:val="none" w:sz="0" w:space="0" w:color="auto"/>
        <w:left w:val="none" w:sz="0" w:space="0" w:color="auto"/>
        <w:bottom w:val="none" w:sz="0" w:space="0" w:color="auto"/>
        <w:right w:val="none" w:sz="0" w:space="0" w:color="auto"/>
      </w:divBdr>
    </w:div>
    <w:div w:id="1359815559">
      <w:bodyDiv w:val="1"/>
      <w:marLeft w:val="0"/>
      <w:marRight w:val="0"/>
      <w:marTop w:val="0"/>
      <w:marBottom w:val="0"/>
      <w:divBdr>
        <w:top w:val="none" w:sz="0" w:space="0" w:color="auto"/>
        <w:left w:val="none" w:sz="0" w:space="0" w:color="auto"/>
        <w:bottom w:val="none" w:sz="0" w:space="0" w:color="auto"/>
        <w:right w:val="none" w:sz="0" w:space="0" w:color="auto"/>
      </w:divBdr>
    </w:div>
    <w:div w:id="1468477163">
      <w:bodyDiv w:val="1"/>
      <w:marLeft w:val="0"/>
      <w:marRight w:val="0"/>
      <w:marTop w:val="0"/>
      <w:marBottom w:val="0"/>
      <w:divBdr>
        <w:top w:val="none" w:sz="0" w:space="0" w:color="auto"/>
        <w:left w:val="none" w:sz="0" w:space="0" w:color="auto"/>
        <w:bottom w:val="none" w:sz="0" w:space="0" w:color="auto"/>
        <w:right w:val="none" w:sz="0" w:space="0" w:color="auto"/>
      </w:divBdr>
    </w:div>
    <w:div w:id="1505902019">
      <w:bodyDiv w:val="1"/>
      <w:marLeft w:val="0"/>
      <w:marRight w:val="0"/>
      <w:marTop w:val="0"/>
      <w:marBottom w:val="0"/>
      <w:divBdr>
        <w:top w:val="none" w:sz="0" w:space="0" w:color="auto"/>
        <w:left w:val="none" w:sz="0" w:space="0" w:color="auto"/>
        <w:bottom w:val="none" w:sz="0" w:space="0" w:color="auto"/>
        <w:right w:val="none" w:sz="0" w:space="0" w:color="auto"/>
      </w:divBdr>
    </w:div>
    <w:div w:id="1534805282">
      <w:bodyDiv w:val="1"/>
      <w:marLeft w:val="0"/>
      <w:marRight w:val="0"/>
      <w:marTop w:val="0"/>
      <w:marBottom w:val="0"/>
      <w:divBdr>
        <w:top w:val="none" w:sz="0" w:space="0" w:color="auto"/>
        <w:left w:val="none" w:sz="0" w:space="0" w:color="auto"/>
        <w:bottom w:val="none" w:sz="0" w:space="0" w:color="auto"/>
        <w:right w:val="none" w:sz="0" w:space="0" w:color="auto"/>
      </w:divBdr>
    </w:div>
    <w:div w:id="1556500622">
      <w:bodyDiv w:val="1"/>
      <w:marLeft w:val="0"/>
      <w:marRight w:val="0"/>
      <w:marTop w:val="0"/>
      <w:marBottom w:val="0"/>
      <w:divBdr>
        <w:top w:val="none" w:sz="0" w:space="0" w:color="auto"/>
        <w:left w:val="none" w:sz="0" w:space="0" w:color="auto"/>
        <w:bottom w:val="none" w:sz="0" w:space="0" w:color="auto"/>
        <w:right w:val="none" w:sz="0" w:space="0" w:color="auto"/>
      </w:divBdr>
    </w:div>
    <w:div w:id="1579943370">
      <w:bodyDiv w:val="1"/>
      <w:marLeft w:val="0"/>
      <w:marRight w:val="0"/>
      <w:marTop w:val="0"/>
      <w:marBottom w:val="0"/>
      <w:divBdr>
        <w:top w:val="none" w:sz="0" w:space="0" w:color="auto"/>
        <w:left w:val="none" w:sz="0" w:space="0" w:color="auto"/>
        <w:bottom w:val="none" w:sz="0" w:space="0" w:color="auto"/>
        <w:right w:val="none" w:sz="0" w:space="0" w:color="auto"/>
      </w:divBdr>
    </w:div>
    <w:div w:id="1606690072">
      <w:bodyDiv w:val="1"/>
      <w:marLeft w:val="0"/>
      <w:marRight w:val="0"/>
      <w:marTop w:val="0"/>
      <w:marBottom w:val="0"/>
      <w:divBdr>
        <w:top w:val="none" w:sz="0" w:space="0" w:color="auto"/>
        <w:left w:val="none" w:sz="0" w:space="0" w:color="auto"/>
        <w:bottom w:val="none" w:sz="0" w:space="0" w:color="auto"/>
        <w:right w:val="none" w:sz="0" w:space="0" w:color="auto"/>
      </w:divBdr>
    </w:div>
    <w:div w:id="1649826158">
      <w:bodyDiv w:val="1"/>
      <w:marLeft w:val="0"/>
      <w:marRight w:val="0"/>
      <w:marTop w:val="0"/>
      <w:marBottom w:val="0"/>
      <w:divBdr>
        <w:top w:val="none" w:sz="0" w:space="0" w:color="auto"/>
        <w:left w:val="none" w:sz="0" w:space="0" w:color="auto"/>
        <w:bottom w:val="none" w:sz="0" w:space="0" w:color="auto"/>
        <w:right w:val="none" w:sz="0" w:space="0" w:color="auto"/>
      </w:divBdr>
    </w:div>
    <w:div w:id="1655449261">
      <w:bodyDiv w:val="1"/>
      <w:marLeft w:val="0"/>
      <w:marRight w:val="0"/>
      <w:marTop w:val="0"/>
      <w:marBottom w:val="0"/>
      <w:divBdr>
        <w:top w:val="none" w:sz="0" w:space="0" w:color="auto"/>
        <w:left w:val="none" w:sz="0" w:space="0" w:color="auto"/>
        <w:bottom w:val="none" w:sz="0" w:space="0" w:color="auto"/>
        <w:right w:val="none" w:sz="0" w:space="0" w:color="auto"/>
      </w:divBdr>
    </w:div>
    <w:div w:id="1848714842">
      <w:bodyDiv w:val="1"/>
      <w:marLeft w:val="0"/>
      <w:marRight w:val="0"/>
      <w:marTop w:val="0"/>
      <w:marBottom w:val="0"/>
      <w:divBdr>
        <w:top w:val="none" w:sz="0" w:space="0" w:color="auto"/>
        <w:left w:val="none" w:sz="0" w:space="0" w:color="auto"/>
        <w:bottom w:val="none" w:sz="0" w:space="0" w:color="auto"/>
        <w:right w:val="none" w:sz="0" w:space="0" w:color="auto"/>
      </w:divBdr>
    </w:div>
    <w:div w:id="1936596020">
      <w:bodyDiv w:val="1"/>
      <w:marLeft w:val="0"/>
      <w:marRight w:val="0"/>
      <w:marTop w:val="0"/>
      <w:marBottom w:val="0"/>
      <w:divBdr>
        <w:top w:val="none" w:sz="0" w:space="0" w:color="auto"/>
        <w:left w:val="none" w:sz="0" w:space="0" w:color="auto"/>
        <w:bottom w:val="none" w:sz="0" w:space="0" w:color="auto"/>
        <w:right w:val="none" w:sz="0" w:space="0" w:color="auto"/>
      </w:divBdr>
    </w:div>
    <w:div w:id="1990093950">
      <w:bodyDiv w:val="1"/>
      <w:marLeft w:val="0"/>
      <w:marRight w:val="0"/>
      <w:marTop w:val="0"/>
      <w:marBottom w:val="0"/>
      <w:divBdr>
        <w:top w:val="none" w:sz="0" w:space="0" w:color="auto"/>
        <w:left w:val="none" w:sz="0" w:space="0" w:color="auto"/>
        <w:bottom w:val="none" w:sz="0" w:space="0" w:color="auto"/>
        <w:right w:val="none" w:sz="0" w:space="0" w:color="auto"/>
      </w:divBdr>
    </w:div>
    <w:div w:id="2014141048">
      <w:bodyDiv w:val="1"/>
      <w:marLeft w:val="0"/>
      <w:marRight w:val="0"/>
      <w:marTop w:val="0"/>
      <w:marBottom w:val="0"/>
      <w:divBdr>
        <w:top w:val="none" w:sz="0" w:space="0" w:color="auto"/>
        <w:left w:val="none" w:sz="0" w:space="0" w:color="auto"/>
        <w:bottom w:val="none" w:sz="0" w:space="0" w:color="auto"/>
        <w:right w:val="none" w:sz="0" w:space="0" w:color="auto"/>
      </w:divBdr>
    </w:div>
    <w:div w:id="2073431654">
      <w:bodyDiv w:val="1"/>
      <w:marLeft w:val="0"/>
      <w:marRight w:val="0"/>
      <w:marTop w:val="0"/>
      <w:marBottom w:val="0"/>
      <w:divBdr>
        <w:top w:val="none" w:sz="0" w:space="0" w:color="auto"/>
        <w:left w:val="none" w:sz="0" w:space="0" w:color="auto"/>
        <w:bottom w:val="none" w:sz="0" w:space="0" w:color="auto"/>
        <w:right w:val="none" w:sz="0" w:space="0" w:color="auto"/>
      </w:divBdr>
    </w:div>
    <w:div w:id="2085226618">
      <w:bodyDiv w:val="1"/>
      <w:marLeft w:val="0"/>
      <w:marRight w:val="0"/>
      <w:marTop w:val="0"/>
      <w:marBottom w:val="0"/>
      <w:divBdr>
        <w:top w:val="none" w:sz="0" w:space="0" w:color="auto"/>
        <w:left w:val="none" w:sz="0" w:space="0" w:color="auto"/>
        <w:bottom w:val="none" w:sz="0" w:space="0" w:color="auto"/>
        <w:right w:val="none" w:sz="0" w:space="0" w:color="auto"/>
      </w:divBdr>
    </w:div>
    <w:div w:id="209547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sights.and.evidence@edumail.vi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about/research/pages/vcams.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VSHAWS 2018 Summary Report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Nat131</b:Tag>
    <b:SourceType>InternetSite</b:SourceType>
    <b:Guid>{1EECF270-C60E-4EC4-9B05-89BB2E139773}</b:Guid>
    <b:Author>
      <b:Author>
        <b:Corporate>National Health and Medical Research Council</b:Corporate>
      </b:Author>
    </b:Author>
    <b:Title>Australian guidelines to reduce health risks from drinking alcohol: Commonwealth of Australia</b:Title>
    <b:InternetSiteTitle>Australian guidelines to reduce health risks from drinking alcohol: Commonwealth of Australia</b:InternetSiteTitle>
    <b:Year>2013</b:Year>
    <b:URL>https://nhmrc.gov.au/about-us/publications/australian-guidelines-reduce-health-risks-drinking-alcohol</b:URL>
    <b:RefOrder>8</b:RefOrder>
  </b:Source>
  <b:Source>
    <b:Tag>Dep07</b:Tag>
    <b:SourceType>DocumentFromInternetSite</b:SourceType>
    <b:Guid>{C9039945-F13E-4C64-BA9E-31DF321E86D4}</b:Guid>
    <b:Author>
      <b:Author>
        <b:Corporate>Department for Communities Office for Youth and Drug and Alcohol Office</b:Corporate>
      </b:Author>
    </b:Author>
    <b:Title>Young people and alcohol: Helpful information for parents and carers </b:Title>
    <b:InternetSiteTitle>Young people and alcohol: Government of Western Australia </b:InternetSiteTitle>
    <b:Year>2007</b:Year>
    <b:URL>https://www.ahawa.asn.au/images/ahawa---onedaichoh.pdf</b:URL>
    <b:RefOrder>9</b:RefOrder>
  </b:Source>
</b:Sources>
</file>

<file path=customXml/itemProps1.xml><?xml version="1.0" encoding="utf-8"?>
<ds:datastoreItem xmlns:ds="http://schemas.openxmlformats.org/officeDocument/2006/customXml" ds:itemID="{4E18A0B9-F970-40FD-9257-9535E5BB61B6}">
  <ds:schemaRefs>
    <ds:schemaRef ds:uri="http://schemas.microsoft.com/sharepoint/v3/contenttype/forms"/>
  </ds:schemaRefs>
</ds:datastoreItem>
</file>

<file path=customXml/itemProps2.xml><?xml version="1.0" encoding="utf-8"?>
<ds:datastoreItem xmlns:ds="http://schemas.openxmlformats.org/officeDocument/2006/customXml" ds:itemID="{18987F40-AD73-4BA2-88CD-9CA151683A05}">
  <ds:schemaRefs>
    <ds:schemaRef ds:uri="http://www.w3.org/XML/1998/namespace"/>
    <ds:schemaRef ds:uri="http://purl.org/dc/elements/1.1/"/>
    <ds:schemaRef ds:uri="http://schemas.microsoft.com/office/2006/documentManagement/types"/>
    <ds:schemaRef ds:uri="http://schemas.microsoft.com/sharepoint/v3"/>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4596D5C-044C-44F1-9934-7E33A0F00CE7}"/>
</file>

<file path=customXml/itemProps4.xml><?xml version="1.0" encoding="utf-8"?>
<ds:datastoreItem xmlns:ds="http://schemas.openxmlformats.org/officeDocument/2006/customXml" ds:itemID="{AF12C013-6EDA-4E2A-B186-38FB693DB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4792</Words>
  <Characters>27316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VSHAWS 2018 Summary Report</dc:title>
  <dc:subject/>
  <dc:creator>Stanley, Rosalind J</dc:creator>
  <cp:keywords/>
  <dc:description/>
  <cp:lastModifiedBy>Brown, Hamish S</cp:lastModifiedBy>
  <cp:revision>2</cp:revision>
  <dcterms:created xsi:type="dcterms:W3CDTF">2020-02-14T02:53:00Z</dcterms:created>
  <dcterms:modified xsi:type="dcterms:W3CDTF">2020-02-14T02:53:00Z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