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93058" w14:textId="77777777" w:rsidR="009B3436" w:rsidRPr="00C76F35" w:rsidRDefault="009B3436" w:rsidP="000F1754">
      <w:pPr>
        <w:pStyle w:val="Heading1"/>
        <w:rPr>
          <w:color w:val="auto"/>
        </w:rPr>
      </w:pPr>
      <w:r w:rsidRPr="00C76F35">
        <w:rPr>
          <w:color w:val="auto"/>
        </w:rPr>
        <w:t>A healthy start</w:t>
      </w:r>
    </w:p>
    <w:p w14:paraId="08EDCBE0" w14:textId="506F540C" w:rsidR="009B3436" w:rsidRPr="00C76F35" w:rsidRDefault="009B3436" w:rsidP="00D856C0">
      <w:r w:rsidRPr="00C76F35">
        <w:t>A healthy start is proven to have long term impacts on health and wellbeing, with investments in the early years delivering better results at a lower cost in the long term.</w:t>
      </w:r>
    </w:p>
    <w:p w14:paraId="5F9654A4" w14:textId="7582B357" w:rsidR="000F1754" w:rsidRPr="00C76F35" w:rsidRDefault="009B3436" w:rsidP="00D856C0">
      <w:r w:rsidRPr="00C76F35">
        <w:t>Good maternal health during pregnancy is a critical first step. In Victoria, we have seen a reduction in mothers engaging in risky behaviour during pregnancy and improvements in perinatal mortality</w:t>
      </w:r>
      <w:r w:rsidR="00D856C0">
        <w:t xml:space="preserve"> rates for Aboriginal children.</w:t>
      </w:r>
    </w:p>
    <w:p w14:paraId="253A09B2" w14:textId="77777777" w:rsidR="009B3436" w:rsidRPr="00C76F35" w:rsidRDefault="009B3436" w:rsidP="00D856C0">
      <w:r w:rsidRPr="00C76F35">
        <w:t xml:space="preserve">Exposure to alcohol and tobacco can increase the risk of complications during pregnancy. </w:t>
      </w:r>
    </w:p>
    <w:p w14:paraId="3E92BDA4" w14:textId="77777777" w:rsidR="009B3436" w:rsidRPr="00C76F35" w:rsidRDefault="009B3436" w:rsidP="00D856C0">
      <w:r w:rsidRPr="00C76F35">
        <w:t xml:space="preserve">The proportion of Victorian children from the least disadvantaged areas that are exposed to alcohol in utero (61%) is </w:t>
      </w:r>
      <w:r w:rsidR="0008291A" w:rsidRPr="00C76F35">
        <w:t xml:space="preserve">higher than the Victorian </w:t>
      </w:r>
      <w:r w:rsidRPr="00C76F35">
        <w:t>average.</w:t>
      </w:r>
      <w:r w:rsidR="0008291A" w:rsidRPr="00C76F35">
        <w:t xml:space="preserve"> Fewer mothers are reporting drinking during the later stages of pregnancy – down from 34% in 2006 to 14% in 2017. </w:t>
      </w:r>
    </w:p>
    <w:p w14:paraId="1E821D76" w14:textId="5F9BFDDC" w:rsidR="0008291A" w:rsidRPr="00C76F35" w:rsidRDefault="0008291A" w:rsidP="0008291A">
      <w:pPr>
        <w:rPr>
          <w:b/>
        </w:rPr>
      </w:pPr>
      <w:r w:rsidRPr="00C76F35">
        <w:rPr>
          <w:b/>
        </w:rPr>
        <w:t xml:space="preserve">Table </w:t>
      </w:r>
      <w:r w:rsidRPr="00C76F35">
        <w:rPr>
          <w:b/>
        </w:rPr>
        <w:fldChar w:fldCharType="begin"/>
      </w:r>
      <w:r w:rsidRPr="00C76F35">
        <w:rPr>
          <w:b/>
        </w:rPr>
        <w:instrText xml:space="preserve"> SEQ Table \* ARABIC </w:instrText>
      </w:r>
      <w:r w:rsidRPr="00C76F35">
        <w:rPr>
          <w:b/>
        </w:rPr>
        <w:fldChar w:fldCharType="separate"/>
      </w:r>
      <w:r w:rsidR="00DB2F30">
        <w:rPr>
          <w:b/>
          <w:noProof/>
        </w:rPr>
        <w:t>1</w:t>
      </w:r>
      <w:r w:rsidRPr="00C76F35">
        <w:rPr>
          <w:b/>
        </w:rPr>
        <w:fldChar w:fldCharType="end"/>
      </w:r>
      <w:r w:rsidRPr="00C76F35">
        <w:rPr>
          <w:b/>
        </w:rPr>
        <w:t xml:space="preserve"> Children exposed to alcohol in utero, Victoria, 2006 to 2017. Source: V</w:t>
      </w:r>
      <w:r w:rsidR="00B90426">
        <w:rPr>
          <w:b/>
        </w:rPr>
        <w:t xml:space="preserve">ictorian </w:t>
      </w:r>
      <w:r w:rsidRPr="00C76F35">
        <w:rPr>
          <w:b/>
        </w:rPr>
        <w:t>C</w:t>
      </w:r>
      <w:r w:rsidR="00B90426">
        <w:rPr>
          <w:b/>
        </w:rPr>
        <w:t xml:space="preserve">hild </w:t>
      </w:r>
      <w:r w:rsidRPr="00C76F35">
        <w:rPr>
          <w:b/>
        </w:rPr>
        <w:t>H</w:t>
      </w:r>
      <w:r w:rsidR="00B90426">
        <w:rPr>
          <w:b/>
        </w:rPr>
        <w:t xml:space="preserve">ealth and </w:t>
      </w:r>
      <w:r w:rsidRPr="00C76F35">
        <w:rPr>
          <w:b/>
        </w:rPr>
        <w:t>W</w:t>
      </w:r>
      <w:r w:rsidR="00B90426">
        <w:rPr>
          <w:b/>
        </w:rPr>
        <w:t xml:space="preserve">ellbeing </w:t>
      </w:r>
      <w:r w:rsidRPr="00C76F35">
        <w:rPr>
          <w:b/>
        </w:rPr>
        <w:t>S</w:t>
      </w:r>
      <w:r w:rsidR="00B90426">
        <w:rPr>
          <w:b/>
        </w:rPr>
        <w:t>urvey</w:t>
      </w:r>
      <w:r w:rsidRPr="00C76F35">
        <w:rPr>
          <w:b/>
        </w:rPr>
        <w:t>, 2017.</w:t>
      </w:r>
    </w:p>
    <w:tbl>
      <w:tblPr>
        <w:tblStyle w:val="TableGrid"/>
        <w:tblW w:w="0" w:type="auto"/>
        <w:tblLook w:val="04A0" w:firstRow="1" w:lastRow="0" w:firstColumn="1" w:lastColumn="0" w:noHBand="0" w:noVBand="1"/>
        <w:tblCaption w:val="Children exposed to alcohol in utero, Victoria, 2006-2017. "/>
        <w:tblDescription w:val="Estimated proportion of children exposed to alcohol in utero, Victoria, 2006, 2009, 2013, 2017. Source: Victorian Child Health and Wellbeing Survey, 2017."/>
      </w:tblPr>
      <w:tblGrid>
        <w:gridCol w:w="1696"/>
        <w:gridCol w:w="5529"/>
      </w:tblGrid>
      <w:tr w:rsidR="009D0F08" w:rsidRPr="00C76F35" w14:paraId="4471B6C0" w14:textId="77777777" w:rsidTr="002C577B">
        <w:trPr>
          <w:tblHeader/>
        </w:trPr>
        <w:tc>
          <w:tcPr>
            <w:tcW w:w="1696" w:type="dxa"/>
          </w:tcPr>
          <w:p w14:paraId="00B10C64" w14:textId="77777777" w:rsidR="0008291A" w:rsidRPr="00C76F35" w:rsidRDefault="0008291A" w:rsidP="0008291A">
            <w:pPr>
              <w:jc w:val="center"/>
              <w:rPr>
                <w:b/>
              </w:rPr>
            </w:pPr>
            <w:r w:rsidRPr="00C76F35">
              <w:rPr>
                <w:b/>
              </w:rPr>
              <w:t>Year</w:t>
            </w:r>
          </w:p>
        </w:tc>
        <w:tc>
          <w:tcPr>
            <w:tcW w:w="5529" w:type="dxa"/>
          </w:tcPr>
          <w:p w14:paraId="2335079C" w14:textId="77777777" w:rsidR="0008291A" w:rsidRPr="00C76F35" w:rsidRDefault="0008291A" w:rsidP="0008291A">
            <w:pPr>
              <w:jc w:val="center"/>
              <w:rPr>
                <w:b/>
              </w:rPr>
            </w:pPr>
            <w:r w:rsidRPr="00C76F35">
              <w:rPr>
                <w:b/>
              </w:rPr>
              <w:t>Proportion of children exposed to alcohol in utero</w:t>
            </w:r>
          </w:p>
        </w:tc>
      </w:tr>
      <w:tr w:rsidR="009D0F08" w:rsidRPr="00C76F35" w14:paraId="132DA55E" w14:textId="77777777" w:rsidTr="0008291A">
        <w:tc>
          <w:tcPr>
            <w:tcW w:w="1696" w:type="dxa"/>
          </w:tcPr>
          <w:p w14:paraId="597CC93D" w14:textId="77777777" w:rsidR="0008291A" w:rsidRPr="00C76F35" w:rsidRDefault="0008291A" w:rsidP="0008291A">
            <w:pPr>
              <w:jc w:val="center"/>
            </w:pPr>
            <w:r w:rsidRPr="00C76F35">
              <w:t>2006</w:t>
            </w:r>
          </w:p>
        </w:tc>
        <w:tc>
          <w:tcPr>
            <w:tcW w:w="5529" w:type="dxa"/>
          </w:tcPr>
          <w:p w14:paraId="23411775" w14:textId="77777777" w:rsidR="0008291A" w:rsidRPr="00C76F35" w:rsidRDefault="0008291A" w:rsidP="0008291A">
            <w:pPr>
              <w:jc w:val="center"/>
            </w:pPr>
            <w:r w:rsidRPr="00C76F35">
              <w:t>65%</w:t>
            </w:r>
          </w:p>
        </w:tc>
      </w:tr>
      <w:tr w:rsidR="009D0F08" w:rsidRPr="00C76F35" w14:paraId="02226D70" w14:textId="77777777" w:rsidTr="0008291A">
        <w:tc>
          <w:tcPr>
            <w:tcW w:w="1696" w:type="dxa"/>
          </w:tcPr>
          <w:p w14:paraId="592DD406" w14:textId="77777777" w:rsidR="0008291A" w:rsidRPr="00C76F35" w:rsidRDefault="0008291A" w:rsidP="0008291A">
            <w:pPr>
              <w:jc w:val="center"/>
            </w:pPr>
            <w:r w:rsidRPr="00C76F35">
              <w:t>2009</w:t>
            </w:r>
          </w:p>
        </w:tc>
        <w:tc>
          <w:tcPr>
            <w:tcW w:w="5529" w:type="dxa"/>
          </w:tcPr>
          <w:p w14:paraId="4E2BD1F4" w14:textId="77777777" w:rsidR="0008291A" w:rsidRPr="00C76F35" w:rsidRDefault="0008291A" w:rsidP="0008291A">
            <w:pPr>
              <w:jc w:val="center"/>
            </w:pPr>
            <w:r w:rsidRPr="00C76F35">
              <w:t>60%</w:t>
            </w:r>
          </w:p>
        </w:tc>
      </w:tr>
      <w:tr w:rsidR="009D0F08" w:rsidRPr="00C76F35" w14:paraId="59E9EB7D" w14:textId="77777777" w:rsidTr="0008291A">
        <w:tc>
          <w:tcPr>
            <w:tcW w:w="1696" w:type="dxa"/>
          </w:tcPr>
          <w:p w14:paraId="7DCD1576" w14:textId="77777777" w:rsidR="0008291A" w:rsidRPr="00C76F35" w:rsidRDefault="0008291A" w:rsidP="0008291A">
            <w:pPr>
              <w:jc w:val="center"/>
            </w:pPr>
            <w:r w:rsidRPr="00C76F35">
              <w:t>2013</w:t>
            </w:r>
          </w:p>
        </w:tc>
        <w:tc>
          <w:tcPr>
            <w:tcW w:w="5529" w:type="dxa"/>
          </w:tcPr>
          <w:p w14:paraId="3FBD3D6A" w14:textId="77777777" w:rsidR="0008291A" w:rsidRPr="00C76F35" w:rsidRDefault="0008291A" w:rsidP="0008291A">
            <w:pPr>
              <w:jc w:val="center"/>
            </w:pPr>
            <w:r w:rsidRPr="00C76F35">
              <w:t>47%</w:t>
            </w:r>
          </w:p>
        </w:tc>
      </w:tr>
      <w:tr w:rsidR="00B73884" w:rsidRPr="00C76F35" w14:paraId="15B8EF0B" w14:textId="77777777" w:rsidTr="0008291A">
        <w:tc>
          <w:tcPr>
            <w:tcW w:w="1696" w:type="dxa"/>
          </w:tcPr>
          <w:p w14:paraId="7DFC0E65" w14:textId="77777777" w:rsidR="0008291A" w:rsidRPr="00C76F35" w:rsidRDefault="0008291A" w:rsidP="0008291A">
            <w:pPr>
              <w:jc w:val="center"/>
            </w:pPr>
            <w:r w:rsidRPr="00C76F35">
              <w:t>2017</w:t>
            </w:r>
          </w:p>
        </w:tc>
        <w:tc>
          <w:tcPr>
            <w:tcW w:w="5529" w:type="dxa"/>
          </w:tcPr>
          <w:p w14:paraId="49C13FC9" w14:textId="77777777" w:rsidR="0008291A" w:rsidRPr="00C76F35" w:rsidRDefault="0008291A" w:rsidP="0008291A">
            <w:pPr>
              <w:jc w:val="center"/>
            </w:pPr>
            <w:r w:rsidRPr="00C76F35">
              <w:t>56%</w:t>
            </w:r>
          </w:p>
        </w:tc>
      </w:tr>
    </w:tbl>
    <w:p w14:paraId="72B7377C" w14:textId="77777777" w:rsidR="0008291A" w:rsidRPr="00C76F35" w:rsidRDefault="0008291A" w:rsidP="00D856C0"/>
    <w:p w14:paraId="79D87C9D" w14:textId="77777777" w:rsidR="000F1754" w:rsidRPr="00C76F35" w:rsidRDefault="009B3436" w:rsidP="00D856C0">
      <w:r w:rsidRPr="00C76F35">
        <w:t xml:space="preserve">Perinatal mortality is a key measure of maternal health, as it can reflect the quality of health services and exposure to risk. </w:t>
      </w:r>
    </w:p>
    <w:p w14:paraId="01319AE2" w14:textId="77777777" w:rsidR="009B3436" w:rsidRPr="00C76F35" w:rsidRDefault="009B3436" w:rsidP="00D856C0">
      <w:r w:rsidRPr="00C76F35">
        <w:t>Victoria’s overall perinatal mortality rate is decreasing. Since 2010-12, the rate among Aboriginal children has more than halved.</w:t>
      </w:r>
    </w:p>
    <w:p w14:paraId="670F8FB7" w14:textId="47CD5906" w:rsidR="00AD321A" w:rsidRPr="00C76F35" w:rsidRDefault="00AD321A" w:rsidP="00AD321A">
      <w:pPr>
        <w:rPr>
          <w:b/>
        </w:rPr>
      </w:pPr>
      <w:r w:rsidRPr="00C76F35">
        <w:rPr>
          <w:b/>
        </w:rPr>
        <w:t xml:space="preserve">Table </w:t>
      </w:r>
      <w:r w:rsidRPr="00C76F35">
        <w:rPr>
          <w:b/>
        </w:rPr>
        <w:fldChar w:fldCharType="begin"/>
      </w:r>
      <w:r w:rsidRPr="00C76F35">
        <w:rPr>
          <w:b/>
        </w:rPr>
        <w:instrText xml:space="preserve"> SEQ Table \* ARABIC </w:instrText>
      </w:r>
      <w:r w:rsidRPr="00C76F35">
        <w:rPr>
          <w:b/>
        </w:rPr>
        <w:fldChar w:fldCharType="separate"/>
      </w:r>
      <w:r w:rsidR="00DB2F30">
        <w:rPr>
          <w:b/>
          <w:noProof/>
        </w:rPr>
        <w:t>2</w:t>
      </w:r>
      <w:r w:rsidRPr="00C76F35">
        <w:rPr>
          <w:b/>
        </w:rPr>
        <w:fldChar w:fldCharType="end"/>
      </w:r>
      <w:r w:rsidRPr="00C76F35">
        <w:rPr>
          <w:b/>
        </w:rPr>
        <w:t xml:space="preserve"> Perinatal mortality rate (deaths per 1,000 births), Victoria, 2009-11 to 2014-16.</w:t>
      </w:r>
      <w:r w:rsidR="00C75B5F">
        <w:rPr>
          <w:b/>
        </w:rPr>
        <w:t xml:space="preserve"> Source: Victoria’s Mothers, Babies and Children Report, 2016.</w:t>
      </w:r>
    </w:p>
    <w:tbl>
      <w:tblPr>
        <w:tblStyle w:val="TableGrid"/>
        <w:tblW w:w="0" w:type="auto"/>
        <w:tblLook w:val="04A0" w:firstRow="1" w:lastRow="0" w:firstColumn="1" w:lastColumn="0" w:noHBand="0" w:noVBand="1"/>
        <w:tblCaption w:val="Perinatal mortality rate (deaths per 1,000 births), Victoria, 2009-11 to 2014-16"/>
        <w:tblDescription w:val="Estimated perinatal mortality rate, by Aboriginal status (non-Aboriginal, Aboriginal), Victoria, 2009-11 to 2014-16. The perinatal mortality rate measures the rate of stillbirths and neonatal deaths of infants in teh first 28 days after birth. The perinatal mortality rate is expressed as the number of deaths per 1,000 births. Source: Victoria's Mothers, Babies and Children Report, 2016."/>
      </w:tblPr>
      <w:tblGrid>
        <w:gridCol w:w="3005"/>
        <w:gridCol w:w="3005"/>
        <w:gridCol w:w="3006"/>
      </w:tblGrid>
      <w:tr w:rsidR="009D0F08" w:rsidRPr="00C76F35" w14:paraId="384CD993" w14:textId="77777777" w:rsidTr="002C577B">
        <w:trPr>
          <w:tblHeader/>
        </w:trPr>
        <w:tc>
          <w:tcPr>
            <w:tcW w:w="3005" w:type="dxa"/>
          </w:tcPr>
          <w:p w14:paraId="5B09417D" w14:textId="77777777" w:rsidR="0008291A" w:rsidRPr="00C76F35" w:rsidRDefault="0008291A" w:rsidP="00AD321A">
            <w:pPr>
              <w:jc w:val="center"/>
              <w:rPr>
                <w:b/>
              </w:rPr>
            </w:pPr>
            <w:r w:rsidRPr="00C76F35">
              <w:rPr>
                <w:b/>
              </w:rPr>
              <w:t>Triennia</w:t>
            </w:r>
          </w:p>
        </w:tc>
        <w:tc>
          <w:tcPr>
            <w:tcW w:w="3005" w:type="dxa"/>
          </w:tcPr>
          <w:p w14:paraId="0D222DD5" w14:textId="77777777" w:rsidR="0008291A" w:rsidRPr="00C76F35" w:rsidRDefault="0008291A" w:rsidP="00AD321A">
            <w:pPr>
              <w:jc w:val="center"/>
              <w:rPr>
                <w:b/>
              </w:rPr>
            </w:pPr>
            <w:r w:rsidRPr="00C76F35">
              <w:rPr>
                <w:b/>
              </w:rPr>
              <w:t>Non-Aboriginal perinatal mortality rate*</w:t>
            </w:r>
          </w:p>
        </w:tc>
        <w:tc>
          <w:tcPr>
            <w:tcW w:w="3006" w:type="dxa"/>
          </w:tcPr>
          <w:p w14:paraId="7344FA8D" w14:textId="77777777" w:rsidR="0008291A" w:rsidRPr="00C76F35" w:rsidRDefault="0008291A" w:rsidP="00AD321A">
            <w:pPr>
              <w:jc w:val="center"/>
              <w:rPr>
                <w:b/>
              </w:rPr>
            </w:pPr>
            <w:r w:rsidRPr="00C76F35">
              <w:rPr>
                <w:b/>
              </w:rPr>
              <w:t>Aboriginal perinatal mortality rate*</w:t>
            </w:r>
          </w:p>
        </w:tc>
      </w:tr>
      <w:tr w:rsidR="009D0F08" w:rsidRPr="00C76F35" w14:paraId="0114079C" w14:textId="77777777" w:rsidTr="008C3866">
        <w:tc>
          <w:tcPr>
            <w:tcW w:w="3005" w:type="dxa"/>
            <w:vAlign w:val="bottom"/>
          </w:tcPr>
          <w:p w14:paraId="7743BB09" w14:textId="77777777" w:rsidR="0008291A" w:rsidRPr="00C76F35" w:rsidRDefault="0008291A" w:rsidP="0008291A">
            <w:pPr>
              <w:jc w:val="center"/>
              <w:rPr>
                <w:rFonts w:ascii="Calibri" w:eastAsia="Times New Roman" w:hAnsi="Calibri" w:cs="Calibri"/>
                <w:lang w:eastAsia="en-AU"/>
              </w:rPr>
            </w:pPr>
            <w:r w:rsidRPr="00C76F35">
              <w:rPr>
                <w:rFonts w:ascii="Calibri" w:eastAsia="Times New Roman" w:hAnsi="Calibri" w:cs="Calibri"/>
                <w:lang w:eastAsia="en-AU"/>
              </w:rPr>
              <w:t>2009-2011</w:t>
            </w:r>
          </w:p>
        </w:tc>
        <w:tc>
          <w:tcPr>
            <w:tcW w:w="3005" w:type="dxa"/>
            <w:vAlign w:val="bottom"/>
          </w:tcPr>
          <w:p w14:paraId="7C6B31EA" w14:textId="77777777" w:rsidR="0008291A" w:rsidRPr="00C76F35" w:rsidRDefault="0008291A" w:rsidP="0008291A">
            <w:pPr>
              <w:jc w:val="center"/>
              <w:rPr>
                <w:rFonts w:ascii="Calibri" w:eastAsia="Times New Roman" w:hAnsi="Calibri" w:cs="Calibri"/>
                <w:lang w:eastAsia="en-AU"/>
              </w:rPr>
            </w:pPr>
            <w:r w:rsidRPr="00C76F35">
              <w:rPr>
                <w:rFonts w:ascii="Calibri" w:eastAsia="Times New Roman" w:hAnsi="Calibri" w:cs="Calibri"/>
                <w:lang w:eastAsia="en-AU"/>
              </w:rPr>
              <w:t>10.2</w:t>
            </w:r>
          </w:p>
        </w:tc>
        <w:tc>
          <w:tcPr>
            <w:tcW w:w="3006" w:type="dxa"/>
            <w:vAlign w:val="bottom"/>
          </w:tcPr>
          <w:p w14:paraId="3766E2B5" w14:textId="77777777" w:rsidR="0008291A" w:rsidRPr="00C76F35" w:rsidRDefault="0008291A" w:rsidP="0008291A">
            <w:pPr>
              <w:jc w:val="center"/>
              <w:rPr>
                <w:rFonts w:ascii="Calibri" w:eastAsia="Times New Roman" w:hAnsi="Calibri" w:cs="Calibri"/>
                <w:lang w:eastAsia="en-AU"/>
              </w:rPr>
            </w:pPr>
            <w:r w:rsidRPr="00C76F35">
              <w:rPr>
                <w:rFonts w:ascii="Calibri" w:eastAsia="Times New Roman" w:hAnsi="Calibri" w:cs="Calibri"/>
                <w:lang w:eastAsia="en-AU"/>
              </w:rPr>
              <w:t>21.7</w:t>
            </w:r>
          </w:p>
        </w:tc>
      </w:tr>
      <w:tr w:rsidR="009D0F08" w:rsidRPr="00C76F35" w14:paraId="71D166B4" w14:textId="77777777" w:rsidTr="008C3866">
        <w:tc>
          <w:tcPr>
            <w:tcW w:w="3005" w:type="dxa"/>
            <w:vAlign w:val="bottom"/>
          </w:tcPr>
          <w:p w14:paraId="78749494" w14:textId="77777777" w:rsidR="0008291A" w:rsidRPr="00C76F35" w:rsidRDefault="0008291A" w:rsidP="0008291A">
            <w:pPr>
              <w:jc w:val="center"/>
              <w:rPr>
                <w:rFonts w:ascii="Calibri" w:eastAsia="Times New Roman" w:hAnsi="Calibri" w:cs="Calibri"/>
                <w:lang w:eastAsia="en-AU"/>
              </w:rPr>
            </w:pPr>
            <w:r w:rsidRPr="00C76F35">
              <w:rPr>
                <w:rFonts w:ascii="Calibri" w:eastAsia="Times New Roman" w:hAnsi="Calibri" w:cs="Calibri"/>
                <w:lang w:eastAsia="en-AU"/>
              </w:rPr>
              <w:t>2010-2012</w:t>
            </w:r>
          </w:p>
        </w:tc>
        <w:tc>
          <w:tcPr>
            <w:tcW w:w="3005" w:type="dxa"/>
            <w:vAlign w:val="bottom"/>
          </w:tcPr>
          <w:p w14:paraId="2B74F8B7" w14:textId="77777777" w:rsidR="0008291A" w:rsidRPr="00C76F35" w:rsidRDefault="0008291A" w:rsidP="0008291A">
            <w:pPr>
              <w:jc w:val="center"/>
              <w:rPr>
                <w:rFonts w:ascii="Calibri" w:eastAsia="Times New Roman" w:hAnsi="Calibri" w:cs="Calibri"/>
                <w:lang w:eastAsia="en-AU"/>
              </w:rPr>
            </w:pPr>
            <w:r w:rsidRPr="00C76F35">
              <w:rPr>
                <w:rFonts w:ascii="Calibri" w:eastAsia="Times New Roman" w:hAnsi="Calibri" w:cs="Calibri"/>
                <w:lang w:eastAsia="en-AU"/>
              </w:rPr>
              <w:t>9.8</w:t>
            </w:r>
          </w:p>
        </w:tc>
        <w:tc>
          <w:tcPr>
            <w:tcW w:w="3006" w:type="dxa"/>
            <w:vAlign w:val="bottom"/>
          </w:tcPr>
          <w:p w14:paraId="417648BE" w14:textId="77777777" w:rsidR="0008291A" w:rsidRPr="00C76F35" w:rsidRDefault="0008291A" w:rsidP="0008291A">
            <w:pPr>
              <w:jc w:val="center"/>
              <w:rPr>
                <w:rFonts w:ascii="Calibri" w:eastAsia="Times New Roman" w:hAnsi="Calibri" w:cs="Calibri"/>
                <w:lang w:eastAsia="en-AU"/>
              </w:rPr>
            </w:pPr>
            <w:r w:rsidRPr="00C76F35">
              <w:rPr>
                <w:rFonts w:ascii="Calibri" w:eastAsia="Times New Roman" w:hAnsi="Calibri" w:cs="Calibri"/>
                <w:lang w:eastAsia="en-AU"/>
              </w:rPr>
              <w:t>19.4</w:t>
            </w:r>
          </w:p>
        </w:tc>
      </w:tr>
      <w:tr w:rsidR="009D0F08" w:rsidRPr="00C76F35" w14:paraId="4E2CA3C1" w14:textId="77777777" w:rsidTr="008C3866">
        <w:tc>
          <w:tcPr>
            <w:tcW w:w="3005" w:type="dxa"/>
            <w:vAlign w:val="bottom"/>
          </w:tcPr>
          <w:p w14:paraId="095E04C0" w14:textId="77777777" w:rsidR="0008291A" w:rsidRPr="00C76F35" w:rsidRDefault="0008291A" w:rsidP="0008291A">
            <w:pPr>
              <w:jc w:val="center"/>
              <w:rPr>
                <w:rFonts w:ascii="Calibri" w:eastAsia="Times New Roman" w:hAnsi="Calibri" w:cs="Calibri"/>
                <w:lang w:eastAsia="en-AU"/>
              </w:rPr>
            </w:pPr>
            <w:r w:rsidRPr="00C76F35">
              <w:rPr>
                <w:rFonts w:ascii="Calibri" w:eastAsia="Times New Roman" w:hAnsi="Calibri" w:cs="Calibri"/>
                <w:lang w:eastAsia="en-AU"/>
              </w:rPr>
              <w:t>2011-2013</w:t>
            </w:r>
          </w:p>
        </w:tc>
        <w:tc>
          <w:tcPr>
            <w:tcW w:w="3005" w:type="dxa"/>
            <w:vAlign w:val="bottom"/>
          </w:tcPr>
          <w:p w14:paraId="76E8E8E0" w14:textId="77777777" w:rsidR="0008291A" w:rsidRPr="00C76F35" w:rsidRDefault="0008291A" w:rsidP="0008291A">
            <w:pPr>
              <w:jc w:val="center"/>
              <w:rPr>
                <w:rFonts w:ascii="Calibri" w:eastAsia="Times New Roman" w:hAnsi="Calibri" w:cs="Calibri"/>
                <w:lang w:eastAsia="en-AU"/>
              </w:rPr>
            </w:pPr>
            <w:r w:rsidRPr="00C76F35">
              <w:rPr>
                <w:rFonts w:ascii="Calibri" w:eastAsia="Times New Roman" w:hAnsi="Calibri" w:cs="Calibri"/>
                <w:lang w:eastAsia="en-AU"/>
              </w:rPr>
              <w:t>9.7</w:t>
            </w:r>
          </w:p>
        </w:tc>
        <w:tc>
          <w:tcPr>
            <w:tcW w:w="3006" w:type="dxa"/>
            <w:vAlign w:val="bottom"/>
          </w:tcPr>
          <w:p w14:paraId="603AE33E" w14:textId="77777777" w:rsidR="0008291A" w:rsidRPr="00C76F35" w:rsidRDefault="0008291A" w:rsidP="0008291A">
            <w:pPr>
              <w:jc w:val="center"/>
              <w:rPr>
                <w:rFonts w:ascii="Calibri" w:eastAsia="Times New Roman" w:hAnsi="Calibri" w:cs="Calibri"/>
                <w:lang w:eastAsia="en-AU"/>
              </w:rPr>
            </w:pPr>
            <w:r w:rsidRPr="00C76F35">
              <w:rPr>
                <w:rFonts w:ascii="Calibri" w:eastAsia="Times New Roman" w:hAnsi="Calibri" w:cs="Calibri"/>
                <w:lang w:eastAsia="en-AU"/>
              </w:rPr>
              <w:t>17.8</w:t>
            </w:r>
          </w:p>
        </w:tc>
      </w:tr>
      <w:tr w:rsidR="009D0F08" w:rsidRPr="00C76F35" w14:paraId="1DBFC9F4" w14:textId="77777777" w:rsidTr="008C3866">
        <w:tc>
          <w:tcPr>
            <w:tcW w:w="3005" w:type="dxa"/>
            <w:vAlign w:val="bottom"/>
          </w:tcPr>
          <w:p w14:paraId="219301FA" w14:textId="77777777" w:rsidR="0008291A" w:rsidRPr="00C76F35" w:rsidRDefault="0008291A" w:rsidP="0008291A">
            <w:pPr>
              <w:jc w:val="center"/>
              <w:rPr>
                <w:rFonts w:ascii="Calibri" w:eastAsia="Times New Roman" w:hAnsi="Calibri" w:cs="Calibri"/>
                <w:lang w:eastAsia="en-AU"/>
              </w:rPr>
            </w:pPr>
            <w:r w:rsidRPr="00C76F35">
              <w:rPr>
                <w:rFonts w:ascii="Calibri" w:eastAsia="Times New Roman" w:hAnsi="Calibri" w:cs="Calibri"/>
                <w:lang w:eastAsia="en-AU"/>
              </w:rPr>
              <w:t>2012-2014</w:t>
            </w:r>
          </w:p>
        </w:tc>
        <w:tc>
          <w:tcPr>
            <w:tcW w:w="3005" w:type="dxa"/>
            <w:vAlign w:val="bottom"/>
          </w:tcPr>
          <w:p w14:paraId="1FBF85A6" w14:textId="77777777" w:rsidR="0008291A" w:rsidRPr="00C76F35" w:rsidRDefault="0008291A" w:rsidP="0008291A">
            <w:pPr>
              <w:jc w:val="center"/>
              <w:rPr>
                <w:rFonts w:ascii="Calibri" w:eastAsia="Times New Roman" w:hAnsi="Calibri" w:cs="Calibri"/>
                <w:lang w:eastAsia="en-AU"/>
              </w:rPr>
            </w:pPr>
            <w:r w:rsidRPr="00C76F35">
              <w:rPr>
                <w:rFonts w:ascii="Calibri" w:eastAsia="Times New Roman" w:hAnsi="Calibri" w:cs="Calibri"/>
                <w:lang w:eastAsia="en-AU"/>
              </w:rPr>
              <w:t>9.5</w:t>
            </w:r>
          </w:p>
        </w:tc>
        <w:tc>
          <w:tcPr>
            <w:tcW w:w="3006" w:type="dxa"/>
            <w:vAlign w:val="bottom"/>
          </w:tcPr>
          <w:p w14:paraId="11770321" w14:textId="77777777" w:rsidR="0008291A" w:rsidRPr="00C76F35" w:rsidRDefault="0008291A" w:rsidP="0008291A">
            <w:pPr>
              <w:jc w:val="center"/>
              <w:rPr>
                <w:rFonts w:ascii="Calibri" w:eastAsia="Times New Roman" w:hAnsi="Calibri" w:cs="Calibri"/>
                <w:lang w:eastAsia="en-AU"/>
              </w:rPr>
            </w:pPr>
            <w:r w:rsidRPr="00C76F35">
              <w:rPr>
                <w:rFonts w:ascii="Calibri" w:eastAsia="Times New Roman" w:hAnsi="Calibri" w:cs="Calibri"/>
                <w:lang w:eastAsia="en-AU"/>
              </w:rPr>
              <w:t>17.2</w:t>
            </w:r>
          </w:p>
        </w:tc>
      </w:tr>
      <w:tr w:rsidR="009D0F08" w:rsidRPr="00C76F35" w14:paraId="2A287B45" w14:textId="77777777" w:rsidTr="008C3866">
        <w:tc>
          <w:tcPr>
            <w:tcW w:w="3005" w:type="dxa"/>
            <w:vAlign w:val="bottom"/>
          </w:tcPr>
          <w:p w14:paraId="61B35B9F" w14:textId="77777777" w:rsidR="0008291A" w:rsidRPr="00C76F35" w:rsidRDefault="0008291A" w:rsidP="0008291A">
            <w:pPr>
              <w:jc w:val="center"/>
              <w:rPr>
                <w:rFonts w:ascii="Calibri" w:eastAsia="Times New Roman" w:hAnsi="Calibri" w:cs="Calibri"/>
                <w:lang w:eastAsia="en-AU"/>
              </w:rPr>
            </w:pPr>
            <w:r w:rsidRPr="00C76F35">
              <w:rPr>
                <w:rFonts w:ascii="Calibri" w:eastAsia="Times New Roman" w:hAnsi="Calibri" w:cs="Calibri"/>
                <w:lang w:eastAsia="en-AU"/>
              </w:rPr>
              <w:t>2013-2015</w:t>
            </w:r>
          </w:p>
        </w:tc>
        <w:tc>
          <w:tcPr>
            <w:tcW w:w="3005" w:type="dxa"/>
            <w:vAlign w:val="bottom"/>
          </w:tcPr>
          <w:p w14:paraId="38CED5A1" w14:textId="77777777" w:rsidR="0008291A" w:rsidRPr="00C76F35" w:rsidRDefault="0008291A" w:rsidP="0008291A">
            <w:pPr>
              <w:jc w:val="center"/>
              <w:rPr>
                <w:rFonts w:ascii="Calibri" w:eastAsia="Times New Roman" w:hAnsi="Calibri" w:cs="Calibri"/>
                <w:lang w:eastAsia="en-AU"/>
              </w:rPr>
            </w:pPr>
            <w:r w:rsidRPr="00C76F35">
              <w:rPr>
                <w:rFonts w:ascii="Calibri" w:eastAsia="Times New Roman" w:hAnsi="Calibri" w:cs="Calibri"/>
                <w:lang w:eastAsia="en-AU"/>
              </w:rPr>
              <w:t>9.4</w:t>
            </w:r>
          </w:p>
        </w:tc>
        <w:tc>
          <w:tcPr>
            <w:tcW w:w="3006" w:type="dxa"/>
            <w:vAlign w:val="bottom"/>
          </w:tcPr>
          <w:p w14:paraId="71E6466B" w14:textId="77777777" w:rsidR="0008291A" w:rsidRPr="00C76F35" w:rsidRDefault="0008291A" w:rsidP="0008291A">
            <w:pPr>
              <w:jc w:val="center"/>
              <w:rPr>
                <w:rFonts w:ascii="Calibri" w:eastAsia="Times New Roman" w:hAnsi="Calibri" w:cs="Calibri"/>
                <w:lang w:eastAsia="en-AU"/>
              </w:rPr>
            </w:pPr>
            <w:r w:rsidRPr="00C76F35">
              <w:rPr>
                <w:rFonts w:ascii="Calibri" w:eastAsia="Times New Roman" w:hAnsi="Calibri" w:cs="Calibri"/>
                <w:lang w:eastAsia="en-AU"/>
              </w:rPr>
              <w:t>13.6</w:t>
            </w:r>
          </w:p>
        </w:tc>
      </w:tr>
      <w:tr w:rsidR="009D0F08" w:rsidRPr="00C76F35" w14:paraId="7DA756D0" w14:textId="77777777" w:rsidTr="008C3866">
        <w:tc>
          <w:tcPr>
            <w:tcW w:w="3005" w:type="dxa"/>
            <w:vAlign w:val="bottom"/>
          </w:tcPr>
          <w:p w14:paraId="6E0DDE68" w14:textId="77777777" w:rsidR="0008291A" w:rsidRPr="00C76F35" w:rsidRDefault="0008291A" w:rsidP="0008291A">
            <w:pPr>
              <w:jc w:val="center"/>
              <w:rPr>
                <w:rFonts w:ascii="Calibri" w:eastAsia="Times New Roman" w:hAnsi="Calibri" w:cs="Calibri"/>
                <w:lang w:eastAsia="en-AU"/>
              </w:rPr>
            </w:pPr>
            <w:r w:rsidRPr="00C76F35">
              <w:rPr>
                <w:rFonts w:ascii="Calibri" w:eastAsia="Times New Roman" w:hAnsi="Calibri" w:cs="Calibri"/>
                <w:lang w:eastAsia="en-AU"/>
              </w:rPr>
              <w:t>2014-2016</w:t>
            </w:r>
          </w:p>
        </w:tc>
        <w:tc>
          <w:tcPr>
            <w:tcW w:w="3005" w:type="dxa"/>
            <w:vAlign w:val="bottom"/>
          </w:tcPr>
          <w:p w14:paraId="251A1B8B" w14:textId="77777777" w:rsidR="0008291A" w:rsidRPr="00C76F35" w:rsidRDefault="0008291A" w:rsidP="0008291A">
            <w:pPr>
              <w:jc w:val="center"/>
              <w:rPr>
                <w:rFonts w:ascii="Calibri" w:eastAsia="Times New Roman" w:hAnsi="Calibri" w:cs="Calibri"/>
                <w:lang w:eastAsia="en-AU"/>
              </w:rPr>
            </w:pPr>
            <w:r w:rsidRPr="00C76F35">
              <w:rPr>
                <w:rFonts w:ascii="Calibri" w:eastAsia="Times New Roman" w:hAnsi="Calibri" w:cs="Calibri"/>
                <w:lang w:eastAsia="en-AU"/>
              </w:rPr>
              <w:t>9.1</w:t>
            </w:r>
          </w:p>
        </w:tc>
        <w:tc>
          <w:tcPr>
            <w:tcW w:w="3006" w:type="dxa"/>
            <w:vAlign w:val="bottom"/>
          </w:tcPr>
          <w:p w14:paraId="759F5C5D" w14:textId="77777777" w:rsidR="0008291A" w:rsidRPr="00C76F35" w:rsidRDefault="0008291A" w:rsidP="0008291A">
            <w:pPr>
              <w:jc w:val="center"/>
              <w:rPr>
                <w:rFonts w:ascii="Calibri" w:eastAsia="Times New Roman" w:hAnsi="Calibri" w:cs="Calibri"/>
                <w:lang w:eastAsia="en-AU"/>
              </w:rPr>
            </w:pPr>
            <w:r w:rsidRPr="00C76F35">
              <w:rPr>
                <w:rFonts w:ascii="Calibri" w:eastAsia="Times New Roman" w:hAnsi="Calibri" w:cs="Calibri"/>
                <w:lang w:eastAsia="en-AU"/>
              </w:rPr>
              <w:t>9.0</w:t>
            </w:r>
          </w:p>
        </w:tc>
      </w:tr>
    </w:tbl>
    <w:p w14:paraId="17BA73A8" w14:textId="77777777" w:rsidR="009B3436" w:rsidRPr="00C76F35" w:rsidRDefault="0008291A" w:rsidP="009B3436">
      <w:r w:rsidRPr="00C76F35">
        <w:t>* The perinatal mortality rate measures the rate of stillbirths and neonatal deaths (death of an infant in the first 28 days after birth)</w:t>
      </w:r>
    </w:p>
    <w:p w14:paraId="6D9E3115" w14:textId="77777777" w:rsidR="000F1754" w:rsidRPr="00C76F35" w:rsidRDefault="009B3436" w:rsidP="00D856C0">
      <w:r w:rsidRPr="00C76F35">
        <w:t>Engagement with key services c</w:t>
      </w:r>
      <w:r w:rsidR="00AD321A" w:rsidRPr="00C76F35">
        <w:t>an contribute</w:t>
      </w:r>
      <w:r w:rsidRPr="00C76F35">
        <w:t xml:space="preserve"> to better health and educational outcomes later in life. Victoria enjoys high vaccination rates and strong participation in key early childhood services, with particular improvements seen among Aboriginal children.</w:t>
      </w:r>
    </w:p>
    <w:p w14:paraId="3D2F267A" w14:textId="77777777" w:rsidR="000F1754" w:rsidRPr="00C76F35" w:rsidRDefault="00AD321A" w:rsidP="00D856C0">
      <w:r w:rsidRPr="00C76F35">
        <w:t>Vaccinations</w:t>
      </w:r>
      <w:r w:rsidR="009B3436" w:rsidRPr="00C76F35">
        <w:t xml:space="preserve"> protect children against dangerous diseases, with a high uptake required in order to be most effective. </w:t>
      </w:r>
    </w:p>
    <w:p w14:paraId="54E3F3AE" w14:textId="77777777" w:rsidR="009B3436" w:rsidRPr="00C76F35" w:rsidRDefault="009B3436" w:rsidP="00D856C0">
      <w:r w:rsidRPr="00C76F35">
        <w:lastRenderedPageBreak/>
        <w:t xml:space="preserve">While </w:t>
      </w:r>
      <w:r w:rsidR="00AD321A" w:rsidRPr="00C76F35">
        <w:t xml:space="preserve">Victorian vaccination </w:t>
      </w:r>
      <w:r w:rsidRPr="00C76F35">
        <w:t xml:space="preserve">rates </w:t>
      </w:r>
      <w:r w:rsidR="00AD321A" w:rsidRPr="00C76F35">
        <w:t>at 12, 24 and 60 months of age are</w:t>
      </w:r>
      <w:r w:rsidRPr="00C76F35">
        <w:t xml:space="preserve"> high, </w:t>
      </w:r>
      <w:r w:rsidR="00AD321A" w:rsidRPr="00C76F35">
        <w:t xml:space="preserve">statewide coverage at 24 months has fallen from 94% in 2008 to 91% in 2017 while the other age groups have increased. </w:t>
      </w:r>
    </w:p>
    <w:p w14:paraId="4808407D" w14:textId="224D75A9" w:rsidR="00AD321A" w:rsidRPr="00C76F35" w:rsidRDefault="00AD321A" w:rsidP="00AD321A">
      <w:pPr>
        <w:rPr>
          <w:b/>
        </w:rPr>
      </w:pPr>
      <w:r w:rsidRPr="00C76F35">
        <w:rPr>
          <w:b/>
        </w:rPr>
        <w:t xml:space="preserve">Table </w:t>
      </w:r>
      <w:r w:rsidRPr="00C76F35">
        <w:rPr>
          <w:b/>
        </w:rPr>
        <w:fldChar w:fldCharType="begin"/>
      </w:r>
      <w:r w:rsidRPr="00C76F35">
        <w:rPr>
          <w:b/>
        </w:rPr>
        <w:instrText xml:space="preserve"> SEQ Table \* ARABIC </w:instrText>
      </w:r>
      <w:r w:rsidRPr="00C76F35">
        <w:rPr>
          <w:b/>
        </w:rPr>
        <w:fldChar w:fldCharType="separate"/>
      </w:r>
      <w:r w:rsidR="00DB2F30">
        <w:rPr>
          <w:b/>
          <w:noProof/>
        </w:rPr>
        <w:t>3</w:t>
      </w:r>
      <w:r w:rsidRPr="00C76F35">
        <w:rPr>
          <w:b/>
        </w:rPr>
        <w:fldChar w:fldCharType="end"/>
      </w:r>
      <w:r w:rsidRPr="00C76F35">
        <w:rPr>
          <w:b/>
        </w:rPr>
        <w:t xml:space="preserve"> Immunisation rates at 12 months, Victoria, 2011 to 2017. Source: </w:t>
      </w:r>
      <w:r w:rsidR="000F1754" w:rsidRPr="00C76F35">
        <w:rPr>
          <w:b/>
        </w:rPr>
        <w:t xml:space="preserve">Australian Immunisation Record, 2018. </w:t>
      </w:r>
    </w:p>
    <w:tbl>
      <w:tblPr>
        <w:tblStyle w:val="TableGrid"/>
        <w:tblW w:w="0" w:type="auto"/>
        <w:tblLook w:val="04A0" w:firstRow="1" w:lastRow="0" w:firstColumn="1" w:lastColumn="0" w:noHBand="0" w:noVBand="1"/>
        <w:tblCaption w:val="Immunisation rates at 12 months, Victoria, 2011 to 2017"/>
        <w:tblDescription w:val="Estimated proportion of children fully immunised at 12 months of age, by cohort (Statewide, Aboriginal), Victoria, 2011, 2013, 2015, 2017. Source: Australian Immunisation Record, 2018."/>
      </w:tblPr>
      <w:tblGrid>
        <w:gridCol w:w="3005"/>
        <w:gridCol w:w="3005"/>
        <w:gridCol w:w="3006"/>
      </w:tblGrid>
      <w:tr w:rsidR="009D0F08" w:rsidRPr="00C76F35" w14:paraId="48668F6F" w14:textId="77777777" w:rsidTr="002C577B">
        <w:trPr>
          <w:tblHeader/>
        </w:trPr>
        <w:tc>
          <w:tcPr>
            <w:tcW w:w="3005" w:type="dxa"/>
          </w:tcPr>
          <w:p w14:paraId="7F9ED2EC" w14:textId="77777777" w:rsidR="00AD321A" w:rsidRPr="00C76F35" w:rsidRDefault="00AD321A" w:rsidP="00AD321A">
            <w:pPr>
              <w:jc w:val="center"/>
              <w:rPr>
                <w:b/>
              </w:rPr>
            </w:pPr>
            <w:r w:rsidRPr="00C76F35">
              <w:rPr>
                <w:b/>
              </w:rPr>
              <w:t>Year</w:t>
            </w:r>
          </w:p>
        </w:tc>
        <w:tc>
          <w:tcPr>
            <w:tcW w:w="3005" w:type="dxa"/>
          </w:tcPr>
          <w:p w14:paraId="0B0EADEF" w14:textId="77777777" w:rsidR="00AD321A" w:rsidRPr="00C76F35" w:rsidRDefault="00AD321A" w:rsidP="00AD321A">
            <w:pPr>
              <w:jc w:val="center"/>
              <w:rPr>
                <w:b/>
              </w:rPr>
            </w:pPr>
            <w:r w:rsidRPr="00C76F35">
              <w:rPr>
                <w:b/>
              </w:rPr>
              <w:t>Statewide</w:t>
            </w:r>
          </w:p>
        </w:tc>
        <w:tc>
          <w:tcPr>
            <w:tcW w:w="3006" w:type="dxa"/>
          </w:tcPr>
          <w:p w14:paraId="4D336996" w14:textId="77777777" w:rsidR="00AD321A" w:rsidRPr="00C76F35" w:rsidRDefault="00AD321A" w:rsidP="00AD321A">
            <w:pPr>
              <w:jc w:val="center"/>
              <w:rPr>
                <w:b/>
              </w:rPr>
            </w:pPr>
            <w:r w:rsidRPr="00C76F35">
              <w:rPr>
                <w:b/>
              </w:rPr>
              <w:t>Aboriginal</w:t>
            </w:r>
          </w:p>
        </w:tc>
      </w:tr>
      <w:tr w:rsidR="009D0F08" w:rsidRPr="00C76F35" w14:paraId="6746BDF2" w14:textId="77777777" w:rsidTr="00AD321A">
        <w:tc>
          <w:tcPr>
            <w:tcW w:w="3005" w:type="dxa"/>
          </w:tcPr>
          <w:p w14:paraId="21997D67" w14:textId="77777777" w:rsidR="00AD321A" w:rsidRPr="00C76F35" w:rsidRDefault="00AD321A" w:rsidP="00AD321A">
            <w:pPr>
              <w:jc w:val="center"/>
            </w:pPr>
            <w:r w:rsidRPr="00C76F35">
              <w:t>2011</w:t>
            </w:r>
          </w:p>
        </w:tc>
        <w:tc>
          <w:tcPr>
            <w:tcW w:w="3005" w:type="dxa"/>
          </w:tcPr>
          <w:p w14:paraId="186C975C" w14:textId="77777777" w:rsidR="00AD321A" w:rsidRPr="00C76F35" w:rsidRDefault="00AD321A" w:rsidP="009B3436">
            <w:r w:rsidRPr="00C76F35">
              <w:t>92%</w:t>
            </w:r>
          </w:p>
        </w:tc>
        <w:tc>
          <w:tcPr>
            <w:tcW w:w="3006" w:type="dxa"/>
          </w:tcPr>
          <w:p w14:paraId="18F76E14" w14:textId="77777777" w:rsidR="00AD321A" w:rsidRPr="00C76F35" w:rsidRDefault="00AD321A" w:rsidP="009B3436">
            <w:r w:rsidRPr="00C76F35">
              <w:t>84%</w:t>
            </w:r>
          </w:p>
        </w:tc>
      </w:tr>
      <w:tr w:rsidR="009D0F08" w:rsidRPr="00C76F35" w14:paraId="7976993D" w14:textId="77777777" w:rsidTr="00AD321A">
        <w:tc>
          <w:tcPr>
            <w:tcW w:w="3005" w:type="dxa"/>
          </w:tcPr>
          <w:p w14:paraId="1FF1CE19" w14:textId="77777777" w:rsidR="00AD321A" w:rsidRPr="00C76F35" w:rsidRDefault="00AD321A" w:rsidP="00AD321A">
            <w:pPr>
              <w:jc w:val="center"/>
            </w:pPr>
            <w:r w:rsidRPr="00C76F35">
              <w:t>2013</w:t>
            </w:r>
          </w:p>
        </w:tc>
        <w:tc>
          <w:tcPr>
            <w:tcW w:w="3005" w:type="dxa"/>
          </w:tcPr>
          <w:p w14:paraId="1A7C5F1D" w14:textId="77777777" w:rsidR="00AD321A" w:rsidRPr="00C76F35" w:rsidRDefault="00AD321A" w:rsidP="009B3436">
            <w:r w:rsidRPr="00C76F35">
              <w:t>91%</w:t>
            </w:r>
          </w:p>
        </w:tc>
        <w:tc>
          <w:tcPr>
            <w:tcW w:w="3006" w:type="dxa"/>
          </w:tcPr>
          <w:p w14:paraId="3059A0B2" w14:textId="77777777" w:rsidR="00AD321A" w:rsidRPr="00C76F35" w:rsidRDefault="00AD321A" w:rsidP="009B3436">
            <w:r w:rsidRPr="00C76F35">
              <w:t>85%</w:t>
            </w:r>
          </w:p>
        </w:tc>
      </w:tr>
      <w:tr w:rsidR="009D0F08" w:rsidRPr="00C76F35" w14:paraId="08E1A699" w14:textId="77777777" w:rsidTr="00AD321A">
        <w:tc>
          <w:tcPr>
            <w:tcW w:w="3005" w:type="dxa"/>
          </w:tcPr>
          <w:p w14:paraId="55E1AB6D" w14:textId="77777777" w:rsidR="00AD321A" w:rsidRPr="00C76F35" w:rsidRDefault="00AD321A" w:rsidP="00AD321A">
            <w:pPr>
              <w:jc w:val="center"/>
            </w:pPr>
            <w:r w:rsidRPr="00C76F35">
              <w:t>2015</w:t>
            </w:r>
          </w:p>
        </w:tc>
        <w:tc>
          <w:tcPr>
            <w:tcW w:w="3005" w:type="dxa"/>
          </w:tcPr>
          <w:p w14:paraId="4D7A4E96" w14:textId="77777777" w:rsidR="00AD321A" w:rsidRPr="00C76F35" w:rsidRDefault="00AD321A" w:rsidP="009B3436">
            <w:r w:rsidRPr="00C76F35">
              <w:t>92%</w:t>
            </w:r>
          </w:p>
        </w:tc>
        <w:tc>
          <w:tcPr>
            <w:tcW w:w="3006" w:type="dxa"/>
          </w:tcPr>
          <w:p w14:paraId="6825B019" w14:textId="77777777" w:rsidR="00AD321A" w:rsidRPr="00C76F35" w:rsidRDefault="00AD321A" w:rsidP="009B3436">
            <w:r w:rsidRPr="00C76F35">
              <w:t>87%</w:t>
            </w:r>
          </w:p>
        </w:tc>
      </w:tr>
      <w:tr w:rsidR="00B73884" w:rsidRPr="00C76F35" w14:paraId="12D9317F" w14:textId="77777777" w:rsidTr="00AD321A">
        <w:tc>
          <w:tcPr>
            <w:tcW w:w="3005" w:type="dxa"/>
          </w:tcPr>
          <w:p w14:paraId="53C0E431" w14:textId="77777777" w:rsidR="00AD321A" w:rsidRPr="00C76F35" w:rsidRDefault="00AD321A" w:rsidP="00AD321A">
            <w:pPr>
              <w:jc w:val="center"/>
            </w:pPr>
            <w:r w:rsidRPr="00C76F35">
              <w:t>2017</w:t>
            </w:r>
          </w:p>
        </w:tc>
        <w:tc>
          <w:tcPr>
            <w:tcW w:w="3005" w:type="dxa"/>
          </w:tcPr>
          <w:p w14:paraId="29FF16E0" w14:textId="77777777" w:rsidR="00AD321A" w:rsidRPr="00C76F35" w:rsidRDefault="00AD321A" w:rsidP="009B3436">
            <w:r w:rsidRPr="00C76F35">
              <w:t>94%</w:t>
            </w:r>
          </w:p>
        </w:tc>
        <w:tc>
          <w:tcPr>
            <w:tcW w:w="3006" w:type="dxa"/>
          </w:tcPr>
          <w:p w14:paraId="3A1D5881" w14:textId="77777777" w:rsidR="00AD321A" w:rsidRPr="00C76F35" w:rsidRDefault="00AD321A" w:rsidP="009B3436">
            <w:r w:rsidRPr="00C76F35">
              <w:t>93%</w:t>
            </w:r>
          </w:p>
        </w:tc>
      </w:tr>
    </w:tbl>
    <w:p w14:paraId="314C8671" w14:textId="77777777" w:rsidR="00AD321A" w:rsidRPr="00C76F35" w:rsidRDefault="00AD321A" w:rsidP="00D856C0"/>
    <w:p w14:paraId="5FCE6475" w14:textId="77777777" w:rsidR="000F1754" w:rsidRPr="00C76F35" w:rsidRDefault="009B3436" w:rsidP="00D856C0">
      <w:r w:rsidRPr="00C76F35">
        <w:t>Children’s participation in quality early childhood education is associated with reduced developmental vulnerability</w:t>
      </w:r>
      <w:r w:rsidR="000F1754" w:rsidRPr="00C76F35">
        <w:t xml:space="preserve"> and improved educational outcomes</w:t>
      </w:r>
      <w:r w:rsidRPr="00C76F35">
        <w:t xml:space="preserve">. </w:t>
      </w:r>
    </w:p>
    <w:p w14:paraId="0BF0BA51" w14:textId="77777777" w:rsidR="009B3436" w:rsidRPr="00C76F35" w:rsidRDefault="009B3436" w:rsidP="00D856C0">
      <w:r w:rsidRPr="00C76F35">
        <w:t xml:space="preserve">While kindergarten </w:t>
      </w:r>
      <w:r w:rsidR="000F1754" w:rsidRPr="00C76F35">
        <w:t>participation amongst Victorian children from disadvantaged areas and</w:t>
      </w:r>
      <w:r w:rsidRPr="00C76F35">
        <w:t xml:space="preserve"> Aboriginal</w:t>
      </w:r>
      <w:r w:rsidR="000F1754" w:rsidRPr="00C76F35">
        <w:t xml:space="preserve"> backgrounds is high</w:t>
      </w:r>
      <w:r w:rsidRPr="00C76F35">
        <w:t xml:space="preserve">, the lower quality of services in disadvantaged areas </w:t>
      </w:r>
      <w:r w:rsidR="000F1754" w:rsidRPr="00C76F35">
        <w:t xml:space="preserve">contributes to worse developmental outcomes. </w:t>
      </w:r>
    </w:p>
    <w:p w14:paraId="2D2878CA" w14:textId="2BA7B4F3" w:rsidR="000F1754" w:rsidRPr="00C76F35" w:rsidRDefault="000F1754" w:rsidP="000F1754">
      <w:pPr>
        <w:rPr>
          <w:b/>
        </w:rPr>
      </w:pPr>
      <w:r w:rsidRPr="00C76F35">
        <w:rPr>
          <w:b/>
        </w:rPr>
        <w:t xml:space="preserve">Table </w:t>
      </w:r>
      <w:r w:rsidRPr="00C76F35">
        <w:rPr>
          <w:b/>
        </w:rPr>
        <w:fldChar w:fldCharType="begin"/>
      </w:r>
      <w:r w:rsidRPr="00C76F35">
        <w:rPr>
          <w:b/>
        </w:rPr>
        <w:instrText xml:space="preserve"> SEQ Table \* ARABIC </w:instrText>
      </w:r>
      <w:r w:rsidRPr="00C76F35">
        <w:rPr>
          <w:b/>
        </w:rPr>
        <w:fldChar w:fldCharType="separate"/>
      </w:r>
      <w:r w:rsidR="00DB2F30">
        <w:rPr>
          <w:b/>
          <w:noProof/>
        </w:rPr>
        <w:t>4</w:t>
      </w:r>
      <w:r w:rsidRPr="00C76F35">
        <w:rPr>
          <w:b/>
        </w:rPr>
        <w:fldChar w:fldCharType="end"/>
      </w:r>
      <w:r w:rsidRPr="00C76F35">
        <w:rPr>
          <w:b/>
        </w:rPr>
        <w:t xml:space="preserve"> Proportion of Victorian Prep children developmentally vulnerable on two or more domains, 2015. Source: AEDC, 2015 and DET analysis. </w:t>
      </w:r>
    </w:p>
    <w:tbl>
      <w:tblPr>
        <w:tblW w:w="5000" w:type="pct"/>
        <w:tblLayout w:type="fixed"/>
        <w:tblLook w:val="04A0" w:firstRow="1" w:lastRow="0" w:firstColumn="1" w:lastColumn="0" w:noHBand="0" w:noVBand="1"/>
      </w:tblPr>
      <w:tblGrid>
        <w:gridCol w:w="2688"/>
        <w:gridCol w:w="2110"/>
        <w:gridCol w:w="2002"/>
        <w:gridCol w:w="2216"/>
      </w:tblGrid>
      <w:tr w:rsidR="009D0F08" w:rsidRPr="00C76F35" w14:paraId="41801F07" w14:textId="77777777" w:rsidTr="000F1754">
        <w:trPr>
          <w:trHeight w:val="295"/>
        </w:trPr>
        <w:tc>
          <w:tcPr>
            <w:tcW w:w="1491"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AE9C2D" w14:textId="77777777" w:rsidR="000F1754" w:rsidRPr="00C76F35" w:rsidRDefault="000F1754"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Kindergarten attendance </w:t>
            </w:r>
          </w:p>
        </w:tc>
        <w:tc>
          <w:tcPr>
            <w:tcW w:w="1170" w:type="pct"/>
            <w:tcBorders>
              <w:top w:val="single" w:sz="4" w:space="0" w:color="auto"/>
              <w:left w:val="nil"/>
              <w:bottom w:val="nil"/>
              <w:right w:val="single" w:sz="4" w:space="0" w:color="auto"/>
            </w:tcBorders>
            <w:shd w:val="clear" w:color="auto" w:fill="auto"/>
            <w:noWrap/>
            <w:vAlign w:val="bottom"/>
            <w:hideMark/>
          </w:tcPr>
          <w:p w14:paraId="39AA2611" w14:textId="77777777" w:rsidR="000F1754" w:rsidRPr="00C76F35" w:rsidRDefault="000F1754"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Statewide</w:t>
            </w:r>
          </w:p>
        </w:tc>
        <w:tc>
          <w:tcPr>
            <w:tcW w:w="1110" w:type="pct"/>
            <w:tcBorders>
              <w:top w:val="single" w:sz="4" w:space="0" w:color="auto"/>
              <w:left w:val="nil"/>
              <w:bottom w:val="nil"/>
              <w:right w:val="single" w:sz="4" w:space="0" w:color="auto"/>
            </w:tcBorders>
            <w:shd w:val="clear" w:color="auto" w:fill="auto"/>
            <w:noWrap/>
            <w:vAlign w:val="bottom"/>
            <w:hideMark/>
          </w:tcPr>
          <w:p w14:paraId="4F832B19" w14:textId="77777777" w:rsidR="000F1754" w:rsidRPr="00C76F35" w:rsidRDefault="000F1754"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Aboriginal</w:t>
            </w:r>
          </w:p>
        </w:tc>
        <w:tc>
          <w:tcPr>
            <w:tcW w:w="1229" w:type="pct"/>
            <w:tcBorders>
              <w:top w:val="single" w:sz="4" w:space="0" w:color="auto"/>
              <w:left w:val="nil"/>
              <w:bottom w:val="nil"/>
              <w:right w:val="single" w:sz="4" w:space="0" w:color="auto"/>
            </w:tcBorders>
            <w:shd w:val="clear" w:color="auto" w:fill="auto"/>
            <w:vAlign w:val="bottom"/>
            <w:hideMark/>
          </w:tcPr>
          <w:p w14:paraId="76193E83" w14:textId="77777777" w:rsidR="000F1754" w:rsidRPr="00C76F35" w:rsidRDefault="000F1754"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Most disadvantaged*</w:t>
            </w:r>
          </w:p>
        </w:tc>
      </w:tr>
      <w:tr w:rsidR="009D0F08" w:rsidRPr="00C76F35" w14:paraId="0845CE68" w14:textId="77777777" w:rsidTr="000F1754">
        <w:trPr>
          <w:trHeight w:val="300"/>
        </w:trPr>
        <w:tc>
          <w:tcPr>
            <w:tcW w:w="1491"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6B3317B2" w14:textId="77777777" w:rsidR="000F1754" w:rsidRPr="00C76F35" w:rsidRDefault="000F1754" w:rsidP="008C3866">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No Kinder</w:t>
            </w:r>
          </w:p>
        </w:tc>
        <w:tc>
          <w:tcPr>
            <w:tcW w:w="1170" w:type="pct"/>
            <w:tcBorders>
              <w:top w:val="single" w:sz="4" w:space="0" w:color="auto"/>
              <w:left w:val="nil"/>
              <w:bottom w:val="single" w:sz="4" w:space="0" w:color="auto"/>
              <w:right w:val="single" w:sz="4" w:space="0" w:color="auto"/>
            </w:tcBorders>
            <w:shd w:val="clear" w:color="auto" w:fill="auto"/>
            <w:noWrap/>
            <w:vAlign w:val="center"/>
            <w:hideMark/>
          </w:tcPr>
          <w:p w14:paraId="222104CC" w14:textId="77777777" w:rsidR="000F1754" w:rsidRPr="00C76F35" w:rsidRDefault="000F1754"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25%</w:t>
            </w:r>
          </w:p>
        </w:tc>
        <w:tc>
          <w:tcPr>
            <w:tcW w:w="1110" w:type="pct"/>
            <w:tcBorders>
              <w:top w:val="single" w:sz="4" w:space="0" w:color="auto"/>
              <w:left w:val="nil"/>
              <w:bottom w:val="single" w:sz="4" w:space="0" w:color="auto"/>
              <w:right w:val="single" w:sz="4" w:space="0" w:color="auto"/>
            </w:tcBorders>
            <w:shd w:val="clear" w:color="auto" w:fill="auto"/>
            <w:noWrap/>
            <w:vAlign w:val="center"/>
            <w:hideMark/>
          </w:tcPr>
          <w:p w14:paraId="67C1C6C5" w14:textId="77777777" w:rsidR="000F1754" w:rsidRPr="00C76F35" w:rsidRDefault="000F1754"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35%</w:t>
            </w:r>
          </w:p>
        </w:tc>
        <w:tc>
          <w:tcPr>
            <w:tcW w:w="1229" w:type="pct"/>
            <w:tcBorders>
              <w:top w:val="single" w:sz="4" w:space="0" w:color="auto"/>
              <w:left w:val="nil"/>
              <w:bottom w:val="single" w:sz="4" w:space="0" w:color="auto"/>
              <w:right w:val="single" w:sz="4" w:space="0" w:color="auto"/>
            </w:tcBorders>
            <w:shd w:val="clear" w:color="auto" w:fill="auto"/>
            <w:noWrap/>
            <w:vAlign w:val="center"/>
            <w:hideMark/>
          </w:tcPr>
          <w:p w14:paraId="0FF36A68" w14:textId="77777777" w:rsidR="000F1754" w:rsidRPr="00C76F35" w:rsidRDefault="000F1754"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38%</w:t>
            </w:r>
          </w:p>
        </w:tc>
      </w:tr>
      <w:tr w:rsidR="009D0F08" w:rsidRPr="00C76F35" w14:paraId="7F26FD10" w14:textId="77777777" w:rsidTr="000F1754">
        <w:trPr>
          <w:trHeight w:val="300"/>
        </w:trPr>
        <w:tc>
          <w:tcPr>
            <w:tcW w:w="1491"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790C2F37" w14:textId="77777777" w:rsidR="000F1754" w:rsidRPr="00C76F35" w:rsidRDefault="000F1754" w:rsidP="008C3866">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Kinder</w:t>
            </w:r>
          </w:p>
        </w:tc>
        <w:tc>
          <w:tcPr>
            <w:tcW w:w="1170" w:type="pct"/>
            <w:tcBorders>
              <w:top w:val="nil"/>
              <w:left w:val="nil"/>
              <w:bottom w:val="single" w:sz="4" w:space="0" w:color="auto"/>
              <w:right w:val="single" w:sz="4" w:space="0" w:color="auto"/>
            </w:tcBorders>
            <w:shd w:val="clear" w:color="auto" w:fill="auto"/>
            <w:noWrap/>
            <w:vAlign w:val="center"/>
            <w:hideMark/>
          </w:tcPr>
          <w:p w14:paraId="637C3D1A" w14:textId="77777777" w:rsidR="000F1754" w:rsidRPr="00C76F35" w:rsidRDefault="000F1754"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9%</w:t>
            </w:r>
          </w:p>
        </w:tc>
        <w:tc>
          <w:tcPr>
            <w:tcW w:w="1110" w:type="pct"/>
            <w:tcBorders>
              <w:top w:val="nil"/>
              <w:left w:val="nil"/>
              <w:bottom w:val="single" w:sz="4" w:space="0" w:color="auto"/>
              <w:right w:val="single" w:sz="4" w:space="0" w:color="auto"/>
            </w:tcBorders>
            <w:shd w:val="clear" w:color="auto" w:fill="auto"/>
            <w:noWrap/>
            <w:vAlign w:val="center"/>
            <w:hideMark/>
          </w:tcPr>
          <w:p w14:paraId="3040EC7B" w14:textId="77777777" w:rsidR="000F1754" w:rsidRPr="00C76F35" w:rsidRDefault="000F1754" w:rsidP="000F1754">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23%</w:t>
            </w:r>
          </w:p>
        </w:tc>
        <w:tc>
          <w:tcPr>
            <w:tcW w:w="1229" w:type="pct"/>
            <w:tcBorders>
              <w:top w:val="nil"/>
              <w:left w:val="nil"/>
              <w:bottom w:val="single" w:sz="4" w:space="0" w:color="auto"/>
              <w:right w:val="single" w:sz="4" w:space="0" w:color="auto"/>
            </w:tcBorders>
            <w:shd w:val="clear" w:color="auto" w:fill="auto"/>
            <w:noWrap/>
            <w:vAlign w:val="center"/>
            <w:hideMark/>
          </w:tcPr>
          <w:p w14:paraId="45BD02F3" w14:textId="77777777" w:rsidR="000F1754" w:rsidRPr="00C76F35" w:rsidRDefault="000F1754"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17%</w:t>
            </w:r>
          </w:p>
        </w:tc>
      </w:tr>
    </w:tbl>
    <w:p w14:paraId="15C75862" w14:textId="77777777" w:rsidR="000F1754" w:rsidRPr="00C76F35" w:rsidRDefault="000F1754" w:rsidP="009B3436">
      <w:r w:rsidRPr="00C76F35">
        <w:t xml:space="preserve">*SEIFA IRSD used as measure of disadvantage. </w:t>
      </w:r>
    </w:p>
    <w:p w14:paraId="1B966DF6" w14:textId="77777777" w:rsidR="000F1754" w:rsidRPr="00C76F35" w:rsidRDefault="000F1754">
      <w:r w:rsidRPr="00C76F35">
        <w:br w:type="page"/>
      </w:r>
    </w:p>
    <w:p w14:paraId="75053F58" w14:textId="77777777" w:rsidR="009B3436" w:rsidRPr="00C76F35" w:rsidRDefault="000F1754" w:rsidP="000F1754">
      <w:pPr>
        <w:pStyle w:val="Heading1"/>
        <w:rPr>
          <w:color w:val="auto"/>
        </w:rPr>
      </w:pPr>
      <w:r w:rsidRPr="00C76F35">
        <w:rPr>
          <w:color w:val="auto"/>
        </w:rPr>
        <w:lastRenderedPageBreak/>
        <w:t>Families and the family environment</w:t>
      </w:r>
    </w:p>
    <w:p w14:paraId="655C1006" w14:textId="77777777" w:rsidR="000F1754" w:rsidRPr="00C76F35" w:rsidRDefault="000F1754" w:rsidP="00D856C0">
      <w:r w:rsidRPr="00C76F35">
        <w:t>Quality parenting and a nurturing family environment has a profound impact on children’s health and wellbeing, providing them with positive role models and a secure start to life.</w:t>
      </w:r>
    </w:p>
    <w:p w14:paraId="779096E1" w14:textId="77777777" w:rsidR="000F1754" w:rsidRPr="00C76F35" w:rsidRDefault="000F1754" w:rsidP="00D856C0">
      <w:r w:rsidRPr="00C76F35">
        <w:t>The financial security of families has a significant influence on the family environment and children’s wellbeing. In 2016, more than a third of Victorian children from single</w:t>
      </w:r>
      <w:r w:rsidR="00DB4679" w:rsidRPr="00C76F35">
        <w:t xml:space="preserve"> </w:t>
      </w:r>
      <w:r w:rsidRPr="00C76F35">
        <w:t xml:space="preserve">parent families lived in jobless households, compared to only </w:t>
      </w:r>
      <w:r w:rsidR="00DB4679" w:rsidRPr="00C76F35">
        <w:t>5%</w:t>
      </w:r>
      <w:r w:rsidRPr="00C76F35">
        <w:t xml:space="preserve"> of children from couple</w:t>
      </w:r>
      <w:r w:rsidR="00DB4679" w:rsidRPr="00C76F35">
        <w:t xml:space="preserve"> </w:t>
      </w:r>
      <w:r w:rsidRPr="00C76F35">
        <w:t>parent families.</w:t>
      </w:r>
    </w:p>
    <w:p w14:paraId="749FA466" w14:textId="77777777" w:rsidR="00DB4679" w:rsidRPr="00C76F35" w:rsidRDefault="00DB4679" w:rsidP="00D856C0">
      <w:r w:rsidRPr="00C76F35">
        <w:t xml:space="preserve">Food insecurity can cause distress and often causes families to rely on unhealthy low-cost foods which has ramifications for children’s health. </w:t>
      </w:r>
    </w:p>
    <w:p w14:paraId="2B72C1E9" w14:textId="77777777" w:rsidR="00DB4679" w:rsidRPr="00C76F35" w:rsidRDefault="00DB4679" w:rsidP="00D856C0">
      <w:r w:rsidRPr="00C76F35">
        <w:t xml:space="preserve">While the proportion of Victorian children experiencing food insecurity increased from 6% in 2006 to 7% in 2017, the increase has been larger amongst children in disadvantaged areas. </w:t>
      </w:r>
    </w:p>
    <w:p w14:paraId="6C85D964" w14:textId="6C9F53B4" w:rsidR="00DB4679" w:rsidRPr="00C76F35" w:rsidRDefault="00DB4679" w:rsidP="00DB4679">
      <w:pPr>
        <w:rPr>
          <w:b/>
        </w:rPr>
      </w:pPr>
      <w:r w:rsidRPr="00C76F35">
        <w:rPr>
          <w:b/>
        </w:rPr>
        <w:t xml:space="preserve">Table </w:t>
      </w:r>
      <w:r w:rsidRPr="00C76F35">
        <w:rPr>
          <w:b/>
        </w:rPr>
        <w:fldChar w:fldCharType="begin"/>
      </w:r>
      <w:r w:rsidRPr="00C76F35">
        <w:rPr>
          <w:b/>
        </w:rPr>
        <w:instrText xml:space="preserve"> SEQ Table \* ARABIC </w:instrText>
      </w:r>
      <w:r w:rsidRPr="00C76F35">
        <w:rPr>
          <w:b/>
        </w:rPr>
        <w:fldChar w:fldCharType="separate"/>
      </w:r>
      <w:r w:rsidR="00DB2F30">
        <w:rPr>
          <w:b/>
          <w:noProof/>
        </w:rPr>
        <w:t>5</w:t>
      </w:r>
      <w:r w:rsidRPr="00C76F35">
        <w:rPr>
          <w:b/>
        </w:rPr>
        <w:fldChar w:fldCharType="end"/>
      </w:r>
      <w:r w:rsidRPr="00C76F35">
        <w:rPr>
          <w:b/>
        </w:rPr>
        <w:t xml:space="preserve"> Children from households with food insecurity*, by SEIFA quintile, Victoria. Source: Victorian Child Health and Wellbeing Survey, 2009-2017. </w:t>
      </w:r>
    </w:p>
    <w:tbl>
      <w:tblPr>
        <w:tblW w:w="5000" w:type="pct"/>
        <w:tblLayout w:type="fixed"/>
        <w:tblLook w:val="04A0" w:firstRow="1" w:lastRow="0" w:firstColumn="1" w:lastColumn="0" w:noHBand="0" w:noVBand="1"/>
      </w:tblPr>
      <w:tblGrid>
        <w:gridCol w:w="847"/>
        <w:gridCol w:w="1633"/>
        <w:gridCol w:w="1634"/>
        <w:gridCol w:w="1634"/>
        <w:gridCol w:w="1634"/>
        <w:gridCol w:w="1634"/>
      </w:tblGrid>
      <w:tr w:rsidR="009D0F08" w:rsidRPr="00C76F35" w14:paraId="11B082B3" w14:textId="77777777" w:rsidTr="00DB4679">
        <w:trPr>
          <w:trHeight w:val="300"/>
        </w:trPr>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1B1AF" w14:textId="77777777" w:rsidR="00DB4679" w:rsidRPr="00C76F35" w:rsidRDefault="00DB4679" w:rsidP="008C3866">
            <w:pPr>
              <w:spacing w:after="0" w:line="240" w:lineRule="auto"/>
              <w:jc w:val="center"/>
              <w:rPr>
                <w:rFonts w:ascii="Calibri" w:eastAsia="Times New Roman" w:hAnsi="Calibri" w:cs="Calibri"/>
                <w:b/>
                <w:bCs/>
                <w:lang w:eastAsia="en-AU"/>
              </w:rPr>
            </w:pPr>
            <w:r w:rsidRPr="00C76F35">
              <w:rPr>
                <w:rFonts w:ascii="Calibri" w:eastAsia="Times New Roman" w:hAnsi="Calibri" w:cs="Calibri"/>
                <w:b/>
                <w:bCs/>
                <w:lang w:eastAsia="en-AU"/>
              </w:rPr>
              <w:t> Year</w:t>
            </w:r>
          </w:p>
        </w:tc>
        <w:tc>
          <w:tcPr>
            <w:tcW w:w="906" w:type="pct"/>
            <w:tcBorders>
              <w:top w:val="single" w:sz="4" w:space="0" w:color="auto"/>
              <w:left w:val="nil"/>
              <w:bottom w:val="single" w:sz="4" w:space="0" w:color="auto"/>
              <w:right w:val="single" w:sz="4" w:space="0" w:color="auto"/>
            </w:tcBorders>
            <w:shd w:val="clear" w:color="auto" w:fill="auto"/>
            <w:noWrap/>
            <w:vAlign w:val="bottom"/>
            <w:hideMark/>
          </w:tcPr>
          <w:p w14:paraId="043A7732" w14:textId="77777777" w:rsidR="00DB4679" w:rsidRPr="00C76F35" w:rsidRDefault="00DB4679"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Quintile 1 (most disadvantaged)</w:t>
            </w:r>
          </w:p>
        </w:tc>
        <w:tc>
          <w:tcPr>
            <w:tcW w:w="906" w:type="pct"/>
            <w:tcBorders>
              <w:top w:val="single" w:sz="4" w:space="0" w:color="auto"/>
              <w:left w:val="nil"/>
              <w:bottom w:val="single" w:sz="4" w:space="0" w:color="auto"/>
              <w:right w:val="single" w:sz="4" w:space="0" w:color="auto"/>
            </w:tcBorders>
            <w:shd w:val="clear" w:color="auto" w:fill="auto"/>
            <w:noWrap/>
            <w:vAlign w:val="bottom"/>
            <w:hideMark/>
          </w:tcPr>
          <w:p w14:paraId="51FB6CDD" w14:textId="77777777" w:rsidR="00DB4679" w:rsidRPr="00C76F35" w:rsidRDefault="00DB4679"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Quintile 2</w:t>
            </w:r>
          </w:p>
        </w:tc>
        <w:tc>
          <w:tcPr>
            <w:tcW w:w="906" w:type="pct"/>
            <w:tcBorders>
              <w:top w:val="single" w:sz="4" w:space="0" w:color="auto"/>
              <w:left w:val="nil"/>
              <w:bottom w:val="single" w:sz="4" w:space="0" w:color="auto"/>
              <w:right w:val="single" w:sz="4" w:space="0" w:color="auto"/>
            </w:tcBorders>
            <w:shd w:val="clear" w:color="auto" w:fill="auto"/>
            <w:noWrap/>
            <w:vAlign w:val="bottom"/>
            <w:hideMark/>
          </w:tcPr>
          <w:p w14:paraId="358C40DD" w14:textId="77777777" w:rsidR="00DB4679" w:rsidRPr="00C76F35" w:rsidRDefault="00DB4679"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Quintile 3</w:t>
            </w:r>
          </w:p>
        </w:tc>
        <w:tc>
          <w:tcPr>
            <w:tcW w:w="906" w:type="pct"/>
            <w:tcBorders>
              <w:top w:val="single" w:sz="4" w:space="0" w:color="auto"/>
              <w:left w:val="nil"/>
              <w:bottom w:val="single" w:sz="4" w:space="0" w:color="auto"/>
              <w:right w:val="single" w:sz="4" w:space="0" w:color="auto"/>
            </w:tcBorders>
            <w:shd w:val="clear" w:color="auto" w:fill="auto"/>
            <w:noWrap/>
            <w:vAlign w:val="bottom"/>
            <w:hideMark/>
          </w:tcPr>
          <w:p w14:paraId="60A12B4F" w14:textId="77777777" w:rsidR="00DB4679" w:rsidRPr="00C76F35" w:rsidRDefault="00DB4679"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Quintile 4</w:t>
            </w:r>
          </w:p>
        </w:tc>
        <w:tc>
          <w:tcPr>
            <w:tcW w:w="906" w:type="pct"/>
            <w:tcBorders>
              <w:top w:val="single" w:sz="4" w:space="0" w:color="auto"/>
              <w:left w:val="nil"/>
              <w:bottom w:val="single" w:sz="4" w:space="0" w:color="auto"/>
              <w:right w:val="single" w:sz="4" w:space="0" w:color="auto"/>
            </w:tcBorders>
            <w:shd w:val="clear" w:color="auto" w:fill="auto"/>
            <w:noWrap/>
            <w:vAlign w:val="bottom"/>
            <w:hideMark/>
          </w:tcPr>
          <w:p w14:paraId="22076B6A" w14:textId="77777777" w:rsidR="00DB4679" w:rsidRPr="00C76F35" w:rsidRDefault="00DB4679"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Quintile 5 (least disadvantaged)</w:t>
            </w:r>
          </w:p>
        </w:tc>
      </w:tr>
      <w:tr w:rsidR="009D0F08" w:rsidRPr="00C76F35" w14:paraId="43B82701" w14:textId="77777777" w:rsidTr="00DB4679">
        <w:trPr>
          <w:trHeight w:val="300"/>
        </w:trPr>
        <w:tc>
          <w:tcPr>
            <w:tcW w:w="470" w:type="pct"/>
            <w:tcBorders>
              <w:top w:val="nil"/>
              <w:left w:val="single" w:sz="4" w:space="0" w:color="auto"/>
              <w:bottom w:val="single" w:sz="4" w:space="0" w:color="auto"/>
              <w:right w:val="single" w:sz="4" w:space="0" w:color="auto"/>
            </w:tcBorders>
            <w:shd w:val="clear" w:color="auto" w:fill="auto"/>
            <w:noWrap/>
            <w:vAlign w:val="bottom"/>
            <w:hideMark/>
          </w:tcPr>
          <w:p w14:paraId="3B92C18D" w14:textId="77777777" w:rsidR="00DB4679" w:rsidRPr="00C76F35" w:rsidRDefault="00DB4679" w:rsidP="008C3866">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2009</w:t>
            </w:r>
          </w:p>
        </w:tc>
        <w:tc>
          <w:tcPr>
            <w:tcW w:w="906" w:type="pct"/>
            <w:tcBorders>
              <w:top w:val="nil"/>
              <w:left w:val="nil"/>
              <w:bottom w:val="single" w:sz="4" w:space="0" w:color="auto"/>
              <w:right w:val="single" w:sz="4" w:space="0" w:color="auto"/>
            </w:tcBorders>
            <w:shd w:val="clear" w:color="auto" w:fill="auto"/>
            <w:noWrap/>
            <w:vAlign w:val="bottom"/>
            <w:hideMark/>
          </w:tcPr>
          <w:p w14:paraId="081824BA" w14:textId="77777777" w:rsidR="00DB4679" w:rsidRPr="00C76F35" w:rsidRDefault="00DB4679"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8.6%</w:t>
            </w:r>
          </w:p>
        </w:tc>
        <w:tc>
          <w:tcPr>
            <w:tcW w:w="906" w:type="pct"/>
            <w:tcBorders>
              <w:top w:val="nil"/>
              <w:left w:val="nil"/>
              <w:bottom w:val="single" w:sz="4" w:space="0" w:color="auto"/>
              <w:right w:val="single" w:sz="4" w:space="0" w:color="auto"/>
            </w:tcBorders>
            <w:shd w:val="clear" w:color="auto" w:fill="auto"/>
            <w:noWrap/>
            <w:vAlign w:val="bottom"/>
            <w:hideMark/>
          </w:tcPr>
          <w:p w14:paraId="2145B9A1" w14:textId="77777777" w:rsidR="00DB4679" w:rsidRPr="00C76F35" w:rsidRDefault="00DB4679"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5.9%</w:t>
            </w:r>
          </w:p>
        </w:tc>
        <w:tc>
          <w:tcPr>
            <w:tcW w:w="906" w:type="pct"/>
            <w:tcBorders>
              <w:top w:val="nil"/>
              <w:left w:val="nil"/>
              <w:bottom w:val="single" w:sz="4" w:space="0" w:color="auto"/>
              <w:right w:val="single" w:sz="4" w:space="0" w:color="auto"/>
            </w:tcBorders>
            <w:shd w:val="clear" w:color="auto" w:fill="auto"/>
            <w:noWrap/>
            <w:vAlign w:val="bottom"/>
            <w:hideMark/>
          </w:tcPr>
          <w:p w14:paraId="0AEF28F6" w14:textId="77777777" w:rsidR="00DB4679" w:rsidRPr="00C76F35" w:rsidRDefault="00DB4679"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5.1%</w:t>
            </w:r>
          </w:p>
        </w:tc>
        <w:tc>
          <w:tcPr>
            <w:tcW w:w="906" w:type="pct"/>
            <w:tcBorders>
              <w:top w:val="nil"/>
              <w:left w:val="nil"/>
              <w:bottom w:val="single" w:sz="4" w:space="0" w:color="auto"/>
              <w:right w:val="single" w:sz="4" w:space="0" w:color="auto"/>
            </w:tcBorders>
            <w:shd w:val="clear" w:color="auto" w:fill="auto"/>
            <w:noWrap/>
            <w:vAlign w:val="bottom"/>
            <w:hideMark/>
          </w:tcPr>
          <w:p w14:paraId="1403262F" w14:textId="77777777" w:rsidR="00DB4679" w:rsidRPr="00C76F35" w:rsidRDefault="00DB4679"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4.7%</w:t>
            </w:r>
          </w:p>
        </w:tc>
        <w:tc>
          <w:tcPr>
            <w:tcW w:w="906" w:type="pct"/>
            <w:tcBorders>
              <w:top w:val="nil"/>
              <w:left w:val="nil"/>
              <w:bottom w:val="single" w:sz="4" w:space="0" w:color="auto"/>
              <w:right w:val="single" w:sz="4" w:space="0" w:color="auto"/>
            </w:tcBorders>
            <w:shd w:val="clear" w:color="auto" w:fill="auto"/>
            <w:noWrap/>
            <w:vAlign w:val="bottom"/>
            <w:hideMark/>
          </w:tcPr>
          <w:p w14:paraId="57DC911F" w14:textId="77777777" w:rsidR="00DB4679" w:rsidRPr="00C76F35" w:rsidRDefault="00DB4679"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1.8%</w:t>
            </w:r>
          </w:p>
        </w:tc>
      </w:tr>
      <w:tr w:rsidR="009D0F08" w:rsidRPr="00C76F35" w14:paraId="047DE2C6" w14:textId="77777777" w:rsidTr="00DB4679">
        <w:trPr>
          <w:trHeight w:val="300"/>
        </w:trPr>
        <w:tc>
          <w:tcPr>
            <w:tcW w:w="470" w:type="pct"/>
            <w:tcBorders>
              <w:top w:val="nil"/>
              <w:left w:val="single" w:sz="4" w:space="0" w:color="auto"/>
              <w:bottom w:val="single" w:sz="4" w:space="0" w:color="auto"/>
              <w:right w:val="single" w:sz="4" w:space="0" w:color="auto"/>
            </w:tcBorders>
            <w:shd w:val="clear" w:color="auto" w:fill="auto"/>
            <w:noWrap/>
            <w:vAlign w:val="bottom"/>
            <w:hideMark/>
          </w:tcPr>
          <w:p w14:paraId="0ABD3BEA" w14:textId="77777777" w:rsidR="00DB4679" w:rsidRPr="00C76F35" w:rsidRDefault="00DB4679" w:rsidP="008C3866">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2013</w:t>
            </w:r>
          </w:p>
        </w:tc>
        <w:tc>
          <w:tcPr>
            <w:tcW w:w="906" w:type="pct"/>
            <w:tcBorders>
              <w:top w:val="nil"/>
              <w:left w:val="nil"/>
              <w:bottom w:val="single" w:sz="4" w:space="0" w:color="auto"/>
              <w:right w:val="single" w:sz="4" w:space="0" w:color="auto"/>
            </w:tcBorders>
            <w:shd w:val="clear" w:color="auto" w:fill="auto"/>
            <w:noWrap/>
            <w:vAlign w:val="bottom"/>
            <w:hideMark/>
          </w:tcPr>
          <w:p w14:paraId="18B03EBA" w14:textId="77777777" w:rsidR="00DB4679" w:rsidRPr="00C76F35" w:rsidRDefault="00DB4679"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9.6%</w:t>
            </w:r>
          </w:p>
        </w:tc>
        <w:tc>
          <w:tcPr>
            <w:tcW w:w="906" w:type="pct"/>
            <w:tcBorders>
              <w:top w:val="nil"/>
              <w:left w:val="nil"/>
              <w:bottom w:val="single" w:sz="4" w:space="0" w:color="auto"/>
              <w:right w:val="single" w:sz="4" w:space="0" w:color="auto"/>
            </w:tcBorders>
            <w:shd w:val="clear" w:color="auto" w:fill="auto"/>
            <w:noWrap/>
            <w:vAlign w:val="bottom"/>
            <w:hideMark/>
          </w:tcPr>
          <w:p w14:paraId="3C631A52" w14:textId="77777777" w:rsidR="00DB4679" w:rsidRPr="00C76F35" w:rsidRDefault="00DB4679"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6.6%</w:t>
            </w:r>
          </w:p>
        </w:tc>
        <w:tc>
          <w:tcPr>
            <w:tcW w:w="906" w:type="pct"/>
            <w:tcBorders>
              <w:top w:val="nil"/>
              <w:left w:val="nil"/>
              <w:bottom w:val="single" w:sz="4" w:space="0" w:color="auto"/>
              <w:right w:val="single" w:sz="4" w:space="0" w:color="auto"/>
            </w:tcBorders>
            <w:shd w:val="clear" w:color="auto" w:fill="auto"/>
            <w:noWrap/>
            <w:vAlign w:val="bottom"/>
            <w:hideMark/>
          </w:tcPr>
          <w:p w14:paraId="40F590D5" w14:textId="77777777" w:rsidR="00DB4679" w:rsidRPr="00C76F35" w:rsidRDefault="00DB4679"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6.3%</w:t>
            </w:r>
          </w:p>
        </w:tc>
        <w:tc>
          <w:tcPr>
            <w:tcW w:w="906" w:type="pct"/>
            <w:tcBorders>
              <w:top w:val="nil"/>
              <w:left w:val="nil"/>
              <w:bottom w:val="single" w:sz="4" w:space="0" w:color="auto"/>
              <w:right w:val="single" w:sz="4" w:space="0" w:color="auto"/>
            </w:tcBorders>
            <w:shd w:val="clear" w:color="auto" w:fill="auto"/>
            <w:noWrap/>
            <w:vAlign w:val="bottom"/>
            <w:hideMark/>
          </w:tcPr>
          <w:p w14:paraId="27C21B70" w14:textId="77777777" w:rsidR="00DB4679" w:rsidRPr="00C76F35" w:rsidRDefault="00DB4679"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4.3%</w:t>
            </w:r>
          </w:p>
        </w:tc>
        <w:tc>
          <w:tcPr>
            <w:tcW w:w="906" w:type="pct"/>
            <w:tcBorders>
              <w:top w:val="nil"/>
              <w:left w:val="nil"/>
              <w:bottom w:val="single" w:sz="4" w:space="0" w:color="auto"/>
              <w:right w:val="single" w:sz="4" w:space="0" w:color="auto"/>
            </w:tcBorders>
            <w:shd w:val="clear" w:color="auto" w:fill="auto"/>
            <w:noWrap/>
            <w:vAlign w:val="bottom"/>
            <w:hideMark/>
          </w:tcPr>
          <w:p w14:paraId="5CA36C48" w14:textId="77777777" w:rsidR="00DB4679" w:rsidRPr="00C76F35" w:rsidRDefault="00DB4679"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2.3%</w:t>
            </w:r>
          </w:p>
        </w:tc>
      </w:tr>
      <w:tr w:rsidR="009D0F08" w:rsidRPr="00C76F35" w14:paraId="4D68EB37" w14:textId="77777777" w:rsidTr="00DB4679">
        <w:trPr>
          <w:trHeight w:val="300"/>
        </w:trPr>
        <w:tc>
          <w:tcPr>
            <w:tcW w:w="470" w:type="pct"/>
            <w:tcBorders>
              <w:top w:val="nil"/>
              <w:left w:val="single" w:sz="4" w:space="0" w:color="auto"/>
              <w:bottom w:val="single" w:sz="4" w:space="0" w:color="auto"/>
              <w:right w:val="single" w:sz="4" w:space="0" w:color="auto"/>
            </w:tcBorders>
            <w:shd w:val="clear" w:color="auto" w:fill="auto"/>
            <w:noWrap/>
            <w:vAlign w:val="bottom"/>
            <w:hideMark/>
          </w:tcPr>
          <w:p w14:paraId="6C716685" w14:textId="77777777" w:rsidR="00DB4679" w:rsidRPr="00C76F35" w:rsidRDefault="00DB4679" w:rsidP="008C3866">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2017</w:t>
            </w:r>
          </w:p>
        </w:tc>
        <w:tc>
          <w:tcPr>
            <w:tcW w:w="906" w:type="pct"/>
            <w:tcBorders>
              <w:top w:val="nil"/>
              <w:left w:val="nil"/>
              <w:bottom w:val="single" w:sz="4" w:space="0" w:color="auto"/>
              <w:right w:val="single" w:sz="4" w:space="0" w:color="auto"/>
            </w:tcBorders>
            <w:shd w:val="clear" w:color="auto" w:fill="auto"/>
            <w:noWrap/>
            <w:vAlign w:val="bottom"/>
            <w:hideMark/>
          </w:tcPr>
          <w:p w14:paraId="5576FD0B" w14:textId="77777777" w:rsidR="00DB4679" w:rsidRPr="00C76F35" w:rsidRDefault="00DB4679"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13.5%</w:t>
            </w:r>
          </w:p>
        </w:tc>
        <w:tc>
          <w:tcPr>
            <w:tcW w:w="906" w:type="pct"/>
            <w:tcBorders>
              <w:top w:val="nil"/>
              <w:left w:val="nil"/>
              <w:bottom w:val="single" w:sz="4" w:space="0" w:color="auto"/>
              <w:right w:val="single" w:sz="4" w:space="0" w:color="auto"/>
            </w:tcBorders>
            <w:shd w:val="clear" w:color="auto" w:fill="auto"/>
            <w:noWrap/>
            <w:vAlign w:val="bottom"/>
            <w:hideMark/>
          </w:tcPr>
          <w:p w14:paraId="50D66B3B" w14:textId="77777777" w:rsidR="00DB4679" w:rsidRPr="00C76F35" w:rsidRDefault="00DB4679"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9.0%</w:t>
            </w:r>
          </w:p>
        </w:tc>
        <w:tc>
          <w:tcPr>
            <w:tcW w:w="906" w:type="pct"/>
            <w:tcBorders>
              <w:top w:val="nil"/>
              <w:left w:val="nil"/>
              <w:bottom w:val="single" w:sz="4" w:space="0" w:color="auto"/>
              <w:right w:val="single" w:sz="4" w:space="0" w:color="auto"/>
            </w:tcBorders>
            <w:shd w:val="clear" w:color="auto" w:fill="auto"/>
            <w:noWrap/>
            <w:vAlign w:val="bottom"/>
            <w:hideMark/>
          </w:tcPr>
          <w:p w14:paraId="4CDCA746" w14:textId="77777777" w:rsidR="00DB4679" w:rsidRPr="00C76F35" w:rsidRDefault="00DB4679"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9.2%</w:t>
            </w:r>
          </w:p>
        </w:tc>
        <w:tc>
          <w:tcPr>
            <w:tcW w:w="906" w:type="pct"/>
            <w:tcBorders>
              <w:top w:val="nil"/>
              <w:left w:val="nil"/>
              <w:bottom w:val="single" w:sz="4" w:space="0" w:color="auto"/>
              <w:right w:val="single" w:sz="4" w:space="0" w:color="auto"/>
            </w:tcBorders>
            <w:shd w:val="clear" w:color="auto" w:fill="auto"/>
            <w:noWrap/>
            <w:vAlign w:val="bottom"/>
            <w:hideMark/>
          </w:tcPr>
          <w:p w14:paraId="480A1766" w14:textId="77777777" w:rsidR="00DB4679" w:rsidRPr="00C76F35" w:rsidRDefault="00DB4679"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6.4%</w:t>
            </w:r>
          </w:p>
        </w:tc>
        <w:tc>
          <w:tcPr>
            <w:tcW w:w="906" w:type="pct"/>
            <w:tcBorders>
              <w:top w:val="nil"/>
              <w:left w:val="nil"/>
              <w:bottom w:val="single" w:sz="4" w:space="0" w:color="auto"/>
              <w:right w:val="single" w:sz="4" w:space="0" w:color="auto"/>
            </w:tcBorders>
            <w:shd w:val="clear" w:color="auto" w:fill="auto"/>
            <w:noWrap/>
            <w:vAlign w:val="bottom"/>
            <w:hideMark/>
          </w:tcPr>
          <w:p w14:paraId="46307E45" w14:textId="77777777" w:rsidR="00DB4679" w:rsidRPr="00C76F35" w:rsidRDefault="00DB4679"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2.7%</w:t>
            </w:r>
          </w:p>
        </w:tc>
      </w:tr>
    </w:tbl>
    <w:p w14:paraId="4D148821" w14:textId="77777777" w:rsidR="00DB4679" w:rsidRPr="00C76F35" w:rsidRDefault="00DB4679" w:rsidP="00DB4679">
      <w:r w:rsidRPr="00C76F35">
        <w:t xml:space="preserve">*Food insecurity is defined here as running out of food and not being able to afford more. </w:t>
      </w:r>
    </w:p>
    <w:p w14:paraId="27B72A17" w14:textId="77777777" w:rsidR="000C5BA3" w:rsidRPr="00C76F35" w:rsidRDefault="000C5BA3" w:rsidP="00DB4679">
      <w:pPr>
        <w:pStyle w:val="Heading4"/>
        <w:rPr>
          <w:color w:val="auto"/>
        </w:rPr>
      </w:pPr>
    </w:p>
    <w:p w14:paraId="38D66E80" w14:textId="77777777" w:rsidR="00DB4679" w:rsidRPr="00C76F35" w:rsidRDefault="00DB4679" w:rsidP="00D856C0">
      <w:r w:rsidRPr="00C76F35">
        <w:t xml:space="preserve">Housing stress places significant pressure on family budgets and makes it difficult to provide for children’s other needs. </w:t>
      </w:r>
    </w:p>
    <w:p w14:paraId="1559FC8B" w14:textId="77777777" w:rsidR="00DB4679" w:rsidRPr="00C76F35" w:rsidRDefault="00DB4679" w:rsidP="00D856C0">
      <w:r w:rsidRPr="00C76F35">
        <w:t xml:space="preserve">From 2001-2016, the proportion of Victorian children (aged 0-14 years) in households experiencing housing stress increased from 13% to 21%. </w:t>
      </w:r>
    </w:p>
    <w:p w14:paraId="383A2462" w14:textId="47FAB543" w:rsidR="00DB4679" w:rsidRPr="00C76F35" w:rsidRDefault="00DB4679" w:rsidP="00DB4679">
      <w:pPr>
        <w:rPr>
          <w:b/>
        </w:rPr>
      </w:pPr>
      <w:r w:rsidRPr="00C76F35">
        <w:rPr>
          <w:b/>
        </w:rPr>
        <w:t xml:space="preserve">Table </w:t>
      </w:r>
      <w:r w:rsidRPr="00C76F35">
        <w:rPr>
          <w:b/>
        </w:rPr>
        <w:fldChar w:fldCharType="begin"/>
      </w:r>
      <w:r w:rsidRPr="00C76F35">
        <w:rPr>
          <w:b/>
        </w:rPr>
        <w:instrText xml:space="preserve"> SEQ Table \* ARABIC </w:instrText>
      </w:r>
      <w:r w:rsidRPr="00C76F35">
        <w:rPr>
          <w:b/>
        </w:rPr>
        <w:fldChar w:fldCharType="separate"/>
      </w:r>
      <w:r w:rsidR="00DB2F30">
        <w:rPr>
          <w:b/>
          <w:noProof/>
        </w:rPr>
        <w:t>6</w:t>
      </w:r>
      <w:r w:rsidRPr="00C76F35">
        <w:rPr>
          <w:b/>
        </w:rPr>
        <w:fldChar w:fldCharType="end"/>
      </w:r>
      <w:r w:rsidRPr="00C76F35">
        <w:rPr>
          <w:b/>
        </w:rPr>
        <w:t xml:space="preserve"> Proportion of Victorian children (aged 0-14 years) living in households with housing stress</w:t>
      </w:r>
      <w:r w:rsidR="000C5BA3" w:rsidRPr="00C76F35">
        <w:rPr>
          <w:b/>
        </w:rPr>
        <w:t>*</w:t>
      </w:r>
      <w:r w:rsidRPr="00C76F35">
        <w:rPr>
          <w:b/>
        </w:rPr>
        <w:t>. Source: A</w:t>
      </w:r>
      <w:r w:rsidR="00B90426">
        <w:rPr>
          <w:b/>
        </w:rPr>
        <w:t xml:space="preserve">ustralian </w:t>
      </w:r>
      <w:r w:rsidRPr="00C76F35">
        <w:rPr>
          <w:b/>
        </w:rPr>
        <w:t>I</w:t>
      </w:r>
      <w:r w:rsidR="00B90426">
        <w:rPr>
          <w:b/>
        </w:rPr>
        <w:t xml:space="preserve">nstitute of </w:t>
      </w:r>
      <w:r w:rsidRPr="00C76F35">
        <w:rPr>
          <w:b/>
        </w:rPr>
        <w:t>H</w:t>
      </w:r>
      <w:r w:rsidR="00B90426">
        <w:rPr>
          <w:b/>
        </w:rPr>
        <w:t xml:space="preserve">ealth and </w:t>
      </w:r>
      <w:r w:rsidRPr="00C76F35">
        <w:rPr>
          <w:b/>
        </w:rPr>
        <w:t>W</w:t>
      </w:r>
      <w:r w:rsidR="00B90426">
        <w:rPr>
          <w:b/>
        </w:rPr>
        <w:t>elfare</w:t>
      </w:r>
      <w:r w:rsidRPr="00C76F35">
        <w:rPr>
          <w:b/>
        </w:rPr>
        <w:t>, 2018.</w:t>
      </w:r>
    </w:p>
    <w:tbl>
      <w:tblPr>
        <w:tblStyle w:val="TableGrid"/>
        <w:tblW w:w="5000" w:type="pct"/>
        <w:tblLook w:val="04A0" w:firstRow="1" w:lastRow="0" w:firstColumn="1" w:lastColumn="0" w:noHBand="0" w:noVBand="1"/>
        <w:tblCaption w:val="Proportion of Victorian children (aged 0-14 years) living in households with housing stress"/>
        <w:tblDescription w:val="Estimated proportion of children aged 0-14 years living in households with housing stress, by cohort (single parent family, lowest socioeconomic status areas), Victoria, 2001, 2006, 2011, 2016. Housing stress is defined as households spending more than 30% of their gross income on housing. Source: Australian Institute of Health and Welfare, 2018."/>
      </w:tblPr>
      <w:tblGrid>
        <w:gridCol w:w="3005"/>
        <w:gridCol w:w="3005"/>
        <w:gridCol w:w="3006"/>
      </w:tblGrid>
      <w:tr w:rsidR="009D0F08" w:rsidRPr="00C76F35" w14:paraId="650009DE" w14:textId="77777777" w:rsidTr="00DB4679">
        <w:trPr>
          <w:tblHeader/>
        </w:trPr>
        <w:tc>
          <w:tcPr>
            <w:tcW w:w="1666" w:type="pct"/>
            <w:shd w:val="clear" w:color="auto" w:fill="auto"/>
          </w:tcPr>
          <w:p w14:paraId="29928CCF" w14:textId="77777777" w:rsidR="00DB4679" w:rsidRPr="00C76F35" w:rsidRDefault="00DB4679" w:rsidP="008C3866">
            <w:pPr>
              <w:jc w:val="center"/>
              <w:rPr>
                <w:b/>
              </w:rPr>
            </w:pPr>
            <w:r w:rsidRPr="00C76F35">
              <w:rPr>
                <w:b/>
              </w:rPr>
              <w:t>Year</w:t>
            </w:r>
          </w:p>
        </w:tc>
        <w:tc>
          <w:tcPr>
            <w:tcW w:w="1666" w:type="pct"/>
            <w:shd w:val="clear" w:color="auto" w:fill="auto"/>
          </w:tcPr>
          <w:p w14:paraId="7630A66E" w14:textId="77777777" w:rsidR="00DB4679" w:rsidRPr="00C76F35" w:rsidRDefault="00DB4679" w:rsidP="008C3866">
            <w:pPr>
              <w:jc w:val="center"/>
              <w:rPr>
                <w:b/>
              </w:rPr>
            </w:pPr>
            <w:r w:rsidRPr="00C76F35">
              <w:rPr>
                <w:b/>
              </w:rPr>
              <w:t>Single parent family</w:t>
            </w:r>
          </w:p>
        </w:tc>
        <w:tc>
          <w:tcPr>
            <w:tcW w:w="1667" w:type="pct"/>
            <w:shd w:val="clear" w:color="auto" w:fill="auto"/>
          </w:tcPr>
          <w:p w14:paraId="436DC3DF" w14:textId="77777777" w:rsidR="00DB4679" w:rsidRPr="00C76F35" w:rsidRDefault="00DB4679" w:rsidP="008C3866">
            <w:pPr>
              <w:jc w:val="center"/>
              <w:rPr>
                <w:b/>
              </w:rPr>
            </w:pPr>
            <w:r w:rsidRPr="00C76F35">
              <w:rPr>
                <w:b/>
              </w:rPr>
              <w:t>Lowest SES areas</w:t>
            </w:r>
          </w:p>
        </w:tc>
      </w:tr>
      <w:tr w:rsidR="009D0F08" w:rsidRPr="00C76F35" w14:paraId="4215D91E" w14:textId="77777777" w:rsidTr="00DB4679">
        <w:tc>
          <w:tcPr>
            <w:tcW w:w="1666" w:type="pct"/>
            <w:shd w:val="clear" w:color="auto" w:fill="auto"/>
          </w:tcPr>
          <w:p w14:paraId="4D876AE8" w14:textId="77777777" w:rsidR="00DB4679" w:rsidRPr="00C76F35" w:rsidRDefault="00DB4679" w:rsidP="008C3866">
            <w:pPr>
              <w:jc w:val="center"/>
            </w:pPr>
            <w:r w:rsidRPr="00C76F35">
              <w:t>2001</w:t>
            </w:r>
          </w:p>
        </w:tc>
        <w:tc>
          <w:tcPr>
            <w:tcW w:w="1666" w:type="pct"/>
            <w:shd w:val="clear" w:color="auto" w:fill="auto"/>
          </w:tcPr>
          <w:p w14:paraId="5F1D1747" w14:textId="77777777" w:rsidR="00DB4679" w:rsidRPr="00C76F35" w:rsidRDefault="00DB4679" w:rsidP="008C3866">
            <w:pPr>
              <w:jc w:val="right"/>
            </w:pPr>
            <w:r w:rsidRPr="00C76F35">
              <w:t>32.9%</w:t>
            </w:r>
          </w:p>
        </w:tc>
        <w:tc>
          <w:tcPr>
            <w:tcW w:w="1667" w:type="pct"/>
            <w:shd w:val="clear" w:color="auto" w:fill="auto"/>
          </w:tcPr>
          <w:p w14:paraId="7A12E631" w14:textId="77777777" w:rsidR="00DB4679" w:rsidRPr="00C76F35" w:rsidRDefault="00DB4679" w:rsidP="008C3866">
            <w:pPr>
              <w:jc w:val="right"/>
            </w:pPr>
            <w:r w:rsidRPr="00C76F35">
              <w:t>16.7%</w:t>
            </w:r>
          </w:p>
        </w:tc>
      </w:tr>
      <w:tr w:rsidR="009D0F08" w:rsidRPr="00C76F35" w14:paraId="4B9B1953" w14:textId="77777777" w:rsidTr="00DB4679">
        <w:tc>
          <w:tcPr>
            <w:tcW w:w="1666" w:type="pct"/>
            <w:shd w:val="clear" w:color="auto" w:fill="auto"/>
          </w:tcPr>
          <w:p w14:paraId="5B371C5A" w14:textId="77777777" w:rsidR="00DB4679" w:rsidRPr="00C76F35" w:rsidRDefault="00DB4679" w:rsidP="008C3866">
            <w:pPr>
              <w:jc w:val="center"/>
            </w:pPr>
            <w:r w:rsidRPr="00C76F35">
              <w:t>2006</w:t>
            </w:r>
          </w:p>
        </w:tc>
        <w:tc>
          <w:tcPr>
            <w:tcW w:w="1666" w:type="pct"/>
            <w:shd w:val="clear" w:color="auto" w:fill="auto"/>
          </w:tcPr>
          <w:p w14:paraId="6C479B55" w14:textId="77777777" w:rsidR="00DB4679" w:rsidRPr="00C76F35" w:rsidRDefault="00DB4679" w:rsidP="008C3866">
            <w:pPr>
              <w:jc w:val="right"/>
            </w:pPr>
            <w:r w:rsidRPr="00C76F35">
              <w:t>43.8%</w:t>
            </w:r>
          </w:p>
        </w:tc>
        <w:tc>
          <w:tcPr>
            <w:tcW w:w="1667" w:type="pct"/>
            <w:shd w:val="clear" w:color="auto" w:fill="auto"/>
          </w:tcPr>
          <w:p w14:paraId="121F08A3" w14:textId="77777777" w:rsidR="00DB4679" w:rsidRPr="00C76F35" w:rsidRDefault="00DB4679" w:rsidP="008C3866">
            <w:pPr>
              <w:jc w:val="right"/>
            </w:pPr>
            <w:r w:rsidRPr="00C76F35">
              <w:t>26.0%</w:t>
            </w:r>
          </w:p>
        </w:tc>
      </w:tr>
      <w:tr w:rsidR="009D0F08" w:rsidRPr="00C76F35" w14:paraId="0080621F" w14:textId="77777777" w:rsidTr="00DB4679">
        <w:tc>
          <w:tcPr>
            <w:tcW w:w="1666" w:type="pct"/>
            <w:shd w:val="clear" w:color="auto" w:fill="auto"/>
          </w:tcPr>
          <w:p w14:paraId="18276344" w14:textId="77777777" w:rsidR="00DB4679" w:rsidRPr="00C76F35" w:rsidRDefault="00DB4679" w:rsidP="008C3866">
            <w:pPr>
              <w:jc w:val="center"/>
            </w:pPr>
            <w:r w:rsidRPr="00C76F35">
              <w:t>2011</w:t>
            </w:r>
          </w:p>
        </w:tc>
        <w:tc>
          <w:tcPr>
            <w:tcW w:w="1666" w:type="pct"/>
            <w:shd w:val="clear" w:color="auto" w:fill="auto"/>
          </w:tcPr>
          <w:p w14:paraId="3A17E093" w14:textId="77777777" w:rsidR="00DB4679" w:rsidRPr="00C76F35" w:rsidRDefault="00DB4679" w:rsidP="008C3866">
            <w:pPr>
              <w:jc w:val="right"/>
            </w:pPr>
            <w:r w:rsidRPr="00C76F35">
              <w:t>50.6%</w:t>
            </w:r>
          </w:p>
        </w:tc>
        <w:tc>
          <w:tcPr>
            <w:tcW w:w="1667" w:type="pct"/>
            <w:shd w:val="clear" w:color="auto" w:fill="auto"/>
          </w:tcPr>
          <w:p w14:paraId="410F3C12" w14:textId="77777777" w:rsidR="00DB4679" w:rsidRPr="00C76F35" w:rsidRDefault="00DB4679" w:rsidP="008C3866">
            <w:pPr>
              <w:jc w:val="right"/>
            </w:pPr>
            <w:r w:rsidRPr="00C76F35">
              <w:t>30.2%</w:t>
            </w:r>
          </w:p>
        </w:tc>
      </w:tr>
      <w:tr w:rsidR="009D0F08" w:rsidRPr="00C76F35" w14:paraId="60B0A712" w14:textId="77777777" w:rsidTr="00DB4679">
        <w:tc>
          <w:tcPr>
            <w:tcW w:w="1666" w:type="pct"/>
            <w:shd w:val="clear" w:color="auto" w:fill="auto"/>
          </w:tcPr>
          <w:p w14:paraId="58410219" w14:textId="77777777" w:rsidR="00DB4679" w:rsidRPr="00C76F35" w:rsidRDefault="00DB4679" w:rsidP="008C3866">
            <w:pPr>
              <w:jc w:val="center"/>
            </w:pPr>
            <w:r w:rsidRPr="00C76F35">
              <w:t>2016</w:t>
            </w:r>
          </w:p>
        </w:tc>
        <w:tc>
          <w:tcPr>
            <w:tcW w:w="1666" w:type="pct"/>
            <w:shd w:val="clear" w:color="auto" w:fill="auto"/>
          </w:tcPr>
          <w:p w14:paraId="50FA53D2" w14:textId="77777777" w:rsidR="00DB4679" w:rsidRPr="00C76F35" w:rsidRDefault="00DB4679" w:rsidP="008C3866">
            <w:pPr>
              <w:jc w:val="right"/>
            </w:pPr>
            <w:r w:rsidRPr="00C76F35">
              <w:t>50.0%</w:t>
            </w:r>
          </w:p>
        </w:tc>
        <w:tc>
          <w:tcPr>
            <w:tcW w:w="1667" w:type="pct"/>
            <w:shd w:val="clear" w:color="auto" w:fill="auto"/>
          </w:tcPr>
          <w:p w14:paraId="2E6E8352" w14:textId="77777777" w:rsidR="00DB4679" w:rsidRPr="00C76F35" w:rsidRDefault="00DB4679" w:rsidP="008C3866">
            <w:pPr>
              <w:jc w:val="right"/>
            </w:pPr>
            <w:r w:rsidRPr="00C76F35">
              <w:t>28.8%</w:t>
            </w:r>
          </w:p>
        </w:tc>
      </w:tr>
    </w:tbl>
    <w:p w14:paraId="740645E9" w14:textId="77777777" w:rsidR="00DB4679" w:rsidRPr="00C76F35" w:rsidRDefault="000C5BA3" w:rsidP="00DB4679">
      <w:r w:rsidRPr="00C76F35">
        <w:t>*Housing stress is defined as households spending more than 30% of their gross income on housing.</w:t>
      </w:r>
    </w:p>
    <w:p w14:paraId="2FB4FCD2" w14:textId="77777777" w:rsidR="00B73884" w:rsidRPr="00C76F35" w:rsidRDefault="00B73884">
      <w:pPr>
        <w:rPr>
          <w:rFonts w:asciiTheme="majorHAnsi" w:eastAsiaTheme="majorEastAsia" w:hAnsiTheme="majorHAnsi" w:cstheme="majorBidi"/>
          <w:sz w:val="24"/>
          <w:szCs w:val="24"/>
        </w:rPr>
      </w:pPr>
      <w:r w:rsidRPr="00C76F35">
        <w:br w:type="page"/>
      </w:r>
    </w:p>
    <w:p w14:paraId="2657DFD5" w14:textId="5AD33514" w:rsidR="000C5BA3" w:rsidRPr="00C76F35" w:rsidRDefault="000C5BA3" w:rsidP="00D856C0">
      <w:r w:rsidRPr="00C76F35">
        <w:lastRenderedPageBreak/>
        <w:t xml:space="preserve">While four in five Victorian families enjoy good family functioning, for the families that don’t, the impacts on children can be grave. Family violence, child abuse and neglect, can have lasting impacts on children’s health and academic outcomes. </w:t>
      </w:r>
    </w:p>
    <w:p w14:paraId="1432C17A" w14:textId="77777777" w:rsidR="000C5BA3" w:rsidRPr="00C76F35" w:rsidRDefault="000C5BA3" w:rsidP="00D856C0">
      <w:r w:rsidRPr="00C76F35">
        <w:t>Exposure to family violence can have devastating impacts on children and young people, and is associated with lower academic achievement.</w:t>
      </w:r>
    </w:p>
    <w:p w14:paraId="7A3529A7" w14:textId="77777777" w:rsidR="000C5BA3" w:rsidRPr="00C76F35" w:rsidRDefault="000C5BA3" w:rsidP="00D856C0">
      <w:r w:rsidRPr="00C76F35">
        <w:t xml:space="preserve">Instances of family violence in Victoria have risen to more than 76,000 in 2016-17 with a child present in nearly 32% of cases. </w:t>
      </w:r>
    </w:p>
    <w:p w14:paraId="648BDEAE" w14:textId="3F0AB6F3" w:rsidR="000C5BA3" w:rsidRPr="00C76F35" w:rsidRDefault="000C5BA3" w:rsidP="000C5BA3">
      <w:pPr>
        <w:rPr>
          <w:b/>
        </w:rPr>
      </w:pPr>
      <w:r w:rsidRPr="00C76F35">
        <w:rPr>
          <w:b/>
        </w:rPr>
        <w:t xml:space="preserve">Table </w:t>
      </w:r>
      <w:r w:rsidRPr="00C76F35">
        <w:rPr>
          <w:b/>
        </w:rPr>
        <w:fldChar w:fldCharType="begin"/>
      </w:r>
      <w:r w:rsidRPr="00C76F35">
        <w:rPr>
          <w:b/>
        </w:rPr>
        <w:instrText xml:space="preserve"> SEQ Table \* ARABIC </w:instrText>
      </w:r>
      <w:r w:rsidRPr="00C76F35">
        <w:rPr>
          <w:b/>
        </w:rPr>
        <w:fldChar w:fldCharType="separate"/>
      </w:r>
      <w:r w:rsidR="00DB2F30">
        <w:rPr>
          <w:b/>
          <w:noProof/>
        </w:rPr>
        <w:t>7</w:t>
      </w:r>
      <w:r w:rsidRPr="00C76F35">
        <w:rPr>
          <w:b/>
        </w:rPr>
        <w:fldChar w:fldCharType="end"/>
      </w:r>
      <w:r w:rsidRPr="00C76F35">
        <w:rPr>
          <w:b/>
        </w:rPr>
        <w:t xml:space="preserve"> Students achieving in the top two NAPLAN bands in Year 3 in 2017 versus SEHQ responses in 2014, Victoria. Source: School Entrant Health Questionnaire, 2014 &amp; NAPLAN, 2017.</w:t>
      </w:r>
    </w:p>
    <w:tbl>
      <w:tblPr>
        <w:tblStyle w:val="TableGrid"/>
        <w:tblW w:w="0" w:type="auto"/>
        <w:tblLook w:val="04A0" w:firstRow="1" w:lastRow="0" w:firstColumn="1" w:lastColumn="0" w:noHBand="0" w:noVBand="1"/>
        <w:tblCaption w:val="Students achieving in the top two NAPLAN bands in Year 3 in 2017 versus SEHQ responses in 2014, Victoria"/>
        <w:tblDescription w:val="Estimated proportion of Victorian students who achieved in the top two bands for NAPLAN reading and numeracy in Year 3, by experience of abuse (abuse to child, no abuse) and experience witnessing violence (child witnessed violence, no violence witnessed) prior to school entry as reported in the School Entrant Health Questionnaire. Source: School Entrant Health Questionnaire, 2014 &amp; NAPLAN, 2017."/>
      </w:tblPr>
      <w:tblGrid>
        <w:gridCol w:w="1803"/>
        <w:gridCol w:w="1803"/>
        <w:gridCol w:w="1803"/>
        <w:gridCol w:w="1803"/>
        <w:gridCol w:w="1804"/>
      </w:tblGrid>
      <w:tr w:rsidR="009D0F08" w:rsidRPr="00C76F35" w14:paraId="161F68BF" w14:textId="77777777" w:rsidTr="008C3866">
        <w:trPr>
          <w:tblHeader/>
        </w:trPr>
        <w:tc>
          <w:tcPr>
            <w:tcW w:w="1803" w:type="dxa"/>
            <w:shd w:val="clear" w:color="auto" w:fill="auto"/>
            <w:vAlign w:val="bottom"/>
          </w:tcPr>
          <w:p w14:paraId="64EAB285" w14:textId="77777777" w:rsidR="000C5BA3" w:rsidRPr="00C76F35" w:rsidRDefault="000C5BA3" w:rsidP="008C3866">
            <w:pPr>
              <w:jc w:val="center"/>
              <w:rPr>
                <w:b/>
              </w:rPr>
            </w:pPr>
            <w:r w:rsidRPr="00C76F35">
              <w:rPr>
                <w:b/>
              </w:rPr>
              <w:t>NAPLAN domain</w:t>
            </w:r>
          </w:p>
        </w:tc>
        <w:tc>
          <w:tcPr>
            <w:tcW w:w="1803" w:type="dxa"/>
            <w:shd w:val="clear" w:color="auto" w:fill="auto"/>
            <w:vAlign w:val="bottom"/>
          </w:tcPr>
          <w:p w14:paraId="1ACF7515" w14:textId="77777777" w:rsidR="000C5BA3" w:rsidRPr="00C76F35" w:rsidRDefault="000C5BA3" w:rsidP="008C3866">
            <w:pPr>
              <w:jc w:val="center"/>
              <w:rPr>
                <w:b/>
              </w:rPr>
            </w:pPr>
            <w:r w:rsidRPr="00C76F35">
              <w:rPr>
                <w:b/>
              </w:rPr>
              <w:t>Abuse to child</w:t>
            </w:r>
          </w:p>
        </w:tc>
        <w:tc>
          <w:tcPr>
            <w:tcW w:w="1803" w:type="dxa"/>
            <w:shd w:val="clear" w:color="auto" w:fill="auto"/>
            <w:vAlign w:val="bottom"/>
          </w:tcPr>
          <w:p w14:paraId="23CB5529" w14:textId="77777777" w:rsidR="000C5BA3" w:rsidRPr="00C76F35" w:rsidRDefault="000C5BA3" w:rsidP="008C3866">
            <w:pPr>
              <w:jc w:val="center"/>
              <w:rPr>
                <w:b/>
              </w:rPr>
            </w:pPr>
            <w:r w:rsidRPr="00C76F35">
              <w:rPr>
                <w:b/>
              </w:rPr>
              <w:t>No abuse</w:t>
            </w:r>
          </w:p>
        </w:tc>
        <w:tc>
          <w:tcPr>
            <w:tcW w:w="1803" w:type="dxa"/>
            <w:shd w:val="clear" w:color="auto" w:fill="auto"/>
            <w:vAlign w:val="bottom"/>
          </w:tcPr>
          <w:p w14:paraId="4A8ED804" w14:textId="77777777" w:rsidR="000C5BA3" w:rsidRPr="00C76F35" w:rsidRDefault="000C5BA3" w:rsidP="008C3866">
            <w:pPr>
              <w:jc w:val="center"/>
              <w:rPr>
                <w:b/>
              </w:rPr>
            </w:pPr>
            <w:r w:rsidRPr="00C76F35">
              <w:rPr>
                <w:b/>
              </w:rPr>
              <w:t>Child witnessed violence</w:t>
            </w:r>
          </w:p>
        </w:tc>
        <w:tc>
          <w:tcPr>
            <w:tcW w:w="1804" w:type="dxa"/>
            <w:shd w:val="clear" w:color="auto" w:fill="auto"/>
            <w:vAlign w:val="bottom"/>
          </w:tcPr>
          <w:p w14:paraId="6501EE4A" w14:textId="77777777" w:rsidR="000C5BA3" w:rsidRPr="00C76F35" w:rsidRDefault="000C5BA3" w:rsidP="008C3866">
            <w:pPr>
              <w:jc w:val="center"/>
              <w:rPr>
                <w:b/>
              </w:rPr>
            </w:pPr>
            <w:r w:rsidRPr="00C76F35">
              <w:rPr>
                <w:b/>
              </w:rPr>
              <w:t>No violence witnessed</w:t>
            </w:r>
          </w:p>
        </w:tc>
      </w:tr>
      <w:tr w:rsidR="009D0F08" w:rsidRPr="00C76F35" w14:paraId="1DAD643A" w14:textId="77777777" w:rsidTr="008C3866">
        <w:tc>
          <w:tcPr>
            <w:tcW w:w="1803" w:type="dxa"/>
            <w:shd w:val="clear" w:color="auto" w:fill="auto"/>
          </w:tcPr>
          <w:p w14:paraId="4E023563" w14:textId="77777777" w:rsidR="000C5BA3" w:rsidRPr="00C76F35" w:rsidRDefault="000C5BA3" w:rsidP="008C3866">
            <w:pPr>
              <w:jc w:val="center"/>
            </w:pPr>
            <w:r w:rsidRPr="00C76F35">
              <w:t>Reading</w:t>
            </w:r>
          </w:p>
        </w:tc>
        <w:tc>
          <w:tcPr>
            <w:tcW w:w="1803" w:type="dxa"/>
            <w:shd w:val="clear" w:color="auto" w:fill="auto"/>
          </w:tcPr>
          <w:p w14:paraId="45C6F42D" w14:textId="77777777" w:rsidR="000C5BA3" w:rsidRPr="00C76F35" w:rsidRDefault="000C5BA3" w:rsidP="008C3866">
            <w:pPr>
              <w:jc w:val="right"/>
              <w:rPr>
                <w:rFonts w:ascii="Calibri" w:hAnsi="Calibri" w:cs="Calibri"/>
              </w:rPr>
            </w:pPr>
            <w:r w:rsidRPr="00C76F35">
              <w:rPr>
                <w:rFonts w:ascii="Calibri" w:hAnsi="Calibri" w:cs="Calibri"/>
              </w:rPr>
              <w:t>43.2%</w:t>
            </w:r>
          </w:p>
        </w:tc>
        <w:tc>
          <w:tcPr>
            <w:tcW w:w="1803" w:type="dxa"/>
            <w:shd w:val="clear" w:color="auto" w:fill="auto"/>
          </w:tcPr>
          <w:p w14:paraId="7C923AAF" w14:textId="77777777" w:rsidR="000C5BA3" w:rsidRPr="00C76F35" w:rsidRDefault="000C5BA3" w:rsidP="008C3866">
            <w:pPr>
              <w:jc w:val="right"/>
              <w:rPr>
                <w:rFonts w:ascii="Calibri" w:hAnsi="Calibri" w:cs="Calibri"/>
              </w:rPr>
            </w:pPr>
            <w:r w:rsidRPr="00C76F35">
              <w:rPr>
                <w:rFonts w:ascii="Calibri" w:hAnsi="Calibri" w:cs="Calibri"/>
              </w:rPr>
              <w:t>57.5%</w:t>
            </w:r>
          </w:p>
        </w:tc>
        <w:tc>
          <w:tcPr>
            <w:tcW w:w="1803" w:type="dxa"/>
            <w:shd w:val="clear" w:color="auto" w:fill="auto"/>
          </w:tcPr>
          <w:p w14:paraId="10E251B3" w14:textId="77777777" w:rsidR="000C5BA3" w:rsidRPr="00C76F35" w:rsidRDefault="000C5BA3" w:rsidP="008C3866">
            <w:pPr>
              <w:jc w:val="right"/>
              <w:rPr>
                <w:rFonts w:ascii="Calibri" w:hAnsi="Calibri" w:cs="Calibri"/>
              </w:rPr>
            </w:pPr>
            <w:r w:rsidRPr="00C76F35">
              <w:rPr>
                <w:rFonts w:ascii="Calibri" w:hAnsi="Calibri" w:cs="Calibri"/>
              </w:rPr>
              <w:t>41.8%</w:t>
            </w:r>
          </w:p>
        </w:tc>
        <w:tc>
          <w:tcPr>
            <w:tcW w:w="1804" w:type="dxa"/>
            <w:shd w:val="clear" w:color="auto" w:fill="auto"/>
          </w:tcPr>
          <w:p w14:paraId="5564F8E6" w14:textId="77777777" w:rsidR="000C5BA3" w:rsidRPr="00C76F35" w:rsidRDefault="000C5BA3" w:rsidP="008C3866">
            <w:pPr>
              <w:jc w:val="right"/>
              <w:rPr>
                <w:rFonts w:ascii="Calibri" w:hAnsi="Calibri" w:cs="Calibri"/>
              </w:rPr>
            </w:pPr>
            <w:r w:rsidRPr="00C76F35">
              <w:rPr>
                <w:rFonts w:ascii="Calibri" w:hAnsi="Calibri" w:cs="Calibri"/>
              </w:rPr>
              <w:t>57.8%</w:t>
            </w:r>
          </w:p>
        </w:tc>
      </w:tr>
      <w:tr w:rsidR="00B73884" w:rsidRPr="00C76F35" w14:paraId="08459874" w14:textId="77777777" w:rsidTr="008C3866">
        <w:tc>
          <w:tcPr>
            <w:tcW w:w="1803" w:type="dxa"/>
            <w:shd w:val="clear" w:color="auto" w:fill="auto"/>
          </w:tcPr>
          <w:p w14:paraId="1FEAC24A" w14:textId="77777777" w:rsidR="000C5BA3" w:rsidRPr="00C76F35" w:rsidRDefault="000C5BA3" w:rsidP="008C3866">
            <w:pPr>
              <w:jc w:val="center"/>
            </w:pPr>
            <w:r w:rsidRPr="00C76F35">
              <w:t>Numeracy</w:t>
            </w:r>
          </w:p>
        </w:tc>
        <w:tc>
          <w:tcPr>
            <w:tcW w:w="1803" w:type="dxa"/>
            <w:shd w:val="clear" w:color="auto" w:fill="auto"/>
          </w:tcPr>
          <w:p w14:paraId="0C2C53B9" w14:textId="77777777" w:rsidR="000C5BA3" w:rsidRPr="00C76F35" w:rsidRDefault="000C5BA3" w:rsidP="008C3866">
            <w:pPr>
              <w:jc w:val="right"/>
              <w:rPr>
                <w:rFonts w:ascii="Calibri" w:hAnsi="Calibri" w:cs="Calibri"/>
              </w:rPr>
            </w:pPr>
            <w:r w:rsidRPr="00C76F35">
              <w:rPr>
                <w:rFonts w:ascii="Calibri" w:hAnsi="Calibri" w:cs="Calibri"/>
              </w:rPr>
              <w:t>36.8%</w:t>
            </w:r>
          </w:p>
        </w:tc>
        <w:tc>
          <w:tcPr>
            <w:tcW w:w="1803" w:type="dxa"/>
            <w:shd w:val="clear" w:color="auto" w:fill="auto"/>
          </w:tcPr>
          <w:p w14:paraId="1B949496" w14:textId="77777777" w:rsidR="000C5BA3" w:rsidRPr="00C76F35" w:rsidRDefault="000C5BA3" w:rsidP="008C3866">
            <w:pPr>
              <w:jc w:val="right"/>
              <w:rPr>
                <w:rFonts w:ascii="Calibri" w:hAnsi="Calibri" w:cs="Calibri"/>
              </w:rPr>
            </w:pPr>
            <w:r w:rsidRPr="00C76F35">
              <w:rPr>
                <w:rFonts w:ascii="Calibri" w:hAnsi="Calibri" w:cs="Calibri"/>
              </w:rPr>
              <w:t>47.9%</w:t>
            </w:r>
          </w:p>
        </w:tc>
        <w:tc>
          <w:tcPr>
            <w:tcW w:w="1803" w:type="dxa"/>
            <w:shd w:val="clear" w:color="auto" w:fill="auto"/>
          </w:tcPr>
          <w:p w14:paraId="2E14F0B2" w14:textId="77777777" w:rsidR="000C5BA3" w:rsidRPr="00C76F35" w:rsidRDefault="000C5BA3" w:rsidP="008C3866">
            <w:pPr>
              <w:jc w:val="right"/>
              <w:rPr>
                <w:rFonts w:ascii="Calibri" w:hAnsi="Calibri" w:cs="Calibri"/>
              </w:rPr>
            </w:pPr>
            <w:r w:rsidRPr="00C76F35">
              <w:rPr>
                <w:rFonts w:ascii="Calibri" w:hAnsi="Calibri" w:cs="Calibri"/>
              </w:rPr>
              <w:t>32.1%</w:t>
            </w:r>
          </w:p>
        </w:tc>
        <w:tc>
          <w:tcPr>
            <w:tcW w:w="1804" w:type="dxa"/>
            <w:shd w:val="clear" w:color="auto" w:fill="auto"/>
          </w:tcPr>
          <w:p w14:paraId="7462AAF6" w14:textId="77777777" w:rsidR="000C5BA3" w:rsidRPr="00C76F35" w:rsidRDefault="000C5BA3" w:rsidP="008C3866">
            <w:pPr>
              <w:jc w:val="right"/>
              <w:rPr>
                <w:rFonts w:ascii="Calibri" w:hAnsi="Calibri" w:cs="Calibri"/>
              </w:rPr>
            </w:pPr>
            <w:r w:rsidRPr="00C76F35">
              <w:rPr>
                <w:rFonts w:ascii="Calibri" w:hAnsi="Calibri" w:cs="Calibri"/>
              </w:rPr>
              <w:t>48.3%</w:t>
            </w:r>
          </w:p>
        </w:tc>
      </w:tr>
    </w:tbl>
    <w:p w14:paraId="70F661FF" w14:textId="77777777" w:rsidR="000C5BA3" w:rsidRPr="00C76F35" w:rsidRDefault="000C5BA3" w:rsidP="000C5BA3"/>
    <w:p w14:paraId="0837A658" w14:textId="77777777" w:rsidR="000C5BA3" w:rsidRPr="00C76F35" w:rsidRDefault="000F1754" w:rsidP="00D856C0">
      <w:r w:rsidRPr="00C76F35">
        <w:t xml:space="preserve">Child abuse is debilitating for children and young people, with severe long term consequences </w:t>
      </w:r>
      <w:r w:rsidR="000C5BA3" w:rsidRPr="00C76F35">
        <w:t>on</w:t>
      </w:r>
      <w:r w:rsidRPr="00C76F35">
        <w:t xml:space="preserve"> health and wellbeing. </w:t>
      </w:r>
    </w:p>
    <w:p w14:paraId="59F52694" w14:textId="77777777" w:rsidR="000F1754" w:rsidRPr="00C76F35" w:rsidRDefault="000F1754" w:rsidP="00D856C0">
      <w:r w:rsidRPr="00C76F35">
        <w:t>Substantiations of child abuse or neglect have risen sharply, with these children more likely to face challenges like homelessness, mental health issues and family violence.</w:t>
      </w:r>
    </w:p>
    <w:p w14:paraId="2CD5E6D7" w14:textId="4C0693C5" w:rsidR="0021179A" w:rsidRPr="00C76F35" w:rsidRDefault="0021179A" w:rsidP="0021179A">
      <w:pPr>
        <w:rPr>
          <w:b/>
        </w:rPr>
      </w:pPr>
      <w:r w:rsidRPr="00C76F35">
        <w:rPr>
          <w:b/>
        </w:rPr>
        <w:t xml:space="preserve">Table </w:t>
      </w:r>
      <w:r w:rsidRPr="00C76F35">
        <w:rPr>
          <w:b/>
        </w:rPr>
        <w:fldChar w:fldCharType="begin"/>
      </w:r>
      <w:r w:rsidRPr="00C76F35">
        <w:rPr>
          <w:b/>
        </w:rPr>
        <w:instrText xml:space="preserve"> SEQ Table \* ARABIC </w:instrText>
      </w:r>
      <w:r w:rsidRPr="00C76F35">
        <w:rPr>
          <w:b/>
        </w:rPr>
        <w:fldChar w:fldCharType="separate"/>
      </w:r>
      <w:r w:rsidR="00DB2F30">
        <w:rPr>
          <w:b/>
          <w:noProof/>
        </w:rPr>
        <w:t>8</w:t>
      </w:r>
      <w:r w:rsidRPr="00C76F35">
        <w:rPr>
          <w:b/>
        </w:rPr>
        <w:fldChar w:fldCharType="end"/>
      </w:r>
      <w:r w:rsidRPr="00C76F35">
        <w:rPr>
          <w:b/>
        </w:rPr>
        <w:t xml:space="preserve"> Children subject to a child abuse and neglect substantiation, by Aboriginal status, Victoria, 2006-07 to 2016-17. Source: Australian Institute of Health and Welfare, 2009-2017.</w:t>
      </w:r>
    </w:p>
    <w:tbl>
      <w:tblPr>
        <w:tblW w:w="5000" w:type="pct"/>
        <w:tblLayout w:type="fixed"/>
        <w:tblLook w:val="04A0" w:firstRow="1" w:lastRow="0" w:firstColumn="1" w:lastColumn="0" w:noHBand="0" w:noVBand="1"/>
        <w:tblCaption w:val="Number of children who were subjects of abuse and neglect substantiations, Victoria, 2006-07 to 2016-17"/>
        <w:tblDescription w:val="Estimated number of children who were the subjects of abuse and neglect substantiations, by Aboriginal status (Aboriginal, non-Aboriginal), Victoria, 2006-07 to 2016-17. Source: Australian Institute of Health and Welfare, 2018. "/>
      </w:tblPr>
      <w:tblGrid>
        <w:gridCol w:w="2254"/>
        <w:gridCol w:w="2254"/>
        <w:gridCol w:w="2254"/>
        <w:gridCol w:w="2254"/>
      </w:tblGrid>
      <w:tr w:rsidR="009D0F08" w:rsidRPr="00C76F35" w14:paraId="7E6AA5FB" w14:textId="77777777" w:rsidTr="008C3866">
        <w:trPr>
          <w:trHeight w:val="337"/>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58F3D" w14:textId="77777777" w:rsidR="0021179A" w:rsidRPr="00C76F35" w:rsidRDefault="0021179A" w:rsidP="008C3866">
            <w:pPr>
              <w:spacing w:after="0" w:line="240" w:lineRule="auto"/>
              <w:jc w:val="center"/>
              <w:rPr>
                <w:rFonts w:ascii="Calibri" w:eastAsia="Times New Roman" w:hAnsi="Calibri" w:cs="Calibri"/>
                <w:b/>
                <w:bCs/>
                <w:lang w:eastAsia="en-AU"/>
              </w:rPr>
            </w:pPr>
            <w:r w:rsidRPr="00C76F35">
              <w:rPr>
                <w:rFonts w:ascii="Calibri" w:eastAsia="Times New Roman" w:hAnsi="Calibri" w:cs="Calibri"/>
                <w:b/>
                <w:bCs/>
                <w:lang w:eastAsia="en-AU"/>
              </w:rPr>
              <w:t>Year</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6154D56D" w14:textId="77777777" w:rsidR="0021179A" w:rsidRPr="00C76F35" w:rsidRDefault="0021179A"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Statewide</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0E8C8E44" w14:textId="77777777" w:rsidR="0021179A" w:rsidRPr="00C76F35" w:rsidRDefault="0021179A"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Aboriginal</w:t>
            </w:r>
          </w:p>
        </w:tc>
        <w:tc>
          <w:tcPr>
            <w:tcW w:w="1250" w:type="pct"/>
            <w:tcBorders>
              <w:top w:val="single" w:sz="4" w:space="0" w:color="auto"/>
              <w:left w:val="nil"/>
              <w:bottom w:val="single" w:sz="4" w:space="0" w:color="auto"/>
              <w:right w:val="single" w:sz="4" w:space="0" w:color="auto"/>
            </w:tcBorders>
            <w:shd w:val="clear" w:color="auto" w:fill="auto"/>
            <w:vAlign w:val="bottom"/>
            <w:hideMark/>
          </w:tcPr>
          <w:p w14:paraId="413A8E1C" w14:textId="77777777" w:rsidR="0021179A" w:rsidRPr="00C76F35" w:rsidRDefault="0021179A"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Non-Aboriginal</w:t>
            </w:r>
          </w:p>
        </w:tc>
      </w:tr>
      <w:tr w:rsidR="009D0F08" w:rsidRPr="00C76F35" w14:paraId="1690501B" w14:textId="77777777" w:rsidTr="008C3866">
        <w:trPr>
          <w:trHeight w:val="301"/>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5C6E77E8" w14:textId="77777777" w:rsidR="0021179A" w:rsidRPr="00C76F35" w:rsidRDefault="0021179A" w:rsidP="008C3866">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2009-10</w:t>
            </w:r>
          </w:p>
        </w:tc>
        <w:tc>
          <w:tcPr>
            <w:tcW w:w="1250" w:type="pct"/>
            <w:tcBorders>
              <w:top w:val="nil"/>
              <w:left w:val="nil"/>
              <w:bottom w:val="single" w:sz="4" w:space="0" w:color="auto"/>
              <w:right w:val="single" w:sz="4" w:space="0" w:color="auto"/>
            </w:tcBorders>
            <w:shd w:val="clear" w:color="auto" w:fill="auto"/>
            <w:noWrap/>
            <w:vAlign w:val="bottom"/>
            <w:hideMark/>
          </w:tcPr>
          <w:p w14:paraId="14FAE483" w14:textId="77777777" w:rsidR="0021179A" w:rsidRPr="00C76F35" w:rsidRDefault="0021179A"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6,403</w:t>
            </w:r>
          </w:p>
        </w:tc>
        <w:tc>
          <w:tcPr>
            <w:tcW w:w="1250" w:type="pct"/>
            <w:tcBorders>
              <w:top w:val="nil"/>
              <w:left w:val="nil"/>
              <w:bottom w:val="single" w:sz="4" w:space="0" w:color="auto"/>
              <w:right w:val="single" w:sz="4" w:space="0" w:color="auto"/>
            </w:tcBorders>
            <w:shd w:val="clear" w:color="auto" w:fill="auto"/>
            <w:noWrap/>
            <w:vAlign w:val="bottom"/>
            <w:hideMark/>
          </w:tcPr>
          <w:p w14:paraId="781D3846" w14:textId="77777777" w:rsidR="0021179A" w:rsidRPr="00C76F35" w:rsidRDefault="0021179A"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710</w:t>
            </w:r>
          </w:p>
        </w:tc>
        <w:tc>
          <w:tcPr>
            <w:tcW w:w="1250" w:type="pct"/>
            <w:tcBorders>
              <w:top w:val="nil"/>
              <w:left w:val="nil"/>
              <w:bottom w:val="single" w:sz="4" w:space="0" w:color="auto"/>
              <w:right w:val="single" w:sz="4" w:space="0" w:color="auto"/>
            </w:tcBorders>
            <w:shd w:val="clear" w:color="auto" w:fill="auto"/>
            <w:noWrap/>
            <w:vAlign w:val="bottom"/>
            <w:hideMark/>
          </w:tcPr>
          <w:p w14:paraId="1404C899" w14:textId="77777777" w:rsidR="0021179A" w:rsidRPr="00C76F35" w:rsidRDefault="0021179A"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5,690</w:t>
            </w:r>
          </w:p>
        </w:tc>
      </w:tr>
      <w:tr w:rsidR="009D0F08" w:rsidRPr="00C76F35" w14:paraId="43552D19" w14:textId="77777777" w:rsidTr="008C3866">
        <w:trPr>
          <w:trHeight w:val="301"/>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395DC9F7" w14:textId="77777777" w:rsidR="0021179A" w:rsidRPr="00C76F35" w:rsidRDefault="0021179A" w:rsidP="008C3866">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2011-12</w:t>
            </w:r>
          </w:p>
        </w:tc>
        <w:tc>
          <w:tcPr>
            <w:tcW w:w="1250" w:type="pct"/>
            <w:tcBorders>
              <w:top w:val="nil"/>
              <w:left w:val="nil"/>
              <w:bottom w:val="single" w:sz="4" w:space="0" w:color="auto"/>
              <w:right w:val="single" w:sz="4" w:space="0" w:color="auto"/>
            </w:tcBorders>
            <w:shd w:val="clear" w:color="auto" w:fill="auto"/>
            <w:noWrap/>
            <w:vAlign w:val="bottom"/>
            <w:hideMark/>
          </w:tcPr>
          <w:p w14:paraId="5E19DE5F" w14:textId="77777777" w:rsidR="0021179A" w:rsidRPr="00C76F35" w:rsidRDefault="0021179A"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8,741</w:t>
            </w:r>
          </w:p>
        </w:tc>
        <w:tc>
          <w:tcPr>
            <w:tcW w:w="1250" w:type="pct"/>
            <w:tcBorders>
              <w:top w:val="nil"/>
              <w:left w:val="nil"/>
              <w:bottom w:val="single" w:sz="4" w:space="0" w:color="auto"/>
              <w:right w:val="single" w:sz="4" w:space="0" w:color="auto"/>
            </w:tcBorders>
            <w:shd w:val="clear" w:color="auto" w:fill="auto"/>
            <w:noWrap/>
            <w:vAlign w:val="bottom"/>
            <w:hideMark/>
          </w:tcPr>
          <w:p w14:paraId="2174D3F5" w14:textId="77777777" w:rsidR="0021179A" w:rsidRPr="00C76F35" w:rsidRDefault="0021179A"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963</w:t>
            </w:r>
          </w:p>
        </w:tc>
        <w:tc>
          <w:tcPr>
            <w:tcW w:w="1250" w:type="pct"/>
            <w:tcBorders>
              <w:top w:val="nil"/>
              <w:left w:val="nil"/>
              <w:bottom w:val="single" w:sz="4" w:space="0" w:color="auto"/>
              <w:right w:val="single" w:sz="4" w:space="0" w:color="auto"/>
            </w:tcBorders>
            <w:shd w:val="clear" w:color="auto" w:fill="auto"/>
            <w:noWrap/>
            <w:vAlign w:val="bottom"/>
            <w:hideMark/>
          </w:tcPr>
          <w:p w14:paraId="19F411A2" w14:textId="77777777" w:rsidR="0021179A" w:rsidRPr="00C76F35" w:rsidRDefault="0021179A"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7,778</w:t>
            </w:r>
          </w:p>
        </w:tc>
      </w:tr>
      <w:tr w:rsidR="009D0F08" w:rsidRPr="00C76F35" w14:paraId="11ED2D92" w14:textId="77777777" w:rsidTr="008C3866">
        <w:trPr>
          <w:trHeight w:val="301"/>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35AFE93B" w14:textId="77777777" w:rsidR="0021179A" w:rsidRPr="00C76F35" w:rsidRDefault="0021179A" w:rsidP="008C3866">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2014-15</w:t>
            </w:r>
          </w:p>
        </w:tc>
        <w:tc>
          <w:tcPr>
            <w:tcW w:w="1250" w:type="pct"/>
            <w:tcBorders>
              <w:top w:val="nil"/>
              <w:left w:val="nil"/>
              <w:bottom w:val="single" w:sz="4" w:space="0" w:color="auto"/>
              <w:right w:val="single" w:sz="4" w:space="0" w:color="auto"/>
            </w:tcBorders>
            <w:shd w:val="clear" w:color="auto" w:fill="auto"/>
            <w:noWrap/>
            <w:vAlign w:val="bottom"/>
            <w:hideMark/>
          </w:tcPr>
          <w:p w14:paraId="38934B69" w14:textId="77777777" w:rsidR="0021179A" w:rsidRPr="00C76F35" w:rsidRDefault="0021179A"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13,300</w:t>
            </w:r>
          </w:p>
        </w:tc>
        <w:tc>
          <w:tcPr>
            <w:tcW w:w="1250" w:type="pct"/>
            <w:tcBorders>
              <w:top w:val="nil"/>
              <w:left w:val="nil"/>
              <w:bottom w:val="single" w:sz="4" w:space="0" w:color="auto"/>
              <w:right w:val="single" w:sz="4" w:space="0" w:color="auto"/>
            </w:tcBorders>
            <w:shd w:val="clear" w:color="auto" w:fill="auto"/>
            <w:noWrap/>
            <w:vAlign w:val="bottom"/>
            <w:hideMark/>
          </w:tcPr>
          <w:p w14:paraId="05C0BFDC" w14:textId="77777777" w:rsidR="0021179A" w:rsidRPr="00C76F35" w:rsidRDefault="0021179A"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1,415</w:t>
            </w:r>
          </w:p>
        </w:tc>
        <w:tc>
          <w:tcPr>
            <w:tcW w:w="1250" w:type="pct"/>
            <w:tcBorders>
              <w:top w:val="nil"/>
              <w:left w:val="nil"/>
              <w:bottom w:val="single" w:sz="4" w:space="0" w:color="auto"/>
              <w:right w:val="single" w:sz="4" w:space="0" w:color="auto"/>
            </w:tcBorders>
            <w:shd w:val="clear" w:color="auto" w:fill="auto"/>
            <w:noWrap/>
            <w:vAlign w:val="bottom"/>
            <w:hideMark/>
          </w:tcPr>
          <w:p w14:paraId="4E8CFDB0" w14:textId="77777777" w:rsidR="0021179A" w:rsidRPr="00C76F35" w:rsidRDefault="0021179A"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11,880</w:t>
            </w:r>
          </w:p>
        </w:tc>
      </w:tr>
      <w:tr w:rsidR="009D0F08" w:rsidRPr="00C76F35" w14:paraId="7F36EDC2" w14:textId="77777777" w:rsidTr="008C3866">
        <w:trPr>
          <w:trHeight w:val="301"/>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52F9EB57" w14:textId="77777777" w:rsidR="0021179A" w:rsidRPr="00C76F35" w:rsidRDefault="0021179A" w:rsidP="008C3866">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2016-17</w:t>
            </w:r>
          </w:p>
        </w:tc>
        <w:tc>
          <w:tcPr>
            <w:tcW w:w="1250" w:type="pct"/>
            <w:tcBorders>
              <w:top w:val="nil"/>
              <w:left w:val="nil"/>
              <w:bottom w:val="single" w:sz="4" w:space="0" w:color="auto"/>
              <w:right w:val="single" w:sz="4" w:space="0" w:color="auto"/>
            </w:tcBorders>
            <w:shd w:val="clear" w:color="auto" w:fill="auto"/>
            <w:noWrap/>
            <w:vAlign w:val="bottom"/>
            <w:hideMark/>
          </w:tcPr>
          <w:p w14:paraId="58C65660" w14:textId="77777777" w:rsidR="0021179A" w:rsidRPr="00C76F35" w:rsidRDefault="0021179A"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15,488</w:t>
            </w:r>
          </w:p>
        </w:tc>
        <w:tc>
          <w:tcPr>
            <w:tcW w:w="1250" w:type="pct"/>
            <w:tcBorders>
              <w:top w:val="nil"/>
              <w:left w:val="nil"/>
              <w:bottom w:val="single" w:sz="4" w:space="0" w:color="auto"/>
              <w:right w:val="single" w:sz="4" w:space="0" w:color="auto"/>
            </w:tcBorders>
            <w:shd w:val="clear" w:color="auto" w:fill="auto"/>
            <w:noWrap/>
            <w:vAlign w:val="bottom"/>
            <w:hideMark/>
          </w:tcPr>
          <w:p w14:paraId="4BEC7EAF" w14:textId="77777777" w:rsidR="0021179A" w:rsidRPr="00C76F35" w:rsidRDefault="0021179A"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1,858</w:t>
            </w:r>
          </w:p>
        </w:tc>
        <w:tc>
          <w:tcPr>
            <w:tcW w:w="1250" w:type="pct"/>
            <w:tcBorders>
              <w:top w:val="nil"/>
              <w:left w:val="nil"/>
              <w:bottom w:val="single" w:sz="4" w:space="0" w:color="auto"/>
              <w:right w:val="single" w:sz="4" w:space="0" w:color="auto"/>
            </w:tcBorders>
            <w:shd w:val="clear" w:color="auto" w:fill="auto"/>
            <w:noWrap/>
            <w:vAlign w:val="bottom"/>
            <w:hideMark/>
          </w:tcPr>
          <w:p w14:paraId="4AC4E94C" w14:textId="77777777" w:rsidR="0021179A" w:rsidRPr="00C76F35" w:rsidRDefault="0021179A"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13,625</w:t>
            </w:r>
          </w:p>
        </w:tc>
      </w:tr>
    </w:tbl>
    <w:p w14:paraId="794C33EB" w14:textId="486CBE4C" w:rsidR="006F2DF8" w:rsidRPr="00C76F35" w:rsidRDefault="006F2DF8" w:rsidP="009B3436"/>
    <w:p w14:paraId="0ECD3AAF" w14:textId="77777777" w:rsidR="006F2DF8" w:rsidRPr="00C76F35" w:rsidRDefault="006F2DF8">
      <w:r w:rsidRPr="00C76F35">
        <w:br w:type="page"/>
      </w:r>
    </w:p>
    <w:p w14:paraId="7BDD9264" w14:textId="77777777" w:rsidR="006F2DF8" w:rsidRPr="00C76F35" w:rsidRDefault="006F2DF8" w:rsidP="006F2DF8">
      <w:pPr>
        <w:pStyle w:val="Heading1"/>
        <w:rPr>
          <w:color w:val="auto"/>
        </w:rPr>
      </w:pPr>
      <w:r w:rsidRPr="00C76F35">
        <w:rPr>
          <w:color w:val="auto"/>
        </w:rPr>
        <w:lastRenderedPageBreak/>
        <w:t>Inclusive and enabling communities</w:t>
      </w:r>
    </w:p>
    <w:p w14:paraId="7A5F636F" w14:textId="09E1A510" w:rsidR="006F2DF8" w:rsidRPr="00C76F35" w:rsidRDefault="006F2DF8" w:rsidP="00D856C0">
      <w:r w:rsidRPr="00C76F35">
        <w:t>Communities play a significant role in the health and wellbeing of children, providing them with the strength, support and resources that they need, as well as a positive environment that enables children to flourish.</w:t>
      </w:r>
    </w:p>
    <w:p w14:paraId="0F16E7E8" w14:textId="63B8F0B1" w:rsidR="006F2DF8" w:rsidRPr="00D856C0" w:rsidRDefault="006F2DF8" w:rsidP="00D856C0">
      <w:r w:rsidRPr="00C76F35">
        <w:t>A supportive community for children, with trusted adults and support in times of need, contributes to a happy and healthy childhood. In 2017, around 94% of Victorian families reported they had acce</w:t>
      </w:r>
      <w:r w:rsidR="00D856C0">
        <w:t>ss to support in times of need.</w:t>
      </w:r>
    </w:p>
    <w:p w14:paraId="21987E27" w14:textId="77777777" w:rsidR="006F2DF8" w:rsidRPr="00C76F35" w:rsidRDefault="006F2DF8" w:rsidP="00D856C0">
      <w:r w:rsidRPr="00C76F35">
        <w:rPr>
          <w:b/>
        </w:rPr>
        <w:t>Having a trusted adult is an important protective factor for children, providing a role model and reducing the likelihood of them engaging in risky behaviours.</w:t>
      </w:r>
      <w:r w:rsidRPr="00C76F35">
        <w:t xml:space="preserve"> </w:t>
      </w:r>
    </w:p>
    <w:p w14:paraId="7C0CD086" w14:textId="552A22A5" w:rsidR="006F2DF8" w:rsidRPr="00C76F35" w:rsidRDefault="006F2DF8" w:rsidP="00D856C0">
      <w:r w:rsidRPr="00C76F35">
        <w:t>While most school aged children in Victoria reported having a trusted adult in 2016, older students and those from single parent fami</w:t>
      </w:r>
      <w:r w:rsidR="00D856C0">
        <w:t>lies were less likely to do so.</w:t>
      </w:r>
    </w:p>
    <w:p w14:paraId="00C27D64" w14:textId="43B30DFE" w:rsidR="006F2DF8" w:rsidRPr="00C76F35" w:rsidRDefault="006F2DF8" w:rsidP="0044526E">
      <w:pPr>
        <w:rPr>
          <w:b/>
        </w:rPr>
      </w:pPr>
      <w:r w:rsidRPr="00C76F35">
        <w:rPr>
          <w:b/>
        </w:rPr>
        <w:t xml:space="preserve">Table </w:t>
      </w:r>
      <w:r w:rsidRPr="00C76F35">
        <w:rPr>
          <w:b/>
        </w:rPr>
        <w:fldChar w:fldCharType="begin"/>
      </w:r>
      <w:r w:rsidRPr="00C76F35">
        <w:rPr>
          <w:b/>
        </w:rPr>
        <w:instrText xml:space="preserve"> SEQ Table \* ARABIC </w:instrText>
      </w:r>
      <w:r w:rsidRPr="00C76F35">
        <w:rPr>
          <w:b/>
        </w:rPr>
        <w:fldChar w:fldCharType="separate"/>
      </w:r>
      <w:r w:rsidR="00DB2F30">
        <w:rPr>
          <w:b/>
          <w:noProof/>
        </w:rPr>
        <w:t>9</w:t>
      </w:r>
      <w:r w:rsidRPr="00C76F35">
        <w:rPr>
          <w:b/>
        </w:rPr>
        <w:fldChar w:fldCharType="end"/>
      </w:r>
      <w:r w:rsidRPr="00C76F35">
        <w:rPr>
          <w:b/>
        </w:rPr>
        <w:t xml:space="preserve"> Students with a trusted adult, 2016. Source: Victorian Student Health and Wellbeing Survey, 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1288"/>
        <w:gridCol w:w="1288"/>
        <w:gridCol w:w="1288"/>
        <w:gridCol w:w="1288"/>
        <w:gridCol w:w="1288"/>
        <w:gridCol w:w="1288"/>
      </w:tblGrid>
      <w:tr w:rsidR="009D0F08" w:rsidRPr="00C76F35" w14:paraId="0CCC167B" w14:textId="77777777" w:rsidTr="006F2DF8">
        <w:trPr>
          <w:trHeight w:val="300"/>
        </w:trPr>
        <w:tc>
          <w:tcPr>
            <w:tcW w:w="714" w:type="pct"/>
            <w:shd w:val="clear" w:color="auto" w:fill="auto"/>
            <w:noWrap/>
            <w:vAlign w:val="bottom"/>
            <w:hideMark/>
          </w:tcPr>
          <w:p w14:paraId="12A8B1B3" w14:textId="77777777" w:rsidR="006F2DF8" w:rsidRPr="00C76F35" w:rsidRDefault="006F2DF8" w:rsidP="008C3866">
            <w:pPr>
              <w:spacing w:after="0" w:line="240" w:lineRule="auto"/>
              <w:jc w:val="center"/>
              <w:rPr>
                <w:rFonts w:eastAsia="Times New Roman" w:cstheme="minorHAnsi"/>
                <w:b/>
                <w:lang w:eastAsia="en-AU"/>
              </w:rPr>
            </w:pPr>
            <w:r w:rsidRPr="00C76F35">
              <w:rPr>
                <w:rFonts w:eastAsia="Times New Roman" w:cstheme="minorHAnsi"/>
                <w:b/>
                <w:lang w:eastAsia="en-AU"/>
              </w:rPr>
              <w:t>Year</w:t>
            </w:r>
          </w:p>
        </w:tc>
        <w:tc>
          <w:tcPr>
            <w:tcW w:w="714" w:type="pct"/>
            <w:shd w:val="clear" w:color="auto" w:fill="auto"/>
            <w:noWrap/>
            <w:vAlign w:val="bottom"/>
            <w:hideMark/>
          </w:tcPr>
          <w:p w14:paraId="6CB5CDCE" w14:textId="77777777" w:rsidR="006F2DF8" w:rsidRPr="00C76F35" w:rsidRDefault="006F2DF8" w:rsidP="008C3866">
            <w:pPr>
              <w:spacing w:after="0" w:line="240" w:lineRule="auto"/>
              <w:jc w:val="center"/>
              <w:rPr>
                <w:rFonts w:eastAsia="Times New Roman" w:cstheme="minorHAnsi"/>
                <w:b/>
                <w:lang w:eastAsia="en-AU"/>
              </w:rPr>
            </w:pPr>
            <w:r w:rsidRPr="00C76F35">
              <w:rPr>
                <w:rFonts w:eastAsia="Times New Roman" w:cstheme="minorHAnsi"/>
                <w:b/>
                <w:lang w:eastAsia="en-AU"/>
              </w:rPr>
              <w:t>Statewide</w:t>
            </w:r>
          </w:p>
        </w:tc>
        <w:tc>
          <w:tcPr>
            <w:tcW w:w="714" w:type="pct"/>
            <w:shd w:val="clear" w:color="auto" w:fill="auto"/>
            <w:noWrap/>
            <w:vAlign w:val="bottom"/>
            <w:hideMark/>
          </w:tcPr>
          <w:p w14:paraId="15A5575E" w14:textId="77777777" w:rsidR="006F2DF8" w:rsidRPr="00C76F35" w:rsidRDefault="006F2DF8" w:rsidP="008C3866">
            <w:pPr>
              <w:spacing w:after="0" w:line="240" w:lineRule="auto"/>
              <w:jc w:val="center"/>
              <w:rPr>
                <w:rFonts w:eastAsia="Times New Roman" w:cstheme="minorHAnsi"/>
                <w:b/>
                <w:lang w:eastAsia="en-AU"/>
              </w:rPr>
            </w:pPr>
            <w:r w:rsidRPr="00C76F35">
              <w:rPr>
                <w:rFonts w:eastAsia="Times New Roman" w:cstheme="minorHAnsi"/>
                <w:b/>
                <w:lang w:eastAsia="en-AU"/>
              </w:rPr>
              <w:t>Couple parent</w:t>
            </w:r>
          </w:p>
        </w:tc>
        <w:tc>
          <w:tcPr>
            <w:tcW w:w="714" w:type="pct"/>
            <w:shd w:val="clear" w:color="auto" w:fill="auto"/>
            <w:noWrap/>
            <w:vAlign w:val="bottom"/>
            <w:hideMark/>
          </w:tcPr>
          <w:p w14:paraId="03156A9F" w14:textId="77777777" w:rsidR="006F2DF8" w:rsidRPr="00C76F35" w:rsidRDefault="006F2DF8" w:rsidP="008C3866">
            <w:pPr>
              <w:spacing w:after="0" w:line="240" w:lineRule="auto"/>
              <w:jc w:val="center"/>
              <w:rPr>
                <w:rFonts w:eastAsia="Times New Roman" w:cstheme="minorHAnsi"/>
                <w:b/>
                <w:lang w:eastAsia="en-AU"/>
              </w:rPr>
            </w:pPr>
            <w:r w:rsidRPr="00C76F35">
              <w:rPr>
                <w:rFonts w:eastAsia="Times New Roman" w:cstheme="minorHAnsi"/>
                <w:b/>
                <w:lang w:eastAsia="en-AU"/>
              </w:rPr>
              <w:t>Single parent</w:t>
            </w:r>
          </w:p>
        </w:tc>
        <w:tc>
          <w:tcPr>
            <w:tcW w:w="714" w:type="pct"/>
            <w:shd w:val="clear" w:color="auto" w:fill="auto"/>
            <w:noWrap/>
            <w:vAlign w:val="bottom"/>
            <w:hideMark/>
          </w:tcPr>
          <w:p w14:paraId="67A81573" w14:textId="77777777" w:rsidR="006F2DF8" w:rsidRPr="00C76F35" w:rsidRDefault="006F2DF8" w:rsidP="008C3866">
            <w:pPr>
              <w:spacing w:after="0" w:line="240" w:lineRule="auto"/>
              <w:jc w:val="center"/>
              <w:rPr>
                <w:rFonts w:eastAsia="Times New Roman" w:cstheme="minorHAnsi"/>
                <w:b/>
                <w:lang w:eastAsia="en-AU"/>
              </w:rPr>
            </w:pPr>
            <w:r w:rsidRPr="00C76F35">
              <w:rPr>
                <w:rFonts w:eastAsia="Times New Roman" w:cstheme="minorHAnsi"/>
                <w:b/>
                <w:lang w:eastAsia="en-AU"/>
              </w:rPr>
              <w:t>Year 5</w:t>
            </w:r>
          </w:p>
        </w:tc>
        <w:tc>
          <w:tcPr>
            <w:tcW w:w="714" w:type="pct"/>
            <w:shd w:val="clear" w:color="auto" w:fill="auto"/>
            <w:noWrap/>
            <w:vAlign w:val="bottom"/>
            <w:hideMark/>
          </w:tcPr>
          <w:p w14:paraId="364BC5C1" w14:textId="77777777" w:rsidR="006F2DF8" w:rsidRPr="00C76F35" w:rsidRDefault="006F2DF8" w:rsidP="008C3866">
            <w:pPr>
              <w:spacing w:after="0" w:line="240" w:lineRule="auto"/>
              <w:jc w:val="center"/>
              <w:rPr>
                <w:rFonts w:eastAsia="Times New Roman" w:cstheme="minorHAnsi"/>
                <w:b/>
                <w:lang w:eastAsia="en-AU"/>
              </w:rPr>
            </w:pPr>
            <w:r w:rsidRPr="00C76F35">
              <w:rPr>
                <w:rFonts w:eastAsia="Times New Roman" w:cstheme="minorHAnsi"/>
                <w:b/>
                <w:lang w:eastAsia="en-AU"/>
              </w:rPr>
              <w:t>Year 8</w:t>
            </w:r>
          </w:p>
        </w:tc>
        <w:tc>
          <w:tcPr>
            <w:tcW w:w="714" w:type="pct"/>
            <w:shd w:val="clear" w:color="auto" w:fill="auto"/>
            <w:noWrap/>
            <w:vAlign w:val="bottom"/>
            <w:hideMark/>
          </w:tcPr>
          <w:p w14:paraId="13EE59F4" w14:textId="77777777" w:rsidR="006F2DF8" w:rsidRPr="00C76F35" w:rsidRDefault="006F2DF8" w:rsidP="008C3866">
            <w:pPr>
              <w:spacing w:after="0" w:line="240" w:lineRule="auto"/>
              <w:jc w:val="center"/>
              <w:rPr>
                <w:rFonts w:eastAsia="Times New Roman" w:cstheme="minorHAnsi"/>
                <w:b/>
                <w:lang w:eastAsia="en-AU"/>
              </w:rPr>
            </w:pPr>
            <w:r w:rsidRPr="00C76F35">
              <w:rPr>
                <w:rFonts w:eastAsia="Times New Roman" w:cstheme="minorHAnsi"/>
                <w:b/>
                <w:lang w:eastAsia="en-AU"/>
              </w:rPr>
              <w:t>Year 11</w:t>
            </w:r>
          </w:p>
        </w:tc>
      </w:tr>
      <w:tr w:rsidR="009D0F08" w:rsidRPr="00C76F35" w14:paraId="5B886730" w14:textId="77777777" w:rsidTr="006F2DF8">
        <w:trPr>
          <w:trHeight w:val="300"/>
        </w:trPr>
        <w:tc>
          <w:tcPr>
            <w:tcW w:w="714" w:type="pct"/>
            <w:shd w:val="clear" w:color="auto" w:fill="auto"/>
            <w:noWrap/>
            <w:vAlign w:val="bottom"/>
            <w:hideMark/>
          </w:tcPr>
          <w:p w14:paraId="0C871EAA" w14:textId="77777777" w:rsidR="006F2DF8" w:rsidRPr="00C76F35" w:rsidRDefault="006F2DF8" w:rsidP="008C3866">
            <w:pPr>
              <w:spacing w:after="0" w:line="240" w:lineRule="auto"/>
              <w:jc w:val="center"/>
              <w:rPr>
                <w:rFonts w:eastAsia="Times New Roman" w:cstheme="minorHAnsi"/>
                <w:lang w:eastAsia="en-AU"/>
              </w:rPr>
            </w:pPr>
            <w:r w:rsidRPr="00C76F35">
              <w:rPr>
                <w:rFonts w:eastAsia="Times New Roman" w:cstheme="minorHAnsi"/>
                <w:lang w:eastAsia="en-AU"/>
              </w:rPr>
              <w:t>2016</w:t>
            </w:r>
          </w:p>
        </w:tc>
        <w:tc>
          <w:tcPr>
            <w:tcW w:w="714" w:type="pct"/>
            <w:shd w:val="clear" w:color="000000" w:fill="FFFFFF"/>
            <w:noWrap/>
            <w:vAlign w:val="bottom"/>
            <w:hideMark/>
          </w:tcPr>
          <w:p w14:paraId="36B01927" w14:textId="77777777" w:rsidR="006F2DF8" w:rsidRPr="00C76F35" w:rsidRDefault="006F2DF8" w:rsidP="008C3866">
            <w:pPr>
              <w:spacing w:after="0" w:line="240" w:lineRule="auto"/>
              <w:jc w:val="right"/>
              <w:rPr>
                <w:rFonts w:eastAsia="Times New Roman" w:cstheme="minorHAnsi"/>
                <w:lang w:eastAsia="en-AU"/>
              </w:rPr>
            </w:pPr>
            <w:r w:rsidRPr="00C76F35">
              <w:rPr>
                <w:rFonts w:eastAsia="Times New Roman" w:cstheme="minorHAnsi"/>
                <w:lang w:eastAsia="en-AU"/>
              </w:rPr>
              <w:t>69%</w:t>
            </w:r>
          </w:p>
        </w:tc>
        <w:tc>
          <w:tcPr>
            <w:tcW w:w="714" w:type="pct"/>
            <w:shd w:val="clear" w:color="000000" w:fill="FFFFFF"/>
            <w:noWrap/>
            <w:vAlign w:val="bottom"/>
            <w:hideMark/>
          </w:tcPr>
          <w:p w14:paraId="1CC1CC41" w14:textId="77777777" w:rsidR="006F2DF8" w:rsidRPr="00C76F35" w:rsidRDefault="006F2DF8" w:rsidP="008C3866">
            <w:pPr>
              <w:spacing w:after="0" w:line="240" w:lineRule="auto"/>
              <w:jc w:val="right"/>
              <w:rPr>
                <w:rFonts w:eastAsia="Times New Roman" w:cstheme="minorHAnsi"/>
                <w:lang w:eastAsia="en-AU"/>
              </w:rPr>
            </w:pPr>
            <w:r w:rsidRPr="00C76F35">
              <w:rPr>
                <w:rFonts w:eastAsia="Times New Roman" w:cstheme="minorHAnsi"/>
                <w:lang w:eastAsia="en-AU"/>
              </w:rPr>
              <w:t>75%</w:t>
            </w:r>
          </w:p>
        </w:tc>
        <w:tc>
          <w:tcPr>
            <w:tcW w:w="714" w:type="pct"/>
            <w:shd w:val="clear" w:color="000000" w:fill="FFFFFF"/>
            <w:noWrap/>
            <w:vAlign w:val="bottom"/>
            <w:hideMark/>
          </w:tcPr>
          <w:p w14:paraId="51C5A058" w14:textId="77777777" w:rsidR="006F2DF8" w:rsidRPr="00C76F35" w:rsidRDefault="006F2DF8" w:rsidP="008C3866">
            <w:pPr>
              <w:spacing w:after="0" w:line="240" w:lineRule="auto"/>
              <w:jc w:val="right"/>
              <w:rPr>
                <w:rFonts w:eastAsia="Times New Roman" w:cstheme="minorHAnsi"/>
                <w:lang w:eastAsia="en-AU"/>
              </w:rPr>
            </w:pPr>
            <w:r w:rsidRPr="00C76F35">
              <w:rPr>
                <w:rFonts w:eastAsia="Times New Roman" w:cstheme="minorHAnsi"/>
                <w:lang w:eastAsia="en-AU"/>
              </w:rPr>
              <w:t>66%</w:t>
            </w:r>
          </w:p>
        </w:tc>
        <w:tc>
          <w:tcPr>
            <w:tcW w:w="714" w:type="pct"/>
            <w:shd w:val="clear" w:color="000000" w:fill="FFFFFF"/>
            <w:noWrap/>
            <w:vAlign w:val="bottom"/>
            <w:hideMark/>
          </w:tcPr>
          <w:p w14:paraId="25A53BCB" w14:textId="77777777" w:rsidR="006F2DF8" w:rsidRPr="00C76F35" w:rsidRDefault="006F2DF8" w:rsidP="008C3866">
            <w:pPr>
              <w:spacing w:after="0" w:line="240" w:lineRule="auto"/>
              <w:jc w:val="right"/>
              <w:rPr>
                <w:rFonts w:eastAsia="Times New Roman" w:cstheme="minorHAnsi"/>
                <w:lang w:eastAsia="en-AU"/>
              </w:rPr>
            </w:pPr>
            <w:r w:rsidRPr="00C76F35">
              <w:rPr>
                <w:rFonts w:eastAsia="Times New Roman" w:cstheme="minorHAnsi"/>
                <w:lang w:eastAsia="en-AU"/>
              </w:rPr>
              <w:t>75%</w:t>
            </w:r>
          </w:p>
        </w:tc>
        <w:tc>
          <w:tcPr>
            <w:tcW w:w="714" w:type="pct"/>
            <w:shd w:val="clear" w:color="000000" w:fill="FFFFFF"/>
            <w:noWrap/>
            <w:vAlign w:val="bottom"/>
            <w:hideMark/>
          </w:tcPr>
          <w:p w14:paraId="4EF39CD5" w14:textId="77777777" w:rsidR="006F2DF8" w:rsidRPr="00C76F35" w:rsidRDefault="006F2DF8" w:rsidP="008C3866">
            <w:pPr>
              <w:spacing w:after="0" w:line="240" w:lineRule="auto"/>
              <w:jc w:val="right"/>
              <w:rPr>
                <w:rFonts w:eastAsia="Times New Roman" w:cstheme="minorHAnsi"/>
                <w:lang w:eastAsia="en-AU"/>
              </w:rPr>
            </w:pPr>
            <w:r w:rsidRPr="00C76F35">
              <w:rPr>
                <w:rFonts w:eastAsia="Times New Roman" w:cstheme="minorHAnsi"/>
                <w:lang w:eastAsia="en-AU"/>
              </w:rPr>
              <w:t>65%</w:t>
            </w:r>
          </w:p>
        </w:tc>
        <w:tc>
          <w:tcPr>
            <w:tcW w:w="714" w:type="pct"/>
            <w:shd w:val="clear" w:color="000000" w:fill="FFFFFF"/>
            <w:noWrap/>
            <w:vAlign w:val="bottom"/>
            <w:hideMark/>
          </w:tcPr>
          <w:p w14:paraId="72D47928" w14:textId="77777777" w:rsidR="006F2DF8" w:rsidRPr="00C76F35" w:rsidRDefault="006F2DF8" w:rsidP="008C3866">
            <w:pPr>
              <w:spacing w:after="0" w:line="240" w:lineRule="auto"/>
              <w:jc w:val="right"/>
              <w:rPr>
                <w:rFonts w:eastAsia="Times New Roman" w:cstheme="minorHAnsi"/>
                <w:lang w:eastAsia="en-AU"/>
              </w:rPr>
            </w:pPr>
            <w:r w:rsidRPr="00C76F35">
              <w:rPr>
                <w:rFonts w:eastAsia="Times New Roman" w:cstheme="minorHAnsi"/>
                <w:lang w:eastAsia="en-AU"/>
              </w:rPr>
              <w:t>64%</w:t>
            </w:r>
          </w:p>
        </w:tc>
      </w:tr>
    </w:tbl>
    <w:p w14:paraId="5E0E97A2" w14:textId="237C8BD3" w:rsidR="006F2DF8" w:rsidRPr="00C76F35" w:rsidRDefault="006F2DF8" w:rsidP="006F2DF8"/>
    <w:p w14:paraId="47A37CC5" w14:textId="0EBE25AB" w:rsidR="006F2DF8" w:rsidRPr="00C76F35" w:rsidRDefault="006F2DF8" w:rsidP="00D856C0">
      <w:r w:rsidRPr="00C76F35">
        <w:t>Providing the physical infrastructure that children need is another vital ingredient to an inclusive and enabling community. In 2017, almost nine in ten Victorian families reported having good access to parks and playgrounds.</w:t>
      </w:r>
    </w:p>
    <w:p w14:paraId="78B0BC2D" w14:textId="77777777" w:rsidR="006F2DF8" w:rsidRPr="00C76F35" w:rsidRDefault="006F2DF8" w:rsidP="00D856C0">
      <w:r w:rsidRPr="00C76F35">
        <w:rPr>
          <w:b/>
        </w:rPr>
        <w:t>When children have good access to parks and playgrounds, it offers them better opportunities for physical activity.</w:t>
      </w:r>
      <w:r w:rsidRPr="00C76F35">
        <w:t xml:space="preserve"> </w:t>
      </w:r>
    </w:p>
    <w:p w14:paraId="6B50319F" w14:textId="28DDA285" w:rsidR="0044526E" w:rsidRPr="00C76F35" w:rsidRDefault="006F2DF8" w:rsidP="00D856C0">
      <w:r w:rsidRPr="00C76F35">
        <w:t>Although most Victorian families do have parks and playgrounds close by, those from the most disadvantaged backgrounds are much less likely to have good access than those from more affluent families.</w:t>
      </w:r>
    </w:p>
    <w:p w14:paraId="169792B5" w14:textId="38D5E83D" w:rsidR="0044526E" w:rsidRPr="00C76F35" w:rsidRDefault="0044526E" w:rsidP="0044526E">
      <w:pPr>
        <w:rPr>
          <w:b/>
        </w:rPr>
      </w:pPr>
      <w:r w:rsidRPr="00C76F35">
        <w:rPr>
          <w:b/>
        </w:rPr>
        <w:t xml:space="preserve">Table </w:t>
      </w:r>
      <w:r w:rsidRPr="00C76F35">
        <w:rPr>
          <w:b/>
        </w:rPr>
        <w:fldChar w:fldCharType="begin"/>
      </w:r>
      <w:r w:rsidRPr="00C76F35">
        <w:rPr>
          <w:b/>
        </w:rPr>
        <w:instrText xml:space="preserve"> SEQ Table \* ARABIC </w:instrText>
      </w:r>
      <w:r w:rsidRPr="00C76F35">
        <w:rPr>
          <w:b/>
        </w:rPr>
        <w:fldChar w:fldCharType="separate"/>
      </w:r>
      <w:r w:rsidR="00DB2F30">
        <w:rPr>
          <w:b/>
          <w:noProof/>
        </w:rPr>
        <w:t>10</w:t>
      </w:r>
      <w:r w:rsidRPr="00C76F35">
        <w:rPr>
          <w:b/>
        </w:rPr>
        <w:fldChar w:fldCharType="end"/>
      </w:r>
      <w:r w:rsidRPr="00C76F35">
        <w:rPr>
          <w:b/>
        </w:rPr>
        <w:t xml:space="preserve"> Families who believe their children have good access to parks and playgrounds, 2017. Source: Victorian Child Health and Wellbeing Survey, 2017.</w:t>
      </w:r>
    </w:p>
    <w:tbl>
      <w:tblPr>
        <w:tblStyle w:val="TableGrid"/>
        <w:tblW w:w="0" w:type="auto"/>
        <w:tblLook w:val="04A0" w:firstRow="1" w:lastRow="0" w:firstColumn="1" w:lastColumn="0" w:noHBand="0" w:noVBand="1"/>
        <w:tblCaption w:val="Families who believe their children have good access to parks and playgrounds, 2017"/>
        <w:tblDescription w:val="Estimated proportion of families who believe their children have good access to parks and playgrounds, Victoria, 2017. Source: Victorian Child Health and Wellbeing Survey, 2017."/>
      </w:tblPr>
      <w:tblGrid>
        <w:gridCol w:w="3825"/>
        <w:gridCol w:w="3400"/>
      </w:tblGrid>
      <w:tr w:rsidR="009D0F08" w:rsidRPr="00C76F35" w14:paraId="72E9B525" w14:textId="77777777" w:rsidTr="002C577B">
        <w:trPr>
          <w:tblHeader/>
        </w:trPr>
        <w:tc>
          <w:tcPr>
            <w:tcW w:w="3825" w:type="dxa"/>
          </w:tcPr>
          <w:p w14:paraId="40BCC0FD" w14:textId="67B3AFAF" w:rsidR="0044526E" w:rsidRPr="00C76F35" w:rsidRDefault="0044526E" w:rsidP="0044526E">
            <w:pPr>
              <w:jc w:val="center"/>
              <w:rPr>
                <w:b/>
              </w:rPr>
            </w:pPr>
            <w:r w:rsidRPr="00C76F35">
              <w:rPr>
                <w:b/>
              </w:rPr>
              <w:t>Cohort</w:t>
            </w:r>
          </w:p>
        </w:tc>
        <w:tc>
          <w:tcPr>
            <w:tcW w:w="3400" w:type="dxa"/>
          </w:tcPr>
          <w:p w14:paraId="24447FDB" w14:textId="07DBD655" w:rsidR="0044526E" w:rsidRPr="00C76F35" w:rsidRDefault="0044526E" w:rsidP="0044526E">
            <w:pPr>
              <w:jc w:val="center"/>
              <w:rPr>
                <w:b/>
              </w:rPr>
            </w:pPr>
            <w:r w:rsidRPr="00C76F35">
              <w:rPr>
                <w:b/>
              </w:rPr>
              <w:t>Proportion of children</w:t>
            </w:r>
          </w:p>
        </w:tc>
      </w:tr>
      <w:tr w:rsidR="009D0F08" w:rsidRPr="00C76F35" w14:paraId="4C9D3F21" w14:textId="77777777" w:rsidTr="0044526E">
        <w:tc>
          <w:tcPr>
            <w:tcW w:w="3825" w:type="dxa"/>
          </w:tcPr>
          <w:p w14:paraId="0AD73C50" w14:textId="79814827" w:rsidR="0044526E" w:rsidRPr="00C76F35" w:rsidRDefault="0044526E" w:rsidP="006F2DF8">
            <w:r w:rsidRPr="00C76F35">
              <w:t xml:space="preserve">Statewide </w:t>
            </w:r>
          </w:p>
        </w:tc>
        <w:tc>
          <w:tcPr>
            <w:tcW w:w="3400" w:type="dxa"/>
          </w:tcPr>
          <w:p w14:paraId="7E3183E1" w14:textId="4577C32E" w:rsidR="0044526E" w:rsidRPr="00C76F35" w:rsidRDefault="0044526E" w:rsidP="0044526E">
            <w:pPr>
              <w:jc w:val="center"/>
            </w:pPr>
            <w:r w:rsidRPr="00C76F35">
              <w:rPr>
                <w:rFonts w:ascii="Calibri" w:hAnsi="Calibri" w:cs="Calibri"/>
              </w:rPr>
              <w:t>89.2%</w:t>
            </w:r>
          </w:p>
        </w:tc>
      </w:tr>
      <w:tr w:rsidR="009D0F08" w:rsidRPr="00C76F35" w14:paraId="5FA8F386" w14:textId="77777777" w:rsidTr="0044526E">
        <w:tc>
          <w:tcPr>
            <w:tcW w:w="3825" w:type="dxa"/>
          </w:tcPr>
          <w:p w14:paraId="478BC083" w14:textId="726FB37A" w:rsidR="0044526E" w:rsidRPr="00C76F35" w:rsidRDefault="0044526E" w:rsidP="006F2DF8">
            <w:r w:rsidRPr="00C76F35">
              <w:t>Metro</w:t>
            </w:r>
          </w:p>
        </w:tc>
        <w:tc>
          <w:tcPr>
            <w:tcW w:w="3400" w:type="dxa"/>
          </w:tcPr>
          <w:p w14:paraId="57652E2A" w14:textId="7E16BDD3" w:rsidR="0044526E" w:rsidRPr="00C76F35" w:rsidRDefault="0044526E" w:rsidP="0044526E">
            <w:pPr>
              <w:jc w:val="center"/>
            </w:pPr>
            <w:r w:rsidRPr="00C76F35">
              <w:rPr>
                <w:rFonts w:ascii="Calibri" w:hAnsi="Calibri" w:cs="Calibri"/>
              </w:rPr>
              <w:t>92.7%</w:t>
            </w:r>
          </w:p>
        </w:tc>
      </w:tr>
      <w:tr w:rsidR="009D0F08" w:rsidRPr="00C76F35" w14:paraId="146E2D45" w14:textId="77777777" w:rsidTr="0044526E">
        <w:tc>
          <w:tcPr>
            <w:tcW w:w="3825" w:type="dxa"/>
          </w:tcPr>
          <w:p w14:paraId="6F933597" w14:textId="3DD011C7" w:rsidR="0044526E" w:rsidRPr="00C76F35" w:rsidRDefault="0044526E" w:rsidP="006F2DF8">
            <w:r w:rsidRPr="00C76F35">
              <w:t>Rural</w:t>
            </w:r>
          </w:p>
        </w:tc>
        <w:tc>
          <w:tcPr>
            <w:tcW w:w="3400" w:type="dxa"/>
          </w:tcPr>
          <w:p w14:paraId="7D7BE0DB" w14:textId="78CDAF04" w:rsidR="0044526E" w:rsidRPr="00C76F35" w:rsidRDefault="0044526E" w:rsidP="0044526E">
            <w:pPr>
              <w:jc w:val="center"/>
            </w:pPr>
            <w:r w:rsidRPr="00C76F35">
              <w:rPr>
                <w:rFonts w:ascii="Calibri" w:hAnsi="Calibri" w:cs="Calibri"/>
              </w:rPr>
              <w:t>78.6%</w:t>
            </w:r>
          </w:p>
        </w:tc>
      </w:tr>
      <w:tr w:rsidR="009D0F08" w:rsidRPr="00C76F35" w14:paraId="23512A23" w14:textId="77777777" w:rsidTr="0044526E">
        <w:tc>
          <w:tcPr>
            <w:tcW w:w="3825" w:type="dxa"/>
          </w:tcPr>
          <w:p w14:paraId="61CB5F58" w14:textId="63919007" w:rsidR="0044526E" w:rsidRPr="00C76F35" w:rsidRDefault="0044526E" w:rsidP="006F2DF8">
            <w:r w:rsidRPr="00C76F35">
              <w:t>Couple parent families</w:t>
            </w:r>
          </w:p>
        </w:tc>
        <w:tc>
          <w:tcPr>
            <w:tcW w:w="3400" w:type="dxa"/>
          </w:tcPr>
          <w:p w14:paraId="5215A469" w14:textId="6FE2209D" w:rsidR="0044526E" w:rsidRPr="00C76F35" w:rsidRDefault="0044526E" w:rsidP="0044526E">
            <w:pPr>
              <w:jc w:val="center"/>
            </w:pPr>
            <w:r w:rsidRPr="00C76F35">
              <w:rPr>
                <w:rFonts w:ascii="Calibri" w:hAnsi="Calibri" w:cs="Calibri"/>
              </w:rPr>
              <w:t>90.0%</w:t>
            </w:r>
          </w:p>
        </w:tc>
      </w:tr>
      <w:tr w:rsidR="009D0F08" w:rsidRPr="00C76F35" w14:paraId="60DC8E00" w14:textId="77777777" w:rsidTr="0044526E">
        <w:tc>
          <w:tcPr>
            <w:tcW w:w="3825" w:type="dxa"/>
          </w:tcPr>
          <w:p w14:paraId="7BCA39F5" w14:textId="1ADE704A" w:rsidR="0044526E" w:rsidRPr="00C76F35" w:rsidRDefault="0044526E" w:rsidP="006F2DF8">
            <w:r w:rsidRPr="00C76F35">
              <w:t>Single parent families</w:t>
            </w:r>
          </w:p>
        </w:tc>
        <w:tc>
          <w:tcPr>
            <w:tcW w:w="3400" w:type="dxa"/>
          </w:tcPr>
          <w:p w14:paraId="181E6384" w14:textId="0F923B70" w:rsidR="0044526E" w:rsidRPr="00C76F35" w:rsidRDefault="0044526E" w:rsidP="0044526E">
            <w:pPr>
              <w:jc w:val="center"/>
            </w:pPr>
            <w:r w:rsidRPr="00C76F35">
              <w:rPr>
                <w:rFonts w:ascii="Calibri" w:hAnsi="Calibri" w:cs="Calibri"/>
              </w:rPr>
              <w:t>85.0%</w:t>
            </w:r>
          </w:p>
        </w:tc>
      </w:tr>
      <w:tr w:rsidR="009D0F08" w:rsidRPr="00C76F35" w14:paraId="2A3EB25E" w14:textId="77777777" w:rsidTr="0044526E">
        <w:tc>
          <w:tcPr>
            <w:tcW w:w="3825" w:type="dxa"/>
          </w:tcPr>
          <w:p w14:paraId="0840880B" w14:textId="254C3C66" w:rsidR="0044526E" w:rsidRPr="00C76F35" w:rsidRDefault="0044526E" w:rsidP="0044526E">
            <w:r w:rsidRPr="00C76F35">
              <w:t>SEIFA quintile 1 (most disadvantaged)</w:t>
            </w:r>
          </w:p>
        </w:tc>
        <w:tc>
          <w:tcPr>
            <w:tcW w:w="3400" w:type="dxa"/>
          </w:tcPr>
          <w:p w14:paraId="2EAFD302" w14:textId="6B714380" w:rsidR="0044526E" w:rsidRPr="00C76F35" w:rsidRDefault="0044526E" w:rsidP="0044526E">
            <w:pPr>
              <w:jc w:val="center"/>
            </w:pPr>
            <w:r w:rsidRPr="00C76F35">
              <w:rPr>
                <w:rFonts w:ascii="Calibri" w:eastAsia="Times New Roman" w:hAnsi="Calibri" w:cs="Calibri"/>
                <w:lang w:eastAsia="en-AU"/>
              </w:rPr>
              <w:t>75.7%</w:t>
            </w:r>
          </w:p>
        </w:tc>
      </w:tr>
      <w:tr w:rsidR="009D0F08" w:rsidRPr="00C76F35" w14:paraId="474DCDD4" w14:textId="77777777" w:rsidTr="0044526E">
        <w:tc>
          <w:tcPr>
            <w:tcW w:w="3825" w:type="dxa"/>
          </w:tcPr>
          <w:p w14:paraId="424D944B" w14:textId="48123ACD" w:rsidR="0044526E" w:rsidRPr="00C76F35" w:rsidRDefault="0044526E" w:rsidP="006F2DF8">
            <w:r w:rsidRPr="00C76F35">
              <w:t xml:space="preserve">SEIFA quintile 3 </w:t>
            </w:r>
          </w:p>
        </w:tc>
        <w:tc>
          <w:tcPr>
            <w:tcW w:w="3400" w:type="dxa"/>
          </w:tcPr>
          <w:p w14:paraId="353EDA69" w14:textId="4A4C94C4" w:rsidR="0044526E" w:rsidRPr="00C76F35" w:rsidRDefault="0044526E" w:rsidP="0044526E">
            <w:pPr>
              <w:jc w:val="center"/>
            </w:pPr>
            <w:r w:rsidRPr="00C76F35">
              <w:rPr>
                <w:rFonts w:ascii="Calibri" w:eastAsia="Times New Roman" w:hAnsi="Calibri" w:cs="Calibri"/>
                <w:lang w:eastAsia="en-AU"/>
              </w:rPr>
              <w:t>87.4%</w:t>
            </w:r>
          </w:p>
        </w:tc>
      </w:tr>
      <w:tr w:rsidR="009D0F08" w:rsidRPr="00C76F35" w14:paraId="7F741355" w14:textId="77777777" w:rsidTr="0044526E">
        <w:tc>
          <w:tcPr>
            <w:tcW w:w="3825" w:type="dxa"/>
          </w:tcPr>
          <w:p w14:paraId="7CD76FD4" w14:textId="6B918117" w:rsidR="0044526E" w:rsidRPr="00C76F35" w:rsidRDefault="0044526E" w:rsidP="006F2DF8">
            <w:r w:rsidRPr="00C76F35">
              <w:t>SEIFA quintile 5 (least disadvantaged)</w:t>
            </w:r>
          </w:p>
        </w:tc>
        <w:tc>
          <w:tcPr>
            <w:tcW w:w="3400" w:type="dxa"/>
          </w:tcPr>
          <w:p w14:paraId="6FEA02A3" w14:textId="1584B480" w:rsidR="0044526E" w:rsidRPr="00C76F35" w:rsidRDefault="0044526E" w:rsidP="0044526E">
            <w:pPr>
              <w:jc w:val="center"/>
            </w:pPr>
            <w:r w:rsidRPr="00C76F35">
              <w:rPr>
                <w:rFonts w:ascii="Calibri" w:eastAsia="Times New Roman" w:hAnsi="Calibri" w:cs="Calibri"/>
                <w:lang w:eastAsia="en-AU"/>
              </w:rPr>
              <w:t>96.2%</w:t>
            </w:r>
          </w:p>
        </w:tc>
      </w:tr>
    </w:tbl>
    <w:p w14:paraId="60D162EA" w14:textId="77777777" w:rsidR="0044526E" w:rsidRPr="00C76F35" w:rsidRDefault="0044526E" w:rsidP="006F2DF8"/>
    <w:p w14:paraId="6FC5B951" w14:textId="0C4D6ADC" w:rsidR="0044526E" w:rsidRPr="00C76F35" w:rsidRDefault="006F2DF8" w:rsidP="00D856C0">
      <w:r w:rsidRPr="00C76F35">
        <w:t xml:space="preserve">When children enjoy a safe living environment, they are more likely to engage and participate in social and academic activities. In 2017, more than nine in </w:t>
      </w:r>
      <w:r w:rsidR="0044526E" w:rsidRPr="00C76F35">
        <w:t>ten</w:t>
      </w:r>
      <w:r w:rsidRPr="00C76F35">
        <w:t xml:space="preserve"> Victorian families believed that the communities they lived in were safe.</w:t>
      </w:r>
    </w:p>
    <w:p w14:paraId="11093F15" w14:textId="77777777" w:rsidR="0044526E" w:rsidRPr="00C76F35" w:rsidRDefault="0044526E" w:rsidP="00D856C0"/>
    <w:p w14:paraId="6DFED041" w14:textId="5FCBA95B" w:rsidR="0044526E" w:rsidRPr="00C76F35" w:rsidRDefault="006F2DF8" w:rsidP="00D856C0">
      <w:pPr>
        <w:rPr>
          <w:b/>
        </w:rPr>
      </w:pPr>
      <w:r w:rsidRPr="00C76F35">
        <w:rPr>
          <w:b/>
        </w:rPr>
        <w:lastRenderedPageBreak/>
        <w:t>Feeling safe is a</w:t>
      </w:r>
      <w:r w:rsidR="0044526E" w:rsidRPr="00C76F35">
        <w:rPr>
          <w:b/>
        </w:rPr>
        <w:t xml:space="preserve"> key</w:t>
      </w:r>
      <w:r w:rsidRPr="00C76F35">
        <w:rPr>
          <w:b/>
        </w:rPr>
        <w:t xml:space="preserve"> precursor to health and wellbeing. Conversely, unsafe communities are associated with risky behaviours. </w:t>
      </w:r>
    </w:p>
    <w:p w14:paraId="0D543B5F" w14:textId="5118F6F0" w:rsidR="006F2DF8" w:rsidRPr="00C76F35" w:rsidRDefault="006F2DF8" w:rsidP="00D856C0">
      <w:r w:rsidRPr="00C76F35">
        <w:t>While 98</w:t>
      </w:r>
      <w:r w:rsidR="0044526E" w:rsidRPr="00C76F35">
        <w:t>%</w:t>
      </w:r>
      <w:r w:rsidRPr="00C76F35">
        <w:t xml:space="preserve"> of children under 12 years in the least disadvantaged areas reportedly live in safe neighbourhoods, this dropped to 81</w:t>
      </w:r>
      <w:r w:rsidR="0044526E" w:rsidRPr="00C76F35">
        <w:t>%</w:t>
      </w:r>
      <w:r w:rsidRPr="00C76F35">
        <w:t xml:space="preserve"> i</w:t>
      </w:r>
      <w:r w:rsidR="00D856C0">
        <w:t>n the most disadvantaged areas.</w:t>
      </w:r>
    </w:p>
    <w:p w14:paraId="417153BD" w14:textId="7EF77053" w:rsidR="00A40E7F" w:rsidRPr="00C76F35" w:rsidRDefault="00A40E7F" w:rsidP="00A40E7F">
      <w:pPr>
        <w:rPr>
          <w:b/>
        </w:rPr>
      </w:pPr>
      <w:r w:rsidRPr="00C76F35">
        <w:rPr>
          <w:b/>
        </w:rPr>
        <w:t xml:space="preserve">Table </w:t>
      </w:r>
      <w:r w:rsidRPr="00C76F35">
        <w:rPr>
          <w:b/>
        </w:rPr>
        <w:fldChar w:fldCharType="begin"/>
      </w:r>
      <w:r w:rsidRPr="00C76F35">
        <w:rPr>
          <w:b/>
        </w:rPr>
        <w:instrText xml:space="preserve"> SEQ Table \* ARABIC </w:instrText>
      </w:r>
      <w:r w:rsidRPr="00C76F35">
        <w:rPr>
          <w:b/>
        </w:rPr>
        <w:fldChar w:fldCharType="separate"/>
      </w:r>
      <w:r w:rsidR="00DB2F30">
        <w:rPr>
          <w:b/>
          <w:noProof/>
        </w:rPr>
        <w:t>11</w:t>
      </w:r>
      <w:r w:rsidRPr="00C76F35">
        <w:rPr>
          <w:b/>
        </w:rPr>
        <w:fldChar w:fldCharType="end"/>
      </w:r>
      <w:r w:rsidRPr="00C76F35">
        <w:rPr>
          <w:b/>
        </w:rPr>
        <w:t xml:space="preserve"> Children living in disorganised* communities who have ever smoked tobacco or used illicit drugs, Victoria, 2016. Source: Victorian Student Health and Wellbeing Survey, 2016.</w:t>
      </w:r>
    </w:p>
    <w:tbl>
      <w:tblPr>
        <w:tblW w:w="5000" w:type="pct"/>
        <w:tblLayout w:type="fixed"/>
        <w:tblLook w:val="04A0" w:firstRow="1" w:lastRow="0" w:firstColumn="1" w:lastColumn="0" w:noHBand="0" w:noVBand="1"/>
        <w:tblCaption w:val="Proportion of school students (Year 8 and 11) living in disorganised communities and their reported tobacco and illicit drug use, Victoria, 2016"/>
        <w:tblDescription w:val="Estimated proportion of school students in Years 8 and 11 who have ever smoked tobacco or have ever used illicit drugs, by community disorganisation (living in disorganised community, not living in disorganised community), Victoria, 2016. Source: Victorian Student Health and Wellbeing Survey, 2016."/>
      </w:tblPr>
      <w:tblGrid>
        <w:gridCol w:w="3005"/>
        <w:gridCol w:w="3005"/>
        <w:gridCol w:w="3006"/>
      </w:tblGrid>
      <w:tr w:rsidR="009D0F08" w:rsidRPr="00C76F35" w14:paraId="4F66D79F" w14:textId="77777777" w:rsidTr="008C3866">
        <w:trPr>
          <w:trHeight w:val="537"/>
        </w:trPr>
        <w:tc>
          <w:tcPr>
            <w:tcW w:w="166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1C6FD00" w14:textId="77777777" w:rsidR="0044526E" w:rsidRPr="00C76F35" w:rsidRDefault="0044526E"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Community disorganisation</w:t>
            </w:r>
          </w:p>
        </w:tc>
        <w:tc>
          <w:tcPr>
            <w:tcW w:w="1666" w:type="pct"/>
            <w:tcBorders>
              <w:top w:val="single" w:sz="4" w:space="0" w:color="auto"/>
              <w:left w:val="nil"/>
              <w:bottom w:val="single" w:sz="4" w:space="0" w:color="auto"/>
              <w:right w:val="nil"/>
            </w:tcBorders>
            <w:shd w:val="clear" w:color="auto" w:fill="auto"/>
            <w:vAlign w:val="bottom"/>
          </w:tcPr>
          <w:p w14:paraId="39E4C4F0" w14:textId="77777777" w:rsidR="0044526E" w:rsidRPr="00C76F35" w:rsidRDefault="0044526E"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Proportion of students who have ever smoked tobacco</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8640029" w14:textId="77777777" w:rsidR="0044526E" w:rsidRPr="00C76F35" w:rsidRDefault="0044526E"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Proportion of students who have ever used illicit drugs</w:t>
            </w:r>
          </w:p>
        </w:tc>
      </w:tr>
      <w:tr w:rsidR="009D0F08" w:rsidRPr="00C76F35" w14:paraId="3570C391" w14:textId="77777777" w:rsidTr="008C3866">
        <w:trPr>
          <w:trHeight w:val="537"/>
        </w:trPr>
        <w:tc>
          <w:tcPr>
            <w:tcW w:w="166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6AC77A" w14:textId="43C64C2F" w:rsidR="0044526E" w:rsidRPr="00C76F35" w:rsidRDefault="005E5EDB" w:rsidP="005E5EDB">
            <w:pPr>
              <w:spacing w:after="0" w:line="240" w:lineRule="auto"/>
              <w:rPr>
                <w:rFonts w:ascii="Calibri" w:eastAsia="Times New Roman" w:hAnsi="Calibri" w:cs="Calibri"/>
                <w:lang w:eastAsia="en-AU"/>
              </w:rPr>
            </w:pPr>
            <w:r w:rsidRPr="00C76F35">
              <w:rPr>
                <w:rFonts w:ascii="Calibri" w:eastAsia="Times New Roman" w:hAnsi="Calibri" w:cs="Calibri"/>
                <w:lang w:eastAsia="en-AU"/>
              </w:rPr>
              <w:t>Students l</w:t>
            </w:r>
            <w:r w:rsidR="0044526E" w:rsidRPr="00C76F35">
              <w:rPr>
                <w:rFonts w:ascii="Calibri" w:eastAsia="Times New Roman" w:hAnsi="Calibri" w:cs="Calibri"/>
                <w:lang w:eastAsia="en-AU"/>
              </w:rPr>
              <w:t xml:space="preserve">iving in </w:t>
            </w:r>
            <w:r w:rsidRPr="00C76F35">
              <w:rPr>
                <w:rFonts w:ascii="Calibri" w:eastAsia="Times New Roman" w:hAnsi="Calibri" w:cs="Calibri"/>
                <w:lang w:eastAsia="en-AU"/>
              </w:rPr>
              <w:t xml:space="preserve">a </w:t>
            </w:r>
            <w:r w:rsidR="0044526E" w:rsidRPr="00C76F35">
              <w:rPr>
                <w:rFonts w:ascii="Calibri" w:eastAsia="Times New Roman" w:hAnsi="Calibri" w:cs="Calibri"/>
                <w:lang w:eastAsia="en-AU"/>
              </w:rPr>
              <w:t>disorganised community</w:t>
            </w:r>
          </w:p>
        </w:tc>
        <w:tc>
          <w:tcPr>
            <w:tcW w:w="1666" w:type="pct"/>
            <w:tcBorders>
              <w:top w:val="single" w:sz="4" w:space="0" w:color="auto"/>
              <w:left w:val="nil"/>
              <w:bottom w:val="single" w:sz="4" w:space="0" w:color="auto"/>
              <w:right w:val="nil"/>
            </w:tcBorders>
            <w:shd w:val="clear" w:color="auto" w:fill="auto"/>
            <w:vAlign w:val="bottom"/>
          </w:tcPr>
          <w:p w14:paraId="16736F8F" w14:textId="77777777" w:rsidR="0044526E" w:rsidRPr="00C76F35" w:rsidRDefault="0044526E"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50.2%</w:t>
            </w:r>
          </w:p>
        </w:tc>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658B8B6D" w14:textId="77777777" w:rsidR="0044526E" w:rsidRPr="00C76F35" w:rsidRDefault="0044526E"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55.8%</w:t>
            </w:r>
          </w:p>
        </w:tc>
      </w:tr>
      <w:tr w:rsidR="009D0F08" w:rsidRPr="00C76F35" w14:paraId="6AAF0631" w14:textId="77777777" w:rsidTr="008C3866">
        <w:trPr>
          <w:trHeight w:val="537"/>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B6BE4" w14:textId="6CBC7423" w:rsidR="0044526E" w:rsidRPr="00C76F35" w:rsidRDefault="005E5EDB" w:rsidP="005E5EDB">
            <w:pPr>
              <w:spacing w:after="0" w:line="240" w:lineRule="auto"/>
              <w:rPr>
                <w:rFonts w:ascii="Calibri" w:eastAsia="Times New Roman" w:hAnsi="Calibri" w:cs="Calibri"/>
                <w:lang w:eastAsia="en-AU"/>
              </w:rPr>
            </w:pPr>
            <w:r w:rsidRPr="00C76F35">
              <w:rPr>
                <w:rFonts w:ascii="Calibri" w:eastAsia="Times New Roman" w:hAnsi="Calibri" w:cs="Calibri"/>
                <w:lang w:eastAsia="en-AU"/>
              </w:rPr>
              <w:t>Students n</w:t>
            </w:r>
            <w:r w:rsidR="0044526E" w:rsidRPr="00C76F35">
              <w:rPr>
                <w:rFonts w:ascii="Calibri" w:eastAsia="Times New Roman" w:hAnsi="Calibri" w:cs="Calibri"/>
                <w:lang w:eastAsia="en-AU"/>
              </w:rPr>
              <w:t>ot living in</w:t>
            </w:r>
            <w:r w:rsidRPr="00C76F35">
              <w:rPr>
                <w:rFonts w:ascii="Calibri" w:eastAsia="Times New Roman" w:hAnsi="Calibri" w:cs="Calibri"/>
                <w:lang w:eastAsia="en-AU"/>
              </w:rPr>
              <w:t xml:space="preserve"> a</w:t>
            </w:r>
            <w:r w:rsidR="0044526E" w:rsidRPr="00C76F35">
              <w:rPr>
                <w:rFonts w:ascii="Calibri" w:eastAsia="Times New Roman" w:hAnsi="Calibri" w:cs="Calibri"/>
                <w:lang w:eastAsia="en-AU"/>
              </w:rPr>
              <w:t xml:space="preserve"> disorganised community</w:t>
            </w:r>
          </w:p>
        </w:tc>
        <w:tc>
          <w:tcPr>
            <w:tcW w:w="1666" w:type="pct"/>
            <w:tcBorders>
              <w:top w:val="single" w:sz="4" w:space="0" w:color="auto"/>
              <w:left w:val="nil"/>
              <w:bottom w:val="single" w:sz="4" w:space="0" w:color="auto"/>
              <w:right w:val="nil"/>
            </w:tcBorders>
            <w:shd w:val="clear" w:color="auto" w:fill="auto"/>
            <w:vAlign w:val="bottom"/>
          </w:tcPr>
          <w:p w14:paraId="4B36D7FA" w14:textId="77777777" w:rsidR="0044526E" w:rsidRPr="00C76F35" w:rsidRDefault="0044526E"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33.3%</w:t>
            </w:r>
          </w:p>
        </w:tc>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12087CF9" w14:textId="77777777" w:rsidR="0044526E" w:rsidRPr="00C76F35" w:rsidRDefault="0044526E"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28.9%</w:t>
            </w:r>
          </w:p>
        </w:tc>
      </w:tr>
    </w:tbl>
    <w:p w14:paraId="040D46D3" w14:textId="1996E3B4" w:rsidR="0044526E" w:rsidRPr="00C76F35" w:rsidRDefault="00A40E7F" w:rsidP="006F2DF8">
      <w:pPr>
        <w:rPr>
          <w:sz w:val="18"/>
        </w:rPr>
      </w:pPr>
      <w:r w:rsidRPr="00C76F35">
        <w:rPr>
          <w:sz w:val="18"/>
        </w:rPr>
        <w:t xml:space="preserve">*Survey defined disorganisation through student responses to questions about how safe they feel, the presence of fights, and crime in their neighbourhood. </w:t>
      </w:r>
    </w:p>
    <w:p w14:paraId="75354557" w14:textId="07555FA0" w:rsidR="005E5EDB" w:rsidRPr="00C76F35" w:rsidRDefault="005E5EDB" w:rsidP="006F2DF8">
      <w:pPr>
        <w:rPr>
          <w:b/>
        </w:rPr>
      </w:pPr>
      <w:r w:rsidRPr="00C76F35">
        <w:rPr>
          <w:b/>
        </w:rPr>
        <w:t>Young people in contact with the youth justice system are more likely than their peers to come into contact with the criminal justice system as an adult.</w:t>
      </w:r>
    </w:p>
    <w:p w14:paraId="714221B0" w14:textId="304D6FF4" w:rsidR="005E5EDB" w:rsidRPr="00C76F35" w:rsidRDefault="005E5EDB" w:rsidP="006F2DF8">
      <w:r w:rsidRPr="00C76F35">
        <w:t xml:space="preserve">In 2016-17, a total of 2,822 young Victorians were found guilty of an offence, down from 6,663 in 2008-09. </w:t>
      </w:r>
    </w:p>
    <w:p w14:paraId="4281D9F4" w14:textId="3D0EEFB1" w:rsidR="005E5EDB" w:rsidRPr="00C76F35" w:rsidRDefault="005E5EDB" w:rsidP="005E5EDB">
      <w:pPr>
        <w:pStyle w:val="NoSpacing"/>
        <w:rPr>
          <w:b/>
        </w:rPr>
      </w:pPr>
      <w:r w:rsidRPr="00C76F35">
        <w:rPr>
          <w:b/>
        </w:rPr>
        <w:t xml:space="preserve">Table </w:t>
      </w:r>
      <w:r w:rsidRPr="00C76F35">
        <w:rPr>
          <w:b/>
        </w:rPr>
        <w:fldChar w:fldCharType="begin"/>
      </w:r>
      <w:r w:rsidRPr="00C76F35">
        <w:rPr>
          <w:b/>
        </w:rPr>
        <w:instrText xml:space="preserve"> SEQ Table \* ARABIC </w:instrText>
      </w:r>
      <w:r w:rsidRPr="00C76F35">
        <w:rPr>
          <w:b/>
        </w:rPr>
        <w:fldChar w:fldCharType="separate"/>
      </w:r>
      <w:r w:rsidR="00DB2F30">
        <w:rPr>
          <w:b/>
          <w:noProof/>
        </w:rPr>
        <w:t>12</w:t>
      </w:r>
      <w:r w:rsidRPr="00C76F35">
        <w:rPr>
          <w:b/>
        </w:rPr>
        <w:fldChar w:fldCharType="end"/>
      </w:r>
      <w:r w:rsidRPr="00C76F35">
        <w:rPr>
          <w:b/>
        </w:rPr>
        <w:t xml:space="preserve"> Young people (10-17) under supervision, rate per 10,000, community and custodial supervision, states and territories, 2016-17. Source: Australian Institute of Health and Welfare, 2017.</w:t>
      </w:r>
    </w:p>
    <w:tbl>
      <w:tblPr>
        <w:tblStyle w:val="TableGrid"/>
        <w:tblW w:w="9016" w:type="dxa"/>
        <w:tblLook w:val="04A0" w:firstRow="1" w:lastRow="0" w:firstColumn="1" w:lastColumn="0" w:noHBand="0" w:noVBand="1"/>
        <w:tblCaption w:val="Young people (10-17) under community and custodial supervision, rate per 10,000, states and territories, 2016-17"/>
        <w:tblDescription w:val="Estimated rate per 10,000 of young people aged 10-17 years under community and custodial supervision, by Aboriginal status (Non-Aboriginal, Aboriginal), states and territories, 2016-17. Source: Australian Institute of Health and Welfare, 2017."/>
      </w:tblPr>
      <w:tblGrid>
        <w:gridCol w:w="3005"/>
        <w:gridCol w:w="3005"/>
        <w:gridCol w:w="3006"/>
      </w:tblGrid>
      <w:tr w:rsidR="009D0F08" w:rsidRPr="00C76F35" w14:paraId="2BDF3E58" w14:textId="77777777" w:rsidTr="002C577B">
        <w:trPr>
          <w:tblHeader/>
        </w:trPr>
        <w:tc>
          <w:tcPr>
            <w:tcW w:w="3005" w:type="dxa"/>
          </w:tcPr>
          <w:p w14:paraId="6CDCA4A5" w14:textId="09E01C67" w:rsidR="005E5EDB" w:rsidRPr="00C76F35" w:rsidRDefault="005E5EDB" w:rsidP="005E5EDB">
            <w:pPr>
              <w:jc w:val="center"/>
              <w:rPr>
                <w:b/>
              </w:rPr>
            </w:pPr>
            <w:r w:rsidRPr="00C76F35">
              <w:rPr>
                <w:rFonts w:ascii="Calibri" w:eastAsia="Times New Roman" w:hAnsi="Calibri" w:cs="Calibri"/>
                <w:b/>
                <w:lang w:eastAsia="en-AU"/>
              </w:rPr>
              <w:t>State/Territory</w:t>
            </w:r>
          </w:p>
        </w:tc>
        <w:tc>
          <w:tcPr>
            <w:tcW w:w="3005" w:type="dxa"/>
          </w:tcPr>
          <w:p w14:paraId="22E72BE7" w14:textId="477BA97B" w:rsidR="005E5EDB" w:rsidRPr="00C76F35" w:rsidRDefault="005E5EDB" w:rsidP="005E5EDB">
            <w:pPr>
              <w:jc w:val="center"/>
              <w:rPr>
                <w:b/>
              </w:rPr>
            </w:pPr>
            <w:r w:rsidRPr="00C76F35">
              <w:rPr>
                <w:b/>
              </w:rPr>
              <w:t>Non-Aboriginal</w:t>
            </w:r>
          </w:p>
        </w:tc>
        <w:tc>
          <w:tcPr>
            <w:tcW w:w="3006" w:type="dxa"/>
          </w:tcPr>
          <w:p w14:paraId="198C066D" w14:textId="6C05BED1" w:rsidR="005E5EDB" w:rsidRPr="00C76F35" w:rsidRDefault="005E5EDB" w:rsidP="005E5EDB">
            <w:pPr>
              <w:jc w:val="center"/>
              <w:rPr>
                <w:b/>
              </w:rPr>
            </w:pPr>
            <w:r w:rsidRPr="00C76F35">
              <w:rPr>
                <w:b/>
              </w:rPr>
              <w:t>Aboriginal</w:t>
            </w:r>
          </w:p>
        </w:tc>
      </w:tr>
      <w:tr w:rsidR="009D0F08" w:rsidRPr="00C76F35" w14:paraId="778A8500" w14:textId="77777777" w:rsidTr="005E5EDB">
        <w:tc>
          <w:tcPr>
            <w:tcW w:w="3005" w:type="dxa"/>
          </w:tcPr>
          <w:p w14:paraId="492FD028" w14:textId="3F938014" w:rsidR="005E5EDB" w:rsidRPr="00C76F35" w:rsidRDefault="005E5EDB" w:rsidP="005E5EDB">
            <w:pPr>
              <w:jc w:val="center"/>
            </w:pPr>
            <w:r w:rsidRPr="00C76F35">
              <w:rPr>
                <w:rFonts w:ascii="Calibri" w:eastAsia="Times New Roman" w:hAnsi="Calibri" w:cs="Calibri"/>
                <w:bCs/>
                <w:lang w:eastAsia="en-AU"/>
              </w:rPr>
              <w:t>Victoria</w:t>
            </w:r>
          </w:p>
        </w:tc>
        <w:tc>
          <w:tcPr>
            <w:tcW w:w="3005" w:type="dxa"/>
          </w:tcPr>
          <w:p w14:paraId="529AF12F" w14:textId="4BEEF929" w:rsidR="005E5EDB" w:rsidRPr="00C76F35" w:rsidRDefault="005E5EDB" w:rsidP="005E5EDB">
            <w:pPr>
              <w:jc w:val="center"/>
            </w:pPr>
            <w:r w:rsidRPr="00C76F35">
              <w:t>11</w:t>
            </w:r>
          </w:p>
        </w:tc>
        <w:tc>
          <w:tcPr>
            <w:tcW w:w="3006" w:type="dxa"/>
          </w:tcPr>
          <w:p w14:paraId="1D238AA4" w14:textId="00148B3E" w:rsidR="005E5EDB" w:rsidRPr="00C76F35" w:rsidRDefault="005E5EDB" w:rsidP="005E5EDB">
            <w:pPr>
              <w:jc w:val="center"/>
            </w:pPr>
            <w:r w:rsidRPr="00C76F35">
              <w:t>148</w:t>
            </w:r>
          </w:p>
        </w:tc>
      </w:tr>
      <w:tr w:rsidR="009D0F08" w:rsidRPr="00C76F35" w14:paraId="77F8EBA7" w14:textId="77777777" w:rsidTr="005E5EDB">
        <w:tc>
          <w:tcPr>
            <w:tcW w:w="3005" w:type="dxa"/>
          </w:tcPr>
          <w:p w14:paraId="3173E6CC" w14:textId="20498582" w:rsidR="005E5EDB" w:rsidRPr="00C76F35" w:rsidRDefault="005E5EDB" w:rsidP="005E5EDB">
            <w:pPr>
              <w:jc w:val="center"/>
            </w:pPr>
            <w:r w:rsidRPr="00C76F35">
              <w:rPr>
                <w:rFonts w:ascii="Calibri" w:eastAsia="Times New Roman" w:hAnsi="Calibri" w:cs="Calibri"/>
                <w:bCs/>
                <w:lang w:eastAsia="en-AU"/>
              </w:rPr>
              <w:t>New South Wales</w:t>
            </w:r>
          </w:p>
        </w:tc>
        <w:tc>
          <w:tcPr>
            <w:tcW w:w="3005" w:type="dxa"/>
          </w:tcPr>
          <w:p w14:paraId="351AA829" w14:textId="2F2E74FC" w:rsidR="005E5EDB" w:rsidRPr="00C76F35" w:rsidRDefault="005E5EDB" w:rsidP="005E5EDB">
            <w:pPr>
              <w:jc w:val="center"/>
            </w:pPr>
            <w:r w:rsidRPr="00C76F35">
              <w:t>9</w:t>
            </w:r>
          </w:p>
        </w:tc>
        <w:tc>
          <w:tcPr>
            <w:tcW w:w="3006" w:type="dxa"/>
          </w:tcPr>
          <w:p w14:paraId="5AB1F460" w14:textId="3BE34F5E" w:rsidR="005E5EDB" w:rsidRPr="00C76F35" w:rsidRDefault="005E5EDB" w:rsidP="005E5EDB">
            <w:pPr>
              <w:jc w:val="center"/>
            </w:pPr>
            <w:r w:rsidRPr="00C76F35">
              <w:t>154</w:t>
            </w:r>
          </w:p>
        </w:tc>
      </w:tr>
      <w:tr w:rsidR="009D0F08" w:rsidRPr="00C76F35" w14:paraId="170838FA" w14:textId="77777777" w:rsidTr="005E5EDB">
        <w:tc>
          <w:tcPr>
            <w:tcW w:w="3005" w:type="dxa"/>
          </w:tcPr>
          <w:p w14:paraId="6614C595" w14:textId="6CD94C25" w:rsidR="005E5EDB" w:rsidRPr="00C76F35" w:rsidRDefault="005E5EDB" w:rsidP="005E5EDB">
            <w:pPr>
              <w:jc w:val="center"/>
            </w:pPr>
            <w:r w:rsidRPr="00C76F35">
              <w:rPr>
                <w:rFonts w:ascii="Calibri" w:eastAsia="Times New Roman" w:hAnsi="Calibri" w:cs="Calibri"/>
                <w:bCs/>
                <w:lang w:eastAsia="en-AU"/>
              </w:rPr>
              <w:t>Queensland</w:t>
            </w:r>
          </w:p>
        </w:tc>
        <w:tc>
          <w:tcPr>
            <w:tcW w:w="3005" w:type="dxa"/>
          </w:tcPr>
          <w:p w14:paraId="65D57B98" w14:textId="3AB4BBEB" w:rsidR="005E5EDB" w:rsidRPr="00C76F35" w:rsidRDefault="005E5EDB" w:rsidP="005E5EDB">
            <w:pPr>
              <w:jc w:val="center"/>
            </w:pPr>
            <w:r w:rsidRPr="00C76F35">
              <w:t>12</w:t>
            </w:r>
          </w:p>
        </w:tc>
        <w:tc>
          <w:tcPr>
            <w:tcW w:w="3006" w:type="dxa"/>
          </w:tcPr>
          <w:p w14:paraId="49F354C7" w14:textId="1AABF12C" w:rsidR="005E5EDB" w:rsidRPr="00C76F35" w:rsidRDefault="005E5EDB" w:rsidP="005E5EDB">
            <w:pPr>
              <w:jc w:val="center"/>
            </w:pPr>
            <w:r w:rsidRPr="00C76F35">
              <w:t>203</w:t>
            </w:r>
          </w:p>
        </w:tc>
      </w:tr>
      <w:tr w:rsidR="009D0F08" w:rsidRPr="00C76F35" w14:paraId="0CC48E00" w14:textId="77777777" w:rsidTr="005E5EDB">
        <w:tc>
          <w:tcPr>
            <w:tcW w:w="3005" w:type="dxa"/>
          </w:tcPr>
          <w:p w14:paraId="2A7A72D2" w14:textId="674B2ADD" w:rsidR="005E5EDB" w:rsidRPr="00C76F35" w:rsidRDefault="005E5EDB" w:rsidP="005E5EDB">
            <w:pPr>
              <w:jc w:val="center"/>
            </w:pPr>
            <w:r w:rsidRPr="00C76F35">
              <w:rPr>
                <w:rFonts w:ascii="Calibri" w:eastAsia="Times New Roman" w:hAnsi="Calibri" w:cs="Calibri"/>
                <w:bCs/>
                <w:lang w:eastAsia="en-AU"/>
              </w:rPr>
              <w:t>Western Australia</w:t>
            </w:r>
          </w:p>
        </w:tc>
        <w:tc>
          <w:tcPr>
            <w:tcW w:w="3005" w:type="dxa"/>
          </w:tcPr>
          <w:p w14:paraId="5E9E40AA" w14:textId="7EF0BB61" w:rsidR="005E5EDB" w:rsidRPr="00C76F35" w:rsidRDefault="005E5EDB" w:rsidP="005E5EDB">
            <w:pPr>
              <w:jc w:val="center"/>
            </w:pPr>
            <w:r w:rsidRPr="00C76F35">
              <w:t>11</w:t>
            </w:r>
          </w:p>
        </w:tc>
        <w:tc>
          <w:tcPr>
            <w:tcW w:w="3006" w:type="dxa"/>
          </w:tcPr>
          <w:p w14:paraId="7823B430" w14:textId="6A8BDEDC" w:rsidR="005E5EDB" w:rsidRPr="00C76F35" w:rsidRDefault="005E5EDB" w:rsidP="005E5EDB">
            <w:pPr>
              <w:jc w:val="center"/>
            </w:pPr>
            <w:r w:rsidRPr="00C76F35">
              <w:t>294</w:t>
            </w:r>
          </w:p>
        </w:tc>
      </w:tr>
      <w:tr w:rsidR="009D0F08" w:rsidRPr="00C76F35" w14:paraId="6ABDF627" w14:textId="77777777" w:rsidTr="005E5EDB">
        <w:tc>
          <w:tcPr>
            <w:tcW w:w="3005" w:type="dxa"/>
          </w:tcPr>
          <w:p w14:paraId="5C9C700C" w14:textId="49B85134" w:rsidR="005E5EDB" w:rsidRPr="00C76F35" w:rsidRDefault="005E5EDB" w:rsidP="005E5EDB">
            <w:pPr>
              <w:jc w:val="center"/>
            </w:pPr>
            <w:r w:rsidRPr="00C76F35">
              <w:rPr>
                <w:rFonts w:ascii="Calibri" w:eastAsia="Times New Roman" w:hAnsi="Calibri" w:cs="Calibri"/>
                <w:bCs/>
                <w:lang w:eastAsia="en-AU"/>
              </w:rPr>
              <w:t>South Australia</w:t>
            </w:r>
          </w:p>
        </w:tc>
        <w:tc>
          <w:tcPr>
            <w:tcW w:w="3005" w:type="dxa"/>
          </w:tcPr>
          <w:p w14:paraId="67F8CDA9" w14:textId="12F18C25" w:rsidR="005E5EDB" w:rsidRPr="00C76F35" w:rsidRDefault="005E5EDB" w:rsidP="005E5EDB">
            <w:pPr>
              <w:jc w:val="center"/>
            </w:pPr>
            <w:r w:rsidRPr="00C76F35">
              <w:t>8</w:t>
            </w:r>
          </w:p>
        </w:tc>
        <w:tc>
          <w:tcPr>
            <w:tcW w:w="3006" w:type="dxa"/>
          </w:tcPr>
          <w:p w14:paraId="4EF6BD03" w14:textId="35432190" w:rsidR="005E5EDB" w:rsidRPr="00C76F35" w:rsidRDefault="005E5EDB" w:rsidP="005E5EDB">
            <w:pPr>
              <w:jc w:val="center"/>
            </w:pPr>
            <w:r w:rsidRPr="00C76F35">
              <w:t>214</w:t>
            </w:r>
          </w:p>
        </w:tc>
      </w:tr>
      <w:tr w:rsidR="009D0F08" w:rsidRPr="00C76F35" w14:paraId="4BFF5E1C" w14:textId="77777777" w:rsidTr="005E5EDB">
        <w:tc>
          <w:tcPr>
            <w:tcW w:w="3005" w:type="dxa"/>
          </w:tcPr>
          <w:p w14:paraId="6357BFA2" w14:textId="3F100777" w:rsidR="005E5EDB" w:rsidRPr="00C76F35" w:rsidRDefault="005E5EDB" w:rsidP="005E5EDB">
            <w:pPr>
              <w:jc w:val="center"/>
            </w:pPr>
            <w:r w:rsidRPr="00C76F35">
              <w:rPr>
                <w:rFonts w:ascii="Calibri" w:eastAsia="Times New Roman" w:hAnsi="Calibri" w:cs="Calibri"/>
                <w:bCs/>
                <w:lang w:eastAsia="en-AU"/>
              </w:rPr>
              <w:t>Tasmania</w:t>
            </w:r>
          </w:p>
        </w:tc>
        <w:tc>
          <w:tcPr>
            <w:tcW w:w="3005" w:type="dxa"/>
          </w:tcPr>
          <w:p w14:paraId="50F0986A" w14:textId="110C1F16" w:rsidR="005E5EDB" w:rsidRPr="00C76F35" w:rsidRDefault="005E5EDB" w:rsidP="005E5EDB">
            <w:pPr>
              <w:jc w:val="center"/>
            </w:pPr>
            <w:r w:rsidRPr="00C76F35">
              <w:t>16</w:t>
            </w:r>
          </w:p>
        </w:tc>
        <w:tc>
          <w:tcPr>
            <w:tcW w:w="3006" w:type="dxa"/>
          </w:tcPr>
          <w:p w14:paraId="3913E9DC" w14:textId="48E1A83A" w:rsidR="005E5EDB" w:rsidRPr="00C76F35" w:rsidRDefault="005E5EDB" w:rsidP="005E5EDB">
            <w:pPr>
              <w:jc w:val="center"/>
            </w:pPr>
            <w:r w:rsidRPr="00C76F35">
              <w:t>59</w:t>
            </w:r>
          </w:p>
        </w:tc>
      </w:tr>
      <w:tr w:rsidR="009D0F08" w:rsidRPr="00C76F35" w14:paraId="71D7F07F" w14:textId="77777777" w:rsidTr="005E5EDB">
        <w:tc>
          <w:tcPr>
            <w:tcW w:w="3005" w:type="dxa"/>
          </w:tcPr>
          <w:p w14:paraId="488772B5" w14:textId="64FB3652" w:rsidR="005E5EDB" w:rsidRPr="00C76F35" w:rsidRDefault="005E5EDB" w:rsidP="005E5EDB">
            <w:pPr>
              <w:jc w:val="center"/>
            </w:pPr>
            <w:r w:rsidRPr="00C76F35">
              <w:rPr>
                <w:rFonts w:ascii="Calibri" w:eastAsia="Times New Roman" w:hAnsi="Calibri" w:cs="Calibri"/>
                <w:bCs/>
                <w:lang w:eastAsia="en-AU"/>
              </w:rPr>
              <w:t>Australian Capital Territory</w:t>
            </w:r>
          </w:p>
        </w:tc>
        <w:tc>
          <w:tcPr>
            <w:tcW w:w="3005" w:type="dxa"/>
          </w:tcPr>
          <w:p w14:paraId="4E15ACF3" w14:textId="4FE4789B" w:rsidR="005E5EDB" w:rsidRPr="00C76F35" w:rsidRDefault="005E5EDB" w:rsidP="005E5EDB">
            <w:pPr>
              <w:jc w:val="center"/>
            </w:pPr>
            <w:r w:rsidRPr="00C76F35">
              <w:t>15</w:t>
            </w:r>
          </w:p>
        </w:tc>
        <w:tc>
          <w:tcPr>
            <w:tcW w:w="3006" w:type="dxa"/>
          </w:tcPr>
          <w:p w14:paraId="3098D2B3" w14:textId="30502B09" w:rsidR="005E5EDB" w:rsidRPr="00C76F35" w:rsidRDefault="005E5EDB" w:rsidP="005E5EDB">
            <w:pPr>
              <w:jc w:val="center"/>
            </w:pPr>
            <w:r w:rsidRPr="00C76F35">
              <w:t>182</w:t>
            </w:r>
          </w:p>
        </w:tc>
      </w:tr>
      <w:tr w:rsidR="009D0F08" w:rsidRPr="00C76F35" w14:paraId="4B971377" w14:textId="77777777" w:rsidTr="005E5EDB">
        <w:tc>
          <w:tcPr>
            <w:tcW w:w="3005" w:type="dxa"/>
          </w:tcPr>
          <w:p w14:paraId="66BA148B" w14:textId="145FDCAE" w:rsidR="005E5EDB" w:rsidRPr="00C76F35" w:rsidRDefault="005E5EDB" w:rsidP="005E5EDB">
            <w:pPr>
              <w:jc w:val="center"/>
            </w:pPr>
            <w:r w:rsidRPr="00C76F35">
              <w:rPr>
                <w:rFonts w:ascii="Calibri" w:eastAsia="Times New Roman" w:hAnsi="Calibri" w:cs="Calibri"/>
                <w:bCs/>
                <w:lang w:eastAsia="en-AU"/>
              </w:rPr>
              <w:t>Northern Territory</w:t>
            </w:r>
          </w:p>
        </w:tc>
        <w:tc>
          <w:tcPr>
            <w:tcW w:w="3005" w:type="dxa"/>
          </w:tcPr>
          <w:p w14:paraId="11E81E8D" w14:textId="0E8FC6CC" w:rsidR="005E5EDB" w:rsidRPr="00C76F35" w:rsidRDefault="005E5EDB" w:rsidP="005E5EDB">
            <w:pPr>
              <w:jc w:val="center"/>
            </w:pPr>
            <w:r w:rsidRPr="00C76F35">
              <w:t>6</w:t>
            </w:r>
          </w:p>
        </w:tc>
        <w:tc>
          <w:tcPr>
            <w:tcW w:w="3006" w:type="dxa"/>
          </w:tcPr>
          <w:p w14:paraId="10E8BC93" w14:textId="0632E788" w:rsidR="005E5EDB" w:rsidRPr="00C76F35" w:rsidRDefault="005E5EDB" w:rsidP="005E5EDB">
            <w:pPr>
              <w:jc w:val="center"/>
            </w:pPr>
            <w:r w:rsidRPr="00C76F35">
              <w:t>134</w:t>
            </w:r>
          </w:p>
        </w:tc>
      </w:tr>
      <w:tr w:rsidR="009D0F08" w:rsidRPr="00C76F35" w14:paraId="3AC093F0" w14:textId="77777777" w:rsidTr="005E5EDB">
        <w:tc>
          <w:tcPr>
            <w:tcW w:w="3005" w:type="dxa"/>
          </w:tcPr>
          <w:p w14:paraId="31C5317F" w14:textId="5C8F04D2" w:rsidR="005E5EDB" w:rsidRPr="00C76F35" w:rsidRDefault="005E5EDB" w:rsidP="005E5EDB">
            <w:pPr>
              <w:jc w:val="center"/>
              <w:rPr>
                <w:rFonts w:ascii="Calibri" w:eastAsia="Times New Roman" w:hAnsi="Calibri" w:cs="Calibri"/>
                <w:bCs/>
                <w:lang w:eastAsia="en-AU"/>
              </w:rPr>
            </w:pPr>
            <w:r w:rsidRPr="00C76F35">
              <w:rPr>
                <w:rFonts w:ascii="Calibri" w:eastAsia="Times New Roman" w:hAnsi="Calibri" w:cs="Calibri"/>
                <w:bCs/>
                <w:lang w:eastAsia="en-AU"/>
              </w:rPr>
              <w:t>Australia</w:t>
            </w:r>
          </w:p>
        </w:tc>
        <w:tc>
          <w:tcPr>
            <w:tcW w:w="3005" w:type="dxa"/>
          </w:tcPr>
          <w:p w14:paraId="7508AD2D" w14:textId="2D84920E" w:rsidR="005E5EDB" w:rsidRPr="00C76F35" w:rsidRDefault="005E5EDB" w:rsidP="005E5EDB">
            <w:pPr>
              <w:jc w:val="center"/>
            </w:pPr>
            <w:r w:rsidRPr="00C76F35">
              <w:t>11</w:t>
            </w:r>
          </w:p>
        </w:tc>
        <w:tc>
          <w:tcPr>
            <w:tcW w:w="3006" w:type="dxa"/>
          </w:tcPr>
          <w:p w14:paraId="68E88198" w14:textId="00B5FC91" w:rsidR="005E5EDB" w:rsidRPr="00C76F35" w:rsidRDefault="005E5EDB" w:rsidP="005E5EDB">
            <w:pPr>
              <w:jc w:val="center"/>
            </w:pPr>
            <w:r w:rsidRPr="00C76F35">
              <w:t>184</w:t>
            </w:r>
          </w:p>
        </w:tc>
      </w:tr>
    </w:tbl>
    <w:p w14:paraId="25CCB264" w14:textId="77777777" w:rsidR="005E5EDB" w:rsidRPr="00C76F35" w:rsidRDefault="005E5EDB" w:rsidP="006F2DF8"/>
    <w:p w14:paraId="6EDA6C60" w14:textId="50C52E48" w:rsidR="005E5EDB" w:rsidRPr="00C76F35" w:rsidRDefault="005E5EDB" w:rsidP="006F2DF8">
      <w:pPr>
        <w:rPr>
          <w:b/>
        </w:rPr>
      </w:pPr>
      <w:r w:rsidRPr="00C76F35">
        <w:rPr>
          <w:b/>
        </w:rPr>
        <w:t xml:space="preserve">Young people in custody are among the most vulnerable in the community, with many facing challenges related to mental health, disability and homelessness. </w:t>
      </w:r>
    </w:p>
    <w:p w14:paraId="65FB84BC" w14:textId="539B25A8" w:rsidR="009D0F08" w:rsidRPr="00C76F35" w:rsidRDefault="005E5EDB" w:rsidP="006F2DF8">
      <w:r w:rsidRPr="00C76F35">
        <w:t>More than half of young people in the youth justice system had prior interactions with child protection</w:t>
      </w:r>
      <w:r w:rsidR="009D0F08" w:rsidRPr="00C76F35">
        <w:t xml:space="preserve"> services, while over a third had accessed mental health services. </w:t>
      </w:r>
    </w:p>
    <w:p w14:paraId="74986794" w14:textId="6476E86D" w:rsidR="009D0F08" w:rsidRPr="00C76F35" w:rsidRDefault="009D0F08" w:rsidP="009D0F08">
      <w:pPr>
        <w:rPr>
          <w:b/>
        </w:rPr>
      </w:pPr>
      <w:r w:rsidRPr="00C76F35">
        <w:rPr>
          <w:b/>
        </w:rPr>
        <w:t xml:space="preserve">Table </w:t>
      </w:r>
      <w:r w:rsidRPr="00C76F35">
        <w:rPr>
          <w:b/>
        </w:rPr>
        <w:fldChar w:fldCharType="begin"/>
      </w:r>
      <w:r w:rsidRPr="00C76F35">
        <w:rPr>
          <w:b/>
        </w:rPr>
        <w:instrText xml:space="preserve"> SEQ Table \* ARABIC </w:instrText>
      </w:r>
      <w:r w:rsidRPr="00C76F35">
        <w:rPr>
          <w:b/>
        </w:rPr>
        <w:fldChar w:fldCharType="separate"/>
      </w:r>
      <w:r w:rsidR="00DB2F30">
        <w:rPr>
          <w:b/>
          <w:noProof/>
        </w:rPr>
        <w:t>13</w:t>
      </w:r>
      <w:r w:rsidRPr="00C76F35">
        <w:rPr>
          <w:b/>
        </w:rPr>
        <w:fldChar w:fldCharType="end"/>
      </w:r>
      <w:r w:rsidRPr="00C76F35">
        <w:rPr>
          <w:b/>
        </w:rPr>
        <w:t xml:space="preserve"> Young people receiving youth justice orders who have engaged with DHHS services, Victoria, 2015-16. Source: Armytage and Ogloff, 2017.</w:t>
      </w:r>
    </w:p>
    <w:tbl>
      <w:tblPr>
        <w:tblStyle w:val="TableGrid"/>
        <w:tblW w:w="0" w:type="auto"/>
        <w:tblLook w:val="04A0" w:firstRow="1" w:lastRow="0" w:firstColumn="1" w:lastColumn="0" w:noHBand="0" w:noVBand="1"/>
        <w:tblCaption w:val="Young people receiving youth justice orders who have engaged with DHHS services, Victoria, 2015-16"/>
        <w:tblDescription w:val="Estimated proportion of young people receiving youth justice orders who have had prior engagement with the Department of Health and Human Services, by gender (male, female) and service type (child protection, alcohol and drug services, mental health services, disability services), Victoria, 2015-16. Source: Armytage and Ogloff, 2017."/>
      </w:tblPr>
      <w:tblGrid>
        <w:gridCol w:w="4106"/>
        <w:gridCol w:w="2455"/>
        <w:gridCol w:w="2455"/>
      </w:tblGrid>
      <w:tr w:rsidR="009D0F08" w:rsidRPr="00C76F35" w14:paraId="514D1E26" w14:textId="77777777" w:rsidTr="002C577B">
        <w:trPr>
          <w:tblHeader/>
        </w:trPr>
        <w:tc>
          <w:tcPr>
            <w:tcW w:w="4106" w:type="dxa"/>
          </w:tcPr>
          <w:p w14:paraId="0C5C279D" w14:textId="50C6806D" w:rsidR="009D0F08" w:rsidRPr="00C76F35" w:rsidRDefault="009D0F08" w:rsidP="009D0F08">
            <w:pPr>
              <w:rPr>
                <w:b/>
              </w:rPr>
            </w:pPr>
            <w:r w:rsidRPr="00C76F35">
              <w:rPr>
                <w:b/>
              </w:rPr>
              <w:t xml:space="preserve">Interaction with Department of Health and Human Services </w:t>
            </w:r>
          </w:p>
        </w:tc>
        <w:tc>
          <w:tcPr>
            <w:tcW w:w="2455" w:type="dxa"/>
          </w:tcPr>
          <w:p w14:paraId="46685FBE" w14:textId="4CC38B56" w:rsidR="009D0F08" w:rsidRPr="00C76F35" w:rsidRDefault="009D0F08" w:rsidP="009D0F08">
            <w:pPr>
              <w:jc w:val="center"/>
              <w:rPr>
                <w:b/>
              </w:rPr>
            </w:pPr>
            <w:r w:rsidRPr="00C76F35">
              <w:rPr>
                <w:b/>
              </w:rPr>
              <w:t>Males</w:t>
            </w:r>
          </w:p>
        </w:tc>
        <w:tc>
          <w:tcPr>
            <w:tcW w:w="2455" w:type="dxa"/>
          </w:tcPr>
          <w:p w14:paraId="2D2DCE39" w14:textId="6A39A70B" w:rsidR="009D0F08" w:rsidRPr="00C76F35" w:rsidRDefault="009D0F08" w:rsidP="009D0F08">
            <w:pPr>
              <w:jc w:val="center"/>
              <w:rPr>
                <w:b/>
              </w:rPr>
            </w:pPr>
            <w:r w:rsidRPr="00C76F35">
              <w:rPr>
                <w:b/>
              </w:rPr>
              <w:t>Females</w:t>
            </w:r>
          </w:p>
        </w:tc>
      </w:tr>
      <w:tr w:rsidR="009D0F08" w:rsidRPr="00C76F35" w14:paraId="7A509624" w14:textId="77777777" w:rsidTr="009D0F08">
        <w:tc>
          <w:tcPr>
            <w:tcW w:w="4106" w:type="dxa"/>
          </w:tcPr>
          <w:p w14:paraId="168A6F8C" w14:textId="5835FBB5" w:rsidR="009D0F08" w:rsidRPr="00C76F35" w:rsidRDefault="009D0F08" w:rsidP="009D0F08">
            <w:r w:rsidRPr="00C76F35">
              <w:t>Previous involvement with child protection</w:t>
            </w:r>
          </w:p>
        </w:tc>
        <w:tc>
          <w:tcPr>
            <w:tcW w:w="2455" w:type="dxa"/>
          </w:tcPr>
          <w:p w14:paraId="57E61C3C" w14:textId="624A1213" w:rsidR="009D0F08" w:rsidRPr="00C76F35" w:rsidRDefault="009D0F08" w:rsidP="009D0F08">
            <w:pPr>
              <w:jc w:val="center"/>
            </w:pPr>
            <w:r w:rsidRPr="00C76F35">
              <w:t>48%</w:t>
            </w:r>
          </w:p>
        </w:tc>
        <w:tc>
          <w:tcPr>
            <w:tcW w:w="2455" w:type="dxa"/>
          </w:tcPr>
          <w:p w14:paraId="31D6037D" w14:textId="421AFE1B" w:rsidR="009D0F08" w:rsidRPr="00C76F35" w:rsidRDefault="009D0F08" w:rsidP="009D0F08">
            <w:pPr>
              <w:jc w:val="center"/>
            </w:pPr>
            <w:r w:rsidRPr="00C76F35">
              <w:t>69%</w:t>
            </w:r>
          </w:p>
        </w:tc>
      </w:tr>
      <w:tr w:rsidR="009D0F08" w:rsidRPr="00C76F35" w14:paraId="646CF67C" w14:textId="77777777" w:rsidTr="009D0F08">
        <w:tc>
          <w:tcPr>
            <w:tcW w:w="4106" w:type="dxa"/>
          </w:tcPr>
          <w:p w14:paraId="009CEB14" w14:textId="5745C26C" w:rsidR="009D0F08" w:rsidRPr="00C76F35" w:rsidRDefault="009D0F08" w:rsidP="009D0F08">
            <w:r w:rsidRPr="00C76F35">
              <w:t>Received alcohol and drug services</w:t>
            </w:r>
          </w:p>
        </w:tc>
        <w:tc>
          <w:tcPr>
            <w:tcW w:w="2455" w:type="dxa"/>
          </w:tcPr>
          <w:p w14:paraId="1EF30575" w14:textId="761C18E2" w:rsidR="009D0F08" w:rsidRPr="00C76F35" w:rsidRDefault="009D0F08" w:rsidP="009D0F08">
            <w:pPr>
              <w:jc w:val="center"/>
            </w:pPr>
            <w:r w:rsidRPr="00C76F35">
              <w:t>46%</w:t>
            </w:r>
          </w:p>
        </w:tc>
        <w:tc>
          <w:tcPr>
            <w:tcW w:w="2455" w:type="dxa"/>
          </w:tcPr>
          <w:p w14:paraId="6C250CE7" w14:textId="53E76D9F" w:rsidR="009D0F08" w:rsidRPr="00C76F35" w:rsidRDefault="009D0F08" w:rsidP="009D0F08">
            <w:pPr>
              <w:jc w:val="center"/>
            </w:pPr>
            <w:r w:rsidRPr="00C76F35">
              <w:t>45%</w:t>
            </w:r>
          </w:p>
        </w:tc>
      </w:tr>
      <w:tr w:rsidR="009D0F08" w:rsidRPr="00C76F35" w14:paraId="34C8A5FD" w14:textId="77777777" w:rsidTr="009D0F08">
        <w:tc>
          <w:tcPr>
            <w:tcW w:w="4106" w:type="dxa"/>
          </w:tcPr>
          <w:p w14:paraId="4338DF52" w14:textId="760142C4" w:rsidR="009D0F08" w:rsidRPr="00C76F35" w:rsidRDefault="009D0F08" w:rsidP="009D0F08">
            <w:r w:rsidRPr="00C76F35">
              <w:t>Received mental health services</w:t>
            </w:r>
          </w:p>
        </w:tc>
        <w:tc>
          <w:tcPr>
            <w:tcW w:w="2455" w:type="dxa"/>
          </w:tcPr>
          <w:p w14:paraId="77DC1252" w14:textId="2A1A091E" w:rsidR="009D0F08" w:rsidRPr="00C76F35" w:rsidRDefault="009D0F08" w:rsidP="009D0F08">
            <w:pPr>
              <w:jc w:val="center"/>
            </w:pPr>
            <w:r w:rsidRPr="00C76F35">
              <w:t>31%</w:t>
            </w:r>
          </w:p>
        </w:tc>
        <w:tc>
          <w:tcPr>
            <w:tcW w:w="2455" w:type="dxa"/>
          </w:tcPr>
          <w:p w14:paraId="50B7C335" w14:textId="019F7EEC" w:rsidR="009D0F08" w:rsidRPr="00C76F35" w:rsidRDefault="009D0F08" w:rsidP="009D0F08">
            <w:pPr>
              <w:jc w:val="center"/>
            </w:pPr>
            <w:r w:rsidRPr="00C76F35">
              <w:t>41%</w:t>
            </w:r>
          </w:p>
        </w:tc>
      </w:tr>
      <w:tr w:rsidR="009D0F08" w:rsidRPr="00C76F35" w14:paraId="59040B7A" w14:textId="77777777" w:rsidTr="009D0F08">
        <w:tc>
          <w:tcPr>
            <w:tcW w:w="4106" w:type="dxa"/>
          </w:tcPr>
          <w:p w14:paraId="1094BDAB" w14:textId="2E165675" w:rsidR="009D0F08" w:rsidRPr="00C76F35" w:rsidRDefault="009D0F08" w:rsidP="009D0F08">
            <w:r w:rsidRPr="00C76F35">
              <w:t>Received disability services</w:t>
            </w:r>
          </w:p>
        </w:tc>
        <w:tc>
          <w:tcPr>
            <w:tcW w:w="2455" w:type="dxa"/>
          </w:tcPr>
          <w:p w14:paraId="353D0C08" w14:textId="01CFEB02" w:rsidR="009D0F08" w:rsidRPr="00C76F35" w:rsidRDefault="009D0F08" w:rsidP="009D0F08">
            <w:pPr>
              <w:jc w:val="center"/>
            </w:pPr>
            <w:r w:rsidRPr="00C76F35">
              <w:t>7%</w:t>
            </w:r>
          </w:p>
        </w:tc>
        <w:tc>
          <w:tcPr>
            <w:tcW w:w="2455" w:type="dxa"/>
          </w:tcPr>
          <w:p w14:paraId="0203709E" w14:textId="1EDC9BF2" w:rsidR="009D0F08" w:rsidRPr="00C76F35" w:rsidRDefault="009D0F08" w:rsidP="009D0F08">
            <w:pPr>
              <w:jc w:val="center"/>
            </w:pPr>
            <w:r w:rsidRPr="00C76F35">
              <w:t>4%</w:t>
            </w:r>
          </w:p>
        </w:tc>
      </w:tr>
    </w:tbl>
    <w:p w14:paraId="01351FC8" w14:textId="6A7F286B" w:rsidR="009D0F08" w:rsidRPr="00C76F35" w:rsidRDefault="009D0F08"/>
    <w:p w14:paraId="6F24F69E" w14:textId="42909549" w:rsidR="006F2DF8" w:rsidRPr="00C76F35" w:rsidRDefault="009D0F08" w:rsidP="009D0F08">
      <w:pPr>
        <w:pStyle w:val="Heading1"/>
        <w:rPr>
          <w:color w:val="auto"/>
        </w:rPr>
      </w:pPr>
      <w:r w:rsidRPr="00C76F35">
        <w:rPr>
          <w:color w:val="auto"/>
        </w:rPr>
        <w:t>Physical &amp; mental health</w:t>
      </w:r>
    </w:p>
    <w:p w14:paraId="4272A4AA" w14:textId="1FFE8098" w:rsidR="009D0F08" w:rsidRPr="00C76F35" w:rsidRDefault="009D0F08" w:rsidP="00DB2F30">
      <w:r w:rsidRPr="00C76F35">
        <w:t xml:space="preserve">Good mental and physical health early in life is intrinsically important and proven to lead to better outcomes later in life. </w:t>
      </w:r>
    </w:p>
    <w:p w14:paraId="2AE829AC" w14:textId="69BAE867" w:rsidR="009D0F08" w:rsidRPr="00C76F35" w:rsidRDefault="009D0F08" w:rsidP="00DB2F30">
      <w:r w:rsidRPr="00C76F35">
        <w:t>Children who are happy, healthy and confident are better able to fully engage in their environment, helping them to fulfil their potential.</w:t>
      </w:r>
    </w:p>
    <w:p w14:paraId="4C0568E7" w14:textId="06964C93" w:rsidR="009D0F08" w:rsidRPr="00DB2F30" w:rsidRDefault="009D0F08" w:rsidP="00DB2F30">
      <w:pPr>
        <w:rPr>
          <w:b/>
        </w:rPr>
      </w:pPr>
      <w:r w:rsidRPr="00DB2F30">
        <w:rPr>
          <w:b/>
        </w:rPr>
        <w:t xml:space="preserve">Most Victorian children are faring well. </w:t>
      </w:r>
    </w:p>
    <w:p w14:paraId="5BBAD81D" w14:textId="77777777" w:rsidR="009D0F08" w:rsidRPr="00C76F35" w:rsidRDefault="009D0F08" w:rsidP="00DB2F30">
      <w:r w:rsidRPr="00C76F35">
        <w:t xml:space="preserve">Three in four children report being satisfied with their lives, while almost nine in ten report good, very good or excellent health. </w:t>
      </w:r>
    </w:p>
    <w:p w14:paraId="279376CA" w14:textId="2ECA8426" w:rsidR="009D0F08" w:rsidRPr="00C76F35" w:rsidRDefault="009D0F08" w:rsidP="00DB2F30">
      <w:r w:rsidRPr="00C76F35">
        <w:t>However, the proportion of students with an emotional, developmental or behavioural difficulty has risen to one in ten in 2017.</w:t>
      </w:r>
    </w:p>
    <w:p w14:paraId="4F15E3E3" w14:textId="3B772DFD" w:rsidR="008C3866" w:rsidRPr="00C76F35" w:rsidRDefault="008C3866" w:rsidP="008C3866">
      <w:pPr>
        <w:rPr>
          <w:b/>
        </w:rPr>
      </w:pPr>
      <w:r w:rsidRPr="00C76F35">
        <w:rPr>
          <w:b/>
        </w:rPr>
        <w:t xml:space="preserve">Table </w:t>
      </w:r>
      <w:r w:rsidRPr="00C76F35">
        <w:rPr>
          <w:b/>
        </w:rPr>
        <w:fldChar w:fldCharType="begin"/>
      </w:r>
      <w:r w:rsidRPr="00C76F35">
        <w:rPr>
          <w:b/>
        </w:rPr>
        <w:instrText xml:space="preserve"> SEQ Table \* ARABIC </w:instrText>
      </w:r>
      <w:r w:rsidRPr="00C76F35">
        <w:rPr>
          <w:b/>
        </w:rPr>
        <w:fldChar w:fldCharType="separate"/>
      </w:r>
      <w:r w:rsidR="00DB2F30">
        <w:rPr>
          <w:b/>
          <w:noProof/>
        </w:rPr>
        <w:t>14</w:t>
      </w:r>
      <w:r w:rsidRPr="00C76F35">
        <w:rPr>
          <w:b/>
        </w:rPr>
        <w:fldChar w:fldCharType="end"/>
      </w:r>
      <w:r w:rsidRPr="00C76F35">
        <w:rPr>
          <w:b/>
        </w:rPr>
        <w:t xml:space="preserve"> Students in Years 5, 8 and 11 who are happy and healthy, Victoria, 2016. Source: Victorian Student Health and Wellbeing Survey, 2016.</w:t>
      </w:r>
    </w:p>
    <w:tbl>
      <w:tblPr>
        <w:tblStyle w:val="TableGrid"/>
        <w:tblW w:w="0" w:type="auto"/>
        <w:tblLook w:val="04A0" w:firstRow="1" w:lastRow="0" w:firstColumn="1" w:lastColumn="0" w:noHBand="0" w:noVBand="1"/>
        <w:tblCaption w:val="Students in Years 5, 8 and 11 who are happy and healthy, Victoria, 2016"/>
        <w:tblDescription w:val="Estimated proportion of school students (in Years 5, 8 and 11) who report being satisfied with their lives, and who report their health as good, very good or excellent, Victoria, 2016. Source: Victorian Student Health and Wellbeing Survey, 2016."/>
      </w:tblPr>
      <w:tblGrid>
        <w:gridCol w:w="1838"/>
        <w:gridCol w:w="3589"/>
        <w:gridCol w:w="3589"/>
      </w:tblGrid>
      <w:tr w:rsidR="008C3866" w:rsidRPr="00C76F35" w14:paraId="6E401538" w14:textId="77777777" w:rsidTr="002C577B">
        <w:trPr>
          <w:tblHeader/>
        </w:trPr>
        <w:tc>
          <w:tcPr>
            <w:tcW w:w="1838" w:type="dxa"/>
          </w:tcPr>
          <w:p w14:paraId="083EFDE0" w14:textId="36A7527E" w:rsidR="008C3866" w:rsidRPr="00C76F35" w:rsidRDefault="008C3866" w:rsidP="008C3866">
            <w:pPr>
              <w:jc w:val="center"/>
              <w:rPr>
                <w:b/>
              </w:rPr>
            </w:pPr>
            <w:r w:rsidRPr="00C76F35">
              <w:rPr>
                <w:b/>
              </w:rPr>
              <w:t xml:space="preserve">Year </w:t>
            </w:r>
          </w:p>
        </w:tc>
        <w:tc>
          <w:tcPr>
            <w:tcW w:w="3589" w:type="dxa"/>
          </w:tcPr>
          <w:p w14:paraId="739E2DC6" w14:textId="03FC6604" w:rsidR="008C3866" w:rsidRPr="00C76F35" w:rsidRDefault="008C3866" w:rsidP="008C3866">
            <w:pPr>
              <w:jc w:val="center"/>
              <w:rPr>
                <w:b/>
              </w:rPr>
            </w:pPr>
            <w:r w:rsidRPr="00C76F35">
              <w:rPr>
                <w:b/>
              </w:rPr>
              <w:t>Children who report being satisfied with their lives</w:t>
            </w:r>
          </w:p>
        </w:tc>
        <w:tc>
          <w:tcPr>
            <w:tcW w:w="3589" w:type="dxa"/>
          </w:tcPr>
          <w:p w14:paraId="164EF600" w14:textId="5628C48B" w:rsidR="008C3866" w:rsidRPr="00C76F35" w:rsidRDefault="008C3866" w:rsidP="008C3866">
            <w:pPr>
              <w:jc w:val="center"/>
              <w:rPr>
                <w:b/>
              </w:rPr>
            </w:pPr>
            <w:r w:rsidRPr="00C76F35">
              <w:rPr>
                <w:b/>
              </w:rPr>
              <w:t>Children who report their health being good, very good or excellent</w:t>
            </w:r>
          </w:p>
        </w:tc>
      </w:tr>
      <w:tr w:rsidR="008C3866" w:rsidRPr="00C76F35" w14:paraId="1154B9C1" w14:textId="77777777" w:rsidTr="008C3866">
        <w:trPr>
          <w:trHeight w:val="465"/>
        </w:trPr>
        <w:tc>
          <w:tcPr>
            <w:tcW w:w="1838" w:type="dxa"/>
            <w:vAlign w:val="center"/>
          </w:tcPr>
          <w:p w14:paraId="2B7B0087" w14:textId="6F414956" w:rsidR="008C3866" w:rsidRPr="00C76F35" w:rsidRDefault="008C3866" w:rsidP="00FB49BE">
            <w:pPr>
              <w:jc w:val="center"/>
            </w:pPr>
            <w:r w:rsidRPr="00C76F35">
              <w:t>2016</w:t>
            </w:r>
          </w:p>
        </w:tc>
        <w:tc>
          <w:tcPr>
            <w:tcW w:w="3589" w:type="dxa"/>
            <w:vAlign w:val="center"/>
          </w:tcPr>
          <w:p w14:paraId="28D00633" w14:textId="35365E33" w:rsidR="008C3866" w:rsidRPr="00C76F35" w:rsidRDefault="008C3866" w:rsidP="008C3866">
            <w:pPr>
              <w:jc w:val="right"/>
            </w:pPr>
            <w:r w:rsidRPr="00C76F35">
              <w:t>75%</w:t>
            </w:r>
          </w:p>
        </w:tc>
        <w:tc>
          <w:tcPr>
            <w:tcW w:w="3589" w:type="dxa"/>
            <w:vAlign w:val="center"/>
          </w:tcPr>
          <w:p w14:paraId="4F8A8D1F" w14:textId="544F73F0" w:rsidR="008C3866" w:rsidRPr="00C76F35" w:rsidRDefault="008C3866" w:rsidP="008C3866">
            <w:pPr>
              <w:jc w:val="right"/>
            </w:pPr>
            <w:r w:rsidRPr="00C76F35">
              <w:t>87%</w:t>
            </w:r>
          </w:p>
        </w:tc>
      </w:tr>
    </w:tbl>
    <w:p w14:paraId="2A3C705C" w14:textId="1F4498DE" w:rsidR="009D0F08" w:rsidRPr="00C76F35" w:rsidRDefault="009D0F08" w:rsidP="009D0F08"/>
    <w:p w14:paraId="73241FAE" w14:textId="2051CE86" w:rsidR="008C3866" w:rsidRPr="00C76F35" w:rsidRDefault="008C3866" w:rsidP="008C3866">
      <w:pPr>
        <w:rPr>
          <w:b/>
        </w:rPr>
      </w:pPr>
      <w:r w:rsidRPr="00C76F35">
        <w:rPr>
          <w:b/>
        </w:rPr>
        <w:t xml:space="preserve">Table </w:t>
      </w:r>
      <w:r w:rsidRPr="00C76F35">
        <w:rPr>
          <w:b/>
        </w:rPr>
        <w:fldChar w:fldCharType="begin"/>
      </w:r>
      <w:r w:rsidRPr="00C76F35">
        <w:rPr>
          <w:b/>
        </w:rPr>
        <w:instrText xml:space="preserve"> SEQ Table \* ARABIC </w:instrText>
      </w:r>
      <w:r w:rsidRPr="00C76F35">
        <w:rPr>
          <w:b/>
        </w:rPr>
        <w:fldChar w:fldCharType="separate"/>
      </w:r>
      <w:r w:rsidR="00DB2F30">
        <w:rPr>
          <w:b/>
          <w:noProof/>
        </w:rPr>
        <w:t>15</w:t>
      </w:r>
      <w:r w:rsidRPr="00C76F35">
        <w:rPr>
          <w:b/>
        </w:rPr>
        <w:fldChar w:fldCharType="end"/>
      </w:r>
      <w:r w:rsidRPr="00C76F35">
        <w:rPr>
          <w:b/>
        </w:rPr>
        <w:t xml:space="preserve"> Children (aged 6 months - 12 years) with an emotional, developmental or behavioural difficulty. Source: Victorian Child Health and Wellbeing Survey, 2006-2017.</w:t>
      </w:r>
    </w:p>
    <w:tbl>
      <w:tblPr>
        <w:tblW w:w="5000" w:type="pct"/>
        <w:tblLook w:val="04A0" w:firstRow="1" w:lastRow="0" w:firstColumn="1" w:lastColumn="0" w:noHBand="0" w:noVBand="1"/>
      </w:tblPr>
      <w:tblGrid>
        <w:gridCol w:w="1528"/>
        <w:gridCol w:w="2494"/>
        <w:gridCol w:w="2497"/>
        <w:gridCol w:w="2497"/>
      </w:tblGrid>
      <w:tr w:rsidR="008C3866" w:rsidRPr="00C76F35" w14:paraId="75DCA2F8" w14:textId="77777777" w:rsidTr="008C3866">
        <w:trPr>
          <w:trHeight w:val="295"/>
        </w:trPr>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9193C" w14:textId="77777777" w:rsidR="008C3866" w:rsidRPr="00C76F35" w:rsidRDefault="008C3866"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Year</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14:paraId="66B9FD0B" w14:textId="77777777" w:rsidR="008C3866" w:rsidRPr="00C76F35" w:rsidRDefault="008C3866"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Statewide</w:t>
            </w:r>
          </w:p>
        </w:tc>
        <w:tc>
          <w:tcPr>
            <w:tcW w:w="1385" w:type="pct"/>
            <w:tcBorders>
              <w:top w:val="single" w:sz="4" w:space="0" w:color="auto"/>
              <w:left w:val="nil"/>
              <w:bottom w:val="single" w:sz="4" w:space="0" w:color="auto"/>
              <w:right w:val="single" w:sz="4" w:space="0" w:color="auto"/>
            </w:tcBorders>
            <w:shd w:val="clear" w:color="auto" w:fill="auto"/>
            <w:vAlign w:val="bottom"/>
            <w:hideMark/>
          </w:tcPr>
          <w:p w14:paraId="082D7EB8" w14:textId="7EEFCAA7" w:rsidR="008C3866" w:rsidRPr="00C76F35" w:rsidRDefault="008C3866"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Couple parent family</w:t>
            </w:r>
          </w:p>
        </w:tc>
        <w:tc>
          <w:tcPr>
            <w:tcW w:w="1385" w:type="pct"/>
            <w:tcBorders>
              <w:top w:val="single" w:sz="4" w:space="0" w:color="auto"/>
              <w:left w:val="nil"/>
              <w:bottom w:val="single" w:sz="4" w:space="0" w:color="auto"/>
              <w:right w:val="single" w:sz="4" w:space="0" w:color="auto"/>
            </w:tcBorders>
            <w:shd w:val="clear" w:color="auto" w:fill="auto"/>
            <w:vAlign w:val="bottom"/>
            <w:hideMark/>
          </w:tcPr>
          <w:p w14:paraId="546305A6" w14:textId="627E4650" w:rsidR="008C3866" w:rsidRPr="00C76F35" w:rsidRDefault="008C3866"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Single parent family</w:t>
            </w:r>
          </w:p>
        </w:tc>
      </w:tr>
      <w:tr w:rsidR="008C3866" w:rsidRPr="00C76F35" w14:paraId="57E50E95" w14:textId="77777777" w:rsidTr="008C3866">
        <w:trPr>
          <w:trHeight w:val="219"/>
        </w:trPr>
        <w:tc>
          <w:tcPr>
            <w:tcW w:w="847" w:type="pct"/>
            <w:tcBorders>
              <w:top w:val="nil"/>
              <w:left w:val="single" w:sz="4" w:space="0" w:color="auto"/>
              <w:bottom w:val="single" w:sz="4" w:space="0" w:color="auto"/>
              <w:right w:val="single" w:sz="4" w:space="0" w:color="auto"/>
            </w:tcBorders>
            <w:shd w:val="clear" w:color="auto" w:fill="auto"/>
            <w:noWrap/>
            <w:vAlign w:val="bottom"/>
            <w:hideMark/>
          </w:tcPr>
          <w:p w14:paraId="2C64F2FD" w14:textId="77777777" w:rsidR="008C3866" w:rsidRPr="00C76F35" w:rsidRDefault="008C3866" w:rsidP="008C3866">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2006</w:t>
            </w:r>
          </w:p>
        </w:tc>
        <w:tc>
          <w:tcPr>
            <w:tcW w:w="1383" w:type="pct"/>
            <w:tcBorders>
              <w:top w:val="nil"/>
              <w:left w:val="nil"/>
              <w:bottom w:val="single" w:sz="4" w:space="0" w:color="auto"/>
              <w:right w:val="single" w:sz="4" w:space="0" w:color="auto"/>
            </w:tcBorders>
            <w:shd w:val="clear" w:color="auto" w:fill="auto"/>
            <w:noWrap/>
            <w:vAlign w:val="bottom"/>
            <w:hideMark/>
          </w:tcPr>
          <w:p w14:paraId="37CAA728" w14:textId="77777777" w:rsidR="008C3866" w:rsidRPr="00C76F35" w:rsidRDefault="008C3866"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4.0%</w:t>
            </w:r>
          </w:p>
        </w:tc>
        <w:tc>
          <w:tcPr>
            <w:tcW w:w="1385" w:type="pct"/>
            <w:tcBorders>
              <w:top w:val="nil"/>
              <w:left w:val="nil"/>
              <w:bottom w:val="single" w:sz="4" w:space="0" w:color="auto"/>
              <w:right w:val="single" w:sz="4" w:space="0" w:color="auto"/>
            </w:tcBorders>
            <w:shd w:val="clear" w:color="auto" w:fill="auto"/>
            <w:noWrap/>
            <w:vAlign w:val="bottom"/>
            <w:hideMark/>
          </w:tcPr>
          <w:p w14:paraId="747B7BCD" w14:textId="77777777" w:rsidR="008C3866" w:rsidRPr="00C76F35" w:rsidRDefault="008C3866"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3.1%</w:t>
            </w:r>
          </w:p>
        </w:tc>
        <w:tc>
          <w:tcPr>
            <w:tcW w:w="1385" w:type="pct"/>
            <w:tcBorders>
              <w:top w:val="nil"/>
              <w:left w:val="nil"/>
              <w:bottom w:val="single" w:sz="4" w:space="0" w:color="auto"/>
              <w:right w:val="single" w:sz="4" w:space="0" w:color="auto"/>
            </w:tcBorders>
            <w:shd w:val="clear" w:color="auto" w:fill="auto"/>
            <w:noWrap/>
            <w:vAlign w:val="bottom"/>
            <w:hideMark/>
          </w:tcPr>
          <w:p w14:paraId="4049523F" w14:textId="77777777" w:rsidR="008C3866" w:rsidRPr="00C76F35" w:rsidRDefault="008C3866"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9.5%</w:t>
            </w:r>
          </w:p>
        </w:tc>
      </w:tr>
      <w:tr w:rsidR="008C3866" w:rsidRPr="00C76F35" w14:paraId="1780E418" w14:textId="77777777" w:rsidTr="008C3866">
        <w:trPr>
          <w:trHeight w:val="219"/>
        </w:trPr>
        <w:tc>
          <w:tcPr>
            <w:tcW w:w="847" w:type="pct"/>
            <w:tcBorders>
              <w:top w:val="nil"/>
              <w:left w:val="single" w:sz="4" w:space="0" w:color="auto"/>
              <w:bottom w:val="single" w:sz="4" w:space="0" w:color="auto"/>
              <w:right w:val="single" w:sz="4" w:space="0" w:color="auto"/>
            </w:tcBorders>
            <w:shd w:val="clear" w:color="auto" w:fill="auto"/>
            <w:noWrap/>
            <w:vAlign w:val="bottom"/>
            <w:hideMark/>
          </w:tcPr>
          <w:p w14:paraId="2FCED471" w14:textId="77777777" w:rsidR="008C3866" w:rsidRPr="00C76F35" w:rsidRDefault="008C3866" w:rsidP="008C3866">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2017</w:t>
            </w:r>
          </w:p>
        </w:tc>
        <w:tc>
          <w:tcPr>
            <w:tcW w:w="1383" w:type="pct"/>
            <w:tcBorders>
              <w:top w:val="nil"/>
              <w:left w:val="nil"/>
              <w:bottom w:val="single" w:sz="4" w:space="0" w:color="auto"/>
              <w:right w:val="single" w:sz="4" w:space="0" w:color="auto"/>
            </w:tcBorders>
            <w:shd w:val="clear" w:color="auto" w:fill="auto"/>
            <w:noWrap/>
            <w:vAlign w:val="bottom"/>
            <w:hideMark/>
          </w:tcPr>
          <w:p w14:paraId="2CB8B836" w14:textId="77777777" w:rsidR="008C3866" w:rsidRPr="00C76F35" w:rsidRDefault="008C3866"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10.1%</w:t>
            </w:r>
          </w:p>
        </w:tc>
        <w:tc>
          <w:tcPr>
            <w:tcW w:w="1385" w:type="pct"/>
            <w:tcBorders>
              <w:top w:val="nil"/>
              <w:left w:val="nil"/>
              <w:bottom w:val="single" w:sz="4" w:space="0" w:color="auto"/>
              <w:right w:val="single" w:sz="4" w:space="0" w:color="auto"/>
            </w:tcBorders>
            <w:shd w:val="clear" w:color="auto" w:fill="auto"/>
            <w:noWrap/>
            <w:vAlign w:val="bottom"/>
            <w:hideMark/>
          </w:tcPr>
          <w:p w14:paraId="457FBC32" w14:textId="77777777" w:rsidR="008C3866" w:rsidRPr="00C76F35" w:rsidRDefault="008C3866"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7.7%</w:t>
            </w:r>
          </w:p>
        </w:tc>
        <w:tc>
          <w:tcPr>
            <w:tcW w:w="1385" w:type="pct"/>
            <w:tcBorders>
              <w:top w:val="nil"/>
              <w:left w:val="nil"/>
              <w:bottom w:val="single" w:sz="4" w:space="0" w:color="auto"/>
              <w:right w:val="single" w:sz="4" w:space="0" w:color="auto"/>
            </w:tcBorders>
            <w:shd w:val="clear" w:color="auto" w:fill="auto"/>
            <w:noWrap/>
            <w:vAlign w:val="bottom"/>
            <w:hideMark/>
          </w:tcPr>
          <w:p w14:paraId="50639611" w14:textId="77777777" w:rsidR="008C3866" w:rsidRPr="00C76F35" w:rsidRDefault="008C3866"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22.2%</w:t>
            </w:r>
          </w:p>
        </w:tc>
      </w:tr>
    </w:tbl>
    <w:p w14:paraId="25A94063" w14:textId="77777777" w:rsidR="008C3866" w:rsidRPr="00C76F35" w:rsidRDefault="008C3866" w:rsidP="009D0F08"/>
    <w:p w14:paraId="5F40EBE9" w14:textId="29058FFA" w:rsidR="009D0F08" w:rsidRPr="00C76F35" w:rsidRDefault="009D0F08" w:rsidP="00DB2F30">
      <w:r w:rsidRPr="00C76F35">
        <w:t>Monitoring protective factors such as nutrition and physical activity provides insight into the physical and mental health of children and young people.</w:t>
      </w:r>
    </w:p>
    <w:p w14:paraId="58A74341" w14:textId="531D9163" w:rsidR="009D0F08" w:rsidRPr="00C76F35" w:rsidRDefault="008C3866" w:rsidP="00DB2F30">
      <w:r w:rsidRPr="00C76F35">
        <w:t>T</w:t>
      </w:r>
      <w:r w:rsidR="009D0F08" w:rsidRPr="00C76F35">
        <w:t xml:space="preserve">he proportion of children who are physically active has declined to around six in </w:t>
      </w:r>
      <w:r w:rsidRPr="00C76F35">
        <w:t>ten</w:t>
      </w:r>
      <w:r w:rsidR="009D0F08" w:rsidRPr="00C76F35">
        <w:t>, and is lower for those in metropolitan areas.</w:t>
      </w:r>
    </w:p>
    <w:p w14:paraId="305F5264" w14:textId="180863D9" w:rsidR="008C3866" w:rsidRPr="00C76F35" w:rsidRDefault="008C3866" w:rsidP="00DB2F30">
      <w:r w:rsidRPr="00C76F35">
        <w:t xml:space="preserve">Meanwhile, over 30 per cent of 5-17 year olds in Victoria are overweight or obese. Younger children (aged 5-11) are overweight or obese at higher rates. </w:t>
      </w:r>
    </w:p>
    <w:p w14:paraId="4BE29952" w14:textId="0214E3F8" w:rsidR="00A95A9C" w:rsidRPr="00C76F35" w:rsidRDefault="00A95A9C" w:rsidP="00A95A9C">
      <w:pPr>
        <w:rPr>
          <w:b/>
        </w:rPr>
      </w:pPr>
      <w:r w:rsidRPr="00C76F35">
        <w:rPr>
          <w:b/>
        </w:rPr>
        <w:t xml:space="preserve">Table </w:t>
      </w:r>
      <w:r w:rsidRPr="00C76F35">
        <w:rPr>
          <w:b/>
        </w:rPr>
        <w:fldChar w:fldCharType="begin"/>
      </w:r>
      <w:r w:rsidRPr="00C76F35">
        <w:rPr>
          <w:b/>
        </w:rPr>
        <w:instrText xml:space="preserve"> SEQ Table \* ARABIC </w:instrText>
      </w:r>
      <w:r w:rsidRPr="00C76F35">
        <w:rPr>
          <w:b/>
        </w:rPr>
        <w:fldChar w:fldCharType="separate"/>
      </w:r>
      <w:r w:rsidR="00DB2F30">
        <w:rPr>
          <w:b/>
          <w:noProof/>
        </w:rPr>
        <w:t>16</w:t>
      </w:r>
      <w:r w:rsidRPr="00C76F35">
        <w:rPr>
          <w:b/>
        </w:rPr>
        <w:fldChar w:fldCharType="end"/>
      </w:r>
      <w:r w:rsidRPr="00C76F35">
        <w:rPr>
          <w:b/>
        </w:rPr>
        <w:t xml:space="preserve"> Children (aged 5-12) who are physically active for over 60 minutes daily, Victoria. Source: Victorian Child Health and Wellbeing Survey, 2006-2017.</w:t>
      </w:r>
    </w:p>
    <w:tbl>
      <w:tblPr>
        <w:tblW w:w="5000" w:type="pct"/>
        <w:tblLook w:val="04A0" w:firstRow="1" w:lastRow="0" w:firstColumn="1" w:lastColumn="0" w:noHBand="0" w:noVBand="1"/>
      </w:tblPr>
      <w:tblGrid>
        <w:gridCol w:w="2254"/>
        <w:gridCol w:w="2254"/>
        <w:gridCol w:w="2254"/>
        <w:gridCol w:w="2254"/>
      </w:tblGrid>
      <w:tr w:rsidR="008C3866" w:rsidRPr="00C76F35" w14:paraId="5B3418E7" w14:textId="77777777" w:rsidTr="008C3866">
        <w:trPr>
          <w:trHeight w:val="77"/>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0F3E04" w14:textId="77777777" w:rsidR="008C3866" w:rsidRPr="00C76F35" w:rsidRDefault="008C3866"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Year</w:t>
            </w:r>
          </w:p>
        </w:tc>
        <w:tc>
          <w:tcPr>
            <w:tcW w:w="1250" w:type="pct"/>
            <w:tcBorders>
              <w:top w:val="single" w:sz="4" w:space="0" w:color="auto"/>
              <w:left w:val="nil"/>
              <w:bottom w:val="single" w:sz="4" w:space="0" w:color="auto"/>
              <w:right w:val="single" w:sz="4" w:space="0" w:color="auto"/>
            </w:tcBorders>
            <w:shd w:val="clear" w:color="auto" w:fill="auto"/>
            <w:vAlign w:val="bottom"/>
            <w:hideMark/>
          </w:tcPr>
          <w:p w14:paraId="03CAEA16" w14:textId="77777777" w:rsidR="008C3866" w:rsidRPr="00C76F35" w:rsidRDefault="008C3866"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Statewide</w:t>
            </w:r>
          </w:p>
        </w:tc>
        <w:tc>
          <w:tcPr>
            <w:tcW w:w="1250" w:type="pct"/>
            <w:tcBorders>
              <w:top w:val="single" w:sz="4" w:space="0" w:color="auto"/>
              <w:left w:val="nil"/>
              <w:bottom w:val="single" w:sz="4" w:space="0" w:color="auto"/>
              <w:right w:val="single" w:sz="4" w:space="0" w:color="auto"/>
            </w:tcBorders>
            <w:shd w:val="clear" w:color="auto" w:fill="auto"/>
            <w:vAlign w:val="bottom"/>
            <w:hideMark/>
          </w:tcPr>
          <w:p w14:paraId="1A82FE2C" w14:textId="77777777" w:rsidR="008C3866" w:rsidRPr="00C76F35" w:rsidRDefault="008C3866"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Metro</w:t>
            </w:r>
          </w:p>
        </w:tc>
        <w:tc>
          <w:tcPr>
            <w:tcW w:w="1250" w:type="pct"/>
            <w:tcBorders>
              <w:top w:val="single" w:sz="4" w:space="0" w:color="auto"/>
              <w:left w:val="nil"/>
              <w:bottom w:val="single" w:sz="4" w:space="0" w:color="auto"/>
              <w:right w:val="single" w:sz="4" w:space="0" w:color="auto"/>
            </w:tcBorders>
            <w:shd w:val="clear" w:color="auto" w:fill="auto"/>
            <w:vAlign w:val="bottom"/>
            <w:hideMark/>
          </w:tcPr>
          <w:p w14:paraId="2E5DAFF5" w14:textId="77777777" w:rsidR="008C3866" w:rsidRPr="00C76F35" w:rsidRDefault="008C3866" w:rsidP="008C3866">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Rural</w:t>
            </w:r>
          </w:p>
        </w:tc>
      </w:tr>
      <w:tr w:rsidR="00C76F35" w:rsidRPr="00C76F35" w14:paraId="6FB81C86" w14:textId="77777777" w:rsidTr="008C3866">
        <w:trPr>
          <w:trHeight w:val="275"/>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78AC3A05" w14:textId="77777777" w:rsidR="008C3866" w:rsidRPr="00C76F35" w:rsidRDefault="008C3866" w:rsidP="008C3866">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2006</w:t>
            </w:r>
          </w:p>
        </w:tc>
        <w:tc>
          <w:tcPr>
            <w:tcW w:w="1250" w:type="pct"/>
            <w:tcBorders>
              <w:top w:val="nil"/>
              <w:left w:val="nil"/>
              <w:bottom w:val="single" w:sz="4" w:space="0" w:color="auto"/>
              <w:right w:val="single" w:sz="4" w:space="0" w:color="auto"/>
            </w:tcBorders>
            <w:shd w:val="clear" w:color="auto" w:fill="auto"/>
            <w:noWrap/>
            <w:vAlign w:val="bottom"/>
            <w:hideMark/>
          </w:tcPr>
          <w:p w14:paraId="023AC56F" w14:textId="11568E9F" w:rsidR="008C3866" w:rsidRPr="00C76F35" w:rsidRDefault="008C3866"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71%</w:t>
            </w:r>
          </w:p>
        </w:tc>
        <w:tc>
          <w:tcPr>
            <w:tcW w:w="1250" w:type="pct"/>
            <w:tcBorders>
              <w:top w:val="nil"/>
              <w:left w:val="nil"/>
              <w:bottom w:val="single" w:sz="4" w:space="0" w:color="auto"/>
              <w:right w:val="single" w:sz="4" w:space="0" w:color="auto"/>
            </w:tcBorders>
            <w:shd w:val="clear" w:color="auto" w:fill="auto"/>
            <w:noWrap/>
            <w:vAlign w:val="bottom"/>
            <w:hideMark/>
          </w:tcPr>
          <w:p w14:paraId="23B4F14B" w14:textId="47312FA5" w:rsidR="008C3866" w:rsidRPr="00C76F35" w:rsidRDefault="008C3866" w:rsidP="00A95A9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70%</w:t>
            </w:r>
          </w:p>
        </w:tc>
        <w:tc>
          <w:tcPr>
            <w:tcW w:w="1250" w:type="pct"/>
            <w:tcBorders>
              <w:top w:val="nil"/>
              <w:left w:val="nil"/>
              <w:bottom w:val="single" w:sz="4" w:space="0" w:color="auto"/>
              <w:right w:val="single" w:sz="4" w:space="0" w:color="auto"/>
            </w:tcBorders>
            <w:shd w:val="clear" w:color="auto" w:fill="auto"/>
            <w:noWrap/>
            <w:vAlign w:val="bottom"/>
            <w:hideMark/>
          </w:tcPr>
          <w:p w14:paraId="6F99860A" w14:textId="7B0CF97C" w:rsidR="008C3866" w:rsidRPr="00C76F35" w:rsidRDefault="008C3866" w:rsidP="00A95A9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7</w:t>
            </w:r>
            <w:r w:rsidR="00A95A9C" w:rsidRPr="00C76F35">
              <w:rPr>
                <w:rFonts w:ascii="Calibri" w:eastAsia="Times New Roman" w:hAnsi="Calibri" w:cs="Calibri"/>
                <w:lang w:eastAsia="en-AU"/>
              </w:rPr>
              <w:t>4</w:t>
            </w:r>
            <w:r w:rsidRPr="00C76F35">
              <w:rPr>
                <w:rFonts w:ascii="Calibri" w:eastAsia="Times New Roman" w:hAnsi="Calibri" w:cs="Calibri"/>
                <w:lang w:eastAsia="en-AU"/>
              </w:rPr>
              <w:t>%</w:t>
            </w:r>
          </w:p>
        </w:tc>
      </w:tr>
      <w:tr w:rsidR="00C76F35" w:rsidRPr="00C76F35" w14:paraId="3F195BDC" w14:textId="77777777" w:rsidTr="008C3866">
        <w:trPr>
          <w:trHeight w:val="275"/>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485CA177" w14:textId="77777777" w:rsidR="008C3866" w:rsidRPr="00C76F35" w:rsidRDefault="008C3866" w:rsidP="008C3866">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2017</w:t>
            </w:r>
          </w:p>
        </w:tc>
        <w:tc>
          <w:tcPr>
            <w:tcW w:w="1250" w:type="pct"/>
            <w:tcBorders>
              <w:top w:val="nil"/>
              <w:left w:val="nil"/>
              <w:bottom w:val="single" w:sz="4" w:space="0" w:color="auto"/>
              <w:right w:val="single" w:sz="4" w:space="0" w:color="auto"/>
            </w:tcBorders>
            <w:shd w:val="clear" w:color="auto" w:fill="auto"/>
            <w:noWrap/>
            <w:vAlign w:val="bottom"/>
            <w:hideMark/>
          </w:tcPr>
          <w:p w14:paraId="24AB3F41" w14:textId="6F830398" w:rsidR="008C3866" w:rsidRPr="00C76F35" w:rsidRDefault="00A95A9C"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59</w:t>
            </w:r>
            <w:r w:rsidR="008C3866" w:rsidRPr="00C76F35">
              <w:rPr>
                <w:rFonts w:ascii="Calibri" w:eastAsia="Times New Roman" w:hAnsi="Calibri" w:cs="Calibri"/>
                <w:lang w:eastAsia="en-AU"/>
              </w:rPr>
              <w:t>%</w:t>
            </w:r>
          </w:p>
        </w:tc>
        <w:tc>
          <w:tcPr>
            <w:tcW w:w="1250" w:type="pct"/>
            <w:tcBorders>
              <w:top w:val="nil"/>
              <w:left w:val="nil"/>
              <w:bottom w:val="single" w:sz="4" w:space="0" w:color="auto"/>
              <w:right w:val="single" w:sz="4" w:space="0" w:color="auto"/>
            </w:tcBorders>
            <w:shd w:val="clear" w:color="auto" w:fill="auto"/>
            <w:noWrap/>
            <w:vAlign w:val="bottom"/>
            <w:hideMark/>
          </w:tcPr>
          <w:p w14:paraId="58A65F1A" w14:textId="0ABDDB77" w:rsidR="008C3866" w:rsidRPr="00C76F35" w:rsidRDefault="00A95A9C" w:rsidP="008C3866">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58</w:t>
            </w:r>
            <w:r w:rsidR="008C3866" w:rsidRPr="00C76F35">
              <w:rPr>
                <w:rFonts w:ascii="Calibri" w:eastAsia="Times New Roman" w:hAnsi="Calibri" w:cs="Calibri"/>
                <w:lang w:eastAsia="en-AU"/>
              </w:rPr>
              <w:t>%</w:t>
            </w:r>
          </w:p>
        </w:tc>
        <w:tc>
          <w:tcPr>
            <w:tcW w:w="1250" w:type="pct"/>
            <w:tcBorders>
              <w:top w:val="nil"/>
              <w:left w:val="nil"/>
              <w:bottom w:val="single" w:sz="4" w:space="0" w:color="auto"/>
              <w:right w:val="single" w:sz="4" w:space="0" w:color="auto"/>
            </w:tcBorders>
            <w:shd w:val="clear" w:color="auto" w:fill="auto"/>
            <w:noWrap/>
            <w:vAlign w:val="bottom"/>
            <w:hideMark/>
          </w:tcPr>
          <w:p w14:paraId="019B5505" w14:textId="1CC375A9" w:rsidR="008C3866" w:rsidRPr="00C76F35" w:rsidRDefault="008C3866" w:rsidP="00A95A9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6</w:t>
            </w:r>
            <w:r w:rsidR="00A95A9C" w:rsidRPr="00C76F35">
              <w:rPr>
                <w:rFonts w:ascii="Calibri" w:eastAsia="Times New Roman" w:hAnsi="Calibri" w:cs="Calibri"/>
                <w:lang w:eastAsia="en-AU"/>
              </w:rPr>
              <w:t>3</w:t>
            </w:r>
            <w:r w:rsidRPr="00C76F35">
              <w:rPr>
                <w:rFonts w:ascii="Calibri" w:eastAsia="Times New Roman" w:hAnsi="Calibri" w:cs="Calibri"/>
                <w:lang w:eastAsia="en-AU"/>
              </w:rPr>
              <w:t>%</w:t>
            </w:r>
          </w:p>
        </w:tc>
      </w:tr>
    </w:tbl>
    <w:p w14:paraId="148E4DD3" w14:textId="77777777" w:rsidR="00DB2F30" w:rsidRPr="00C76F35" w:rsidRDefault="00DB2F30" w:rsidP="008C3866"/>
    <w:p w14:paraId="73698CE9" w14:textId="064CCDE8" w:rsidR="00A95A9C" w:rsidRPr="00C76F35" w:rsidRDefault="00A95A9C" w:rsidP="00A95A9C">
      <w:pPr>
        <w:rPr>
          <w:b/>
        </w:rPr>
      </w:pPr>
      <w:r w:rsidRPr="00C76F35">
        <w:rPr>
          <w:b/>
        </w:rPr>
        <w:t xml:space="preserve">Table </w:t>
      </w:r>
      <w:r w:rsidRPr="00C76F35">
        <w:rPr>
          <w:b/>
        </w:rPr>
        <w:fldChar w:fldCharType="begin"/>
      </w:r>
      <w:r w:rsidRPr="00C76F35">
        <w:rPr>
          <w:b/>
        </w:rPr>
        <w:instrText xml:space="preserve"> SEQ Table \* ARABIC </w:instrText>
      </w:r>
      <w:r w:rsidRPr="00C76F35">
        <w:rPr>
          <w:b/>
        </w:rPr>
        <w:fldChar w:fldCharType="separate"/>
      </w:r>
      <w:r w:rsidR="00DB2F30">
        <w:rPr>
          <w:b/>
          <w:noProof/>
        </w:rPr>
        <w:t>17</w:t>
      </w:r>
      <w:r w:rsidRPr="00C76F35">
        <w:rPr>
          <w:b/>
        </w:rPr>
        <w:fldChar w:fldCharType="end"/>
      </w:r>
      <w:r w:rsidRPr="00C76F35">
        <w:rPr>
          <w:b/>
        </w:rPr>
        <w:t xml:space="preserve"> Children (aged 5-17) who are overweight or obese, Victoria, 2014-15. Source: Australian Bureau of Statistics, cat no 4364.0, 2015.</w:t>
      </w:r>
    </w:p>
    <w:tbl>
      <w:tblPr>
        <w:tblW w:w="5000" w:type="pct"/>
        <w:tblLook w:val="04A0" w:firstRow="1" w:lastRow="0" w:firstColumn="1" w:lastColumn="0" w:noHBand="0" w:noVBand="1"/>
        <w:tblCaption w:val="Proportion of children (aged 5-17) who are overweight or obese, by age group and gender, Victoria, 2014-15."/>
        <w:tblDescription w:val="Proportion of Victorian children (aged 5-17) who are overweight or obese, by age group and gender (males and females), 2014-15. Source: Australian Bureau of Statistics (cat no. 4634.0), 2015. "/>
      </w:tblPr>
      <w:tblGrid>
        <w:gridCol w:w="1914"/>
        <w:gridCol w:w="1401"/>
        <w:gridCol w:w="1352"/>
        <w:gridCol w:w="1560"/>
        <w:gridCol w:w="1426"/>
        <w:gridCol w:w="1363"/>
      </w:tblGrid>
      <w:tr w:rsidR="00C76F35" w:rsidRPr="00C76F35" w14:paraId="1A82BDDB" w14:textId="77777777" w:rsidTr="00F937CC">
        <w:trPr>
          <w:trHeight w:val="227"/>
        </w:trPr>
        <w:tc>
          <w:tcPr>
            <w:tcW w:w="10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14D8C" w14:textId="06A4253F" w:rsidR="00A95A9C" w:rsidRPr="00C76F35" w:rsidRDefault="00A95A9C" w:rsidP="00F937CC">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 xml:space="preserve">Year </w:t>
            </w:r>
          </w:p>
        </w:tc>
        <w:tc>
          <w:tcPr>
            <w:tcW w:w="777" w:type="pct"/>
            <w:tcBorders>
              <w:top w:val="single" w:sz="4" w:space="0" w:color="auto"/>
              <w:left w:val="nil"/>
              <w:bottom w:val="single" w:sz="4" w:space="0" w:color="auto"/>
              <w:right w:val="single" w:sz="4" w:space="0" w:color="auto"/>
            </w:tcBorders>
            <w:shd w:val="clear" w:color="auto" w:fill="auto"/>
            <w:noWrap/>
            <w:vAlign w:val="center"/>
            <w:hideMark/>
          </w:tcPr>
          <w:p w14:paraId="2418C4C9" w14:textId="77777777" w:rsidR="00A95A9C" w:rsidRPr="00C76F35" w:rsidRDefault="00A95A9C" w:rsidP="00A95A9C">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5-7 years</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14:paraId="65420D16" w14:textId="77777777" w:rsidR="00A95A9C" w:rsidRPr="00C76F35" w:rsidRDefault="00A95A9C" w:rsidP="00A95A9C">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8-11 years</w:t>
            </w:r>
          </w:p>
        </w:tc>
        <w:tc>
          <w:tcPr>
            <w:tcW w:w="865" w:type="pct"/>
            <w:tcBorders>
              <w:top w:val="single" w:sz="4" w:space="0" w:color="auto"/>
              <w:left w:val="nil"/>
              <w:bottom w:val="single" w:sz="4" w:space="0" w:color="auto"/>
              <w:right w:val="single" w:sz="4" w:space="0" w:color="auto"/>
            </w:tcBorders>
            <w:shd w:val="clear" w:color="auto" w:fill="auto"/>
            <w:noWrap/>
            <w:vAlign w:val="center"/>
            <w:hideMark/>
          </w:tcPr>
          <w:p w14:paraId="31FCFC6E" w14:textId="77777777" w:rsidR="00A95A9C" w:rsidRPr="00C76F35" w:rsidRDefault="00A95A9C" w:rsidP="00A95A9C">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12-15 years</w:t>
            </w:r>
          </w:p>
        </w:tc>
        <w:tc>
          <w:tcPr>
            <w:tcW w:w="791" w:type="pct"/>
            <w:tcBorders>
              <w:top w:val="single" w:sz="4" w:space="0" w:color="auto"/>
              <w:left w:val="nil"/>
              <w:bottom w:val="single" w:sz="4" w:space="0" w:color="auto"/>
              <w:right w:val="single" w:sz="4" w:space="0" w:color="auto"/>
            </w:tcBorders>
            <w:shd w:val="clear" w:color="auto" w:fill="auto"/>
            <w:noWrap/>
            <w:vAlign w:val="center"/>
            <w:hideMark/>
          </w:tcPr>
          <w:p w14:paraId="516CCFF7" w14:textId="77777777" w:rsidR="00A95A9C" w:rsidRPr="00C76F35" w:rsidRDefault="00A95A9C" w:rsidP="00A95A9C">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16-17 years</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14:paraId="567325EC" w14:textId="77777777" w:rsidR="00A95A9C" w:rsidRPr="00C76F35" w:rsidRDefault="00A95A9C" w:rsidP="00A95A9C">
            <w:pPr>
              <w:spacing w:after="0" w:line="240" w:lineRule="auto"/>
              <w:jc w:val="center"/>
              <w:rPr>
                <w:rFonts w:ascii="Calibri" w:eastAsia="Times New Roman" w:hAnsi="Calibri" w:cs="Calibri"/>
                <w:b/>
                <w:bCs/>
                <w:lang w:eastAsia="en-AU"/>
              </w:rPr>
            </w:pPr>
            <w:r w:rsidRPr="00C76F35">
              <w:rPr>
                <w:rFonts w:ascii="Calibri" w:eastAsia="Times New Roman" w:hAnsi="Calibri" w:cs="Calibri"/>
                <w:b/>
                <w:bCs/>
                <w:lang w:eastAsia="en-AU"/>
              </w:rPr>
              <w:t>5-17 years</w:t>
            </w:r>
          </w:p>
        </w:tc>
      </w:tr>
      <w:tr w:rsidR="00C76F35" w:rsidRPr="00C76F35" w14:paraId="48F0F755" w14:textId="77777777" w:rsidTr="00F937CC">
        <w:trPr>
          <w:trHeight w:val="227"/>
        </w:trPr>
        <w:tc>
          <w:tcPr>
            <w:tcW w:w="1061" w:type="pct"/>
            <w:tcBorders>
              <w:top w:val="nil"/>
              <w:left w:val="single" w:sz="4" w:space="0" w:color="auto"/>
              <w:bottom w:val="single" w:sz="4" w:space="0" w:color="auto"/>
              <w:right w:val="single" w:sz="4" w:space="0" w:color="auto"/>
            </w:tcBorders>
            <w:shd w:val="clear" w:color="auto" w:fill="auto"/>
            <w:noWrap/>
            <w:vAlign w:val="bottom"/>
            <w:hideMark/>
          </w:tcPr>
          <w:p w14:paraId="1A6362FD" w14:textId="4531B4C9" w:rsidR="00A95A9C" w:rsidRPr="00C76F35" w:rsidRDefault="00A95A9C"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lastRenderedPageBreak/>
              <w:t>2014-15</w:t>
            </w:r>
          </w:p>
        </w:tc>
        <w:tc>
          <w:tcPr>
            <w:tcW w:w="777" w:type="pct"/>
            <w:tcBorders>
              <w:top w:val="nil"/>
              <w:left w:val="nil"/>
              <w:bottom w:val="single" w:sz="4" w:space="0" w:color="auto"/>
              <w:right w:val="single" w:sz="4" w:space="0" w:color="auto"/>
            </w:tcBorders>
            <w:shd w:val="clear" w:color="auto" w:fill="auto"/>
            <w:noWrap/>
            <w:vAlign w:val="bottom"/>
            <w:hideMark/>
          </w:tcPr>
          <w:p w14:paraId="71D933DD" w14:textId="77777777" w:rsidR="00A95A9C" w:rsidRPr="00C76F35" w:rsidRDefault="00A95A9C"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34.3%</w:t>
            </w:r>
          </w:p>
        </w:tc>
        <w:tc>
          <w:tcPr>
            <w:tcW w:w="750" w:type="pct"/>
            <w:tcBorders>
              <w:top w:val="nil"/>
              <w:left w:val="nil"/>
              <w:bottom w:val="single" w:sz="4" w:space="0" w:color="auto"/>
              <w:right w:val="single" w:sz="4" w:space="0" w:color="auto"/>
            </w:tcBorders>
            <w:shd w:val="clear" w:color="auto" w:fill="auto"/>
            <w:noWrap/>
            <w:vAlign w:val="bottom"/>
            <w:hideMark/>
          </w:tcPr>
          <w:p w14:paraId="34A788B7" w14:textId="77777777" w:rsidR="00A95A9C" w:rsidRPr="00C76F35" w:rsidRDefault="00A95A9C"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34.5%</w:t>
            </w:r>
          </w:p>
        </w:tc>
        <w:tc>
          <w:tcPr>
            <w:tcW w:w="865" w:type="pct"/>
            <w:tcBorders>
              <w:top w:val="nil"/>
              <w:left w:val="nil"/>
              <w:bottom w:val="single" w:sz="4" w:space="0" w:color="auto"/>
              <w:right w:val="single" w:sz="4" w:space="0" w:color="auto"/>
            </w:tcBorders>
            <w:shd w:val="clear" w:color="auto" w:fill="auto"/>
            <w:noWrap/>
            <w:vAlign w:val="bottom"/>
            <w:hideMark/>
          </w:tcPr>
          <w:p w14:paraId="1A34AFD2" w14:textId="77777777" w:rsidR="00A95A9C" w:rsidRPr="00C76F35" w:rsidRDefault="00A95A9C"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26.8%</w:t>
            </w:r>
          </w:p>
        </w:tc>
        <w:tc>
          <w:tcPr>
            <w:tcW w:w="791" w:type="pct"/>
            <w:tcBorders>
              <w:top w:val="nil"/>
              <w:left w:val="nil"/>
              <w:bottom w:val="single" w:sz="4" w:space="0" w:color="auto"/>
              <w:right w:val="single" w:sz="4" w:space="0" w:color="auto"/>
            </w:tcBorders>
            <w:shd w:val="clear" w:color="auto" w:fill="auto"/>
            <w:noWrap/>
            <w:vAlign w:val="bottom"/>
            <w:hideMark/>
          </w:tcPr>
          <w:p w14:paraId="7249CEDF" w14:textId="77777777" w:rsidR="00A95A9C" w:rsidRPr="00C76F35" w:rsidRDefault="00A95A9C"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26.4%</w:t>
            </w:r>
          </w:p>
        </w:tc>
        <w:tc>
          <w:tcPr>
            <w:tcW w:w="756" w:type="pct"/>
            <w:tcBorders>
              <w:top w:val="nil"/>
              <w:left w:val="nil"/>
              <w:bottom w:val="single" w:sz="4" w:space="0" w:color="auto"/>
              <w:right w:val="single" w:sz="4" w:space="0" w:color="auto"/>
            </w:tcBorders>
            <w:shd w:val="clear" w:color="auto" w:fill="auto"/>
            <w:noWrap/>
            <w:vAlign w:val="bottom"/>
            <w:hideMark/>
          </w:tcPr>
          <w:p w14:paraId="14923B13" w14:textId="77777777" w:rsidR="00A95A9C" w:rsidRPr="00C76F35" w:rsidRDefault="00A95A9C" w:rsidP="00F937CC">
            <w:pPr>
              <w:spacing w:after="0" w:line="240" w:lineRule="auto"/>
              <w:jc w:val="right"/>
              <w:rPr>
                <w:rFonts w:ascii="Calibri" w:eastAsia="Times New Roman" w:hAnsi="Calibri" w:cs="Calibri"/>
                <w:b/>
                <w:bCs/>
                <w:lang w:eastAsia="en-AU"/>
              </w:rPr>
            </w:pPr>
            <w:r w:rsidRPr="00C76F35">
              <w:rPr>
                <w:rFonts w:ascii="Calibri" w:eastAsia="Times New Roman" w:hAnsi="Calibri" w:cs="Calibri"/>
                <w:b/>
                <w:bCs/>
                <w:lang w:eastAsia="en-AU"/>
              </w:rPr>
              <w:t>30.9%</w:t>
            </w:r>
          </w:p>
        </w:tc>
      </w:tr>
    </w:tbl>
    <w:p w14:paraId="0DD793E4" w14:textId="77777777" w:rsidR="00A95A9C" w:rsidRPr="00C76F35" w:rsidRDefault="00A95A9C" w:rsidP="00DB2F30"/>
    <w:p w14:paraId="424BA4EE" w14:textId="39D8672C" w:rsidR="00DB2F30" w:rsidRDefault="00A95A9C" w:rsidP="00DB2F30">
      <w:r w:rsidRPr="00C76F35">
        <w:t>C</w:t>
      </w:r>
      <w:r w:rsidR="009D0F08" w:rsidRPr="00C76F35">
        <w:t xml:space="preserve">ertain risky behaviours, </w:t>
      </w:r>
      <w:r w:rsidRPr="00C76F35">
        <w:t>such as smoking and drinking, are important</w:t>
      </w:r>
      <w:r w:rsidR="009D0F08" w:rsidRPr="00C76F35">
        <w:t xml:space="preserve"> indicator</w:t>
      </w:r>
      <w:r w:rsidRPr="00C76F35">
        <w:t>s</w:t>
      </w:r>
      <w:r w:rsidR="009D0F08" w:rsidRPr="00C76F35">
        <w:t xml:space="preserve"> of the </w:t>
      </w:r>
      <w:r w:rsidRPr="00C76F35">
        <w:t xml:space="preserve">current and future </w:t>
      </w:r>
      <w:r w:rsidR="009D0F08" w:rsidRPr="00C76F35">
        <w:t>health and wellbeing of young people.</w:t>
      </w:r>
    </w:p>
    <w:p w14:paraId="3DFAD1CF" w14:textId="680ABE24" w:rsidR="00DB2F30" w:rsidRDefault="00DB2F30" w:rsidP="00DB2F30">
      <w:r>
        <w:t>Behaviours like smoking, drinking and drug taking are strongly associated with negative impacts on physical and mental health.</w:t>
      </w:r>
    </w:p>
    <w:p w14:paraId="606556DF" w14:textId="7C219EF4" w:rsidR="009D0F08" w:rsidRPr="00C76F35" w:rsidRDefault="009D0F08" w:rsidP="00DB2F30">
      <w:r w:rsidRPr="00C76F35">
        <w:t>While overall rates have reduced</w:t>
      </w:r>
      <w:r w:rsidR="00A95A9C" w:rsidRPr="00C76F35">
        <w:t xml:space="preserve"> slightly, children from single </w:t>
      </w:r>
      <w:r w:rsidRPr="00C76F35">
        <w:t xml:space="preserve">parent families are more likely to </w:t>
      </w:r>
      <w:r w:rsidR="00A95A9C" w:rsidRPr="00C76F35">
        <w:t xml:space="preserve">have </w:t>
      </w:r>
      <w:r w:rsidRPr="00C76F35">
        <w:t>engage</w:t>
      </w:r>
      <w:r w:rsidR="00A95A9C" w:rsidRPr="00C76F35">
        <w:t>d</w:t>
      </w:r>
      <w:r w:rsidRPr="00C76F35">
        <w:t xml:space="preserve"> in risky be</w:t>
      </w:r>
      <w:r w:rsidR="00A95A9C" w:rsidRPr="00C76F35">
        <w:t>haviours than those from couple</w:t>
      </w:r>
      <w:r w:rsidRPr="00C76F35">
        <w:t xml:space="preserve"> parent families.</w:t>
      </w:r>
    </w:p>
    <w:p w14:paraId="730D2590" w14:textId="1CC23330" w:rsidR="00CA0DB7" w:rsidRPr="00C76F35" w:rsidRDefault="00CA0DB7" w:rsidP="00CA0DB7">
      <w:pPr>
        <w:rPr>
          <w:b/>
        </w:rPr>
      </w:pPr>
      <w:r w:rsidRPr="00C76F35">
        <w:rPr>
          <w:b/>
        </w:rPr>
        <w:t xml:space="preserve">Table </w:t>
      </w:r>
      <w:r w:rsidRPr="00C76F35">
        <w:rPr>
          <w:b/>
        </w:rPr>
        <w:fldChar w:fldCharType="begin"/>
      </w:r>
      <w:r w:rsidRPr="00C76F35">
        <w:rPr>
          <w:b/>
        </w:rPr>
        <w:instrText xml:space="preserve"> SEQ Table \* ARABIC </w:instrText>
      </w:r>
      <w:r w:rsidRPr="00C76F35">
        <w:rPr>
          <w:b/>
        </w:rPr>
        <w:fldChar w:fldCharType="separate"/>
      </w:r>
      <w:r w:rsidR="00DB2F30">
        <w:rPr>
          <w:b/>
          <w:noProof/>
        </w:rPr>
        <w:t>18</w:t>
      </w:r>
      <w:r w:rsidRPr="00C76F35">
        <w:rPr>
          <w:b/>
        </w:rPr>
        <w:fldChar w:fldCharType="end"/>
      </w:r>
      <w:r w:rsidRPr="00C76F35">
        <w:rPr>
          <w:b/>
        </w:rPr>
        <w:t xml:space="preserve"> Students in Year 8 and 11 who report ever engaging in risky behaviours, 2016. Source: Victorian Student Health and Wellbeing Survey, 2016.</w:t>
      </w:r>
    </w:p>
    <w:tbl>
      <w:tblPr>
        <w:tblStyle w:val="TableGrid"/>
        <w:tblW w:w="0" w:type="auto"/>
        <w:tblLook w:val="04A0" w:firstRow="1" w:lastRow="0" w:firstColumn="1" w:lastColumn="0" w:noHBand="0" w:noVBand="1"/>
        <w:tblCaption w:val="Students in Year 8 and 11 who report ever engaging in risky behaviours, 2016"/>
        <w:tblDescription w:val="Estimated proportion of students in Year 8 and 11 who report ever engaging in risky behaviours, by behaviour (smoking, consuming alcohol, illicit drug use) and family type (Statewide, couple parent family, single parent family), Victoria, 2016. Source: Victorian Student Health and Wellbeing Survey, 2016"/>
      </w:tblPr>
      <w:tblGrid>
        <w:gridCol w:w="2254"/>
        <w:gridCol w:w="2254"/>
        <w:gridCol w:w="2254"/>
        <w:gridCol w:w="2254"/>
      </w:tblGrid>
      <w:tr w:rsidR="00C76F35" w:rsidRPr="00C76F35" w14:paraId="0A0A554D" w14:textId="77777777" w:rsidTr="002C577B">
        <w:trPr>
          <w:tblHeader/>
        </w:trPr>
        <w:tc>
          <w:tcPr>
            <w:tcW w:w="2254" w:type="dxa"/>
          </w:tcPr>
          <w:p w14:paraId="3A9C96A5" w14:textId="2CA67A09" w:rsidR="00A95A9C" w:rsidRPr="00C76F35" w:rsidRDefault="00A95A9C" w:rsidP="00CA0DB7">
            <w:pPr>
              <w:jc w:val="center"/>
              <w:rPr>
                <w:b/>
              </w:rPr>
            </w:pPr>
            <w:r w:rsidRPr="00C76F35">
              <w:rPr>
                <w:b/>
              </w:rPr>
              <w:t>Family type</w:t>
            </w:r>
          </w:p>
        </w:tc>
        <w:tc>
          <w:tcPr>
            <w:tcW w:w="2254" w:type="dxa"/>
          </w:tcPr>
          <w:p w14:paraId="244C0C2A" w14:textId="45CB5D0A" w:rsidR="00A95A9C" w:rsidRPr="00C76F35" w:rsidRDefault="00CA0DB7" w:rsidP="00CA0DB7">
            <w:pPr>
              <w:jc w:val="center"/>
              <w:rPr>
                <w:b/>
              </w:rPr>
            </w:pPr>
            <w:r w:rsidRPr="00C76F35">
              <w:rPr>
                <w:b/>
              </w:rPr>
              <w:t xml:space="preserve">Smoking </w:t>
            </w:r>
          </w:p>
        </w:tc>
        <w:tc>
          <w:tcPr>
            <w:tcW w:w="2254" w:type="dxa"/>
          </w:tcPr>
          <w:p w14:paraId="147B6108" w14:textId="367719F5" w:rsidR="00A95A9C" w:rsidRPr="00C76F35" w:rsidRDefault="00CA0DB7" w:rsidP="00CA0DB7">
            <w:pPr>
              <w:jc w:val="center"/>
              <w:rPr>
                <w:b/>
              </w:rPr>
            </w:pPr>
            <w:r w:rsidRPr="00C76F35">
              <w:rPr>
                <w:b/>
              </w:rPr>
              <w:t>Consuming alcohol</w:t>
            </w:r>
          </w:p>
        </w:tc>
        <w:tc>
          <w:tcPr>
            <w:tcW w:w="2254" w:type="dxa"/>
          </w:tcPr>
          <w:p w14:paraId="5C46251B" w14:textId="72DD4854" w:rsidR="00A95A9C" w:rsidRPr="00C76F35" w:rsidRDefault="00CA0DB7" w:rsidP="00CA0DB7">
            <w:pPr>
              <w:jc w:val="center"/>
              <w:rPr>
                <w:b/>
              </w:rPr>
            </w:pPr>
            <w:r w:rsidRPr="00C76F35">
              <w:rPr>
                <w:b/>
              </w:rPr>
              <w:t>Illicit drug use</w:t>
            </w:r>
          </w:p>
        </w:tc>
      </w:tr>
      <w:tr w:rsidR="00C76F35" w:rsidRPr="00C76F35" w14:paraId="3439201C" w14:textId="77777777" w:rsidTr="00A95A9C">
        <w:tc>
          <w:tcPr>
            <w:tcW w:w="2254" w:type="dxa"/>
          </w:tcPr>
          <w:p w14:paraId="4977324E" w14:textId="57757B4E" w:rsidR="00A95A9C" w:rsidRPr="00C76F35" w:rsidRDefault="00A95A9C" w:rsidP="00A95A9C">
            <w:r w:rsidRPr="00C76F35">
              <w:t>Statewide</w:t>
            </w:r>
          </w:p>
        </w:tc>
        <w:tc>
          <w:tcPr>
            <w:tcW w:w="2254" w:type="dxa"/>
          </w:tcPr>
          <w:p w14:paraId="7CD1B12D" w14:textId="2E27D57A" w:rsidR="00A95A9C" w:rsidRPr="00C76F35" w:rsidRDefault="00CA0DB7" w:rsidP="00CA0DB7">
            <w:pPr>
              <w:jc w:val="right"/>
            </w:pPr>
            <w:r w:rsidRPr="00C76F35">
              <w:t>10%</w:t>
            </w:r>
          </w:p>
        </w:tc>
        <w:tc>
          <w:tcPr>
            <w:tcW w:w="2254" w:type="dxa"/>
          </w:tcPr>
          <w:p w14:paraId="1386F932" w14:textId="21B28BB0" w:rsidR="00A95A9C" w:rsidRPr="00C76F35" w:rsidRDefault="00CA0DB7" w:rsidP="00CA0DB7">
            <w:pPr>
              <w:jc w:val="right"/>
            </w:pPr>
            <w:r w:rsidRPr="00C76F35">
              <w:t>55%</w:t>
            </w:r>
          </w:p>
        </w:tc>
        <w:tc>
          <w:tcPr>
            <w:tcW w:w="2254" w:type="dxa"/>
          </w:tcPr>
          <w:p w14:paraId="3C12B1BB" w14:textId="2735E3ED" w:rsidR="00A95A9C" w:rsidRPr="00C76F35" w:rsidRDefault="00CA0DB7" w:rsidP="00CA0DB7">
            <w:pPr>
              <w:jc w:val="right"/>
            </w:pPr>
            <w:r w:rsidRPr="00C76F35">
              <w:t>12%</w:t>
            </w:r>
          </w:p>
        </w:tc>
      </w:tr>
      <w:tr w:rsidR="00C76F35" w:rsidRPr="00C76F35" w14:paraId="1C3DA520" w14:textId="77777777" w:rsidTr="00A95A9C">
        <w:tc>
          <w:tcPr>
            <w:tcW w:w="2254" w:type="dxa"/>
          </w:tcPr>
          <w:p w14:paraId="0E91AF76" w14:textId="24BEFFE0" w:rsidR="00A95A9C" w:rsidRPr="00C76F35" w:rsidRDefault="00A95A9C" w:rsidP="00A95A9C">
            <w:r w:rsidRPr="00C76F35">
              <w:t>Couple parent family</w:t>
            </w:r>
          </w:p>
        </w:tc>
        <w:tc>
          <w:tcPr>
            <w:tcW w:w="2254" w:type="dxa"/>
          </w:tcPr>
          <w:p w14:paraId="0604FAD1" w14:textId="7D878646" w:rsidR="00A95A9C" w:rsidRPr="00C76F35" w:rsidRDefault="00CA0DB7" w:rsidP="00CA0DB7">
            <w:pPr>
              <w:jc w:val="right"/>
            </w:pPr>
            <w:r w:rsidRPr="00C76F35">
              <w:t>8%</w:t>
            </w:r>
          </w:p>
        </w:tc>
        <w:tc>
          <w:tcPr>
            <w:tcW w:w="2254" w:type="dxa"/>
          </w:tcPr>
          <w:p w14:paraId="0816D934" w14:textId="21D7A57D" w:rsidR="00A95A9C" w:rsidRPr="00C76F35" w:rsidRDefault="00CA0DB7" w:rsidP="00CA0DB7">
            <w:pPr>
              <w:jc w:val="right"/>
            </w:pPr>
            <w:r w:rsidRPr="00C76F35">
              <w:t>54%</w:t>
            </w:r>
          </w:p>
        </w:tc>
        <w:tc>
          <w:tcPr>
            <w:tcW w:w="2254" w:type="dxa"/>
          </w:tcPr>
          <w:p w14:paraId="6F9758FC" w14:textId="05F32DD3" w:rsidR="00A95A9C" w:rsidRPr="00C76F35" w:rsidRDefault="00CA0DB7" w:rsidP="00CA0DB7">
            <w:pPr>
              <w:jc w:val="right"/>
            </w:pPr>
            <w:r w:rsidRPr="00C76F35">
              <w:t>10%</w:t>
            </w:r>
          </w:p>
        </w:tc>
      </w:tr>
      <w:tr w:rsidR="00C76F35" w:rsidRPr="00C76F35" w14:paraId="52E1AF61" w14:textId="77777777" w:rsidTr="00A95A9C">
        <w:tc>
          <w:tcPr>
            <w:tcW w:w="2254" w:type="dxa"/>
          </w:tcPr>
          <w:p w14:paraId="03F46D8F" w14:textId="1B06B910" w:rsidR="00A95A9C" w:rsidRPr="00C76F35" w:rsidRDefault="00A95A9C" w:rsidP="00A95A9C">
            <w:r w:rsidRPr="00C76F35">
              <w:t>Single parent family</w:t>
            </w:r>
          </w:p>
        </w:tc>
        <w:tc>
          <w:tcPr>
            <w:tcW w:w="2254" w:type="dxa"/>
          </w:tcPr>
          <w:p w14:paraId="531BAB83" w14:textId="1E18AD9A" w:rsidR="00A95A9C" w:rsidRPr="00C76F35" w:rsidRDefault="00CA0DB7" w:rsidP="00CA0DB7">
            <w:pPr>
              <w:jc w:val="right"/>
            </w:pPr>
            <w:r w:rsidRPr="00C76F35">
              <w:t>15%</w:t>
            </w:r>
          </w:p>
        </w:tc>
        <w:tc>
          <w:tcPr>
            <w:tcW w:w="2254" w:type="dxa"/>
          </w:tcPr>
          <w:p w14:paraId="678FB301" w14:textId="52B4D34C" w:rsidR="00A95A9C" w:rsidRPr="00C76F35" w:rsidRDefault="00CA0DB7" w:rsidP="00CA0DB7">
            <w:pPr>
              <w:jc w:val="right"/>
            </w:pPr>
            <w:r w:rsidRPr="00C76F35">
              <w:t>64%</w:t>
            </w:r>
          </w:p>
        </w:tc>
        <w:tc>
          <w:tcPr>
            <w:tcW w:w="2254" w:type="dxa"/>
          </w:tcPr>
          <w:p w14:paraId="0ED31538" w14:textId="748CC901" w:rsidR="00A95A9C" w:rsidRPr="00C76F35" w:rsidRDefault="00CA0DB7" w:rsidP="00CA0DB7">
            <w:pPr>
              <w:jc w:val="right"/>
            </w:pPr>
            <w:r w:rsidRPr="00C76F35">
              <w:t>18%</w:t>
            </w:r>
          </w:p>
        </w:tc>
      </w:tr>
    </w:tbl>
    <w:p w14:paraId="30DBFE56" w14:textId="77777777" w:rsidR="00A95A9C" w:rsidRPr="00C76F35" w:rsidRDefault="00A95A9C" w:rsidP="00A95A9C"/>
    <w:p w14:paraId="70018C1F" w14:textId="19F072EA" w:rsidR="00CA0DB7" w:rsidRPr="00C76F35" w:rsidRDefault="009D0F08" w:rsidP="00DB2F30">
      <w:r w:rsidRPr="00C76F35">
        <w:t xml:space="preserve">Engaging in unsafe sexual activity is another potentially risky behaviour that can impact the health and wellbeing young people. </w:t>
      </w:r>
    </w:p>
    <w:p w14:paraId="2AC2A2FF" w14:textId="431AA38F" w:rsidR="009D0F08" w:rsidRPr="00C76F35" w:rsidRDefault="009D0F08" w:rsidP="00DB2F30">
      <w:r w:rsidRPr="00C76F35">
        <w:t xml:space="preserve">Just under one in six Victorian students report having ever had sex, </w:t>
      </w:r>
      <w:r w:rsidR="00CA0DB7" w:rsidRPr="00C76F35">
        <w:t xml:space="preserve">and </w:t>
      </w:r>
      <w:r w:rsidRPr="00C76F35">
        <w:t xml:space="preserve">a quarter of those </w:t>
      </w:r>
      <w:r w:rsidR="00CA0DB7" w:rsidRPr="00C76F35">
        <w:t>students report always using</w:t>
      </w:r>
      <w:r w:rsidRPr="00C76F35">
        <w:t xml:space="preserve"> condoms.</w:t>
      </w:r>
    </w:p>
    <w:p w14:paraId="60FA23D5" w14:textId="4AB58A15" w:rsidR="00CA0DB7" w:rsidRPr="00C76F35" w:rsidRDefault="00CA0DB7" w:rsidP="00CA0DB7">
      <w:pPr>
        <w:rPr>
          <w:b/>
        </w:rPr>
      </w:pPr>
      <w:r w:rsidRPr="00C76F35">
        <w:rPr>
          <w:b/>
        </w:rPr>
        <w:t xml:space="preserve">Table </w:t>
      </w:r>
      <w:r w:rsidRPr="00C76F35">
        <w:rPr>
          <w:b/>
        </w:rPr>
        <w:fldChar w:fldCharType="begin"/>
      </w:r>
      <w:r w:rsidRPr="00C76F35">
        <w:rPr>
          <w:b/>
        </w:rPr>
        <w:instrText xml:space="preserve"> SEQ Table \* ARABIC </w:instrText>
      </w:r>
      <w:r w:rsidRPr="00C76F35">
        <w:rPr>
          <w:b/>
        </w:rPr>
        <w:fldChar w:fldCharType="separate"/>
      </w:r>
      <w:r w:rsidR="00DB2F30">
        <w:rPr>
          <w:b/>
          <w:noProof/>
        </w:rPr>
        <w:t>19</w:t>
      </w:r>
      <w:r w:rsidRPr="00C76F35">
        <w:rPr>
          <w:b/>
        </w:rPr>
        <w:fldChar w:fldCharType="end"/>
      </w:r>
      <w:r w:rsidRPr="00C76F35">
        <w:rPr>
          <w:b/>
        </w:rPr>
        <w:t xml:space="preserve"> Year 8 and 11 students who report ever having had sex, Victoria, 2016. Source: Victorian Student Health and Wellbeing Survey, 2016.</w:t>
      </w:r>
    </w:p>
    <w:tbl>
      <w:tblPr>
        <w:tblW w:w="5000" w:type="pct"/>
        <w:tblLook w:val="04A0" w:firstRow="1" w:lastRow="0" w:firstColumn="1" w:lastColumn="0" w:noHBand="0" w:noVBand="1"/>
      </w:tblPr>
      <w:tblGrid>
        <w:gridCol w:w="2254"/>
        <w:gridCol w:w="2254"/>
        <w:gridCol w:w="2254"/>
        <w:gridCol w:w="2254"/>
      </w:tblGrid>
      <w:tr w:rsidR="00C76F35" w:rsidRPr="00C76F35" w14:paraId="36772F5D" w14:textId="77777777" w:rsidTr="00CA0DB7">
        <w:trPr>
          <w:trHeight w:val="7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FF2DB" w14:textId="77777777" w:rsidR="00CA0DB7" w:rsidRPr="00C76F35" w:rsidRDefault="00CA0DB7" w:rsidP="00F937CC">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Year</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6B249253" w14:textId="77777777" w:rsidR="00CA0DB7" w:rsidRPr="00C76F35" w:rsidRDefault="00CA0DB7" w:rsidP="00F937CC">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Statewide</w:t>
            </w:r>
          </w:p>
        </w:tc>
        <w:tc>
          <w:tcPr>
            <w:tcW w:w="1250" w:type="pct"/>
            <w:tcBorders>
              <w:top w:val="single" w:sz="4" w:space="0" w:color="auto"/>
              <w:left w:val="nil"/>
              <w:bottom w:val="single" w:sz="4" w:space="0" w:color="auto"/>
              <w:right w:val="single" w:sz="4" w:space="0" w:color="auto"/>
            </w:tcBorders>
            <w:shd w:val="clear" w:color="auto" w:fill="auto"/>
            <w:vAlign w:val="bottom"/>
            <w:hideMark/>
          </w:tcPr>
          <w:p w14:paraId="6677DE39" w14:textId="32CE1812" w:rsidR="00CA0DB7" w:rsidRPr="00C76F35" w:rsidRDefault="00CA0DB7" w:rsidP="00F937CC">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Couple parent family</w:t>
            </w:r>
          </w:p>
        </w:tc>
        <w:tc>
          <w:tcPr>
            <w:tcW w:w="1250" w:type="pct"/>
            <w:tcBorders>
              <w:top w:val="single" w:sz="4" w:space="0" w:color="auto"/>
              <w:left w:val="nil"/>
              <w:bottom w:val="single" w:sz="4" w:space="0" w:color="auto"/>
              <w:right w:val="single" w:sz="4" w:space="0" w:color="auto"/>
            </w:tcBorders>
            <w:shd w:val="clear" w:color="auto" w:fill="auto"/>
            <w:vAlign w:val="bottom"/>
            <w:hideMark/>
          </w:tcPr>
          <w:p w14:paraId="1F951C9B" w14:textId="1CDB476B" w:rsidR="00CA0DB7" w:rsidRPr="00C76F35" w:rsidRDefault="00CA0DB7" w:rsidP="00F937CC">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Single parent family</w:t>
            </w:r>
          </w:p>
        </w:tc>
      </w:tr>
      <w:tr w:rsidR="00C76F35" w:rsidRPr="00C76F35" w14:paraId="496BE557" w14:textId="77777777" w:rsidTr="00CA0DB7">
        <w:trPr>
          <w:trHeight w:val="56"/>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3FA3ED64" w14:textId="77777777" w:rsidR="00CA0DB7" w:rsidRPr="00C76F35" w:rsidRDefault="00CA0DB7"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2016</w:t>
            </w:r>
          </w:p>
        </w:tc>
        <w:tc>
          <w:tcPr>
            <w:tcW w:w="1250" w:type="pct"/>
            <w:tcBorders>
              <w:top w:val="nil"/>
              <w:left w:val="nil"/>
              <w:bottom w:val="single" w:sz="4" w:space="0" w:color="auto"/>
              <w:right w:val="single" w:sz="4" w:space="0" w:color="auto"/>
            </w:tcBorders>
            <w:shd w:val="clear" w:color="auto" w:fill="auto"/>
            <w:noWrap/>
            <w:vAlign w:val="bottom"/>
            <w:hideMark/>
          </w:tcPr>
          <w:p w14:paraId="0ED6ED26" w14:textId="77777777" w:rsidR="00CA0DB7" w:rsidRPr="00C76F35" w:rsidRDefault="00CA0DB7"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15.0%</w:t>
            </w:r>
          </w:p>
        </w:tc>
        <w:tc>
          <w:tcPr>
            <w:tcW w:w="1250" w:type="pct"/>
            <w:tcBorders>
              <w:top w:val="nil"/>
              <w:left w:val="nil"/>
              <w:bottom w:val="single" w:sz="4" w:space="0" w:color="auto"/>
              <w:right w:val="single" w:sz="4" w:space="0" w:color="auto"/>
            </w:tcBorders>
            <w:shd w:val="clear" w:color="auto" w:fill="auto"/>
            <w:noWrap/>
            <w:vAlign w:val="bottom"/>
            <w:hideMark/>
          </w:tcPr>
          <w:p w14:paraId="569E09F7" w14:textId="77777777" w:rsidR="00CA0DB7" w:rsidRPr="00C76F35" w:rsidRDefault="00CA0DB7"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13.0%</w:t>
            </w:r>
          </w:p>
        </w:tc>
        <w:tc>
          <w:tcPr>
            <w:tcW w:w="1250" w:type="pct"/>
            <w:tcBorders>
              <w:top w:val="nil"/>
              <w:left w:val="nil"/>
              <w:bottom w:val="single" w:sz="4" w:space="0" w:color="auto"/>
              <w:right w:val="single" w:sz="4" w:space="0" w:color="auto"/>
            </w:tcBorders>
            <w:shd w:val="clear" w:color="auto" w:fill="auto"/>
            <w:noWrap/>
            <w:vAlign w:val="bottom"/>
            <w:hideMark/>
          </w:tcPr>
          <w:p w14:paraId="07F126D8" w14:textId="77777777" w:rsidR="00CA0DB7" w:rsidRPr="00C76F35" w:rsidRDefault="00CA0DB7"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21.0%</w:t>
            </w:r>
          </w:p>
        </w:tc>
      </w:tr>
    </w:tbl>
    <w:p w14:paraId="63A284C4" w14:textId="4F6533E5" w:rsidR="00CA0DB7" w:rsidRPr="00C76F35" w:rsidRDefault="00CA0DB7" w:rsidP="00CA0DB7"/>
    <w:p w14:paraId="158CAAAD" w14:textId="1395264E" w:rsidR="00CA0DB7" w:rsidRPr="00C76F35" w:rsidRDefault="00CA0DB7" w:rsidP="00CA0DB7">
      <w:pPr>
        <w:rPr>
          <w:b/>
        </w:rPr>
      </w:pPr>
      <w:r w:rsidRPr="00C76F35">
        <w:rPr>
          <w:b/>
        </w:rPr>
        <w:t xml:space="preserve">Table </w:t>
      </w:r>
      <w:r w:rsidRPr="00C76F35">
        <w:rPr>
          <w:b/>
        </w:rPr>
        <w:fldChar w:fldCharType="begin"/>
      </w:r>
      <w:r w:rsidRPr="00C76F35">
        <w:rPr>
          <w:b/>
        </w:rPr>
        <w:instrText xml:space="preserve"> SEQ Table \* ARABIC </w:instrText>
      </w:r>
      <w:r w:rsidRPr="00C76F35">
        <w:rPr>
          <w:b/>
        </w:rPr>
        <w:fldChar w:fldCharType="separate"/>
      </w:r>
      <w:r w:rsidR="00DB2F30">
        <w:rPr>
          <w:b/>
          <w:noProof/>
        </w:rPr>
        <w:t>20</w:t>
      </w:r>
      <w:r w:rsidRPr="00C76F35">
        <w:rPr>
          <w:b/>
        </w:rPr>
        <w:fldChar w:fldCharType="end"/>
      </w:r>
      <w:r w:rsidRPr="00C76F35">
        <w:rPr>
          <w:b/>
        </w:rPr>
        <w:t xml:space="preserve"> Sexually active Year 8 and 11 students who report always using condoms, Victoria, 2016. Source: Victorian Student Health and Wellbeing Survey, 2016.</w:t>
      </w:r>
    </w:p>
    <w:tbl>
      <w:tblPr>
        <w:tblW w:w="5000" w:type="pct"/>
        <w:tblLook w:val="04A0" w:firstRow="1" w:lastRow="0" w:firstColumn="1" w:lastColumn="0" w:noHBand="0" w:noVBand="1"/>
      </w:tblPr>
      <w:tblGrid>
        <w:gridCol w:w="2241"/>
        <w:gridCol w:w="2198"/>
        <w:gridCol w:w="2126"/>
        <w:gridCol w:w="2451"/>
      </w:tblGrid>
      <w:tr w:rsidR="00C76F35" w:rsidRPr="00C76F35" w14:paraId="09016965" w14:textId="77777777" w:rsidTr="00CA0DB7">
        <w:trPr>
          <w:trHeight w:val="262"/>
        </w:trPr>
        <w:tc>
          <w:tcPr>
            <w:tcW w:w="12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02F56" w14:textId="77777777" w:rsidR="00CA0DB7" w:rsidRPr="00C76F35" w:rsidRDefault="00CA0DB7" w:rsidP="00F937CC">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Year</w:t>
            </w:r>
          </w:p>
        </w:tc>
        <w:tc>
          <w:tcPr>
            <w:tcW w:w="1219" w:type="pct"/>
            <w:tcBorders>
              <w:top w:val="single" w:sz="4" w:space="0" w:color="auto"/>
              <w:left w:val="nil"/>
              <w:bottom w:val="single" w:sz="4" w:space="0" w:color="auto"/>
              <w:right w:val="single" w:sz="4" w:space="0" w:color="auto"/>
            </w:tcBorders>
            <w:shd w:val="clear" w:color="auto" w:fill="auto"/>
            <w:noWrap/>
            <w:vAlign w:val="bottom"/>
            <w:hideMark/>
          </w:tcPr>
          <w:p w14:paraId="2354B482" w14:textId="77777777" w:rsidR="00CA0DB7" w:rsidRPr="00C76F35" w:rsidRDefault="00CA0DB7" w:rsidP="00F937CC">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Statewide</w:t>
            </w:r>
          </w:p>
        </w:tc>
        <w:tc>
          <w:tcPr>
            <w:tcW w:w="1179" w:type="pct"/>
            <w:tcBorders>
              <w:top w:val="single" w:sz="4" w:space="0" w:color="auto"/>
              <w:left w:val="nil"/>
              <w:bottom w:val="single" w:sz="4" w:space="0" w:color="auto"/>
              <w:right w:val="single" w:sz="4" w:space="0" w:color="auto"/>
            </w:tcBorders>
            <w:shd w:val="clear" w:color="auto" w:fill="auto"/>
            <w:noWrap/>
            <w:vAlign w:val="bottom"/>
            <w:hideMark/>
          </w:tcPr>
          <w:p w14:paraId="039DB6E6" w14:textId="77777777" w:rsidR="00CA0DB7" w:rsidRPr="00C76F35" w:rsidRDefault="00CA0DB7" w:rsidP="00F937CC">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Metro</w:t>
            </w:r>
          </w:p>
        </w:tc>
        <w:tc>
          <w:tcPr>
            <w:tcW w:w="1359" w:type="pct"/>
            <w:tcBorders>
              <w:top w:val="single" w:sz="4" w:space="0" w:color="auto"/>
              <w:left w:val="nil"/>
              <w:bottom w:val="single" w:sz="4" w:space="0" w:color="auto"/>
              <w:right w:val="single" w:sz="4" w:space="0" w:color="auto"/>
            </w:tcBorders>
            <w:shd w:val="clear" w:color="auto" w:fill="auto"/>
            <w:noWrap/>
            <w:vAlign w:val="bottom"/>
            <w:hideMark/>
          </w:tcPr>
          <w:p w14:paraId="547E3699" w14:textId="77777777" w:rsidR="00CA0DB7" w:rsidRPr="00C76F35" w:rsidRDefault="00CA0DB7" w:rsidP="00F937CC">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Rural</w:t>
            </w:r>
          </w:p>
        </w:tc>
      </w:tr>
      <w:tr w:rsidR="00C76F35" w:rsidRPr="00C76F35" w14:paraId="12B60409" w14:textId="77777777" w:rsidTr="00CA0DB7">
        <w:trPr>
          <w:trHeight w:val="262"/>
        </w:trPr>
        <w:tc>
          <w:tcPr>
            <w:tcW w:w="1242" w:type="pct"/>
            <w:tcBorders>
              <w:top w:val="nil"/>
              <w:left w:val="single" w:sz="4" w:space="0" w:color="auto"/>
              <w:bottom w:val="single" w:sz="4" w:space="0" w:color="auto"/>
              <w:right w:val="single" w:sz="4" w:space="0" w:color="auto"/>
            </w:tcBorders>
            <w:shd w:val="clear" w:color="auto" w:fill="auto"/>
            <w:noWrap/>
            <w:vAlign w:val="bottom"/>
            <w:hideMark/>
          </w:tcPr>
          <w:p w14:paraId="16350B0E" w14:textId="77777777" w:rsidR="00CA0DB7" w:rsidRPr="00C76F35" w:rsidRDefault="00CA0DB7"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2016</w:t>
            </w:r>
          </w:p>
        </w:tc>
        <w:tc>
          <w:tcPr>
            <w:tcW w:w="1219" w:type="pct"/>
            <w:tcBorders>
              <w:top w:val="nil"/>
              <w:left w:val="nil"/>
              <w:bottom w:val="single" w:sz="4" w:space="0" w:color="auto"/>
              <w:right w:val="single" w:sz="4" w:space="0" w:color="auto"/>
            </w:tcBorders>
            <w:shd w:val="clear" w:color="auto" w:fill="auto"/>
            <w:noWrap/>
            <w:vAlign w:val="bottom"/>
            <w:hideMark/>
          </w:tcPr>
          <w:p w14:paraId="0BF5D6E1" w14:textId="77777777" w:rsidR="00CA0DB7" w:rsidRPr="00C76F35" w:rsidRDefault="00CA0DB7"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27.5%</w:t>
            </w:r>
          </w:p>
        </w:tc>
        <w:tc>
          <w:tcPr>
            <w:tcW w:w="1179" w:type="pct"/>
            <w:tcBorders>
              <w:top w:val="nil"/>
              <w:left w:val="nil"/>
              <w:bottom w:val="single" w:sz="4" w:space="0" w:color="auto"/>
              <w:right w:val="single" w:sz="4" w:space="0" w:color="auto"/>
            </w:tcBorders>
            <w:shd w:val="clear" w:color="auto" w:fill="auto"/>
            <w:noWrap/>
            <w:vAlign w:val="bottom"/>
            <w:hideMark/>
          </w:tcPr>
          <w:p w14:paraId="71413174" w14:textId="77777777" w:rsidR="00CA0DB7" w:rsidRPr="00C76F35" w:rsidRDefault="00CA0DB7"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25.7%</w:t>
            </w:r>
          </w:p>
        </w:tc>
        <w:tc>
          <w:tcPr>
            <w:tcW w:w="1359" w:type="pct"/>
            <w:tcBorders>
              <w:top w:val="nil"/>
              <w:left w:val="nil"/>
              <w:bottom w:val="single" w:sz="4" w:space="0" w:color="auto"/>
              <w:right w:val="single" w:sz="4" w:space="0" w:color="auto"/>
            </w:tcBorders>
            <w:shd w:val="clear" w:color="auto" w:fill="auto"/>
            <w:noWrap/>
            <w:vAlign w:val="bottom"/>
            <w:hideMark/>
          </w:tcPr>
          <w:p w14:paraId="6D13266D" w14:textId="77777777" w:rsidR="00CA0DB7" w:rsidRPr="00C76F35" w:rsidRDefault="00CA0DB7"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33.0%</w:t>
            </w:r>
          </w:p>
        </w:tc>
      </w:tr>
    </w:tbl>
    <w:p w14:paraId="7884B806" w14:textId="6CD3A2F2" w:rsidR="00CA0DB7" w:rsidRPr="00C76F35" w:rsidRDefault="00CA0DB7" w:rsidP="00CA0DB7"/>
    <w:p w14:paraId="2119295E" w14:textId="77777777" w:rsidR="00CA0DB7" w:rsidRPr="00C76F35" w:rsidRDefault="00CA0DB7" w:rsidP="00DB2F30">
      <w:r w:rsidRPr="00C76F35">
        <w:t xml:space="preserve">Families’ use of hospitals, including presentations at emergency departments, indicate some of the trends in the health and wellbeing of children and young people. </w:t>
      </w:r>
    </w:p>
    <w:p w14:paraId="334E154E" w14:textId="301D0281" w:rsidR="00CA0DB7" w:rsidRPr="00C76F35" w:rsidRDefault="009D0F08" w:rsidP="00DB2F30">
      <w:r w:rsidRPr="00C76F35">
        <w:t xml:space="preserve">The rise of allergies among young people over recent years shows changing immunity and general physical health. </w:t>
      </w:r>
    </w:p>
    <w:p w14:paraId="3AD101CB" w14:textId="77777777" w:rsidR="00E67C82" w:rsidRDefault="009D0F08" w:rsidP="00DB2F30">
      <w:r w:rsidRPr="00C76F35">
        <w:t>Anaphylax</w:t>
      </w:r>
      <w:r w:rsidR="00CA0DB7" w:rsidRPr="00C76F35">
        <w:t>is hospitalisations among 10-</w:t>
      </w:r>
      <w:r w:rsidRPr="00C76F35">
        <w:t>17</w:t>
      </w:r>
      <w:r w:rsidR="00CA0DB7" w:rsidRPr="00C76F35">
        <w:t xml:space="preserve"> year </w:t>
      </w:r>
      <w:r w:rsidRPr="00C76F35">
        <w:t xml:space="preserve">olds have risen sharply, particularly for </w:t>
      </w:r>
      <w:r w:rsidR="00CA0DB7" w:rsidRPr="00C76F35">
        <w:t>15-17 year olds</w:t>
      </w:r>
      <w:r w:rsidRPr="00C76F35">
        <w:t xml:space="preserve">, who are now hospitalised at </w:t>
      </w:r>
      <w:r w:rsidR="00CA0DB7" w:rsidRPr="00C76F35">
        <w:t xml:space="preserve">almost seven </w:t>
      </w:r>
      <w:r w:rsidRPr="00C76F35">
        <w:t>times the rate of a decade ago.</w:t>
      </w:r>
    </w:p>
    <w:p w14:paraId="1E63A386" w14:textId="77777777" w:rsidR="00E67C82" w:rsidRDefault="00E67C82">
      <w:r>
        <w:br w:type="page"/>
      </w:r>
    </w:p>
    <w:p w14:paraId="37C4C72B" w14:textId="7F3E9193" w:rsidR="00E67C82" w:rsidRPr="00C76F35" w:rsidRDefault="00E67C82" w:rsidP="00DB2F30"/>
    <w:p w14:paraId="4FE9C1E3" w14:textId="0D4A8804" w:rsidR="00DB2F30" w:rsidRPr="00DB2F30" w:rsidRDefault="00DB2F30" w:rsidP="00DB2F30">
      <w:pPr>
        <w:rPr>
          <w:b/>
        </w:rPr>
      </w:pPr>
      <w:r w:rsidRPr="00DB2F30">
        <w:rPr>
          <w:b/>
        </w:rPr>
        <w:t xml:space="preserve">Table </w:t>
      </w:r>
      <w:r w:rsidRPr="00DB2F30">
        <w:rPr>
          <w:b/>
        </w:rPr>
        <w:fldChar w:fldCharType="begin"/>
      </w:r>
      <w:r w:rsidRPr="00DB2F30">
        <w:rPr>
          <w:b/>
        </w:rPr>
        <w:instrText xml:space="preserve"> SEQ Table \* ARABIC </w:instrText>
      </w:r>
      <w:r w:rsidRPr="00DB2F30">
        <w:rPr>
          <w:b/>
        </w:rPr>
        <w:fldChar w:fldCharType="separate"/>
      </w:r>
      <w:r w:rsidRPr="00DB2F30">
        <w:rPr>
          <w:b/>
          <w:noProof/>
        </w:rPr>
        <w:t>22</w:t>
      </w:r>
      <w:r w:rsidRPr="00DB2F30">
        <w:rPr>
          <w:b/>
        </w:rPr>
        <w:fldChar w:fldCharType="end"/>
      </w:r>
      <w:r w:rsidRPr="00DB2F30">
        <w:rPr>
          <w:b/>
        </w:rPr>
        <w:t xml:space="preserve"> Anaphylaxis hospitalisations, rate per 100,000, Victoria. Source: Victorian Admitted Episod</w:t>
      </w:r>
      <w:r w:rsidR="00781F51">
        <w:rPr>
          <w:b/>
        </w:rPr>
        <w:t>es Databases, 2005-06 to 201</w:t>
      </w:r>
      <w:r w:rsidR="00ED33D4">
        <w:rPr>
          <w:b/>
        </w:rPr>
        <w:t>6</w:t>
      </w:r>
      <w:bookmarkStart w:id="0" w:name="_GoBack"/>
      <w:bookmarkEnd w:id="0"/>
      <w:r w:rsidR="00781F51">
        <w:rPr>
          <w:b/>
        </w:rPr>
        <w:t>-17</w:t>
      </w:r>
      <w:r w:rsidRPr="00DB2F30">
        <w:rPr>
          <w:b/>
        </w:rPr>
        <w:t>.</w:t>
      </w:r>
    </w:p>
    <w:tbl>
      <w:tblPr>
        <w:tblW w:w="3201" w:type="pct"/>
        <w:tblLook w:val="04A0" w:firstRow="1" w:lastRow="0" w:firstColumn="1" w:lastColumn="0" w:noHBand="0" w:noVBand="1"/>
        <w:tblCaption w:val="Anaphylaxis hospitalisations among children (aged 0-17), rate per 100,000, by age group, Victoria, 2005-2017."/>
        <w:tblDescription w:val="Rate (per 100,000) of anaphylaxis hospitalisations among Victorian children (aged 0-17), per financial year, by age group, 2005-06 to 2016-17. Source: Victorian Admitted Episodes Dataset, 2018."/>
      </w:tblPr>
      <w:tblGrid>
        <w:gridCol w:w="2254"/>
        <w:gridCol w:w="1837"/>
        <w:gridCol w:w="1681"/>
      </w:tblGrid>
      <w:tr w:rsidR="00C76F35" w:rsidRPr="00C76F35" w14:paraId="5EEC3ED5" w14:textId="77777777" w:rsidTr="00125FCB">
        <w:trPr>
          <w:trHeight w:val="227"/>
        </w:trPr>
        <w:tc>
          <w:tcPr>
            <w:tcW w:w="19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0F80F" w14:textId="77777777" w:rsidR="00125FCB" w:rsidRPr="00C76F35" w:rsidRDefault="00125FCB" w:rsidP="00F937CC">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Year</w:t>
            </w:r>
          </w:p>
        </w:tc>
        <w:tc>
          <w:tcPr>
            <w:tcW w:w="1591" w:type="pct"/>
            <w:tcBorders>
              <w:top w:val="single" w:sz="4" w:space="0" w:color="auto"/>
              <w:left w:val="nil"/>
              <w:bottom w:val="single" w:sz="4" w:space="0" w:color="auto"/>
              <w:right w:val="single" w:sz="4" w:space="0" w:color="auto"/>
            </w:tcBorders>
            <w:shd w:val="clear" w:color="auto" w:fill="auto"/>
            <w:noWrap/>
            <w:vAlign w:val="center"/>
            <w:hideMark/>
          </w:tcPr>
          <w:p w14:paraId="01142590" w14:textId="77777777" w:rsidR="00125FCB" w:rsidRPr="00C76F35" w:rsidRDefault="00125FCB" w:rsidP="00F937CC">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10-14 years</w:t>
            </w:r>
          </w:p>
        </w:tc>
        <w:tc>
          <w:tcPr>
            <w:tcW w:w="1456" w:type="pct"/>
            <w:tcBorders>
              <w:top w:val="single" w:sz="4" w:space="0" w:color="auto"/>
              <w:left w:val="nil"/>
              <w:bottom w:val="single" w:sz="4" w:space="0" w:color="auto"/>
              <w:right w:val="single" w:sz="4" w:space="0" w:color="auto"/>
            </w:tcBorders>
            <w:shd w:val="clear" w:color="auto" w:fill="auto"/>
            <w:noWrap/>
            <w:vAlign w:val="center"/>
            <w:hideMark/>
          </w:tcPr>
          <w:p w14:paraId="7CF1AFA5" w14:textId="77777777" w:rsidR="00125FCB" w:rsidRPr="00C76F35" w:rsidRDefault="00125FCB" w:rsidP="00F937CC">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15-17 years</w:t>
            </w:r>
          </w:p>
        </w:tc>
      </w:tr>
      <w:tr w:rsidR="00C76F35" w:rsidRPr="00C76F35" w14:paraId="38DC42C4" w14:textId="77777777" w:rsidTr="00125FCB">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28335A5B" w14:textId="77777777" w:rsidR="00125FCB" w:rsidRPr="00C76F35" w:rsidRDefault="00125FCB"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2005-06</w:t>
            </w:r>
          </w:p>
        </w:tc>
        <w:tc>
          <w:tcPr>
            <w:tcW w:w="1591" w:type="pct"/>
            <w:tcBorders>
              <w:top w:val="nil"/>
              <w:left w:val="nil"/>
              <w:bottom w:val="single" w:sz="4" w:space="0" w:color="auto"/>
              <w:right w:val="single" w:sz="4" w:space="0" w:color="auto"/>
            </w:tcBorders>
            <w:shd w:val="clear" w:color="auto" w:fill="auto"/>
            <w:noWrap/>
            <w:vAlign w:val="bottom"/>
            <w:hideMark/>
          </w:tcPr>
          <w:p w14:paraId="6B50BCA7"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9.0</w:t>
            </w:r>
          </w:p>
        </w:tc>
        <w:tc>
          <w:tcPr>
            <w:tcW w:w="1456" w:type="pct"/>
            <w:tcBorders>
              <w:top w:val="nil"/>
              <w:left w:val="nil"/>
              <w:bottom w:val="single" w:sz="4" w:space="0" w:color="auto"/>
              <w:right w:val="single" w:sz="4" w:space="0" w:color="auto"/>
            </w:tcBorders>
            <w:shd w:val="clear" w:color="auto" w:fill="auto"/>
            <w:noWrap/>
            <w:vAlign w:val="bottom"/>
            <w:hideMark/>
          </w:tcPr>
          <w:p w14:paraId="1362301B"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14.0</w:t>
            </w:r>
          </w:p>
        </w:tc>
      </w:tr>
      <w:tr w:rsidR="00C76F35" w:rsidRPr="00C76F35" w14:paraId="610B6EBC" w14:textId="77777777" w:rsidTr="00125FCB">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74FA3390" w14:textId="77777777" w:rsidR="00125FCB" w:rsidRPr="00C76F35" w:rsidRDefault="00125FCB"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2006-07</w:t>
            </w:r>
          </w:p>
        </w:tc>
        <w:tc>
          <w:tcPr>
            <w:tcW w:w="1591" w:type="pct"/>
            <w:tcBorders>
              <w:top w:val="nil"/>
              <w:left w:val="nil"/>
              <w:bottom w:val="single" w:sz="4" w:space="0" w:color="auto"/>
              <w:right w:val="single" w:sz="4" w:space="0" w:color="auto"/>
            </w:tcBorders>
            <w:shd w:val="clear" w:color="auto" w:fill="auto"/>
            <w:noWrap/>
            <w:vAlign w:val="bottom"/>
            <w:hideMark/>
          </w:tcPr>
          <w:p w14:paraId="441AE41B"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9.6</w:t>
            </w:r>
          </w:p>
        </w:tc>
        <w:tc>
          <w:tcPr>
            <w:tcW w:w="1456" w:type="pct"/>
            <w:tcBorders>
              <w:top w:val="nil"/>
              <w:left w:val="nil"/>
              <w:bottom w:val="single" w:sz="4" w:space="0" w:color="auto"/>
              <w:right w:val="single" w:sz="4" w:space="0" w:color="auto"/>
            </w:tcBorders>
            <w:shd w:val="clear" w:color="auto" w:fill="auto"/>
            <w:noWrap/>
            <w:vAlign w:val="bottom"/>
            <w:hideMark/>
          </w:tcPr>
          <w:p w14:paraId="56ADB527"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25.0</w:t>
            </w:r>
          </w:p>
        </w:tc>
      </w:tr>
      <w:tr w:rsidR="00C76F35" w:rsidRPr="00C76F35" w14:paraId="63CE1AA3" w14:textId="77777777" w:rsidTr="00125FCB">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0EA40CC6" w14:textId="77777777" w:rsidR="00125FCB" w:rsidRPr="00C76F35" w:rsidRDefault="00125FCB"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2007-08</w:t>
            </w:r>
          </w:p>
        </w:tc>
        <w:tc>
          <w:tcPr>
            <w:tcW w:w="1591" w:type="pct"/>
            <w:tcBorders>
              <w:top w:val="nil"/>
              <w:left w:val="nil"/>
              <w:bottom w:val="single" w:sz="4" w:space="0" w:color="auto"/>
              <w:right w:val="single" w:sz="4" w:space="0" w:color="auto"/>
            </w:tcBorders>
            <w:shd w:val="clear" w:color="auto" w:fill="auto"/>
            <w:noWrap/>
            <w:vAlign w:val="bottom"/>
            <w:hideMark/>
          </w:tcPr>
          <w:p w14:paraId="0D630D4D"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10.6</w:t>
            </w:r>
          </w:p>
        </w:tc>
        <w:tc>
          <w:tcPr>
            <w:tcW w:w="1456" w:type="pct"/>
            <w:tcBorders>
              <w:top w:val="nil"/>
              <w:left w:val="nil"/>
              <w:bottom w:val="single" w:sz="4" w:space="0" w:color="auto"/>
              <w:right w:val="single" w:sz="4" w:space="0" w:color="auto"/>
            </w:tcBorders>
            <w:shd w:val="clear" w:color="auto" w:fill="auto"/>
            <w:noWrap/>
            <w:vAlign w:val="bottom"/>
            <w:hideMark/>
          </w:tcPr>
          <w:p w14:paraId="2C020031"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21.3</w:t>
            </w:r>
          </w:p>
        </w:tc>
      </w:tr>
      <w:tr w:rsidR="00C76F35" w:rsidRPr="00C76F35" w14:paraId="487BBC24" w14:textId="77777777" w:rsidTr="00125FCB">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74E0B9F3" w14:textId="77777777" w:rsidR="00125FCB" w:rsidRPr="00C76F35" w:rsidRDefault="00125FCB"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2008-09</w:t>
            </w:r>
          </w:p>
        </w:tc>
        <w:tc>
          <w:tcPr>
            <w:tcW w:w="1591" w:type="pct"/>
            <w:tcBorders>
              <w:top w:val="nil"/>
              <w:left w:val="nil"/>
              <w:bottom w:val="single" w:sz="4" w:space="0" w:color="auto"/>
              <w:right w:val="single" w:sz="4" w:space="0" w:color="auto"/>
            </w:tcBorders>
            <w:shd w:val="clear" w:color="auto" w:fill="auto"/>
            <w:noWrap/>
            <w:vAlign w:val="bottom"/>
            <w:hideMark/>
          </w:tcPr>
          <w:p w14:paraId="05474B21"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12.1</w:t>
            </w:r>
          </w:p>
        </w:tc>
        <w:tc>
          <w:tcPr>
            <w:tcW w:w="1456" w:type="pct"/>
            <w:tcBorders>
              <w:top w:val="nil"/>
              <w:left w:val="nil"/>
              <w:bottom w:val="single" w:sz="4" w:space="0" w:color="auto"/>
              <w:right w:val="single" w:sz="4" w:space="0" w:color="auto"/>
            </w:tcBorders>
            <w:shd w:val="clear" w:color="auto" w:fill="auto"/>
            <w:noWrap/>
            <w:vAlign w:val="bottom"/>
            <w:hideMark/>
          </w:tcPr>
          <w:p w14:paraId="1B19D136"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32.8</w:t>
            </w:r>
          </w:p>
        </w:tc>
      </w:tr>
      <w:tr w:rsidR="00C76F35" w:rsidRPr="00C76F35" w14:paraId="0056EACE" w14:textId="77777777" w:rsidTr="00125FCB">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4DED7B68" w14:textId="77777777" w:rsidR="00125FCB" w:rsidRPr="00C76F35" w:rsidRDefault="00125FCB"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2009-10</w:t>
            </w:r>
          </w:p>
        </w:tc>
        <w:tc>
          <w:tcPr>
            <w:tcW w:w="1591" w:type="pct"/>
            <w:tcBorders>
              <w:top w:val="nil"/>
              <w:left w:val="nil"/>
              <w:bottom w:val="single" w:sz="4" w:space="0" w:color="auto"/>
              <w:right w:val="single" w:sz="4" w:space="0" w:color="auto"/>
            </w:tcBorders>
            <w:shd w:val="clear" w:color="auto" w:fill="auto"/>
            <w:noWrap/>
            <w:vAlign w:val="bottom"/>
            <w:hideMark/>
          </w:tcPr>
          <w:p w14:paraId="4954B038"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13.6</w:t>
            </w:r>
          </w:p>
        </w:tc>
        <w:tc>
          <w:tcPr>
            <w:tcW w:w="1456" w:type="pct"/>
            <w:tcBorders>
              <w:top w:val="nil"/>
              <w:left w:val="nil"/>
              <w:bottom w:val="single" w:sz="4" w:space="0" w:color="auto"/>
              <w:right w:val="single" w:sz="4" w:space="0" w:color="auto"/>
            </w:tcBorders>
            <w:shd w:val="clear" w:color="auto" w:fill="auto"/>
            <w:noWrap/>
            <w:vAlign w:val="bottom"/>
            <w:hideMark/>
          </w:tcPr>
          <w:p w14:paraId="50F9203F"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31.1</w:t>
            </w:r>
          </w:p>
        </w:tc>
      </w:tr>
      <w:tr w:rsidR="00C76F35" w:rsidRPr="00C76F35" w14:paraId="60434541" w14:textId="77777777" w:rsidTr="00125FCB">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217A931D" w14:textId="77777777" w:rsidR="00125FCB" w:rsidRPr="00C76F35" w:rsidRDefault="00125FCB"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2010-11</w:t>
            </w:r>
          </w:p>
        </w:tc>
        <w:tc>
          <w:tcPr>
            <w:tcW w:w="1591" w:type="pct"/>
            <w:tcBorders>
              <w:top w:val="nil"/>
              <w:left w:val="nil"/>
              <w:bottom w:val="single" w:sz="4" w:space="0" w:color="auto"/>
              <w:right w:val="single" w:sz="4" w:space="0" w:color="auto"/>
            </w:tcBorders>
            <w:shd w:val="clear" w:color="auto" w:fill="auto"/>
            <w:noWrap/>
            <w:vAlign w:val="bottom"/>
            <w:hideMark/>
          </w:tcPr>
          <w:p w14:paraId="0CC3852B"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16.4</w:t>
            </w:r>
          </w:p>
        </w:tc>
        <w:tc>
          <w:tcPr>
            <w:tcW w:w="1456" w:type="pct"/>
            <w:tcBorders>
              <w:top w:val="nil"/>
              <w:left w:val="nil"/>
              <w:bottom w:val="single" w:sz="4" w:space="0" w:color="auto"/>
              <w:right w:val="single" w:sz="4" w:space="0" w:color="auto"/>
            </w:tcBorders>
            <w:shd w:val="clear" w:color="auto" w:fill="auto"/>
            <w:noWrap/>
            <w:vAlign w:val="bottom"/>
            <w:hideMark/>
          </w:tcPr>
          <w:p w14:paraId="43D8690F"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27.6</w:t>
            </w:r>
          </w:p>
        </w:tc>
      </w:tr>
      <w:tr w:rsidR="00C76F35" w:rsidRPr="00C76F35" w14:paraId="3FFC0BD6" w14:textId="77777777" w:rsidTr="00125FCB">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0FC4C288" w14:textId="77777777" w:rsidR="00125FCB" w:rsidRPr="00C76F35" w:rsidRDefault="00125FCB"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2011-12</w:t>
            </w:r>
          </w:p>
        </w:tc>
        <w:tc>
          <w:tcPr>
            <w:tcW w:w="1591" w:type="pct"/>
            <w:tcBorders>
              <w:top w:val="nil"/>
              <w:left w:val="nil"/>
              <w:bottom w:val="single" w:sz="4" w:space="0" w:color="auto"/>
              <w:right w:val="single" w:sz="4" w:space="0" w:color="auto"/>
            </w:tcBorders>
            <w:shd w:val="clear" w:color="auto" w:fill="auto"/>
            <w:noWrap/>
            <w:vAlign w:val="bottom"/>
            <w:hideMark/>
          </w:tcPr>
          <w:p w14:paraId="0BF82C6F"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13.0</w:t>
            </w:r>
          </w:p>
        </w:tc>
        <w:tc>
          <w:tcPr>
            <w:tcW w:w="1456" w:type="pct"/>
            <w:tcBorders>
              <w:top w:val="nil"/>
              <w:left w:val="nil"/>
              <w:bottom w:val="single" w:sz="4" w:space="0" w:color="auto"/>
              <w:right w:val="single" w:sz="4" w:space="0" w:color="auto"/>
            </w:tcBorders>
            <w:shd w:val="clear" w:color="auto" w:fill="auto"/>
            <w:noWrap/>
            <w:vAlign w:val="bottom"/>
            <w:hideMark/>
          </w:tcPr>
          <w:p w14:paraId="4ACD45D0"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41.6</w:t>
            </w:r>
          </w:p>
        </w:tc>
      </w:tr>
      <w:tr w:rsidR="00C76F35" w:rsidRPr="00C76F35" w14:paraId="2ABA1DFE" w14:textId="77777777" w:rsidTr="00125FCB">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435EF153" w14:textId="77777777" w:rsidR="00125FCB" w:rsidRPr="00C76F35" w:rsidRDefault="00125FCB"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2012-13</w:t>
            </w:r>
          </w:p>
        </w:tc>
        <w:tc>
          <w:tcPr>
            <w:tcW w:w="1591" w:type="pct"/>
            <w:tcBorders>
              <w:top w:val="nil"/>
              <w:left w:val="nil"/>
              <w:bottom w:val="single" w:sz="4" w:space="0" w:color="auto"/>
              <w:right w:val="single" w:sz="4" w:space="0" w:color="auto"/>
            </w:tcBorders>
            <w:shd w:val="clear" w:color="auto" w:fill="auto"/>
            <w:noWrap/>
            <w:vAlign w:val="bottom"/>
            <w:hideMark/>
          </w:tcPr>
          <w:p w14:paraId="4BEF6AC2"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13.2</w:t>
            </w:r>
          </w:p>
        </w:tc>
        <w:tc>
          <w:tcPr>
            <w:tcW w:w="1456" w:type="pct"/>
            <w:tcBorders>
              <w:top w:val="nil"/>
              <w:left w:val="nil"/>
              <w:bottom w:val="single" w:sz="4" w:space="0" w:color="auto"/>
              <w:right w:val="single" w:sz="4" w:space="0" w:color="auto"/>
            </w:tcBorders>
            <w:shd w:val="clear" w:color="auto" w:fill="auto"/>
            <w:noWrap/>
            <w:vAlign w:val="bottom"/>
            <w:hideMark/>
          </w:tcPr>
          <w:p w14:paraId="3ADF7C8E"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19.0</w:t>
            </w:r>
          </w:p>
        </w:tc>
      </w:tr>
      <w:tr w:rsidR="00C76F35" w:rsidRPr="00C76F35" w14:paraId="07D86813" w14:textId="77777777" w:rsidTr="00125FCB">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411D5AE9" w14:textId="77777777" w:rsidR="00125FCB" w:rsidRPr="00C76F35" w:rsidRDefault="00125FCB"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2013-14</w:t>
            </w:r>
          </w:p>
        </w:tc>
        <w:tc>
          <w:tcPr>
            <w:tcW w:w="1591" w:type="pct"/>
            <w:tcBorders>
              <w:top w:val="nil"/>
              <w:left w:val="nil"/>
              <w:bottom w:val="single" w:sz="4" w:space="0" w:color="auto"/>
              <w:right w:val="single" w:sz="4" w:space="0" w:color="auto"/>
            </w:tcBorders>
            <w:shd w:val="clear" w:color="auto" w:fill="auto"/>
            <w:noWrap/>
            <w:vAlign w:val="bottom"/>
            <w:hideMark/>
          </w:tcPr>
          <w:p w14:paraId="314CF1AD"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19.9</w:t>
            </w:r>
          </w:p>
        </w:tc>
        <w:tc>
          <w:tcPr>
            <w:tcW w:w="1456" w:type="pct"/>
            <w:tcBorders>
              <w:top w:val="nil"/>
              <w:left w:val="nil"/>
              <w:bottom w:val="single" w:sz="4" w:space="0" w:color="auto"/>
              <w:right w:val="single" w:sz="4" w:space="0" w:color="auto"/>
            </w:tcBorders>
            <w:shd w:val="clear" w:color="auto" w:fill="auto"/>
            <w:noWrap/>
            <w:vAlign w:val="bottom"/>
            <w:hideMark/>
          </w:tcPr>
          <w:p w14:paraId="6FE0382F"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38.1</w:t>
            </w:r>
          </w:p>
        </w:tc>
      </w:tr>
      <w:tr w:rsidR="00C76F35" w:rsidRPr="00C76F35" w14:paraId="7617B70B" w14:textId="77777777" w:rsidTr="00125FCB">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141D6444" w14:textId="77777777" w:rsidR="00125FCB" w:rsidRPr="00C76F35" w:rsidRDefault="00125FCB"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2014-15</w:t>
            </w:r>
          </w:p>
        </w:tc>
        <w:tc>
          <w:tcPr>
            <w:tcW w:w="1591" w:type="pct"/>
            <w:tcBorders>
              <w:top w:val="nil"/>
              <w:left w:val="nil"/>
              <w:bottom w:val="single" w:sz="4" w:space="0" w:color="auto"/>
              <w:right w:val="single" w:sz="4" w:space="0" w:color="auto"/>
            </w:tcBorders>
            <w:shd w:val="clear" w:color="auto" w:fill="auto"/>
            <w:noWrap/>
            <w:vAlign w:val="bottom"/>
            <w:hideMark/>
          </w:tcPr>
          <w:p w14:paraId="77D1147A"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26.7</w:t>
            </w:r>
          </w:p>
        </w:tc>
        <w:tc>
          <w:tcPr>
            <w:tcW w:w="1456" w:type="pct"/>
            <w:tcBorders>
              <w:top w:val="nil"/>
              <w:left w:val="nil"/>
              <w:bottom w:val="single" w:sz="4" w:space="0" w:color="auto"/>
              <w:right w:val="single" w:sz="4" w:space="0" w:color="auto"/>
            </w:tcBorders>
            <w:shd w:val="clear" w:color="auto" w:fill="auto"/>
            <w:noWrap/>
            <w:vAlign w:val="bottom"/>
            <w:hideMark/>
          </w:tcPr>
          <w:p w14:paraId="2B0B931E"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52.9</w:t>
            </w:r>
          </w:p>
        </w:tc>
      </w:tr>
      <w:tr w:rsidR="00C76F35" w:rsidRPr="00C76F35" w14:paraId="00F9EE87" w14:textId="77777777" w:rsidTr="00125FCB">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06D61656" w14:textId="77777777" w:rsidR="00125FCB" w:rsidRPr="00C76F35" w:rsidRDefault="00125FCB"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2015-16</w:t>
            </w:r>
          </w:p>
        </w:tc>
        <w:tc>
          <w:tcPr>
            <w:tcW w:w="1591" w:type="pct"/>
            <w:tcBorders>
              <w:top w:val="nil"/>
              <w:left w:val="nil"/>
              <w:bottom w:val="single" w:sz="4" w:space="0" w:color="auto"/>
              <w:right w:val="single" w:sz="4" w:space="0" w:color="auto"/>
            </w:tcBorders>
            <w:shd w:val="clear" w:color="auto" w:fill="auto"/>
            <w:noWrap/>
            <w:vAlign w:val="bottom"/>
            <w:hideMark/>
          </w:tcPr>
          <w:p w14:paraId="01A81FFB"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37.0</w:t>
            </w:r>
          </w:p>
        </w:tc>
        <w:tc>
          <w:tcPr>
            <w:tcW w:w="1456" w:type="pct"/>
            <w:tcBorders>
              <w:top w:val="nil"/>
              <w:left w:val="nil"/>
              <w:bottom w:val="single" w:sz="4" w:space="0" w:color="auto"/>
              <w:right w:val="single" w:sz="4" w:space="0" w:color="auto"/>
            </w:tcBorders>
            <w:shd w:val="clear" w:color="auto" w:fill="auto"/>
            <w:noWrap/>
            <w:vAlign w:val="bottom"/>
            <w:hideMark/>
          </w:tcPr>
          <w:p w14:paraId="29DF923D"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74.4</w:t>
            </w:r>
          </w:p>
        </w:tc>
      </w:tr>
      <w:tr w:rsidR="00C76F35" w:rsidRPr="00C76F35" w14:paraId="3EC1D112" w14:textId="77777777" w:rsidTr="00125FCB">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0F407126" w14:textId="77777777" w:rsidR="00125FCB" w:rsidRPr="00C76F35" w:rsidRDefault="00125FCB"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2016-17</w:t>
            </w:r>
          </w:p>
        </w:tc>
        <w:tc>
          <w:tcPr>
            <w:tcW w:w="1591" w:type="pct"/>
            <w:tcBorders>
              <w:top w:val="nil"/>
              <w:left w:val="nil"/>
              <w:bottom w:val="single" w:sz="4" w:space="0" w:color="auto"/>
              <w:right w:val="single" w:sz="4" w:space="0" w:color="auto"/>
            </w:tcBorders>
            <w:shd w:val="clear" w:color="auto" w:fill="auto"/>
            <w:noWrap/>
            <w:vAlign w:val="bottom"/>
            <w:hideMark/>
          </w:tcPr>
          <w:p w14:paraId="740A2082"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44.7</w:t>
            </w:r>
          </w:p>
        </w:tc>
        <w:tc>
          <w:tcPr>
            <w:tcW w:w="1456" w:type="pct"/>
            <w:tcBorders>
              <w:top w:val="nil"/>
              <w:left w:val="nil"/>
              <w:bottom w:val="single" w:sz="4" w:space="0" w:color="auto"/>
              <w:right w:val="single" w:sz="4" w:space="0" w:color="auto"/>
            </w:tcBorders>
            <w:shd w:val="clear" w:color="auto" w:fill="auto"/>
            <w:noWrap/>
            <w:vAlign w:val="bottom"/>
            <w:hideMark/>
          </w:tcPr>
          <w:p w14:paraId="438E222C" w14:textId="77777777" w:rsidR="00125FCB" w:rsidRPr="00C76F35" w:rsidRDefault="00125FCB"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93.6</w:t>
            </w:r>
          </w:p>
        </w:tc>
      </w:tr>
    </w:tbl>
    <w:p w14:paraId="2D7606BA" w14:textId="17BD33A2" w:rsidR="00125FCB" w:rsidRPr="00C76F35" w:rsidRDefault="00125FCB" w:rsidP="00CA0DB7"/>
    <w:p w14:paraId="129EDDF5" w14:textId="607302B3" w:rsidR="00C76F35" w:rsidRPr="00C76F35" w:rsidRDefault="00125FCB" w:rsidP="00DB2F30">
      <w:r w:rsidRPr="00C76F35">
        <w:t>While not all children who attempt self-harm will attend hospital, presentations to hospital for self-harm provide insights into prevalence.</w:t>
      </w:r>
    </w:p>
    <w:p w14:paraId="507290E9" w14:textId="73B5AE3B" w:rsidR="00125FCB" w:rsidRPr="00C76F35" w:rsidRDefault="00125FCB" w:rsidP="00DB2F30">
      <w:r w:rsidRPr="00C76F35">
        <w:t xml:space="preserve">From 2006-2016, the number of Victorian females aged between 10 and 17 presenting to hospital for self-harm increased from 679 to 1112 and the number of males increased from 174 to 327.  </w:t>
      </w:r>
    </w:p>
    <w:p w14:paraId="14E08B82" w14:textId="7C440B78" w:rsidR="00C76F35" w:rsidRPr="00C76F35" w:rsidRDefault="00C76F35" w:rsidP="00C76F35">
      <w:pPr>
        <w:rPr>
          <w:b/>
        </w:rPr>
      </w:pPr>
      <w:r w:rsidRPr="00C76F35">
        <w:rPr>
          <w:b/>
        </w:rPr>
        <w:t xml:space="preserve">Table </w:t>
      </w:r>
      <w:r w:rsidRPr="00C76F35">
        <w:rPr>
          <w:b/>
        </w:rPr>
        <w:fldChar w:fldCharType="begin"/>
      </w:r>
      <w:r w:rsidRPr="00C76F35">
        <w:rPr>
          <w:b/>
        </w:rPr>
        <w:instrText xml:space="preserve"> SEQ Table \* ARABIC </w:instrText>
      </w:r>
      <w:r w:rsidRPr="00C76F35">
        <w:rPr>
          <w:b/>
        </w:rPr>
        <w:fldChar w:fldCharType="separate"/>
      </w:r>
      <w:r w:rsidR="00DB2F30">
        <w:rPr>
          <w:b/>
          <w:noProof/>
        </w:rPr>
        <w:t>23</w:t>
      </w:r>
      <w:r w:rsidRPr="00C76F35">
        <w:rPr>
          <w:b/>
        </w:rPr>
        <w:fldChar w:fldCharType="end"/>
      </w:r>
      <w:r w:rsidRPr="00C76F35">
        <w:rPr>
          <w:b/>
        </w:rPr>
        <w:t xml:space="preserve"> Rate of self-harm emergency department presentations among 10-17 year olds, Victoria. Source: Victorian Admitted Episodes Database; Victorian Emergency Minimum Dataset, 2006-2016.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lf-harm emergency presentations among 10-17 year olds, rate per 100,000, by gender, Victoria, 2006-2016"/>
        <w:tblDescription w:val="Rate (per 100,000) of self-harm emergency presentations among 10-17 year olds in Victoria per year, by gender (males and females), from 2006 to 2016. Source: Victorian Emergency Minimum Dataset, 2018. "/>
      </w:tblPr>
      <w:tblGrid>
        <w:gridCol w:w="3006"/>
        <w:gridCol w:w="3006"/>
        <w:gridCol w:w="3004"/>
      </w:tblGrid>
      <w:tr w:rsidR="00C76F35" w:rsidRPr="00C76F35" w14:paraId="52FAB861" w14:textId="77777777" w:rsidTr="00C76F35">
        <w:trPr>
          <w:trHeight w:val="227"/>
        </w:trPr>
        <w:tc>
          <w:tcPr>
            <w:tcW w:w="1667" w:type="pct"/>
            <w:shd w:val="clear" w:color="auto" w:fill="auto"/>
            <w:vAlign w:val="center"/>
          </w:tcPr>
          <w:p w14:paraId="439F37E8" w14:textId="77777777" w:rsidR="00C76F35" w:rsidRPr="00C76F35" w:rsidRDefault="00C76F35" w:rsidP="00F937CC">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Year</w:t>
            </w:r>
          </w:p>
        </w:tc>
        <w:tc>
          <w:tcPr>
            <w:tcW w:w="1667" w:type="pct"/>
            <w:shd w:val="clear" w:color="auto" w:fill="auto"/>
            <w:noWrap/>
            <w:vAlign w:val="center"/>
            <w:hideMark/>
          </w:tcPr>
          <w:p w14:paraId="4E308D5B" w14:textId="77777777" w:rsidR="00C76F35" w:rsidRPr="00C76F35" w:rsidRDefault="00C76F35" w:rsidP="00F937CC">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Males</w:t>
            </w:r>
          </w:p>
        </w:tc>
        <w:tc>
          <w:tcPr>
            <w:tcW w:w="1666" w:type="pct"/>
            <w:shd w:val="clear" w:color="auto" w:fill="auto"/>
            <w:noWrap/>
            <w:vAlign w:val="center"/>
            <w:hideMark/>
          </w:tcPr>
          <w:p w14:paraId="37ABC03D" w14:textId="77777777" w:rsidR="00C76F35" w:rsidRPr="00C76F35" w:rsidRDefault="00C76F35" w:rsidP="00F937CC">
            <w:pPr>
              <w:spacing w:after="0" w:line="240" w:lineRule="auto"/>
              <w:jc w:val="center"/>
              <w:rPr>
                <w:rFonts w:ascii="Calibri" w:eastAsia="Times New Roman" w:hAnsi="Calibri" w:cs="Calibri"/>
                <w:b/>
                <w:lang w:eastAsia="en-AU"/>
              </w:rPr>
            </w:pPr>
            <w:r w:rsidRPr="00C76F35">
              <w:rPr>
                <w:rFonts w:ascii="Calibri" w:eastAsia="Times New Roman" w:hAnsi="Calibri" w:cs="Calibri"/>
                <w:b/>
                <w:lang w:eastAsia="en-AU"/>
              </w:rPr>
              <w:t>Females</w:t>
            </w:r>
          </w:p>
        </w:tc>
      </w:tr>
      <w:tr w:rsidR="00C76F35" w:rsidRPr="00C76F35" w14:paraId="106213C5" w14:textId="77777777" w:rsidTr="00C76F35">
        <w:trPr>
          <w:trHeight w:val="227"/>
        </w:trPr>
        <w:tc>
          <w:tcPr>
            <w:tcW w:w="1667" w:type="pct"/>
            <w:shd w:val="clear" w:color="auto" w:fill="auto"/>
            <w:vAlign w:val="bottom"/>
          </w:tcPr>
          <w:p w14:paraId="7780415E" w14:textId="77777777" w:rsidR="00C76F35" w:rsidRPr="00C76F35" w:rsidRDefault="00C76F35"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2006</w:t>
            </w:r>
          </w:p>
        </w:tc>
        <w:tc>
          <w:tcPr>
            <w:tcW w:w="1667" w:type="pct"/>
            <w:shd w:val="clear" w:color="auto" w:fill="auto"/>
            <w:noWrap/>
            <w:vAlign w:val="bottom"/>
            <w:hideMark/>
          </w:tcPr>
          <w:p w14:paraId="0E58B514" w14:textId="77777777" w:rsidR="00C76F35" w:rsidRPr="00C76F35" w:rsidRDefault="00C76F35"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63.3</w:t>
            </w:r>
          </w:p>
        </w:tc>
        <w:tc>
          <w:tcPr>
            <w:tcW w:w="1666" w:type="pct"/>
            <w:shd w:val="clear" w:color="auto" w:fill="auto"/>
            <w:noWrap/>
            <w:vAlign w:val="bottom"/>
            <w:hideMark/>
          </w:tcPr>
          <w:p w14:paraId="7C27728A" w14:textId="77777777" w:rsidR="00C76F35" w:rsidRPr="00C76F35" w:rsidRDefault="00C76F35"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260.4</w:t>
            </w:r>
          </w:p>
        </w:tc>
      </w:tr>
      <w:tr w:rsidR="00C76F35" w:rsidRPr="00C76F35" w14:paraId="303A15CF" w14:textId="77777777" w:rsidTr="00C76F35">
        <w:trPr>
          <w:trHeight w:val="227"/>
        </w:trPr>
        <w:tc>
          <w:tcPr>
            <w:tcW w:w="1667" w:type="pct"/>
            <w:shd w:val="clear" w:color="auto" w:fill="auto"/>
            <w:vAlign w:val="bottom"/>
          </w:tcPr>
          <w:p w14:paraId="1D9D14F5" w14:textId="77777777" w:rsidR="00C76F35" w:rsidRPr="00C76F35" w:rsidRDefault="00C76F35"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2007</w:t>
            </w:r>
          </w:p>
        </w:tc>
        <w:tc>
          <w:tcPr>
            <w:tcW w:w="1667" w:type="pct"/>
            <w:shd w:val="clear" w:color="auto" w:fill="auto"/>
            <w:noWrap/>
            <w:vAlign w:val="bottom"/>
            <w:hideMark/>
          </w:tcPr>
          <w:p w14:paraId="2E39AACF" w14:textId="77777777" w:rsidR="00C76F35" w:rsidRPr="00C76F35" w:rsidRDefault="00C76F35"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69.9</w:t>
            </w:r>
          </w:p>
        </w:tc>
        <w:tc>
          <w:tcPr>
            <w:tcW w:w="1666" w:type="pct"/>
            <w:shd w:val="clear" w:color="auto" w:fill="auto"/>
            <w:noWrap/>
            <w:vAlign w:val="bottom"/>
            <w:hideMark/>
          </w:tcPr>
          <w:p w14:paraId="755A9CB1" w14:textId="77777777" w:rsidR="00C76F35" w:rsidRPr="00C76F35" w:rsidRDefault="00C76F35"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212.9</w:t>
            </w:r>
          </w:p>
        </w:tc>
      </w:tr>
      <w:tr w:rsidR="00C76F35" w:rsidRPr="00C76F35" w14:paraId="28273AB1" w14:textId="77777777" w:rsidTr="00C76F35">
        <w:trPr>
          <w:trHeight w:val="227"/>
        </w:trPr>
        <w:tc>
          <w:tcPr>
            <w:tcW w:w="1667" w:type="pct"/>
            <w:shd w:val="clear" w:color="auto" w:fill="auto"/>
            <w:vAlign w:val="bottom"/>
          </w:tcPr>
          <w:p w14:paraId="3F636211" w14:textId="77777777" w:rsidR="00C76F35" w:rsidRPr="00C76F35" w:rsidRDefault="00C76F35"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2008</w:t>
            </w:r>
          </w:p>
        </w:tc>
        <w:tc>
          <w:tcPr>
            <w:tcW w:w="1667" w:type="pct"/>
            <w:shd w:val="clear" w:color="auto" w:fill="auto"/>
            <w:noWrap/>
            <w:vAlign w:val="bottom"/>
            <w:hideMark/>
          </w:tcPr>
          <w:p w14:paraId="62B60509" w14:textId="77777777" w:rsidR="00C76F35" w:rsidRPr="00C76F35" w:rsidRDefault="00C76F35"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66.1</w:t>
            </w:r>
          </w:p>
        </w:tc>
        <w:tc>
          <w:tcPr>
            <w:tcW w:w="1666" w:type="pct"/>
            <w:shd w:val="clear" w:color="auto" w:fill="auto"/>
            <w:noWrap/>
            <w:vAlign w:val="bottom"/>
            <w:hideMark/>
          </w:tcPr>
          <w:p w14:paraId="7BEC0275" w14:textId="77777777" w:rsidR="00C76F35" w:rsidRPr="00C76F35" w:rsidRDefault="00C76F35"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209.0</w:t>
            </w:r>
          </w:p>
        </w:tc>
      </w:tr>
      <w:tr w:rsidR="00C76F35" w:rsidRPr="00C76F35" w14:paraId="181E92FD" w14:textId="77777777" w:rsidTr="00C76F35">
        <w:trPr>
          <w:trHeight w:val="227"/>
        </w:trPr>
        <w:tc>
          <w:tcPr>
            <w:tcW w:w="1667" w:type="pct"/>
            <w:shd w:val="clear" w:color="auto" w:fill="auto"/>
            <w:vAlign w:val="bottom"/>
          </w:tcPr>
          <w:p w14:paraId="04035945" w14:textId="77777777" w:rsidR="00C76F35" w:rsidRPr="00C76F35" w:rsidRDefault="00C76F35"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2009</w:t>
            </w:r>
          </w:p>
        </w:tc>
        <w:tc>
          <w:tcPr>
            <w:tcW w:w="1667" w:type="pct"/>
            <w:shd w:val="clear" w:color="auto" w:fill="auto"/>
            <w:noWrap/>
            <w:vAlign w:val="bottom"/>
            <w:hideMark/>
          </w:tcPr>
          <w:p w14:paraId="0F844BB0" w14:textId="77777777" w:rsidR="00C76F35" w:rsidRPr="00C76F35" w:rsidRDefault="00C76F35"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84.9</w:t>
            </w:r>
          </w:p>
        </w:tc>
        <w:tc>
          <w:tcPr>
            <w:tcW w:w="1666" w:type="pct"/>
            <w:shd w:val="clear" w:color="auto" w:fill="auto"/>
            <w:noWrap/>
            <w:vAlign w:val="bottom"/>
            <w:hideMark/>
          </w:tcPr>
          <w:p w14:paraId="61586B70" w14:textId="77777777" w:rsidR="00C76F35" w:rsidRPr="00C76F35" w:rsidRDefault="00C76F35"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206.2</w:t>
            </w:r>
          </w:p>
        </w:tc>
      </w:tr>
      <w:tr w:rsidR="00C76F35" w:rsidRPr="00C76F35" w14:paraId="3C1D63F7" w14:textId="77777777" w:rsidTr="00C76F35">
        <w:trPr>
          <w:trHeight w:val="227"/>
        </w:trPr>
        <w:tc>
          <w:tcPr>
            <w:tcW w:w="1667" w:type="pct"/>
            <w:shd w:val="clear" w:color="auto" w:fill="auto"/>
            <w:vAlign w:val="bottom"/>
          </w:tcPr>
          <w:p w14:paraId="67F9AB94" w14:textId="77777777" w:rsidR="00C76F35" w:rsidRPr="00C76F35" w:rsidRDefault="00C76F35"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2010</w:t>
            </w:r>
          </w:p>
        </w:tc>
        <w:tc>
          <w:tcPr>
            <w:tcW w:w="1667" w:type="pct"/>
            <w:shd w:val="clear" w:color="auto" w:fill="auto"/>
            <w:noWrap/>
            <w:vAlign w:val="bottom"/>
            <w:hideMark/>
          </w:tcPr>
          <w:p w14:paraId="70384B64" w14:textId="77777777" w:rsidR="00C76F35" w:rsidRPr="00C76F35" w:rsidRDefault="00C76F35"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75.6</w:t>
            </w:r>
          </w:p>
        </w:tc>
        <w:tc>
          <w:tcPr>
            <w:tcW w:w="1666" w:type="pct"/>
            <w:shd w:val="clear" w:color="auto" w:fill="auto"/>
            <w:noWrap/>
            <w:vAlign w:val="bottom"/>
            <w:hideMark/>
          </w:tcPr>
          <w:p w14:paraId="3AB13A7B" w14:textId="77777777" w:rsidR="00C76F35" w:rsidRPr="00C76F35" w:rsidRDefault="00C76F35"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219.2</w:t>
            </w:r>
          </w:p>
        </w:tc>
      </w:tr>
      <w:tr w:rsidR="00C76F35" w:rsidRPr="00C76F35" w14:paraId="6AA12096" w14:textId="77777777" w:rsidTr="00C76F35">
        <w:trPr>
          <w:trHeight w:val="227"/>
        </w:trPr>
        <w:tc>
          <w:tcPr>
            <w:tcW w:w="1667" w:type="pct"/>
            <w:shd w:val="clear" w:color="auto" w:fill="auto"/>
            <w:vAlign w:val="bottom"/>
          </w:tcPr>
          <w:p w14:paraId="4E90C80E" w14:textId="77777777" w:rsidR="00C76F35" w:rsidRPr="00C76F35" w:rsidRDefault="00C76F35"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2011</w:t>
            </w:r>
          </w:p>
        </w:tc>
        <w:tc>
          <w:tcPr>
            <w:tcW w:w="1667" w:type="pct"/>
            <w:shd w:val="clear" w:color="auto" w:fill="auto"/>
            <w:noWrap/>
            <w:vAlign w:val="bottom"/>
            <w:hideMark/>
          </w:tcPr>
          <w:p w14:paraId="2357AC4F" w14:textId="77777777" w:rsidR="00C76F35" w:rsidRPr="00C76F35" w:rsidRDefault="00C76F35"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82.9</w:t>
            </w:r>
          </w:p>
        </w:tc>
        <w:tc>
          <w:tcPr>
            <w:tcW w:w="1666" w:type="pct"/>
            <w:shd w:val="clear" w:color="auto" w:fill="auto"/>
            <w:noWrap/>
            <w:vAlign w:val="bottom"/>
            <w:hideMark/>
          </w:tcPr>
          <w:p w14:paraId="757A29C3" w14:textId="77777777" w:rsidR="00C76F35" w:rsidRPr="00C76F35" w:rsidRDefault="00C76F35"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231.0</w:t>
            </w:r>
          </w:p>
        </w:tc>
      </w:tr>
      <w:tr w:rsidR="00C76F35" w:rsidRPr="00C76F35" w14:paraId="347D2D6E" w14:textId="77777777" w:rsidTr="00C76F35">
        <w:trPr>
          <w:trHeight w:val="227"/>
        </w:trPr>
        <w:tc>
          <w:tcPr>
            <w:tcW w:w="1667" w:type="pct"/>
            <w:shd w:val="clear" w:color="auto" w:fill="auto"/>
            <w:vAlign w:val="bottom"/>
          </w:tcPr>
          <w:p w14:paraId="426C1959" w14:textId="77777777" w:rsidR="00C76F35" w:rsidRPr="00C76F35" w:rsidRDefault="00C76F35"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2012</w:t>
            </w:r>
          </w:p>
        </w:tc>
        <w:tc>
          <w:tcPr>
            <w:tcW w:w="1667" w:type="pct"/>
            <w:shd w:val="clear" w:color="auto" w:fill="auto"/>
            <w:noWrap/>
            <w:vAlign w:val="bottom"/>
            <w:hideMark/>
          </w:tcPr>
          <w:p w14:paraId="481532AA" w14:textId="77777777" w:rsidR="00C76F35" w:rsidRPr="00C76F35" w:rsidRDefault="00C76F35"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96.1</w:t>
            </w:r>
          </w:p>
        </w:tc>
        <w:tc>
          <w:tcPr>
            <w:tcW w:w="1666" w:type="pct"/>
            <w:shd w:val="clear" w:color="auto" w:fill="auto"/>
            <w:noWrap/>
            <w:vAlign w:val="bottom"/>
            <w:hideMark/>
          </w:tcPr>
          <w:p w14:paraId="70457A99" w14:textId="77777777" w:rsidR="00C76F35" w:rsidRPr="00C76F35" w:rsidRDefault="00C76F35"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306.2</w:t>
            </w:r>
          </w:p>
        </w:tc>
      </w:tr>
      <w:tr w:rsidR="00C76F35" w:rsidRPr="00C76F35" w14:paraId="4389C3DF" w14:textId="77777777" w:rsidTr="00C76F35">
        <w:trPr>
          <w:trHeight w:val="227"/>
        </w:trPr>
        <w:tc>
          <w:tcPr>
            <w:tcW w:w="1667" w:type="pct"/>
            <w:shd w:val="clear" w:color="auto" w:fill="auto"/>
            <w:vAlign w:val="bottom"/>
          </w:tcPr>
          <w:p w14:paraId="41449387" w14:textId="77777777" w:rsidR="00C76F35" w:rsidRPr="00C76F35" w:rsidRDefault="00C76F35"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2013</w:t>
            </w:r>
          </w:p>
        </w:tc>
        <w:tc>
          <w:tcPr>
            <w:tcW w:w="1667" w:type="pct"/>
            <w:shd w:val="clear" w:color="auto" w:fill="auto"/>
            <w:noWrap/>
            <w:vAlign w:val="bottom"/>
            <w:hideMark/>
          </w:tcPr>
          <w:p w14:paraId="7EDC6F37" w14:textId="77777777" w:rsidR="00C76F35" w:rsidRPr="00C76F35" w:rsidRDefault="00C76F35"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97.0</w:t>
            </w:r>
          </w:p>
        </w:tc>
        <w:tc>
          <w:tcPr>
            <w:tcW w:w="1666" w:type="pct"/>
            <w:shd w:val="clear" w:color="auto" w:fill="auto"/>
            <w:noWrap/>
            <w:vAlign w:val="bottom"/>
            <w:hideMark/>
          </w:tcPr>
          <w:p w14:paraId="69A394A1" w14:textId="77777777" w:rsidR="00C76F35" w:rsidRPr="00C76F35" w:rsidRDefault="00C76F35"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400.9</w:t>
            </w:r>
          </w:p>
        </w:tc>
      </w:tr>
      <w:tr w:rsidR="00C76F35" w:rsidRPr="00C76F35" w14:paraId="6E5ABE94" w14:textId="77777777" w:rsidTr="00C76F35">
        <w:trPr>
          <w:trHeight w:val="227"/>
        </w:trPr>
        <w:tc>
          <w:tcPr>
            <w:tcW w:w="1667" w:type="pct"/>
            <w:shd w:val="clear" w:color="auto" w:fill="auto"/>
            <w:vAlign w:val="bottom"/>
          </w:tcPr>
          <w:p w14:paraId="172C249F" w14:textId="77777777" w:rsidR="00C76F35" w:rsidRPr="00C76F35" w:rsidRDefault="00C76F35"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2014</w:t>
            </w:r>
          </w:p>
        </w:tc>
        <w:tc>
          <w:tcPr>
            <w:tcW w:w="1667" w:type="pct"/>
            <w:shd w:val="clear" w:color="auto" w:fill="auto"/>
            <w:noWrap/>
            <w:vAlign w:val="bottom"/>
            <w:hideMark/>
          </w:tcPr>
          <w:p w14:paraId="13859CBD" w14:textId="77777777" w:rsidR="00C76F35" w:rsidRPr="00C76F35" w:rsidRDefault="00C76F35"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108.1</w:t>
            </w:r>
          </w:p>
        </w:tc>
        <w:tc>
          <w:tcPr>
            <w:tcW w:w="1666" w:type="pct"/>
            <w:shd w:val="clear" w:color="auto" w:fill="auto"/>
            <w:noWrap/>
            <w:vAlign w:val="bottom"/>
            <w:hideMark/>
          </w:tcPr>
          <w:p w14:paraId="07DAC240" w14:textId="77777777" w:rsidR="00C76F35" w:rsidRPr="00C76F35" w:rsidRDefault="00C76F35"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435.1</w:t>
            </w:r>
          </w:p>
        </w:tc>
      </w:tr>
      <w:tr w:rsidR="00C76F35" w:rsidRPr="00C76F35" w14:paraId="0250C44C" w14:textId="77777777" w:rsidTr="00C76F35">
        <w:trPr>
          <w:trHeight w:val="227"/>
        </w:trPr>
        <w:tc>
          <w:tcPr>
            <w:tcW w:w="1667" w:type="pct"/>
            <w:shd w:val="clear" w:color="auto" w:fill="auto"/>
            <w:vAlign w:val="bottom"/>
          </w:tcPr>
          <w:p w14:paraId="2A4E2FD9" w14:textId="77777777" w:rsidR="00C76F35" w:rsidRPr="00C76F35" w:rsidRDefault="00C76F35"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2015</w:t>
            </w:r>
          </w:p>
        </w:tc>
        <w:tc>
          <w:tcPr>
            <w:tcW w:w="1667" w:type="pct"/>
            <w:shd w:val="clear" w:color="auto" w:fill="auto"/>
            <w:noWrap/>
            <w:vAlign w:val="bottom"/>
            <w:hideMark/>
          </w:tcPr>
          <w:p w14:paraId="148E69E2" w14:textId="77777777" w:rsidR="00C76F35" w:rsidRPr="00C76F35" w:rsidRDefault="00C76F35"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96.8</w:t>
            </w:r>
          </w:p>
        </w:tc>
        <w:tc>
          <w:tcPr>
            <w:tcW w:w="1666" w:type="pct"/>
            <w:shd w:val="clear" w:color="auto" w:fill="auto"/>
            <w:noWrap/>
            <w:vAlign w:val="bottom"/>
            <w:hideMark/>
          </w:tcPr>
          <w:p w14:paraId="3680B29B" w14:textId="77777777" w:rsidR="00C76F35" w:rsidRPr="00C76F35" w:rsidRDefault="00C76F35"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390.4</w:t>
            </w:r>
          </w:p>
        </w:tc>
      </w:tr>
      <w:tr w:rsidR="00C76F35" w:rsidRPr="00C76F35" w14:paraId="0B784A48" w14:textId="77777777" w:rsidTr="00C76F35">
        <w:trPr>
          <w:trHeight w:val="227"/>
        </w:trPr>
        <w:tc>
          <w:tcPr>
            <w:tcW w:w="1667" w:type="pct"/>
            <w:shd w:val="clear" w:color="auto" w:fill="auto"/>
            <w:vAlign w:val="bottom"/>
          </w:tcPr>
          <w:p w14:paraId="6F873EDF" w14:textId="77777777" w:rsidR="00C76F35" w:rsidRPr="00C76F35" w:rsidRDefault="00C76F35" w:rsidP="00F937CC">
            <w:pPr>
              <w:spacing w:after="0" w:line="240" w:lineRule="auto"/>
              <w:jc w:val="center"/>
              <w:rPr>
                <w:rFonts w:ascii="Calibri" w:eastAsia="Times New Roman" w:hAnsi="Calibri" w:cs="Calibri"/>
                <w:lang w:eastAsia="en-AU"/>
              </w:rPr>
            </w:pPr>
            <w:r w:rsidRPr="00C76F35">
              <w:rPr>
                <w:rFonts w:ascii="Calibri" w:eastAsia="Times New Roman" w:hAnsi="Calibri" w:cs="Calibri"/>
                <w:lang w:eastAsia="en-AU"/>
              </w:rPr>
              <w:t>2016</w:t>
            </w:r>
          </w:p>
        </w:tc>
        <w:tc>
          <w:tcPr>
            <w:tcW w:w="1667" w:type="pct"/>
            <w:shd w:val="clear" w:color="auto" w:fill="auto"/>
            <w:noWrap/>
            <w:vAlign w:val="bottom"/>
            <w:hideMark/>
          </w:tcPr>
          <w:p w14:paraId="3283D1BF" w14:textId="77777777" w:rsidR="00C76F35" w:rsidRPr="00C76F35" w:rsidRDefault="00C76F35"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112.7</w:t>
            </w:r>
          </w:p>
        </w:tc>
        <w:tc>
          <w:tcPr>
            <w:tcW w:w="1666" w:type="pct"/>
            <w:shd w:val="clear" w:color="auto" w:fill="auto"/>
            <w:noWrap/>
            <w:vAlign w:val="bottom"/>
            <w:hideMark/>
          </w:tcPr>
          <w:p w14:paraId="061269FA" w14:textId="77777777" w:rsidR="00C76F35" w:rsidRPr="00C76F35" w:rsidRDefault="00C76F35" w:rsidP="00F937CC">
            <w:pPr>
              <w:spacing w:after="0" w:line="240" w:lineRule="auto"/>
              <w:jc w:val="right"/>
              <w:rPr>
                <w:rFonts w:ascii="Calibri" w:eastAsia="Times New Roman" w:hAnsi="Calibri" w:cs="Calibri"/>
                <w:lang w:eastAsia="en-AU"/>
              </w:rPr>
            </w:pPr>
            <w:r w:rsidRPr="00C76F35">
              <w:rPr>
                <w:rFonts w:ascii="Calibri" w:eastAsia="Times New Roman" w:hAnsi="Calibri" w:cs="Calibri"/>
                <w:lang w:eastAsia="en-AU"/>
              </w:rPr>
              <w:t>404.1</w:t>
            </w:r>
          </w:p>
        </w:tc>
      </w:tr>
    </w:tbl>
    <w:p w14:paraId="1BEA1069" w14:textId="77777777" w:rsidR="00C76F35" w:rsidRPr="00C76F35" w:rsidRDefault="00C76F35" w:rsidP="00125FCB"/>
    <w:p w14:paraId="1F8FC1FA" w14:textId="77777777" w:rsidR="009D0F08" w:rsidRPr="00C76F35" w:rsidRDefault="009D0F08" w:rsidP="00DB2F30">
      <w:r w:rsidRPr="00C76F35">
        <w:t>The provision of high-quality and easily accessible health services is key to combatting issues around physical and mental health.</w:t>
      </w:r>
    </w:p>
    <w:p w14:paraId="306490C7" w14:textId="160973B8" w:rsidR="00C76F35" w:rsidRPr="00C76F35" w:rsidRDefault="009D0F08" w:rsidP="00DB2F30">
      <w:r w:rsidRPr="00C76F35">
        <w:t xml:space="preserve">When families are unable to access basic health services, this has significant consequences for their health and wellbeing. </w:t>
      </w:r>
    </w:p>
    <w:p w14:paraId="69114FB0" w14:textId="774E0F97" w:rsidR="009D0F08" w:rsidRDefault="009D0F08" w:rsidP="00DB2F30">
      <w:r w:rsidRPr="00C76F35">
        <w:t xml:space="preserve">The proportion of parents with access to services has risen since 2006, although a </w:t>
      </w:r>
      <w:r w:rsidR="00C76F35" w:rsidRPr="00C76F35">
        <w:t>gap remains between metro</w:t>
      </w:r>
      <w:r w:rsidRPr="00C76F35">
        <w:t xml:space="preserve"> and rural areas.</w:t>
      </w:r>
    </w:p>
    <w:p w14:paraId="6A9F92B6" w14:textId="463613EB" w:rsidR="00C76F35" w:rsidRPr="00C76F35" w:rsidRDefault="00C76F35" w:rsidP="00C76F35">
      <w:pPr>
        <w:rPr>
          <w:b/>
        </w:rPr>
      </w:pPr>
      <w:r w:rsidRPr="00C76F35">
        <w:rPr>
          <w:b/>
        </w:rPr>
        <w:lastRenderedPageBreak/>
        <w:t xml:space="preserve">Table </w:t>
      </w:r>
      <w:r w:rsidRPr="00C76F35">
        <w:rPr>
          <w:b/>
        </w:rPr>
        <w:fldChar w:fldCharType="begin"/>
      </w:r>
      <w:r w:rsidRPr="00C76F35">
        <w:rPr>
          <w:b/>
        </w:rPr>
        <w:instrText xml:space="preserve"> SEQ Table \* ARABIC </w:instrText>
      </w:r>
      <w:r w:rsidRPr="00C76F35">
        <w:rPr>
          <w:b/>
        </w:rPr>
        <w:fldChar w:fldCharType="separate"/>
      </w:r>
      <w:r w:rsidR="00DB2F30">
        <w:rPr>
          <w:b/>
          <w:noProof/>
        </w:rPr>
        <w:t>24</w:t>
      </w:r>
      <w:r w:rsidRPr="00C76F35">
        <w:rPr>
          <w:b/>
        </w:rPr>
        <w:fldChar w:fldCharType="end"/>
      </w:r>
      <w:r w:rsidRPr="00C76F35">
        <w:rPr>
          <w:b/>
        </w:rPr>
        <w:t xml:space="preserve"> Children (aged 0-12) with access to basic health services, Victoria. Source: Victorian Child Health and Wellbeing Survey, 2006-2017.</w:t>
      </w:r>
    </w:p>
    <w:tbl>
      <w:tblPr>
        <w:tblW w:w="5000" w:type="pct"/>
        <w:tblLook w:val="04A0" w:firstRow="1" w:lastRow="0" w:firstColumn="1" w:lastColumn="0" w:noHBand="0" w:noVBand="1"/>
        <w:tblCaption w:val="Proportion of children (aged 0-12) who have access to basic services when needed, by location, Victoria, 2006-2017"/>
        <w:tblDescription w:val="Proportion of children (aged 0-12) in Victoria who have access to basic services when needed, by location (statewide, metro and rural), 2006 to 2017. Source: Victorian Child Health and Wellbeing Survey, 2006-2017."/>
      </w:tblPr>
      <w:tblGrid>
        <w:gridCol w:w="1506"/>
        <w:gridCol w:w="1504"/>
        <w:gridCol w:w="1502"/>
        <w:gridCol w:w="1502"/>
        <w:gridCol w:w="1502"/>
        <w:gridCol w:w="1500"/>
      </w:tblGrid>
      <w:tr w:rsidR="00C76F35" w:rsidRPr="00E40D19" w14:paraId="7D3EC01C" w14:textId="3644BB27" w:rsidTr="00C76F35">
        <w:trPr>
          <w:trHeight w:val="20"/>
        </w:trPr>
        <w:tc>
          <w:tcPr>
            <w:tcW w:w="8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19B4C" w14:textId="77777777" w:rsidR="00C76F35" w:rsidRPr="00E40D19" w:rsidRDefault="00C76F35" w:rsidP="00F937CC">
            <w:pPr>
              <w:spacing w:after="0" w:line="240" w:lineRule="auto"/>
              <w:jc w:val="center"/>
              <w:rPr>
                <w:rFonts w:ascii="Calibri" w:eastAsia="Times New Roman" w:hAnsi="Calibri" w:cs="Calibri"/>
                <w:b/>
                <w:lang w:eastAsia="en-AU"/>
              </w:rPr>
            </w:pPr>
            <w:r w:rsidRPr="00E40D19">
              <w:rPr>
                <w:rFonts w:ascii="Calibri" w:eastAsia="Times New Roman" w:hAnsi="Calibri" w:cs="Calibri"/>
                <w:b/>
                <w:lang w:eastAsia="en-AU"/>
              </w:rPr>
              <w:t>Year</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137FA960" w14:textId="77777777" w:rsidR="00C76F35" w:rsidRPr="00E40D19" w:rsidRDefault="00C76F35" w:rsidP="00F937CC">
            <w:pPr>
              <w:spacing w:after="0" w:line="240" w:lineRule="auto"/>
              <w:jc w:val="center"/>
              <w:rPr>
                <w:rFonts w:ascii="Calibri" w:eastAsia="Times New Roman" w:hAnsi="Calibri" w:cs="Calibri"/>
                <w:b/>
                <w:lang w:eastAsia="en-AU"/>
              </w:rPr>
            </w:pPr>
            <w:r w:rsidRPr="00E40D19">
              <w:rPr>
                <w:rFonts w:ascii="Calibri" w:eastAsia="Times New Roman" w:hAnsi="Calibri" w:cs="Calibri"/>
                <w:b/>
                <w:lang w:eastAsia="en-AU"/>
              </w:rPr>
              <w:t>Statewide</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14:paraId="23917788" w14:textId="77777777" w:rsidR="00C76F35" w:rsidRPr="00E40D19" w:rsidRDefault="00C76F35" w:rsidP="00F937CC">
            <w:pPr>
              <w:spacing w:after="0" w:line="240" w:lineRule="auto"/>
              <w:jc w:val="center"/>
              <w:rPr>
                <w:rFonts w:ascii="Calibri" w:eastAsia="Times New Roman" w:hAnsi="Calibri" w:cs="Calibri"/>
                <w:b/>
                <w:lang w:eastAsia="en-AU"/>
              </w:rPr>
            </w:pPr>
            <w:r w:rsidRPr="00E40D19">
              <w:rPr>
                <w:rFonts w:ascii="Calibri" w:eastAsia="Times New Roman" w:hAnsi="Calibri" w:cs="Calibri"/>
                <w:b/>
                <w:lang w:eastAsia="en-AU"/>
              </w:rPr>
              <w:t>Metro</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14:paraId="1EA363F7" w14:textId="77777777" w:rsidR="00C76F35" w:rsidRPr="00E40D19" w:rsidRDefault="00C76F35" w:rsidP="00F937CC">
            <w:pPr>
              <w:spacing w:after="0" w:line="240" w:lineRule="auto"/>
              <w:jc w:val="center"/>
              <w:rPr>
                <w:rFonts w:ascii="Calibri" w:eastAsia="Times New Roman" w:hAnsi="Calibri" w:cs="Calibri"/>
                <w:b/>
                <w:lang w:eastAsia="en-AU"/>
              </w:rPr>
            </w:pPr>
            <w:r w:rsidRPr="00E40D19">
              <w:rPr>
                <w:rFonts w:ascii="Calibri" w:eastAsia="Times New Roman" w:hAnsi="Calibri" w:cs="Calibri"/>
                <w:b/>
                <w:lang w:eastAsia="en-AU"/>
              </w:rPr>
              <w:t>Rural</w:t>
            </w:r>
          </w:p>
        </w:tc>
        <w:tc>
          <w:tcPr>
            <w:tcW w:w="833" w:type="pct"/>
            <w:tcBorders>
              <w:top w:val="single" w:sz="4" w:space="0" w:color="auto"/>
              <w:left w:val="nil"/>
              <w:bottom w:val="single" w:sz="4" w:space="0" w:color="auto"/>
              <w:right w:val="single" w:sz="4" w:space="0" w:color="auto"/>
            </w:tcBorders>
          </w:tcPr>
          <w:p w14:paraId="7B15CA5D" w14:textId="2DCD1592" w:rsidR="00C76F35" w:rsidRPr="00E40D19" w:rsidRDefault="00C76F35" w:rsidP="00F937CC">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t>On a health care card</w:t>
            </w:r>
          </w:p>
        </w:tc>
        <w:tc>
          <w:tcPr>
            <w:tcW w:w="833" w:type="pct"/>
            <w:tcBorders>
              <w:top w:val="single" w:sz="4" w:space="0" w:color="auto"/>
              <w:left w:val="nil"/>
              <w:bottom w:val="single" w:sz="4" w:space="0" w:color="auto"/>
              <w:right w:val="single" w:sz="4" w:space="0" w:color="auto"/>
            </w:tcBorders>
          </w:tcPr>
          <w:p w14:paraId="05CC8AFB" w14:textId="0D07DB74" w:rsidR="00C76F35" w:rsidRPr="00E40D19" w:rsidRDefault="00C76F35" w:rsidP="00F937CC">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t>No health care card</w:t>
            </w:r>
          </w:p>
        </w:tc>
      </w:tr>
      <w:tr w:rsidR="00C76F35" w:rsidRPr="00E40D19" w14:paraId="3E6358CE" w14:textId="12FC816C" w:rsidTr="00C76F35">
        <w:trPr>
          <w:trHeight w:val="20"/>
        </w:trPr>
        <w:tc>
          <w:tcPr>
            <w:tcW w:w="835" w:type="pct"/>
            <w:tcBorders>
              <w:top w:val="nil"/>
              <w:left w:val="single" w:sz="4" w:space="0" w:color="auto"/>
              <w:bottom w:val="single" w:sz="4" w:space="0" w:color="auto"/>
              <w:right w:val="single" w:sz="4" w:space="0" w:color="auto"/>
            </w:tcBorders>
            <w:shd w:val="clear" w:color="auto" w:fill="auto"/>
            <w:noWrap/>
            <w:vAlign w:val="bottom"/>
            <w:hideMark/>
          </w:tcPr>
          <w:p w14:paraId="6B5CFA04" w14:textId="77777777" w:rsidR="00C76F35" w:rsidRPr="00E40D19" w:rsidRDefault="00C76F35" w:rsidP="00F937CC">
            <w:pPr>
              <w:spacing w:after="0" w:line="240" w:lineRule="auto"/>
              <w:jc w:val="center"/>
              <w:rPr>
                <w:rFonts w:ascii="Calibri" w:eastAsia="Times New Roman" w:hAnsi="Calibri" w:cs="Calibri"/>
                <w:lang w:eastAsia="en-AU"/>
              </w:rPr>
            </w:pPr>
            <w:r w:rsidRPr="00E40D19">
              <w:rPr>
                <w:rFonts w:ascii="Calibri" w:eastAsia="Times New Roman" w:hAnsi="Calibri" w:cs="Calibri"/>
                <w:lang w:eastAsia="en-AU"/>
              </w:rPr>
              <w:t>2006</w:t>
            </w:r>
          </w:p>
        </w:tc>
        <w:tc>
          <w:tcPr>
            <w:tcW w:w="834" w:type="pct"/>
            <w:tcBorders>
              <w:top w:val="nil"/>
              <w:left w:val="nil"/>
              <w:bottom w:val="single" w:sz="4" w:space="0" w:color="auto"/>
              <w:right w:val="single" w:sz="4" w:space="0" w:color="auto"/>
            </w:tcBorders>
            <w:shd w:val="clear" w:color="auto" w:fill="auto"/>
            <w:noWrap/>
            <w:vAlign w:val="bottom"/>
            <w:hideMark/>
          </w:tcPr>
          <w:p w14:paraId="68F0516E" w14:textId="77777777" w:rsidR="00C76F35" w:rsidRPr="00E40D19" w:rsidRDefault="00C76F35"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87.7%</w:t>
            </w:r>
          </w:p>
        </w:tc>
        <w:tc>
          <w:tcPr>
            <w:tcW w:w="833" w:type="pct"/>
            <w:tcBorders>
              <w:top w:val="nil"/>
              <w:left w:val="nil"/>
              <w:bottom w:val="single" w:sz="4" w:space="0" w:color="auto"/>
              <w:right w:val="single" w:sz="4" w:space="0" w:color="auto"/>
            </w:tcBorders>
            <w:shd w:val="clear" w:color="auto" w:fill="auto"/>
            <w:noWrap/>
            <w:vAlign w:val="bottom"/>
            <w:hideMark/>
          </w:tcPr>
          <w:p w14:paraId="6670CB0A" w14:textId="77777777" w:rsidR="00C76F35" w:rsidRPr="00E40D19" w:rsidRDefault="00C76F35"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91.2%</w:t>
            </w:r>
          </w:p>
        </w:tc>
        <w:tc>
          <w:tcPr>
            <w:tcW w:w="833" w:type="pct"/>
            <w:tcBorders>
              <w:top w:val="nil"/>
              <w:left w:val="nil"/>
              <w:bottom w:val="single" w:sz="4" w:space="0" w:color="auto"/>
              <w:right w:val="single" w:sz="4" w:space="0" w:color="auto"/>
            </w:tcBorders>
            <w:shd w:val="clear" w:color="auto" w:fill="auto"/>
            <w:noWrap/>
            <w:vAlign w:val="bottom"/>
            <w:hideMark/>
          </w:tcPr>
          <w:p w14:paraId="102A35EC" w14:textId="77777777" w:rsidR="00C76F35" w:rsidRPr="00E40D19" w:rsidRDefault="00C76F35"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78.6%</w:t>
            </w:r>
          </w:p>
        </w:tc>
        <w:tc>
          <w:tcPr>
            <w:tcW w:w="833" w:type="pct"/>
            <w:tcBorders>
              <w:top w:val="nil"/>
              <w:left w:val="nil"/>
              <w:bottom w:val="single" w:sz="4" w:space="0" w:color="auto"/>
              <w:right w:val="single" w:sz="4" w:space="0" w:color="auto"/>
            </w:tcBorders>
          </w:tcPr>
          <w:p w14:paraId="616BA2D5" w14:textId="111058E0" w:rsidR="00C76F35" w:rsidRPr="00E40D19" w:rsidRDefault="00C76F35" w:rsidP="00F937CC">
            <w:pPr>
              <w:spacing w:after="0" w:line="240" w:lineRule="auto"/>
              <w:jc w:val="right"/>
              <w:rPr>
                <w:rFonts w:ascii="Calibri" w:eastAsia="Times New Roman" w:hAnsi="Calibri" w:cs="Calibri"/>
                <w:lang w:eastAsia="en-AU"/>
              </w:rPr>
            </w:pPr>
            <w:r>
              <w:rPr>
                <w:rFonts w:ascii="Calibri" w:eastAsia="Times New Roman" w:hAnsi="Calibri" w:cs="Calibri"/>
                <w:lang w:eastAsia="en-AU"/>
              </w:rPr>
              <w:t>84.9%</w:t>
            </w:r>
          </w:p>
        </w:tc>
        <w:tc>
          <w:tcPr>
            <w:tcW w:w="833" w:type="pct"/>
            <w:tcBorders>
              <w:top w:val="nil"/>
              <w:left w:val="nil"/>
              <w:bottom w:val="single" w:sz="4" w:space="0" w:color="auto"/>
              <w:right w:val="single" w:sz="4" w:space="0" w:color="auto"/>
            </w:tcBorders>
          </w:tcPr>
          <w:p w14:paraId="7BFDD596" w14:textId="124C804C" w:rsidR="00C76F35" w:rsidRPr="00E40D19" w:rsidRDefault="00C76F35" w:rsidP="00F937CC">
            <w:pPr>
              <w:spacing w:after="0" w:line="240" w:lineRule="auto"/>
              <w:jc w:val="right"/>
              <w:rPr>
                <w:rFonts w:ascii="Calibri" w:eastAsia="Times New Roman" w:hAnsi="Calibri" w:cs="Calibri"/>
                <w:lang w:eastAsia="en-AU"/>
              </w:rPr>
            </w:pPr>
            <w:r>
              <w:rPr>
                <w:rFonts w:ascii="Calibri" w:eastAsia="Times New Roman" w:hAnsi="Calibri" w:cs="Calibri"/>
                <w:lang w:eastAsia="en-AU"/>
              </w:rPr>
              <w:t>88.7%</w:t>
            </w:r>
          </w:p>
        </w:tc>
      </w:tr>
      <w:tr w:rsidR="00C76F35" w:rsidRPr="00E40D19" w14:paraId="63E23E66" w14:textId="53F7D506" w:rsidTr="00C76F35">
        <w:trPr>
          <w:trHeight w:val="20"/>
        </w:trPr>
        <w:tc>
          <w:tcPr>
            <w:tcW w:w="835" w:type="pct"/>
            <w:tcBorders>
              <w:top w:val="nil"/>
              <w:left w:val="single" w:sz="4" w:space="0" w:color="auto"/>
              <w:bottom w:val="single" w:sz="4" w:space="0" w:color="auto"/>
              <w:right w:val="single" w:sz="4" w:space="0" w:color="auto"/>
            </w:tcBorders>
            <w:shd w:val="clear" w:color="auto" w:fill="auto"/>
            <w:noWrap/>
            <w:vAlign w:val="bottom"/>
            <w:hideMark/>
          </w:tcPr>
          <w:p w14:paraId="47880AD1" w14:textId="77777777" w:rsidR="00C76F35" w:rsidRPr="00E40D19" w:rsidRDefault="00C76F35" w:rsidP="00F937CC">
            <w:pPr>
              <w:spacing w:after="0" w:line="240" w:lineRule="auto"/>
              <w:jc w:val="center"/>
              <w:rPr>
                <w:rFonts w:ascii="Calibri" w:eastAsia="Times New Roman" w:hAnsi="Calibri" w:cs="Calibri"/>
                <w:lang w:eastAsia="en-AU"/>
              </w:rPr>
            </w:pPr>
            <w:r w:rsidRPr="00E40D19">
              <w:rPr>
                <w:rFonts w:ascii="Calibri" w:eastAsia="Times New Roman" w:hAnsi="Calibri" w:cs="Calibri"/>
                <w:lang w:eastAsia="en-AU"/>
              </w:rPr>
              <w:t>2017</w:t>
            </w:r>
          </w:p>
        </w:tc>
        <w:tc>
          <w:tcPr>
            <w:tcW w:w="834" w:type="pct"/>
            <w:tcBorders>
              <w:top w:val="nil"/>
              <w:left w:val="nil"/>
              <w:bottom w:val="single" w:sz="4" w:space="0" w:color="auto"/>
              <w:right w:val="single" w:sz="4" w:space="0" w:color="auto"/>
            </w:tcBorders>
            <w:shd w:val="clear" w:color="auto" w:fill="auto"/>
            <w:noWrap/>
            <w:vAlign w:val="bottom"/>
            <w:hideMark/>
          </w:tcPr>
          <w:p w14:paraId="4913CD04" w14:textId="77777777" w:rsidR="00C76F35" w:rsidRPr="00E40D19" w:rsidRDefault="00C76F35"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93.3%</w:t>
            </w:r>
          </w:p>
        </w:tc>
        <w:tc>
          <w:tcPr>
            <w:tcW w:w="833" w:type="pct"/>
            <w:tcBorders>
              <w:top w:val="nil"/>
              <w:left w:val="nil"/>
              <w:bottom w:val="single" w:sz="4" w:space="0" w:color="auto"/>
              <w:right w:val="single" w:sz="4" w:space="0" w:color="auto"/>
            </w:tcBorders>
            <w:shd w:val="clear" w:color="auto" w:fill="auto"/>
            <w:noWrap/>
            <w:vAlign w:val="bottom"/>
            <w:hideMark/>
          </w:tcPr>
          <w:p w14:paraId="17ACEB2C" w14:textId="77777777" w:rsidR="00C76F35" w:rsidRPr="00E40D19" w:rsidRDefault="00C76F35"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95.8%</w:t>
            </w:r>
          </w:p>
        </w:tc>
        <w:tc>
          <w:tcPr>
            <w:tcW w:w="833" w:type="pct"/>
            <w:tcBorders>
              <w:top w:val="nil"/>
              <w:left w:val="nil"/>
              <w:bottom w:val="single" w:sz="4" w:space="0" w:color="auto"/>
              <w:right w:val="single" w:sz="4" w:space="0" w:color="auto"/>
            </w:tcBorders>
            <w:shd w:val="clear" w:color="auto" w:fill="auto"/>
            <w:noWrap/>
            <w:vAlign w:val="bottom"/>
            <w:hideMark/>
          </w:tcPr>
          <w:p w14:paraId="5FC6ACDB" w14:textId="77777777" w:rsidR="00C76F35" w:rsidRPr="00E40D19" w:rsidRDefault="00C76F35"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85.6%</w:t>
            </w:r>
          </w:p>
        </w:tc>
        <w:tc>
          <w:tcPr>
            <w:tcW w:w="833" w:type="pct"/>
            <w:tcBorders>
              <w:top w:val="nil"/>
              <w:left w:val="nil"/>
              <w:bottom w:val="single" w:sz="4" w:space="0" w:color="auto"/>
              <w:right w:val="single" w:sz="4" w:space="0" w:color="auto"/>
            </w:tcBorders>
          </w:tcPr>
          <w:p w14:paraId="7644E461" w14:textId="0E469B83" w:rsidR="00C76F35" w:rsidRPr="00E40D19" w:rsidRDefault="00C76F35" w:rsidP="00F937CC">
            <w:pPr>
              <w:spacing w:after="0" w:line="240" w:lineRule="auto"/>
              <w:jc w:val="right"/>
              <w:rPr>
                <w:rFonts w:ascii="Calibri" w:eastAsia="Times New Roman" w:hAnsi="Calibri" w:cs="Calibri"/>
                <w:lang w:eastAsia="en-AU"/>
              </w:rPr>
            </w:pPr>
            <w:r>
              <w:rPr>
                <w:rFonts w:ascii="Calibri" w:eastAsia="Times New Roman" w:hAnsi="Calibri" w:cs="Calibri"/>
                <w:lang w:eastAsia="en-AU"/>
              </w:rPr>
              <w:t>91.8%</w:t>
            </w:r>
          </w:p>
        </w:tc>
        <w:tc>
          <w:tcPr>
            <w:tcW w:w="833" w:type="pct"/>
            <w:tcBorders>
              <w:top w:val="nil"/>
              <w:left w:val="nil"/>
              <w:bottom w:val="single" w:sz="4" w:space="0" w:color="auto"/>
              <w:right w:val="single" w:sz="4" w:space="0" w:color="auto"/>
            </w:tcBorders>
          </w:tcPr>
          <w:p w14:paraId="65B438FE" w14:textId="6CE5B9FF" w:rsidR="00C76F35" w:rsidRPr="00E40D19" w:rsidRDefault="00C76F35" w:rsidP="00F937CC">
            <w:pPr>
              <w:spacing w:after="0" w:line="240" w:lineRule="auto"/>
              <w:jc w:val="right"/>
              <w:rPr>
                <w:rFonts w:ascii="Calibri" w:eastAsia="Times New Roman" w:hAnsi="Calibri" w:cs="Calibri"/>
                <w:lang w:eastAsia="en-AU"/>
              </w:rPr>
            </w:pPr>
            <w:r>
              <w:rPr>
                <w:rFonts w:ascii="Calibri" w:eastAsia="Times New Roman" w:hAnsi="Calibri" w:cs="Calibri"/>
                <w:lang w:eastAsia="en-AU"/>
              </w:rPr>
              <w:t>93.8%</w:t>
            </w:r>
          </w:p>
        </w:tc>
      </w:tr>
    </w:tbl>
    <w:p w14:paraId="08B91E8D" w14:textId="77777777" w:rsidR="00C76F35" w:rsidRPr="00C76F35" w:rsidRDefault="00C76F35" w:rsidP="00C76F35"/>
    <w:p w14:paraId="1F74BAB6" w14:textId="74071EF7" w:rsidR="00C76F35" w:rsidRPr="00C76F35" w:rsidRDefault="009D0F08" w:rsidP="00DB2F30">
      <w:r w:rsidRPr="00C76F35">
        <w:t xml:space="preserve">Understanding whether children and young people access health services is an important measure of their utility. </w:t>
      </w:r>
    </w:p>
    <w:p w14:paraId="13864BFE" w14:textId="77777777" w:rsidR="00C45213" w:rsidRDefault="009D0F08" w:rsidP="00DB2F30">
      <w:r w:rsidRPr="00C76F35">
        <w:t xml:space="preserve">Around </w:t>
      </w:r>
      <w:r w:rsidR="00C76F35">
        <w:t>14%</w:t>
      </w:r>
      <w:r w:rsidRPr="00C76F35">
        <w:t xml:space="preserve"> of </w:t>
      </w:r>
      <w:r w:rsidR="00C76F35">
        <w:t>Australian</w:t>
      </w:r>
      <w:r w:rsidRPr="00C76F35">
        <w:t xml:space="preserve"> children </w:t>
      </w:r>
      <w:r w:rsidR="00C76F35">
        <w:t>aged 14 to 17 experience a mental disorder. Around 75% of mental health conditions occur before the age of 25.</w:t>
      </w:r>
    </w:p>
    <w:p w14:paraId="01FFEE9A" w14:textId="3FDBAF91" w:rsidR="00C45213" w:rsidRPr="00C45213" w:rsidRDefault="00C45213" w:rsidP="00C45213">
      <w:pPr>
        <w:rPr>
          <w:b/>
        </w:rPr>
      </w:pPr>
      <w:r w:rsidRPr="00C45213">
        <w:rPr>
          <w:b/>
        </w:rPr>
        <w:t xml:space="preserve">Table </w:t>
      </w:r>
      <w:r w:rsidRPr="00C45213">
        <w:rPr>
          <w:b/>
        </w:rPr>
        <w:fldChar w:fldCharType="begin"/>
      </w:r>
      <w:r w:rsidRPr="00C45213">
        <w:rPr>
          <w:b/>
        </w:rPr>
        <w:instrText xml:space="preserve"> SEQ Table \* ARABIC </w:instrText>
      </w:r>
      <w:r w:rsidRPr="00C45213">
        <w:rPr>
          <w:b/>
        </w:rPr>
        <w:fldChar w:fldCharType="separate"/>
      </w:r>
      <w:r w:rsidR="00DB2F30">
        <w:rPr>
          <w:b/>
          <w:noProof/>
        </w:rPr>
        <w:t>25</w:t>
      </w:r>
      <w:r w:rsidRPr="00C45213">
        <w:rPr>
          <w:b/>
        </w:rPr>
        <w:fldChar w:fldCharType="end"/>
      </w:r>
      <w:r w:rsidRPr="00C45213">
        <w:rPr>
          <w:b/>
        </w:rPr>
        <w:t xml:space="preserve"> Proportion of Victorian young people (aged 0-24) using MBS subsidised mental health services, by age group. Source: Report on Government Services, 2011-12 to 2016-17.</w:t>
      </w:r>
    </w:p>
    <w:tbl>
      <w:tblPr>
        <w:tblW w:w="5000" w:type="pct"/>
        <w:tblLook w:val="04A0" w:firstRow="1" w:lastRow="0" w:firstColumn="1" w:lastColumn="0" w:noHBand="0" w:noVBand="1"/>
        <w:tblCaption w:val="Proportion of Victorian children (0-18 years) using MBS subsidised mental health services, by age group, Victoria, 2011-12 to 2016-17."/>
        <w:tblDescription w:val="Proportion of Victorian children (0-18 years) using MBS subsidised mental health services each financial year, by age group, from 2011-12 to 2016-17. Source: ROGS data, 2018."/>
      </w:tblPr>
      <w:tblGrid>
        <w:gridCol w:w="1506"/>
        <w:gridCol w:w="1504"/>
        <w:gridCol w:w="1502"/>
        <w:gridCol w:w="1502"/>
        <w:gridCol w:w="1502"/>
        <w:gridCol w:w="1500"/>
      </w:tblGrid>
      <w:tr w:rsidR="00C45213" w:rsidRPr="00E40D19" w14:paraId="427A3EF1" w14:textId="2E7758AE" w:rsidTr="00C45213">
        <w:trPr>
          <w:trHeight w:val="20"/>
        </w:trPr>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00833" w14:textId="77777777" w:rsidR="00C45213" w:rsidRPr="00E40D19" w:rsidRDefault="00C45213" w:rsidP="00F937CC">
            <w:pPr>
              <w:spacing w:after="0" w:line="240" w:lineRule="auto"/>
              <w:jc w:val="center"/>
              <w:rPr>
                <w:rFonts w:ascii="Calibri" w:eastAsia="Times New Roman" w:hAnsi="Calibri" w:cs="Calibri"/>
                <w:b/>
                <w:bCs/>
                <w:lang w:eastAsia="en-AU"/>
              </w:rPr>
            </w:pPr>
            <w:r w:rsidRPr="00E40D19">
              <w:rPr>
                <w:rFonts w:ascii="Calibri" w:eastAsia="Times New Roman" w:hAnsi="Calibri" w:cs="Calibri"/>
                <w:b/>
                <w:bCs/>
                <w:lang w:eastAsia="en-AU"/>
              </w:rPr>
              <w:t>Year</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3B7761B9" w14:textId="3D9D9D2D" w:rsidR="00C45213" w:rsidRPr="00E40D19" w:rsidRDefault="00C45213" w:rsidP="00C45213">
            <w:pPr>
              <w:spacing w:after="0" w:line="240" w:lineRule="auto"/>
              <w:jc w:val="center"/>
              <w:rPr>
                <w:rFonts w:ascii="Calibri" w:eastAsia="Times New Roman" w:hAnsi="Calibri" w:cs="Calibri"/>
                <w:b/>
                <w:bCs/>
                <w:lang w:eastAsia="en-AU"/>
              </w:rPr>
            </w:pPr>
            <w:r w:rsidRPr="00E40D19">
              <w:rPr>
                <w:rFonts w:ascii="Calibri" w:eastAsia="Times New Roman" w:hAnsi="Calibri" w:cs="Calibri"/>
                <w:b/>
                <w:bCs/>
                <w:lang w:eastAsia="en-AU"/>
              </w:rPr>
              <w:t>0-</w:t>
            </w:r>
            <w:r>
              <w:rPr>
                <w:rFonts w:ascii="Calibri" w:eastAsia="Times New Roman" w:hAnsi="Calibri" w:cs="Calibri"/>
                <w:b/>
                <w:bCs/>
                <w:lang w:eastAsia="en-AU"/>
              </w:rPr>
              <w:t>4</w:t>
            </w:r>
            <w:r w:rsidRPr="00E40D19">
              <w:rPr>
                <w:rFonts w:ascii="Calibri" w:eastAsia="Times New Roman" w:hAnsi="Calibri" w:cs="Calibri"/>
                <w:b/>
                <w:bCs/>
                <w:lang w:eastAsia="en-AU"/>
              </w:rPr>
              <w:t xml:space="preserve"> years</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6DECBDD6" w14:textId="4032153F" w:rsidR="00C45213" w:rsidRPr="00E40D19" w:rsidRDefault="00C45213" w:rsidP="00C45213">
            <w:pPr>
              <w:spacing w:after="0" w:line="240" w:lineRule="auto"/>
              <w:jc w:val="center"/>
              <w:rPr>
                <w:rFonts w:ascii="Calibri" w:eastAsia="Times New Roman" w:hAnsi="Calibri" w:cs="Calibri"/>
                <w:b/>
                <w:bCs/>
                <w:lang w:eastAsia="en-AU"/>
              </w:rPr>
            </w:pPr>
            <w:r w:rsidRPr="00E40D19">
              <w:rPr>
                <w:rFonts w:ascii="Calibri" w:eastAsia="Times New Roman" w:hAnsi="Calibri" w:cs="Calibri"/>
                <w:b/>
                <w:bCs/>
                <w:lang w:eastAsia="en-AU"/>
              </w:rPr>
              <w:t>5-</w:t>
            </w:r>
            <w:r>
              <w:rPr>
                <w:rFonts w:ascii="Calibri" w:eastAsia="Times New Roman" w:hAnsi="Calibri" w:cs="Calibri"/>
                <w:b/>
                <w:bCs/>
                <w:lang w:eastAsia="en-AU"/>
              </w:rPr>
              <w:t>11</w:t>
            </w:r>
            <w:r w:rsidRPr="00E40D19">
              <w:rPr>
                <w:rFonts w:ascii="Calibri" w:eastAsia="Times New Roman" w:hAnsi="Calibri" w:cs="Calibri"/>
                <w:b/>
                <w:bCs/>
                <w:lang w:eastAsia="en-AU"/>
              </w:rPr>
              <w:t xml:space="preserve"> years</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2E3BAD75" w14:textId="6E5FA13B" w:rsidR="00C45213" w:rsidRPr="00E40D19" w:rsidRDefault="00C45213" w:rsidP="00C45213">
            <w:pPr>
              <w:spacing w:after="0" w:line="240" w:lineRule="auto"/>
              <w:jc w:val="center"/>
              <w:rPr>
                <w:rFonts w:ascii="Calibri" w:eastAsia="Times New Roman" w:hAnsi="Calibri" w:cs="Calibri"/>
                <w:b/>
                <w:bCs/>
                <w:lang w:eastAsia="en-AU"/>
              </w:rPr>
            </w:pPr>
            <w:r w:rsidRPr="00E40D19">
              <w:rPr>
                <w:rFonts w:ascii="Calibri" w:eastAsia="Times New Roman" w:hAnsi="Calibri" w:cs="Calibri"/>
                <w:b/>
                <w:bCs/>
                <w:lang w:eastAsia="en-AU"/>
              </w:rPr>
              <w:t>12-</w:t>
            </w:r>
            <w:r>
              <w:rPr>
                <w:rFonts w:ascii="Calibri" w:eastAsia="Times New Roman" w:hAnsi="Calibri" w:cs="Calibri"/>
                <w:b/>
                <w:bCs/>
                <w:lang w:eastAsia="en-AU"/>
              </w:rPr>
              <w:t>17</w:t>
            </w:r>
            <w:r w:rsidRPr="00E40D19">
              <w:rPr>
                <w:rFonts w:ascii="Calibri" w:eastAsia="Times New Roman" w:hAnsi="Calibri" w:cs="Calibri"/>
                <w:b/>
                <w:bCs/>
                <w:lang w:eastAsia="en-AU"/>
              </w:rPr>
              <w:t xml:space="preserve"> years</w:t>
            </w:r>
          </w:p>
        </w:tc>
        <w:tc>
          <w:tcPr>
            <w:tcW w:w="833" w:type="pct"/>
            <w:tcBorders>
              <w:top w:val="single" w:sz="4" w:space="0" w:color="auto"/>
              <w:left w:val="nil"/>
              <w:bottom w:val="single" w:sz="4" w:space="0" w:color="auto"/>
              <w:right w:val="single" w:sz="4" w:space="0" w:color="auto"/>
            </w:tcBorders>
          </w:tcPr>
          <w:p w14:paraId="0A608C78" w14:textId="1A038483" w:rsidR="00C45213" w:rsidRPr="00E40D19" w:rsidRDefault="00C45213" w:rsidP="00C45213">
            <w:pPr>
              <w:spacing w:after="0" w:line="240" w:lineRule="auto"/>
              <w:jc w:val="center"/>
              <w:rPr>
                <w:rFonts w:ascii="Calibri" w:eastAsia="Times New Roman" w:hAnsi="Calibri" w:cs="Calibri"/>
                <w:b/>
                <w:bCs/>
                <w:lang w:eastAsia="en-AU"/>
              </w:rPr>
            </w:pPr>
            <w:r>
              <w:rPr>
                <w:rFonts w:ascii="Calibri" w:eastAsia="Times New Roman" w:hAnsi="Calibri" w:cs="Calibri"/>
                <w:b/>
                <w:bCs/>
                <w:lang w:eastAsia="en-AU"/>
              </w:rPr>
              <w:t>18-24 years</w:t>
            </w:r>
          </w:p>
        </w:tc>
        <w:tc>
          <w:tcPr>
            <w:tcW w:w="832" w:type="pct"/>
            <w:tcBorders>
              <w:top w:val="single" w:sz="4" w:space="0" w:color="auto"/>
              <w:left w:val="nil"/>
              <w:bottom w:val="single" w:sz="4" w:space="0" w:color="auto"/>
              <w:right w:val="single" w:sz="4" w:space="0" w:color="auto"/>
            </w:tcBorders>
          </w:tcPr>
          <w:p w14:paraId="3391E2CE" w14:textId="57A90A53" w:rsidR="00C45213" w:rsidRPr="00E40D19" w:rsidRDefault="00C45213" w:rsidP="00C45213">
            <w:pPr>
              <w:spacing w:after="0" w:line="240" w:lineRule="auto"/>
              <w:jc w:val="center"/>
              <w:rPr>
                <w:rFonts w:ascii="Calibri" w:eastAsia="Times New Roman" w:hAnsi="Calibri" w:cs="Calibri"/>
                <w:b/>
                <w:bCs/>
                <w:lang w:eastAsia="en-AU"/>
              </w:rPr>
            </w:pPr>
            <w:r>
              <w:rPr>
                <w:rFonts w:ascii="Calibri" w:eastAsia="Times New Roman" w:hAnsi="Calibri" w:cs="Calibri"/>
                <w:b/>
                <w:bCs/>
                <w:lang w:eastAsia="en-AU"/>
              </w:rPr>
              <w:t xml:space="preserve">Total </w:t>
            </w:r>
          </w:p>
        </w:tc>
      </w:tr>
      <w:tr w:rsidR="00C45213" w:rsidRPr="00E40D19" w14:paraId="6D1610FB" w14:textId="7EB6B945" w:rsidTr="00C45213">
        <w:trPr>
          <w:trHeight w:val="20"/>
        </w:trPr>
        <w:tc>
          <w:tcPr>
            <w:tcW w:w="835" w:type="pct"/>
            <w:tcBorders>
              <w:top w:val="nil"/>
              <w:left w:val="single" w:sz="4" w:space="0" w:color="auto"/>
              <w:bottom w:val="single" w:sz="4" w:space="0" w:color="auto"/>
              <w:right w:val="single" w:sz="4" w:space="0" w:color="auto"/>
            </w:tcBorders>
            <w:shd w:val="clear" w:color="auto" w:fill="auto"/>
            <w:noWrap/>
            <w:vAlign w:val="center"/>
            <w:hideMark/>
          </w:tcPr>
          <w:p w14:paraId="66CD6A6E" w14:textId="77777777" w:rsidR="00C45213" w:rsidRPr="00E40D19" w:rsidRDefault="00C45213" w:rsidP="00F937CC">
            <w:pPr>
              <w:spacing w:after="0" w:line="240" w:lineRule="auto"/>
              <w:jc w:val="center"/>
              <w:rPr>
                <w:rFonts w:ascii="Calibri" w:eastAsia="Times New Roman" w:hAnsi="Calibri" w:cs="Calibri"/>
                <w:lang w:eastAsia="en-AU"/>
              </w:rPr>
            </w:pPr>
            <w:r w:rsidRPr="00E40D19">
              <w:rPr>
                <w:rFonts w:ascii="Calibri" w:eastAsia="Times New Roman" w:hAnsi="Calibri" w:cs="Calibri"/>
                <w:lang w:eastAsia="en-AU"/>
              </w:rPr>
              <w:t>2011-12</w:t>
            </w:r>
          </w:p>
        </w:tc>
        <w:tc>
          <w:tcPr>
            <w:tcW w:w="834" w:type="pct"/>
            <w:tcBorders>
              <w:top w:val="nil"/>
              <w:left w:val="nil"/>
              <w:bottom w:val="single" w:sz="4" w:space="0" w:color="auto"/>
              <w:right w:val="single" w:sz="4" w:space="0" w:color="auto"/>
            </w:tcBorders>
            <w:shd w:val="clear" w:color="auto" w:fill="auto"/>
            <w:noWrap/>
            <w:vAlign w:val="bottom"/>
            <w:hideMark/>
          </w:tcPr>
          <w:p w14:paraId="7178F7B7" w14:textId="77777777" w:rsidR="00C45213" w:rsidRPr="00E40D19" w:rsidRDefault="00C45213"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0.8%</w:t>
            </w:r>
          </w:p>
        </w:tc>
        <w:tc>
          <w:tcPr>
            <w:tcW w:w="833" w:type="pct"/>
            <w:tcBorders>
              <w:top w:val="nil"/>
              <w:left w:val="nil"/>
              <w:bottom w:val="single" w:sz="4" w:space="0" w:color="auto"/>
              <w:right w:val="single" w:sz="4" w:space="0" w:color="auto"/>
            </w:tcBorders>
            <w:shd w:val="clear" w:color="auto" w:fill="auto"/>
            <w:noWrap/>
            <w:vAlign w:val="bottom"/>
            <w:hideMark/>
          </w:tcPr>
          <w:p w14:paraId="48C42E0D" w14:textId="77777777" w:rsidR="00C45213" w:rsidRPr="00E40D19" w:rsidRDefault="00C45213"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4.8%</w:t>
            </w:r>
          </w:p>
        </w:tc>
        <w:tc>
          <w:tcPr>
            <w:tcW w:w="833" w:type="pct"/>
            <w:tcBorders>
              <w:top w:val="nil"/>
              <w:left w:val="nil"/>
              <w:bottom w:val="single" w:sz="4" w:space="0" w:color="auto"/>
              <w:right w:val="single" w:sz="4" w:space="0" w:color="auto"/>
            </w:tcBorders>
            <w:shd w:val="clear" w:color="auto" w:fill="auto"/>
            <w:noWrap/>
            <w:vAlign w:val="bottom"/>
            <w:hideMark/>
          </w:tcPr>
          <w:p w14:paraId="29278B41" w14:textId="77777777" w:rsidR="00C45213" w:rsidRPr="00E40D19" w:rsidRDefault="00C45213"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6.9%</w:t>
            </w:r>
          </w:p>
        </w:tc>
        <w:tc>
          <w:tcPr>
            <w:tcW w:w="833" w:type="pct"/>
            <w:tcBorders>
              <w:top w:val="nil"/>
              <w:left w:val="nil"/>
              <w:bottom w:val="single" w:sz="4" w:space="0" w:color="auto"/>
              <w:right w:val="single" w:sz="4" w:space="0" w:color="auto"/>
            </w:tcBorders>
          </w:tcPr>
          <w:p w14:paraId="64AF3F54" w14:textId="042E70C2" w:rsidR="00C45213" w:rsidRPr="00E40D19" w:rsidRDefault="00C45213" w:rsidP="00F937CC">
            <w:pPr>
              <w:spacing w:after="0" w:line="240" w:lineRule="auto"/>
              <w:jc w:val="right"/>
              <w:rPr>
                <w:rFonts w:ascii="Calibri" w:eastAsia="Times New Roman" w:hAnsi="Calibri" w:cs="Calibri"/>
                <w:lang w:eastAsia="en-AU"/>
              </w:rPr>
            </w:pPr>
            <w:r>
              <w:rPr>
                <w:rFonts w:ascii="Calibri" w:eastAsia="Times New Roman" w:hAnsi="Calibri" w:cs="Calibri"/>
                <w:lang w:eastAsia="en-AU"/>
              </w:rPr>
              <w:t>8.4%</w:t>
            </w:r>
          </w:p>
        </w:tc>
        <w:tc>
          <w:tcPr>
            <w:tcW w:w="832" w:type="pct"/>
            <w:tcBorders>
              <w:top w:val="nil"/>
              <w:left w:val="nil"/>
              <w:bottom w:val="single" w:sz="4" w:space="0" w:color="auto"/>
              <w:right w:val="single" w:sz="4" w:space="0" w:color="auto"/>
            </w:tcBorders>
          </w:tcPr>
          <w:p w14:paraId="42EE945C" w14:textId="35024123" w:rsidR="00C45213" w:rsidRPr="00E40D19" w:rsidRDefault="00C45213" w:rsidP="00F937CC">
            <w:pPr>
              <w:spacing w:after="0" w:line="240" w:lineRule="auto"/>
              <w:jc w:val="right"/>
              <w:rPr>
                <w:rFonts w:ascii="Calibri" w:eastAsia="Times New Roman" w:hAnsi="Calibri" w:cs="Calibri"/>
                <w:lang w:eastAsia="en-AU"/>
              </w:rPr>
            </w:pPr>
            <w:r>
              <w:rPr>
                <w:rFonts w:ascii="Calibri" w:eastAsia="Times New Roman" w:hAnsi="Calibri" w:cs="Calibri"/>
                <w:lang w:eastAsia="en-AU"/>
              </w:rPr>
              <w:t>5.6%</w:t>
            </w:r>
          </w:p>
        </w:tc>
      </w:tr>
      <w:tr w:rsidR="00C45213" w:rsidRPr="00E40D19" w14:paraId="7285781C" w14:textId="55BE76D8" w:rsidTr="00C45213">
        <w:trPr>
          <w:trHeight w:val="20"/>
        </w:trPr>
        <w:tc>
          <w:tcPr>
            <w:tcW w:w="835" w:type="pct"/>
            <w:tcBorders>
              <w:top w:val="nil"/>
              <w:left w:val="single" w:sz="4" w:space="0" w:color="auto"/>
              <w:bottom w:val="single" w:sz="4" w:space="0" w:color="auto"/>
              <w:right w:val="single" w:sz="4" w:space="0" w:color="auto"/>
            </w:tcBorders>
            <w:shd w:val="clear" w:color="auto" w:fill="auto"/>
            <w:noWrap/>
            <w:vAlign w:val="center"/>
            <w:hideMark/>
          </w:tcPr>
          <w:p w14:paraId="28613C29" w14:textId="77777777" w:rsidR="00C45213" w:rsidRPr="00E40D19" w:rsidRDefault="00C45213" w:rsidP="00F937CC">
            <w:pPr>
              <w:spacing w:after="0" w:line="240" w:lineRule="auto"/>
              <w:jc w:val="center"/>
              <w:rPr>
                <w:rFonts w:ascii="Calibri" w:eastAsia="Times New Roman" w:hAnsi="Calibri" w:cs="Calibri"/>
                <w:lang w:eastAsia="en-AU"/>
              </w:rPr>
            </w:pPr>
            <w:r w:rsidRPr="00E40D19">
              <w:rPr>
                <w:rFonts w:ascii="Calibri" w:eastAsia="Times New Roman" w:hAnsi="Calibri" w:cs="Calibri"/>
                <w:lang w:eastAsia="en-AU"/>
              </w:rPr>
              <w:t>2016-17</w:t>
            </w:r>
          </w:p>
        </w:tc>
        <w:tc>
          <w:tcPr>
            <w:tcW w:w="834" w:type="pct"/>
            <w:tcBorders>
              <w:top w:val="nil"/>
              <w:left w:val="nil"/>
              <w:bottom w:val="single" w:sz="4" w:space="0" w:color="auto"/>
              <w:right w:val="single" w:sz="4" w:space="0" w:color="auto"/>
            </w:tcBorders>
            <w:shd w:val="clear" w:color="auto" w:fill="auto"/>
            <w:noWrap/>
            <w:vAlign w:val="bottom"/>
            <w:hideMark/>
          </w:tcPr>
          <w:p w14:paraId="354DBB86" w14:textId="77777777" w:rsidR="00C45213" w:rsidRPr="00E40D19" w:rsidRDefault="00C45213"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1.1%</w:t>
            </w:r>
          </w:p>
        </w:tc>
        <w:tc>
          <w:tcPr>
            <w:tcW w:w="833" w:type="pct"/>
            <w:tcBorders>
              <w:top w:val="nil"/>
              <w:left w:val="nil"/>
              <w:bottom w:val="single" w:sz="4" w:space="0" w:color="auto"/>
              <w:right w:val="single" w:sz="4" w:space="0" w:color="auto"/>
            </w:tcBorders>
            <w:shd w:val="clear" w:color="auto" w:fill="auto"/>
            <w:noWrap/>
            <w:vAlign w:val="bottom"/>
            <w:hideMark/>
          </w:tcPr>
          <w:p w14:paraId="021FDA3A" w14:textId="77777777" w:rsidR="00C45213" w:rsidRPr="00E40D19" w:rsidRDefault="00C45213"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7.8%</w:t>
            </w:r>
          </w:p>
        </w:tc>
        <w:tc>
          <w:tcPr>
            <w:tcW w:w="833" w:type="pct"/>
            <w:tcBorders>
              <w:top w:val="nil"/>
              <w:left w:val="nil"/>
              <w:bottom w:val="single" w:sz="4" w:space="0" w:color="auto"/>
              <w:right w:val="single" w:sz="4" w:space="0" w:color="auto"/>
            </w:tcBorders>
            <w:shd w:val="clear" w:color="auto" w:fill="auto"/>
            <w:noWrap/>
            <w:vAlign w:val="bottom"/>
            <w:hideMark/>
          </w:tcPr>
          <w:p w14:paraId="1B038EAE" w14:textId="77777777" w:rsidR="00C45213" w:rsidRPr="00E40D19" w:rsidRDefault="00C45213"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10.9%</w:t>
            </w:r>
          </w:p>
        </w:tc>
        <w:tc>
          <w:tcPr>
            <w:tcW w:w="833" w:type="pct"/>
            <w:tcBorders>
              <w:top w:val="nil"/>
              <w:left w:val="nil"/>
              <w:bottom w:val="single" w:sz="4" w:space="0" w:color="auto"/>
              <w:right w:val="single" w:sz="4" w:space="0" w:color="auto"/>
            </w:tcBorders>
          </w:tcPr>
          <w:p w14:paraId="2E7A6909" w14:textId="6AB1FEBF" w:rsidR="00C45213" w:rsidRPr="00E40D19" w:rsidRDefault="00C45213" w:rsidP="00F937CC">
            <w:pPr>
              <w:spacing w:after="0" w:line="240" w:lineRule="auto"/>
              <w:jc w:val="right"/>
              <w:rPr>
                <w:rFonts w:ascii="Calibri" w:eastAsia="Times New Roman" w:hAnsi="Calibri" w:cs="Calibri"/>
                <w:lang w:eastAsia="en-AU"/>
              </w:rPr>
            </w:pPr>
            <w:r>
              <w:rPr>
                <w:rFonts w:ascii="Calibri" w:eastAsia="Times New Roman" w:hAnsi="Calibri" w:cs="Calibri"/>
                <w:lang w:eastAsia="en-AU"/>
              </w:rPr>
              <w:t>12.2%</w:t>
            </w:r>
          </w:p>
        </w:tc>
        <w:tc>
          <w:tcPr>
            <w:tcW w:w="832" w:type="pct"/>
            <w:tcBorders>
              <w:top w:val="nil"/>
              <w:left w:val="nil"/>
              <w:bottom w:val="single" w:sz="4" w:space="0" w:color="auto"/>
              <w:right w:val="single" w:sz="4" w:space="0" w:color="auto"/>
            </w:tcBorders>
          </w:tcPr>
          <w:p w14:paraId="06E22C1E" w14:textId="5364326F" w:rsidR="00C45213" w:rsidRPr="00E40D19" w:rsidRDefault="00C45213" w:rsidP="00F937CC">
            <w:pPr>
              <w:spacing w:after="0" w:line="240" w:lineRule="auto"/>
              <w:jc w:val="right"/>
              <w:rPr>
                <w:rFonts w:ascii="Calibri" w:eastAsia="Times New Roman" w:hAnsi="Calibri" w:cs="Calibri"/>
                <w:lang w:eastAsia="en-AU"/>
              </w:rPr>
            </w:pPr>
            <w:r>
              <w:rPr>
                <w:rFonts w:ascii="Calibri" w:eastAsia="Times New Roman" w:hAnsi="Calibri" w:cs="Calibri"/>
                <w:lang w:eastAsia="en-AU"/>
              </w:rPr>
              <w:t>8.5%</w:t>
            </w:r>
          </w:p>
        </w:tc>
      </w:tr>
    </w:tbl>
    <w:p w14:paraId="582AF1CC" w14:textId="221E193B" w:rsidR="009D0F08" w:rsidRPr="00C76F35" w:rsidRDefault="009D0F08" w:rsidP="00C76F35"/>
    <w:p w14:paraId="145E9F69" w14:textId="3BD9EEDA" w:rsidR="00C45213" w:rsidRDefault="00C45213">
      <w:r>
        <w:br w:type="page"/>
      </w:r>
    </w:p>
    <w:p w14:paraId="32ACED19" w14:textId="471078B5" w:rsidR="009D0F08" w:rsidRDefault="00C45213" w:rsidP="00C45213">
      <w:pPr>
        <w:pStyle w:val="Heading1"/>
        <w:rPr>
          <w:color w:val="auto"/>
        </w:rPr>
      </w:pPr>
      <w:r>
        <w:rPr>
          <w:color w:val="auto"/>
        </w:rPr>
        <w:lastRenderedPageBreak/>
        <w:t>Learning and education</w:t>
      </w:r>
    </w:p>
    <w:p w14:paraId="4ED57540" w14:textId="3F2CE43E" w:rsidR="00C45213" w:rsidRDefault="00C45213" w:rsidP="00DB2F30">
      <w:r w:rsidRPr="000D1A4D">
        <w:t>Health, wellbeing and education are complementary and interrelated. Health and wellbeing are prerequisites for positive outcomes at school, and education is key to long term health and wellbeing.</w:t>
      </w:r>
    </w:p>
    <w:p w14:paraId="6DFFF17D" w14:textId="3F301629" w:rsidR="00C45213" w:rsidRDefault="00C45213" w:rsidP="00DB2F30">
      <w:r w:rsidRPr="000D1A4D">
        <w:t>Early childhood development is key to children’s success at school. In 2015, one in five Victorian children were assessed as being developmentally vulnerable at school entry.</w:t>
      </w:r>
    </w:p>
    <w:p w14:paraId="32CEF085" w14:textId="50E25212" w:rsidR="00C45213" w:rsidRDefault="00C45213" w:rsidP="00DB2F30">
      <w:r>
        <w:t xml:space="preserve">Developmental vulnerability at school entry is associated with poorer educational achievement years later. </w:t>
      </w:r>
    </w:p>
    <w:p w14:paraId="0EE02F11" w14:textId="2B44CA2C" w:rsidR="00C45213" w:rsidRDefault="00C45213" w:rsidP="00DB2F30">
      <w:r>
        <w:t xml:space="preserve">Linked data for Victoria shows that children who are developmentally vulnerable at school entry </w:t>
      </w:r>
      <w:r w:rsidRPr="000D1A4D">
        <w:t xml:space="preserve">are half as likely to achieve in the top </w:t>
      </w:r>
      <w:r>
        <w:t>two</w:t>
      </w:r>
      <w:r w:rsidRPr="000D1A4D">
        <w:t xml:space="preserve"> bands </w:t>
      </w:r>
      <w:r>
        <w:t xml:space="preserve">in Year 5 NAPLAN reading as those classified as on track. </w:t>
      </w:r>
    </w:p>
    <w:p w14:paraId="4D428E5D" w14:textId="0FDCF3E9" w:rsidR="00D6461C" w:rsidRPr="00D6461C" w:rsidRDefault="00D6461C" w:rsidP="00D6461C">
      <w:pPr>
        <w:rPr>
          <w:b/>
        </w:rPr>
      </w:pPr>
      <w:r w:rsidRPr="00D6461C">
        <w:rPr>
          <w:b/>
        </w:rPr>
        <w:t xml:space="preserve">Table </w:t>
      </w:r>
      <w:r w:rsidRPr="00D6461C">
        <w:rPr>
          <w:b/>
        </w:rPr>
        <w:fldChar w:fldCharType="begin"/>
      </w:r>
      <w:r w:rsidRPr="00D6461C">
        <w:rPr>
          <w:b/>
        </w:rPr>
        <w:instrText xml:space="preserve"> SEQ Table \* ARABIC </w:instrText>
      </w:r>
      <w:r w:rsidRPr="00D6461C">
        <w:rPr>
          <w:b/>
        </w:rPr>
        <w:fldChar w:fldCharType="separate"/>
      </w:r>
      <w:r w:rsidR="00DB2F30">
        <w:rPr>
          <w:b/>
          <w:noProof/>
        </w:rPr>
        <w:t>26</w:t>
      </w:r>
      <w:r w:rsidRPr="00D6461C">
        <w:rPr>
          <w:b/>
        </w:rPr>
        <w:fldChar w:fldCharType="end"/>
      </w:r>
      <w:r w:rsidRPr="00D6461C">
        <w:rPr>
          <w:b/>
        </w:rPr>
        <w:t xml:space="preserve"> Proportion of developmentally vulnerable children achieving in the top two bands for Year 5 NAPLAN reading, by domain, Victoria, 2014. Source: Australian Early Development Census, 2009 and NAPLAN, 2014.</w:t>
      </w:r>
    </w:p>
    <w:tbl>
      <w:tblPr>
        <w:tblW w:w="5000" w:type="pct"/>
        <w:tblLook w:val="04A0" w:firstRow="1" w:lastRow="0" w:firstColumn="1" w:lastColumn="0" w:noHBand="0" w:noVBand="1"/>
        <w:tblCaption w:val="Proportion of children achieving in top two bands for Year 5 NAPLAN reading, by AEDC vulnerability status and domain, 2009-2014. "/>
        <w:tblDescription w:val="Proportion of children achieving in top two bands for Year 5 NAPLAN reading, by AEDC vulnerability status (vulnerable and on track) and selected domains (physical health, social competence, emotional maturity, language and cognition and communication). Source: Australian Early Development Census, 2009 &amp; NAPLAN, 2012 &amp; 2014."/>
      </w:tblPr>
      <w:tblGrid>
        <w:gridCol w:w="1999"/>
        <w:gridCol w:w="1221"/>
        <w:gridCol w:w="1437"/>
        <w:gridCol w:w="1434"/>
        <w:gridCol w:w="1324"/>
        <w:gridCol w:w="1601"/>
      </w:tblGrid>
      <w:tr w:rsidR="00D6461C" w:rsidRPr="00E40D19" w14:paraId="5E0D1185" w14:textId="77777777" w:rsidTr="00D6461C">
        <w:trPr>
          <w:trHeight w:val="737"/>
        </w:trPr>
        <w:tc>
          <w:tcPr>
            <w:tcW w:w="11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79E49" w14:textId="77777777" w:rsidR="00D6461C" w:rsidRPr="00E40D19" w:rsidRDefault="00D6461C" w:rsidP="00F937CC">
            <w:pPr>
              <w:spacing w:after="0" w:line="240" w:lineRule="auto"/>
              <w:jc w:val="center"/>
              <w:rPr>
                <w:rFonts w:ascii="Calibri" w:eastAsia="Times New Roman" w:hAnsi="Calibri" w:cs="Calibri"/>
                <w:lang w:eastAsia="en-AU"/>
              </w:rPr>
            </w:pPr>
            <w:r w:rsidRPr="00E40D19">
              <w:rPr>
                <w:rFonts w:ascii="Calibri" w:eastAsia="Times New Roman" w:hAnsi="Calibri" w:cs="Calibri"/>
                <w:b/>
                <w:lang w:eastAsia="en-AU"/>
              </w:rPr>
              <w:t>Vulnerability status</w:t>
            </w:r>
          </w:p>
        </w:tc>
        <w:tc>
          <w:tcPr>
            <w:tcW w:w="677" w:type="pct"/>
            <w:tcBorders>
              <w:top w:val="single" w:sz="4" w:space="0" w:color="auto"/>
              <w:left w:val="nil"/>
              <w:bottom w:val="single" w:sz="4" w:space="0" w:color="auto"/>
              <w:right w:val="single" w:sz="4" w:space="0" w:color="auto"/>
            </w:tcBorders>
            <w:shd w:val="clear" w:color="auto" w:fill="auto"/>
            <w:vAlign w:val="center"/>
            <w:hideMark/>
          </w:tcPr>
          <w:p w14:paraId="46E0074C" w14:textId="77777777" w:rsidR="00D6461C" w:rsidRPr="00E40D19" w:rsidRDefault="00D6461C" w:rsidP="00F937CC">
            <w:pPr>
              <w:spacing w:after="0" w:line="240" w:lineRule="auto"/>
              <w:jc w:val="center"/>
              <w:rPr>
                <w:rFonts w:ascii="Calibri" w:eastAsia="Times New Roman" w:hAnsi="Calibri" w:cs="Calibri"/>
                <w:sz w:val="21"/>
                <w:szCs w:val="21"/>
                <w:lang w:eastAsia="en-AU"/>
              </w:rPr>
            </w:pPr>
            <w:r w:rsidRPr="00E40D19">
              <w:rPr>
                <w:rFonts w:ascii="Calibri" w:eastAsia="Times New Roman" w:hAnsi="Calibri" w:cs="Calibri"/>
                <w:b/>
                <w:sz w:val="21"/>
                <w:szCs w:val="21"/>
                <w:lang w:eastAsia="en-AU"/>
              </w:rPr>
              <w:t>Physical Health</w:t>
            </w:r>
          </w:p>
        </w:tc>
        <w:tc>
          <w:tcPr>
            <w:tcW w:w="797" w:type="pct"/>
            <w:tcBorders>
              <w:top w:val="single" w:sz="4" w:space="0" w:color="auto"/>
              <w:left w:val="nil"/>
              <w:bottom w:val="single" w:sz="4" w:space="0" w:color="auto"/>
              <w:right w:val="single" w:sz="4" w:space="0" w:color="auto"/>
            </w:tcBorders>
            <w:shd w:val="clear" w:color="auto" w:fill="auto"/>
            <w:vAlign w:val="center"/>
            <w:hideMark/>
          </w:tcPr>
          <w:p w14:paraId="1B84D1F8" w14:textId="77777777" w:rsidR="00D6461C" w:rsidRPr="00E40D19" w:rsidRDefault="00D6461C" w:rsidP="00F937CC">
            <w:pPr>
              <w:spacing w:after="0" w:line="240" w:lineRule="auto"/>
              <w:jc w:val="center"/>
              <w:rPr>
                <w:rFonts w:ascii="Calibri" w:eastAsia="Times New Roman" w:hAnsi="Calibri" w:cs="Calibri"/>
                <w:sz w:val="21"/>
                <w:szCs w:val="21"/>
                <w:lang w:eastAsia="en-AU"/>
              </w:rPr>
            </w:pPr>
            <w:r w:rsidRPr="00E40D19">
              <w:rPr>
                <w:rFonts w:ascii="Calibri" w:eastAsia="Times New Roman" w:hAnsi="Calibri" w:cs="Calibri"/>
                <w:b/>
                <w:sz w:val="21"/>
                <w:szCs w:val="21"/>
                <w:lang w:eastAsia="en-AU"/>
              </w:rPr>
              <w:t>Social Competence</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5177C506" w14:textId="77777777" w:rsidR="00D6461C" w:rsidRPr="00E40D19" w:rsidRDefault="00D6461C" w:rsidP="00F937CC">
            <w:pPr>
              <w:spacing w:after="0" w:line="240" w:lineRule="auto"/>
              <w:jc w:val="center"/>
              <w:rPr>
                <w:rFonts w:ascii="Calibri" w:eastAsia="Times New Roman" w:hAnsi="Calibri" w:cs="Calibri"/>
                <w:sz w:val="21"/>
                <w:szCs w:val="21"/>
                <w:lang w:eastAsia="en-AU"/>
              </w:rPr>
            </w:pPr>
            <w:r w:rsidRPr="00E40D19">
              <w:rPr>
                <w:rFonts w:ascii="Calibri" w:eastAsia="Times New Roman" w:hAnsi="Calibri" w:cs="Calibri"/>
                <w:b/>
                <w:sz w:val="21"/>
                <w:szCs w:val="21"/>
                <w:lang w:eastAsia="en-AU"/>
              </w:rPr>
              <w:t>Emotional Maturity</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ACE5E47" w14:textId="77777777" w:rsidR="00D6461C" w:rsidRPr="00E40D19" w:rsidRDefault="00D6461C" w:rsidP="00F937CC">
            <w:pPr>
              <w:spacing w:after="0" w:line="240" w:lineRule="auto"/>
              <w:jc w:val="center"/>
              <w:rPr>
                <w:rFonts w:ascii="Calibri" w:eastAsia="Times New Roman" w:hAnsi="Calibri" w:cs="Calibri"/>
                <w:sz w:val="21"/>
                <w:szCs w:val="21"/>
                <w:lang w:eastAsia="en-AU"/>
              </w:rPr>
            </w:pPr>
            <w:r w:rsidRPr="00E40D19">
              <w:rPr>
                <w:rFonts w:ascii="Calibri" w:eastAsia="Times New Roman" w:hAnsi="Calibri" w:cs="Calibri"/>
                <w:b/>
                <w:sz w:val="21"/>
                <w:szCs w:val="21"/>
                <w:lang w:eastAsia="en-AU"/>
              </w:rPr>
              <w:t>Language &amp; Cognition</w:t>
            </w:r>
          </w:p>
        </w:tc>
        <w:tc>
          <w:tcPr>
            <w:tcW w:w="888" w:type="pct"/>
            <w:tcBorders>
              <w:top w:val="single" w:sz="4" w:space="0" w:color="auto"/>
              <w:left w:val="nil"/>
              <w:bottom w:val="single" w:sz="4" w:space="0" w:color="auto"/>
              <w:right w:val="single" w:sz="4" w:space="0" w:color="auto"/>
            </w:tcBorders>
            <w:shd w:val="clear" w:color="auto" w:fill="auto"/>
            <w:vAlign w:val="center"/>
            <w:hideMark/>
          </w:tcPr>
          <w:p w14:paraId="5A03C799" w14:textId="77777777" w:rsidR="00D6461C" w:rsidRPr="00E40D19" w:rsidRDefault="00D6461C" w:rsidP="00F937CC">
            <w:pPr>
              <w:spacing w:after="0" w:line="240" w:lineRule="auto"/>
              <w:jc w:val="center"/>
              <w:rPr>
                <w:rFonts w:ascii="Calibri" w:eastAsia="Times New Roman" w:hAnsi="Calibri" w:cs="Calibri"/>
                <w:sz w:val="21"/>
                <w:szCs w:val="21"/>
                <w:lang w:eastAsia="en-AU"/>
              </w:rPr>
            </w:pPr>
            <w:r w:rsidRPr="00E40D19">
              <w:rPr>
                <w:rFonts w:ascii="Calibri" w:eastAsia="Times New Roman" w:hAnsi="Calibri" w:cs="Calibri"/>
                <w:b/>
                <w:sz w:val="21"/>
                <w:szCs w:val="21"/>
                <w:lang w:eastAsia="en-AU"/>
              </w:rPr>
              <w:t>Communication</w:t>
            </w:r>
          </w:p>
        </w:tc>
      </w:tr>
      <w:tr w:rsidR="00D6461C" w:rsidRPr="00E40D19" w14:paraId="053F32F4" w14:textId="77777777" w:rsidTr="00D6461C">
        <w:trPr>
          <w:trHeight w:val="258"/>
        </w:trPr>
        <w:tc>
          <w:tcPr>
            <w:tcW w:w="1109" w:type="pct"/>
            <w:tcBorders>
              <w:top w:val="nil"/>
              <w:left w:val="single" w:sz="4" w:space="0" w:color="auto"/>
              <w:bottom w:val="single" w:sz="4" w:space="0" w:color="auto"/>
              <w:right w:val="single" w:sz="4" w:space="0" w:color="auto"/>
            </w:tcBorders>
            <w:shd w:val="clear" w:color="auto" w:fill="auto"/>
            <w:noWrap/>
            <w:vAlign w:val="bottom"/>
            <w:hideMark/>
          </w:tcPr>
          <w:p w14:paraId="36660C76" w14:textId="77777777" w:rsidR="00D6461C" w:rsidRPr="00E40D19" w:rsidRDefault="00D6461C" w:rsidP="00F937CC">
            <w:pPr>
              <w:spacing w:after="0" w:line="240" w:lineRule="auto"/>
              <w:jc w:val="center"/>
              <w:rPr>
                <w:rFonts w:ascii="Calibri" w:eastAsia="Times New Roman" w:hAnsi="Calibri" w:cs="Calibri"/>
                <w:lang w:eastAsia="en-AU"/>
              </w:rPr>
            </w:pPr>
            <w:r w:rsidRPr="00E40D19">
              <w:rPr>
                <w:rFonts w:ascii="Calibri" w:eastAsia="Times New Roman" w:hAnsi="Calibri" w:cs="Calibri"/>
                <w:lang w:eastAsia="en-AU"/>
              </w:rPr>
              <w:t>Vulnerable</w:t>
            </w:r>
          </w:p>
        </w:tc>
        <w:tc>
          <w:tcPr>
            <w:tcW w:w="677" w:type="pct"/>
            <w:tcBorders>
              <w:top w:val="nil"/>
              <w:left w:val="nil"/>
              <w:bottom w:val="single" w:sz="4" w:space="0" w:color="auto"/>
              <w:right w:val="single" w:sz="4" w:space="0" w:color="auto"/>
            </w:tcBorders>
            <w:shd w:val="clear" w:color="auto" w:fill="auto"/>
            <w:noWrap/>
            <w:vAlign w:val="bottom"/>
            <w:hideMark/>
          </w:tcPr>
          <w:p w14:paraId="03F8C8FD" w14:textId="77777777" w:rsidR="00D6461C" w:rsidRPr="00E40D19" w:rsidRDefault="00D6461C"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19%</w:t>
            </w:r>
          </w:p>
        </w:tc>
        <w:tc>
          <w:tcPr>
            <w:tcW w:w="797" w:type="pct"/>
            <w:tcBorders>
              <w:top w:val="nil"/>
              <w:left w:val="nil"/>
              <w:bottom w:val="single" w:sz="4" w:space="0" w:color="auto"/>
              <w:right w:val="single" w:sz="4" w:space="0" w:color="auto"/>
            </w:tcBorders>
            <w:shd w:val="clear" w:color="auto" w:fill="auto"/>
            <w:noWrap/>
            <w:vAlign w:val="bottom"/>
            <w:hideMark/>
          </w:tcPr>
          <w:p w14:paraId="7A433546" w14:textId="77777777" w:rsidR="00D6461C" w:rsidRPr="00E40D19" w:rsidRDefault="00D6461C"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16%</w:t>
            </w:r>
          </w:p>
        </w:tc>
        <w:tc>
          <w:tcPr>
            <w:tcW w:w="795" w:type="pct"/>
            <w:tcBorders>
              <w:top w:val="nil"/>
              <w:left w:val="nil"/>
              <w:bottom w:val="single" w:sz="4" w:space="0" w:color="auto"/>
              <w:right w:val="single" w:sz="4" w:space="0" w:color="auto"/>
            </w:tcBorders>
            <w:shd w:val="clear" w:color="auto" w:fill="auto"/>
            <w:noWrap/>
            <w:vAlign w:val="bottom"/>
            <w:hideMark/>
          </w:tcPr>
          <w:p w14:paraId="7F5FB470" w14:textId="77777777" w:rsidR="00D6461C" w:rsidRPr="00E40D19" w:rsidRDefault="00D6461C"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22%</w:t>
            </w:r>
          </w:p>
        </w:tc>
        <w:tc>
          <w:tcPr>
            <w:tcW w:w="734" w:type="pct"/>
            <w:tcBorders>
              <w:top w:val="nil"/>
              <w:left w:val="nil"/>
              <w:bottom w:val="single" w:sz="4" w:space="0" w:color="auto"/>
              <w:right w:val="single" w:sz="4" w:space="0" w:color="auto"/>
            </w:tcBorders>
            <w:shd w:val="clear" w:color="auto" w:fill="auto"/>
            <w:noWrap/>
            <w:vAlign w:val="bottom"/>
            <w:hideMark/>
          </w:tcPr>
          <w:p w14:paraId="159A3031" w14:textId="77777777" w:rsidR="00D6461C" w:rsidRPr="00E40D19" w:rsidRDefault="00D6461C"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6%</w:t>
            </w:r>
          </w:p>
        </w:tc>
        <w:tc>
          <w:tcPr>
            <w:tcW w:w="888" w:type="pct"/>
            <w:tcBorders>
              <w:top w:val="nil"/>
              <w:left w:val="nil"/>
              <w:bottom w:val="single" w:sz="4" w:space="0" w:color="auto"/>
              <w:right w:val="single" w:sz="4" w:space="0" w:color="auto"/>
            </w:tcBorders>
            <w:shd w:val="clear" w:color="auto" w:fill="auto"/>
            <w:noWrap/>
            <w:vAlign w:val="bottom"/>
            <w:hideMark/>
          </w:tcPr>
          <w:p w14:paraId="573772E2" w14:textId="77777777" w:rsidR="00D6461C" w:rsidRPr="00E40D19" w:rsidRDefault="00D6461C"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12%</w:t>
            </w:r>
          </w:p>
        </w:tc>
      </w:tr>
      <w:tr w:rsidR="00D6461C" w:rsidRPr="00E40D19" w14:paraId="408D5E5F" w14:textId="77777777" w:rsidTr="00D6461C">
        <w:trPr>
          <w:trHeight w:val="258"/>
        </w:trPr>
        <w:tc>
          <w:tcPr>
            <w:tcW w:w="1109" w:type="pct"/>
            <w:tcBorders>
              <w:top w:val="nil"/>
              <w:left w:val="single" w:sz="4" w:space="0" w:color="auto"/>
              <w:bottom w:val="single" w:sz="4" w:space="0" w:color="auto"/>
              <w:right w:val="single" w:sz="4" w:space="0" w:color="auto"/>
            </w:tcBorders>
            <w:shd w:val="clear" w:color="auto" w:fill="auto"/>
            <w:noWrap/>
            <w:vAlign w:val="bottom"/>
            <w:hideMark/>
          </w:tcPr>
          <w:p w14:paraId="64926EDD" w14:textId="77777777" w:rsidR="00D6461C" w:rsidRPr="00E40D19" w:rsidRDefault="00D6461C" w:rsidP="00F937CC">
            <w:pPr>
              <w:spacing w:after="0" w:line="240" w:lineRule="auto"/>
              <w:jc w:val="center"/>
              <w:rPr>
                <w:rFonts w:ascii="Calibri" w:eastAsia="Times New Roman" w:hAnsi="Calibri" w:cs="Calibri"/>
                <w:lang w:eastAsia="en-AU"/>
              </w:rPr>
            </w:pPr>
            <w:r w:rsidRPr="00E40D19">
              <w:rPr>
                <w:rFonts w:ascii="Calibri" w:eastAsia="Times New Roman" w:hAnsi="Calibri" w:cs="Calibri"/>
                <w:lang w:eastAsia="en-AU"/>
              </w:rPr>
              <w:t>On track</w:t>
            </w:r>
          </w:p>
        </w:tc>
        <w:tc>
          <w:tcPr>
            <w:tcW w:w="677" w:type="pct"/>
            <w:tcBorders>
              <w:top w:val="nil"/>
              <w:left w:val="nil"/>
              <w:bottom w:val="single" w:sz="4" w:space="0" w:color="auto"/>
              <w:right w:val="single" w:sz="4" w:space="0" w:color="auto"/>
            </w:tcBorders>
            <w:shd w:val="clear" w:color="auto" w:fill="auto"/>
            <w:noWrap/>
            <w:vAlign w:val="bottom"/>
            <w:hideMark/>
          </w:tcPr>
          <w:p w14:paraId="60B40546" w14:textId="77777777" w:rsidR="00D6461C" w:rsidRPr="00E40D19" w:rsidRDefault="00D6461C"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41%</w:t>
            </w:r>
          </w:p>
        </w:tc>
        <w:tc>
          <w:tcPr>
            <w:tcW w:w="797" w:type="pct"/>
            <w:tcBorders>
              <w:top w:val="nil"/>
              <w:left w:val="nil"/>
              <w:bottom w:val="single" w:sz="4" w:space="0" w:color="auto"/>
              <w:right w:val="single" w:sz="4" w:space="0" w:color="auto"/>
            </w:tcBorders>
            <w:shd w:val="clear" w:color="auto" w:fill="auto"/>
            <w:noWrap/>
            <w:vAlign w:val="bottom"/>
            <w:hideMark/>
          </w:tcPr>
          <w:p w14:paraId="753B4B55" w14:textId="77777777" w:rsidR="00D6461C" w:rsidRPr="00E40D19" w:rsidRDefault="00D6461C"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42%</w:t>
            </w:r>
          </w:p>
        </w:tc>
        <w:tc>
          <w:tcPr>
            <w:tcW w:w="795" w:type="pct"/>
            <w:tcBorders>
              <w:top w:val="nil"/>
              <w:left w:val="nil"/>
              <w:bottom w:val="single" w:sz="4" w:space="0" w:color="auto"/>
              <w:right w:val="single" w:sz="4" w:space="0" w:color="auto"/>
            </w:tcBorders>
            <w:shd w:val="clear" w:color="auto" w:fill="auto"/>
            <w:noWrap/>
            <w:vAlign w:val="bottom"/>
            <w:hideMark/>
          </w:tcPr>
          <w:p w14:paraId="7EC5F436" w14:textId="77777777" w:rsidR="00D6461C" w:rsidRPr="00E40D19" w:rsidRDefault="00D6461C"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41%</w:t>
            </w:r>
          </w:p>
        </w:tc>
        <w:tc>
          <w:tcPr>
            <w:tcW w:w="734" w:type="pct"/>
            <w:tcBorders>
              <w:top w:val="nil"/>
              <w:left w:val="nil"/>
              <w:bottom w:val="single" w:sz="4" w:space="0" w:color="auto"/>
              <w:right w:val="single" w:sz="4" w:space="0" w:color="auto"/>
            </w:tcBorders>
            <w:shd w:val="clear" w:color="auto" w:fill="auto"/>
            <w:noWrap/>
            <w:vAlign w:val="bottom"/>
            <w:hideMark/>
          </w:tcPr>
          <w:p w14:paraId="0B36B109" w14:textId="77777777" w:rsidR="00D6461C" w:rsidRPr="00E40D19" w:rsidRDefault="00D6461C"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42%</w:t>
            </w:r>
          </w:p>
        </w:tc>
        <w:tc>
          <w:tcPr>
            <w:tcW w:w="888" w:type="pct"/>
            <w:tcBorders>
              <w:top w:val="nil"/>
              <w:left w:val="nil"/>
              <w:bottom w:val="single" w:sz="4" w:space="0" w:color="auto"/>
              <w:right w:val="single" w:sz="4" w:space="0" w:color="auto"/>
            </w:tcBorders>
            <w:shd w:val="clear" w:color="auto" w:fill="auto"/>
            <w:noWrap/>
            <w:vAlign w:val="bottom"/>
            <w:hideMark/>
          </w:tcPr>
          <w:p w14:paraId="4C324BA9" w14:textId="77777777" w:rsidR="00D6461C" w:rsidRPr="00E40D19" w:rsidRDefault="00D6461C"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43%</w:t>
            </w:r>
          </w:p>
        </w:tc>
      </w:tr>
    </w:tbl>
    <w:p w14:paraId="25CC76FB" w14:textId="748B5110" w:rsidR="00C45213" w:rsidRDefault="00C45213" w:rsidP="00C45213"/>
    <w:p w14:paraId="2943680E" w14:textId="4D7C7029" w:rsidR="00C45213" w:rsidRDefault="00C45213" w:rsidP="00DB2F30">
      <w:r>
        <w:t xml:space="preserve">Positive parenting in the early years fosters stronger relationships with children, can help mitigate the effects of poverty on development and enhances learning outcomes. </w:t>
      </w:r>
    </w:p>
    <w:p w14:paraId="73E72C2A" w14:textId="3309E25B" w:rsidR="00C45213" w:rsidRDefault="00D6461C" w:rsidP="00DB2F30">
      <w:r>
        <w:t xml:space="preserve">Reading to children in the preschool years </w:t>
      </w:r>
      <w:r w:rsidR="00C45213" w:rsidRPr="000D1A4D">
        <w:t xml:space="preserve">has a significant </w:t>
      </w:r>
      <w:r>
        <w:t>impact on their learning</w:t>
      </w:r>
      <w:r w:rsidR="00C45213" w:rsidRPr="000D1A4D">
        <w:t xml:space="preserve">, </w:t>
      </w:r>
      <w:r>
        <w:t xml:space="preserve">and on Year 3 NAPLAN scores with 69% of Victorian children read to by a family member daily. </w:t>
      </w:r>
    </w:p>
    <w:p w14:paraId="694EB053" w14:textId="01AF23AF" w:rsidR="00D6461C" w:rsidRPr="00F937CC" w:rsidRDefault="00D6461C" w:rsidP="00F937CC">
      <w:pPr>
        <w:rPr>
          <w:b/>
        </w:rPr>
      </w:pPr>
      <w:r w:rsidRPr="00F937CC">
        <w:rPr>
          <w:b/>
        </w:rPr>
        <w:t xml:space="preserve">Table </w:t>
      </w:r>
      <w:r w:rsidRPr="00F937CC">
        <w:rPr>
          <w:b/>
        </w:rPr>
        <w:fldChar w:fldCharType="begin"/>
      </w:r>
      <w:r w:rsidRPr="00F937CC">
        <w:rPr>
          <w:b/>
        </w:rPr>
        <w:instrText xml:space="preserve"> SEQ Table \* ARABIC </w:instrText>
      </w:r>
      <w:r w:rsidRPr="00F937CC">
        <w:rPr>
          <w:b/>
        </w:rPr>
        <w:fldChar w:fldCharType="separate"/>
      </w:r>
      <w:r w:rsidR="00DB2F30">
        <w:rPr>
          <w:b/>
          <w:noProof/>
        </w:rPr>
        <w:t>27</w:t>
      </w:r>
      <w:r w:rsidRPr="00F937CC">
        <w:rPr>
          <w:b/>
        </w:rPr>
        <w:fldChar w:fldCharType="end"/>
      </w:r>
      <w:r w:rsidRPr="00F937CC">
        <w:rPr>
          <w:b/>
        </w:rPr>
        <w:t xml:space="preserve"> Children under five read to daily by a family member, Victoria, 2006-17 by SEIFA quintile. Source: Victorian Child Health and Wellbeing Survey, 2017.</w:t>
      </w:r>
    </w:p>
    <w:tbl>
      <w:tblPr>
        <w:tblW w:w="5000" w:type="pct"/>
        <w:tblLook w:val="04A0" w:firstRow="1" w:lastRow="0" w:firstColumn="1" w:lastColumn="0" w:noHBand="0" w:noVBand="1"/>
        <w:tblCaption w:val="Proportion of children under five who were read to daily by a family member, by SEIFA quintile, Victoria, 2006-2017."/>
        <w:tblDescription w:val="Proportion of children under five who were read to daily by a family member, across Socioeconomic Index for Area quintiles (quintile 1 = most disadvantaged; quintile 5 = most advantaged). Source: Victorian Child Health and Wellbeing Survey, 2006-2017."/>
      </w:tblPr>
      <w:tblGrid>
        <w:gridCol w:w="1431"/>
        <w:gridCol w:w="1681"/>
        <w:gridCol w:w="1526"/>
        <w:gridCol w:w="1421"/>
        <w:gridCol w:w="1554"/>
        <w:gridCol w:w="1403"/>
      </w:tblGrid>
      <w:tr w:rsidR="00D6461C" w:rsidRPr="00E40D19" w14:paraId="43A9EC39" w14:textId="77777777" w:rsidTr="00F937CC">
        <w:trPr>
          <w:trHeight w:val="258"/>
        </w:trPr>
        <w:tc>
          <w:tcPr>
            <w:tcW w:w="7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994FB" w14:textId="77777777" w:rsidR="00D6461C" w:rsidRPr="00E40D19" w:rsidRDefault="00D6461C" w:rsidP="00F937CC">
            <w:pPr>
              <w:spacing w:after="0" w:line="240" w:lineRule="auto"/>
              <w:jc w:val="center"/>
              <w:rPr>
                <w:rFonts w:ascii="Calibri" w:eastAsia="Times New Roman" w:hAnsi="Calibri" w:cs="Calibri"/>
                <w:b/>
                <w:lang w:eastAsia="en-AU"/>
              </w:rPr>
            </w:pPr>
            <w:r w:rsidRPr="00E40D19">
              <w:rPr>
                <w:rFonts w:ascii="Calibri" w:eastAsia="Times New Roman" w:hAnsi="Calibri" w:cs="Calibri"/>
                <w:b/>
                <w:lang w:eastAsia="en-AU"/>
              </w:rPr>
              <w:t>Year</w:t>
            </w:r>
          </w:p>
        </w:tc>
        <w:tc>
          <w:tcPr>
            <w:tcW w:w="932" w:type="pct"/>
            <w:tcBorders>
              <w:top w:val="single" w:sz="4" w:space="0" w:color="auto"/>
              <w:left w:val="nil"/>
              <w:bottom w:val="single" w:sz="4" w:space="0" w:color="auto"/>
              <w:right w:val="single" w:sz="4" w:space="0" w:color="auto"/>
            </w:tcBorders>
            <w:shd w:val="clear" w:color="auto" w:fill="auto"/>
            <w:noWrap/>
            <w:vAlign w:val="bottom"/>
            <w:hideMark/>
          </w:tcPr>
          <w:p w14:paraId="0B355686" w14:textId="76BD5AD0" w:rsidR="00D6461C" w:rsidRPr="00E40D19" w:rsidRDefault="00D6461C" w:rsidP="00F937CC">
            <w:pPr>
              <w:spacing w:after="0" w:line="240" w:lineRule="auto"/>
              <w:jc w:val="center"/>
              <w:rPr>
                <w:rFonts w:ascii="Calibri" w:eastAsia="Times New Roman" w:hAnsi="Calibri" w:cs="Calibri"/>
                <w:b/>
                <w:lang w:eastAsia="en-AU"/>
              </w:rPr>
            </w:pPr>
            <w:r w:rsidRPr="00E40D19">
              <w:rPr>
                <w:rFonts w:ascii="Calibri" w:eastAsia="Times New Roman" w:hAnsi="Calibri" w:cs="Calibri"/>
                <w:b/>
                <w:lang w:eastAsia="en-AU"/>
              </w:rPr>
              <w:t>Q</w:t>
            </w:r>
            <w:r>
              <w:rPr>
                <w:rFonts w:ascii="Calibri" w:eastAsia="Times New Roman" w:hAnsi="Calibri" w:cs="Calibri"/>
                <w:b/>
                <w:lang w:eastAsia="en-AU"/>
              </w:rPr>
              <w:t xml:space="preserve">uintile </w:t>
            </w:r>
            <w:r w:rsidRPr="00E40D19">
              <w:rPr>
                <w:rFonts w:ascii="Calibri" w:eastAsia="Times New Roman" w:hAnsi="Calibri" w:cs="Calibri"/>
                <w:b/>
                <w:lang w:eastAsia="en-AU"/>
              </w:rPr>
              <w:t>1</w:t>
            </w:r>
          </w:p>
        </w:tc>
        <w:tc>
          <w:tcPr>
            <w:tcW w:w="846" w:type="pct"/>
            <w:tcBorders>
              <w:top w:val="single" w:sz="4" w:space="0" w:color="auto"/>
              <w:left w:val="nil"/>
              <w:bottom w:val="single" w:sz="4" w:space="0" w:color="auto"/>
              <w:right w:val="single" w:sz="4" w:space="0" w:color="auto"/>
            </w:tcBorders>
            <w:shd w:val="clear" w:color="auto" w:fill="auto"/>
            <w:noWrap/>
            <w:vAlign w:val="bottom"/>
            <w:hideMark/>
          </w:tcPr>
          <w:p w14:paraId="18451764" w14:textId="3ED2139B" w:rsidR="00D6461C" w:rsidRPr="00E40D19" w:rsidRDefault="00D6461C" w:rsidP="00F937CC">
            <w:pPr>
              <w:spacing w:after="0" w:line="240" w:lineRule="auto"/>
              <w:jc w:val="center"/>
              <w:rPr>
                <w:rFonts w:ascii="Calibri" w:eastAsia="Times New Roman" w:hAnsi="Calibri" w:cs="Calibri"/>
                <w:b/>
                <w:lang w:eastAsia="en-AU"/>
              </w:rPr>
            </w:pPr>
            <w:r w:rsidRPr="00E40D19">
              <w:rPr>
                <w:rFonts w:ascii="Calibri" w:eastAsia="Times New Roman" w:hAnsi="Calibri" w:cs="Calibri"/>
                <w:b/>
                <w:lang w:eastAsia="en-AU"/>
              </w:rPr>
              <w:t>Q</w:t>
            </w:r>
            <w:r>
              <w:rPr>
                <w:rFonts w:ascii="Calibri" w:eastAsia="Times New Roman" w:hAnsi="Calibri" w:cs="Calibri"/>
                <w:b/>
                <w:lang w:eastAsia="en-AU"/>
              </w:rPr>
              <w:t xml:space="preserve">uintile </w:t>
            </w:r>
            <w:r w:rsidRPr="00E40D19">
              <w:rPr>
                <w:rFonts w:ascii="Calibri" w:eastAsia="Times New Roman" w:hAnsi="Calibri" w:cs="Calibri"/>
                <w:b/>
                <w:lang w:eastAsia="en-AU"/>
              </w:rPr>
              <w:t>2</w:t>
            </w:r>
          </w:p>
        </w:tc>
        <w:tc>
          <w:tcPr>
            <w:tcW w:w="788" w:type="pct"/>
            <w:tcBorders>
              <w:top w:val="single" w:sz="4" w:space="0" w:color="auto"/>
              <w:left w:val="nil"/>
              <w:bottom w:val="single" w:sz="4" w:space="0" w:color="auto"/>
              <w:right w:val="single" w:sz="4" w:space="0" w:color="auto"/>
            </w:tcBorders>
            <w:shd w:val="clear" w:color="auto" w:fill="auto"/>
            <w:noWrap/>
            <w:vAlign w:val="bottom"/>
            <w:hideMark/>
          </w:tcPr>
          <w:p w14:paraId="2D9F2076" w14:textId="194D244C" w:rsidR="00D6461C" w:rsidRPr="00E40D19" w:rsidRDefault="00D6461C" w:rsidP="00F937CC">
            <w:pPr>
              <w:spacing w:after="0" w:line="240" w:lineRule="auto"/>
              <w:jc w:val="center"/>
              <w:rPr>
                <w:rFonts w:ascii="Calibri" w:eastAsia="Times New Roman" w:hAnsi="Calibri" w:cs="Calibri"/>
                <w:b/>
                <w:lang w:eastAsia="en-AU"/>
              </w:rPr>
            </w:pPr>
            <w:r w:rsidRPr="00E40D19">
              <w:rPr>
                <w:rFonts w:ascii="Calibri" w:eastAsia="Times New Roman" w:hAnsi="Calibri" w:cs="Calibri"/>
                <w:b/>
                <w:lang w:eastAsia="en-AU"/>
              </w:rPr>
              <w:t>Q</w:t>
            </w:r>
            <w:r>
              <w:rPr>
                <w:rFonts w:ascii="Calibri" w:eastAsia="Times New Roman" w:hAnsi="Calibri" w:cs="Calibri"/>
                <w:b/>
                <w:lang w:eastAsia="en-AU"/>
              </w:rPr>
              <w:t xml:space="preserve">uintile </w:t>
            </w:r>
            <w:r w:rsidRPr="00E40D19">
              <w:rPr>
                <w:rFonts w:ascii="Calibri" w:eastAsia="Times New Roman" w:hAnsi="Calibri" w:cs="Calibri"/>
                <w:b/>
                <w:lang w:eastAsia="en-AU"/>
              </w:rPr>
              <w:t>3</w:t>
            </w:r>
          </w:p>
        </w:tc>
        <w:tc>
          <w:tcPr>
            <w:tcW w:w="862" w:type="pct"/>
            <w:tcBorders>
              <w:top w:val="single" w:sz="4" w:space="0" w:color="auto"/>
              <w:left w:val="nil"/>
              <w:bottom w:val="single" w:sz="4" w:space="0" w:color="auto"/>
              <w:right w:val="single" w:sz="4" w:space="0" w:color="auto"/>
            </w:tcBorders>
            <w:shd w:val="clear" w:color="auto" w:fill="auto"/>
            <w:noWrap/>
            <w:vAlign w:val="bottom"/>
            <w:hideMark/>
          </w:tcPr>
          <w:p w14:paraId="4CAD0D22" w14:textId="25D2F2B7" w:rsidR="00D6461C" w:rsidRPr="00E40D19" w:rsidRDefault="00D6461C" w:rsidP="00F937CC">
            <w:pPr>
              <w:spacing w:after="0" w:line="240" w:lineRule="auto"/>
              <w:jc w:val="center"/>
              <w:rPr>
                <w:rFonts w:ascii="Calibri" w:eastAsia="Times New Roman" w:hAnsi="Calibri" w:cs="Calibri"/>
                <w:b/>
                <w:lang w:eastAsia="en-AU"/>
              </w:rPr>
            </w:pPr>
            <w:r w:rsidRPr="00E40D19">
              <w:rPr>
                <w:rFonts w:ascii="Calibri" w:eastAsia="Times New Roman" w:hAnsi="Calibri" w:cs="Calibri"/>
                <w:b/>
                <w:lang w:eastAsia="en-AU"/>
              </w:rPr>
              <w:t>Q</w:t>
            </w:r>
            <w:r>
              <w:rPr>
                <w:rFonts w:ascii="Calibri" w:eastAsia="Times New Roman" w:hAnsi="Calibri" w:cs="Calibri"/>
                <w:b/>
                <w:lang w:eastAsia="en-AU"/>
              </w:rPr>
              <w:t xml:space="preserve">uintile </w:t>
            </w:r>
            <w:r w:rsidRPr="00E40D19">
              <w:rPr>
                <w:rFonts w:ascii="Calibri" w:eastAsia="Times New Roman" w:hAnsi="Calibri" w:cs="Calibri"/>
                <w:b/>
                <w:lang w:eastAsia="en-AU"/>
              </w:rPr>
              <w:t>4</w:t>
            </w:r>
          </w:p>
        </w:tc>
        <w:tc>
          <w:tcPr>
            <w:tcW w:w="778" w:type="pct"/>
            <w:tcBorders>
              <w:top w:val="single" w:sz="4" w:space="0" w:color="auto"/>
              <w:left w:val="nil"/>
              <w:bottom w:val="single" w:sz="4" w:space="0" w:color="auto"/>
              <w:right w:val="single" w:sz="4" w:space="0" w:color="auto"/>
            </w:tcBorders>
            <w:shd w:val="clear" w:color="auto" w:fill="auto"/>
            <w:noWrap/>
            <w:vAlign w:val="bottom"/>
            <w:hideMark/>
          </w:tcPr>
          <w:p w14:paraId="25DDA905" w14:textId="349237F0" w:rsidR="00D6461C" w:rsidRPr="00E40D19" w:rsidRDefault="00D6461C" w:rsidP="00F937CC">
            <w:pPr>
              <w:spacing w:after="0" w:line="240" w:lineRule="auto"/>
              <w:jc w:val="center"/>
              <w:rPr>
                <w:rFonts w:ascii="Calibri" w:eastAsia="Times New Roman" w:hAnsi="Calibri" w:cs="Calibri"/>
                <w:b/>
                <w:lang w:eastAsia="en-AU"/>
              </w:rPr>
            </w:pPr>
            <w:r w:rsidRPr="00E40D19">
              <w:rPr>
                <w:rFonts w:ascii="Calibri" w:eastAsia="Times New Roman" w:hAnsi="Calibri" w:cs="Calibri"/>
                <w:b/>
                <w:lang w:eastAsia="en-AU"/>
              </w:rPr>
              <w:t>Q</w:t>
            </w:r>
            <w:r>
              <w:rPr>
                <w:rFonts w:ascii="Calibri" w:eastAsia="Times New Roman" w:hAnsi="Calibri" w:cs="Calibri"/>
                <w:b/>
                <w:lang w:eastAsia="en-AU"/>
              </w:rPr>
              <w:t xml:space="preserve">uintile </w:t>
            </w:r>
            <w:r w:rsidRPr="00E40D19">
              <w:rPr>
                <w:rFonts w:ascii="Calibri" w:eastAsia="Times New Roman" w:hAnsi="Calibri" w:cs="Calibri"/>
                <w:b/>
                <w:lang w:eastAsia="en-AU"/>
              </w:rPr>
              <w:t>5</w:t>
            </w:r>
          </w:p>
        </w:tc>
      </w:tr>
      <w:tr w:rsidR="00D6461C" w:rsidRPr="00E40D19" w14:paraId="7767BE1A" w14:textId="77777777" w:rsidTr="00F937CC">
        <w:trPr>
          <w:trHeight w:val="258"/>
        </w:trPr>
        <w:tc>
          <w:tcPr>
            <w:tcW w:w="794" w:type="pct"/>
            <w:tcBorders>
              <w:top w:val="nil"/>
              <w:left w:val="single" w:sz="4" w:space="0" w:color="auto"/>
              <w:bottom w:val="single" w:sz="4" w:space="0" w:color="auto"/>
              <w:right w:val="single" w:sz="4" w:space="0" w:color="auto"/>
            </w:tcBorders>
            <w:shd w:val="clear" w:color="auto" w:fill="auto"/>
            <w:noWrap/>
            <w:vAlign w:val="bottom"/>
            <w:hideMark/>
          </w:tcPr>
          <w:p w14:paraId="68D82484" w14:textId="77777777" w:rsidR="00D6461C" w:rsidRPr="00E40D19" w:rsidRDefault="00D6461C" w:rsidP="00F937CC">
            <w:pPr>
              <w:spacing w:after="0" w:line="240" w:lineRule="auto"/>
              <w:jc w:val="center"/>
              <w:rPr>
                <w:rFonts w:ascii="Calibri" w:eastAsia="Times New Roman" w:hAnsi="Calibri" w:cs="Calibri"/>
                <w:lang w:eastAsia="en-AU"/>
              </w:rPr>
            </w:pPr>
            <w:r w:rsidRPr="00E40D19">
              <w:rPr>
                <w:rFonts w:ascii="Calibri" w:eastAsia="Times New Roman" w:hAnsi="Calibri" w:cs="Calibri"/>
                <w:lang w:eastAsia="en-AU"/>
              </w:rPr>
              <w:t>2006</w:t>
            </w:r>
          </w:p>
        </w:tc>
        <w:tc>
          <w:tcPr>
            <w:tcW w:w="932" w:type="pct"/>
            <w:tcBorders>
              <w:top w:val="nil"/>
              <w:left w:val="nil"/>
              <w:bottom w:val="single" w:sz="4" w:space="0" w:color="auto"/>
              <w:right w:val="single" w:sz="4" w:space="0" w:color="auto"/>
            </w:tcBorders>
            <w:shd w:val="clear" w:color="auto" w:fill="auto"/>
            <w:noWrap/>
            <w:vAlign w:val="bottom"/>
            <w:hideMark/>
          </w:tcPr>
          <w:p w14:paraId="46FDC5AD" w14:textId="77777777" w:rsidR="00D6461C" w:rsidRPr="00E40D19" w:rsidRDefault="00D6461C"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64.6%</w:t>
            </w:r>
          </w:p>
        </w:tc>
        <w:tc>
          <w:tcPr>
            <w:tcW w:w="846" w:type="pct"/>
            <w:tcBorders>
              <w:top w:val="nil"/>
              <w:left w:val="nil"/>
              <w:bottom w:val="single" w:sz="4" w:space="0" w:color="auto"/>
              <w:right w:val="single" w:sz="4" w:space="0" w:color="auto"/>
            </w:tcBorders>
            <w:shd w:val="clear" w:color="auto" w:fill="auto"/>
            <w:noWrap/>
            <w:vAlign w:val="bottom"/>
            <w:hideMark/>
          </w:tcPr>
          <w:p w14:paraId="10956301" w14:textId="77777777" w:rsidR="00D6461C" w:rsidRPr="00E40D19" w:rsidRDefault="00D6461C"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57.2%</w:t>
            </w:r>
          </w:p>
        </w:tc>
        <w:tc>
          <w:tcPr>
            <w:tcW w:w="788" w:type="pct"/>
            <w:tcBorders>
              <w:top w:val="nil"/>
              <w:left w:val="nil"/>
              <w:bottom w:val="single" w:sz="4" w:space="0" w:color="auto"/>
              <w:right w:val="single" w:sz="4" w:space="0" w:color="auto"/>
            </w:tcBorders>
            <w:shd w:val="clear" w:color="auto" w:fill="auto"/>
            <w:noWrap/>
            <w:vAlign w:val="bottom"/>
            <w:hideMark/>
          </w:tcPr>
          <w:p w14:paraId="4E03D915" w14:textId="77777777" w:rsidR="00D6461C" w:rsidRPr="00E40D19" w:rsidRDefault="00D6461C"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67.1%</w:t>
            </w:r>
          </w:p>
        </w:tc>
        <w:tc>
          <w:tcPr>
            <w:tcW w:w="862" w:type="pct"/>
            <w:tcBorders>
              <w:top w:val="nil"/>
              <w:left w:val="nil"/>
              <w:bottom w:val="single" w:sz="4" w:space="0" w:color="auto"/>
              <w:right w:val="single" w:sz="4" w:space="0" w:color="auto"/>
            </w:tcBorders>
            <w:shd w:val="clear" w:color="auto" w:fill="auto"/>
            <w:noWrap/>
            <w:vAlign w:val="bottom"/>
            <w:hideMark/>
          </w:tcPr>
          <w:p w14:paraId="04ABCB8E" w14:textId="77777777" w:rsidR="00D6461C" w:rsidRPr="00E40D19" w:rsidRDefault="00D6461C"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66.1%</w:t>
            </w:r>
          </w:p>
        </w:tc>
        <w:tc>
          <w:tcPr>
            <w:tcW w:w="778" w:type="pct"/>
            <w:tcBorders>
              <w:top w:val="nil"/>
              <w:left w:val="nil"/>
              <w:bottom w:val="single" w:sz="4" w:space="0" w:color="auto"/>
              <w:right w:val="single" w:sz="4" w:space="0" w:color="auto"/>
            </w:tcBorders>
            <w:shd w:val="clear" w:color="auto" w:fill="auto"/>
            <w:noWrap/>
            <w:vAlign w:val="bottom"/>
            <w:hideMark/>
          </w:tcPr>
          <w:p w14:paraId="4DACC0A8" w14:textId="77777777" w:rsidR="00D6461C" w:rsidRPr="00E40D19" w:rsidRDefault="00D6461C"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83.4%</w:t>
            </w:r>
          </w:p>
        </w:tc>
      </w:tr>
      <w:tr w:rsidR="00D6461C" w:rsidRPr="00E40D19" w14:paraId="285EDEF3" w14:textId="77777777" w:rsidTr="00F937CC">
        <w:trPr>
          <w:trHeight w:val="258"/>
        </w:trPr>
        <w:tc>
          <w:tcPr>
            <w:tcW w:w="794" w:type="pct"/>
            <w:tcBorders>
              <w:top w:val="nil"/>
              <w:left w:val="single" w:sz="4" w:space="0" w:color="auto"/>
              <w:bottom w:val="single" w:sz="4" w:space="0" w:color="auto"/>
              <w:right w:val="single" w:sz="4" w:space="0" w:color="auto"/>
            </w:tcBorders>
            <w:shd w:val="clear" w:color="auto" w:fill="auto"/>
            <w:noWrap/>
            <w:vAlign w:val="bottom"/>
            <w:hideMark/>
          </w:tcPr>
          <w:p w14:paraId="07E34E12" w14:textId="77777777" w:rsidR="00D6461C" w:rsidRPr="00E40D19" w:rsidRDefault="00D6461C" w:rsidP="00F937CC">
            <w:pPr>
              <w:spacing w:after="0" w:line="240" w:lineRule="auto"/>
              <w:jc w:val="center"/>
              <w:rPr>
                <w:rFonts w:ascii="Calibri" w:eastAsia="Times New Roman" w:hAnsi="Calibri" w:cs="Calibri"/>
                <w:lang w:eastAsia="en-AU"/>
              </w:rPr>
            </w:pPr>
            <w:r w:rsidRPr="00E40D19">
              <w:rPr>
                <w:rFonts w:ascii="Calibri" w:eastAsia="Times New Roman" w:hAnsi="Calibri" w:cs="Calibri"/>
                <w:lang w:eastAsia="en-AU"/>
              </w:rPr>
              <w:t>2017</w:t>
            </w:r>
          </w:p>
        </w:tc>
        <w:tc>
          <w:tcPr>
            <w:tcW w:w="932" w:type="pct"/>
            <w:tcBorders>
              <w:top w:val="nil"/>
              <w:left w:val="nil"/>
              <w:bottom w:val="single" w:sz="4" w:space="0" w:color="auto"/>
              <w:right w:val="single" w:sz="4" w:space="0" w:color="auto"/>
            </w:tcBorders>
            <w:shd w:val="clear" w:color="auto" w:fill="auto"/>
            <w:noWrap/>
            <w:vAlign w:val="bottom"/>
            <w:hideMark/>
          </w:tcPr>
          <w:p w14:paraId="3636B220" w14:textId="77777777" w:rsidR="00D6461C" w:rsidRPr="00E40D19" w:rsidRDefault="00D6461C"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59.4%</w:t>
            </w:r>
          </w:p>
        </w:tc>
        <w:tc>
          <w:tcPr>
            <w:tcW w:w="846" w:type="pct"/>
            <w:tcBorders>
              <w:top w:val="nil"/>
              <w:left w:val="nil"/>
              <w:bottom w:val="single" w:sz="4" w:space="0" w:color="auto"/>
              <w:right w:val="single" w:sz="4" w:space="0" w:color="auto"/>
            </w:tcBorders>
            <w:shd w:val="clear" w:color="auto" w:fill="auto"/>
            <w:noWrap/>
            <w:vAlign w:val="bottom"/>
            <w:hideMark/>
          </w:tcPr>
          <w:p w14:paraId="6B5C4832" w14:textId="77777777" w:rsidR="00D6461C" w:rsidRPr="00E40D19" w:rsidRDefault="00D6461C"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67.8%</w:t>
            </w:r>
          </w:p>
        </w:tc>
        <w:tc>
          <w:tcPr>
            <w:tcW w:w="788" w:type="pct"/>
            <w:tcBorders>
              <w:top w:val="nil"/>
              <w:left w:val="nil"/>
              <w:bottom w:val="single" w:sz="4" w:space="0" w:color="auto"/>
              <w:right w:val="single" w:sz="4" w:space="0" w:color="auto"/>
            </w:tcBorders>
            <w:shd w:val="clear" w:color="auto" w:fill="auto"/>
            <w:noWrap/>
            <w:vAlign w:val="bottom"/>
            <w:hideMark/>
          </w:tcPr>
          <w:p w14:paraId="4E4A8672" w14:textId="77777777" w:rsidR="00D6461C" w:rsidRPr="00E40D19" w:rsidRDefault="00D6461C"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66.2%</w:t>
            </w:r>
          </w:p>
        </w:tc>
        <w:tc>
          <w:tcPr>
            <w:tcW w:w="862" w:type="pct"/>
            <w:tcBorders>
              <w:top w:val="nil"/>
              <w:left w:val="nil"/>
              <w:bottom w:val="single" w:sz="4" w:space="0" w:color="auto"/>
              <w:right w:val="single" w:sz="4" w:space="0" w:color="auto"/>
            </w:tcBorders>
            <w:shd w:val="clear" w:color="auto" w:fill="auto"/>
            <w:noWrap/>
            <w:vAlign w:val="bottom"/>
            <w:hideMark/>
          </w:tcPr>
          <w:p w14:paraId="1C14ACFE" w14:textId="77777777" w:rsidR="00D6461C" w:rsidRPr="00E40D19" w:rsidRDefault="00D6461C"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71.7%</w:t>
            </w:r>
          </w:p>
        </w:tc>
        <w:tc>
          <w:tcPr>
            <w:tcW w:w="778" w:type="pct"/>
            <w:tcBorders>
              <w:top w:val="nil"/>
              <w:left w:val="nil"/>
              <w:bottom w:val="single" w:sz="4" w:space="0" w:color="auto"/>
              <w:right w:val="single" w:sz="4" w:space="0" w:color="auto"/>
            </w:tcBorders>
            <w:shd w:val="clear" w:color="auto" w:fill="auto"/>
            <w:noWrap/>
            <w:vAlign w:val="bottom"/>
            <w:hideMark/>
          </w:tcPr>
          <w:p w14:paraId="603D3D20" w14:textId="77777777" w:rsidR="00D6461C" w:rsidRPr="00E40D19" w:rsidRDefault="00D6461C" w:rsidP="00F937CC">
            <w:pPr>
              <w:spacing w:after="0" w:line="240" w:lineRule="auto"/>
              <w:jc w:val="right"/>
              <w:rPr>
                <w:rFonts w:ascii="Calibri" w:eastAsia="Times New Roman" w:hAnsi="Calibri" w:cs="Calibri"/>
                <w:lang w:eastAsia="en-AU"/>
              </w:rPr>
            </w:pPr>
            <w:r w:rsidRPr="00E40D19">
              <w:rPr>
                <w:rFonts w:ascii="Calibri" w:eastAsia="Times New Roman" w:hAnsi="Calibri" w:cs="Calibri"/>
                <w:lang w:eastAsia="en-AU"/>
              </w:rPr>
              <w:t>72.2%</w:t>
            </w:r>
          </w:p>
        </w:tc>
      </w:tr>
    </w:tbl>
    <w:p w14:paraId="1D3D9E65" w14:textId="77777777" w:rsidR="00D6461C" w:rsidRPr="00B64C20" w:rsidRDefault="00D6461C" w:rsidP="00D6461C"/>
    <w:p w14:paraId="5475F69B" w14:textId="77777777" w:rsidR="00F937CC" w:rsidRDefault="00C45213" w:rsidP="00DB2F30">
      <w:r w:rsidRPr="000D1A4D">
        <w:t>The nature of the school environment impacts not only on learning and education outcomes, but also on health and wellbeing – particularly around the mental health of young people.</w:t>
      </w:r>
    </w:p>
    <w:p w14:paraId="4BACFFD3" w14:textId="30875FE1" w:rsidR="00F937CC" w:rsidRDefault="00C45213" w:rsidP="00DB2F30">
      <w:r w:rsidRPr="000D1A4D">
        <w:t xml:space="preserve">Students’ engagement with school, and in particular, their relationship with their teachers, influences academic outcomes. </w:t>
      </w:r>
    </w:p>
    <w:p w14:paraId="3CB9AA9D" w14:textId="6F850D8A" w:rsidR="00C45213" w:rsidRDefault="00C45213" w:rsidP="00DB2F30">
      <w:r w:rsidRPr="000D1A4D">
        <w:t>Student engagement with school dips during the middle of high school, as evidenced by an increase in unapproved absences and a drop in connection to teachers.</w:t>
      </w:r>
    </w:p>
    <w:p w14:paraId="5E655A5F" w14:textId="77777777" w:rsidR="00E67C82" w:rsidRDefault="00E67C82" w:rsidP="00DB2F30"/>
    <w:p w14:paraId="2F5E1B39" w14:textId="77777777" w:rsidR="00E67C82" w:rsidRDefault="00E67C82" w:rsidP="00F937CC">
      <w:pPr>
        <w:rPr>
          <w:b/>
        </w:rPr>
      </w:pPr>
    </w:p>
    <w:p w14:paraId="6DD6EF58" w14:textId="3CC01122" w:rsidR="00F937CC" w:rsidRPr="00F937CC" w:rsidRDefault="00F937CC" w:rsidP="00F937CC">
      <w:pPr>
        <w:rPr>
          <w:b/>
        </w:rPr>
      </w:pPr>
      <w:r w:rsidRPr="00F937CC">
        <w:rPr>
          <w:b/>
        </w:rPr>
        <w:lastRenderedPageBreak/>
        <w:t xml:space="preserve">Table </w:t>
      </w:r>
      <w:r w:rsidRPr="00F937CC">
        <w:rPr>
          <w:b/>
        </w:rPr>
        <w:fldChar w:fldCharType="begin"/>
      </w:r>
      <w:r w:rsidRPr="00F937CC">
        <w:rPr>
          <w:b/>
        </w:rPr>
        <w:instrText xml:space="preserve"> SEQ Table \* ARABIC </w:instrText>
      </w:r>
      <w:r w:rsidRPr="00F937CC">
        <w:rPr>
          <w:b/>
        </w:rPr>
        <w:fldChar w:fldCharType="separate"/>
      </w:r>
      <w:r w:rsidR="00DB2F30">
        <w:rPr>
          <w:b/>
          <w:noProof/>
        </w:rPr>
        <w:t>28</w:t>
      </w:r>
      <w:r w:rsidRPr="00F937CC">
        <w:rPr>
          <w:b/>
        </w:rPr>
        <w:fldChar w:fldCharType="end"/>
      </w:r>
      <w:r w:rsidRPr="00F937CC">
        <w:rPr>
          <w:b/>
        </w:rPr>
        <w:t xml:space="preserve"> Proportion of students chronically absent (30+ days) by connection to school, Victoria, 2017. Source: Attitudes to School Survey, 2017 and Department of Education and Training administrative data.</w:t>
      </w:r>
    </w:p>
    <w:tbl>
      <w:tblPr>
        <w:tblW w:w="5000" w:type="pct"/>
        <w:tblLayout w:type="fixed"/>
        <w:tblLook w:val="04A0" w:firstRow="1" w:lastRow="0" w:firstColumn="1" w:lastColumn="0" w:noHBand="0" w:noVBand="1"/>
        <w:tblCaption w:val="Proportion of government school students who are chronically absent, by response to AtoSS school connectedness and year level, Victoria, 2017"/>
        <w:tblDescription w:val="Proportion of Victorian government school students who are chronically absent, by response (positive or not positive) to AtoSS school connectedness and year level, in 2017. Source: Attitudes to School Survey, 2017 &amp; NAPLAN, 2017. "/>
      </w:tblPr>
      <w:tblGrid>
        <w:gridCol w:w="2122"/>
        <w:gridCol w:w="3446"/>
        <w:gridCol w:w="3448"/>
      </w:tblGrid>
      <w:tr w:rsidR="00F937CC" w:rsidRPr="00886454" w14:paraId="33CAB0E7" w14:textId="77777777" w:rsidTr="00F937CC">
        <w:trPr>
          <w:trHeight w:val="260"/>
        </w:trPr>
        <w:tc>
          <w:tcPr>
            <w:tcW w:w="11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E3942" w14:textId="77777777" w:rsidR="00F937CC" w:rsidRPr="00886454" w:rsidRDefault="00F937CC" w:rsidP="00F937CC">
            <w:pPr>
              <w:spacing w:after="0" w:line="240" w:lineRule="auto"/>
              <w:jc w:val="center"/>
              <w:rPr>
                <w:rFonts w:ascii="Calibri" w:eastAsia="Times New Roman" w:hAnsi="Calibri" w:cs="Calibri"/>
                <w:b/>
                <w:lang w:eastAsia="en-AU"/>
              </w:rPr>
            </w:pPr>
            <w:r w:rsidRPr="00886454">
              <w:rPr>
                <w:rFonts w:ascii="Calibri" w:eastAsia="Times New Roman" w:hAnsi="Calibri" w:cs="Calibri"/>
                <w:b/>
                <w:lang w:eastAsia="en-AU"/>
              </w:rPr>
              <w:t xml:space="preserve">Year Level </w:t>
            </w:r>
          </w:p>
        </w:tc>
        <w:tc>
          <w:tcPr>
            <w:tcW w:w="1911" w:type="pct"/>
            <w:tcBorders>
              <w:top w:val="single" w:sz="4" w:space="0" w:color="auto"/>
              <w:left w:val="nil"/>
              <w:bottom w:val="single" w:sz="4" w:space="0" w:color="auto"/>
              <w:right w:val="single" w:sz="4" w:space="0" w:color="auto"/>
            </w:tcBorders>
            <w:shd w:val="clear" w:color="auto" w:fill="auto"/>
            <w:noWrap/>
            <w:vAlign w:val="bottom"/>
            <w:hideMark/>
          </w:tcPr>
          <w:p w14:paraId="5F2761BB" w14:textId="28CDB200" w:rsidR="00F937CC" w:rsidRPr="00886454" w:rsidRDefault="00F937CC" w:rsidP="002C577B">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t>Students who feel connected</w:t>
            </w:r>
            <w:r w:rsidR="002C577B">
              <w:rPr>
                <w:rFonts w:ascii="Calibri" w:eastAsia="Times New Roman" w:hAnsi="Calibri" w:cs="Calibri"/>
                <w:b/>
                <w:lang w:eastAsia="en-AU"/>
              </w:rPr>
              <w:t xml:space="preserve"> </w:t>
            </w:r>
            <w:r>
              <w:rPr>
                <w:rFonts w:ascii="Calibri" w:eastAsia="Times New Roman" w:hAnsi="Calibri" w:cs="Calibri"/>
                <w:b/>
                <w:lang w:eastAsia="en-AU"/>
              </w:rPr>
              <w:t>to school</w:t>
            </w:r>
          </w:p>
        </w:tc>
        <w:tc>
          <w:tcPr>
            <w:tcW w:w="1912" w:type="pct"/>
            <w:tcBorders>
              <w:top w:val="single" w:sz="4" w:space="0" w:color="auto"/>
              <w:left w:val="nil"/>
              <w:bottom w:val="single" w:sz="4" w:space="0" w:color="auto"/>
              <w:right w:val="single" w:sz="4" w:space="0" w:color="auto"/>
            </w:tcBorders>
            <w:shd w:val="clear" w:color="auto" w:fill="auto"/>
            <w:noWrap/>
            <w:vAlign w:val="bottom"/>
            <w:hideMark/>
          </w:tcPr>
          <w:p w14:paraId="04DD2B16" w14:textId="094DDD4B" w:rsidR="00F937CC" w:rsidRPr="00886454" w:rsidRDefault="00F937CC" w:rsidP="00F937CC">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t>Students who do not feel connected to school</w:t>
            </w:r>
          </w:p>
        </w:tc>
      </w:tr>
      <w:tr w:rsidR="00F937CC" w:rsidRPr="00886454" w14:paraId="18110272" w14:textId="77777777" w:rsidTr="00F937CC">
        <w:trPr>
          <w:trHeight w:val="260"/>
        </w:trPr>
        <w:tc>
          <w:tcPr>
            <w:tcW w:w="1177" w:type="pct"/>
            <w:tcBorders>
              <w:top w:val="nil"/>
              <w:left w:val="single" w:sz="4" w:space="0" w:color="auto"/>
              <w:bottom w:val="single" w:sz="4" w:space="0" w:color="auto"/>
              <w:right w:val="single" w:sz="4" w:space="0" w:color="auto"/>
            </w:tcBorders>
            <w:shd w:val="clear" w:color="auto" w:fill="auto"/>
            <w:noWrap/>
            <w:vAlign w:val="bottom"/>
            <w:hideMark/>
          </w:tcPr>
          <w:p w14:paraId="01F15375" w14:textId="3E419022" w:rsidR="00F937CC" w:rsidRPr="00886454" w:rsidRDefault="00F937CC" w:rsidP="00F937CC">
            <w:pPr>
              <w:spacing w:after="0" w:line="240" w:lineRule="auto"/>
              <w:jc w:val="center"/>
              <w:rPr>
                <w:rFonts w:ascii="Calibri" w:eastAsia="Times New Roman" w:hAnsi="Calibri" w:cs="Calibri"/>
                <w:lang w:eastAsia="en-AU"/>
              </w:rPr>
            </w:pPr>
            <w:r w:rsidRPr="00886454">
              <w:rPr>
                <w:rFonts w:ascii="Calibri" w:eastAsia="Times New Roman" w:hAnsi="Calibri" w:cs="Calibri"/>
                <w:lang w:eastAsia="en-AU"/>
              </w:rPr>
              <w:t>Y</w:t>
            </w:r>
            <w:r>
              <w:rPr>
                <w:rFonts w:ascii="Calibri" w:eastAsia="Times New Roman" w:hAnsi="Calibri" w:cs="Calibri"/>
                <w:lang w:eastAsia="en-AU"/>
              </w:rPr>
              <w:t>ea</w:t>
            </w:r>
            <w:r w:rsidRPr="00886454">
              <w:rPr>
                <w:rFonts w:ascii="Calibri" w:eastAsia="Times New Roman" w:hAnsi="Calibri" w:cs="Calibri"/>
                <w:lang w:eastAsia="en-AU"/>
              </w:rPr>
              <w:t>r 4-6</w:t>
            </w:r>
          </w:p>
        </w:tc>
        <w:tc>
          <w:tcPr>
            <w:tcW w:w="1911" w:type="pct"/>
            <w:tcBorders>
              <w:top w:val="nil"/>
              <w:left w:val="nil"/>
              <w:bottom w:val="single" w:sz="4" w:space="0" w:color="auto"/>
              <w:right w:val="single" w:sz="4" w:space="0" w:color="auto"/>
            </w:tcBorders>
            <w:shd w:val="clear" w:color="auto" w:fill="auto"/>
            <w:noWrap/>
            <w:vAlign w:val="bottom"/>
            <w:hideMark/>
          </w:tcPr>
          <w:p w14:paraId="221B5233" w14:textId="77777777" w:rsidR="00F937CC" w:rsidRPr="00886454" w:rsidRDefault="00F937CC" w:rsidP="00F937CC">
            <w:pPr>
              <w:spacing w:after="0" w:line="240" w:lineRule="auto"/>
              <w:jc w:val="right"/>
              <w:rPr>
                <w:rFonts w:ascii="Calibri" w:eastAsia="Times New Roman" w:hAnsi="Calibri" w:cs="Calibri"/>
                <w:lang w:eastAsia="en-AU"/>
              </w:rPr>
            </w:pPr>
            <w:r w:rsidRPr="00886454">
              <w:rPr>
                <w:rFonts w:ascii="Calibri" w:eastAsia="Times New Roman" w:hAnsi="Calibri" w:cs="Calibri"/>
                <w:lang w:eastAsia="en-AU"/>
              </w:rPr>
              <w:t>9.1%</w:t>
            </w:r>
          </w:p>
        </w:tc>
        <w:tc>
          <w:tcPr>
            <w:tcW w:w="1912" w:type="pct"/>
            <w:tcBorders>
              <w:top w:val="nil"/>
              <w:left w:val="nil"/>
              <w:bottom w:val="single" w:sz="4" w:space="0" w:color="auto"/>
              <w:right w:val="single" w:sz="4" w:space="0" w:color="auto"/>
            </w:tcBorders>
            <w:shd w:val="clear" w:color="auto" w:fill="auto"/>
            <w:noWrap/>
            <w:vAlign w:val="bottom"/>
            <w:hideMark/>
          </w:tcPr>
          <w:p w14:paraId="0D2D25D5" w14:textId="77777777" w:rsidR="00F937CC" w:rsidRPr="00886454" w:rsidRDefault="00F937CC" w:rsidP="00F937CC">
            <w:pPr>
              <w:spacing w:after="0" w:line="240" w:lineRule="auto"/>
              <w:jc w:val="right"/>
              <w:rPr>
                <w:rFonts w:ascii="Calibri" w:eastAsia="Times New Roman" w:hAnsi="Calibri" w:cs="Calibri"/>
                <w:lang w:eastAsia="en-AU"/>
              </w:rPr>
            </w:pPr>
            <w:r w:rsidRPr="00886454">
              <w:rPr>
                <w:rFonts w:ascii="Calibri" w:eastAsia="Times New Roman" w:hAnsi="Calibri" w:cs="Calibri"/>
                <w:lang w:eastAsia="en-AU"/>
              </w:rPr>
              <w:t>13.0%</w:t>
            </w:r>
          </w:p>
        </w:tc>
      </w:tr>
      <w:tr w:rsidR="00F937CC" w:rsidRPr="00886454" w14:paraId="720CC670" w14:textId="77777777" w:rsidTr="00F937CC">
        <w:trPr>
          <w:trHeight w:val="260"/>
        </w:trPr>
        <w:tc>
          <w:tcPr>
            <w:tcW w:w="1177" w:type="pct"/>
            <w:tcBorders>
              <w:top w:val="nil"/>
              <w:left w:val="single" w:sz="4" w:space="0" w:color="auto"/>
              <w:bottom w:val="single" w:sz="4" w:space="0" w:color="auto"/>
              <w:right w:val="single" w:sz="4" w:space="0" w:color="auto"/>
            </w:tcBorders>
            <w:shd w:val="clear" w:color="auto" w:fill="auto"/>
            <w:noWrap/>
            <w:vAlign w:val="bottom"/>
            <w:hideMark/>
          </w:tcPr>
          <w:p w14:paraId="5F978D61" w14:textId="4FF5C2B9" w:rsidR="00F937CC" w:rsidRPr="00886454" w:rsidRDefault="00F937CC" w:rsidP="00F937CC">
            <w:pPr>
              <w:spacing w:after="0" w:line="240" w:lineRule="auto"/>
              <w:jc w:val="center"/>
              <w:rPr>
                <w:rFonts w:ascii="Calibri" w:eastAsia="Times New Roman" w:hAnsi="Calibri" w:cs="Calibri"/>
                <w:lang w:eastAsia="en-AU"/>
              </w:rPr>
            </w:pPr>
            <w:r w:rsidRPr="00886454">
              <w:rPr>
                <w:rFonts w:ascii="Calibri" w:eastAsia="Times New Roman" w:hAnsi="Calibri" w:cs="Calibri"/>
                <w:lang w:eastAsia="en-AU"/>
              </w:rPr>
              <w:t>Y</w:t>
            </w:r>
            <w:r>
              <w:rPr>
                <w:rFonts w:ascii="Calibri" w:eastAsia="Times New Roman" w:hAnsi="Calibri" w:cs="Calibri"/>
                <w:lang w:eastAsia="en-AU"/>
              </w:rPr>
              <w:t>ea</w:t>
            </w:r>
            <w:r w:rsidRPr="00886454">
              <w:rPr>
                <w:rFonts w:ascii="Calibri" w:eastAsia="Times New Roman" w:hAnsi="Calibri" w:cs="Calibri"/>
                <w:lang w:eastAsia="en-AU"/>
              </w:rPr>
              <w:t>r 7-9</w:t>
            </w:r>
          </w:p>
        </w:tc>
        <w:tc>
          <w:tcPr>
            <w:tcW w:w="1911" w:type="pct"/>
            <w:tcBorders>
              <w:top w:val="nil"/>
              <w:left w:val="nil"/>
              <w:bottom w:val="single" w:sz="4" w:space="0" w:color="auto"/>
              <w:right w:val="single" w:sz="4" w:space="0" w:color="auto"/>
            </w:tcBorders>
            <w:shd w:val="clear" w:color="auto" w:fill="auto"/>
            <w:noWrap/>
            <w:vAlign w:val="bottom"/>
            <w:hideMark/>
          </w:tcPr>
          <w:p w14:paraId="5417A465" w14:textId="77777777" w:rsidR="00F937CC" w:rsidRPr="00886454" w:rsidRDefault="00F937CC" w:rsidP="00F937CC">
            <w:pPr>
              <w:spacing w:after="0" w:line="240" w:lineRule="auto"/>
              <w:jc w:val="right"/>
              <w:rPr>
                <w:rFonts w:ascii="Calibri" w:eastAsia="Times New Roman" w:hAnsi="Calibri" w:cs="Calibri"/>
                <w:lang w:eastAsia="en-AU"/>
              </w:rPr>
            </w:pPr>
            <w:r w:rsidRPr="00886454">
              <w:rPr>
                <w:rFonts w:ascii="Calibri" w:eastAsia="Times New Roman" w:hAnsi="Calibri" w:cs="Calibri"/>
                <w:lang w:eastAsia="en-AU"/>
              </w:rPr>
              <w:t>10.8%</w:t>
            </w:r>
          </w:p>
        </w:tc>
        <w:tc>
          <w:tcPr>
            <w:tcW w:w="1912" w:type="pct"/>
            <w:tcBorders>
              <w:top w:val="nil"/>
              <w:left w:val="nil"/>
              <w:bottom w:val="single" w:sz="4" w:space="0" w:color="auto"/>
              <w:right w:val="single" w:sz="4" w:space="0" w:color="auto"/>
            </w:tcBorders>
            <w:shd w:val="clear" w:color="auto" w:fill="auto"/>
            <w:noWrap/>
            <w:vAlign w:val="bottom"/>
            <w:hideMark/>
          </w:tcPr>
          <w:p w14:paraId="2A0A8E95" w14:textId="77777777" w:rsidR="00F937CC" w:rsidRPr="00886454" w:rsidRDefault="00F937CC" w:rsidP="00F937CC">
            <w:pPr>
              <w:spacing w:after="0" w:line="240" w:lineRule="auto"/>
              <w:jc w:val="right"/>
              <w:rPr>
                <w:rFonts w:ascii="Calibri" w:eastAsia="Times New Roman" w:hAnsi="Calibri" w:cs="Calibri"/>
                <w:lang w:eastAsia="en-AU"/>
              </w:rPr>
            </w:pPr>
            <w:r w:rsidRPr="00886454">
              <w:rPr>
                <w:rFonts w:ascii="Calibri" w:eastAsia="Times New Roman" w:hAnsi="Calibri" w:cs="Calibri"/>
                <w:lang w:eastAsia="en-AU"/>
              </w:rPr>
              <w:t>20.3%</w:t>
            </w:r>
          </w:p>
        </w:tc>
      </w:tr>
      <w:tr w:rsidR="00F937CC" w:rsidRPr="00886454" w14:paraId="639E211A" w14:textId="77777777" w:rsidTr="00F937CC">
        <w:trPr>
          <w:trHeight w:val="260"/>
        </w:trPr>
        <w:tc>
          <w:tcPr>
            <w:tcW w:w="1177" w:type="pct"/>
            <w:tcBorders>
              <w:top w:val="nil"/>
              <w:left w:val="single" w:sz="4" w:space="0" w:color="auto"/>
              <w:bottom w:val="single" w:sz="4" w:space="0" w:color="auto"/>
              <w:right w:val="single" w:sz="4" w:space="0" w:color="auto"/>
            </w:tcBorders>
            <w:shd w:val="clear" w:color="auto" w:fill="auto"/>
            <w:noWrap/>
            <w:vAlign w:val="bottom"/>
            <w:hideMark/>
          </w:tcPr>
          <w:p w14:paraId="6F25AE7F" w14:textId="755750D2" w:rsidR="00F937CC" w:rsidRPr="00886454" w:rsidRDefault="00F937CC" w:rsidP="00F937CC">
            <w:pPr>
              <w:spacing w:after="0" w:line="240" w:lineRule="auto"/>
              <w:jc w:val="center"/>
              <w:rPr>
                <w:rFonts w:ascii="Calibri" w:eastAsia="Times New Roman" w:hAnsi="Calibri" w:cs="Calibri"/>
                <w:lang w:eastAsia="en-AU"/>
              </w:rPr>
            </w:pPr>
            <w:r w:rsidRPr="00886454">
              <w:rPr>
                <w:rFonts w:ascii="Calibri" w:eastAsia="Times New Roman" w:hAnsi="Calibri" w:cs="Calibri"/>
                <w:lang w:eastAsia="en-AU"/>
              </w:rPr>
              <w:t>Y</w:t>
            </w:r>
            <w:r>
              <w:rPr>
                <w:rFonts w:ascii="Calibri" w:eastAsia="Times New Roman" w:hAnsi="Calibri" w:cs="Calibri"/>
                <w:lang w:eastAsia="en-AU"/>
              </w:rPr>
              <w:t>ea</w:t>
            </w:r>
            <w:r w:rsidRPr="00886454">
              <w:rPr>
                <w:rFonts w:ascii="Calibri" w:eastAsia="Times New Roman" w:hAnsi="Calibri" w:cs="Calibri"/>
                <w:lang w:eastAsia="en-AU"/>
              </w:rPr>
              <w:t>r 10-12</w:t>
            </w:r>
          </w:p>
        </w:tc>
        <w:tc>
          <w:tcPr>
            <w:tcW w:w="1911" w:type="pct"/>
            <w:tcBorders>
              <w:top w:val="nil"/>
              <w:left w:val="nil"/>
              <w:bottom w:val="single" w:sz="4" w:space="0" w:color="auto"/>
              <w:right w:val="single" w:sz="4" w:space="0" w:color="auto"/>
            </w:tcBorders>
            <w:shd w:val="clear" w:color="auto" w:fill="auto"/>
            <w:noWrap/>
            <w:vAlign w:val="bottom"/>
            <w:hideMark/>
          </w:tcPr>
          <w:p w14:paraId="13A42910" w14:textId="77777777" w:rsidR="00F937CC" w:rsidRPr="00886454" w:rsidRDefault="00F937CC" w:rsidP="00F937CC">
            <w:pPr>
              <w:spacing w:after="0" w:line="240" w:lineRule="auto"/>
              <w:jc w:val="right"/>
              <w:rPr>
                <w:rFonts w:ascii="Calibri" w:eastAsia="Times New Roman" w:hAnsi="Calibri" w:cs="Calibri"/>
                <w:lang w:eastAsia="en-AU"/>
              </w:rPr>
            </w:pPr>
            <w:r w:rsidRPr="00886454">
              <w:rPr>
                <w:rFonts w:ascii="Calibri" w:eastAsia="Times New Roman" w:hAnsi="Calibri" w:cs="Calibri"/>
                <w:lang w:eastAsia="en-AU"/>
              </w:rPr>
              <w:t>7.2%</w:t>
            </w:r>
          </w:p>
        </w:tc>
        <w:tc>
          <w:tcPr>
            <w:tcW w:w="1912" w:type="pct"/>
            <w:tcBorders>
              <w:top w:val="nil"/>
              <w:left w:val="nil"/>
              <w:bottom w:val="single" w:sz="4" w:space="0" w:color="auto"/>
              <w:right w:val="single" w:sz="4" w:space="0" w:color="auto"/>
            </w:tcBorders>
            <w:shd w:val="clear" w:color="auto" w:fill="auto"/>
            <w:noWrap/>
            <w:vAlign w:val="bottom"/>
            <w:hideMark/>
          </w:tcPr>
          <w:p w14:paraId="1BC80615" w14:textId="77777777" w:rsidR="00F937CC" w:rsidRPr="00886454" w:rsidRDefault="00F937CC" w:rsidP="00F937CC">
            <w:pPr>
              <w:spacing w:after="0" w:line="240" w:lineRule="auto"/>
              <w:jc w:val="right"/>
              <w:rPr>
                <w:rFonts w:ascii="Calibri" w:eastAsia="Times New Roman" w:hAnsi="Calibri" w:cs="Calibri"/>
                <w:lang w:eastAsia="en-AU"/>
              </w:rPr>
            </w:pPr>
            <w:r w:rsidRPr="00886454">
              <w:rPr>
                <w:rFonts w:ascii="Calibri" w:eastAsia="Times New Roman" w:hAnsi="Calibri" w:cs="Calibri"/>
                <w:lang w:eastAsia="en-AU"/>
              </w:rPr>
              <w:t>13.3%</w:t>
            </w:r>
          </w:p>
        </w:tc>
      </w:tr>
    </w:tbl>
    <w:p w14:paraId="2C8DECDD" w14:textId="1A0206AC" w:rsidR="00F937CC" w:rsidRDefault="00F937CC" w:rsidP="00F937CC"/>
    <w:p w14:paraId="736EAEA2" w14:textId="79A37609" w:rsidR="00F937CC" w:rsidRPr="00F937CC" w:rsidRDefault="00F937CC" w:rsidP="00F937CC">
      <w:pPr>
        <w:rPr>
          <w:b/>
        </w:rPr>
      </w:pPr>
      <w:r w:rsidRPr="00F937CC">
        <w:rPr>
          <w:b/>
        </w:rPr>
        <w:t xml:space="preserve">Table </w:t>
      </w:r>
      <w:r w:rsidRPr="00F937CC">
        <w:rPr>
          <w:b/>
        </w:rPr>
        <w:fldChar w:fldCharType="begin"/>
      </w:r>
      <w:r w:rsidRPr="00F937CC">
        <w:rPr>
          <w:b/>
        </w:rPr>
        <w:instrText xml:space="preserve"> SEQ Table \* ARABIC </w:instrText>
      </w:r>
      <w:r w:rsidRPr="00F937CC">
        <w:rPr>
          <w:b/>
        </w:rPr>
        <w:fldChar w:fldCharType="separate"/>
      </w:r>
      <w:r w:rsidR="00DB2F30">
        <w:rPr>
          <w:b/>
          <w:noProof/>
        </w:rPr>
        <w:t>29</w:t>
      </w:r>
      <w:r w:rsidRPr="00F937CC">
        <w:rPr>
          <w:b/>
        </w:rPr>
        <w:fldChar w:fldCharType="end"/>
      </w:r>
      <w:r w:rsidRPr="00F937CC">
        <w:rPr>
          <w:b/>
        </w:rPr>
        <w:t xml:space="preserve"> Students who feel their teachers share concern / are an advocate. Source: Attitudes to School Survey, 2017.</w:t>
      </w:r>
    </w:p>
    <w:tbl>
      <w:tblPr>
        <w:tblW w:w="5000" w:type="pct"/>
        <w:tblLook w:val="04A0" w:firstRow="1" w:lastRow="0" w:firstColumn="1" w:lastColumn="0" w:noHBand="0" w:noVBand="1"/>
        <w:tblCaption w:val="Proportion positive responses to questions about teachers’ level of concern and advocacy, by year level, Victoria, 2017."/>
        <w:tblDescription w:val="Proportion of Victorian students' responses to questions about teachers’ level of concern and advocacy that were positive, by year level (Years 4 to 12) in 2017. Source: Attitudes to School Survey, 2017."/>
      </w:tblPr>
      <w:tblGrid>
        <w:gridCol w:w="3006"/>
        <w:gridCol w:w="3006"/>
        <w:gridCol w:w="3004"/>
      </w:tblGrid>
      <w:tr w:rsidR="00F937CC" w:rsidRPr="00886454" w14:paraId="73BD2A97" w14:textId="77777777" w:rsidTr="00F937CC">
        <w:trPr>
          <w:trHeight w:val="224"/>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45B3D" w14:textId="77777777" w:rsidR="00F937CC" w:rsidRPr="00886454" w:rsidRDefault="00F937CC" w:rsidP="00F937CC">
            <w:pPr>
              <w:spacing w:after="0" w:line="240" w:lineRule="auto"/>
              <w:jc w:val="center"/>
              <w:rPr>
                <w:rFonts w:ascii="Calibri" w:eastAsia="Times New Roman" w:hAnsi="Calibri" w:cs="Calibri"/>
                <w:b/>
                <w:lang w:eastAsia="en-AU"/>
              </w:rPr>
            </w:pPr>
            <w:r w:rsidRPr="00886454">
              <w:rPr>
                <w:rFonts w:ascii="Calibri" w:eastAsia="Times New Roman" w:hAnsi="Calibri" w:cs="Calibri"/>
                <w:b/>
                <w:lang w:eastAsia="en-AU"/>
              </w:rPr>
              <w:t>Year Level</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bottom"/>
          </w:tcPr>
          <w:p w14:paraId="6B5D0F3F" w14:textId="77777777" w:rsidR="00F937CC" w:rsidRPr="00886454" w:rsidRDefault="00F937CC" w:rsidP="00F937CC">
            <w:pPr>
              <w:spacing w:after="0" w:line="240" w:lineRule="auto"/>
              <w:jc w:val="center"/>
              <w:rPr>
                <w:rFonts w:ascii="Calibri" w:eastAsia="Times New Roman" w:hAnsi="Calibri" w:cs="Calibri"/>
                <w:b/>
                <w:lang w:eastAsia="en-AU"/>
              </w:rPr>
            </w:pPr>
            <w:r w:rsidRPr="00886454">
              <w:rPr>
                <w:rFonts w:ascii="Calibri" w:eastAsia="Times New Roman" w:hAnsi="Calibri" w:cs="Calibri"/>
                <w:b/>
                <w:lang w:eastAsia="en-AU"/>
              </w:rPr>
              <w:t>Teacher concern</w:t>
            </w:r>
          </w:p>
        </w:tc>
        <w:tc>
          <w:tcPr>
            <w:tcW w:w="1666" w:type="pct"/>
            <w:tcBorders>
              <w:top w:val="single" w:sz="4" w:space="0" w:color="auto"/>
              <w:left w:val="nil"/>
              <w:bottom w:val="single" w:sz="4" w:space="0" w:color="auto"/>
              <w:right w:val="single" w:sz="4" w:space="0" w:color="auto"/>
            </w:tcBorders>
            <w:shd w:val="clear" w:color="auto" w:fill="auto"/>
            <w:noWrap/>
            <w:vAlign w:val="center"/>
            <w:hideMark/>
          </w:tcPr>
          <w:p w14:paraId="6C1EC6CA" w14:textId="77777777" w:rsidR="00F937CC" w:rsidRPr="00886454" w:rsidRDefault="00F937CC" w:rsidP="00F937CC">
            <w:pPr>
              <w:spacing w:after="0" w:line="240" w:lineRule="auto"/>
              <w:jc w:val="center"/>
              <w:rPr>
                <w:rFonts w:ascii="Times New Roman" w:eastAsia="Times New Roman" w:hAnsi="Times New Roman" w:cs="Times New Roman"/>
                <w:b/>
                <w:sz w:val="20"/>
                <w:szCs w:val="20"/>
                <w:lang w:eastAsia="en-AU"/>
              </w:rPr>
            </w:pPr>
            <w:r w:rsidRPr="00886454">
              <w:rPr>
                <w:rFonts w:ascii="Calibri" w:eastAsia="Times New Roman" w:hAnsi="Calibri" w:cs="Calibri"/>
                <w:b/>
                <w:lang w:eastAsia="en-AU"/>
              </w:rPr>
              <w:t>Advocate at school</w:t>
            </w:r>
          </w:p>
        </w:tc>
      </w:tr>
      <w:tr w:rsidR="00F937CC" w:rsidRPr="00886454" w14:paraId="617A8BF9" w14:textId="77777777" w:rsidTr="00F937CC">
        <w:trPr>
          <w:trHeight w:val="224"/>
        </w:trPr>
        <w:tc>
          <w:tcPr>
            <w:tcW w:w="1667" w:type="pct"/>
            <w:tcBorders>
              <w:top w:val="single" w:sz="4" w:space="0" w:color="auto"/>
              <w:left w:val="single" w:sz="4" w:space="0" w:color="auto"/>
              <w:bottom w:val="single" w:sz="4" w:space="0" w:color="auto"/>
              <w:right w:val="nil"/>
            </w:tcBorders>
            <w:shd w:val="clear" w:color="auto" w:fill="auto"/>
            <w:noWrap/>
            <w:vAlign w:val="bottom"/>
            <w:hideMark/>
          </w:tcPr>
          <w:p w14:paraId="3B17E2C2" w14:textId="77777777" w:rsidR="00F937CC" w:rsidRPr="00886454" w:rsidRDefault="00F937CC" w:rsidP="00F937CC">
            <w:pPr>
              <w:spacing w:after="0" w:line="240" w:lineRule="auto"/>
              <w:jc w:val="center"/>
              <w:rPr>
                <w:rFonts w:ascii="Calibri" w:eastAsia="Times New Roman" w:hAnsi="Calibri" w:cs="Calibri"/>
                <w:lang w:eastAsia="en-AU"/>
              </w:rPr>
            </w:pPr>
            <w:r w:rsidRPr="00886454">
              <w:rPr>
                <w:rFonts w:ascii="Calibri" w:eastAsia="Times New Roman" w:hAnsi="Calibri" w:cs="Calibri"/>
                <w:lang w:eastAsia="en-AU"/>
              </w:rPr>
              <w:t>Year 4</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308B7" w14:textId="77777777" w:rsidR="00F937CC" w:rsidRPr="00886454" w:rsidRDefault="00F937CC" w:rsidP="00F937CC">
            <w:pPr>
              <w:spacing w:after="0" w:line="240" w:lineRule="auto"/>
              <w:jc w:val="right"/>
              <w:rPr>
                <w:rFonts w:ascii="Calibri" w:eastAsia="Times New Roman" w:hAnsi="Calibri" w:cs="Calibri"/>
                <w:lang w:eastAsia="en-AU"/>
              </w:rPr>
            </w:pPr>
            <w:r w:rsidRPr="00886454">
              <w:rPr>
                <w:rFonts w:ascii="Calibri" w:eastAsia="Times New Roman" w:hAnsi="Calibri" w:cs="Calibri"/>
                <w:lang w:eastAsia="en-AU"/>
              </w:rPr>
              <w:t>79.6%</w:t>
            </w:r>
          </w:p>
        </w:tc>
        <w:tc>
          <w:tcPr>
            <w:tcW w:w="1666" w:type="pct"/>
            <w:tcBorders>
              <w:top w:val="single" w:sz="4" w:space="0" w:color="auto"/>
              <w:left w:val="nil"/>
              <w:bottom w:val="single" w:sz="4" w:space="0" w:color="auto"/>
              <w:right w:val="single" w:sz="4" w:space="0" w:color="auto"/>
            </w:tcBorders>
            <w:shd w:val="clear" w:color="auto" w:fill="auto"/>
            <w:noWrap/>
            <w:vAlign w:val="center"/>
            <w:hideMark/>
          </w:tcPr>
          <w:p w14:paraId="58521EF5" w14:textId="77777777" w:rsidR="00F937CC" w:rsidRPr="00886454" w:rsidRDefault="00F937CC" w:rsidP="00F937CC">
            <w:pPr>
              <w:spacing w:after="0" w:line="240" w:lineRule="auto"/>
              <w:jc w:val="right"/>
              <w:rPr>
                <w:rFonts w:ascii="Times New Roman" w:eastAsia="Times New Roman" w:hAnsi="Times New Roman" w:cs="Times New Roman"/>
                <w:sz w:val="20"/>
                <w:szCs w:val="20"/>
                <w:lang w:eastAsia="en-AU"/>
              </w:rPr>
            </w:pPr>
            <w:r w:rsidRPr="00886454">
              <w:rPr>
                <w:rFonts w:ascii="Calibri" w:eastAsia="Times New Roman" w:hAnsi="Calibri" w:cs="Calibri"/>
                <w:lang w:eastAsia="en-AU"/>
              </w:rPr>
              <w:t>89.3%</w:t>
            </w:r>
          </w:p>
        </w:tc>
      </w:tr>
      <w:tr w:rsidR="00F937CC" w:rsidRPr="00886454" w14:paraId="4F4D7B19" w14:textId="77777777" w:rsidTr="00F937CC">
        <w:trPr>
          <w:trHeight w:val="224"/>
        </w:trPr>
        <w:tc>
          <w:tcPr>
            <w:tcW w:w="1667" w:type="pct"/>
            <w:tcBorders>
              <w:top w:val="single" w:sz="4" w:space="0" w:color="auto"/>
              <w:left w:val="single" w:sz="4" w:space="0" w:color="auto"/>
              <w:bottom w:val="single" w:sz="4" w:space="0" w:color="auto"/>
              <w:right w:val="nil"/>
            </w:tcBorders>
            <w:shd w:val="clear" w:color="auto" w:fill="auto"/>
            <w:noWrap/>
            <w:vAlign w:val="bottom"/>
            <w:hideMark/>
          </w:tcPr>
          <w:p w14:paraId="3558A9AC" w14:textId="77777777" w:rsidR="00F937CC" w:rsidRPr="00886454" w:rsidRDefault="00F937CC" w:rsidP="00F937CC">
            <w:pPr>
              <w:spacing w:after="0" w:line="240" w:lineRule="auto"/>
              <w:jc w:val="center"/>
              <w:rPr>
                <w:rFonts w:ascii="Calibri" w:eastAsia="Times New Roman" w:hAnsi="Calibri" w:cs="Calibri"/>
                <w:lang w:eastAsia="en-AU"/>
              </w:rPr>
            </w:pPr>
            <w:r w:rsidRPr="00886454">
              <w:rPr>
                <w:rFonts w:ascii="Calibri" w:eastAsia="Times New Roman" w:hAnsi="Calibri" w:cs="Calibri"/>
                <w:lang w:eastAsia="en-AU"/>
              </w:rPr>
              <w:t>Year 5</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1F9A3" w14:textId="77777777" w:rsidR="00F937CC" w:rsidRPr="00886454" w:rsidRDefault="00F937CC" w:rsidP="00F937CC">
            <w:pPr>
              <w:spacing w:after="0" w:line="240" w:lineRule="auto"/>
              <w:jc w:val="right"/>
              <w:rPr>
                <w:rFonts w:ascii="Calibri" w:eastAsia="Times New Roman" w:hAnsi="Calibri" w:cs="Calibri"/>
                <w:lang w:eastAsia="en-AU"/>
              </w:rPr>
            </w:pPr>
            <w:r w:rsidRPr="00886454">
              <w:rPr>
                <w:rFonts w:ascii="Calibri" w:eastAsia="Times New Roman" w:hAnsi="Calibri" w:cs="Calibri"/>
                <w:lang w:eastAsia="en-AU"/>
              </w:rPr>
              <w:t>76.5%</w:t>
            </w:r>
          </w:p>
        </w:tc>
        <w:tc>
          <w:tcPr>
            <w:tcW w:w="1666" w:type="pct"/>
            <w:tcBorders>
              <w:top w:val="single" w:sz="4" w:space="0" w:color="auto"/>
              <w:left w:val="nil"/>
              <w:bottom w:val="single" w:sz="4" w:space="0" w:color="auto"/>
              <w:right w:val="single" w:sz="4" w:space="0" w:color="auto"/>
            </w:tcBorders>
            <w:shd w:val="clear" w:color="auto" w:fill="auto"/>
            <w:noWrap/>
            <w:vAlign w:val="center"/>
            <w:hideMark/>
          </w:tcPr>
          <w:p w14:paraId="2082A700" w14:textId="77777777" w:rsidR="00F937CC" w:rsidRPr="00886454" w:rsidRDefault="00F937CC" w:rsidP="00F937CC">
            <w:pPr>
              <w:spacing w:after="0" w:line="240" w:lineRule="auto"/>
              <w:jc w:val="right"/>
              <w:rPr>
                <w:rFonts w:ascii="Times New Roman" w:eastAsia="Times New Roman" w:hAnsi="Times New Roman" w:cs="Times New Roman"/>
                <w:sz w:val="20"/>
                <w:szCs w:val="20"/>
                <w:lang w:eastAsia="en-AU"/>
              </w:rPr>
            </w:pPr>
            <w:r w:rsidRPr="00886454">
              <w:rPr>
                <w:rFonts w:ascii="Calibri" w:eastAsia="Times New Roman" w:hAnsi="Calibri" w:cs="Calibri"/>
                <w:lang w:eastAsia="en-AU"/>
              </w:rPr>
              <w:t>88.2%</w:t>
            </w:r>
          </w:p>
        </w:tc>
      </w:tr>
      <w:tr w:rsidR="00F937CC" w:rsidRPr="00886454" w14:paraId="5FC2E541" w14:textId="77777777" w:rsidTr="00F937CC">
        <w:trPr>
          <w:trHeight w:val="224"/>
        </w:trPr>
        <w:tc>
          <w:tcPr>
            <w:tcW w:w="1667" w:type="pct"/>
            <w:tcBorders>
              <w:top w:val="single" w:sz="4" w:space="0" w:color="auto"/>
              <w:left w:val="single" w:sz="4" w:space="0" w:color="auto"/>
              <w:bottom w:val="single" w:sz="4" w:space="0" w:color="auto"/>
              <w:right w:val="nil"/>
            </w:tcBorders>
            <w:shd w:val="clear" w:color="auto" w:fill="auto"/>
            <w:noWrap/>
            <w:vAlign w:val="bottom"/>
            <w:hideMark/>
          </w:tcPr>
          <w:p w14:paraId="6A784E96" w14:textId="77777777" w:rsidR="00F937CC" w:rsidRPr="00886454" w:rsidRDefault="00F937CC" w:rsidP="00F937CC">
            <w:pPr>
              <w:spacing w:after="0" w:line="240" w:lineRule="auto"/>
              <w:jc w:val="center"/>
              <w:rPr>
                <w:rFonts w:ascii="Calibri" w:eastAsia="Times New Roman" w:hAnsi="Calibri" w:cs="Calibri"/>
                <w:lang w:eastAsia="en-AU"/>
              </w:rPr>
            </w:pPr>
            <w:r w:rsidRPr="00886454">
              <w:rPr>
                <w:rFonts w:ascii="Calibri" w:eastAsia="Times New Roman" w:hAnsi="Calibri" w:cs="Calibri"/>
                <w:lang w:eastAsia="en-AU"/>
              </w:rPr>
              <w:t>Year 6</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BCEE6" w14:textId="77777777" w:rsidR="00F937CC" w:rsidRPr="00886454" w:rsidRDefault="00F937CC" w:rsidP="00F937CC">
            <w:pPr>
              <w:spacing w:after="0" w:line="240" w:lineRule="auto"/>
              <w:jc w:val="right"/>
              <w:rPr>
                <w:rFonts w:ascii="Calibri" w:eastAsia="Times New Roman" w:hAnsi="Calibri" w:cs="Calibri"/>
                <w:lang w:eastAsia="en-AU"/>
              </w:rPr>
            </w:pPr>
            <w:r w:rsidRPr="00886454">
              <w:rPr>
                <w:rFonts w:ascii="Calibri" w:eastAsia="Times New Roman" w:hAnsi="Calibri" w:cs="Calibri"/>
                <w:lang w:eastAsia="en-AU"/>
              </w:rPr>
              <w:t>73.1%</w:t>
            </w:r>
          </w:p>
        </w:tc>
        <w:tc>
          <w:tcPr>
            <w:tcW w:w="1666" w:type="pct"/>
            <w:tcBorders>
              <w:top w:val="single" w:sz="4" w:space="0" w:color="auto"/>
              <w:left w:val="nil"/>
              <w:bottom w:val="single" w:sz="4" w:space="0" w:color="auto"/>
              <w:right w:val="single" w:sz="4" w:space="0" w:color="auto"/>
            </w:tcBorders>
            <w:shd w:val="clear" w:color="auto" w:fill="auto"/>
            <w:noWrap/>
            <w:vAlign w:val="center"/>
            <w:hideMark/>
          </w:tcPr>
          <w:p w14:paraId="56ED1170" w14:textId="77777777" w:rsidR="00F937CC" w:rsidRPr="00886454" w:rsidRDefault="00F937CC" w:rsidP="00F937CC">
            <w:pPr>
              <w:spacing w:after="0" w:line="240" w:lineRule="auto"/>
              <w:jc w:val="right"/>
              <w:rPr>
                <w:rFonts w:ascii="Times New Roman" w:eastAsia="Times New Roman" w:hAnsi="Times New Roman" w:cs="Times New Roman"/>
                <w:sz w:val="20"/>
                <w:szCs w:val="20"/>
                <w:lang w:eastAsia="en-AU"/>
              </w:rPr>
            </w:pPr>
            <w:r w:rsidRPr="00886454">
              <w:rPr>
                <w:rFonts w:ascii="Calibri" w:eastAsia="Times New Roman" w:hAnsi="Calibri" w:cs="Calibri"/>
                <w:lang w:eastAsia="en-AU"/>
              </w:rPr>
              <w:t>87.3%</w:t>
            </w:r>
          </w:p>
        </w:tc>
      </w:tr>
      <w:tr w:rsidR="00F937CC" w:rsidRPr="00886454" w14:paraId="0E7305ED" w14:textId="77777777" w:rsidTr="00F937CC">
        <w:trPr>
          <w:trHeight w:val="224"/>
        </w:trPr>
        <w:tc>
          <w:tcPr>
            <w:tcW w:w="1667" w:type="pct"/>
            <w:tcBorders>
              <w:top w:val="single" w:sz="4" w:space="0" w:color="auto"/>
              <w:left w:val="single" w:sz="4" w:space="0" w:color="auto"/>
              <w:bottom w:val="single" w:sz="4" w:space="0" w:color="auto"/>
              <w:right w:val="nil"/>
            </w:tcBorders>
            <w:shd w:val="clear" w:color="auto" w:fill="auto"/>
            <w:noWrap/>
            <w:vAlign w:val="bottom"/>
            <w:hideMark/>
          </w:tcPr>
          <w:p w14:paraId="52E1DA36" w14:textId="77777777" w:rsidR="00F937CC" w:rsidRPr="00886454" w:rsidRDefault="00F937CC" w:rsidP="00F937CC">
            <w:pPr>
              <w:spacing w:after="0" w:line="240" w:lineRule="auto"/>
              <w:jc w:val="center"/>
              <w:rPr>
                <w:rFonts w:ascii="Calibri" w:eastAsia="Times New Roman" w:hAnsi="Calibri" w:cs="Calibri"/>
                <w:lang w:eastAsia="en-AU"/>
              </w:rPr>
            </w:pPr>
            <w:r w:rsidRPr="00886454">
              <w:rPr>
                <w:rFonts w:ascii="Calibri" w:eastAsia="Times New Roman" w:hAnsi="Calibri" w:cs="Calibri"/>
                <w:lang w:eastAsia="en-AU"/>
              </w:rPr>
              <w:t>Year 7</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D1D2A" w14:textId="77777777" w:rsidR="00F937CC" w:rsidRPr="00886454" w:rsidRDefault="00F937CC" w:rsidP="00F937CC">
            <w:pPr>
              <w:spacing w:after="0" w:line="240" w:lineRule="auto"/>
              <w:jc w:val="right"/>
              <w:rPr>
                <w:rFonts w:ascii="Calibri" w:eastAsia="Times New Roman" w:hAnsi="Calibri" w:cs="Calibri"/>
                <w:lang w:eastAsia="en-AU"/>
              </w:rPr>
            </w:pPr>
            <w:r w:rsidRPr="00886454">
              <w:rPr>
                <w:rFonts w:ascii="Calibri" w:eastAsia="Times New Roman" w:hAnsi="Calibri" w:cs="Calibri"/>
                <w:lang w:eastAsia="en-AU"/>
              </w:rPr>
              <w:t>46.6%</w:t>
            </w:r>
          </w:p>
        </w:tc>
        <w:tc>
          <w:tcPr>
            <w:tcW w:w="1666" w:type="pct"/>
            <w:tcBorders>
              <w:top w:val="single" w:sz="4" w:space="0" w:color="auto"/>
              <w:left w:val="nil"/>
              <w:bottom w:val="single" w:sz="4" w:space="0" w:color="auto"/>
              <w:right w:val="single" w:sz="4" w:space="0" w:color="auto"/>
            </w:tcBorders>
            <w:shd w:val="clear" w:color="auto" w:fill="auto"/>
            <w:noWrap/>
            <w:vAlign w:val="center"/>
            <w:hideMark/>
          </w:tcPr>
          <w:p w14:paraId="03D49C0B" w14:textId="77777777" w:rsidR="00F937CC" w:rsidRPr="00886454" w:rsidRDefault="00F937CC" w:rsidP="00F937CC">
            <w:pPr>
              <w:spacing w:after="0" w:line="240" w:lineRule="auto"/>
              <w:jc w:val="right"/>
              <w:rPr>
                <w:rFonts w:ascii="Times New Roman" w:eastAsia="Times New Roman" w:hAnsi="Times New Roman" w:cs="Times New Roman"/>
                <w:sz w:val="20"/>
                <w:szCs w:val="20"/>
                <w:lang w:eastAsia="en-AU"/>
              </w:rPr>
            </w:pPr>
            <w:r w:rsidRPr="00886454">
              <w:rPr>
                <w:rFonts w:ascii="Calibri" w:eastAsia="Times New Roman" w:hAnsi="Calibri" w:cs="Calibri"/>
                <w:lang w:eastAsia="en-AU"/>
              </w:rPr>
              <w:t>73.3%</w:t>
            </w:r>
          </w:p>
        </w:tc>
      </w:tr>
      <w:tr w:rsidR="00F937CC" w:rsidRPr="00886454" w14:paraId="1ED76192" w14:textId="77777777" w:rsidTr="00F937CC">
        <w:trPr>
          <w:trHeight w:val="224"/>
        </w:trPr>
        <w:tc>
          <w:tcPr>
            <w:tcW w:w="1667" w:type="pct"/>
            <w:tcBorders>
              <w:top w:val="single" w:sz="4" w:space="0" w:color="auto"/>
              <w:left w:val="single" w:sz="4" w:space="0" w:color="auto"/>
              <w:bottom w:val="single" w:sz="4" w:space="0" w:color="auto"/>
              <w:right w:val="nil"/>
            </w:tcBorders>
            <w:shd w:val="clear" w:color="auto" w:fill="auto"/>
            <w:noWrap/>
            <w:vAlign w:val="bottom"/>
            <w:hideMark/>
          </w:tcPr>
          <w:p w14:paraId="6DB703DA" w14:textId="77777777" w:rsidR="00F937CC" w:rsidRPr="00886454" w:rsidRDefault="00F937CC" w:rsidP="00F937CC">
            <w:pPr>
              <w:spacing w:after="0" w:line="240" w:lineRule="auto"/>
              <w:jc w:val="center"/>
              <w:rPr>
                <w:rFonts w:ascii="Calibri" w:eastAsia="Times New Roman" w:hAnsi="Calibri" w:cs="Calibri"/>
                <w:lang w:eastAsia="en-AU"/>
              </w:rPr>
            </w:pPr>
            <w:r w:rsidRPr="00886454">
              <w:rPr>
                <w:rFonts w:ascii="Calibri" w:eastAsia="Times New Roman" w:hAnsi="Calibri" w:cs="Calibri"/>
                <w:lang w:eastAsia="en-AU"/>
              </w:rPr>
              <w:t>Year 8</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BA939" w14:textId="77777777" w:rsidR="00F937CC" w:rsidRPr="00886454" w:rsidRDefault="00F937CC" w:rsidP="00F937CC">
            <w:pPr>
              <w:spacing w:after="0" w:line="240" w:lineRule="auto"/>
              <w:jc w:val="right"/>
              <w:rPr>
                <w:rFonts w:ascii="Calibri" w:eastAsia="Times New Roman" w:hAnsi="Calibri" w:cs="Calibri"/>
                <w:lang w:eastAsia="en-AU"/>
              </w:rPr>
            </w:pPr>
            <w:r w:rsidRPr="00886454">
              <w:rPr>
                <w:rFonts w:ascii="Calibri" w:eastAsia="Times New Roman" w:hAnsi="Calibri" w:cs="Calibri"/>
                <w:lang w:eastAsia="en-AU"/>
              </w:rPr>
              <w:t>36.9%</w:t>
            </w:r>
          </w:p>
        </w:tc>
        <w:tc>
          <w:tcPr>
            <w:tcW w:w="1666" w:type="pct"/>
            <w:tcBorders>
              <w:top w:val="single" w:sz="4" w:space="0" w:color="auto"/>
              <w:left w:val="nil"/>
              <w:bottom w:val="single" w:sz="4" w:space="0" w:color="auto"/>
              <w:right w:val="single" w:sz="4" w:space="0" w:color="auto"/>
            </w:tcBorders>
            <w:shd w:val="clear" w:color="auto" w:fill="auto"/>
            <w:noWrap/>
            <w:vAlign w:val="center"/>
            <w:hideMark/>
          </w:tcPr>
          <w:p w14:paraId="3D37C041" w14:textId="77777777" w:rsidR="00F937CC" w:rsidRPr="00886454" w:rsidRDefault="00F937CC" w:rsidP="00F937CC">
            <w:pPr>
              <w:spacing w:after="0" w:line="240" w:lineRule="auto"/>
              <w:jc w:val="right"/>
              <w:rPr>
                <w:rFonts w:ascii="Times New Roman" w:eastAsia="Times New Roman" w:hAnsi="Times New Roman" w:cs="Times New Roman"/>
                <w:sz w:val="20"/>
                <w:szCs w:val="20"/>
                <w:lang w:eastAsia="en-AU"/>
              </w:rPr>
            </w:pPr>
            <w:r w:rsidRPr="00886454">
              <w:rPr>
                <w:rFonts w:ascii="Calibri" w:eastAsia="Times New Roman" w:hAnsi="Calibri" w:cs="Calibri"/>
                <w:lang w:eastAsia="en-AU"/>
              </w:rPr>
              <w:t>65.7%</w:t>
            </w:r>
          </w:p>
        </w:tc>
      </w:tr>
      <w:tr w:rsidR="00F937CC" w:rsidRPr="00886454" w14:paraId="79A3F336" w14:textId="77777777" w:rsidTr="00F937CC">
        <w:trPr>
          <w:trHeight w:val="224"/>
        </w:trPr>
        <w:tc>
          <w:tcPr>
            <w:tcW w:w="1667" w:type="pct"/>
            <w:tcBorders>
              <w:top w:val="single" w:sz="4" w:space="0" w:color="auto"/>
              <w:left w:val="single" w:sz="4" w:space="0" w:color="auto"/>
              <w:bottom w:val="single" w:sz="4" w:space="0" w:color="auto"/>
              <w:right w:val="nil"/>
            </w:tcBorders>
            <w:shd w:val="clear" w:color="auto" w:fill="auto"/>
            <w:noWrap/>
            <w:vAlign w:val="bottom"/>
            <w:hideMark/>
          </w:tcPr>
          <w:p w14:paraId="47C6DD5A" w14:textId="77777777" w:rsidR="00F937CC" w:rsidRPr="00886454" w:rsidRDefault="00F937CC" w:rsidP="00F937CC">
            <w:pPr>
              <w:spacing w:after="0" w:line="240" w:lineRule="auto"/>
              <w:jc w:val="center"/>
              <w:rPr>
                <w:rFonts w:ascii="Calibri" w:eastAsia="Times New Roman" w:hAnsi="Calibri" w:cs="Calibri"/>
                <w:lang w:eastAsia="en-AU"/>
              </w:rPr>
            </w:pPr>
            <w:r w:rsidRPr="00886454">
              <w:rPr>
                <w:rFonts w:ascii="Calibri" w:eastAsia="Times New Roman" w:hAnsi="Calibri" w:cs="Calibri"/>
                <w:lang w:eastAsia="en-AU"/>
              </w:rPr>
              <w:t>Year 9</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6B231" w14:textId="77777777" w:rsidR="00F937CC" w:rsidRPr="00886454" w:rsidRDefault="00F937CC" w:rsidP="00F937CC">
            <w:pPr>
              <w:spacing w:after="0" w:line="240" w:lineRule="auto"/>
              <w:jc w:val="right"/>
              <w:rPr>
                <w:rFonts w:ascii="Calibri" w:eastAsia="Times New Roman" w:hAnsi="Calibri" w:cs="Calibri"/>
                <w:lang w:eastAsia="en-AU"/>
              </w:rPr>
            </w:pPr>
            <w:r w:rsidRPr="00886454">
              <w:rPr>
                <w:rFonts w:ascii="Calibri" w:eastAsia="Times New Roman" w:hAnsi="Calibri" w:cs="Calibri"/>
                <w:lang w:eastAsia="en-AU"/>
              </w:rPr>
              <w:t>34.5%</w:t>
            </w:r>
          </w:p>
        </w:tc>
        <w:tc>
          <w:tcPr>
            <w:tcW w:w="1666" w:type="pct"/>
            <w:tcBorders>
              <w:top w:val="single" w:sz="4" w:space="0" w:color="auto"/>
              <w:left w:val="nil"/>
              <w:bottom w:val="single" w:sz="4" w:space="0" w:color="auto"/>
              <w:right w:val="single" w:sz="4" w:space="0" w:color="auto"/>
            </w:tcBorders>
            <w:shd w:val="clear" w:color="auto" w:fill="auto"/>
            <w:noWrap/>
            <w:vAlign w:val="center"/>
            <w:hideMark/>
          </w:tcPr>
          <w:p w14:paraId="6E8EDC3D" w14:textId="77777777" w:rsidR="00F937CC" w:rsidRPr="00886454" w:rsidRDefault="00F937CC" w:rsidP="00F937CC">
            <w:pPr>
              <w:spacing w:after="0" w:line="240" w:lineRule="auto"/>
              <w:jc w:val="right"/>
              <w:rPr>
                <w:rFonts w:ascii="Times New Roman" w:eastAsia="Times New Roman" w:hAnsi="Times New Roman" w:cs="Times New Roman"/>
                <w:sz w:val="20"/>
                <w:szCs w:val="20"/>
                <w:lang w:eastAsia="en-AU"/>
              </w:rPr>
            </w:pPr>
            <w:r w:rsidRPr="00886454">
              <w:rPr>
                <w:rFonts w:ascii="Calibri" w:eastAsia="Times New Roman" w:hAnsi="Calibri" w:cs="Calibri"/>
                <w:lang w:eastAsia="en-AU"/>
              </w:rPr>
              <w:t>63.4%</w:t>
            </w:r>
          </w:p>
        </w:tc>
      </w:tr>
      <w:tr w:rsidR="00F937CC" w:rsidRPr="00886454" w14:paraId="4672DD88" w14:textId="77777777" w:rsidTr="00F937CC">
        <w:trPr>
          <w:trHeight w:val="224"/>
        </w:trPr>
        <w:tc>
          <w:tcPr>
            <w:tcW w:w="1667" w:type="pct"/>
            <w:tcBorders>
              <w:top w:val="single" w:sz="4" w:space="0" w:color="auto"/>
              <w:left w:val="single" w:sz="4" w:space="0" w:color="auto"/>
              <w:bottom w:val="single" w:sz="4" w:space="0" w:color="auto"/>
              <w:right w:val="nil"/>
            </w:tcBorders>
            <w:shd w:val="clear" w:color="auto" w:fill="auto"/>
            <w:noWrap/>
            <w:vAlign w:val="bottom"/>
            <w:hideMark/>
          </w:tcPr>
          <w:p w14:paraId="21B663EB" w14:textId="77777777" w:rsidR="00F937CC" w:rsidRPr="00886454" w:rsidRDefault="00F937CC" w:rsidP="00F937CC">
            <w:pPr>
              <w:spacing w:after="0" w:line="240" w:lineRule="auto"/>
              <w:jc w:val="center"/>
              <w:rPr>
                <w:rFonts w:ascii="Calibri" w:eastAsia="Times New Roman" w:hAnsi="Calibri" w:cs="Calibri"/>
                <w:lang w:eastAsia="en-AU"/>
              </w:rPr>
            </w:pPr>
            <w:r w:rsidRPr="00886454">
              <w:rPr>
                <w:rFonts w:ascii="Calibri" w:eastAsia="Times New Roman" w:hAnsi="Calibri" w:cs="Calibri"/>
                <w:lang w:eastAsia="en-AU"/>
              </w:rPr>
              <w:t>Year 10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3E73D" w14:textId="77777777" w:rsidR="00F937CC" w:rsidRPr="00886454" w:rsidRDefault="00F937CC" w:rsidP="00F937CC">
            <w:pPr>
              <w:spacing w:after="0" w:line="240" w:lineRule="auto"/>
              <w:jc w:val="right"/>
              <w:rPr>
                <w:rFonts w:ascii="Calibri" w:eastAsia="Times New Roman" w:hAnsi="Calibri" w:cs="Calibri"/>
                <w:lang w:eastAsia="en-AU"/>
              </w:rPr>
            </w:pPr>
            <w:r w:rsidRPr="00886454">
              <w:rPr>
                <w:rFonts w:ascii="Calibri" w:eastAsia="Times New Roman" w:hAnsi="Calibri" w:cs="Calibri"/>
                <w:lang w:eastAsia="en-AU"/>
              </w:rPr>
              <w:t>37.2%</w:t>
            </w:r>
          </w:p>
        </w:tc>
        <w:tc>
          <w:tcPr>
            <w:tcW w:w="1666" w:type="pct"/>
            <w:tcBorders>
              <w:top w:val="single" w:sz="4" w:space="0" w:color="auto"/>
              <w:left w:val="nil"/>
              <w:bottom w:val="single" w:sz="4" w:space="0" w:color="auto"/>
              <w:right w:val="single" w:sz="4" w:space="0" w:color="auto"/>
            </w:tcBorders>
            <w:shd w:val="clear" w:color="auto" w:fill="auto"/>
            <w:noWrap/>
            <w:vAlign w:val="center"/>
            <w:hideMark/>
          </w:tcPr>
          <w:p w14:paraId="156B0A32" w14:textId="77777777" w:rsidR="00F937CC" w:rsidRPr="00886454" w:rsidRDefault="00F937CC" w:rsidP="00F937CC">
            <w:pPr>
              <w:spacing w:after="0" w:line="240" w:lineRule="auto"/>
              <w:jc w:val="right"/>
              <w:rPr>
                <w:rFonts w:ascii="Times New Roman" w:eastAsia="Times New Roman" w:hAnsi="Times New Roman" w:cs="Times New Roman"/>
                <w:sz w:val="20"/>
                <w:szCs w:val="20"/>
                <w:lang w:eastAsia="en-AU"/>
              </w:rPr>
            </w:pPr>
            <w:r w:rsidRPr="00886454">
              <w:rPr>
                <w:rFonts w:ascii="Calibri" w:eastAsia="Times New Roman" w:hAnsi="Calibri" w:cs="Calibri"/>
                <w:lang w:eastAsia="en-AU"/>
              </w:rPr>
              <w:t>59.1%</w:t>
            </w:r>
          </w:p>
        </w:tc>
      </w:tr>
      <w:tr w:rsidR="00F937CC" w:rsidRPr="00886454" w14:paraId="68A9204B" w14:textId="77777777" w:rsidTr="00F937CC">
        <w:trPr>
          <w:trHeight w:val="224"/>
        </w:trPr>
        <w:tc>
          <w:tcPr>
            <w:tcW w:w="1667" w:type="pct"/>
            <w:tcBorders>
              <w:top w:val="single" w:sz="4" w:space="0" w:color="auto"/>
              <w:left w:val="single" w:sz="4" w:space="0" w:color="auto"/>
              <w:bottom w:val="single" w:sz="4" w:space="0" w:color="auto"/>
              <w:right w:val="nil"/>
            </w:tcBorders>
            <w:shd w:val="clear" w:color="auto" w:fill="auto"/>
            <w:noWrap/>
            <w:vAlign w:val="bottom"/>
            <w:hideMark/>
          </w:tcPr>
          <w:p w14:paraId="3FA97B2E" w14:textId="77777777" w:rsidR="00F937CC" w:rsidRPr="00886454" w:rsidRDefault="00F937CC" w:rsidP="00F937CC">
            <w:pPr>
              <w:spacing w:after="0" w:line="240" w:lineRule="auto"/>
              <w:jc w:val="center"/>
              <w:rPr>
                <w:rFonts w:ascii="Calibri" w:eastAsia="Times New Roman" w:hAnsi="Calibri" w:cs="Calibri"/>
                <w:lang w:eastAsia="en-AU"/>
              </w:rPr>
            </w:pPr>
            <w:r w:rsidRPr="00886454">
              <w:rPr>
                <w:rFonts w:ascii="Calibri" w:eastAsia="Times New Roman" w:hAnsi="Calibri" w:cs="Calibri"/>
                <w:lang w:eastAsia="en-AU"/>
              </w:rPr>
              <w:t>Year 11</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76635" w14:textId="77777777" w:rsidR="00F937CC" w:rsidRPr="00886454" w:rsidRDefault="00F937CC" w:rsidP="00F937CC">
            <w:pPr>
              <w:spacing w:after="0" w:line="240" w:lineRule="auto"/>
              <w:jc w:val="right"/>
              <w:rPr>
                <w:rFonts w:ascii="Calibri" w:eastAsia="Times New Roman" w:hAnsi="Calibri" w:cs="Calibri"/>
                <w:lang w:eastAsia="en-AU"/>
              </w:rPr>
            </w:pPr>
            <w:r w:rsidRPr="00886454">
              <w:rPr>
                <w:rFonts w:ascii="Calibri" w:eastAsia="Times New Roman" w:hAnsi="Calibri" w:cs="Calibri"/>
                <w:lang w:eastAsia="en-AU"/>
              </w:rPr>
              <w:t>41.0%</w:t>
            </w:r>
          </w:p>
        </w:tc>
        <w:tc>
          <w:tcPr>
            <w:tcW w:w="1666" w:type="pct"/>
            <w:tcBorders>
              <w:top w:val="single" w:sz="4" w:space="0" w:color="auto"/>
              <w:left w:val="nil"/>
              <w:bottom w:val="single" w:sz="4" w:space="0" w:color="auto"/>
              <w:right w:val="single" w:sz="4" w:space="0" w:color="auto"/>
            </w:tcBorders>
            <w:shd w:val="clear" w:color="auto" w:fill="auto"/>
            <w:noWrap/>
            <w:vAlign w:val="center"/>
            <w:hideMark/>
          </w:tcPr>
          <w:p w14:paraId="3F48D892" w14:textId="77777777" w:rsidR="00F937CC" w:rsidRPr="00886454" w:rsidRDefault="00F937CC" w:rsidP="00F937CC">
            <w:pPr>
              <w:spacing w:after="0" w:line="240" w:lineRule="auto"/>
              <w:jc w:val="right"/>
              <w:rPr>
                <w:rFonts w:ascii="Times New Roman" w:eastAsia="Times New Roman" w:hAnsi="Times New Roman" w:cs="Times New Roman"/>
                <w:sz w:val="20"/>
                <w:szCs w:val="20"/>
                <w:lang w:eastAsia="en-AU"/>
              </w:rPr>
            </w:pPr>
            <w:r w:rsidRPr="00886454">
              <w:rPr>
                <w:rFonts w:ascii="Calibri" w:eastAsia="Times New Roman" w:hAnsi="Calibri" w:cs="Calibri"/>
                <w:lang w:eastAsia="en-AU"/>
              </w:rPr>
              <w:t>62.3%</w:t>
            </w:r>
          </w:p>
        </w:tc>
      </w:tr>
      <w:tr w:rsidR="00F937CC" w:rsidRPr="00886454" w14:paraId="1EBEBBE1" w14:textId="77777777" w:rsidTr="00F937CC">
        <w:trPr>
          <w:trHeight w:val="224"/>
        </w:trPr>
        <w:tc>
          <w:tcPr>
            <w:tcW w:w="1667" w:type="pct"/>
            <w:tcBorders>
              <w:top w:val="nil"/>
              <w:left w:val="single" w:sz="4" w:space="0" w:color="auto"/>
              <w:bottom w:val="single" w:sz="4" w:space="0" w:color="auto"/>
              <w:right w:val="nil"/>
            </w:tcBorders>
            <w:shd w:val="clear" w:color="auto" w:fill="auto"/>
            <w:noWrap/>
            <w:vAlign w:val="bottom"/>
            <w:hideMark/>
          </w:tcPr>
          <w:p w14:paraId="3B48D37C" w14:textId="77777777" w:rsidR="00F937CC" w:rsidRPr="00886454" w:rsidRDefault="00F937CC" w:rsidP="00F937CC">
            <w:pPr>
              <w:spacing w:after="0" w:line="240" w:lineRule="auto"/>
              <w:jc w:val="center"/>
              <w:rPr>
                <w:rFonts w:ascii="Calibri" w:eastAsia="Times New Roman" w:hAnsi="Calibri" w:cs="Calibri"/>
                <w:lang w:eastAsia="en-AU"/>
              </w:rPr>
            </w:pPr>
            <w:r w:rsidRPr="00886454">
              <w:rPr>
                <w:rFonts w:ascii="Calibri" w:eastAsia="Times New Roman" w:hAnsi="Calibri" w:cs="Calibri"/>
                <w:lang w:eastAsia="en-AU"/>
              </w:rPr>
              <w:t>Year 12</w:t>
            </w:r>
          </w:p>
        </w:tc>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73E607A6" w14:textId="77777777" w:rsidR="00F937CC" w:rsidRPr="00886454" w:rsidRDefault="00F937CC" w:rsidP="00F937CC">
            <w:pPr>
              <w:spacing w:after="0" w:line="240" w:lineRule="auto"/>
              <w:jc w:val="right"/>
              <w:rPr>
                <w:rFonts w:ascii="Calibri" w:eastAsia="Times New Roman" w:hAnsi="Calibri" w:cs="Calibri"/>
                <w:lang w:eastAsia="en-AU"/>
              </w:rPr>
            </w:pPr>
            <w:r w:rsidRPr="00886454">
              <w:rPr>
                <w:rFonts w:ascii="Calibri" w:eastAsia="Times New Roman" w:hAnsi="Calibri" w:cs="Calibri"/>
                <w:lang w:eastAsia="en-AU"/>
              </w:rPr>
              <w:t>47.3%</w:t>
            </w:r>
          </w:p>
        </w:tc>
        <w:tc>
          <w:tcPr>
            <w:tcW w:w="1666" w:type="pct"/>
            <w:tcBorders>
              <w:top w:val="single" w:sz="4" w:space="0" w:color="auto"/>
              <w:left w:val="nil"/>
              <w:bottom w:val="single" w:sz="4" w:space="0" w:color="auto"/>
              <w:right w:val="single" w:sz="4" w:space="0" w:color="auto"/>
            </w:tcBorders>
            <w:shd w:val="clear" w:color="auto" w:fill="auto"/>
            <w:noWrap/>
            <w:vAlign w:val="center"/>
            <w:hideMark/>
          </w:tcPr>
          <w:p w14:paraId="5AC04FB5" w14:textId="77777777" w:rsidR="00F937CC" w:rsidRPr="00886454" w:rsidRDefault="00F937CC" w:rsidP="00F937CC">
            <w:pPr>
              <w:spacing w:after="0" w:line="240" w:lineRule="auto"/>
              <w:jc w:val="right"/>
              <w:rPr>
                <w:rFonts w:ascii="Times New Roman" w:eastAsia="Times New Roman" w:hAnsi="Times New Roman" w:cs="Times New Roman"/>
                <w:sz w:val="20"/>
                <w:szCs w:val="20"/>
                <w:lang w:eastAsia="en-AU"/>
              </w:rPr>
            </w:pPr>
            <w:r w:rsidRPr="00886454">
              <w:rPr>
                <w:rFonts w:ascii="Calibri" w:eastAsia="Times New Roman" w:hAnsi="Calibri" w:cs="Calibri"/>
                <w:lang w:eastAsia="en-AU"/>
              </w:rPr>
              <w:t>68.1%</w:t>
            </w:r>
          </w:p>
        </w:tc>
      </w:tr>
    </w:tbl>
    <w:p w14:paraId="5AC6B2AC" w14:textId="77777777" w:rsidR="00F937CC" w:rsidRDefault="00F937CC" w:rsidP="00F937CC"/>
    <w:p w14:paraId="1B48FBB4" w14:textId="6BF40BD7" w:rsidR="00F937CC" w:rsidRDefault="00C45213" w:rsidP="00DB2F30">
      <w:r w:rsidRPr="000D1A4D">
        <w:t xml:space="preserve">When a poor school environment </w:t>
      </w:r>
      <w:r w:rsidR="00F937CC">
        <w:t>includes</w:t>
      </w:r>
      <w:r w:rsidRPr="000D1A4D">
        <w:t xml:space="preserve"> bullying, this can have a detrimental impact on wellbeing and educational achievement.</w:t>
      </w:r>
      <w:r>
        <w:t xml:space="preserve"> </w:t>
      </w:r>
    </w:p>
    <w:p w14:paraId="0B8469D9" w14:textId="7F961831" w:rsidR="00F937CC" w:rsidRDefault="00F937CC" w:rsidP="00DB2F30">
      <w:r>
        <w:t xml:space="preserve">The proportion of students experiencing bullying has increased in recent years and Aboriginal students are more likely than their peers to experience bullying. </w:t>
      </w:r>
    </w:p>
    <w:p w14:paraId="5819D751" w14:textId="6738E155" w:rsidR="00520702" w:rsidRPr="00520702" w:rsidRDefault="00520702" w:rsidP="00520702">
      <w:pPr>
        <w:rPr>
          <w:b/>
        </w:rPr>
      </w:pPr>
      <w:r w:rsidRPr="00520702">
        <w:rPr>
          <w:b/>
        </w:rPr>
        <w:t xml:space="preserve">Table </w:t>
      </w:r>
      <w:r w:rsidRPr="00520702">
        <w:rPr>
          <w:b/>
        </w:rPr>
        <w:fldChar w:fldCharType="begin"/>
      </w:r>
      <w:r w:rsidRPr="00520702">
        <w:rPr>
          <w:b/>
        </w:rPr>
        <w:instrText xml:space="preserve"> SEQ Table \* ARABIC </w:instrText>
      </w:r>
      <w:r w:rsidRPr="00520702">
        <w:rPr>
          <w:b/>
        </w:rPr>
        <w:fldChar w:fldCharType="separate"/>
      </w:r>
      <w:r w:rsidR="00DB2F30">
        <w:rPr>
          <w:b/>
          <w:noProof/>
        </w:rPr>
        <w:t>30</w:t>
      </w:r>
      <w:r w:rsidRPr="00520702">
        <w:rPr>
          <w:b/>
        </w:rPr>
        <w:fldChar w:fldCharType="end"/>
      </w:r>
      <w:r w:rsidRPr="00520702">
        <w:rPr>
          <w:b/>
        </w:rPr>
        <w:t xml:space="preserve"> Proportion of bullied </w:t>
      </w:r>
      <w:r>
        <w:rPr>
          <w:b/>
        </w:rPr>
        <w:t xml:space="preserve">and not bullied </w:t>
      </w:r>
      <w:r w:rsidRPr="00520702">
        <w:rPr>
          <w:b/>
        </w:rPr>
        <w:t>students in the top two bands for NAPLAN Reading, Victoria, 2017. Source: Attitudes to School Survey and NAPLAN, 2017.</w:t>
      </w:r>
    </w:p>
    <w:tbl>
      <w:tblPr>
        <w:tblW w:w="5000" w:type="pct"/>
        <w:tblLook w:val="04A0" w:firstRow="1" w:lastRow="0" w:firstColumn="1" w:lastColumn="0" w:noHBand="0" w:noVBand="1"/>
        <w:tblCaption w:val="Proportion of government school students who reported having been bullied in the top and bottom 2 bands of NAPLAN reading, Victoria, 2017."/>
        <w:tblDescription w:val="Proportion of Victorian government school students who reported having been bullied that were in the top and bottom 2 bands of NAPLAN reading, across year levels (Years 5, 7 and 9) in 2017. Source: AtoSS, 2017 &amp; NAPLAN 2017."/>
      </w:tblPr>
      <w:tblGrid>
        <w:gridCol w:w="3006"/>
        <w:gridCol w:w="3006"/>
        <w:gridCol w:w="3004"/>
      </w:tblGrid>
      <w:tr w:rsidR="00F937CC" w:rsidRPr="00886454" w14:paraId="1C93BB42" w14:textId="77777777" w:rsidTr="00520702">
        <w:trPr>
          <w:trHeight w:val="227"/>
        </w:trPr>
        <w:tc>
          <w:tcPr>
            <w:tcW w:w="1667" w:type="pct"/>
            <w:tcBorders>
              <w:top w:val="single" w:sz="4" w:space="0" w:color="auto"/>
              <w:left w:val="single" w:sz="4" w:space="0" w:color="auto"/>
              <w:bottom w:val="single" w:sz="4" w:space="0" w:color="auto"/>
              <w:right w:val="nil"/>
            </w:tcBorders>
            <w:shd w:val="clear" w:color="auto" w:fill="auto"/>
            <w:noWrap/>
            <w:vAlign w:val="center"/>
            <w:hideMark/>
          </w:tcPr>
          <w:p w14:paraId="31F5F357" w14:textId="77777777" w:rsidR="00F937CC" w:rsidRPr="00886454" w:rsidRDefault="00F937CC" w:rsidP="00F937CC">
            <w:pPr>
              <w:spacing w:after="0" w:line="240" w:lineRule="auto"/>
              <w:jc w:val="center"/>
              <w:rPr>
                <w:rFonts w:eastAsia="Times New Roman" w:cstheme="minorHAnsi"/>
                <w:b/>
                <w:lang w:eastAsia="en-AU"/>
              </w:rPr>
            </w:pPr>
            <w:r w:rsidRPr="00886454">
              <w:rPr>
                <w:rFonts w:eastAsia="Times New Roman" w:cstheme="minorHAnsi"/>
                <w:b/>
                <w:lang w:eastAsia="en-AU"/>
              </w:rPr>
              <w:t>Year level</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38529D8" w14:textId="77EC1DED" w:rsidR="00F937CC" w:rsidRPr="00886454" w:rsidRDefault="00520702" w:rsidP="00F937CC">
            <w:pPr>
              <w:spacing w:after="0" w:line="240" w:lineRule="auto"/>
              <w:jc w:val="center"/>
              <w:rPr>
                <w:rFonts w:eastAsia="Times New Roman" w:cstheme="minorHAnsi"/>
                <w:b/>
                <w:lang w:eastAsia="en-AU"/>
              </w:rPr>
            </w:pPr>
            <w:r>
              <w:rPr>
                <w:rFonts w:eastAsia="Times New Roman" w:cstheme="minorHAnsi"/>
                <w:b/>
                <w:lang w:eastAsia="en-AU"/>
              </w:rPr>
              <w:t xml:space="preserve">Not bullied </w:t>
            </w:r>
          </w:p>
        </w:tc>
        <w:tc>
          <w:tcPr>
            <w:tcW w:w="1666" w:type="pct"/>
            <w:tcBorders>
              <w:top w:val="single" w:sz="4" w:space="0" w:color="auto"/>
              <w:left w:val="nil"/>
              <w:bottom w:val="single" w:sz="4" w:space="0" w:color="auto"/>
              <w:right w:val="single" w:sz="4" w:space="0" w:color="auto"/>
            </w:tcBorders>
            <w:shd w:val="clear" w:color="auto" w:fill="auto"/>
            <w:vAlign w:val="bottom"/>
            <w:hideMark/>
          </w:tcPr>
          <w:p w14:paraId="66A32A1E" w14:textId="0D248D51" w:rsidR="00F937CC" w:rsidRPr="00886454" w:rsidRDefault="00520702" w:rsidP="00F937CC">
            <w:pPr>
              <w:spacing w:after="0" w:line="240" w:lineRule="auto"/>
              <w:jc w:val="center"/>
              <w:rPr>
                <w:rFonts w:eastAsia="Times New Roman" w:cstheme="minorHAnsi"/>
                <w:b/>
                <w:lang w:eastAsia="en-AU"/>
              </w:rPr>
            </w:pPr>
            <w:r>
              <w:rPr>
                <w:rFonts w:eastAsia="Times New Roman" w:cstheme="minorHAnsi"/>
                <w:b/>
                <w:lang w:eastAsia="en-AU"/>
              </w:rPr>
              <w:t>Bullied</w:t>
            </w:r>
          </w:p>
        </w:tc>
      </w:tr>
      <w:tr w:rsidR="00F937CC" w:rsidRPr="00886454" w14:paraId="02E4CC26" w14:textId="77777777" w:rsidTr="00520702">
        <w:trPr>
          <w:trHeight w:val="26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39E34" w14:textId="77777777" w:rsidR="00F937CC" w:rsidRPr="00886454" w:rsidRDefault="00F937CC" w:rsidP="00F937CC">
            <w:pPr>
              <w:spacing w:after="0" w:line="240" w:lineRule="auto"/>
              <w:jc w:val="center"/>
              <w:rPr>
                <w:rFonts w:ascii="Calibri" w:eastAsia="Times New Roman" w:hAnsi="Calibri" w:cs="Calibri"/>
                <w:lang w:eastAsia="en-AU"/>
              </w:rPr>
            </w:pPr>
            <w:r w:rsidRPr="00886454">
              <w:rPr>
                <w:rFonts w:ascii="Calibri" w:eastAsia="Times New Roman" w:hAnsi="Calibri" w:cs="Calibri"/>
                <w:lang w:eastAsia="en-AU"/>
              </w:rPr>
              <w:t>Year 5</w:t>
            </w:r>
          </w:p>
        </w:tc>
        <w:tc>
          <w:tcPr>
            <w:tcW w:w="1667" w:type="pct"/>
            <w:tcBorders>
              <w:top w:val="single" w:sz="4" w:space="0" w:color="auto"/>
              <w:left w:val="nil"/>
              <w:bottom w:val="single" w:sz="4" w:space="0" w:color="auto"/>
              <w:right w:val="single" w:sz="4" w:space="0" w:color="auto"/>
            </w:tcBorders>
            <w:shd w:val="clear" w:color="auto" w:fill="auto"/>
            <w:noWrap/>
            <w:vAlign w:val="bottom"/>
          </w:tcPr>
          <w:p w14:paraId="565918D1" w14:textId="566A686F" w:rsidR="00F937CC" w:rsidRPr="00886454" w:rsidRDefault="00520702" w:rsidP="00F937CC">
            <w:pPr>
              <w:spacing w:after="0" w:line="240" w:lineRule="auto"/>
              <w:jc w:val="right"/>
              <w:rPr>
                <w:rFonts w:ascii="Calibri" w:eastAsia="Times New Roman" w:hAnsi="Calibri" w:cs="Calibri"/>
                <w:lang w:eastAsia="en-AU"/>
              </w:rPr>
            </w:pPr>
            <w:r>
              <w:rPr>
                <w:rFonts w:ascii="Calibri" w:eastAsia="Times New Roman" w:hAnsi="Calibri" w:cs="Calibri"/>
                <w:lang w:eastAsia="en-AU"/>
              </w:rPr>
              <w:t>43%</w:t>
            </w:r>
          </w:p>
        </w:tc>
        <w:tc>
          <w:tcPr>
            <w:tcW w:w="1666" w:type="pct"/>
            <w:tcBorders>
              <w:top w:val="single" w:sz="4" w:space="0" w:color="auto"/>
              <w:left w:val="nil"/>
              <w:bottom w:val="single" w:sz="4" w:space="0" w:color="auto"/>
              <w:right w:val="single" w:sz="4" w:space="0" w:color="auto"/>
            </w:tcBorders>
            <w:shd w:val="clear" w:color="auto" w:fill="auto"/>
            <w:noWrap/>
            <w:vAlign w:val="bottom"/>
          </w:tcPr>
          <w:p w14:paraId="3319E14B" w14:textId="53FE5A46" w:rsidR="00F937CC" w:rsidRPr="00886454" w:rsidRDefault="00520702" w:rsidP="00F937CC">
            <w:pPr>
              <w:spacing w:after="0" w:line="240" w:lineRule="auto"/>
              <w:jc w:val="right"/>
              <w:rPr>
                <w:rFonts w:ascii="Calibri" w:eastAsia="Times New Roman" w:hAnsi="Calibri" w:cs="Calibri"/>
                <w:lang w:eastAsia="en-AU"/>
              </w:rPr>
            </w:pPr>
            <w:r>
              <w:rPr>
                <w:rFonts w:ascii="Calibri" w:eastAsia="Times New Roman" w:hAnsi="Calibri" w:cs="Calibri"/>
                <w:lang w:eastAsia="en-AU"/>
              </w:rPr>
              <w:t>34%</w:t>
            </w:r>
          </w:p>
        </w:tc>
      </w:tr>
      <w:tr w:rsidR="00F937CC" w:rsidRPr="00886454" w14:paraId="711399D7" w14:textId="77777777" w:rsidTr="00520702">
        <w:trPr>
          <w:trHeight w:val="260"/>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14:paraId="1E786F60" w14:textId="77777777" w:rsidR="00F937CC" w:rsidRPr="00886454" w:rsidRDefault="00F937CC" w:rsidP="00F937CC">
            <w:pPr>
              <w:spacing w:after="0" w:line="240" w:lineRule="auto"/>
              <w:jc w:val="center"/>
              <w:rPr>
                <w:rFonts w:ascii="Calibri" w:eastAsia="Times New Roman" w:hAnsi="Calibri" w:cs="Calibri"/>
                <w:lang w:eastAsia="en-AU"/>
              </w:rPr>
            </w:pPr>
            <w:r w:rsidRPr="00886454">
              <w:rPr>
                <w:rFonts w:ascii="Calibri" w:eastAsia="Times New Roman" w:hAnsi="Calibri" w:cs="Calibri"/>
                <w:lang w:eastAsia="en-AU"/>
              </w:rPr>
              <w:t>Year 7</w:t>
            </w:r>
          </w:p>
        </w:tc>
        <w:tc>
          <w:tcPr>
            <w:tcW w:w="1667" w:type="pct"/>
            <w:tcBorders>
              <w:top w:val="nil"/>
              <w:left w:val="nil"/>
              <w:bottom w:val="single" w:sz="4" w:space="0" w:color="auto"/>
              <w:right w:val="single" w:sz="4" w:space="0" w:color="auto"/>
            </w:tcBorders>
            <w:shd w:val="clear" w:color="auto" w:fill="auto"/>
            <w:noWrap/>
            <w:vAlign w:val="bottom"/>
          </w:tcPr>
          <w:p w14:paraId="0D5577BE" w14:textId="5D30E687" w:rsidR="00F937CC" w:rsidRPr="00886454" w:rsidRDefault="00520702" w:rsidP="00F937CC">
            <w:pPr>
              <w:spacing w:after="0" w:line="240" w:lineRule="auto"/>
              <w:jc w:val="right"/>
              <w:rPr>
                <w:rFonts w:ascii="Calibri" w:eastAsia="Times New Roman" w:hAnsi="Calibri" w:cs="Calibri"/>
                <w:lang w:eastAsia="en-AU"/>
              </w:rPr>
            </w:pPr>
            <w:r>
              <w:rPr>
                <w:rFonts w:ascii="Calibri" w:eastAsia="Times New Roman" w:hAnsi="Calibri" w:cs="Calibri"/>
                <w:lang w:eastAsia="en-AU"/>
              </w:rPr>
              <w:t>29%</w:t>
            </w:r>
          </w:p>
        </w:tc>
        <w:tc>
          <w:tcPr>
            <w:tcW w:w="1666" w:type="pct"/>
            <w:tcBorders>
              <w:top w:val="nil"/>
              <w:left w:val="nil"/>
              <w:bottom w:val="single" w:sz="4" w:space="0" w:color="auto"/>
              <w:right w:val="single" w:sz="4" w:space="0" w:color="auto"/>
            </w:tcBorders>
            <w:shd w:val="clear" w:color="auto" w:fill="auto"/>
            <w:noWrap/>
            <w:vAlign w:val="bottom"/>
          </w:tcPr>
          <w:p w14:paraId="22DF718B" w14:textId="6610AA5A" w:rsidR="00F937CC" w:rsidRPr="00886454" w:rsidRDefault="00520702" w:rsidP="00F937CC">
            <w:pPr>
              <w:spacing w:after="0" w:line="240" w:lineRule="auto"/>
              <w:jc w:val="right"/>
              <w:rPr>
                <w:rFonts w:ascii="Calibri" w:eastAsia="Times New Roman" w:hAnsi="Calibri" w:cs="Calibri"/>
                <w:lang w:eastAsia="en-AU"/>
              </w:rPr>
            </w:pPr>
            <w:r>
              <w:rPr>
                <w:rFonts w:ascii="Calibri" w:eastAsia="Times New Roman" w:hAnsi="Calibri" w:cs="Calibri"/>
                <w:lang w:eastAsia="en-AU"/>
              </w:rPr>
              <w:t>20%</w:t>
            </w:r>
          </w:p>
        </w:tc>
      </w:tr>
      <w:tr w:rsidR="00F937CC" w:rsidRPr="00886454" w14:paraId="62FE35DB" w14:textId="77777777" w:rsidTr="00520702">
        <w:trPr>
          <w:trHeight w:val="260"/>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14:paraId="1801BDBA" w14:textId="77777777" w:rsidR="00F937CC" w:rsidRPr="00886454" w:rsidRDefault="00F937CC" w:rsidP="00F937CC">
            <w:pPr>
              <w:spacing w:after="0" w:line="240" w:lineRule="auto"/>
              <w:jc w:val="center"/>
              <w:rPr>
                <w:rFonts w:ascii="Calibri" w:eastAsia="Times New Roman" w:hAnsi="Calibri" w:cs="Calibri"/>
                <w:lang w:eastAsia="en-AU"/>
              </w:rPr>
            </w:pPr>
            <w:r w:rsidRPr="00886454">
              <w:rPr>
                <w:rFonts w:ascii="Calibri" w:eastAsia="Times New Roman" w:hAnsi="Calibri" w:cs="Calibri"/>
                <w:lang w:eastAsia="en-AU"/>
              </w:rPr>
              <w:t>Year 9</w:t>
            </w:r>
          </w:p>
        </w:tc>
        <w:tc>
          <w:tcPr>
            <w:tcW w:w="1667" w:type="pct"/>
            <w:tcBorders>
              <w:top w:val="nil"/>
              <w:left w:val="nil"/>
              <w:bottom w:val="single" w:sz="4" w:space="0" w:color="auto"/>
              <w:right w:val="single" w:sz="4" w:space="0" w:color="auto"/>
            </w:tcBorders>
            <w:shd w:val="clear" w:color="auto" w:fill="auto"/>
            <w:noWrap/>
            <w:vAlign w:val="bottom"/>
          </w:tcPr>
          <w:p w14:paraId="15D83C59" w14:textId="5F57B308" w:rsidR="00F937CC" w:rsidRPr="00886454" w:rsidRDefault="00520702" w:rsidP="00F937CC">
            <w:pPr>
              <w:spacing w:after="0" w:line="240" w:lineRule="auto"/>
              <w:jc w:val="right"/>
              <w:rPr>
                <w:rFonts w:ascii="Calibri" w:eastAsia="Times New Roman" w:hAnsi="Calibri" w:cs="Calibri"/>
                <w:lang w:eastAsia="en-AU"/>
              </w:rPr>
            </w:pPr>
            <w:r>
              <w:rPr>
                <w:rFonts w:ascii="Calibri" w:eastAsia="Times New Roman" w:hAnsi="Calibri" w:cs="Calibri"/>
                <w:lang w:eastAsia="en-AU"/>
              </w:rPr>
              <w:t>20%</w:t>
            </w:r>
          </w:p>
        </w:tc>
        <w:tc>
          <w:tcPr>
            <w:tcW w:w="1666" w:type="pct"/>
            <w:tcBorders>
              <w:top w:val="nil"/>
              <w:left w:val="nil"/>
              <w:bottom w:val="single" w:sz="4" w:space="0" w:color="auto"/>
              <w:right w:val="single" w:sz="4" w:space="0" w:color="auto"/>
            </w:tcBorders>
            <w:shd w:val="clear" w:color="auto" w:fill="auto"/>
            <w:noWrap/>
            <w:vAlign w:val="bottom"/>
          </w:tcPr>
          <w:p w14:paraId="238FE984" w14:textId="672E4FAE" w:rsidR="00F937CC" w:rsidRPr="00886454" w:rsidRDefault="00520702" w:rsidP="00F937CC">
            <w:pPr>
              <w:spacing w:after="0" w:line="240" w:lineRule="auto"/>
              <w:jc w:val="right"/>
              <w:rPr>
                <w:rFonts w:ascii="Calibri" w:eastAsia="Times New Roman" w:hAnsi="Calibri" w:cs="Calibri"/>
                <w:lang w:eastAsia="en-AU"/>
              </w:rPr>
            </w:pPr>
            <w:r>
              <w:rPr>
                <w:rFonts w:ascii="Calibri" w:eastAsia="Times New Roman" w:hAnsi="Calibri" w:cs="Calibri"/>
                <w:lang w:eastAsia="en-AU"/>
              </w:rPr>
              <w:t>11%</w:t>
            </w:r>
          </w:p>
        </w:tc>
      </w:tr>
    </w:tbl>
    <w:p w14:paraId="3C2B061D" w14:textId="0DBE5306" w:rsidR="00F937CC" w:rsidRDefault="00F937CC" w:rsidP="00F937CC"/>
    <w:p w14:paraId="16F98B8A" w14:textId="1BCFA72C" w:rsidR="00520702" w:rsidRPr="00520702" w:rsidRDefault="00520702" w:rsidP="00520702">
      <w:pPr>
        <w:rPr>
          <w:b/>
        </w:rPr>
      </w:pPr>
      <w:r w:rsidRPr="00520702">
        <w:rPr>
          <w:b/>
        </w:rPr>
        <w:t xml:space="preserve">Table </w:t>
      </w:r>
      <w:r w:rsidRPr="00520702">
        <w:rPr>
          <w:b/>
        </w:rPr>
        <w:fldChar w:fldCharType="begin"/>
      </w:r>
      <w:r w:rsidRPr="00520702">
        <w:rPr>
          <w:b/>
        </w:rPr>
        <w:instrText xml:space="preserve"> SEQ Table \* ARABIC </w:instrText>
      </w:r>
      <w:r w:rsidRPr="00520702">
        <w:rPr>
          <w:b/>
        </w:rPr>
        <w:fldChar w:fldCharType="separate"/>
      </w:r>
      <w:r w:rsidR="00DB2F30">
        <w:rPr>
          <w:b/>
          <w:noProof/>
        </w:rPr>
        <w:t>31</w:t>
      </w:r>
      <w:r w:rsidRPr="00520702">
        <w:rPr>
          <w:b/>
        </w:rPr>
        <w:fldChar w:fldCharType="end"/>
      </w:r>
      <w:r w:rsidRPr="00520702">
        <w:rPr>
          <w:b/>
        </w:rPr>
        <w:t xml:space="preserve"> Proportion of </w:t>
      </w:r>
      <w:r>
        <w:rPr>
          <w:b/>
        </w:rPr>
        <w:t xml:space="preserve">bullied and not bullied </w:t>
      </w:r>
      <w:r w:rsidRPr="00520702">
        <w:rPr>
          <w:b/>
        </w:rPr>
        <w:t>students in the bottom two bands for NAPLAN Reading, Victoria, 2017. Source: Attitudes to School Survey and NAPLAN, 2017.</w:t>
      </w:r>
    </w:p>
    <w:tbl>
      <w:tblPr>
        <w:tblW w:w="9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roportion of government school students who reported not having been bullied in the top and bottom 2 bands of NAPLAN reading, Victoria, 2017"/>
        <w:tblDescription w:val="Proportion of Victorian government school students who reported not having been bullied that were in the top and bottom 2 bands of NAPLAN reading, across year levels (Years 5, 7 and 9) in 2017. Source: AtoSS, 2017 &amp; NAPLAN 2017."/>
      </w:tblPr>
      <w:tblGrid>
        <w:gridCol w:w="3020"/>
        <w:gridCol w:w="3020"/>
        <w:gridCol w:w="3020"/>
      </w:tblGrid>
      <w:tr w:rsidR="00520702" w:rsidRPr="00886454" w14:paraId="2F9E07F3" w14:textId="77777777" w:rsidTr="00F937CC">
        <w:trPr>
          <w:trHeight w:val="74"/>
        </w:trPr>
        <w:tc>
          <w:tcPr>
            <w:tcW w:w="3020" w:type="dxa"/>
            <w:shd w:val="clear" w:color="auto" w:fill="auto"/>
            <w:vAlign w:val="center"/>
          </w:tcPr>
          <w:p w14:paraId="222A35FB" w14:textId="77777777" w:rsidR="00520702" w:rsidRPr="00886454" w:rsidRDefault="00520702" w:rsidP="00520702">
            <w:pPr>
              <w:spacing w:after="0" w:line="240" w:lineRule="auto"/>
              <w:jc w:val="center"/>
              <w:rPr>
                <w:rFonts w:ascii="Calibri" w:eastAsia="Times New Roman" w:hAnsi="Calibri" w:cs="Calibri"/>
                <w:b/>
                <w:lang w:eastAsia="en-AU"/>
              </w:rPr>
            </w:pPr>
            <w:r w:rsidRPr="00886454">
              <w:rPr>
                <w:rFonts w:eastAsia="Times New Roman" w:cstheme="minorHAnsi"/>
                <w:b/>
                <w:lang w:eastAsia="en-AU"/>
              </w:rPr>
              <w:t>Year level</w:t>
            </w:r>
          </w:p>
        </w:tc>
        <w:tc>
          <w:tcPr>
            <w:tcW w:w="3020" w:type="dxa"/>
            <w:shd w:val="clear" w:color="auto" w:fill="auto"/>
            <w:vAlign w:val="bottom"/>
            <w:hideMark/>
          </w:tcPr>
          <w:p w14:paraId="4865A1D8" w14:textId="144DDB05" w:rsidR="00520702" w:rsidRPr="00886454" w:rsidRDefault="00520702" w:rsidP="00520702">
            <w:pPr>
              <w:spacing w:after="0" w:line="240" w:lineRule="auto"/>
              <w:jc w:val="center"/>
              <w:rPr>
                <w:rFonts w:ascii="Calibri" w:eastAsia="Times New Roman" w:hAnsi="Calibri" w:cs="Calibri"/>
                <w:b/>
                <w:lang w:eastAsia="en-AU"/>
              </w:rPr>
            </w:pPr>
            <w:r>
              <w:rPr>
                <w:rFonts w:eastAsia="Times New Roman" w:cstheme="minorHAnsi"/>
                <w:b/>
                <w:lang w:eastAsia="en-AU"/>
              </w:rPr>
              <w:t xml:space="preserve">Not bullied </w:t>
            </w:r>
          </w:p>
        </w:tc>
        <w:tc>
          <w:tcPr>
            <w:tcW w:w="3020" w:type="dxa"/>
            <w:shd w:val="clear" w:color="auto" w:fill="auto"/>
            <w:vAlign w:val="bottom"/>
            <w:hideMark/>
          </w:tcPr>
          <w:p w14:paraId="7DFEB621" w14:textId="3E08127D" w:rsidR="00520702" w:rsidRPr="00886454" w:rsidRDefault="00520702" w:rsidP="00520702">
            <w:pPr>
              <w:spacing w:after="0" w:line="240" w:lineRule="auto"/>
              <w:jc w:val="center"/>
              <w:rPr>
                <w:rFonts w:ascii="Calibri" w:eastAsia="Times New Roman" w:hAnsi="Calibri" w:cs="Calibri"/>
                <w:b/>
                <w:lang w:eastAsia="en-AU"/>
              </w:rPr>
            </w:pPr>
            <w:r>
              <w:rPr>
                <w:rFonts w:eastAsia="Times New Roman" w:cstheme="minorHAnsi"/>
                <w:b/>
                <w:lang w:eastAsia="en-AU"/>
              </w:rPr>
              <w:t>Bullied</w:t>
            </w:r>
          </w:p>
        </w:tc>
      </w:tr>
      <w:tr w:rsidR="00520702" w:rsidRPr="00886454" w14:paraId="79B30350" w14:textId="77777777" w:rsidTr="00520702">
        <w:trPr>
          <w:trHeight w:val="204"/>
        </w:trPr>
        <w:tc>
          <w:tcPr>
            <w:tcW w:w="3020" w:type="dxa"/>
            <w:shd w:val="clear" w:color="auto" w:fill="auto"/>
            <w:vAlign w:val="center"/>
          </w:tcPr>
          <w:p w14:paraId="5CA3C7C6" w14:textId="77777777" w:rsidR="00520702" w:rsidRPr="00886454" w:rsidRDefault="00520702" w:rsidP="00520702">
            <w:pPr>
              <w:spacing w:after="0" w:line="240" w:lineRule="auto"/>
              <w:jc w:val="center"/>
              <w:rPr>
                <w:rFonts w:ascii="Calibri" w:eastAsia="Times New Roman" w:hAnsi="Calibri" w:cs="Calibri"/>
                <w:lang w:eastAsia="en-AU"/>
              </w:rPr>
            </w:pPr>
            <w:r w:rsidRPr="00886454">
              <w:rPr>
                <w:rFonts w:ascii="Calibri" w:eastAsia="Times New Roman" w:hAnsi="Calibri" w:cs="Calibri"/>
                <w:lang w:eastAsia="en-AU"/>
              </w:rPr>
              <w:t>Year 5</w:t>
            </w:r>
          </w:p>
        </w:tc>
        <w:tc>
          <w:tcPr>
            <w:tcW w:w="3020" w:type="dxa"/>
            <w:shd w:val="clear" w:color="auto" w:fill="auto"/>
            <w:noWrap/>
            <w:vAlign w:val="bottom"/>
          </w:tcPr>
          <w:p w14:paraId="1233D03F" w14:textId="15D407B7" w:rsidR="00520702" w:rsidRPr="00886454" w:rsidRDefault="00520702" w:rsidP="00520702">
            <w:pPr>
              <w:spacing w:after="0" w:line="240" w:lineRule="auto"/>
              <w:jc w:val="right"/>
              <w:rPr>
                <w:rFonts w:ascii="Calibri" w:eastAsia="Times New Roman" w:hAnsi="Calibri" w:cs="Calibri"/>
                <w:lang w:eastAsia="en-AU"/>
              </w:rPr>
            </w:pPr>
            <w:r>
              <w:rPr>
                <w:rFonts w:ascii="Calibri" w:eastAsia="Times New Roman" w:hAnsi="Calibri" w:cs="Calibri"/>
                <w:lang w:eastAsia="en-AU"/>
              </w:rPr>
              <w:t>13%</w:t>
            </w:r>
          </w:p>
        </w:tc>
        <w:tc>
          <w:tcPr>
            <w:tcW w:w="3020" w:type="dxa"/>
            <w:shd w:val="clear" w:color="auto" w:fill="auto"/>
            <w:noWrap/>
            <w:vAlign w:val="bottom"/>
          </w:tcPr>
          <w:p w14:paraId="68C8C824" w14:textId="4BCB8971" w:rsidR="00520702" w:rsidRPr="00886454" w:rsidRDefault="00520702" w:rsidP="00520702">
            <w:pPr>
              <w:spacing w:after="0" w:line="240" w:lineRule="auto"/>
              <w:jc w:val="right"/>
              <w:rPr>
                <w:rFonts w:ascii="Calibri" w:eastAsia="Times New Roman" w:hAnsi="Calibri" w:cs="Calibri"/>
                <w:lang w:eastAsia="en-AU"/>
              </w:rPr>
            </w:pPr>
            <w:r>
              <w:rPr>
                <w:rFonts w:ascii="Calibri" w:eastAsia="Times New Roman" w:hAnsi="Calibri" w:cs="Calibri"/>
                <w:lang w:eastAsia="en-AU"/>
              </w:rPr>
              <w:t>19%</w:t>
            </w:r>
          </w:p>
        </w:tc>
      </w:tr>
      <w:tr w:rsidR="00520702" w:rsidRPr="00886454" w14:paraId="0F90A44C" w14:textId="77777777" w:rsidTr="00520702">
        <w:trPr>
          <w:trHeight w:val="204"/>
        </w:trPr>
        <w:tc>
          <w:tcPr>
            <w:tcW w:w="3020" w:type="dxa"/>
            <w:shd w:val="clear" w:color="auto" w:fill="auto"/>
            <w:vAlign w:val="center"/>
          </w:tcPr>
          <w:p w14:paraId="63930607" w14:textId="77777777" w:rsidR="00520702" w:rsidRPr="00886454" w:rsidRDefault="00520702" w:rsidP="00520702">
            <w:pPr>
              <w:spacing w:after="0" w:line="240" w:lineRule="auto"/>
              <w:jc w:val="center"/>
              <w:rPr>
                <w:rFonts w:ascii="Calibri" w:eastAsia="Times New Roman" w:hAnsi="Calibri" w:cs="Calibri"/>
                <w:lang w:eastAsia="en-AU"/>
              </w:rPr>
            </w:pPr>
            <w:r w:rsidRPr="00886454">
              <w:rPr>
                <w:rFonts w:ascii="Calibri" w:eastAsia="Times New Roman" w:hAnsi="Calibri" w:cs="Calibri"/>
                <w:lang w:eastAsia="en-AU"/>
              </w:rPr>
              <w:t>Year 7</w:t>
            </w:r>
          </w:p>
        </w:tc>
        <w:tc>
          <w:tcPr>
            <w:tcW w:w="3020" w:type="dxa"/>
            <w:shd w:val="clear" w:color="auto" w:fill="auto"/>
            <w:noWrap/>
            <w:vAlign w:val="bottom"/>
          </w:tcPr>
          <w:p w14:paraId="1A5B1F06" w14:textId="63B5CCE5" w:rsidR="00520702" w:rsidRPr="00886454" w:rsidRDefault="00520702" w:rsidP="00520702">
            <w:pPr>
              <w:spacing w:after="0" w:line="240" w:lineRule="auto"/>
              <w:jc w:val="right"/>
              <w:rPr>
                <w:rFonts w:ascii="Calibri" w:eastAsia="Times New Roman" w:hAnsi="Calibri" w:cs="Calibri"/>
                <w:lang w:eastAsia="en-AU"/>
              </w:rPr>
            </w:pPr>
            <w:r>
              <w:rPr>
                <w:rFonts w:ascii="Calibri" w:eastAsia="Times New Roman" w:hAnsi="Calibri" w:cs="Calibri"/>
                <w:lang w:eastAsia="en-AU"/>
              </w:rPr>
              <w:t>15%</w:t>
            </w:r>
          </w:p>
        </w:tc>
        <w:tc>
          <w:tcPr>
            <w:tcW w:w="3020" w:type="dxa"/>
            <w:shd w:val="clear" w:color="auto" w:fill="auto"/>
            <w:noWrap/>
            <w:vAlign w:val="bottom"/>
          </w:tcPr>
          <w:p w14:paraId="34C1F2E9" w14:textId="598945CC" w:rsidR="00520702" w:rsidRPr="00886454" w:rsidRDefault="00520702" w:rsidP="00520702">
            <w:pPr>
              <w:spacing w:after="0" w:line="240" w:lineRule="auto"/>
              <w:jc w:val="right"/>
              <w:rPr>
                <w:rFonts w:ascii="Calibri" w:eastAsia="Times New Roman" w:hAnsi="Calibri" w:cs="Calibri"/>
                <w:lang w:eastAsia="en-AU"/>
              </w:rPr>
            </w:pPr>
            <w:r>
              <w:rPr>
                <w:rFonts w:ascii="Calibri" w:eastAsia="Times New Roman" w:hAnsi="Calibri" w:cs="Calibri"/>
                <w:lang w:eastAsia="en-AU"/>
              </w:rPr>
              <w:t>22%</w:t>
            </w:r>
          </w:p>
        </w:tc>
      </w:tr>
      <w:tr w:rsidR="00520702" w:rsidRPr="00886454" w14:paraId="33B43BC0" w14:textId="77777777" w:rsidTr="00520702">
        <w:trPr>
          <w:trHeight w:val="204"/>
        </w:trPr>
        <w:tc>
          <w:tcPr>
            <w:tcW w:w="3020" w:type="dxa"/>
            <w:shd w:val="clear" w:color="auto" w:fill="auto"/>
            <w:vAlign w:val="center"/>
          </w:tcPr>
          <w:p w14:paraId="3AFBAE4F" w14:textId="77777777" w:rsidR="00520702" w:rsidRPr="00886454" w:rsidRDefault="00520702" w:rsidP="00520702">
            <w:pPr>
              <w:spacing w:after="0" w:line="240" w:lineRule="auto"/>
              <w:jc w:val="center"/>
              <w:rPr>
                <w:rFonts w:ascii="Calibri" w:eastAsia="Times New Roman" w:hAnsi="Calibri" w:cs="Calibri"/>
                <w:lang w:eastAsia="en-AU"/>
              </w:rPr>
            </w:pPr>
            <w:r w:rsidRPr="00886454">
              <w:rPr>
                <w:rFonts w:ascii="Calibri" w:eastAsia="Times New Roman" w:hAnsi="Calibri" w:cs="Calibri"/>
                <w:lang w:eastAsia="en-AU"/>
              </w:rPr>
              <w:t>Year 9</w:t>
            </w:r>
          </w:p>
        </w:tc>
        <w:tc>
          <w:tcPr>
            <w:tcW w:w="3020" w:type="dxa"/>
            <w:shd w:val="clear" w:color="auto" w:fill="auto"/>
            <w:noWrap/>
            <w:vAlign w:val="bottom"/>
          </w:tcPr>
          <w:p w14:paraId="645AD71A" w14:textId="5C2FF1C2" w:rsidR="00520702" w:rsidRPr="00886454" w:rsidRDefault="00520702" w:rsidP="00520702">
            <w:pPr>
              <w:spacing w:after="0" w:line="240" w:lineRule="auto"/>
              <w:jc w:val="right"/>
              <w:rPr>
                <w:rFonts w:ascii="Calibri" w:eastAsia="Times New Roman" w:hAnsi="Calibri" w:cs="Calibri"/>
                <w:lang w:eastAsia="en-AU"/>
              </w:rPr>
            </w:pPr>
            <w:r>
              <w:rPr>
                <w:rFonts w:ascii="Calibri" w:eastAsia="Times New Roman" w:hAnsi="Calibri" w:cs="Calibri"/>
                <w:lang w:eastAsia="en-AU"/>
              </w:rPr>
              <w:t>24%</w:t>
            </w:r>
          </w:p>
        </w:tc>
        <w:tc>
          <w:tcPr>
            <w:tcW w:w="3020" w:type="dxa"/>
            <w:shd w:val="clear" w:color="auto" w:fill="auto"/>
            <w:noWrap/>
            <w:vAlign w:val="bottom"/>
          </w:tcPr>
          <w:p w14:paraId="0BFAE873" w14:textId="23C50A2A" w:rsidR="00520702" w:rsidRPr="00886454" w:rsidRDefault="00520702" w:rsidP="00520702">
            <w:pPr>
              <w:spacing w:after="0" w:line="240" w:lineRule="auto"/>
              <w:jc w:val="right"/>
              <w:rPr>
                <w:rFonts w:ascii="Calibri" w:eastAsia="Times New Roman" w:hAnsi="Calibri" w:cs="Calibri"/>
                <w:lang w:eastAsia="en-AU"/>
              </w:rPr>
            </w:pPr>
            <w:r>
              <w:rPr>
                <w:rFonts w:ascii="Calibri" w:eastAsia="Times New Roman" w:hAnsi="Calibri" w:cs="Calibri"/>
                <w:lang w:eastAsia="en-AU"/>
              </w:rPr>
              <w:t>34%</w:t>
            </w:r>
          </w:p>
        </w:tc>
      </w:tr>
    </w:tbl>
    <w:p w14:paraId="5983C347" w14:textId="5923B197" w:rsidR="00F937CC" w:rsidRDefault="00F937CC" w:rsidP="00F937CC"/>
    <w:p w14:paraId="4960E0DF" w14:textId="4AD3CDA0" w:rsidR="00520702" w:rsidRDefault="00520702" w:rsidP="00DB2F30">
      <w:r>
        <w:t xml:space="preserve">Young people who finish school and go on to further education enjoy better health and employment outcomes. </w:t>
      </w:r>
    </w:p>
    <w:p w14:paraId="6F0F1BA5" w14:textId="158F293C" w:rsidR="00520702" w:rsidRPr="00520702" w:rsidRDefault="00520702" w:rsidP="00DB2F30">
      <w:pPr>
        <w:rPr>
          <w:b/>
        </w:rPr>
      </w:pPr>
      <w:r w:rsidRPr="00520702">
        <w:rPr>
          <w:b/>
        </w:rPr>
        <w:lastRenderedPageBreak/>
        <w:t xml:space="preserve">Young people who finish school are more likely to go on to further education and enjoy better mental health, are less likely to develop chronic illness and or suffer from social isolation. </w:t>
      </w:r>
    </w:p>
    <w:p w14:paraId="5E94BC7D" w14:textId="264DB3B8" w:rsidR="00520702" w:rsidRDefault="00520702" w:rsidP="00DB2F30">
      <w:r>
        <w:t>Victoria has high levels of school completion with approximately eight out of every ten Victorians either completing Year 12 or an equivalent qualification by age 19.</w:t>
      </w:r>
    </w:p>
    <w:p w14:paraId="3D49DCC0" w14:textId="55AAF318" w:rsidR="00B77D5E" w:rsidRPr="00B77D5E" w:rsidRDefault="00B77D5E" w:rsidP="00B77D5E">
      <w:pPr>
        <w:rPr>
          <w:b/>
        </w:rPr>
      </w:pPr>
      <w:r w:rsidRPr="00B77D5E">
        <w:rPr>
          <w:b/>
        </w:rPr>
        <w:t xml:space="preserve">Table </w:t>
      </w:r>
      <w:r w:rsidRPr="00B77D5E">
        <w:rPr>
          <w:b/>
        </w:rPr>
        <w:fldChar w:fldCharType="begin"/>
      </w:r>
      <w:r w:rsidRPr="00B77D5E">
        <w:rPr>
          <w:b/>
        </w:rPr>
        <w:instrText xml:space="preserve"> SEQ Table \* ARABIC </w:instrText>
      </w:r>
      <w:r w:rsidRPr="00B77D5E">
        <w:rPr>
          <w:b/>
        </w:rPr>
        <w:fldChar w:fldCharType="separate"/>
      </w:r>
      <w:r w:rsidR="00DB2F30">
        <w:rPr>
          <w:b/>
          <w:noProof/>
        </w:rPr>
        <w:t>32</w:t>
      </w:r>
      <w:r w:rsidRPr="00B77D5E">
        <w:rPr>
          <w:b/>
        </w:rPr>
        <w:fldChar w:fldCharType="end"/>
      </w:r>
      <w:r w:rsidRPr="00B77D5E">
        <w:rPr>
          <w:b/>
        </w:rPr>
        <w:t xml:space="preserve"> Post school education destinations, Victoria, 2017. Source: On Track Survey, 2017.</w:t>
      </w:r>
    </w:p>
    <w:tbl>
      <w:tblPr>
        <w:tblStyle w:val="TableGrid"/>
        <w:tblW w:w="0" w:type="auto"/>
        <w:tblLook w:val="04A0" w:firstRow="1" w:lastRow="0" w:firstColumn="1" w:lastColumn="0" w:noHBand="0" w:noVBand="1"/>
        <w:tblCaption w:val="Post school education destinations, Victoria, 2017"/>
        <w:tblDescription w:val="Estimated proportion of young people engaged in post school education and training, by school completion status (did not finish year 12, Year 12 completers) and qualification type (apprenticeship/traineeship, certificate/diploma, bachelor degree, total), Victoria, 2017. Source: On Track Survey, 2017"/>
      </w:tblPr>
      <w:tblGrid>
        <w:gridCol w:w="3005"/>
        <w:gridCol w:w="3005"/>
        <w:gridCol w:w="3006"/>
      </w:tblGrid>
      <w:tr w:rsidR="00B77D5E" w14:paraId="7B724C98" w14:textId="77777777" w:rsidTr="002C577B">
        <w:trPr>
          <w:tblHeader/>
        </w:trPr>
        <w:tc>
          <w:tcPr>
            <w:tcW w:w="3005" w:type="dxa"/>
          </w:tcPr>
          <w:p w14:paraId="65F36051" w14:textId="14D6ACC1" w:rsidR="00B77D5E" w:rsidRPr="00B77D5E" w:rsidRDefault="00B77D5E" w:rsidP="00B77D5E">
            <w:pPr>
              <w:jc w:val="center"/>
              <w:rPr>
                <w:b/>
              </w:rPr>
            </w:pPr>
            <w:r>
              <w:rPr>
                <w:b/>
              </w:rPr>
              <w:t>Post-school destination</w:t>
            </w:r>
          </w:p>
        </w:tc>
        <w:tc>
          <w:tcPr>
            <w:tcW w:w="3005" w:type="dxa"/>
          </w:tcPr>
          <w:p w14:paraId="44C302BB" w14:textId="3BDD2F84" w:rsidR="00B77D5E" w:rsidRPr="00B77D5E" w:rsidRDefault="00B77D5E" w:rsidP="00B77D5E">
            <w:pPr>
              <w:jc w:val="center"/>
              <w:rPr>
                <w:b/>
              </w:rPr>
            </w:pPr>
            <w:r w:rsidRPr="00B77D5E">
              <w:rPr>
                <w:b/>
              </w:rPr>
              <w:t>Young people that did not finish Year 12</w:t>
            </w:r>
            <w:r>
              <w:rPr>
                <w:b/>
              </w:rPr>
              <w:t>*</w:t>
            </w:r>
          </w:p>
        </w:tc>
        <w:tc>
          <w:tcPr>
            <w:tcW w:w="3006" w:type="dxa"/>
          </w:tcPr>
          <w:p w14:paraId="084C8AB7" w14:textId="2F74B4DE" w:rsidR="00B77D5E" w:rsidRPr="00B77D5E" w:rsidRDefault="00B77D5E" w:rsidP="00B77D5E">
            <w:pPr>
              <w:jc w:val="center"/>
              <w:rPr>
                <w:b/>
              </w:rPr>
            </w:pPr>
            <w:r w:rsidRPr="00B77D5E">
              <w:rPr>
                <w:b/>
              </w:rPr>
              <w:t>Year 12 completers</w:t>
            </w:r>
            <w:r>
              <w:rPr>
                <w:b/>
              </w:rPr>
              <w:t>*</w:t>
            </w:r>
          </w:p>
        </w:tc>
      </w:tr>
      <w:tr w:rsidR="00B77D5E" w14:paraId="3F8010FC" w14:textId="77777777" w:rsidTr="00B77D5E">
        <w:tc>
          <w:tcPr>
            <w:tcW w:w="3005" w:type="dxa"/>
          </w:tcPr>
          <w:p w14:paraId="6AF1534F" w14:textId="53E773B7" w:rsidR="00B77D5E" w:rsidRDefault="00B77D5E" w:rsidP="00520702">
            <w:r>
              <w:t>Apprenticeship/traineeship</w:t>
            </w:r>
          </w:p>
        </w:tc>
        <w:tc>
          <w:tcPr>
            <w:tcW w:w="3005" w:type="dxa"/>
          </w:tcPr>
          <w:p w14:paraId="4715F3B6" w14:textId="31FFE66E" w:rsidR="00B77D5E" w:rsidRDefault="00B77D5E" w:rsidP="00B77D5E">
            <w:pPr>
              <w:jc w:val="right"/>
            </w:pPr>
            <w:r>
              <w:t>32%</w:t>
            </w:r>
          </w:p>
        </w:tc>
        <w:tc>
          <w:tcPr>
            <w:tcW w:w="3006" w:type="dxa"/>
          </w:tcPr>
          <w:p w14:paraId="30336A41" w14:textId="1770298E" w:rsidR="00B77D5E" w:rsidRDefault="00B77D5E" w:rsidP="00B77D5E">
            <w:pPr>
              <w:jc w:val="right"/>
            </w:pPr>
            <w:r>
              <w:t>8%</w:t>
            </w:r>
          </w:p>
        </w:tc>
      </w:tr>
      <w:tr w:rsidR="00B77D5E" w14:paraId="5DA7B1B4" w14:textId="77777777" w:rsidTr="00B77D5E">
        <w:tc>
          <w:tcPr>
            <w:tcW w:w="3005" w:type="dxa"/>
          </w:tcPr>
          <w:p w14:paraId="2F18776D" w14:textId="7A0112AA" w:rsidR="00B77D5E" w:rsidRDefault="00B77D5E" w:rsidP="00520702">
            <w:r>
              <w:t>Certificate/diploma</w:t>
            </w:r>
          </w:p>
        </w:tc>
        <w:tc>
          <w:tcPr>
            <w:tcW w:w="3005" w:type="dxa"/>
          </w:tcPr>
          <w:p w14:paraId="58AA6F4E" w14:textId="1F573839" w:rsidR="00B77D5E" w:rsidRDefault="00B77D5E" w:rsidP="00B77D5E">
            <w:pPr>
              <w:jc w:val="right"/>
            </w:pPr>
            <w:r>
              <w:t>19%</w:t>
            </w:r>
          </w:p>
        </w:tc>
        <w:tc>
          <w:tcPr>
            <w:tcW w:w="3006" w:type="dxa"/>
          </w:tcPr>
          <w:p w14:paraId="1D7CF3F5" w14:textId="0279B799" w:rsidR="00B77D5E" w:rsidRDefault="00B77D5E" w:rsidP="00B77D5E">
            <w:pPr>
              <w:jc w:val="right"/>
            </w:pPr>
            <w:r>
              <w:t>13%</w:t>
            </w:r>
          </w:p>
        </w:tc>
      </w:tr>
      <w:tr w:rsidR="00B77D5E" w14:paraId="1767373A" w14:textId="77777777" w:rsidTr="00B77D5E">
        <w:tc>
          <w:tcPr>
            <w:tcW w:w="3005" w:type="dxa"/>
          </w:tcPr>
          <w:p w14:paraId="05592CF9" w14:textId="5911E581" w:rsidR="00B77D5E" w:rsidRDefault="00B77D5E" w:rsidP="00520702">
            <w:r>
              <w:t>Bachelor degree</w:t>
            </w:r>
          </w:p>
        </w:tc>
        <w:tc>
          <w:tcPr>
            <w:tcW w:w="3005" w:type="dxa"/>
          </w:tcPr>
          <w:p w14:paraId="491EF31F" w14:textId="18589434" w:rsidR="00B77D5E" w:rsidRDefault="00B77D5E" w:rsidP="00B77D5E">
            <w:pPr>
              <w:jc w:val="right"/>
            </w:pPr>
            <w:r>
              <w:t>1%</w:t>
            </w:r>
          </w:p>
        </w:tc>
        <w:tc>
          <w:tcPr>
            <w:tcW w:w="3006" w:type="dxa"/>
          </w:tcPr>
          <w:p w14:paraId="4361BB9C" w14:textId="467548D7" w:rsidR="00B77D5E" w:rsidRDefault="00B77D5E" w:rsidP="00B77D5E">
            <w:pPr>
              <w:jc w:val="right"/>
            </w:pPr>
            <w:r>
              <w:t>54%</w:t>
            </w:r>
          </w:p>
        </w:tc>
      </w:tr>
      <w:tr w:rsidR="00B77D5E" w14:paraId="341ADC2D" w14:textId="77777777" w:rsidTr="00B77D5E">
        <w:tc>
          <w:tcPr>
            <w:tcW w:w="3005" w:type="dxa"/>
          </w:tcPr>
          <w:p w14:paraId="6DBE6098" w14:textId="63BAE88B" w:rsidR="00B77D5E" w:rsidRDefault="00B77D5E" w:rsidP="00B77D5E">
            <w:r>
              <w:t>Total in education and training</w:t>
            </w:r>
          </w:p>
        </w:tc>
        <w:tc>
          <w:tcPr>
            <w:tcW w:w="3005" w:type="dxa"/>
          </w:tcPr>
          <w:p w14:paraId="3B8C8DB9" w14:textId="5D265D7F" w:rsidR="00B77D5E" w:rsidRDefault="00B77D5E" w:rsidP="00B77D5E">
            <w:pPr>
              <w:jc w:val="right"/>
            </w:pPr>
            <w:r>
              <w:t>51%</w:t>
            </w:r>
          </w:p>
        </w:tc>
        <w:tc>
          <w:tcPr>
            <w:tcW w:w="3006" w:type="dxa"/>
          </w:tcPr>
          <w:p w14:paraId="1A25B845" w14:textId="416ADE41" w:rsidR="00B77D5E" w:rsidRDefault="00B77D5E" w:rsidP="00B77D5E">
            <w:pPr>
              <w:jc w:val="right"/>
            </w:pPr>
            <w:r>
              <w:t>75%</w:t>
            </w:r>
          </w:p>
        </w:tc>
      </w:tr>
    </w:tbl>
    <w:p w14:paraId="0DF454AA" w14:textId="4229201E" w:rsidR="00520702" w:rsidRDefault="00B77D5E" w:rsidP="00B77D5E">
      <w:r>
        <w:t xml:space="preserve">*Figures may not add up to total due to rounding. </w:t>
      </w:r>
    </w:p>
    <w:p w14:paraId="573041F0" w14:textId="77777777" w:rsidR="00520702" w:rsidRDefault="00520702" w:rsidP="00520702">
      <w:r w:rsidRPr="00520702">
        <w:rPr>
          <w:b/>
        </w:rPr>
        <w:t xml:space="preserve">Higher levels of educational attainment provide better employment pathways, reducing economic and social disadvantage. </w:t>
      </w:r>
    </w:p>
    <w:p w14:paraId="74E62000" w14:textId="46B98BAD" w:rsidR="00520702" w:rsidRDefault="00520702" w:rsidP="00520702">
      <w:r w:rsidRPr="000D1A4D">
        <w:t>Recent employment figures show that those with post-school qualifications are more likely to be employed than early school leavers</w:t>
      </w:r>
      <w:r>
        <w:t>.</w:t>
      </w:r>
    </w:p>
    <w:p w14:paraId="591282E2" w14:textId="7DA34404" w:rsidR="00B77D5E" w:rsidRPr="00B77D5E" w:rsidRDefault="00B77D5E" w:rsidP="00B77D5E">
      <w:pPr>
        <w:rPr>
          <w:b/>
        </w:rPr>
      </w:pPr>
      <w:r w:rsidRPr="00B77D5E">
        <w:rPr>
          <w:b/>
        </w:rPr>
        <w:t xml:space="preserve">Table </w:t>
      </w:r>
      <w:r w:rsidRPr="00B77D5E">
        <w:rPr>
          <w:b/>
        </w:rPr>
        <w:fldChar w:fldCharType="begin"/>
      </w:r>
      <w:r w:rsidRPr="00B77D5E">
        <w:rPr>
          <w:b/>
        </w:rPr>
        <w:instrText xml:space="preserve"> SEQ Table \* ARABIC </w:instrText>
      </w:r>
      <w:r w:rsidRPr="00B77D5E">
        <w:rPr>
          <w:b/>
        </w:rPr>
        <w:fldChar w:fldCharType="separate"/>
      </w:r>
      <w:r w:rsidR="00DB2F30">
        <w:rPr>
          <w:b/>
          <w:noProof/>
        </w:rPr>
        <w:t>33</w:t>
      </w:r>
      <w:r w:rsidRPr="00B77D5E">
        <w:rPr>
          <w:b/>
        </w:rPr>
        <w:fldChar w:fldCharType="end"/>
      </w:r>
      <w:r w:rsidRPr="00B77D5E">
        <w:rPr>
          <w:b/>
        </w:rPr>
        <w:t xml:space="preserve"> Employment by highest level of education, Australia, 2016. Source: Australian Bureau of Statistics, cat no 6202.0, 2017.</w:t>
      </w:r>
    </w:p>
    <w:tbl>
      <w:tblPr>
        <w:tblStyle w:val="TableGrid"/>
        <w:tblW w:w="0" w:type="auto"/>
        <w:tblLook w:val="04A0" w:firstRow="1" w:lastRow="0" w:firstColumn="1" w:lastColumn="0" w:noHBand="0" w:noVBand="1"/>
        <w:tblCaption w:val="Employment by highest level of education, Australia, 2016"/>
        <w:tblDescription w:val="Estimated proportion of people employed, by educational attainment (post-graduate degree, bachelor degree, diploma/advanced diploma, year 12, year 11, year 10 or below), Australia, 2016. Source: Australian Bureau of Statistics, 2017."/>
      </w:tblPr>
      <w:tblGrid>
        <w:gridCol w:w="4508"/>
        <w:gridCol w:w="4508"/>
      </w:tblGrid>
      <w:tr w:rsidR="00B77D5E" w14:paraId="7B78A7DC" w14:textId="77777777" w:rsidTr="002C577B">
        <w:trPr>
          <w:tblHeader/>
        </w:trPr>
        <w:tc>
          <w:tcPr>
            <w:tcW w:w="4508" w:type="dxa"/>
          </w:tcPr>
          <w:p w14:paraId="0A94ECC1" w14:textId="6CD00B2D" w:rsidR="00B77D5E" w:rsidRDefault="00B77D5E" w:rsidP="00B77D5E">
            <w:pPr>
              <w:jc w:val="center"/>
              <w:rPr>
                <w:b/>
              </w:rPr>
            </w:pPr>
            <w:r>
              <w:rPr>
                <w:b/>
              </w:rPr>
              <w:t>Educational attainment</w:t>
            </w:r>
          </w:p>
        </w:tc>
        <w:tc>
          <w:tcPr>
            <w:tcW w:w="4508" w:type="dxa"/>
          </w:tcPr>
          <w:p w14:paraId="0E4B57EC" w14:textId="0A7B30D2" w:rsidR="00B77D5E" w:rsidRDefault="00B77D5E" w:rsidP="00B77D5E">
            <w:pPr>
              <w:jc w:val="center"/>
              <w:rPr>
                <w:b/>
              </w:rPr>
            </w:pPr>
            <w:r>
              <w:rPr>
                <w:b/>
              </w:rPr>
              <w:t>Proportion of people employed</w:t>
            </w:r>
          </w:p>
        </w:tc>
      </w:tr>
      <w:tr w:rsidR="00B77D5E" w14:paraId="3F4A9CE5" w14:textId="77777777" w:rsidTr="00B77D5E">
        <w:tc>
          <w:tcPr>
            <w:tcW w:w="4508" w:type="dxa"/>
          </w:tcPr>
          <w:p w14:paraId="5ECCACCA" w14:textId="1EAD8CCC" w:rsidR="00B77D5E" w:rsidRPr="00B77D5E" w:rsidRDefault="00B77D5E" w:rsidP="00520702">
            <w:r w:rsidRPr="00B77D5E">
              <w:t>Post-graduate degree</w:t>
            </w:r>
          </w:p>
        </w:tc>
        <w:tc>
          <w:tcPr>
            <w:tcW w:w="4508" w:type="dxa"/>
          </w:tcPr>
          <w:p w14:paraId="6D0DA39D" w14:textId="2B632D30" w:rsidR="00B77D5E" w:rsidRPr="00B77D5E" w:rsidRDefault="00B77D5E" w:rsidP="00B77D5E">
            <w:pPr>
              <w:jc w:val="center"/>
            </w:pPr>
            <w:r w:rsidRPr="00B77D5E">
              <w:t>86%</w:t>
            </w:r>
          </w:p>
        </w:tc>
      </w:tr>
      <w:tr w:rsidR="00B77D5E" w14:paraId="406F0458" w14:textId="77777777" w:rsidTr="00B77D5E">
        <w:tc>
          <w:tcPr>
            <w:tcW w:w="4508" w:type="dxa"/>
          </w:tcPr>
          <w:p w14:paraId="2C71D589" w14:textId="3A65F420" w:rsidR="00B77D5E" w:rsidRPr="00B77D5E" w:rsidRDefault="00B77D5E" w:rsidP="00520702">
            <w:r w:rsidRPr="00B77D5E">
              <w:t>Bachelor degree</w:t>
            </w:r>
          </w:p>
        </w:tc>
        <w:tc>
          <w:tcPr>
            <w:tcW w:w="4508" w:type="dxa"/>
          </w:tcPr>
          <w:p w14:paraId="2619A22B" w14:textId="5872B3AC" w:rsidR="00B77D5E" w:rsidRPr="00B77D5E" w:rsidRDefault="00B77D5E" w:rsidP="00B77D5E">
            <w:pPr>
              <w:jc w:val="center"/>
            </w:pPr>
            <w:r w:rsidRPr="00B77D5E">
              <w:t>84%</w:t>
            </w:r>
          </w:p>
        </w:tc>
      </w:tr>
      <w:tr w:rsidR="00B77D5E" w14:paraId="241CAD5C" w14:textId="77777777" w:rsidTr="00B77D5E">
        <w:tc>
          <w:tcPr>
            <w:tcW w:w="4508" w:type="dxa"/>
          </w:tcPr>
          <w:p w14:paraId="7E066AB3" w14:textId="7B6D1E1E" w:rsidR="00B77D5E" w:rsidRPr="00B77D5E" w:rsidRDefault="00B77D5E" w:rsidP="00B77D5E">
            <w:r w:rsidRPr="00B77D5E">
              <w:t>Diploma / Advanced Diploma</w:t>
            </w:r>
          </w:p>
        </w:tc>
        <w:tc>
          <w:tcPr>
            <w:tcW w:w="4508" w:type="dxa"/>
          </w:tcPr>
          <w:p w14:paraId="573840D9" w14:textId="52D26F51" w:rsidR="00B77D5E" w:rsidRPr="00B77D5E" w:rsidRDefault="00B77D5E" w:rsidP="00B77D5E">
            <w:pPr>
              <w:jc w:val="center"/>
            </w:pPr>
            <w:r w:rsidRPr="00B77D5E">
              <w:t>82%</w:t>
            </w:r>
          </w:p>
        </w:tc>
      </w:tr>
      <w:tr w:rsidR="00B77D5E" w14:paraId="44E41CC7" w14:textId="77777777" w:rsidTr="00B77D5E">
        <w:tc>
          <w:tcPr>
            <w:tcW w:w="4508" w:type="dxa"/>
          </w:tcPr>
          <w:p w14:paraId="7B3364CE" w14:textId="01CFA686" w:rsidR="00B77D5E" w:rsidRPr="00B77D5E" w:rsidRDefault="00B77D5E" w:rsidP="00520702">
            <w:r w:rsidRPr="00B77D5E">
              <w:t>Year 12</w:t>
            </w:r>
          </w:p>
        </w:tc>
        <w:tc>
          <w:tcPr>
            <w:tcW w:w="4508" w:type="dxa"/>
          </w:tcPr>
          <w:p w14:paraId="7DAF307D" w14:textId="3528418E" w:rsidR="00B77D5E" w:rsidRPr="00B77D5E" w:rsidRDefault="00B77D5E" w:rsidP="00B77D5E">
            <w:pPr>
              <w:jc w:val="center"/>
            </w:pPr>
            <w:r w:rsidRPr="00B77D5E">
              <w:t>72%</w:t>
            </w:r>
          </w:p>
        </w:tc>
      </w:tr>
      <w:tr w:rsidR="00B77D5E" w14:paraId="205C1F69" w14:textId="77777777" w:rsidTr="00B77D5E">
        <w:tc>
          <w:tcPr>
            <w:tcW w:w="4508" w:type="dxa"/>
          </w:tcPr>
          <w:p w14:paraId="7E30D163" w14:textId="7C869681" w:rsidR="00B77D5E" w:rsidRPr="00B77D5E" w:rsidRDefault="00B77D5E" w:rsidP="00520702">
            <w:r w:rsidRPr="00B77D5E">
              <w:t>Year 11</w:t>
            </w:r>
          </w:p>
        </w:tc>
        <w:tc>
          <w:tcPr>
            <w:tcW w:w="4508" w:type="dxa"/>
          </w:tcPr>
          <w:p w14:paraId="31DDADAA" w14:textId="5BB844D0" w:rsidR="00B77D5E" w:rsidRPr="00B77D5E" w:rsidRDefault="00B77D5E" w:rsidP="00B77D5E">
            <w:pPr>
              <w:jc w:val="center"/>
            </w:pPr>
            <w:r w:rsidRPr="00B77D5E">
              <w:t>61%</w:t>
            </w:r>
          </w:p>
        </w:tc>
      </w:tr>
      <w:tr w:rsidR="00B77D5E" w14:paraId="24757EE7" w14:textId="77777777" w:rsidTr="00B77D5E">
        <w:tc>
          <w:tcPr>
            <w:tcW w:w="4508" w:type="dxa"/>
          </w:tcPr>
          <w:p w14:paraId="092DD205" w14:textId="70538242" w:rsidR="00B77D5E" w:rsidRPr="00B77D5E" w:rsidRDefault="00B77D5E" w:rsidP="00520702">
            <w:r w:rsidRPr="00B77D5E">
              <w:t>Year 10 and below</w:t>
            </w:r>
          </w:p>
        </w:tc>
        <w:tc>
          <w:tcPr>
            <w:tcW w:w="4508" w:type="dxa"/>
          </w:tcPr>
          <w:p w14:paraId="3DDEB93F" w14:textId="40C27D80" w:rsidR="00B77D5E" w:rsidRPr="00B77D5E" w:rsidRDefault="00B77D5E" w:rsidP="00B77D5E">
            <w:pPr>
              <w:jc w:val="center"/>
            </w:pPr>
            <w:r w:rsidRPr="00B77D5E">
              <w:t>54%</w:t>
            </w:r>
          </w:p>
        </w:tc>
      </w:tr>
    </w:tbl>
    <w:p w14:paraId="2C591498" w14:textId="03386E68" w:rsidR="00520702" w:rsidRPr="00520702" w:rsidRDefault="00520702" w:rsidP="00520702">
      <w:pPr>
        <w:rPr>
          <w:b/>
        </w:rPr>
      </w:pPr>
    </w:p>
    <w:p w14:paraId="4164D017" w14:textId="7F6A9045" w:rsidR="00520702" w:rsidRDefault="00B77D5E" w:rsidP="00520702">
      <w:pPr>
        <w:rPr>
          <w:b/>
        </w:rPr>
      </w:pPr>
      <w:r>
        <w:rPr>
          <w:b/>
        </w:rPr>
        <w:t xml:space="preserve">Wellbeing in early childhood makes a significant contribution to achieving educational excellence in school. </w:t>
      </w:r>
    </w:p>
    <w:p w14:paraId="0A7D6DC1" w14:textId="4E474E43" w:rsidR="00B90426" w:rsidRDefault="00B77D5E" w:rsidP="00520702">
      <w:r>
        <w:t xml:space="preserve">To better understand how these domains are associated, departmental analysis linked early childhood health and wellbeing data to learning outcomes, and controlled for the influence of different demographic factors. The data linkage shows that as indicators of poor health and wellbeing accumulate prior to school entry, the influence on a child’s academic achievement in primary school compounds, </w:t>
      </w:r>
      <w:r w:rsidR="001C7199">
        <w:t>creating even greater challenges.</w:t>
      </w:r>
    </w:p>
    <w:p w14:paraId="46A0B62B" w14:textId="77777777" w:rsidR="00B90426" w:rsidRDefault="00B90426" w:rsidP="00B90426">
      <w:pPr>
        <w:pStyle w:val="Caption"/>
        <w:keepNext/>
        <w:rPr>
          <w:rFonts w:cstheme="minorHAnsi"/>
          <w:b/>
          <w:i w:val="0"/>
          <w:color w:val="auto"/>
          <w:sz w:val="22"/>
          <w:szCs w:val="22"/>
        </w:rPr>
      </w:pPr>
    </w:p>
    <w:p w14:paraId="30CA3CD2" w14:textId="77777777" w:rsidR="00B90426" w:rsidRDefault="00B90426" w:rsidP="00B90426">
      <w:r>
        <w:br w:type="page"/>
      </w:r>
    </w:p>
    <w:p w14:paraId="77F163A5" w14:textId="1E795BFA" w:rsidR="00E67C82" w:rsidRPr="00B90426" w:rsidRDefault="00B90426" w:rsidP="00B90426">
      <w:pPr>
        <w:pStyle w:val="Caption"/>
        <w:keepNext/>
        <w:rPr>
          <w:color w:val="auto"/>
        </w:rPr>
      </w:pPr>
      <w:r w:rsidRPr="00B90426">
        <w:rPr>
          <w:rFonts w:cstheme="minorHAnsi"/>
          <w:b/>
          <w:i w:val="0"/>
          <w:color w:val="auto"/>
          <w:sz w:val="22"/>
          <w:szCs w:val="22"/>
        </w:rPr>
        <w:lastRenderedPageBreak/>
        <w:t xml:space="preserve">Figure </w:t>
      </w:r>
      <w:r w:rsidRPr="00B90426">
        <w:rPr>
          <w:rFonts w:cstheme="minorHAnsi"/>
          <w:b/>
          <w:i w:val="0"/>
          <w:color w:val="auto"/>
          <w:sz w:val="22"/>
          <w:szCs w:val="22"/>
        </w:rPr>
        <w:fldChar w:fldCharType="begin"/>
      </w:r>
      <w:r w:rsidRPr="00B90426">
        <w:rPr>
          <w:rFonts w:cstheme="minorHAnsi"/>
          <w:b/>
          <w:i w:val="0"/>
          <w:color w:val="auto"/>
          <w:sz w:val="22"/>
          <w:szCs w:val="22"/>
        </w:rPr>
        <w:instrText xml:space="preserve"> SEQ Figure \* ARABIC </w:instrText>
      </w:r>
      <w:r w:rsidRPr="00B90426">
        <w:rPr>
          <w:rFonts w:cstheme="minorHAnsi"/>
          <w:b/>
          <w:i w:val="0"/>
          <w:color w:val="auto"/>
          <w:sz w:val="22"/>
          <w:szCs w:val="22"/>
        </w:rPr>
        <w:fldChar w:fldCharType="separate"/>
      </w:r>
      <w:r w:rsidRPr="00B90426">
        <w:rPr>
          <w:rFonts w:cstheme="minorHAnsi"/>
          <w:b/>
          <w:i w:val="0"/>
          <w:color w:val="auto"/>
          <w:sz w:val="22"/>
          <w:szCs w:val="22"/>
        </w:rPr>
        <w:t>1</w:t>
      </w:r>
      <w:r w:rsidRPr="00B90426">
        <w:rPr>
          <w:rFonts w:cstheme="minorHAnsi"/>
          <w:b/>
          <w:i w:val="0"/>
          <w:color w:val="auto"/>
          <w:sz w:val="22"/>
          <w:szCs w:val="22"/>
        </w:rPr>
        <w:fldChar w:fldCharType="end"/>
      </w:r>
      <w:r w:rsidRPr="00B90426">
        <w:rPr>
          <w:rFonts w:cstheme="minorHAnsi"/>
          <w:b/>
          <w:i w:val="0"/>
          <w:color w:val="auto"/>
          <w:sz w:val="22"/>
          <w:szCs w:val="22"/>
        </w:rPr>
        <w:t xml:space="preserve"> Increase in likelihood of achieving in top two bands for NAPLAN Year 3 Numeracy (2017), by SEHQ health and wellbeing indicator (2014). Source: School Entrant Health Questionnaire, 2014 and NAPLAN 2017.</w:t>
      </w:r>
      <w:r w:rsidRPr="00B90426">
        <w:rPr>
          <w:i w:val="0"/>
          <w:noProof/>
          <w:color w:val="auto"/>
          <w:lang w:eastAsia="en-AU"/>
        </w:rPr>
        <w:t xml:space="preserve"> </w:t>
      </w:r>
      <w:r w:rsidR="00E67C82" w:rsidRPr="00B90426">
        <w:rPr>
          <w:i w:val="0"/>
          <w:noProof/>
          <w:color w:val="auto"/>
          <w:lang w:eastAsia="en-AU"/>
        </w:rPr>
        <mc:AlternateContent>
          <mc:Choice Requires="wpg">
            <w:drawing>
              <wp:inline distT="0" distB="0" distL="0" distR="0" wp14:anchorId="739243EC" wp14:editId="449ECD96">
                <wp:extent cx="5539563" cy="2636874"/>
                <wp:effectExtent l="0" t="0" r="0" b="0"/>
                <wp:docPr id="74" name="Group 74" descr="This figure outlines the probability of achieving in the top two bands for NAPLAN numeracy in Year 3, based on a child's experiences or developmental vulnerabilities prior to school entry, as well as the compounding effect of multiple childhood adversities. A student in excellent general health is 1.1 times more likely to achieve in the top two bands than a student in good general health. A student with no speech difficulty is 1.5 times more likely to achieve in the top two bands than a student with a speech difficulty. A student who has not witnessed violence prior to school entry is 1.5 times more likely to achieve in the top two bands than a student who has. On average, a child with no speech difficulties, in excellent general health, and who has not witnessed violence is 5.7 times more likely to be in the top two bands than a child with speech difficulties, in good general health, who has witnessed violence. This shows that as these adversities accumulate, the effect on a child's health compounds.  " title="Increase in likelihood of achieving in top two bands for NAPLAN Year 3 Numeracy (2017), by SEHQ health and wellbeing indicator (2014"/>
                <wp:cNvGraphicFramePr/>
                <a:graphic xmlns:a="http://schemas.openxmlformats.org/drawingml/2006/main">
                  <a:graphicData uri="http://schemas.microsoft.com/office/word/2010/wordprocessingGroup">
                    <wpg:wgp>
                      <wpg:cNvGrpSpPr/>
                      <wpg:grpSpPr>
                        <a:xfrm>
                          <a:off x="0" y="0"/>
                          <a:ext cx="5539563" cy="2636874"/>
                          <a:chOff x="0" y="0"/>
                          <a:chExt cx="6039293" cy="2393950"/>
                        </a:xfrm>
                      </wpg:grpSpPr>
                      <wpg:grpSp>
                        <wpg:cNvPr id="57" name="Group 34"/>
                        <wpg:cNvGrpSpPr/>
                        <wpg:grpSpPr>
                          <a:xfrm>
                            <a:off x="0" y="0"/>
                            <a:ext cx="5127625" cy="2393950"/>
                            <a:chOff x="1327401" y="0"/>
                            <a:chExt cx="7008981" cy="4104000"/>
                          </a:xfrm>
                        </wpg:grpSpPr>
                        <wpg:grpSp>
                          <wpg:cNvPr id="58" name="Group 58"/>
                          <wpg:cNvGrpSpPr/>
                          <wpg:grpSpPr>
                            <a:xfrm>
                              <a:off x="1327401" y="0"/>
                              <a:ext cx="7008981" cy="4104000"/>
                              <a:chOff x="1327401" y="0"/>
                              <a:chExt cx="7008981" cy="4104000"/>
                            </a:xfrm>
                          </wpg:grpSpPr>
                          <wpg:grpSp>
                            <wpg:cNvPr id="59" name="Group 59"/>
                            <wpg:cNvGrpSpPr/>
                            <wpg:grpSpPr>
                              <a:xfrm>
                                <a:off x="3986514" y="0"/>
                                <a:ext cx="4349868" cy="4104000"/>
                                <a:chOff x="3986514" y="0"/>
                                <a:chExt cx="4349868" cy="4104000"/>
                              </a:xfrm>
                            </wpg:grpSpPr>
                            <wps:wsp>
                              <wps:cNvPr id="60" name="Rectangle 60"/>
                              <wps:cNvSpPr/>
                              <wps:spPr>
                                <a:xfrm>
                                  <a:off x="6175518" y="1113691"/>
                                  <a:ext cx="1080000" cy="108000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FF2380" w14:textId="77777777" w:rsidR="00E67C82" w:rsidRPr="00C8701D" w:rsidRDefault="00E67C82" w:rsidP="00E67C82">
                                    <w:pPr>
                                      <w:pStyle w:val="NormalWeb"/>
                                      <w:spacing w:before="0" w:after="0"/>
                                      <w:jc w:val="center"/>
                                      <w:rPr>
                                        <w:sz w:val="32"/>
                                        <w:szCs w:val="32"/>
                                      </w:rPr>
                                    </w:pPr>
                                    <w:r w:rsidRPr="00C8701D">
                                      <w:rPr>
                                        <w:rFonts w:ascii="Century Gothic" w:hAnsi="Century Gothic" w:cstheme="minorBidi"/>
                                        <w:b/>
                                        <w:bCs/>
                                        <w:color w:val="FFFFFF" w:themeColor="light1"/>
                                        <w:kern w:val="24"/>
                                        <w:sz w:val="32"/>
                                        <w:szCs w:val="32"/>
                                      </w:rPr>
                                      <w:t>1.5 x</w:t>
                                    </w:r>
                                  </w:p>
                                </w:txbxContent>
                              </wps:txbx>
                              <wps:bodyPr rtlCol="0" anchor="ctr"/>
                            </wps:wsp>
                            <wps:wsp>
                              <wps:cNvPr id="61" name="Rectangle 61"/>
                              <wps:cNvSpPr/>
                              <wps:spPr>
                                <a:xfrm>
                                  <a:off x="3986514" y="3310609"/>
                                  <a:ext cx="1080000" cy="79200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B530B7" w14:textId="77777777" w:rsidR="00E67C82" w:rsidRPr="00C8701D" w:rsidRDefault="00E67C82" w:rsidP="00E67C82">
                                    <w:pPr>
                                      <w:pStyle w:val="NormalWeb"/>
                                      <w:spacing w:before="0" w:after="0"/>
                                      <w:jc w:val="center"/>
                                      <w:rPr>
                                        <w:sz w:val="32"/>
                                        <w:szCs w:val="32"/>
                                      </w:rPr>
                                    </w:pPr>
                                    <w:r w:rsidRPr="00C8701D">
                                      <w:rPr>
                                        <w:rFonts w:ascii="Century Gothic" w:hAnsi="Century Gothic" w:cstheme="minorBidi"/>
                                        <w:b/>
                                        <w:bCs/>
                                        <w:color w:val="FFFFFF" w:themeColor="light1"/>
                                        <w:kern w:val="24"/>
                                        <w:sz w:val="32"/>
                                        <w:szCs w:val="32"/>
                                      </w:rPr>
                                      <w:t>1.1 x</w:t>
                                    </w:r>
                                  </w:p>
                                </w:txbxContent>
                              </wps:txbx>
                              <wps:bodyPr rtlCol="0" anchor="ctr"/>
                            </wps:wsp>
                            <wps:wsp>
                              <wps:cNvPr id="62" name="Rectangle 62"/>
                              <wps:cNvSpPr/>
                              <wps:spPr>
                                <a:xfrm>
                                  <a:off x="5080584" y="2213321"/>
                                  <a:ext cx="1080000" cy="108000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24C138" w14:textId="77777777" w:rsidR="00E67C82" w:rsidRPr="00C8701D" w:rsidRDefault="00E67C82" w:rsidP="00E67C82">
                                    <w:pPr>
                                      <w:pStyle w:val="NormalWeb"/>
                                      <w:spacing w:before="0" w:after="0"/>
                                      <w:jc w:val="center"/>
                                      <w:rPr>
                                        <w:sz w:val="32"/>
                                        <w:szCs w:val="32"/>
                                      </w:rPr>
                                    </w:pPr>
                                    <w:r w:rsidRPr="00C8701D">
                                      <w:rPr>
                                        <w:rFonts w:ascii="Century Gothic" w:hAnsi="Century Gothic" w:cstheme="minorBidi"/>
                                        <w:b/>
                                        <w:bCs/>
                                        <w:color w:val="FFFFFF" w:themeColor="light1"/>
                                        <w:kern w:val="24"/>
                                        <w:sz w:val="32"/>
                                        <w:szCs w:val="32"/>
                                      </w:rPr>
                                      <w:t>1.5 x</w:t>
                                    </w:r>
                                  </w:p>
                                </w:txbxContent>
                              </wps:txbx>
                              <wps:bodyPr rtlCol="0" anchor="ctr"/>
                            </wps:wsp>
                            <wps:wsp>
                              <wps:cNvPr id="63" name="Rectangle 63"/>
                              <wps:cNvSpPr/>
                              <wps:spPr>
                                <a:xfrm>
                                  <a:off x="7256382" y="0"/>
                                  <a:ext cx="1080000" cy="410400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D60F1C" w14:textId="77777777" w:rsidR="00E67C82" w:rsidRPr="00C8701D" w:rsidRDefault="00E67C82" w:rsidP="00E67C82">
                                    <w:pPr>
                                      <w:pStyle w:val="NormalWeb"/>
                                      <w:spacing w:before="0" w:after="0"/>
                                      <w:jc w:val="center"/>
                                      <w:rPr>
                                        <w:sz w:val="32"/>
                                        <w:szCs w:val="32"/>
                                      </w:rPr>
                                    </w:pPr>
                                    <w:r w:rsidRPr="00C8701D">
                                      <w:rPr>
                                        <w:rFonts w:ascii="Century Gothic" w:hAnsi="Century Gothic" w:cstheme="minorBidi"/>
                                        <w:b/>
                                        <w:bCs/>
                                        <w:color w:val="FFFFFF" w:themeColor="light1"/>
                                        <w:kern w:val="24"/>
                                        <w:sz w:val="32"/>
                                        <w:szCs w:val="32"/>
                                      </w:rPr>
                                      <w:t>5.7 x</w:t>
                                    </w:r>
                                  </w:p>
                                </w:txbxContent>
                              </wps:txbx>
                              <wps:bodyPr rtlCol="0" anchor="ctr"/>
                            </wps:wsp>
                          </wpg:grpSp>
                          <wps:wsp>
                            <wps:cNvPr id="64" name="Straight Connector 64"/>
                            <wps:cNvCnPr/>
                            <wps:spPr>
                              <a:xfrm>
                                <a:off x="1327401" y="1113692"/>
                                <a:ext cx="5928117"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65" name="TextBox 27"/>
                          <wps:cNvSpPr txBox="1"/>
                          <wps:spPr>
                            <a:xfrm>
                              <a:off x="1327401" y="3448085"/>
                              <a:ext cx="1787646" cy="654168"/>
                            </a:xfrm>
                            <a:prstGeom prst="rect">
                              <a:avLst/>
                            </a:prstGeom>
                            <a:noFill/>
                          </wps:spPr>
                          <wps:txbx>
                            <w:txbxContent>
                              <w:p w14:paraId="1808924C" w14:textId="77777777" w:rsidR="00E67C82" w:rsidRPr="00A47E0B" w:rsidRDefault="00E67C82" w:rsidP="00E67C82">
                                <w:pPr>
                                  <w:pStyle w:val="NormalWeb"/>
                                  <w:spacing w:before="0" w:after="0"/>
                                  <w:rPr>
                                    <w:sz w:val="18"/>
                                    <w:szCs w:val="18"/>
                                  </w:rPr>
                                </w:pPr>
                                <w:r w:rsidRPr="003F68D6">
                                  <w:rPr>
                                    <w:rFonts w:ascii="Arial" w:hAnsi="Arial" w:cs="Arial"/>
                                    <w:b/>
                                    <w:i/>
                                    <w:iCs/>
                                    <w:color w:val="000000" w:themeColor="text1"/>
                                    <w:kern w:val="24"/>
                                    <w:sz w:val="18"/>
                                    <w:szCs w:val="18"/>
                                  </w:rPr>
                                  <w:t>Excellent health</w:t>
                                </w:r>
                                <w:r w:rsidRPr="00A47E0B">
                                  <w:rPr>
                                    <w:rFonts w:ascii="Arial" w:hAnsi="Arial" w:cs="Arial"/>
                                    <w:i/>
                                    <w:iCs/>
                                    <w:color w:val="000000" w:themeColor="text1"/>
                                    <w:kern w:val="24"/>
                                    <w:sz w:val="18"/>
                                    <w:szCs w:val="18"/>
                                  </w:rPr>
                                  <w:t xml:space="preserve"> versus good health</w:t>
                                </w:r>
                              </w:p>
                            </w:txbxContent>
                          </wps:txbx>
                          <wps:bodyPr wrap="square" rtlCol="0">
                            <a:noAutofit/>
                          </wps:bodyPr>
                        </wps:wsp>
                        <wps:wsp>
                          <wps:cNvPr id="66" name="TextBox 28"/>
                          <wps:cNvSpPr txBox="1"/>
                          <wps:spPr>
                            <a:xfrm>
                              <a:off x="1359761" y="2386980"/>
                              <a:ext cx="2133162" cy="802854"/>
                            </a:xfrm>
                            <a:prstGeom prst="rect">
                              <a:avLst/>
                            </a:prstGeom>
                            <a:noFill/>
                          </wps:spPr>
                          <wps:txbx>
                            <w:txbxContent>
                              <w:p w14:paraId="27A51052" w14:textId="77777777" w:rsidR="00E67C82" w:rsidRPr="00A47E0B" w:rsidRDefault="00E67C82" w:rsidP="00E67C82">
                                <w:pPr>
                                  <w:pStyle w:val="NormalWeb"/>
                                  <w:spacing w:before="0" w:after="0"/>
                                  <w:rPr>
                                    <w:sz w:val="18"/>
                                    <w:szCs w:val="18"/>
                                  </w:rPr>
                                </w:pPr>
                                <w:r w:rsidRPr="003F68D6">
                                  <w:rPr>
                                    <w:rFonts w:ascii="Arial" w:hAnsi="Arial" w:cs="Arial"/>
                                    <w:b/>
                                    <w:i/>
                                    <w:iCs/>
                                    <w:color w:val="000000" w:themeColor="text1"/>
                                    <w:kern w:val="24"/>
                                    <w:sz w:val="18"/>
                                    <w:szCs w:val="18"/>
                                  </w:rPr>
                                  <w:t>No speech difficulty</w:t>
                                </w:r>
                                <w:r w:rsidRPr="00A47E0B">
                                  <w:rPr>
                                    <w:rFonts w:ascii="Arial" w:hAnsi="Arial" w:cs="Arial"/>
                                    <w:i/>
                                    <w:iCs/>
                                    <w:color w:val="000000" w:themeColor="text1"/>
                                    <w:kern w:val="24"/>
                                    <w:sz w:val="18"/>
                                    <w:szCs w:val="18"/>
                                  </w:rPr>
                                  <w:t xml:space="preserve"> versus speech difficulty</w:t>
                                </w:r>
                              </w:p>
                            </w:txbxContent>
                          </wps:txbx>
                          <wps:bodyPr wrap="square" rtlCol="0">
                            <a:noAutofit/>
                          </wps:bodyPr>
                        </wps:wsp>
                        <wps:wsp>
                          <wps:cNvPr id="67" name="TextBox 29"/>
                          <wps:cNvSpPr txBox="1"/>
                          <wps:spPr>
                            <a:xfrm>
                              <a:off x="1389333" y="1357816"/>
                              <a:ext cx="2437866" cy="835876"/>
                            </a:xfrm>
                            <a:prstGeom prst="rect">
                              <a:avLst/>
                            </a:prstGeom>
                            <a:noFill/>
                          </wps:spPr>
                          <wps:txbx>
                            <w:txbxContent>
                              <w:p w14:paraId="18672141" w14:textId="77777777" w:rsidR="00E67C82" w:rsidRPr="00A47E0B" w:rsidRDefault="00E67C82" w:rsidP="00E67C82">
                                <w:pPr>
                                  <w:pStyle w:val="NormalWeb"/>
                                  <w:spacing w:before="0" w:after="0"/>
                                  <w:rPr>
                                    <w:sz w:val="18"/>
                                    <w:szCs w:val="18"/>
                                  </w:rPr>
                                </w:pPr>
                                <w:r w:rsidRPr="003F68D6">
                                  <w:rPr>
                                    <w:rFonts w:ascii="Arial" w:hAnsi="Arial" w:cs="Arial"/>
                                    <w:b/>
                                    <w:i/>
                                    <w:iCs/>
                                    <w:color w:val="000000" w:themeColor="text1"/>
                                    <w:kern w:val="24"/>
                                    <w:sz w:val="18"/>
                                    <w:szCs w:val="18"/>
                                  </w:rPr>
                                  <w:t>Not witnessed violence</w:t>
                                </w:r>
                                <w:r w:rsidRPr="00A47E0B">
                                  <w:rPr>
                                    <w:rFonts w:ascii="Arial" w:hAnsi="Arial" w:cs="Arial"/>
                                    <w:i/>
                                    <w:iCs/>
                                    <w:color w:val="000000" w:themeColor="text1"/>
                                    <w:kern w:val="24"/>
                                    <w:sz w:val="18"/>
                                    <w:szCs w:val="18"/>
                                  </w:rPr>
                                  <w:t xml:space="preserve"> versus has witnessed violence</w:t>
                                </w:r>
                              </w:p>
                            </w:txbxContent>
                          </wps:txbx>
                          <wps:bodyPr wrap="square" rtlCol="0">
                            <a:noAutofit/>
                          </wps:bodyPr>
                        </wps:wsp>
                        <wps:wsp>
                          <wps:cNvPr id="68" name="TextBox 33"/>
                          <wps:cNvSpPr txBox="1"/>
                          <wps:spPr>
                            <a:xfrm>
                              <a:off x="1459150" y="109367"/>
                              <a:ext cx="5158520" cy="765561"/>
                            </a:xfrm>
                            <a:prstGeom prst="rect">
                              <a:avLst/>
                            </a:prstGeom>
                            <a:noFill/>
                          </wps:spPr>
                          <wps:txbx>
                            <w:txbxContent>
                              <w:p w14:paraId="33FCBDE4" w14:textId="77777777" w:rsidR="00E67C82" w:rsidRPr="003F68D6" w:rsidRDefault="00E67C82" w:rsidP="00E67C82">
                                <w:pPr>
                                  <w:pStyle w:val="NormalWeb"/>
                                  <w:spacing w:before="0" w:after="0"/>
                                  <w:rPr>
                                    <w:sz w:val="18"/>
                                    <w:szCs w:val="18"/>
                                  </w:rPr>
                                </w:pPr>
                                <w:r>
                                  <w:rPr>
                                    <w:rFonts w:ascii="Arial" w:hAnsi="Arial" w:cs="Arial"/>
                                    <w:b/>
                                    <w:bCs/>
                                    <w:i/>
                                    <w:iCs/>
                                    <w:color w:val="000000" w:themeColor="text1"/>
                                    <w:kern w:val="24"/>
                                    <w:sz w:val="18"/>
                                    <w:szCs w:val="18"/>
                                  </w:rPr>
                                  <w:t xml:space="preserve">Excellent health, no speech difficulty, has not witnessed violence </w:t>
                                </w:r>
                                <w:r>
                                  <w:rPr>
                                    <w:rFonts w:ascii="Arial" w:hAnsi="Arial" w:cs="Arial"/>
                                    <w:bCs/>
                                    <w:i/>
                                    <w:iCs/>
                                    <w:color w:val="000000" w:themeColor="text1"/>
                                    <w:kern w:val="24"/>
                                    <w:sz w:val="18"/>
                                    <w:szCs w:val="18"/>
                                  </w:rPr>
                                  <w:t xml:space="preserve">versus good health, speech difficulty, has witnessed violence </w:t>
                                </w:r>
                              </w:p>
                            </w:txbxContent>
                          </wps:txbx>
                          <wps:bodyPr wrap="square" rtlCol="0">
                            <a:noAutofit/>
                          </wps:bodyPr>
                        </wps:wsp>
                      </wpg:grpSp>
                      <wps:wsp>
                        <wps:cNvPr id="73" name="Text Box 73"/>
                        <wps:cNvSpPr txBox="1"/>
                        <wps:spPr>
                          <a:xfrm>
                            <a:off x="5135526" y="542238"/>
                            <a:ext cx="903767" cy="1549671"/>
                          </a:xfrm>
                          <a:prstGeom prst="rect">
                            <a:avLst/>
                          </a:prstGeom>
                          <a:noFill/>
                          <a:ln w="6350">
                            <a:noFill/>
                          </a:ln>
                        </wps:spPr>
                        <wps:txbx>
                          <w:txbxContent>
                            <w:p w14:paraId="60F4B47E" w14:textId="77777777" w:rsidR="00E67C82" w:rsidRPr="00DA26F6" w:rsidRDefault="00E67C82" w:rsidP="00E67C82">
                              <w:pPr>
                                <w:rPr>
                                  <w:rFonts w:ascii="Arial" w:hAnsi="Arial" w:cs="Arial"/>
                                  <w:b/>
                                  <w:sz w:val="18"/>
                                </w:rPr>
                              </w:pPr>
                              <w:r w:rsidRPr="00DA26F6">
                                <w:rPr>
                                  <w:rFonts w:ascii="Arial" w:hAnsi="Arial" w:cs="Arial"/>
                                  <w:b/>
                                  <w:sz w:val="18"/>
                                </w:rPr>
                                <w:t>Increase in likelihood of achieving in the top two bands for NAPLAN Year 3 Numeracy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39243EC" id="Group 74" o:spid="_x0000_s1026" alt="Title: Increase in likelihood of achieving in top two bands for NAPLAN Year 3 Numeracy (2017), by SEHQ health and wellbeing indicator (2014 - Description: This figure outlines the probability of achieving in the top two bands for NAPLAN numeracy in Year 3, based on a child's experiences or developmental vulnerabilities prior to school entry, as well as the compounding effect of multiple childhood adversities. A student in excellent general health is 1.1 times more likely to achieve in the top two bands than a student in good general health. A student with no speech difficulty is 1.5 times more likely to achieve in the top two bands than a student with a speech difficulty. A student who has not witnessed violence prior to school entry is 1.5 times more likely to achieve in the top two bands than a student who has. On average, a child with no speech difficulties, in excellent general health, and who has not witnessed violence is 5.7 times more likely to be in the top two bands than a child with speech difficulties, in good general health, who has witnessed violence. This shows that as these adversities accumulate, the effect on a child's health compounds.  " style="width:436.2pt;height:207.65pt;mso-position-horizontal-relative:char;mso-position-vertical-relative:line" coordsize="60392,2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3izQcAAMUhAAAOAAAAZHJzL2Uyb0RvYy54bWzsWluP27gVfi+w/4Hwy7ZAOtb9YmSymM5u&#10;0gWyk3QnxaKPtERbQiVRpeix3V+/3yEl2eOxJ4mTDPaSF1uiyMPDc853btLz7zZ1xe6E6krZXE7c&#10;C2fCRJPJvGyWl5N/v3v592TCOs2bnFeyEZeTregm37345i/P1+1MeLKQVS4UA5Gmm63by0mhdTub&#10;TrusEDXvLmQrGjxcSFVzjVu1nOaKr0G9rqae40TTtVR5q2Qmug6j39uHkxeG/mIhMv1mseiEZtXl&#10;BLxp86vM75x+py+e89lS8bYos54NfgYXNS8bbDqS+p5rzlaqfECqLjMlO7nQF5msp3KxKDNhzoDT&#10;uM7BaV4puWrNWZaz9bIdxQTRHsjpbLLZzd1bxcr8chIHE9bwGjoy2zK6z0WXQVjvirJji3K5UoLJ&#10;la7KRnRMF4JB8HM+L6tSb5lcMJ4VpbiDGljZmOdatkyvJZvDAEBBKnZz9fb11Q1rVrVQPNvSxP8I&#10;rpj/DJM6kTPZMM5Ap8q/7ZjYtEKVMCjsh8W5uBOVbGvRaA6rW1UNiJjtS0xoVYk5WjIYj5QV7FCr&#10;7TPGO7YWVUX/xDLE3spVQwbKhDEQ4rxeVbpsKzymnbE8Zzw3Zq1B+oJdwYhXOSgSw2KTgSDdLAVx&#10;ULFC8EoXDFJyL1ymyxrs1BLSqsr/impLTFnZiOOS0QWnY+/tsSQW7pPf52JdYrsGR22FyAqWl2RI&#10;OAMESjyEn86D2QEsHW5wj4tCsgJybaRmmA+rIA3elRLCycg6jijk8zFoN79gbyA6qIovBZRtFUjc&#10;HJUPlPnsMRWCQpOz9ePngojDi/i4iOePa9iYl+XuULIDa0c0/2zk6KGUL5hBZ1fINRk4172hd2Lf&#10;gmF+2QpGzjWERDAYTH8fbb0VDwiB2TN4zFJX8Ak/NpkSACgJzxh1aUDyAPSnAG9Bzm4G3P8V7i7+&#10;G0C/Zbc//PNfA4KM9AGuubBeJC8zroFqmh6Qs163yxl81ivV3rZvVT+wtHfkfzcLVdM/PCvbGDe/&#10;Hd282GiWYTAM/TSM/AnL8MyL/CiBrzOBICsQLR6sy4of+pWR46deOqz0U9AxIWQ6bDwl/kZ2xpuR&#10;797XhvF9X+t/vrO5Xhx5YX+2HYd8Np7N9b04cNwJ20lmd8LYcZI0wUOSTeA6geOcd0LE/f1oEiZn&#10;aO8Ip4MOT/H55OdMD86ZnnFOP02iEPa9p5HhnIEf4CGEeaCPvXMeWb3T56n1Jy0WaVi3yzS6T8s0&#10;bgveCpPAdITa3vojJGLWNn5GfsabJeIuxgyYzbwR2t2sA8qP4Dpy4zB0IRZYqeu6fpS6FsGD3Fwn&#10;geViI5LbcIMdxnPzWas6/UrIGnGqQ16owItJ4fjd607bqcMU4qCTVZm/LKvK3FB+Kq4rxe44Mkt4&#10;V6QDnllereqfELvNeGR4MK4Fw+RbzDCBakCVyXSJkuHt3iZVQ1s1kja1/NAIXMwgFnOlt5WgeVXz&#10;s1ggk4ODs4yMlPd5dA2PXcFzYYfDk7wYgkR5gf1H2j2BY+c3KoCA+/m01IaZcbFjd39s8bjC7Cwb&#10;PS6uy0aqYwQqPe5s5w9CsqIhKenNfAMR0uVc5lsYotLVtbRFAW+QMCLNzbQiIzICBgjs9C+PBjjb&#10;B2gwByJugZr3o2HfA/i+60SO8UIQfx+3BgAYNMQpCqfB/IZ4OVj6VzAMkhnhY4D5RwODKflGK/vN&#10;YcI7ggnvoyJEiAAQJjamep7r+5457QlMDACxbvYrKGZ/yghhQDGa2W8OFKg7HgQK/6NAEXuoexKA&#10;a5f6Hw0RxxL/J0mYYkpHTBBGwjWkCcYBf82MvlxmZOx+tKSPsPtduftUydLYpLzVipfLQrNr2TRI&#10;3dEkiPoq2mRN103fHhiS5aFEH3sD+9WlrSEM9HcRIky9xHVRqlMNMVjlidhAPVGTm56oHqqGrdFj&#10;jZB6jTmmrW1OJfH+sVR3KDSGcgDJ8YMM/ZEk2xzw0Qz9kdJhWHyGHerNezN0a3X30u+nty70TayH&#10;fQe3+A+5YV584F+Z3mAcJeUwfqJA3TcuPwgSJwlpxc643DiJoyCyxhWFgYsi/5Oyj12daCzK1M10&#10;RaWPAfiIjh7ga7z1uJx0/1txJSZ79RBx2cirlZaL0tTBRMWuefriCAI60EjfSBpLow/XSJjGkW17&#10;eX4SpYlB4k4jlCS6EYIjwT1xvCQ0Eju/Y/BejRiT2EmX/S40MrYuR4z0La8zNJKkvo+shlo0fhgn&#10;bnQfI17gx0nUYyTxQyDmC2PE0P+9aWRstQ4agUzhSugYffvggzEShKmLlrbRiJP6kXF/O4iEbpiE&#10;Xt9Vi6MwBJ6+rNMa/e/ncVpPHlLiMWkn5TCKKRg6TzshQBJ6gAPwEgYenBgR2mkndfwYGrMtzzBI&#10;o/hzaYe6i5S/RD6Mw8aHR5uSY8wZnXWvPiXtG/iuzV6WaLu+5p1+yxVeucOo8BJPv8HPopLYS/ZX&#10;E4bm3P+PjdN89KfxdHLgOqsfG3SuUzcIQFabmyCMyXDV/pP5/hO8kjYNQUQIcDf0BvfahAsl61/w&#10;tcEV7QpSQ9tQD5fX2n5YgPfcmbi6MpPoZRrXr5vbNqOkgWRHrbZ3m1+4avtmm4Zl3MihV85nBymk&#10;nfuBUdkYOL4VMDVT/10DfYywf2+i+O7rixe/AgAA//8DAFBLAwQUAAYACAAAACEAbM15fN0AAAAF&#10;AQAADwAAAGRycy9kb3ducmV2LnhtbEyPzWrDMBCE74W8g9hCb43s/DW4lkMIaU+hkKRQettYG9vE&#10;WhlLsZ23r9pLc1kYZpj5Nl0NphYdta6yrCAeRyCIc6srLhR8Ht+elyCcR9ZYWyYFN3KwykYPKSba&#10;9ryn7uALEUrYJaig9L5JpHR5SQbd2DbEwTvb1qAPsi2kbrEP5aaWkyhaSIMVh4USG9qUlF8OV6Pg&#10;vcd+PY233e5y3ty+j/OPr11MSj09DutXEJ4G/x+GX/yADllgOtkraydqBeER/3eDt3yZzECcFMzi&#10;+RRklsp7+uwHAAD//wMAUEsBAi0AFAAGAAgAAAAhALaDOJL+AAAA4QEAABMAAAAAAAAAAAAAAAAA&#10;AAAAAFtDb250ZW50X1R5cGVzXS54bWxQSwECLQAUAAYACAAAACEAOP0h/9YAAACUAQAACwAAAAAA&#10;AAAAAAAAAAAvAQAAX3JlbHMvLnJlbHNQSwECLQAUAAYACAAAACEA77494s0HAADFIQAADgAAAAAA&#10;AAAAAAAAAAAuAgAAZHJzL2Uyb0RvYy54bWxQSwECLQAUAAYACAAAACEAbM15fN0AAAAFAQAADwAA&#10;AAAAAAAAAAAAAAAnCgAAZHJzL2Rvd25yZXYueG1sUEsFBgAAAAAEAAQA8wAAADELAAAAAA==&#10;">
                <v:group id="Group 34" o:spid="_x0000_s1027" style="position:absolute;width:51276;height:23939" coordorigin="13274" coordsize="70089,4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58" o:spid="_x0000_s1028" style="position:absolute;left:13274;width:70089;height:41040" coordorigin="13274" coordsize="70089,4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9" o:spid="_x0000_s1029" style="position:absolute;left:39865;width:43498;height:41040" coordorigin="39865" coordsize="43498,4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30" style="position:absolute;left:61755;top:11136;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60wQAAANsAAAAPAAAAZHJzL2Rvd25yZXYueG1sRE9Ni8Iw&#10;EL0L+x/CLOxNUwurpRpFLMuKJ3VV8DY0Y1tsJrWJWv+9OQh7fLzv6bwztbhT6yrLCoaDCARxbnXF&#10;hYL9308/AeE8ssbaMil4koP57KM3xVTbB2/pvvOFCCHsUlRQet+kUrq8JINuYBviwJ1ta9AH2BZS&#10;t/gI4aaWcRSNpMGKQ0OJDS1Lyi+7m1EwrvLF8bKOkmzjMb4dTqfs+vut1Ndnt5iA8NT5f/HbvdIK&#10;RmF9+BJ+gJy9AAAA//8DAFBLAQItABQABgAIAAAAIQDb4fbL7gAAAIUBAAATAAAAAAAAAAAAAAAA&#10;AAAAAABbQ29udGVudF9UeXBlc10ueG1sUEsBAi0AFAAGAAgAAAAhAFr0LFu/AAAAFQEAAAsAAAAA&#10;AAAAAAAAAAAAHwEAAF9yZWxzLy5yZWxzUEsBAi0AFAAGAAgAAAAhAN2O/rTBAAAA2wAAAA8AAAAA&#10;AAAAAAAAAAAABwIAAGRycy9kb3ducmV2LnhtbFBLBQYAAAAAAwADALcAAAD1AgAAAAA=&#10;" fillcolor="#f4b083 [1941]" stroked="f" strokeweight="1pt">
                        <v:textbox>
                          <w:txbxContent>
                            <w:p w14:paraId="22FF2380" w14:textId="77777777" w:rsidR="00E67C82" w:rsidRPr="00C8701D" w:rsidRDefault="00E67C82" w:rsidP="00E67C82">
                              <w:pPr>
                                <w:pStyle w:val="NormalWeb"/>
                                <w:spacing w:before="0" w:after="0"/>
                                <w:jc w:val="center"/>
                                <w:rPr>
                                  <w:sz w:val="32"/>
                                  <w:szCs w:val="32"/>
                                </w:rPr>
                              </w:pPr>
                              <w:r w:rsidRPr="00C8701D">
                                <w:rPr>
                                  <w:rFonts w:ascii="Century Gothic" w:hAnsi="Century Gothic" w:cstheme="minorBidi"/>
                                  <w:b/>
                                  <w:bCs/>
                                  <w:color w:val="FFFFFF" w:themeColor="light1"/>
                                  <w:kern w:val="24"/>
                                  <w:sz w:val="32"/>
                                  <w:szCs w:val="32"/>
                                </w:rPr>
                                <w:t>1.5 x</w:t>
                              </w:r>
                            </w:p>
                          </w:txbxContent>
                        </v:textbox>
                      </v:rect>
                      <v:rect id="Rectangle 61" o:spid="_x0000_s1031" style="position:absolute;left:39865;top:33106;width:1080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lsvwwAAANsAAAAPAAAAZHJzL2Rvd25yZXYueG1sRI9Lq8Iw&#10;FIT3F/wP4QjurqmCD6pRRBHFldcXuDs0x7bYnNQmav335oLgcpiZb5jxtDaFeFDlcssKOu0IBHFi&#10;dc6pgsN++TsE4TyyxsIyKXiRg+mk8TPGWNsn/9Fj51MRIOxiVJB5X8ZSuiQjg65tS+LgXWxl0AdZ&#10;pVJX+AxwU8huFPWlwZzDQoYlzTNKrru7UTDIk9npuomGi63H7v14Pi9uq55SrWY9G4HwVPtv+NNe&#10;awX9Dvx/CT9ATt4AAAD//wMAUEsBAi0AFAAGAAgAAAAhANvh9svuAAAAhQEAABMAAAAAAAAAAAAA&#10;AAAAAAAAAFtDb250ZW50X1R5cGVzXS54bWxQSwECLQAUAAYACAAAACEAWvQsW78AAAAVAQAACwAA&#10;AAAAAAAAAAAAAAAfAQAAX3JlbHMvLnJlbHNQSwECLQAUAAYACAAAACEAssJbL8MAAADbAAAADwAA&#10;AAAAAAAAAAAAAAAHAgAAZHJzL2Rvd25yZXYueG1sUEsFBgAAAAADAAMAtwAAAPcCAAAAAA==&#10;" fillcolor="#f4b083 [1941]" stroked="f" strokeweight="1pt">
                        <v:textbox>
                          <w:txbxContent>
                            <w:p w14:paraId="26B530B7" w14:textId="77777777" w:rsidR="00E67C82" w:rsidRPr="00C8701D" w:rsidRDefault="00E67C82" w:rsidP="00E67C82">
                              <w:pPr>
                                <w:pStyle w:val="NormalWeb"/>
                                <w:spacing w:before="0" w:after="0"/>
                                <w:jc w:val="center"/>
                                <w:rPr>
                                  <w:sz w:val="32"/>
                                  <w:szCs w:val="32"/>
                                </w:rPr>
                              </w:pPr>
                              <w:r w:rsidRPr="00C8701D">
                                <w:rPr>
                                  <w:rFonts w:ascii="Century Gothic" w:hAnsi="Century Gothic" w:cstheme="minorBidi"/>
                                  <w:b/>
                                  <w:bCs/>
                                  <w:color w:val="FFFFFF" w:themeColor="light1"/>
                                  <w:kern w:val="24"/>
                                  <w:sz w:val="32"/>
                                  <w:szCs w:val="32"/>
                                </w:rPr>
                                <w:t>1.1 x</w:t>
                              </w:r>
                            </w:p>
                          </w:txbxContent>
                        </v:textbox>
                      </v:rect>
                      <v:rect id="Rectangle 62" o:spid="_x0000_s1032" style="position:absolute;left:50805;top:22133;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VYxAAAANsAAAAPAAAAZHJzL2Rvd25yZXYueG1sRI9Pi8Iw&#10;FMTvC36H8ARva2pBLV2jiLIonvy3C94ezdu22Lx0m6j12xtB8DjMzG+Yyaw1lbhS40rLCgb9CARx&#10;ZnXJuYLj4fszAeE8ssbKMim4k4PZtPMxwVTbG+/ouve5CBB2KSoovK9TKV1WkEHXtzVx8P5sY9AH&#10;2eRSN3gLcFPJOIpG0mDJYaHAmhYFZef9xSgYl9n897yJkuXWY3z5OZ2W/6uhUr1uO/8C4an17/Cr&#10;vdYKRjE8v4QfIKcPAAAA//8DAFBLAQItABQABgAIAAAAIQDb4fbL7gAAAIUBAAATAAAAAAAAAAAA&#10;AAAAAAAAAABbQ29udGVudF9UeXBlc10ueG1sUEsBAi0AFAAGAAgAAAAhAFr0LFu/AAAAFQEAAAsA&#10;AAAAAAAAAAAAAAAAHwEAAF9yZWxzLy5yZWxzUEsBAi0AFAAGAAgAAAAhAEIQxVjEAAAA2wAAAA8A&#10;AAAAAAAAAAAAAAAABwIAAGRycy9kb3ducmV2LnhtbFBLBQYAAAAAAwADALcAAAD4AgAAAAA=&#10;" fillcolor="#f4b083 [1941]" stroked="f" strokeweight="1pt">
                        <v:textbox>
                          <w:txbxContent>
                            <w:p w14:paraId="6B24C138" w14:textId="77777777" w:rsidR="00E67C82" w:rsidRPr="00C8701D" w:rsidRDefault="00E67C82" w:rsidP="00E67C82">
                              <w:pPr>
                                <w:pStyle w:val="NormalWeb"/>
                                <w:spacing w:before="0" w:after="0"/>
                                <w:jc w:val="center"/>
                                <w:rPr>
                                  <w:sz w:val="32"/>
                                  <w:szCs w:val="32"/>
                                </w:rPr>
                              </w:pPr>
                              <w:r w:rsidRPr="00C8701D">
                                <w:rPr>
                                  <w:rFonts w:ascii="Century Gothic" w:hAnsi="Century Gothic" w:cstheme="minorBidi"/>
                                  <w:b/>
                                  <w:bCs/>
                                  <w:color w:val="FFFFFF" w:themeColor="light1"/>
                                  <w:kern w:val="24"/>
                                  <w:sz w:val="32"/>
                                  <w:szCs w:val="32"/>
                                </w:rPr>
                                <w:t>1.5 x</w:t>
                              </w:r>
                            </w:p>
                          </w:txbxContent>
                        </v:textbox>
                      </v:rect>
                      <v:rect id="Rectangle 63" o:spid="_x0000_s1033" style="position:absolute;left:72563;width:10800;height:41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lcAwQAAANsAAAAPAAAAZHJzL2Rvd25yZXYueG1sRI/NqsIw&#10;FIT3F3yHcAR311QFlWoUEQQVruDPwuWxObbB5qQ0UevbmwuCy2FmvmGm88aW4kG1N44V9LoJCOLM&#10;acO5gtNx9TsG4QOyxtIxKXiRh/ms9TPFVLsn7+lxCLmIEPYpKihCqFIpfVaQRd91FXH0rq62GKKs&#10;c6lrfEa4LWU/SYbSouG4UGBFy4Ky2+FuFVz/eLszPfPaXPL1SCNudu5cKdVpN4sJiEBN+IY/7bVW&#10;MBzA/5f4A+TsDQAA//8DAFBLAQItABQABgAIAAAAIQDb4fbL7gAAAIUBAAATAAAAAAAAAAAAAAAA&#10;AAAAAABbQ29udGVudF9UeXBlc10ueG1sUEsBAi0AFAAGAAgAAAAhAFr0LFu/AAAAFQEAAAsAAAAA&#10;AAAAAAAAAAAAHwEAAF9yZWxzLy5yZWxzUEsBAi0AFAAGAAgAAAAhAOXWVwDBAAAA2wAAAA8AAAAA&#10;AAAAAAAAAAAABwIAAGRycy9kb3ducmV2LnhtbFBLBQYAAAAAAwADALcAAAD1AgAAAAA=&#10;" fillcolor="#c45911 [2405]" stroked="f" strokeweight="1pt">
                        <v:textbox>
                          <w:txbxContent>
                            <w:p w14:paraId="5CD60F1C" w14:textId="77777777" w:rsidR="00E67C82" w:rsidRPr="00C8701D" w:rsidRDefault="00E67C82" w:rsidP="00E67C82">
                              <w:pPr>
                                <w:pStyle w:val="NormalWeb"/>
                                <w:spacing w:before="0" w:after="0"/>
                                <w:jc w:val="center"/>
                                <w:rPr>
                                  <w:sz w:val="32"/>
                                  <w:szCs w:val="32"/>
                                </w:rPr>
                              </w:pPr>
                              <w:r w:rsidRPr="00C8701D">
                                <w:rPr>
                                  <w:rFonts w:ascii="Century Gothic" w:hAnsi="Century Gothic" w:cstheme="minorBidi"/>
                                  <w:b/>
                                  <w:bCs/>
                                  <w:color w:val="FFFFFF" w:themeColor="light1"/>
                                  <w:kern w:val="24"/>
                                  <w:sz w:val="32"/>
                                  <w:szCs w:val="32"/>
                                </w:rPr>
                                <w:t>5.7 x</w:t>
                              </w:r>
                            </w:p>
                          </w:txbxContent>
                        </v:textbox>
                      </v:rect>
                    </v:group>
                    <v:line id="Straight Connector 64" o:spid="_x0000_s1034" style="position:absolute;visibility:visible;mso-wrap-style:square" from="13274,11136" to="72555,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gexgAAANsAAAAPAAAAZHJzL2Rvd25yZXYueG1sRI9Ba8JA&#10;FITvBf/D8gpeim4qRiR1E6Qo2ENLjV68PbKvSWr2bciuMe2vd4VCj8PMfMOsssE0oqfO1ZYVPE8j&#10;EMSF1TWXCo6H7WQJwnlkjY1lUvBDDrJ09LDCRNsr76nPfSkChF2CCirv20RKV1Rk0E1tSxy8L9sZ&#10;9EF2pdQdXgPcNHIWRQtpsOawUGFLrxUV5/xiFHzPaYfnKKb+PS5+PzdPp7ePWazU+HFYv4DwNPj/&#10;8F97pxUs5nD/En6ATG8AAAD//wMAUEsBAi0AFAAGAAgAAAAhANvh9svuAAAAhQEAABMAAAAAAAAA&#10;AAAAAAAAAAAAAFtDb250ZW50X1R5cGVzXS54bWxQSwECLQAUAAYACAAAACEAWvQsW78AAAAVAQAA&#10;CwAAAAAAAAAAAAAAAAAfAQAAX3JlbHMvLnJlbHNQSwECLQAUAAYACAAAACEAkAfIHsYAAADbAAAA&#10;DwAAAAAAAAAAAAAAAAAHAgAAZHJzL2Rvd25yZXYueG1sUEsFBgAAAAADAAMAtwAAAPoCAAAAAA==&#10;" strokecolor="#ed7d31 [3205]" strokeweight="6pt">
                      <v:stroke joinstyle="miter"/>
                    </v:line>
                  </v:group>
                  <v:shapetype id="_x0000_t202" coordsize="21600,21600" o:spt="202" path="m,l,21600r21600,l21600,xe">
                    <v:stroke joinstyle="miter"/>
                    <v:path gradientshapeok="t" o:connecttype="rect"/>
                  </v:shapetype>
                  <v:shape id="TextBox 27" o:spid="_x0000_s1035" type="#_x0000_t202" style="position:absolute;left:13274;top:34480;width:17876;height:6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1808924C" w14:textId="77777777" w:rsidR="00E67C82" w:rsidRPr="00A47E0B" w:rsidRDefault="00E67C82" w:rsidP="00E67C82">
                          <w:pPr>
                            <w:pStyle w:val="NormalWeb"/>
                            <w:spacing w:before="0" w:after="0"/>
                            <w:rPr>
                              <w:sz w:val="18"/>
                              <w:szCs w:val="18"/>
                            </w:rPr>
                          </w:pPr>
                          <w:r w:rsidRPr="003F68D6">
                            <w:rPr>
                              <w:rFonts w:ascii="Arial" w:hAnsi="Arial" w:cs="Arial"/>
                              <w:b/>
                              <w:i/>
                              <w:iCs/>
                              <w:color w:val="000000" w:themeColor="text1"/>
                              <w:kern w:val="24"/>
                              <w:sz w:val="18"/>
                              <w:szCs w:val="18"/>
                            </w:rPr>
                            <w:t>Excellent health</w:t>
                          </w:r>
                          <w:r w:rsidRPr="00A47E0B">
                            <w:rPr>
                              <w:rFonts w:ascii="Arial" w:hAnsi="Arial" w:cs="Arial"/>
                              <w:i/>
                              <w:iCs/>
                              <w:color w:val="000000" w:themeColor="text1"/>
                              <w:kern w:val="24"/>
                              <w:sz w:val="18"/>
                              <w:szCs w:val="18"/>
                            </w:rPr>
                            <w:t xml:space="preserve"> versus good health</w:t>
                          </w:r>
                        </w:p>
                      </w:txbxContent>
                    </v:textbox>
                  </v:shape>
                  <v:shape id="TextBox 28" o:spid="_x0000_s1036" type="#_x0000_t202" style="position:absolute;left:13597;top:23869;width:21332;height:8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27A51052" w14:textId="77777777" w:rsidR="00E67C82" w:rsidRPr="00A47E0B" w:rsidRDefault="00E67C82" w:rsidP="00E67C82">
                          <w:pPr>
                            <w:pStyle w:val="NormalWeb"/>
                            <w:spacing w:before="0" w:after="0"/>
                            <w:rPr>
                              <w:sz w:val="18"/>
                              <w:szCs w:val="18"/>
                            </w:rPr>
                          </w:pPr>
                          <w:r w:rsidRPr="003F68D6">
                            <w:rPr>
                              <w:rFonts w:ascii="Arial" w:hAnsi="Arial" w:cs="Arial"/>
                              <w:b/>
                              <w:i/>
                              <w:iCs/>
                              <w:color w:val="000000" w:themeColor="text1"/>
                              <w:kern w:val="24"/>
                              <w:sz w:val="18"/>
                              <w:szCs w:val="18"/>
                            </w:rPr>
                            <w:t>No speech difficulty</w:t>
                          </w:r>
                          <w:r w:rsidRPr="00A47E0B">
                            <w:rPr>
                              <w:rFonts w:ascii="Arial" w:hAnsi="Arial" w:cs="Arial"/>
                              <w:i/>
                              <w:iCs/>
                              <w:color w:val="000000" w:themeColor="text1"/>
                              <w:kern w:val="24"/>
                              <w:sz w:val="18"/>
                              <w:szCs w:val="18"/>
                            </w:rPr>
                            <w:t xml:space="preserve"> versus speech difficulty</w:t>
                          </w:r>
                        </w:p>
                      </w:txbxContent>
                    </v:textbox>
                  </v:shape>
                  <v:shape id="TextBox 29" o:spid="_x0000_s1037" type="#_x0000_t202" style="position:absolute;left:13893;top:13578;width:24378;height:8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18672141" w14:textId="77777777" w:rsidR="00E67C82" w:rsidRPr="00A47E0B" w:rsidRDefault="00E67C82" w:rsidP="00E67C82">
                          <w:pPr>
                            <w:pStyle w:val="NormalWeb"/>
                            <w:spacing w:before="0" w:after="0"/>
                            <w:rPr>
                              <w:sz w:val="18"/>
                              <w:szCs w:val="18"/>
                            </w:rPr>
                          </w:pPr>
                          <w:r w:rsidRPr="003F68D6">
                            <w:rPr>
                              <w:rFonts w:ascii="Arial" w:hAnsi="Arial" w:cs="Arial"/>
                              <w:b/>
                              <w:i/>
                              <w:iCs/>
                              <w:color w:val="000000" w:themeColor="text1"/>
                              <w:kern w:val="24"/>
                              <w:sz w:val="18"/>
                              <w:szCs w:val="18"/>
                            </w:rPr>
                            <w:t>Not witnessed violence</w:t>
                          </w:r>
                          <w:r w:rsidRPr="00A47E0B">
                            <w:rPr>
                              <w:rFonts w:ascii="Arial" w:hAnsi="Arial" w:cs="Arial"/>
                              <w:i/>
                              <w:iCs/>
                              <w:color w:val="000000" w:themeColor="text1"/>
                              <w:kern w:val="24"/>
                              <w:sz w:val="18"/>
                              <w:szCs w:val="18"/>
                            </w:rPr>
                            <w:t xml:space="preserve"> versus has witnessed violence</w:t>
                          </w:r>
                        </w:p>
                      </w:txbxContent>
                    </v:textbox>
                  </v:shape>
                  <v:shape id="TextBox 33" o:spid="_x0000_s1038" type="#_x0000_t202" style="position:absolute;left:14591;top:1093;width:51585;height:7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33FCBDE4" w14:textId="77777777" w:rsidR="00E67C82" w:rsidRPr="003F68D6" w:rsidRDefault="00E67C82" w:rsidP="00E67C82">
                          <w:pPr>
                            <w:pStyle w:val="NormalWeb"/>
                            <w:spacing w:before="0" w:after="0"/>
                            <w:rPr>
                              <w:sz w:val="18"/>
                              <w:szCs w:val="18"/>
                            </w:rPr>
                          </w:pPr>
                          <w:r>
                            <w:rPr>
                              <w:rFonts w:ascii="Arial" w:hAnsi="Arial" w:cs="Arial"/>
                              <w:b/>
                              <w:bCs/>
                              <w:i/>
                              <w:iCs/>
                              <w:color w:val="000000" w:themeColor="text1"/>
                              <w:kern w:val="24"/>
                              <w:sz w:val="18"/>
                              <w:szCs w:val="18"/>
                            </w:rPr>
                            <w:t xml:space="preserve">Excellent health, no speech difficulty, has not witnessed violence </w:t>
                          </w:r>
                          <w:r>
                            <w:rPr>
                              <w:rFonts w:ascii="Arial" w:hAnsi="Arial" w:cs="Arial"/>
                              <w:bCs/>
                              <w:i/>
                              <w:iCs/>
                              <w:color w:val="000000" w:themeColor="text1"/>
                              <w:kern w:val="24"/>
                              <w:sz w:val="18"/>
                              <w:szCs w:val="18"/>
                            </w:rPr>
                            <w:t xml:space="preserve">versus good health, speech difficulty, has witnessed violence </w:t>
                          </w:r>
                        </w:p>
                      </w:txbxContent>
                    </v:textbox>
                  </v:shape>
                </v:group>
                <v:shape id="Text Box 73" o:spid="_x0000_s1039" type="#_x0000_t202" style="position:absolute;left:51355;top:5422;width:9037;height:15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60F4B47E" w14:textId="77777777" w:rsidR="00E67C82" w:rsidRPr="00DA26F6" w:rsidRDefault="00E67C82" w:rsidP="00E67C82">
                        <w:pPr>
                          <w:rPr>
                            <w:rFonts w:ascii="Arial" w:hAnsi="Arial" w:cs="Arial"/>
                            <w:b/>
                            <w:sz w:val="18"/>
                          </w:rPr>
                        </w:pPr>
                        <w:r w:rsidRPr="00DA26F6">
                          <w:rPr>
                            <w:rFonts w:ascii="Arial" w:hAnsi="Arial" w:cs="Arial"/>
                            <w:b/>
                            <w:sz w:val="18"/>
                          </w:rPr>
                          <w:t>Increase in likelihood of achieving in the top two bands for NAPLAN Year 3 Numeracy</w:t>
                        </w:r>
                      </w:p>
                    </w:txbxContent>
                  </v:textbox>
                </v:shape>
                <w10:anchorlock/>
              </v:group>
            </w:pict>
          </mc:Fallback>
        </mc:AlternateContent>
      </w:r>
    </w:p>
    <w:p w14:paraId="433F1178" w14:textId="77777777" w:rsidR="001C7199" w:rsidRPr="00C45213" w:rsidRDefault="001C7199" w:rsidP="00C45213"/>
    <w:sectPr w:rsidR="001C7199" w:rsidRPr="00C452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7A41E" w14:textId="77777777" w:rsidR="00B90426" w:rsidRDefault="00B90426" w:rsidP="00B90426">
      <w:pPr>
        <w:spacing w:after="0" w:line="240" w:lineRule="auto"/>
      </w:pPr>
      <w:r>
        <w:separator/>
      </w:r>
    </w:p>
  </w:endnote>
  <w:endnote w:type="continuationSeparator" w:id="0">
    <w:p w14:paraId="1478B178" w14:textId="77777777" w:rsidR="00B90426" w:rsidRDefault="00B90426" w:rsidP="00B90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E2D90" w14:textId="77777777" w:rsidR="00B90426" w:rsidRDefault="00B90426" w:rsidP="00B90426">
      <w:pPr>
        <w:spacing w:after="0" w:line="240" w:lineRule="auto"/>
      </w:pPr>
      <w:r>
        <w:separator/>
      </w:r>
    </w:p>
  </w:footnote>
  <w:footnote w:type="continuationSeparator" w:id="0">
    <w:p w14:paraId="6C1A6774" w14:textId="77777777" w:rsidR="00B90426" w:rsidRDefault="00B90426" w:rsidP="00B90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638"/>
    <w:multiLevelType w:val="hybridMultilevel"/>
    <w:tmpl w:val="D1BA5A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576A10"/>
    <w:multiLevelType w:val="hybridMultilevel"/>
    <w:tmpl w:val="6F5ED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A44479"/>
    <w:multiLevelType w:val="hybridMultilevel"/>
    <w:tmpl w:val="34842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79687E"/>
    <w:multiLevelType w:val="hybridMultilevel"/>
    <w:tmpl w:val="D6669E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D9368C"/>
    <w:multiLevelType w:val="hybridMultilevel"/>
    <w:tmpl w:val="6FB25AF4"/>
    <w:lvl w:ilvl="0" w:tplc="8DD6B28E">
      <w:start w:val="3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EA540A"/>
    <w:multiLevelType w:val="hybridMultilevel"/>
    <w:tmpl w:val="F29AB3B0"/>
    <w:lvl w:ilvl="0" w:tplc="1164772C">
      <w:start w:val="1"/>
      <w:numFmt w:val="bullet"/>
      <w:lvlText w:val=""/>
      <w:lvlJc w:val="left"/>
      <w:pPr>
        <w:ind w:left="720" w:hanging="360"/>
      </w:pPr>
      <w:rPr>
        <w:rFonts w:ascii="Symbol" w:hAnsi="Symbol" w:hint="default"/>
        <w:sz w:val="20"/>
        <w:szCs w:val="20"/>
      </w:rPr>
    </w:lvl>
    <w:lvl w:ilvl="1" w:tplc="FDF670EE">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436"/>
    <w:rsid w:val="0008291A"/>
    <w:rsid w:val="000A223B"/>
    <w:rsid w:val="000C5BA3"/>
    <w:rsid w:val="000F1754"/>
    <w:rsid w:val="00100E2F"/>
    <w:rsid w:val="00125FCB"/>
    <w:rsid w:val="00155EBE"/>
    <w:rsid w:val="00167012"/>
    <w:rsid w:val="001C7199"/>
    <w:rsid w:val="0021179A"/>
    <w:rsid w:val="002707DD"/>
    <w:rsid w:val="002C577B"/>
    <w:rsid w:val="0044526E"/>
    <w:rsid w:val="004E21D6"/>
    <w:rsid w:val="00520702"/>
    <w:rsid w:val="005B476B"/>
    <w:rsid w:val="005E5EDB"/>
    <w:rsid w:val="006B29D9"/>
    <w:rsid w:val="006F2DF8"/>
    <w:rsid w:val="007137A5"/>
    <w:rsid w:val="00781F51"/>
    <w:rsid w:val="008A3FF8"/>
    <w:rsid w:val="008C3866"/>
    <w:rsid w:val="00940A9F"/>
    <w:rsid w:val="009B3436"/>
    <w:rsid w:val="009C776E"/>
    <w:rsid w:val="009D0F08"/>
    <w:rsid w:val="009D656E"/>
    <w:rsid w:val="00A40E7F"/>
    <w:rsid w:val="00A95A9C"/>
    <w:rsid w:val="00AB25CF"/>
    <w:rsid w:val="00AD321A"/>
    <w:rsid w:val="00B73884"/>
    <w:rsid w:val="00B77D5E"/>
    <w:rsid w:val="00B90426"/>
    <w:rsid w:val="00BA6671"/>
    <w:rsid w:val="00BD70AB"/>
    <w:rsid w:val="00C10816"/>
    <w:rsid w:val="00C30D89"/>
    <w:rsid w:val="00C45213"/>
    <w:rsid w:val="00C75B5F"/>
    <w:rsid w:val="00C76F35"/>
    <w:rsid w:val="00CA0DB7"/>
    <w:rsid w:val="00D44DFF"/>
    <w:rsid w:val="00D6461C"/>
    <w:rsid w:val="00D856C0"/>
    <w:rsid w:val="00DA338E"/>
    <w:rsid w:val="00DB2F30"/>
    <w:rsid w:val="00DB4679"/>
    <w:rsid w:val="00DB5CF0"/>
    <w:rsid w:val="00E00B0F"/>
    <w:rsid w:val="00E23471"/>
    <w:rsid w:val="00E67C82"/>
    <w:rsid w:val="00ED33D4"/>
    <w:rsid w:val="00F55AA4"/>
    <w:rsid w:val="00F937CC"/>
    <w:rsid w:val="00FB49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F034"/>
  <w15:chartTrackingRefBased/>
  <w15:docId w15:val="{EF953DB4-AFBA-4043-ACCE-A8E4E0DB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34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17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17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F17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43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9B3436"/>
    <w:pPr>
      <w:spacing w:after="200" w:line="276" w:lineRule="auto"/>
      <w:ind w:left="720"/>
      <w:contextualSpacing/>
    </w:pPr>
  </w:style>
  <w:style w:type="character" w:customStyle="1" w:styleId="ListParagraphChar">
    <w:name w:val="List Paragraph Char"/>
    <w:link w:val="ListParagraph"/>
    <w:uiPriority w:val="34"/>
    <w:locked/>
    <w:rsid w:val="009B3436"/>
  </w:style>
  <w:style w:type="paragraph" w:styleId="NoSpacing">
    <w:name w:val="No Spacing"/>
    <w:uiPriority w:val="1"/>
    <w:qFormat/>
    <w:rsid w:val="009B3436"/>
    <w:pPr>
      <w:spacing w:after="0" w:line="240" w:lineRule="auto"/>
    </w:pPr>
  </w:style>
  <w:style w:type="table" w:styleId="TableGrid">
    <w:name w:val="Table Grid"/>
    <w:basedOn w:val="TableNormal"/>
    <w:uiPriority w:val="39"/>
    <w:rsid w:val="0008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8291A"/>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0F175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F175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F1754"/>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DB4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679"/>
    <w:rPr>
      <w:rFonts w:ascii="Segoe UI" w:hAnsi="Segoe UI" w:cs="Segoe UI"/>
      <w:sz w:val="18"/>
      <w:szCs w:val="18"/>
    </w:rPr>
  </w:style>
  <w:style w:type="paragraph" w:styleId="NormalWeb">
    <w:name w:val="Normal (Web)"/>
    <w:basedOn w:val="Normal"/>
    <w:uiPriority w:val="99"/>
    <w:unhideWhenUsed/>
    <w:rsid w:val="00E67C82"/>
    <w:pPr>
      <w:spacing w:before="192" w:after="192"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904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426"/>
  </w:style>
  <w:style w:type="paragraph" w:styleId="Footer">
    <w:name w:val="footer"/>
    <w:basedOn w:val="Normal"/>
    <w:link w:val="FooterChar"/>
    <w:uiPriority w:val="99"/>
    <w:unhideWhenUsed/>
    <w:rsid w:val="00B904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sovc-2017-infographics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A2B60-924E-4BF9-9C90-87D0483FBCE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89fd009-0beb-4494-8af8-3574aebc10b3"/>
    <ds:schemaRef ds:uri="http://www.w3.org/XML/1998/namespace"/>
    <ds:schemaRef ds:uri="http://purl.org/dc/dcmitype/"/>
  </ds:schemaRefs>
</ds:datastoreItem>
</file>

<file path=customXml/itemProps2.xml><?xml version="1.0" encoding="utf-8"?>
<ds:datastoreItem xmlns:ds="http://schemas.openxmlformats.org/officeDocument/2006/customXml" ds:itemID="{5E9C9145-CE89-49CA-A1C5-323CCD7B7D13}">
  <ds:schemaRefs>
    <ds:schemaRef ds:uri="http://schemas.microsoft.com/sharepoint/v3/contenttype/forms"/>
  </ds:schemaRefs>
</ds:datastoreItem>
</file>

<file path=customXml/itemProps3.xml><?xml version="1.0" encoding="utf-8"?>
<ds:datastoreItem xmlns:ds="http://schemas.openxmlformats.org/officeDocument/2006/customXml" ds:itemID="{02334255-40DF-418A-BD95-CFE3828327D7}"/>
</file>

<file path=docProps/app.xml><?xml version="1.0" encoding="utf-8"?>
<Properties xmlns="http://schemas.openxmlformats.org/officeDocument/2006/extended-properties" xmlns:vt="http://schemas.openxmlformats.org/officeDocument/2006/docPropsVTypes">
  <Template>Normal</Template>
  <TotalTime>6</TotalTime>
  <Pages>14</Pages>
  <Words>3588</Words>
  <Characters>20456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Rosalind J</dc:creator>
  <cp:keywords/>
  <dc:description/>
  <cp:lastModifiedBy>Brown, Hamish S</cp:lastModifiedBy>
  <cp:revision>5</cp:revision>
  <dcterms:created xsi:type="dcterms:W3CDTF">2019-07-25T03:11:00Z</dcterms:created>
  <dcterms:modified xsi:type="dcterms:W3CDTF">2019-08-01T06:17:00Z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