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E5" w:rsidRPr="008261E5" w:rsidRDefault="001B1C4F" w:rsidP="008261E5">
      <w:pPr>
        <w:jc w:val="both"/>
        <w:rPr>
          <w:rFonts w:ascii="Calibri" w:eastAsia="Calibri" w:hAnsi="Calibri" w:cs="Calibri"/>
        </w:rPr>
      </w:pPr>
      <w:r>
        <w:rPr>
          <w:rFonts w:ascii="Calibri" w:eastAsia="Calibri" w:hAnsi="Calibri" w:cs="Times New Roman"/>
          <w:noProof/>
          <w:lang w:eastAsia="en-AU"/>
        </w:rPr>
        <mc:AlternateContent>
          <mc:Choice Requires="wps">
            <w:drawing>
              <wp:anchor distT="0" distB="0" distL="114300" distR="114300" simplePos="0" relativeHeight="251661312" behindDoc="0" locked="0" layoutInCell="1" allowOverlap="1">
                <wp:simplePos x="0" y="0"/>
                <wp:positionH relativeFrom="column">
                  <wp:posOffset>4075430</wp:posOffset>
                </wp:positionH>
                <wp:positionV relativeFrom="paragraph">
                  <wp:posOffset>-51435</wp:posOffset>
                </wp:positionV>
                <wp:extent cx="2869565" cy="126746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26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EF0" w:rsidRDefault="00CE6EF0" w:rsidP="008261E5">
                            <w:r>
                              <w:rPr>
                                <w:noProof/>
                                <w:lang w:eastAsia="en-AU"/>
                              </w:rPr>
                              <w:drawing>
                                <wp:inline distT="0" distB="0" distL="0" distR="0">
                                  <wp:extent cx="26765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1228725"/>
                                          </a:xfrm>
                                          <a:prstGeom prst="rect">
                                            <a:avLst/>
                                          </a:prstGeom>
                                          <a:solidFill>
                                            <a:srgbClr val="1F497D"/>
                                          </a:solid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20.9pt;margin-top:-4.05pt;width:225.95pt;height:99.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antQIAALgFAAAOAAAAZHJzL2Uyb0RvYy54bWysVNtunDAQfa/Uf7D8TrjUsIDCVsmyVJXS&#10;i5T0A7xgFqtgI9tZNq367x2bvSV5qdrygGzP+MycmeO5fr8ferRjSnMpChxeBRgxUcuGi22Bvz1U&#10;XoqRNlQ0tJeCFfiJafx++fbN9TTmLJKd7BumEIAInU9jgTtjxtz3dd2xgeorOTIBxlaqgRrYqq3f&#10;KDoB+tD7URAk/iRVMypZM63htJyNeOnw25bV5kvbamZQX2DIzbi/cv+N/fvLa5pvFR07Xh/SoH+R&#10;xUC5gKAnqJIaih4VfwU18FpJLVtzVcvBl23La+Y4AJsweMHmvqMjc1ygOHo8lUn/P9j68+6rQrwp&#10;cIKRoAO06IHtDbqVe5TY6kyjzsHpfgQ3s4dj6LJjqsc7WX/XSMhVR8WW3Sglp47RBrIL7U3/4uqM&#10;oy3IZvokGwhDH410QPtWDbZ0UAwE6NClp1NnbCo1HEZpksVJjFENtjBKFiRxvfNpfrw+Km0+MDkg&#10;uyiwgtY7eLq708amQ/Oji40mZMX73rW/F88OwHE+geBw1dpsGq6bP7MgW6frlHgkStYeCcrSu6lW&#10;xEuqcBGX78rVqgx/2bghyTveNEzYMEdlheTPOnfQ+KyJk7a07Hlj4WxKWm03q16hHQVlV+5zRQfL&#10;2c1/noYrAnB5QSmMSHAbZV6VpAuPVCT2skWQekGY3WZJQDJSVs8p3XHB/p0SmgqcxVE8q+mc9Atu&#10;gftec6P5wA3Mjp4PBU5PTjS3GlyLxrXWUN7P64tS2PTPpYB2HxvtFGtFOsvV7Dd7QLEy3sjmCbSr&#10;JCgLBAoDDxadVD8wmmB4FFjAdMOo/yhA/VlIiJ01bkPiRQQbdWnZXFqoqAGowAajebky83x6HBXf&#10;dhBnfm9C3sCLabnT8jmnwzuD8eAoHUaZnT+Xe+d1HrjL3wAAAP//AwBQSwMEFAAGAAgAAAAhAGoL&#10;MqLjAAAACwEAAA8AAABkcnMvZG93bnJldi54bWxMj81OwzAQhO9IvIO1SFxQ6ziF/oQ4FQLBhaqo&#10;hQNHJ16SQLyObDcNPD3uCW472tHMN/l6NB0b0PnWkgQxTYAhVVa3VEt4e32cLIH5oEirzhJK+EYP&#10;6+L8LFeZtkfa4bAPNYsh5DMloQmhzzj3VYNG+antkeLvwzqjQpSu5tqpYww3HU+TZM6Naik2NKrH&#10;+warr/3BSPh5cRubppsnUb7P2iE8XH1un7dSXl6Md7fAAo7hzwwn/IgORWQq7YG0Z52E+bWI6EHC&#10;ZCmAnQzJarYAVsZrJW6AFzn/v6H4BQAA//8DAFBLAQItABQABgAIAAAAIQC2gziS/gAAAOEBAAAT&#10;AAAAAAAAAAAAAAAAAAAAAABbQ29udGVudF9UeXBlc10ueG1sUEsBAi0AFAAGAAgAAAAhADj9If/W&#10;AAAAlAEAAAsAAAAAAAAAAAAAAAAALwEAAF9yZWxzLy5yZWxzUEsBAi0AFAAGAAgAAAAhAPsdxqe1&#10;AgAAuAUAAA4AAAAAAAAAAAAAAAAALgIAAGRycy9lMm9Eb2MueG1sUEsBAi0AFAAGAAgAAAAhAGoL&#10;MqLjAAAACwEAAA8AAAAAAAAAAAAAAAAADwUAAGRycy9kb3ducmV2LnhtbFBLBQYAAAAABAAEAPMA&#10;AAAfBgAAAAA=&#10;" filled="f" stroked="f">
                <v:textbox>
                  <w:txbxContent>
                    <w:p w:rsidR="008261E5" w:rsidRDefault="008261E5" w:rsidP="008261E5">
                      <w:r>
                        <w:rPr>
                          <w:noProof/>
                          <w:lang w:eastAsia="en-AU"/>
                        </w:rPr>
                        <w:drawing>
                          <wp:inline distT="0" distB="0" distL="0" distR="0">
                            <wp:extent cx="26765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1228725"/>
                                    </a:xfrm>
                                    <a:prstGeom prst="rect">
                                      <a:avLst/>
                                    </a:prstGeom>
                                    <a:solidFill>
                                      <a:srgbClr val="1F497D"/>
                                    </a:solidFill>
                                    <a:ln>
                                      <a:noFill/>
                                    </a:ln>
                                  </pic:spPr>
                                </pic:pic>
                              </a:graphicData>
                            </a:graphic>
                          </wp:inline>
                        </w:drawing>
                      </w:r>
                    </w:p>
                  </w:txbxContent>
                </v:textbox>
              </v:shape>
            </w:pict>
          </mc:Fallback>
        </mc:AlternateContent>
      </w:r>
      <w:r>
        <w:rPr>
          <w:rFonts w:ascii="Calibri" w:eastAsia="Calibri" w:hAnsi="Calibri" w:cs="Calibri"/>
          <w:noProof/>
          <w:lang w:eastAsia="en-AU"/>
        </w:rPr>
        <mc:AlternateContent>
          <mc:Choice Requires="wps">
            <w:drawing>
              <wp:anchor distT="0" distB="0" distL="114300" distR="114300" simplePos="0" relativeHeight="251659264" behindDoc="0" locked="0" layoutInCell="1" allowOverlap="1">
                <wp:simplePos x="0" y="0"/>
                <wp:positionH relativeFrom="column">
                  <wp:posOffset>-708025</wp:posOffset>
                </wp:positionH>
                <wp:positionV relativeFrom="paragraph">
                  <wp:posOffset>-51435</wp:posOffset>
                </wp:positionV>
                <wp:extent cx="3479165" cy="11582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EF0" w:rsidRDefault="00CE6EF0" w:rsidP="008261E5">
                            <w:r>
                              <w:rPr>
                                <w:noProof/>
                                <w:lang w:eastAsia="en-AU"/>
                              </w:rPr>
                              <w:drawing>
                                <wp:inline distT="0" distB="0" distL="0" distR="0">
                                  <wp:extent cx="3286125" cy="904875"/>
                                  <wp:effectExtent l="0" t="0" r="9525" b="9525"/>
                                  <wp:docPr id="3" name="Picture 3" descr="DE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C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55.75pt;margin-top:-4.05pt;width:273.95pt;height:9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LtgIAAL8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TDAStIcWPbGdQfdyh4itzjjoDJweB3AzOziGLjumeniQ1XeNhFy2VGzYnVJybBmtIbvQ3vTPrk44&#10;2oKsx0+yhjD02UgHtGtUb0sHxUCADl16OXbGplLB4TWZp+EsxqgCWxjGSURc73yaHa4PSpsPTPbI&#10;LnKsoPUOnm4ftLHp0OzgYqMJWfKuc+3vxMUBOE4nEByuWptNw3XzZxqkq2SVEI9Es5VHgqLw7sol&#10;8WZlOI+L62K5LMJfNm5IspbXNRM2zEFZIfmzzu01PmniqC0tO15bOJuSVpv1slNoS0HZpftc0cFy&#10;cvMv03BFAC6vKIVQzPso9cpZMvdISWIvnQeJF4TpfToLSEqK8pLSAxfs3ymhMcdpHMWTmk5Jv+IW&#10;uO8tN5r13MDs6Hif4+ToRDOrwZWoXWsN5d20PiuFTf9UCmj3odFOsVakk1zNbr1zT8PJ2ap5LesX&#10;kLCSIDDQKcw9WLRS/cBohBmSYwFDDqPuo4BHkIYERIqM25B4HsFGnVvW5xYqKgDKscFoWi7NNKae&#10;B8U3LcQ5PLs7eDgld5I+5bR/bjAlHLP9RLNj6HzvvE5zd/EbAAD//wMAUEsDBBQABgAIAAAAIQBv&#10;L7un3gAAAAsBAAAPAAAAZHJzL2Rvd25yZXYueG1sTI/BTsMwDIbvSLxDZCRuW5qtG6U0ndBgZ2Dw&#10;AFlj2tLGqZpsKzw93glutvzp9/cXm8n14oRjaD1pUPMEBFLlbUu1ho/33SwDEaIha3pPqOEbA2zK&#10;66vC5Naf6Q1P+1gLDqGQGw1NjEMuZagadCbM/YDEt08/OhN5HWtpR3PmcNfLRZKspTMt8YfGDLht&#10;sOr2R6chS9xL190vXoNLf9Sq2T755+FL69ub6fEBRMQp/sFw0Wd1KNnp4I9kg+g1zJRSK2Z5yhQI&#10;JtLlOgVxYPQuXYIsC/m/Q/kLAAD//wMAUEsBAi0AFAAGAAgAAAAhALaDOJL+AAAA4QEAABMAAAAA&#10;AAAAAAAAAAAAAAAAAFtDb250ZW50X1R5cGVzXS54bWxQSwECLQAUAAYACAAAACEAOP0h/9YAAACU&#10;AQAACwAAAAAAAAAAAAAAAAAvAQAAX3JlbHMvLnJlbHNQSwECLQAUAAYACAAAACEAjqLfy7YCAAC/&#10;BQAADgAAAAAAAAAAAAAAAAAuAgAAZHJzL2Uyb0RvYy54bWxQSwECLQAUAAYACAAAACEAby+7p94A&#10;AAALAQAADwAAAAAAAAAAAAAAAAAQBQAAZHJzL2Rvd25yZXYueG1sUEsFBgAAAAAEAAQA8wAAABsG&#10;AAAAAA==&#10;" filled="f" stroked="f">
                <v:textbox style="mso-fit-shape-to-text:t">
                  <w:txbxContent>
                    <w:p w:rsidR="008261E5" w:rsidRDefault="008261E5" w:rsidP="008261E5">
                      <w:r>
                        <w:rPr>
                          <w:noProof/>
                          <w:lang w:eastAsia="en-AU"/>
                        </w:rPr>
                        <w:drawing>
                          <wp:inline distT="0" distB="0" distL="0" distR="0">
                            <wp:extent cx="3286125" cy="904875"/>
                            <wp:effectExtent l="0" t="0" r="9525" b="9525"/>
                            <wp:docPr id="3" name="Picture 3" descr="DE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C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904875"/>
                                    </a:xfrm>
                                    <a:prstGeom prst="rect">
                                      <a:avLst/>
                                    </a:prstGeom>
                                    <a:noFill/>
                                    <a:ln>
                                      <a:noFill/>
                                    </a:ln>
                                  </pic:spPr>
                                </pic:pic>
                              </a:graphicData>
                            </a:graphic>
                          </wp:inline>
                        </w:drawing>
                      </w:r>
                    </w:p>
                  </w:txbxContent>
                </v:textbox>
              </v:shape>
            </w:pict>
          </mc:Fallback>
        </mc:AlternateContent>
      </w:r>
    </w:p>
    <w:p w:rsidR="008261E5" w:rsidRPr="008261E5" w:rsidRDefault="008261E5" w:rsidP="008261E5">
      <w:pPr>
        <w:jc w:val="both"/>
        <w:rPr>
          <w:rFonts w:ascii="Calibri" w:eastAsia="Calibri" w:hAnsi="Calibri" w:cs="Calibri"/>
        </w:rPr>
      </w:pPr>
    </w:p>
    <w:p w:rsidR="008261E5" w:rsidRPr="008261E5" w:rsidRDefault="008261E5" w:rsidP="008261E5">
      <w:pPr>
        <w:jc w:val="both"/>
        <w:rPr>
          <w:rFonts w:ascii="Calibri" w:eastAsia="Calibri" w:hAnsi="Calibri" w:cs="Calibri"/>
        </w:rPr>
      </w:pPr>
    </w:p>
    <w:p w:rsidR="008261E5" w:rsidRPr="008261E5" w:rsidRDefault="001B1C4F" w:rsidP="008261E5">
      <w:pPr>
        <w:spacing w:after="120"/>
        <w:ind w:right="-1158"/>
        <w:jc w:val="right"/>
        <w:rPr>
          <w:rFonts w:ascii="Calibri" w:eastAsia="Calibri" w:hAnsi="Calibri" w:cs="Calibri"/>
          <w:b/>
          <w:color w:val="005696"/>
          <w:spacing w:val="-7"/>
          <w:sz w:val="48"/>
          <w:szCs w:val="48"/>
        </w:rPr>
      </w:pPr>
      <w:r>
        <w:rPr>
          <w:rFonts w:ascii="Calibri" w:eastAsia="Calibri" w:hAnsi="Calibri" w:cs="Times New Roman"/>
          <w:noProof/>
          <w:lang w:eastAsia="en-AU"/>
        </w:rPr>
        <mc:AlternateContent>
          <mc:Choice Requires="wps">
            <w:drawing>
              <wp:anchor distT="0" distB="0" distL="114300" distR="114300" simplePos="0" relativeHeight="251660288" behindDoc="0" locked="0" layoutInCell="1" allowOverlap="1">
                <wp:simplePos x="0" y="0"/>
                <wp:positionH relativeFrom="column">
                  <wp:posOffset>-556895</wp:posOffset>
                </wp:positionH>
                <wp:positionV relativeFrom="paragraph">
                  <wp:posOffset>1905</wp:posOffset>
                </wp:positionV>
                <wp:extent cx="2410460" cy="1938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193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EF0" w:rsidRDefault="00CE6EF0" w:rsidP="008261E5">
                            <w:r>
                              <w:rPr>
                                <w:noProof/>
                                <w:lang w:eastAsia="en-AU"/>
                              </w:rPr>
                              <w:drawing>
                                <wp:inline distT="0" distB="0" distL="0" distR="0">
                                  <wp:extent cx="2162175" cy="1885950"/>
                                  <wp:effectExtent l="0" t="0" r="9525" b="0"/>
                                  <wp:docPr id="5" name="Picture 5" descr="0644 Research partnership-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44 Research partnership-logo-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1885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left:0;text-align:left;margin-left:-43.85pt;margin-top:.15pt;width:189.8pt;height:152.6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X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BiQGZgqsIXpZTKLYxeDZsfrg9LmHZM9&#10;soscK2i9g6e7O21sOjQ7uthoQpa861z7O/HsABynEwgOV63NpuG6+SMN0lWySohHotnKI0FReDfl&#10;knizMpzHxWWxXBbhTxs3JFnL65oJG+aorJD8WecOGp80cdKWlh2vLZxNSavNetkptKOg7NJ9h4Kc&#10;ufnP03BFAC4vKIURCW6j1CtnydwjJYm9dB4kXhCmt+ksICkpyueU7rhg/04JjTlO4yie1PRbboH7&#10;XnOjWc8NzI6O9zlOTk40sxpcidq11lDeTeuzUtj0n0oB7T422inWinSSq9mv94enAWBWzWtZP4KE&#10;lQSBgRhh7sGileo7RiPMkBzrb1uqGEbdewHPIA0JsUPHbUg8j2Cjzi3rcwsVFUDl2GA0LZdmGlTb&#10;QfFNC5GmhyfkDTydhjtRP2V1eHAwJxy3w0yzg+h877yeJu/iFwAAAP//AwBQSwMEFAAGAAgAAAAh&#10;ADzYhhffAAAACAEAAA8AAABkcnMvZG93bnJldi54bWxMj81OwzAQhO9IvIO1lbi1Tgtp2hCnQqgc&#10;kDhAKXfX2fyUeB3FThp4epYTHEczmvkm2022FSP2vnGkYLmIQCAZVzRUKTi+P803IHzQVOjWESr4&#10;Qg+7/Poq02nhLvSG4yFUgkvIp1pBHUKXSulNjVb7heuQ2Ctdb3Vg2Vey6PWFy20rV1G0llY3xAu1&#10;7vCxRvN5GKyC8vkjsS935f64H+Lv8xib6bUySt3Mpod7EAGn8BeGX3xGh5yZTm6gwotWwXyTJBxV&#10;cAuC7dV2uQVxYhnFa5B5Jv8fyH8AAAD//wMAUEsBAi0AFAAGAAgAAAAhALaDOJL+AAAA4QEAABMA&#10;AAAAAAAAAAAAAAAAAAAAAFtDb250ZW50X1R5cGVzXS54bWxQSwECLQAUAAYACAAAACEAOP0h/9YA&#10;AACUAQAACwAAAAAAAAAAAAAAAAAvAQAAX3JlbHMvLnJlbHNQSwECLQAUAAYACAAAACEA2vjVl7gC&#10;AADBBQAADgAAAAAAAAAAAAAAAAAuAgAAZHJzL2Uyb0RvYy54bWxQSwECLQAUAAYACAAAACEAPNiG&#10;F98AAAAIAQAADwAAAAAAAAAAAAAAAAASBQAAZHJzL2Rvd25yZXYueG1sUEsFBgAAAAAEAAQA8wAA&#10;AB4GAAAAAA==&#10;" filled="f" stroked="f">
                <v:textbox>
                  <w:txbxContent>
                    <w:p w:rsidR="008261E5" w:rsidRDefault="008261E5" w:rsidP="008261E5">
                      <w:r>
                        <w:rPr>
                          <w:noProof/>
                          <w:lang w:eastAsia="en-AU"/>
                        </w:rPr>
                        <w:drawing>
                          <wp:inline distT="0" distB="0" distL="0" distR="0">
                            <wp:extent cx="2162175" cy="1885950"/>
                            <wp:effectExtent l="0" t="0" r="9525" b="0"/>
                            <wp:docPr id="5" name="Picture 5" descr="0644 Research partnership-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44 Research partnership-logo-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175" cy="1885950"/>
                                    </a:xfrm>
                                    <a:prstGeom prst="rect">
                                      <a:avLst/>
                                    </a:prstGeom>
                                    <a:noFill/>
                                    <a:ln>
                                      <a:noFill/>
                                    </a:ln>
                                  </pic:spPr>
                                </pic:pic>
                              </a:graphicData>
                            </a:graphic>
                          </wp:inline>
                        </w:drawing>
                      </w:r>
                    </w:p>
                  </w:txbxContent>
                </v:textbox>
              </v:shape>
            </w:pict>
          </mc:Fallback>
        </mc:AlternateContent>
      </w:r>
    </w:p>
    <w:p w:rsidR="008261E5" w:rsidRPr="008261E5" w:rsidRDefault="008261E5" w:rsidP="008261E5">
      <w:pPr>
        <w:spacing w:after="120"/>
        <w:jc w:val="both"/>
        <w:rPr>
          <w:rFonts w:ascii="Calibri" w:eastAsia="Calibri" w:hAnsi="Calibri" w:cs="Calibri"/>
          <w:b/>
          <w:color w:val="005696"/>
          <w:spacing w:val="-7"/>
          <w:sz w:val="48"/>
          <w:szCs w:val="48"/>
        </w:rPr>
      </w:pPr>
    </w:p>
    <w:p w:rsidR="008261E5" w:rsidRPr="008261E5" w:rsidRDefault="008261E5" w:rsidP="008261E5">
      <w:pPr>
        <w:spacing w:after="120"/>
        <w:jc w:val="right"/>
        <w:rPr>
          <w:rFonts w:ascii="Calibri" w:eastAsia="Calibri" w:hAnsi="Calibri" w:cs="Calibri"/>
          <w:b/>
          <w:color w:val="005696"/>
          <w:spacing w:val="-7"/>
          <w:sz w:val="48"/>
          <w:szCs w:val="48"/>
        </w:rPr>
      </w:pPr>
      <w:r w:rsidRPr="008261E5">
        <w:rPr>
          <w:rFonts w:ascii="Calibri" w:eastAsia="Calibri" w:hAnsi="Calibri" w:cs="Calibri"/>
          <w:b/>
          <w:color w:val="005696"/>
          <w:spacing w:val="-7"/>
          <w:sz w:val="48"/>
          <w:szCs w:val="48"/>
        </w:rPr>
        <w:t>SUMMARY NOTE</w:t>
      </w:r>
    </w:p>
    <w:p w:rsidR="008261E5" w:rsidRPr="008261E5" w:rsidRDefault="008261E5" w:rsidP="008261E5">
      <w:pPr>
        <w:spacing w:after="120"/>
        <w:jc w:val="both"/>
        <w:rPr>
          <w:rFonts w:ascii="Calibri" w:eastAsia="Calibri" w:hAnsi="Calibri" w:cs="Calibri"/>
          <w:b/>
          <w:color w:val="005696"/>
          <w:spacing w:val="-7"/>
          <w:sz w:val="48"/>
          <w:szCs w:val="48"/>
        </w:rPr>
      </w:pPr>
    </w:p>
    <w:p w:rsidR="008261E5" w:rsidRPr="008261E5" w:rsidRDefault="008261E5" w:rsidP="008261E5">
      <w:pPr>
        <w:spacing w:after="120"/>
        <w:jc w:val="both"/>
        <w:rPr>
          <w:rFonts w:ascii="Calibri" w:eastAsia="Calibri" w:hAnsi="Calibri" w:cs="Calibri"/>
          <w:b/>
          <w:color w:val="005696"/>
          <w:spacing w:val="-7"/>
          <w:sz w:val="48"/>
          <w:szCs w:val="48"/>
        </w:rPr>
      </w:pPr>
      <w:r w:rsidRPr="008261E5">
        <w:rPr>
          <w:rFonts w:ascii="Calibri" w:eastAsia="Calibri" w:hAnsi="Calibri" w:cs="Calibri"/>
          <w:b/>
          <w:color w:val="005696"/>
          <w:spacing w:val="-7"/>
          <w:sz w:val="48"/>
          <w:szCs w:val="48"/>
        </w:rPr>
        <w:t xml:space="preserve">Post-compulsory education and training: do young people know what pays? </w:t>
      </w:r>
    </w:p>
    <w:p w:rsidR="008261E5" w:rsidRPr="008261E5" w:rsidRDefault="008261E5" w:rsidP="008261E5">
      <w:pPr>
        <w:jc w:val="both"/>
        <w:rPr>
          <w:rFonts w:ascii="Calibri" w:eastAsia="Calibri" w:hAnsi="Calibri" w:cs="Calibri"/>
          <w:b/>
          <w:sz w:val="28"/>
          <w:szCs w:val="28"/>
        </w:rPr>
      </w:pPr>
      <w:r w:rsidRPr="008261E5">
        <w:rPr>
          <w:rFonts w:ascii="Calibri" w:eastAsia="Calibri" w:hAnsi="Calibri" w:cs="Calibri"/>
          <w:b/>
          <w:sz w:val="28"/>
          <w:szCs w:val="28"/>
        </w:rPr>
        <w:t xml:space="preserve">This research looks at whether young </w:t>
      </w:r>
      <w:r>
        <w:rPr>
          <w:rFonts w:ascii="Calibri" w:eastAsia="Calibri" w:hAnsi="Calibri" w:cs="Calibri"/>
          <w:b/>
          <w:sz w:val="28"/>
          <w:szCs w:val="28"/>
        </w:rPr>
        <w:t>people (aged 20)</w:t>
      </w:r>
      <w:r w:rsidRPr="008261E5">
        <w:rPr>
          <w:rFonts w:ascii="Calibri" w:eastAsia="Calibri" w:hAnsi="Calibri" w:cs="Calibri"/>
          <w:b/>
          <w:sz w:val="28"/>
          <w:szCs w:val="28"/>
        </w:rPr>
        <w:t xml:space="preserve"> have an accurate picture of the impact of education and training on their f</w:t>
      </w:r>
      <w:r>
        <w:rPr>
          <w:rFonts w:ascii="Calibri" w:eastAsia="Calibri" w:hAnsi="Calibri" w:cs="Calibri"/>
          <w:b/>
          <w:sz w:val="28"/>
          <w:szCs w:val="28"/>
        </w:rPr>
        <w:t xml:space="preserve">uture incomes and occupations. </w:t>
      </w:r>
    </w:p>
    <w:p w:rsidR="008261E5" w:rsidRPr="008261E5" w:rsidRDefault="008261E5" w:rsidP="008261E5">
      <w:pPr>
        <w:suppressAutoHyphens/>
        <w:autoSpaceDE w:val="0"/>
        <w:autoSpaceDN w:val="0"/>
        <w:adjustRightInd w:val="0"/>
        <w:spacing w:before="120" w:after="120" w:line="280" w:lineRule="atLeast"/>
        <w:jc w:val="both"/>
        <w:textAlignment w:val="center"/>
        <w:rPr>
          <w:rFonts w:ascii="Calibri" w:eastAsia="Calibri" w:hAnsi="Calibri" w:cs="Calibri"/>
          <w:b/>
          <w:bCs/>
          <w:color w:val="005696"/>
          <w:sz w:val="28"/>
          <w:szCs w:val="28"/>
          <w:u w:color="005596"/>
          <w:lang w:val="en-US" w:eastAsia="en-AU"/>
        </w:rPr>
      </w:pPr>
      <w:r w:rsidRPr="008261E5">
        <w:rPr>
          <w:rFonts w:ascii="Calibri" w:eastAsia="Calibri" w:hAnsi="Calibri" w:cs="Calibri"/>
          <w:b/>
          <w:bCs/>
          <w:color w:val="005696"/>
          <w:sz w:val="28"/>
          <w:szCs w:val="28"/>
          <w:u w:color="005596"/>
          <w:lang w:val="en-US" w:eastAsia="en-AU"/>
        </w:rPr>
        <w:t>Key Findings and Conclusions</w:t>
      </w:r>
    </w:p>
    <w:p w:rsidR="008261E5" w:rsidRPr="008261E5" w:rsidRDefault="008261E5" w:rsidP="008261E5">
      <w:pPr>
        <w:numPr>
          <w:ilvl w:val="0"/>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In general, young people aged 20 appear overly optimistic about their future outcomes.  They expect to work in much more highly skilled occupations and earn higher incomes than realised by actual 30 year olds.  This applied ir</w:t>
      </w:r>
      <w:r w:rsidR="00E12B1A">
        <w:rPr>
          <w:rFonts w:ascii="Calibri" w:eastAsia="Times New Roman" w:hAnsi="Calibri" w:cs="Arial"/>
          <w:sz w:val="24"/>
          <w:szCs w:val="24"/>
          <w:lang w:eastAsia="en-AU"/>
        </w:rPr>
        <w:t>respective of socioeconomic</w:t>
      </w:r>
      <w:r w:rsidRPr="008261E5">
        <w:rPr>
          <w:rFonts w:ascii="Calibri" w:eastAsia="Times New Roman" w:hAnsi="Calibri" w:cs="Arial"/>
          <w:sz w:val="24"/>
          <w:szCs w:val="24"/>
          <w:lang w:eastAsia="en-AU"/>
        </w:rPr>
        <w:t xml:space="preserve"> background or a family history of receiving income support.</w:t>
      </w:r>
    </w:p>
    <w:p w:rsidR="008261E5" w:rsidRPr="008261E5" w:rsidRDefault="008261E5" w:rsidP="008261E5">
      <w:pPr>
        <w:numPr>
          <w:ilvl w:val="0"/>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 xml:space="preserve">The greatest difference between expectations and realisations in occupation and income is for young people without post-school qualifications.  </w:t>
      </w:r>
    </w:p>
    <w:p w:rsidR="008261E5" w:rsidRPr="008261E5" w:rsidRDefault="008261E5" w:rsidP="008261E5">
      <w:pPr>
        <w:numPr>
          <w:ilvl w:val="0"/>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 xml:space="preserve">Young women seemed to have a more accurate picture of the impact of different levels of education on income, while males often did not.  For males, those who are least educated at 20 years of age expected incomes similar to those </w:t>
      </w:r>
      <w:r w:rsidR="00BA1689">
        <w:rPr>
          <w:rFonts w:ascii="Calibri" w:eastAsia="Times New Roman" w:hAnsi="Calibri" w:cs="Arial"/>
          <w:sz w:val="24"/>
          <w:szCs w:val="24"/>
          <w:lang w:eastAsia="en-AU"/>
        </w:rPr>
        <w:t>likely to be</w:t>
      </w:r>
      <w:r w:rsidRPr="008261E5">
        <w:rPr>
          <w:rFonts w:ascii="Calibri" w:eastAsia="Times New Roman" w:hAnsi="Calibri" w:cs="Arial"/>
          <w:sz w:val="24"/>
          <w:szCs w:val="24"/>
          <w:lang w:eastAsia="en-AU"/>
        </w:rPr>
        <w:t xml:space="preserve"> most educated at 30 years of age.</w:t>
      </w:r>
    </w:p>
    <w:p w:rsidR="008261E5" w:rsidRPr="008261E5" w:rsidRDefault="008261E5" w:rsidP="008261E5">
      <w:pPr>
        <w:numPr>
          <w:ilvl w:val="0"/>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 xml:space="preserve">Young people expected to work in much higher skilled occupations than those realised by current 30 year olds. In particular, fewer young women </w:t>
      </w:r>
      <w:r w:rsidR="00FB70C9">
        <w:rPr>
          <w:rFonts w:ascii="Calibri" w:eastAsia="Times New Roman" w:hAnsi="Calibri" w:cs="Arial"/>
          <w:sz w:val="24"/>
          <w:szCs w:val="24"/>
          <w:lang w:eastAsia="en-AU"/>
        </w:rPr>
        <w:t xml:space="preserve">at age 20 </w:t>
      </w:r>
      <w:r w:rsidRPr="008261E5">
        <w:rPr>
          <w:rFonts w:ascii="Calibri" w:eastAsia="Times New Roman" w:hAnsi="Calibri" w:cs="Arial"/>
          <w:sz w:val="24"/>
          <w:szCs w:val="24"/>
          <w:lang w:eastAsia="en-AU"/>
        </w:rPr>
        <w:t>anticipated working in clerical jobs compared with those surveyed at 30 years of age (8% and 23% respectively), whilst almost no males aged 20 years anticipated working as labourers or cleaners, however, 13% of males aged 30 years actually did work in these jobs.</w:t>
      </w:r>
    </w:p>
    <w:p w:rsidR="008261E5" w:rsidRDefault="008261E5" w:rsidP="008261E5">
      <w:pPr>
        <w:numPr>
          <w:ilvl w:val="0"/>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The paper concludes by suggesting that better career information may play a role in assisting young people to make better career and education participation choices.</w:t>
      </w:r>
    </w:p>
    <w:p w:rsidR="0023425A" w:rsidRPr="008261E5" w:rsidRDefault="0023425A" w:rsidP="0023425A">
      <w:pPr>
        <w:ind w:left="360"/>
        <w:contextualSpacing/>
        <w:jc w:val="both"/>
        <w:rPr>
          <w:rFonts w:ascii="Calibri" w:eastAsia="Times New Roman" w:hAnsi="Calibri" w:cs="Arial"/>
          <w:sz w:val="24"/>
          <w:szCs w:val="24"/>
          <w:lang w:eastAsia="en-AU"/>
        </w:rPr>
      </w:pPr>
    </w:p>
    <w:p w:rsidR="008261E5" w:rsidRPr="008261E5" w:rsidRDefault="008261E5" w:rsidP="008261E5">
      <w:pPr>
        <w:ind w:left="360"/>
        <w:contextualSpacing/>
        <w:jc w:val="both"/>
        <w:rPr>
          <w:rFonts w:ascii="Calibri" w:eastAsia="Times New Roman" w:hAnsi="Calibri" w:cs="Arial"/>
          <w:sz w:val="24"/>
          <w:szCs w:val="24"/>
          <w:lang w:eastAsia="en-AU"/>
        </w:rPr>
      </w:pPr>
    </w:p>
    <w:p w:rsidR="008261E5" w:rsidRPr="008261E5" w:rsidRDefault="008261E5" w:rsidP="008261E5">
      <w:pPr>
        <w:ind w:left="360"/>
        <w:contextualSpacing/>
        <w:jc w:val="both"/>
        <w:rPr>
          <w:rFonts w:ascii="Calibri" w:eastAsia="Times New Roman" w:hAnsi="Calibri" w:cs="Arial"/>
          <w:sz w:val="24"/>
          <w:szCs w:val="24"/>
          <w:lang w:eastAsia="en-AU"/>
        </w:rPr>
      </w:pPr>
    </w:p>
    <w:p w:rsidR="008261E5" w:rsidRPr="008261E5" w:rsidRDefault="008261E5" w:rsidP="008261E5">
      <w:pPr>
        <w:suppressAutoHyphens/>
        <w:autoSpaceDE w:val="0"/>
        <w:autoSpaceDN w:val="0"/>
        <w:adjustRightInd w:val="0"/>
        <w:spacing w:before="120" w:after="120" w:line="280" w:lineRule="atLeast"/>
        <w:jc w:val="both"/>
        <w:textAlignment w:val="center"/>
        <w:rPr>
          <w:rFonts w:ascii="Calibri" w:eastAsia="Calibri" w:hAnsi="Calibri" w:cs="Calibri"/>
          <w:b/>
          <w:bCs/>
          <w:color w:val="005696"/>
          <w:sz w:val="28"/>
          <w:szCs w:val="28"/>
          <w:u w:color="005596"/>
          <w:lang w:val="en-US" w:eastAsia="en-AU"/>
        </w:rPr>
      </w:pPr>
      <w:r w:rsidRPr="008261E5">
        <w:rPr>
          <w:rFonts w:ascii="Calibri" w:eastAsia="Calibri" w:hAnsi="Calibri" w:cs="Calibri"/>
          <w:b/>
          <w:bCs/>
          <w:color w:val="005696"/>
          <w:sz w:val="28"/>
          <w:szCs w:val="28"/>
          <w:u w:color="005596"/>
          <w:lang w:val="en-US" w:eastAsia="en-AU"/>
        </w:rPr>
        <w:t>Project Background</w:t>
      </w:r>
    </w:p>
    <w:p w:rsidR="008261E5" w:rsidRPr="008261E5" w:rsidRDefault="008261E5" w:rsidP="0023425A">
      <w:pPr>
        <w:numPr>
          <w:ilvl w:val="0"/>
          <w:numId w:val="1"/>
        </w:numPr>
        <w:ind w:left="357" w:hanging="357"/>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 xml:space="preserve">There is substantial literature that looks at how the expectations of individuals translate into realisations.  For example, expectations about: the timing of, and income at, retirement; fertility plans; expected educational attainment; future occupation and income; among many others.  However, currently there is no literature in Australia that looks at individuals’ income expectations and compares </w:t>
      </w:r>
      <w:r w:rsidR="00BA1689">
        <w:rPr>
          <w:rFonts w:ascii="Calibri" w:eastAsia="Times New Roman" w:hAnsi="Calibri" w:cs="Arial"/>
          <w:sz w:val="24"/>
          <w:szCs w:val="24"/>
          <w:lang w:eastAsia="en-AU"/>
        </w:rPr>
        <w:t>them</w:t>
      </w:r>
      <w:r w:rsidR="00BA1689" w:rsidRPr="008261E5">
        <w:rPr>
          <w:rFonts w:ascii="Calibri" w:eastAsia="Times New Roman" w:hAnsi="Calibri" w:cs="Arial"/>
          <w:sz w:val="24"/>
          <w:szCs w:val="24"/>
          <w:lang w:eastAsia="en-AU"/>
        </w:rPr>
        <w:t xml:space="preserve"> </w:t>
      </w:r>
      <w:r w:rsidRPr="008261E5">
        <w:rPr>
          <w:rFonts w:ascii="Calibri" w:eastAsia="Times New Roman" w:hAnsi="Calibri" w:cs="Arial"/>
          <w:sz w:val="24"/>
          <w:szCs w:val="24"/>
          <w:lang w:eastAsia="en-AU"/>
        </w:rPr>
        <w:t xml:space="preserve">to the actual outcomes of similar individuals.  </w:t>
      </w:r>
    </w:p>
    <w:p w:rsidR="008261E5" w:rsidRPr="008261E5" w:rsidRDefault="008261E5" w:rsidP="0023425A">
      <w:pPr>
        <w:suppressAutoHyphens/>
        <w:autoSpaceDE w:val="0"/>
        <w:autoSpaceDN w:val="0"/>
        <w:adjustRightInd w:val="0"/>
        <w:spacing w:before="120" w:line="280" w:lineRule="atLeast"/>
        <w:jc w:val="both"/>
        <w:textAlignment w:val="center"/>
        <w:rPr>
          <w:rFonts w:ascii="Calibri" w:eastAsia="Calibri" w:hAnsi="Calibri" w:cs="Calibri"/>
          <w:b/>
          <w:bCs/>
          <w:color w:val="005696"/>
          <w:sz w:val="28"/>
          <w:szCs w:val="28"/>
          <w:u w:color="005596"/>
          <w:lang w:val="en-US" w:eastAsia="en-AU"/>
        </w:rPr>
      </w:pPr>
      <w:r w:rsidRPr="008261E5">
        <w:rPr>
          <w:rFonts w:ascii="Calibri" w:eastAsia="Calibri" w:hAnsi="Calibri" w:cs="Calibri"/>
          <w:b/>
          <w:bCs/>
          <w:color w:val="005696"/>
          <w:sz w:val="28"/>
          <w:szCs w:val="28"/>
          <w:u w:color="005596"/>
          <w:lang w:val="en-US" w:eastAsia="en-AU"/>
        </w:rPr>
        <w:t>Project Methodology</w:t>
      </w:r>
    </w:p>
    <w:p w:rsidR="008261E5" w:rsidRPr="008261E5" w:rsidRDefault="008261E5" w:rsidP="008261E5">
      <w:pPr>
        <w:numPr>
          <w:ilvl w:val="0"/>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The research uses information on the self-reported education plans of young people drawing on two Australian data sets:</w:t>
      </w:r>
    </w:p>
    <w:p w:rsidR="008261E5" w:rsidRPr="008261E5" w:rsidRDefault="00BB3193" w:rsidP="00BB3193">
      <w:pPr>
        <w:numPr>
          <w:ilvl w:val="1"/>
          <w:numId w:val="1"/>
        </w:numPr>
        <w:contextualSpacing/>
        <w:jc w:val="both"/>
        <w:rPr>
          <w:rFonts w:ascii="Calibri" w:eastAsia="Times New Roman" w:hAnsi="Calibri" w:cs="Arial"/>
          <w:sz w:val="24"/>
          <w:szCs w:val="24"/>
          <w:lang w:eastAsia="en-AU"/>
        </w:rPr>
      </w:pPr>
      <w:r>
        <w:rPr>
          <w:rFonts w:ascii="Calibri" w:eastAsia="Times New Roman" w:hAnsi="Calibri" w:cs="Arial"/>
          <w:sz w:val="24"/>
          <w:szCs w:val="24"/>
          <w:lang w:eastAsia="en-AU"/>
        </w:rPr>
        <w:t xml:space="preserve">Youth in Focus (YIF) survey: </w:t>
      </w:r>
      <w:r w:rsidR="008261E5" w:rsidRPr="008261E5">
        <w:rPr>
          <w:rFonts w:ascii="Calibri" w:eastAsia="Times New Roman" w:hAnsi="Calibri" w:cs="Arial"/>
          <w:sz w:val="24"/>
          <w:szCs w:val="24"/>
          <w:lang w:eastAsia="en-AU"/>
        </w:rPr>
        <w:t>reports what 20 year olds in 2008 expect to earn when they are 30 years old.</w:t>
      </w:r>
    </w:p>
    <w:p w:rsidR="008261E5" w:rsidRPr="008261E5" w:rsidRDefault="008261E5" w:rsidP="00BB3193">
      <w:pPr>
        <w:numPr>
          <w:ilvl w:val="1"/>
          <w:numId w:val="1"/>
        </w:numPr>
        <w:contextualSpacing/>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Household, Income and Labour Dynamics in Australia (HILDA) survey: reported actual outcomes of individuals age 30 years.</w:t>
      </w:r>
    </w:p>
    <w:p w:rsidR="008261E5" w:rsidRPr="008261E5" w:rsidRDefault="008261E5" w:rsidP="004D61BF">
      <w:pPr>
        <w:numPr>
          <w:ilvl w:val="0"/>
          <w:numId w:val="1"/>
        </w:numPr>
        <w:ind w:left="357" w:hanging="357"/>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The analysis focused on the extent to which the expected returns (income and occupation) resulting from education and training were different from the realised returns.  It also examined whether these varied for young people from different social backgrounds or characteristics (such as gender, soci</w:t>
      </w:r>
      <w:r w:rsidR="00CE6EF0">
        <w:rPr>
          <w:rFonts w:ascii="Calibri" w:eastAsia="Times New Roman" w:hAnsi="Calibri" w:cs="Arial"/>
          <w:sz w:val="24"/>
          <w:szCs w:val="24"/>
          <w:lang w:eastAsia="en-AU"/>
        </w:rPr>
        <w:t>oeconomic</w:t>
      </w:r>
      <w:r w:rsidRPr="008261E5">
        <w:rPr>
          <w:rFonts w:ascii="Calibri" w:eastAsia="Times New Roman" w:hAnsi="Calibri" w:cs="Arial"/>
          <w:sz w:val="24"/>
          <w:szCs w:val="24"/>
          <w:lang w:eastAsia="en-AU"/>
        </w:rPr>
        <w:t xml:space="preserve"> background or income support history).</w:t>
      </w:r>
    </w:p>
    <w:p w:rsidR="008261E5" w:rsidRPr="008261E5" w:rsidRDefault="008261E5" w:rsidP="008261E5">
      <w:pPr>
        <w:suppressAutoHyphens/>
        <w:autoSpaceDE w:val="0"/>
        <w:autoSpaceDN w:val="0"/>
        <w:adjustRightInd w:val="0"/>
        <w:spacing w:before="120" w:after="120" w:line="280" w:lineRule="atLeast"/>
        <w:jc w:val="both"/>
        <w:textAlignment w:val="center"/>
        <w:rPr>
          <w:rFonts w:ascii="Calibri" w:eastAsia="Calibri" w:hAnsi="Calibri" w:cs="Calibri"/>
          <w:b/>
          <w:bCs/>
          <w:color w:val="005696"/>
          <w:sz w:val="28"/>
          <w:szCs w:val="28"/>
          <w:u w:color="005596"/>
          <w:lang w:val="en-US" w:eastAsia="en-AU"/>
        </w:rPr>
      </w:pPr>
      <w:r w:rsidRPr="008261E5">
        <w:rPr>
          <w:rFonts w:ascii="Calibri" w:eastAsia="Calibri" w:hAnsi="Calibri" w:cs="Calibri"/>
          <w:b/>
          <w:bCs/>
          <w:color w:val="005696"/>
          <w:sz w:val="28"/>
          <w:szCs w:val="28"/>
          <w:u w:color="005596"/>
          <w:lang w:val="en-US" w:eastAsia="en-AU"/>
        </w:rPr>
        <w:t>Acknowledgments</w:t>
      </w:r>
    </w:p>
    <w:p w:rsidR="00463523" w:rsidRDefault="008261E5" w:rsidP="008261E5">
      <w:pPr>
        <w:jc w:val="both"/>
        <w:rPr>
          <w:rFonts w:ascii="Calibri" w:eastAsia="Times New Roman" w:hAnsi="Calibri" w:cs="Arial"/>
          <w:sz w:val="24"/>
          <w:szCs w:val="24"/>
          <w:lang w:eastAsia="en-AU"/>
        </w:rPr>
      </w:pPr>
      <w:r w:rsidRPr="008261E5">
        <w:rPr>
          <w:rFonts w:ascii="Calibri" w:eastAsia="Times New Roman" w:hAnsi="Calibri" w:cs="Arial"/>
          <w:sz w:val="24"/>
          <w:szCs w:val="24"/>
          <w:lang w:eastAsia="en-AU"/>
        </w:rPr>
        <w:t xml:space="preserve">This summary note is based on the 2013 research report, </w:t>
      </w:r>
      <w:r w:rsidR="00BB3193" w:rsidRPr="00BB3193">
        <w:rPr>
          <w:rFonts w:ascii="Calibri" w:eastAsia="Times New Roman" w:hAnsi="Calibri" w:cs="Arial"/>
          <w:i/>
          <w:sz w:val="24"/>
          <w:szCs w:val="24"/>
          <w:lang w:eastAsia="en-AU"/>
        </w:rPr>
        <w:t>Post-compulsory education and training: do young people know what pays?</w:t>
      </w:r>
      <w:r w:rsidRPr="008261E5">
        <w:rPr>
          <w:rFonts w:ascii="Calibri" w:eastAsia="Times New Roman" w:hAnsi="Calibri" w:cs="Arial"/>
          <w:sz w:val="24"/>
          <w:szCs w:val="24"/>
          <w:lang w:eastAsia="en-AU"/>
        </w:rPr>
        <w:t xml:space="preserve"> by Chris Ryan. The research report can be accessed at:</w:t>
      </w:r>
      <w:r w:rsidR="001B1C4F">
        <w:rPr>
          <w:rFonts w:ascii="Calibri" w:eastAsia="Times New Roman" w:hAnsi="Calibri" w:cs="Arial"/>
          <w:sz w:val="24"/>
          <w:szCs w:val="24"/>
          <w:lang w:eastAsia="en-AU"/>
        </w:rPr>
        <w:t xml:space="preserve"> </w:t>
      </w:r>
      <w:hyperlink r:id="rId15" w:history="1">
        <w:r w:rsidR="00463523" w:rsidRPr="00523151">
          <w:rPr>
            <w:rStyle w:val="Hyperlink"/>
            <w:rFonts w:ascii="Calibri" w:eastAsia="Times New Roman" w:hAnsi="Calibri" w:cs="Arial"/>
            <w:sz w:val="24"/>
            <w:szCs w:val="24"/>
            <w:lang w:eastAsia="en-AU"/>
          </w:rPr>
          <w:t>http://melbourneinstitute.com/downloads/economic_forums/July_2013/Ryan,%20Chris_16July2013.pdf</w:t>
        </w:r>
      </w:hyperlink>
      <w:r w:rsidR="00463523">
        <w:rPr>
          <w:rFonts w:ascii="Calibri" w:eastAsia="Times New Roman" w:hAnsi="Calibri" w:cs="Arial"/>
          <w:sz w:val="24"/>
          <w:szCs w:val="24"/>
          <w:lang w:eastAsia="en-AU"/>
        </w:rPr>
        <w:t xml:space="preserve"> or </w:t>
      </w:r>
    </w:p>
    <w:p w:rsidR="008261E5" w:rsidRDefault="00853B13" w:rsidP="008261E5">
      <w:pPr>
        <w:jc w:val="both"/>
        <w:rPr>
          <w:rFonts w:ascii="Calibri" w:eastAsia="Times New Roman" w:hAnsi="Calibri" w:cs="Arial"/>
          <w:sz w:val="24"/>
          <w:szCs w:val="24"/>
          <w:lang w:eastAsia="en-AU"/>
        </w:rPr>
      </w:pPr>
      <w:hyperlink r:id="rId16" w:history="1">
        <w:r w:rsidR="00BA1689" w:rsidRPr="00036D3B">
          <w:rPr>
            <w:rStyle w:val="Hyperlink"/>
            <w:rFonts w:ascii="Calibri" w:eastAsia="Times New Roman" w:hAnsi="Calibri" w:cs="Arial"/>
            <w:sz w:val="24"/>
            <w:szCs w:val="24"/>
            <w:lang w:eastAsia="en-AU"/>
          </w:rPr>
          <w:t>https://www.melbourneinstitut</w:t>
        </w:r>
        <w:bookmarkStart w:id="0" w:name="_GoBack"/>
        <w:bookmarkEnd w:id="0"/>
        <w:r w:rsidR="00BA1689" w:rsidRPr="00036D3B">
          <w:rPr>
            <w:rStyle w:val="Hyperlink"/>
            <w:rFonts w:ascii="Calibri" w:eastAsia="Times New Roman" w:hAnsi="Calibri" w:cs="Arial"/>
            <w:sz w:val="24"/>
            <w:szCs w:val="24"/>
            <w:lang w:eastAsia="en-AU"/>
          </w:rPr>
          <w:t>e.com/miaesr/publications/working-paper-series/wps2014.html</w:t>
        </w:r>
      </w:hyperlink>
    </w:p>
    <w:p w:rsidR="00463523" w:rsidRPr="008261E5" w:rsidRDefault="00463523" w:rsidP="008261E5">
      <w:pPr>
        <w:jc w:val="both"/>
        <w:rPr>
          <w:rFonts w:ascii="Calibri" w:eastAsia="Times New Roman" w:hAnsi="Calibri" w:cs="Arial"/>
          <w:sz w:val="24"/>
          <w:szCs w:val="24"/>
          <w:lang w:eastAsia="en-AU"/>
        </w:rPr>
      </w:pPr>
    </w:p>
    <w:p w:rsidR="001B1C4F" w:rsidRDefault="001B1C4F" w:rsidP="008261E5">
      <w:pPr>
        <w:ind w:left="360"/>
        <w:contextualSpacing/>
        <w:jc w:val="both"/>
        <w:rPr>
          <w:rFonts w:ascii="Calibri" w:eastAsia="Calibri" w:hAnsi="Calibri" w:cs="Calibri"/>
          <w:b/>
          <w:sz w:val="20"/>
          <w:szCs w:val="20"/>
        </w:rPr>
      </w:pPr>
    </w:p>
    <w:p w:rsidR="004D61BF" w:rsidRDefault="004D61BF" w:rsidP="008261E5">
      <w:pPr>
        <w:ind w:left="360"/>
        <w:contextualSpacing/>
        <w:jc w:val="both"/>
        <w:rPr>
          <w:rFonts w:ascii="Calibri" w:eastAsia="Calibri" w:hAnsi="Calibri" w:cs="Calibri"/>
          <w:b/>
          <w:sz w:val="20"/>
          <w:szCs w:val="20"/>
        </w:rPr>
      </w:pPr>
    </w:p>
    <w:p w:rsidR="004D61BF" w:rsidRDefault="004D61BF" w:rsidP="008261E5">
      <w:pPr>
        <w:ind w:left="360"/>
        <w:contextualSpacing/>
        <w:jc w:val="both"/>
        <w:rPr>
          <w:rFonts w:ascii="Calibri" w:eastAsia="Calibri" w:hAnsi="Calibri" w:cs="Calibri"/>
          <w:b/>
          <w:sz w:val="20"/>
          <w:szCs w:val="20"/>
        </w:rPr>
      </w:pPr>
    </w:p>
    <w:p w:rsidR="001B1C4F" w:rsidRDefault="001B1C4F" w:rsidP="008261E5">
      <w:pPr>
        <w:ind w:left="360"/>
        <w:contextualSpacing/>
        <w:jc w:val="both"/>
        <w:rPr>
          <w:rFonts w:ascii="Calibri" w:eastAsia="Calibri" w:hAnsi="Calibri" w:cs="Calibri"/>
          <w:b/>
          <w:sz w:val="20"/>
          <w:szCs w:val="20"/>
        </w:rPr>
      </w:pPr>
    </w:p>
    <w:p w:rsidR="001B1C4F" w:rsidRDefault="001B1C4F" w:rsidP="008261E5">
      <w:pPr>
        <w:ind w:left="360"/>
        <w:contextualSpacing/>
        <w:jc w:val="both"/>
        <w:rPr>
          <w:rFonts w:ascii="Calibri" w:eastAsia="Calibri" w:hAnsi="Calibri" w:cs="Calibri"/>
          <w:b/>
          <w:sz w:val="20"/>
          <w:szCs w:val="20"/>
        </w:rPr>
      </w:pPr>
    </w:p>
    <w:p w:rsidR="001B1C4F" w:rsidRDefault="001B1C4F" w:rsidP="008261E5">
      <w:pPr>
        <w:ind w:left="360"/>
        <w:contextualSpacing/>
        <w:jc w:val="both"/>
        <w:rPr>
          <w:rFonts w:ascii="Calibri" w:eastAsia="Calibri" w:hAnsi="Calibri" w:cs="Calibri"/>
          <w:b/>
          <w:sz w:val="20"/>
          <w:szCs w:val="20"/>
        </w:rPr>
      </w:pPr>
    </w:p>
    <w:p w:rsidR="001B1C4F" w:rsidRDefault="001B1C4F" w:rsidP="008261E5">
      <w:pPr>
        <w:ind w:left="360"/>
        <w:contextualSpacing/>
        <w:jc w:val="both"/>
        <w:rPr>
          <w:rFonts w:ascii="Calibri" w:eastAsia="Calibri" w:hAnsi="Calibri" w:cs="Calibri"/>
          <w:b/>
          <w:sz w:val="20"/>
          <w:szCs w:val="20"/>
        </w:rPr>
      </w:pPr>
    </w:p>
    <w:p w:rsidR="001B1C4F" w:rsidRDefault="001B1C4F" w:rsidP="008261E5">
      <w:pPr>
        <w:ind w:left="360"/>
        <w:contextualSpacing/>
        <w:jc w:val="both"/>
        <w:rPr>
          <w:rFonts w:ascii="Calibri" w:eastAsia="Calibri" w:hAnsi="Calibri" w:cs="Calibri"/>
          <w:b/>
          <w:sz w:val="20"/>
          <w:szCs w:val="20"/>
        </w:rPr>
      </w:pPr>
    </w:p>
    <w:p w:rsidR="00E12B1A" w:rsidRDefault="00E12B1A" w:rsidP="00E12B1A">
      <w:pPr>
        <w:ind w:left="360"/>
        <w:contextualSpacing/>
        <w:jc w:val="both"/>
        <w:rPr>
          <w:rFonts w:ascii="Calibri" w:eastAsia="Calibri" w:hAnsi="Calibri" w:cs="Calibri"/>
          <w:b/>
          <w:sz w:val="20"/>
          <w:szCs w:val="20"/>
        </w:rPr>
      </w:pPr>
    </w:p>
    <w:p w:rsidR="0023425A" w:rsidRDefault="0023425A" w:rsidP="00E12B1A">
      <w:pPr>
        <w:contextualSpacing/>
        <w:jc w:val="both"/>
        <w:rPr>
          <w:rFonts w:ascii="Calibri" w:eastAsia="Calibri" w:hAnsi="Calibri" w:cs="Calibri"/>
          <w:b/>
          <w:sz w:val="20"/>
          <w:szCs w:val="20"/>
        </w:rPr>
      </w:pPr>
    </w:p>
    <w:p w:rsidR="0023425A" w:rsidRDefault="0023425A" w:rsidP="00E12B1A">
      <w:pPr>
        <w:contextualSpacing/>
        <w:jc w:val="both"/>
        <w:rPr>
          <w:rFonts w:ascii="Calibri" w:eastAsia="Calibri" w:hAnsi="Calibri" w:cs="Calibri"/>
          <w:b/>
          <w:sz w:val="20"/>
          <w:szCs w:val="20"/>
        </w:rPr>
      </w:pPr>
    </w:p>
    <w:p w:rsidR="008261E5" w:rsidRPr="00E12B1A" w:rsidRDefault="008261E5" w:rsidP="00E12B1A">
      <w:pPr>
        <w:contextualSpacing/>
        <w:jc w:val="both"/>
        <w:rPr>
          <w:rFonts w:ascii="Arial" w:eastAsia="Calibri" w:hAnsi="Arial" w:cs="Arial"/>
          <w:sz w:val="24"/>
          <w:szCs w:val="24"/>
        </w:rPr>
      </w:pPr>
      <w:r w:rsidRPr="008261E5">
        <w:rPr>
          <w:rFonts w:ascii="Calibri" w:eastAsia="Calibri" w:hAnsi="Calibri" w:cs="Calibri"/>
          <w:b/>
          <w:sz w:val="20"/>
          <w:szCs w:val="20"/>
        </w:rPr>
        <w:t xml:space="preserve">This research is a result of a partnership arrangement between the Department of Education and Early Childhood Development and the Melbourne Institute of Applied Economic and Social Research. </w:t>
      </w:r>
    </w:p>
    <w:sectPr w:rsidR="008261E5" w:rsidRPr="00E12B1A" w:rsidSect="00CE6EF0">
      <w:headerReference w:type="default" r:id="rId17"/>
      <w:footerReference w:type="default" r:id="rId18"/>
      <w:pgSz w:w="11906" w:h="16838"/>
      <w:pgMar w:top="1440" w:right="127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EF0" w:rsidRDefault="00CE6EF0" w:rsidP="008261E5">
      <w:pPr>
        <w:spacing w:after="0" w:line="240" w:lineRule="auto"/>
      </w:pPr>
      <w:r>
        <w:separator/>
      </w:r>
    </w:p>
  </w:endnote>
  <w:endnote w:type="continuationSeparator" w:id="0">
    <w:p w:rsidR="00CE6EF0" w:rsidRDefault="00CE6EF0" w:rsidP="0082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F0" w:rsidRDefault="00CE6EF0">
    <w:pPr>
      <w:pStyle w:val="Footer"/>
    </w:pPr>
    <w:r>
      <w:rPr>
        <w:noProof/>
        <w:lang w:eastAsia="en-AU"/>
      </w:rPr>
      <mc:AlternateContent>
        <mc:Choice Requires="wps">
          <w:drawing>
            <wp:anchor distT="0" distB="0" distL="114300" distR="114300" simplePos="0" relativeHeight="251657728" behindDoc="0" locked="0" layoutInCell="1" allowOverlap="1">
              <wp:simplePos x="0" y="0"/>
              <wp:positionH relativeFrom="margin">
                <wp:posOffset>-965200</wp:posOffset>
              </wp:positionH>
              <wp:positionV relativeFrom="page">
                <wp:posOffset>9896475</wp:posOffset>
              </wp:positionV>
              <wp:extent cx="15083155" cy="942975"/>
              <wp:effectExtent l="0" t="0" r="444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3155" cy="94297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id="Rectangle 7" o:spid="_x0000_s1026" style="position:absolute;margin-left:-76pt;margin-top:779.25pt;width:1187.65pt;height:7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cGggIAAP8EAAAOAAAAZHJzL2Uyb0RvYy54bWysVG1v0zAQ/o7Ef7D8vcsLydpES6dtpQhp&#10;wMTgB7i201g4trHdphviv3N22tICHxCiH1xf7vz4ubvnfHW96yXacuuEVg3OLlKMuKKaCbVu8OdP&#10;y8kMI+eJYkRqxRv8xB2+nr98cTWYmue605JxiwBEuXowDe68N3WSONrxnrgLbbgCZ6ttTzyYdp0w&#10;SwZA72WSp+llMmjLjNWUOwdfF6MTzyN+23LqP7St4x7JBgM3H1cb11VYk/kVqdeWmE7QPQ3yDyx6&#10;IhRceoRaEE/QxorfoHpBrXa69RdU94luW0F5zAGyydJfsnnsiOExFyiOM8cyuf8HS99vHywSrMFT&#10;jBTpoUUfoWhErSVH01Cewbgaoh7Ngw0JOnOv6ReHlL7rIIrfWKuHjhMGpLIQn5wdCIaDo2g1vNMM&#10;0MnG61ipXWv7AAg1QLvYkKdjQ/jOIwofszKdvcrKEiMKzqrIq2kZ7yD14bixzr/hukdh02AL5CM8&#10;2d47H+iQ+hAS6Wsp2FJIGQ27Xt1Ji7YE1FEsZ9ntYo/uTsOkCsFKh2Mj4vgFWMIdwRf4xm5/q7K8&#10;SG/zarK8nE0nxbIoJ9U0nU3SrLqtLtOiKhbL74FgVtSdYIyre6H4QXlZ8Xed3c/AqJmoPTQ0OC+L&#10;NI3Jn9F3p1mm8fenLHvhYRKl6Bs8OwaROrT2tWKQN6k9EXLcJ+f8Y5mhCIf/WJYohND7UUMrzZ5A&#10;B1ZDl2AS4c2ATaftM0YDzF+D3dcNsRwj+VaBlqqsKMLARqMopzkY9tSzOvUQRQGqwdRbjEbjzo9j&#10;vjFWrDu4K4ulUfoGFNiKqI2gzpHXXrcwZTGH/YsQxvjUjlE/3635DwAAAP//AwBQSwMEFAAGAAgA&#10;AAAhADbj/9XjAAAADwEAAA8AAABkcnMvZG93bnJldi54bWxMj81OwzAQhO9IvIO1SNxau67cViFO&#10;hRCFAxIVgQs3J3bjCP9EsZuGt2c5wXF3Zme/Kfezd2QyY+pjkLBaMiAmtFH3oZPw8X5Y7ICkrIJW&#10;LgYj4dsk2FfXV6UqdLyENzPVuSMYElKhJNich4LS1FrjVVrGwQTUTnH0KuM4dlSP6oLh3lHO2IZ6&#10;1Qf8YNVgHqxpv+qzR4yXTe2nJ/f6+WwP/vjYNyfhGilvb+b7OyDZzPnPDL/4eAMVMjXxHHQiTsJi&#10;JTiWyagIsRNA0MM5X6+BNLjbsi0DWpX0f4/qBwAA//8DAFBLAQItABQABgAIAAAAIQC2gziS/gAA&#10;AOEBAAATAAAAAAAAAAAAAAAAAAAAAABbQ29udGVudF9UeXBlc10ueG1sUEsBAi0AFAAGAAgAAAAh&#10;ADj9If/WAAAAlAEAAAsAAAAAAAAAAAAAAAAALwEAAF9yZWxzLy5yZWxzUEsBAi0AFAAGAAgAAAAh&#10;AKRiRwaCAgAA/wQAAA4AAAAAAAAAAAAAAAAALgIAAGRycy9lMm9Eb2MueG1sUEsBAi0AFAAGAAgA&#10;AAAhADbj/9XjAAAADwEAAA8AAAAAAAAAAAAAAAAA3AQAAGRycy9kb3ducmV2LnhtbFBLBQYAAAAA&#10;BAAEAPMAAADsBQAAAAA=&#10;" fillcolor="#4f81bd" stroked="f" strokeweight="2pt">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EF0" w:rsidRDefault="00CE6EF0" w:rsidP="008261E5">
      <w:pPr>
        <w:spacing w:after="0" w:line="240" w:lineRule="auto"/>
      </w:pPr>
      <w:r>
        <w:separator/>
      </w:r>
    </w:p>
  </w:footnote>
  <w:footnote w:type="continuationSeparator" w:id="0">
    <w:p w:rsidR="00CE6EF0" w:rsidRDefault="00CE6EF0" w:rsidP="00826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F0" w:rsidRPr="00C93443" w:rsidRDefault="00CE6EF0" w:rsidP="00CE6EF0">
    <w:pPr>
      <w:pStyle w:val="Header"/>
      <w:jc w:val="both"/>
      <w:rPr>
        <w:color w:val="FFFF00"/>
      </w:rPr>
    </w:pPr>
    <w:r>
      <w:rPr>
        <w:noProof/>
        <w:lang w:eastAsia="en-AU"/>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ge">
                <wp:posOffset>-19050</wp:posOffset>
              </wp:positionV>
              <wp:extent cx="10800080" cy="923925"/>
              <wp:effectExtent l="0" t="0" r="127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80" cy="92392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id="Rectangle 8" o:spid="_x0000_s1026" style="position:absolute;margin-left:0;margin-top:-1.5pt;width:850.4pt;height:7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LXgAIAAP8EAAAOAAAAZHJzL2Uyb0RvYy54bWysVFFv0zAQfkfiP1h+7+KEdGuipdO2UoQ0&#10;YGLwA1zbaSwc29hu0w3x3zk7bemAB4SoVMdnnz9/d/edL692vUJb4bw0usH5GcFIaGa41OsGf/60&#10;nMww8oFqTpXRosGPwuOr+csXl4OtRWE6o7hwCEC0rwfb4C4EW2eZZ53oqT8zVmjYbI3raQDTrTPu&#10;6ADovcoKQs6zwThunWHCe1hdjJt4nvDbVrDwoW29CEg1GLiFNLo0ruKYzS9pvXbUdpLtadB/YNFT&#10;qeHSI9SCBoo2Tv4G1UvmjDdtOGOmz0zbSiZSDBBNTn6J5qGjVqRYIDneHtPk/x8se7+9d0jyBkOh&#10;NO2hRB8haVSvlUCzmJ7B+hq8Huy9iwF6e2fYF4+0ue3AS1w7Z4ZOUA6k8uifPTsQDQ9H0Wp4Zzig&#10;000wKVO71vUREHKAdqkgj8eCiF1ADBZzMiME/hgx2KyKV1UxTXfQ+nDcOh/eCNOjOGmwA/IJnm7v&#10;fIh0aH1wSfSNknwplUqGW69ulUNbCuool7P8ZrFH96duSkdnbeKxEXFcAZZwR9yLfFO1v1V5UZKb&#10;oposz2cXk3JZTifVBZlNSF7dVOekrMrF8nskmJd1JzkX+k5qcVBeXv5dZfc9MGomaQ8NDS6mJSEp&#10;+Gf0/WmUkE74/SnKXgboRCV7kMLRidaxtK81h7hpHahU4zx7zj+lGZJw+Ka0JCHE2o8aWhn+CDpw&#10;BqoEBYU3AyadcU8YDdB/DfZfN9QJjNRbDVqq8rKMDZuMcnpRgOFOd1anO1QzgGowCw6j0bgNY5tv&#10;rJPrDu7KU2q0uQYFtjJpI6pz5LXXLXRZimH/IsQ2PrWT1893a/4DAAD//wMAUEsDBBQABgAIAAAA&#10;IQCMcNbo3QAAAAgBAAAPAAAAZHJzL2Rvd25yZXYueG1sTI9BT8MwDIXvSPyHyEjctpTBBipNJ4QY&#10;HJCG6HbhljZeU5E4VZN15d/jneBkW89+/l6xnrwTIw6xC6TgZp6BQGqC6ahVsN9tZg8gYtJktAuE&#10;Cn4wwrq8vCh0bsKJPnGsUivYhGKuFdiU+lzK2Fj0Os5Dj8TaIQxeJx6HVppBn9jcO7nIspX0uiP+&#10;YHWPzxab7+roGeN9Vfnx1W2/3uzGf7x09WHpaqWur6anRxAJp/S3DGd8voGSmepwJBOFU8BBkoLZ&#10;Ldezep9lnKTm7m6xBFkW8n+A8hcAAP//AwBQSwECLQAUAAYACAAAACEAtoM4kv4AAADhAQAAEwAA&#10;AAAAAAAAAAAAAAAAAAAAW0NvbnRlbnRfVHlwZXNdLnhtbFBLAQItABQABgAIAAAAIQA4/SH/1gAA&#10;AJQBAAALAAAAAAAAAAAAAAAAAC8BAABfcmVscy8ucmVsc1BLAQItABQABgAIAAAAIQCNegLXgAIA&#10;AP8EAAAOAAAAAAAAAAAAAAAAAC4CAABkcnMvZTJvRG9jLnhtbFBLAQItABQABgAIAAAAIQCMcNbo&#10;3QAAAAgBAAAPAAAAAAAAAAAAAAAAANoEAABkcnMvZG93bnJldi54bWxQSwUGAAAAAAQABADzAAAA&#10;5AUAAAAA&#10;" fillcolor="#4f81bd" stroked="f" strokeweight="2pt">
              <w10:wrap anchorx="margin" anchory="page"/>
            </v:rect>
          </w:pict>
        </mc:Fallback>
      </mc:AlternateContent>
    </w:r>
  </w:p>
  <w:p w:rsidR="00CE6EF0" w:rsidRDefault="00CE6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93D"/>
    <w:multiLevelType w:val="hybridMultilevel"/>
    <w:tmpl w:val="8370EE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4750BA4"/>
    <w:multiLevelType w:val="hybridMultilevel"/>
    <w:tmpl w:val="6FC098B4"/>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276B6318"/>
    <w:multiLevelType w:val="hybridMultilevel"/>
    <w:tmpl w:val="E04666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8AB5BEE"/>
    <w:multiLevelType w:val="hybridMultilevel"/>
    <w:tmpl w:val="1708C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E5"/>
    <w:rsid w:val="001B1C4F"/>
    <w:rsid w:val="001E1660"/>
    <w:rsid w:val="0023425A"/>
    <w:rsid w:val="002622DF"/>
    <w:rsid w:val="00272D98"/>
    <w:rsid w:val="002B221E"/>
    <w:rsid w:val="002B5E4C"/>
    <w:rsid w:val="003A0446"/>
    <w:rsid w:val="00463523"/>
    <w:rsid w:val="004D61BF"/>
    <w:rsid w:val="00625C3A"/>
    <w:rsid w:val="00697361"/>
    <w:rsid w:val="007A1DBD"/>
    <w:rsid w:val="008261E5"/>
    <w:rsid w:val="00853B13"/>
    <w:rsid w:val="00BA1689"/>
    <w:rsid w:val="00BB3193"/>
    <w:rsid w:val="00CE23A4"/>
    <w:rsid w:val="00CE6EF0"/>
    <w:rsid w:val="00E12B1A"/>
    <w:rsid w:val="00EB0A8D"/>
    <w:rsid w:val="00FB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E5"/>
  </w:style>
  <w:style w:type="paragraph" w:styleId="Footer">
    <w:name w:val="footer"/>
    <w:basedOn w:val="Normal"/>
    <w:link w:val="FooterChar"/>
    <w:uiPriority w:val="99"/>
    <w:unhideWhenUsed/>
    <w:rsid w:val="00826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1E5"/>
  </w:style>
  <w:style w:type="character" w:styleId="CommentReference">
    <w:name w:val="annotation reference"/>
    <w:basedOn w:val="DefaultParagraphFont"/>
    <w:uiPriority w:val="99"/>
    <w:semiHidden/>
    <w:unhideWhenUsed/>
    <w:rsid w:val="008261E5"/>
    <w:rPr>
      <w:sz w:val="16"/>
      <w:szCs w:val="16"/>
    </w:rPr>
  </w:style>
  <w:style w:type="paragraph" w:styleId="CommentText">
    <w:name w:val="annotation text"/>
    <w:basedOn w:val="Normal"/>
    <w:link w:val="CommentTextChar"/>
    <w:uiPriority w:val="99"/>
    <w:semiHidden/>
    <w:unhideWhenUsed/>
    <w:rsid w:val="008261E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261E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2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E5"/>
    <w:rPr>
      <w:rFonts w:ascii="Tahoma" w:hAnsi="Tahoma" w:cs="Tahoma"/>
      <w:sz w:val="16"/>
      <w:szCs w:val="16"/>
    </w:rPr>
  </w:style>
  <w:style w:type="paragraph" w:styleId="ListParagraph">
    <w:name w:val="List Paragraph"/>
    <w:basedOn w:val="Normal"/>
    <w:uiPriority w:val="34"/>
    <w:qFormat/>
    <w:rsid w:val="008261E5"/>
    <w:pPr>
      <w:ind w:left="720"/>
      <w:contextualSpacing/>
    </w:pPr>
    <w:rPr>
      <w:rFonts w:ascii="Calibri" w:eastAsia="Calibri" w:hAnsi="Calibri" w:cs="Times New Roman"/>
    </w:rPr>
  </w:style>
  <w:style w:type="character" w:styleId="Hyperlink">
    <w:name w:val="Hyperlink"/>
    <w:basedOn w:val="DefaultParagraphFont"/>
    <w:uiPriority w:val="99"/>
    <w:unhideWhenUsed/>
    <w:rsid w:val="00BA1689"/>
    <w:rPr>
      <w:color w:val="0000FF" w:themeColor="hyperlink"/>
      <w:u w:val="single"/>
    </w:rPr>
  </w:style>
  <w:style w:type="character" w:styleId="FollowedHyperlink">
    <w:name w:val="FollowedHyperlink"/>
    <w:basedOn w:val="DefaultParagraphFont"/>
    <w:uiPriority w:val="99"/>
    <w:semiHidden/>
    <w:unhideWhenUsed/>
    <w:rsid w:val="004D61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B70C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B70C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E5"/>
  </w:style>
  <w:style w:type="paragraph" w:styleId="Footer">
    <w:name w:val="footer"/>
    <w:basedOn w:val="Normal"/>
    <w:link w:val="FooterChar"/>
    <w:uiPriority w:val="99"/>
    <w:unhideWhenUsed/>
    <w:rsid w:val="00826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1E5"/>
  </w:style>
  <w:style w:type="character" w:styleId="CommentReference">
    <w:name w:val="annotation reference"/>
    <w:basedOn w:val="DefaultParagraphFont"/>
    <w:uiPriority w:val="99"/>
    <w:semiHidden/>
    <w:unhideWhenUsed/>
    <w:rsid w:val="008261E5"/>
    <w:rPr>
      <w:sz w:val="16"/>
      <w:szCs w:val="16"/>
    </w:rPr>
  </w:style>
  <w:style w:type="paragraph" w:styleId="CommentText">
    <w:name w:val="annotation text"/>
    <w:basedOn w:val="Normal"/>
    <w:link w:val="CommentTextChar"/>
    <w:uiPriority w:val="99"/>
    <w:semiHidden/>
    <w:unhideWhenUsed/>
    <w:rsid w:val="008261E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261E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2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E5"/>
    <w:rPr>
      <w:rFonts w:ascii="Tahoma" w:hAnsi="Tahoma" w:cs="Tahoma"/>
      <w:sz w:val="16"/>
      <w:szCs w:val="16"/>
    </w:rPr>
  </w:style>
  <w:style w:type="paragraph" w:styleId="ListParagraph">
    <w:name w:val="List Paragraph"/>
    <w:basedOn w:val="Normal"/>
    <w:uiPriority w:val="34"/>
    <w:qFormat/>
    <w:rsid w:val="008261E5"/>
    <w:pPr>
      <w:ind w:left="720"/>
      <w:contextualSpacing/>
    </w:pPr>
    <w:rPr>
      <w:rFonts w:ascii="Calibri" w:eastAsia="Calibri" w:hAnsi="Calibri" w:cs="Times New Roman"/>
    </w:rPr>
  </w:style>
  <w:style w:type="character" w:styleId="Hyperlink">
    <w:name w:val="Hyperlink"/>
    <w:basedOn w:val="DefaultParagraphFont"/>
    <w:uiPriority w:val="99"/>
    <w:unhideWhenUsed/>
    <w:rsid w:val="00BA1689"/>
    <w:rPr>
      <w:color w:val="0000FF" w:themeColor="hyperlink"/>
      <w:u w:val="single"/>
    </w:rPr>
  </w:style>
  <w:style w:type="character" w:styleId="FollowedHyperlink">
    <w:name w:val="FollowedHyperlink"/>
    <w:basedOn w:val="DefaultParagraphFont"/>
    <w:uiPriority w:val="99"/>
    <w:semiHidden/>
    <w:unhideWhenUsed/>
    <w:rsid w:val="004D61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B70C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B70C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lbourneinstitute.com/miaesr/publications/working-paper-series/wps201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melbourneinstitute.com/downloads/economic_forums/July_2013/Ryan,%20Chris_16July2013.pdf" TargetMode="External"/><Relationship Id="rId23" Type="http://schemas.openxmlformats.org/officeDocument/2006/relationships/customXml" Target="../customXml/item4.xm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f1e22bdf-3d18-4ee3-a232-8974cf02f396</TermId>
        </TermInfo>
      </Terms>
    </a319977fc8504e09982f090ae1d7c602>
    <TaxCatchAll xmlns="cb9114c1-daad-44dd-acad-30f4246641f2">
      <Value>107</Value>
      <Value>94</Value>
      <Value>93</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This research looks at whether young people (aged 20) have an accurate picture of the impact of education and training on their future incomes and occupations. </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ef488336-45f4-40cf-bd6f-84d3a45c44c0</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8609E-4C10-4701-ADB3-74312D4AFEC4}"/>
</file>

<file path=customXml/itemProps2.xml><?xml version="1.0" encoding="utf-8"?>
<ds:datastoreItem xmlns:ds="http://schemas.openxmlformats.org/officeDocument/2006/customXml" ds:itemID="{D13B0448-EDAB-491F-9C3B-F992195FB8CE}"/>
</file>

<file path=customXml/itemProps3.xml><?xml version="1.0" encoding="utf-8"?>
<ds:datastoreItem xmlns:ds="http://schemas.openxmlformats.org/officeDocument/2006/customXml" ds:itemID="{41F0F236-CC08-4E6D-8DBF-B0AD84A95850}"/>
</file>

<file path=customXml/itemProps4.xml><?xml version="1.0" encoding="utf-8"?>
<ds:datastoreItem xmlns:ds="http://schemas.openxmlformats.org/officeDocument/2006/customXml" ds:itemID="{23CE892C-4CEA-479E-8C24-F4DE091D674A}"/>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DEECD</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Post-compulsory education and training: do young people know what pays? </dc:title>
  <dc:creator>Endekov, Zoran Z</dc:creator>
  <cp:lastModifiedBy>Endekov, Zoran Z</cp:lastModifiedBy>
  <cp:revision>2</cp:revision>
  <cp:lastPrinted>2014-06-18T02:29:00Z</cp:lastPrinted>
  <dcterms:created xsi:type="dcterms:W3CDTF">2014-08-19T01:27:00Z</dcterms:created>
  <dcterms:modified xsi:type="dcterms:W3CDTF">2014-08-19T01:27:00Z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107;#Report|f1e22bdf-3d18-4ee3-a232-8974cf02f396</vt:lpwstr>
  </property>
  <property fmtid="{D5CDD505-2E9C-101B-9397-08002B2CF9AE}" pid="5" name="DEECD_SubjectCategory">
    <vt:lpwstr/>
  </property>
  <property fmtid="{D5CDD505-2E9C-101B-9397-08002B2CF9AE}" pid="6" name="DEECD_Audience">
    <vt:lpwstr>93;#General Public|ef488336-45f4-40cf-bd6f-84d3a45c44c0</vt:lpwstr>
  </property>
</Properties>
</file>