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806D0" w:rsidRPr="008261E5" w:rsidRDefault="00D61335" w:rsidP="001806D0">
      <w:pPr>
        <w:jc w:val="both"/>
        <w:rPr>
          <w:rFonts w:ascii="Calibri" w:eastAsia="Calibri" w:hAnsi="Calibri" w:cs="Calibri"/>
        </w:rPr>
      </w:pPr>
      <w:r>
        <w:rPr>
          <w:rFonts w:ascii="Calibri" w:eastAsia="Calibri" w:hAnsi="Calibri" w:cs="Times New Roman"/>
          <w:noProof/>
          <w:lang w:eastAsia="en-AU"/>
        </w:rPr>
        <mc:AlternateContent>
          <mc:Choice Requires="wps">
            <w:drawing>
              <wp:anchor distT="0" distB="0" distL="114300" distR="114300" simplePos="0" relativeHeight="251661312" behindDoc="0" locked="0" layoutInCell="1" allowOverlap="1">
                <wp:simplePos x="0" y="0"/>
                <wp:positionH relativeFrom="column">
                  <wp:posOffset>4075430</wp:posOffset>
                </wp:positionH>
                <wp:positionV relativeFrom="paragraph">
                  <wp:posOffset>-51435</wp:posOffset>
                </wp:positionV>
                <wp:extent cx="2869565" cy="126746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6D0" w:rsidRDefault="001806D0" w:rsidP="001806D0">
                            <w:r>
                              <w:rPr>
                                <w:noProof/>
                                <w:lang w:eastAsia="en-AU"/>
                              </w:rPr>
                              <w:drawing>
                                <wp:inline distT="0" distB="0" distL="0" distR="0">
                                  <wp:extent cx="26765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1228725"/>
                                          </a:xfrm>
                                          <a:prstGeom prst="rect">
                                            <a:avLst/>
                                          </a:prstGeom>
                                          <a:solidFill>
                                            <a:srgbClr val="1F497D"/>
                                          </a:solid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20.9pt;margin-top:-4.05pt;width:225.95pt;height:99.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antQIAALg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" filled="f" stroked="f">
                <v:textbox>
                  <w:txbxContent>
                    <w:p w:rsidR="001806D0" w:rsidRDefault="001806D0" w:rsidP="001806D0">
                      <w:r>
                        <w:rPr>
                          <w:noProof/>
                          <w:lang w:eastAsia="en-AU"/>
                        </w:rPr>
                        <w:drawing>
                          <wp:inline distT="0" distB="0" distL="0" distR="0">
                            <wp:extent cx="26765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1228725"/>
                                    </a:xfrm>
                                    <a:prstGeom prst="rect">
                                      <a:avLst/>
                                    </a:prstGeom>
                                    <a:solidFill>
                                      <a:srgbClr val="1F497D"/>
                                    </a:solidFill>
                                    <a:ln>
                                      <a:noFill/>
                                    </a:ln>
                                  </pic:spPr>
                                </pic:pic>
                              </a:graphicData>
                            </a:graphic>
                          </wp:inline>
                        </w:drawing>
                      </w:r>
                    </w:p>
                  </w:txbxContent>
                </v:textbox>
              </v:shape>
            </w:pict>
          </mc:Fallback>
        </mc:AlternateContent>
      </w:r>
      <w:r>
        <w:rPr>
          <w:rFonts w:ascii="Calibri" w:eastAsia="Calibri" w:hAnsi="Calibri" w:cs="Calibri"/>
          <w:noProof/>
          <w:lang w:eastAsia="en-AU"/>
        </w:rPr>
        <mc:AlternateContent>
          <mc:Choice Requires="wps">
            <w:drawing>
              <wp:anchor distT="0" distB="0" distL="114300" distR="114300" simplePos="0" relativeHeight="251659264" behindDoc="0" locked="0" layoutInCell="1" allowOverlap="1">
                <wp:simplePos x="0" y="0"/>
                <wp:positionH relativeFrom="column">
                  <wp:posOffset>-708025</wp:posOffset>
                </wp:positionH>
                <wp:positionV relativeFrom="paragraph">
                  <wp:posOffset>-51435</wp:posOffset>
                </wp:positionV>
                <wp:extent cx="3479165" cy="11582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6D0" w:rsidRDefault="001806D0" w:rsidP="001806D0">
                            <w:r>
                              <w:rPr>
                                <w:noProof/>
                                <w:lang w:eastAsia="en-AU"/>
                              </w:rPr>
                              <w:drawing>
                                <wp:inline distT="0" distB="0" distL="0" distR="0">
                                  <wp:extent cx="3286125" cy="904875"/>
                                  <wp:effectExtent l="0" t="0" r="9525" b="9525"/>
                                  <wp:docPr id="3" name="Picture 3" descr="DEE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C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5.75pt;margin-top:-4.05pt;width:273.95pt;height:9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LtgIAAL8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" filled="f" stroked="f">
                <v:textbox style="mso-fit-shape-to-text:t">
                  <w:txbxContent>
                    <w:p w:rsidR="001806D0" w:rsidRDefault="001806D0" w:rsidP="001806D0">
                      <w:r>
                        <w:rPr>
                          <w:noProof/>
                          <w:lang w:eastAsia="en-AU"/>
                        </w:rPr>
                        <w:drawing>
                          <wp:inline distT="0" distB="0" distL="0" distR="0">
                            <wp:extent cx="3286125" cy="904875"/>
                            <wp:effectExtent l="0" t="0" r="9525" b="9525"/>
                            <wp:docPr id="3" name="Picture 3" descr="DEE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C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904875"/>
                                    </a:xfrm>
                                    <a:prstGeom prst="rect">
                                      <a:avLst/>
                                    </a:prstGeom>
                                    <a:noFill/>
                                    <a:ln>
                                      <a:noFill/>
                                    </a:ln>
                                  </pic:spPr>
                                </pic:pic>
                              </a:graphicData>
                            </a:graphic>
                          </wp:inline>
                        </w:drawing>
                      </w:r>
                    </w:p>
                  </w:txbxContent>
                </v:textbox>
              </v:shape>
            </w:pict>
          </mc:Fallback>
        </mc:AlternateContent>
      </w:r>
    </w:p>
    <w:p w:rsidR="001806D0" w:rsidRPr="008261E5" w:rsidRDefault="001806D0" w:rsidP="001806D0">
      <w:pPr>
        <w:jc w:val="both"/>
        <w:rPr>
          <w:rFonts w:ascii="Calibri" w:eastAsia="Calibri" w:hAnsi="Calibri" w:cs="Calibri"/>
        </w:rPr>
      </w:pPr>
    </w:p>
    <w:p w:rsidR="001806D0" w:rsidRPr="008261E5" w:rsidRDefault="001806D0" w:rsidP="001806D0">
      <w:pPr>
        <w:jc w:val="both"/>
        <w:rPr>
          <w:rFonts w:ascii="Calibri" w:eastAsia="Calibri" w:hAnsi="Calibri" w:cs="Calibri"/>
        </w:rPr>
      </w:pPr>
    </w:p>
    <w:p w:rsidR="001806D0" w:rsidRPr="008261E5" w:rsidRDefault="00D61335" w:rsidP="001806D0">
      <w:pPr>
        <w:spacing w:after="120"/>
        <w:ind w:right="-1158"/>
        <w:jc w:val="right"/>
        <w:rPr>
          <w:rFonts w:ascii="Calibri" w:eastAsia="Calibri" w:hAnsi="Calibri" w:cs="Calibri"/>
          <w:b/>
          <w:color w:val="005696"/>
          <w:spacing w:val="-7"/>
          <w:sz w:val="48"/>
          <w:szCs w:val="48"/>
        </w:rPr>
      </w:pPr>
      <w:r>
        <w:rPr>
          <w:rFonts w:ascii="Calibri" w:eastAsia="Calibri" w:hAnsi="Calibri" w:cs="Times New Roman"/>
          <w:noProof/>
          <w:lang w:eastAsia="en-AU"/>
        </w:rPr>
        <mc:AlternateContent>
          <mc:Choice Requires="wps">
            <w:drawing>
              <wp:anchor distT="0" distB="0" distL="114300" distR="114300" simplePos="0" relativeHeight="251660288" behindDoc="0" locked="0" layoutInCell="1" allowOverlap="1">
                <wp:simplePos x="0" y="0"/>
                <wp:positionH relativeFrom="column">
                  <wp:posOffset>-556895</wp:posOffset>
                </wp:positionH>
                <wp:positionV relativeFrom="paragraph">
                  <wp:posOffset>1905</wp:posOffset>
                </wp:positionV>
                <wp:extent cx="2410460" cy="19386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193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6D0" w:rsidRDefault="001806D0" w:rsidP="001806D0">
                            <w:r>
                              <w:rPr>
                                <w:noProof/>
                                <w:lang w:eastAsia="en-AU"/>
                              </w:rPr>
                              <w:drawing>
                                <wp:inline distT="0" distB="0" distL="0" distR="0">
                                  <wp:extent cx="2162175" cy="1885950"/>
                                  <wp:effectExtent l="0" t="0" r="9525" b="0"/>
                                  <wp:docPr id="5" name="Picture 5" descr="0644 Research partnership-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644 Research partnership-logo-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1885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left:0;text-align:left;margin-left:-43.85pt;margin-top:.15pt;width:189.8pt;height:152.6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X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" filled="f" stroked="f">
                <v:textbox>
                  <w:txbxContent>
                    <w:p w:rsidR="001806D0" w:rsidRDefault="001806D0" w:rsidP="001806D0">
                      <w:r>
                        <w:rPr>
                          <w:noProof/>
                          <w:lang w:eastAsia="en-AU"/>
                        </w:rPr>
                        <w:drawing>
                          <wp:inline distT="0" distB="0" distL="0" distR="0">
                            <wp:extent cx="2162175" cy="1885950"/>
                            <wp:effectExtent l="0" t="0" r="9525" b="0"/>
                            <wp:docPr id="5" name="Picture 5" descr="0644 Research partnership-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644 Research partnership-logo-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885950"/>
                                    </a:xfrm>
                                    <a:prstGeom prst="rect">
                                      <a:avLst/>
                                    </a:prstGeom>
                                    <a:noFill/>
                                    <a:ln>
                                      <a:noFill/>
                                    </a:ln>
                                  </pic:spPr>
                                </pic:pic>
                              </a:graphicData>
                            </a:graphic>
                          </wp:inline>
                        </w:drawing>
                      </w:r>
                    </w:p>
                  </w:txbxContent>
                </v:textbox>
              </v:shape>
            </w:pict>
          </mc:Fallback>
        </mc:AlternateContent>
      </w:r>
    </w:p>
    <w:p w:rsidR="001806D0" w:rsidRPr="008261E5" w:rsidRDefault="001806D0" w:rsidP="001806D0">
      <w:pPr>
        <w:spacing w:after="120"/>
        <w:jc w:val="both"/>
        <w:rPr>
          <w:rFonts w:ascii="Calibri" w:eastAsia="Calibri" w:hAnsi="Calibri" w:cs="Calibri"/>
          <w:b/>
          <w:color w:val="005696"/>
          <w:spacing w:val="-7"/>
          <w:sz w:val="48"/>
          <w:szCs w:val="48"/>
        </w:rPr>
      </w:pPr>
    </w:p>
    <w:p w:rsidR="001806D0" w:rsidRPr="008261E5" w:rsidRDefault="001806D0" w:rsidP="001806D0">
      <w:pPr>
        <w:spacing w:after="120"/>
        <w:jc w:val="right"/>
        <w:rPr>
          <w:rFonts w:ascii="Calibri" w:eastAsia="Calibri" w:hAnsi="Calibri" w:cs="Calibri"/>
          <w:b/>
          <w:color w:val="005696"/>
          <w:spacing w:val="-7"/>
          <w:sz w:val="48"/>
          <w:szCs w:val="48"/>
        </w:rPr>
      </w:pPr>
      <w:r w:rsidRPr="008261E5">
        <w:rPr>
          <w:rFonts w:ascii="Calibri" w:eastAsia="Calibri" w:hAnsi="Calibri" w:cs="Calibri"/>
          <w:b/>
          <w:color w:val="005696"/>
          <w:spacing w:val="-7"/>
          <w:sz w:val="48"/>
          <w:szCs w:val="48"/>
        </w:rPr>
        <w:t>SUMMARY NOTE</w:t>
      </w:r>
    </w:p>
    <w:p w:rsidR="001806D0" w:rsidRPr="008261E5" w:rsidRDefault="001806D0" w:rsidP="001806D0">
      <w:pPr>
        <w:spacing w:after="120"/>
        <w:jc w:val="both"/>
        <w:rPr>
          <w:rFonts w:ascii="Calibri" w:eastAsia="Calibri" w:hAnsi="Calibri" w:cs="Calibri"/>
          <w:b/>
          <w:color w:val="005696"/>
          <w:spacing w:val="-7"/>
          <w:sz w:val="48"/>
          <w:szCs w:val="48"/>
        </w:rPr>
      </w:pPr>
    </w:p>
    <w:p w:rsidR="001806D0" w:rsidRPr="001806D0" w:rsidRDefault="001806D0" w:rsidP="00D61335">
      <w:pPr>
        <w:spacing w:after="120"/>
        <w:jc w:val="both"/>
        <w:rPr>
          <w:rFonts w:ascii="Calibri" w:eastAsia="Calibri" w:hAnsi="Calibri" w:cs="Calibri"/>
          <w:b/>
          <w:color w:val="005696"/>
          <w:spacing w:val="-7"/>
          <w:sz w:val="48"/>
          <w:szCs w:val="48"/>
        </w:rPr>
      </w:pPr>
      <w:r w:rsidRPr="001806D0">
        <w:rPr>
          <w:rFonts w:ascii="Calibri" w:eastAsia="Calibri" w:hAnsi="Calibri" w:cs="Calibri"/>
          <w:b/>
          <w:color w:val="005696"/>
          <w:spacing w:val="-7"/>
          <w:sz w:val="48"/>
          <w:szCs w:val="48"/>
        </w:rPr>
        <w:t>Evaluating the</w:t>
      </w:r>
      <w:r w:rsidR="00607D27">
        <w:rPr>
          <w:rFonts w:ascii="Calibri" w:eastAsia="Calibri" w:hAnsi="Calibri" w:cs="Calibri"/>
          <w:b/>
          <w:color w:val="005696"/>
          <w:spacing w:val="-7"/>
          <w:sz w:val="48"/>
          <w:szCs w:val="48"/>
        </w:rPr>
        <w:t xml:space="preserve"> Impact of the </w:t>
      </w:r>
      <w:r w:rsidRPr="001806D0">
        <w:rPr>
          <w:rFonts w:ascii="Calibri" w:eastAsia="Calibri" w:hAnsi="Calibri" w:cs="Calibri"/>
          <w:b/>
          <w:color w:val="005696"/>
          <w:spacing w:val="-7"/>
          <w:sz w:val="48"/>
          <w:szCs w:val="48"/>
        </w:rPr>
        <w:t>Smarter Schools National Partnerships</w:t>
      </w:r>
      <w:r w:rsidR="00607D27">
        <w:rPr>
          <w:rFonts w:ascii="Calibri" w:eastAsia="Calibri" w:hAnsi="Calibri" w:cs="Calibri"/>
          <w:b/>
          <w:color w:val="005696"/>
          <w:spacing w:val="-7"/>
          <w:sz w:val="48"/>
          <w:szCs w:val="48"/>
        </w:rPr>
        <w:t xml:space="preserve"> on Student Achievement</w:t>
      </w:r>
    </w:p>
    <w:p w:rsidR="00607D27" w:rsidRDefault="001806D0" w:rsidP="003F6B87">
      <w:pPr>
        <w:suppressAutoHyphens/>
        <w:autoSpaceDE w:val="0"/>
        <w:autoSpaceDN w:val="0"/>
        <w:adjustRightInd w:val="0"/>
        <w:spacing w:before="120" w:line="280" w:lineRule="atLeast"/>
        <w:jc w:val="both"/>
        <w:textAlignment w:val="center"/>
        <w:rPr>
          <w:rFonts w:ascii="Calibri" w:eastAsia="Calibri" w:hAnsi="Calibri" w:cs="Calibri"/>
          <w:b/>
          <w:sz w:val="28"/>
          <w:szCs w:val="28"/>
        </w:rPr>
      </w:pPr>
      <w:r w:rsidRPr="008261E5">
        <w:rPr>
          <w:rFonts w:ascii="Calibri" w:eastAsia="Calibri" w:hAnsi="Calibri" w:cs="Calibri"/>
          <w:b/>
          <w:sz w:val="28"/>
          <w:szCs w:val="28"/>
        </w:rPr>
        <w:t xml:space="preserve">This research </w:t>
      </w:r>
      <w:r>
        <w:rPr>
          <w:rFonts w:ascii="Calibri" w:eastAsia="Calibri" w:hAnsi="Calibri" w:cs="Calibri"/>
          <w:b/>
          <w:sz w:val="28"/>
          <w:szCs w:val="28"/>
        </w:rPr>
        <w:t xml:space="preserve">examined the impact of the Smarter Schools National Partnership on </w:t>
      </w:r>
      <w:r w:rsidR="00607D27">
        <w:rPr>
          <w:rFonts w:ascii="Calibri" w:eastAsia="Calibri" w:hAnsi="Calibri" w:cs="Calibri"/>
          <w:b/>
          <w:sz w:val="28"/>
          <w:szCs w:val="28"/>
        </w:rPr>
        <w:t xml:space="preserve">literacy and numeracy achievement in primary and secondary school students. </w:t>
      </w:r>
    </w:p>
    <w:p w:rsidR="001806D0" w:rsidRPr="001806D0" w:rsidRDefault="001806D0" w:rsidP="001806D0">
      <w:pPr>
        <w:suppressAutoHyphens/>
        <w:autoSpaceDE w:val="0"/>
        <w:autoSpaceDN w:val="0"/>
        <w:adjustRightInd w:val="0"/>
        <w:spacing w:before="120" w:after="120" w:line="280" w:lineRule="atLeast"/>
        <w:jc w:val="both"/>
        <w:textAlignment w:val="center"/>
        <w:rPr>
          <w:rFonts w:ascii="Calibri" w:eastAsia="Calibri" w:hAnsi="Calibri" w:cs="Calibri"/>
          <w:b/>
          <w:bCs/>
          <w:color w:val="005696"/>
          <w:sz w:val="28"/>
          <w:szCs w:val="28"/>
          <w:u w:color="005596"/>
          <w:lang w:val="en-US" w:eastAsia="en-AU"/>
        </w:rPr>
      </w:pPr>
      <w:r w:rsidRPr="001806D0">
        <w:rPr>
          <w:rFonts w:ascii="Calibri" w:eastAsia="Calibri" w:hAnsi="Calibri" w:cs="Calibri"/>
          <w:b/>
          <w:bCs/>
          <w:color w:val="005696"/>
          <w:sz w:val="28"/>
          <w:szCs w:val="28"/>
          <w:u w:color="005596"/>
          <w:lang w:val="en-US" w:eastAsia="en-AU"/>
        </w:rPr>
        <w:t>Key Findings and Conclusions</w:t>
      </w:r>
    </w:p>
    <w:p w:rsidR="001806D0" w:rsidRPr="001806D0" w:rsidRDefault="001806D0" w:rsidP="001806D0">
      <w:pPr>
        <w:numPr>
          <w:ilvl w:val="0"/>
          <w:numId w:val="1"/>
        </w:numPr>
        <w:contextualSpacing/>
        <w:jc w:val="both"/>
        <w:rPr>
          <w:rFonts w:ascii="Calibri" w:eastAsia="Times New Roman" w:hAnsi="Calibri" w:cs="Arial"/>
          <w:sz w:val="24"/>
          <w:szCs w:val="24"/>
          <w:lang w:eastAsia="en-AU"/>
        </w:rPr>
      </w:pPr>
      <w:r w:rsidRPr="001806D0">
        <w:rPr>
          <w:rFonts w:ascii="Calibri" w:eastAsia="Times New Roman" w:hAnsi="Calibri" w:cs="Arial"/>
          <w:sz w:val="24"/>
          <w:szCs w:val="24"/>
          <w:lang w:eastAsia="en-AU"/>
        </w:rPr>
        <w:t xml:space="preserve">Overall, the Smarter Schools National Partnerships </w:t>
      </w:r>
      <w:r>
        <w:rPr>
          <w:rFonts w:ascii="Calibri" w:eastAsia="Times New Roman" w:hAnsi="Calibri" w:cs="Arial"/>
          <w:sz w:val="24"/>
          <w:szCs w:val="24"/>
          <w:lang w:eastAsia="en-AU"/>
        </w:rPr>
        <w:t>(</w:t>
      </w:r>
      <w:r w:rsidRPr="001806D0">
        <w:rPr>
          <w:rFonts w:ascii="Calibri" w:eastAsia="Times New Roman" w:hAnsi="Calibri" w:cs="Arial"/>
          <w:sz w:val="24"/>
          <w:szCs w:val="24"/>
          <w:lang w:eastAsia="en-AU"/>
        </w:rPr>
        <w:t>SSNP</w:t>
      </w:r>
      <w:r>
        <w:rPr>
          <w:rFonts w:ascii="Calibri" w:eastAsia="Times New Roman" w:hAnsi="Calibri" w:cs="Arial"/>
          <w:sz w:val="24"/>
          <w:szCs w:val="24"/>
          <w:lang w:eastAsia="en-AU"/>
        </w:rPr>
        <w:t>)</w:t>
      </w:r>
      <w:r w:rsidRPr="001806D0">
        <w:rPr>
          <w:rFonts w:ascii="Calibri" w:eastAsia="Times New Roman" w:hAnsi="Calibri" w:cs="Arial"/>
          <w:sz w:val="24"/>
          <w:szCs w:val="24"/>
          <w:lang w:eastAsia="en-AU"/>
        </w:rPr>
        <w:t xml:space="preserve"> program was found to have caused a greater improvement in student achievement in secondary schools, while at primary school level, students improved to a lesser degree. The program appears to have been successful in raising student achievement beyond typical growth between year levels</w:t>
      </w:r>
      <w:r w:rsidR="00201E53">
        <w:rPr>
          <w:rFonts w:ascii="Calibri" w:eastAsia="Times New Roman" w:hAnsi="Calibri" w:cs="Arial"/>
          <w:sz w:val="24"/>
          <w:szCs w:val="24"/>
          <w:lang w:eastAsia="en-AU"/>
        </w:rPr>
        <w:t xml:space="preserve"> in NAPLAN tests</w:t>
      </w:r>
      <w:r w:rsidRPr="001806D0">
        <w:rPr>
          <w:rFonts w:ascii="Calibri" w:eastAsia="Times New Roman" w:hAnsi="Calibri" w:cs="Arial"/>
          <w:sz w:val="24"/>
          <w:szCs w:val="24"/>
          <w:lang w:eastAsia="en-AU"/>
        </w:rPr>
        <w:t>.</w:t>
      </w:r>
    </w:p>
    <w:p w:rsidR="001806D0" w:rsidRPr="001806D0" w:rsidRDefault="001806D0" w:rsidP="001806D0">
      <w:pPr>
        <w:numPr>
          <w:ilvl w:val="0"/>
          <w:numId w:val="1"/>
        </w:numPr>
        <w:contextualSpacing/>
        <w:jc w:val="both"/>
        <w:rPr>
          <w:rFonts w:ascii="Calibri" w:eastAsia="Times New Roman" w:hAnsi="Calibri" w:cs="Arial"/>
          <w:sz w:val="24"/>
          <w:szCs w:val="24"/>
          <w:lang w:eastAsia="en-AU"/>
        </w:rPr>
      </w:pPr>
      <w:r w:rsidRPr="001806D0">
        <w:rPr>
          <w:rFonts w:ascii="Calibri" w:eastAsia="Times New Roman" w:hAnsi="Calibri" w:cs="Arial"/>
          <w:sz w:val="24"/>
          <w:szCs w:val="24"/>
          <w:lang w:eastAsia="en-AU"/>
        </w:rPr>
        <w:t xml:space="preserve">Compared to their peers in non-SSNP schools, secondary school students gained an additional 12 points in reading and 34 points in numeracy NAPLAN scores.  </w:t>
      </w:r>
    </w:p>
    <w:p w:rsidR="001806D0" w:rsidRPr="001806D0" w:rsidRDefault="001806D0" w:rsidP="001806D0">
      <w:pPr>
        <w:numPr>
          <w:ilvl w:val="0"/>
          <w:numId w:val="1"/>
        </w:numPr>
        <w:contextualSpacing/>
        <w:jc w:val="both"/>
        <w:rPr>
          <w:rFonts w:ascii="Calibri" w:eastAsia="Times New Roman" w:hAnsi="Calibri" w:cs="Arial"/>
          <w:sz w:val="24"/>
          <w:szCs w:val="24"/>
          <w:lang w:eastAsia="en-AU"/>
        </w:rPr>
      </w:pPr>
      <w:r w:rsidRPr="001806D0">
        <w:rPr>
          <w:rFonts w:ascii="Calibri" w:eastAsia="Times New Roman" w:hAnsi="Calibri" w:cs="Arial"/>
          <w:sz w:val="24"/>
          <w:szCs w:val="24"/>
          <w:lang w:eastAsia="en-AU"/>
        </w:rPr>
        <w:t xml:space="preserve">Further analyses of varying groups of students (i.e. from different SES backgrounds) in SSNP schools, found large improvements in secondary school students compared to primary school students.  In secondary schools, growth in low-SES students’ numeracy score was 13 points higher than that of students in the highest SES quartile.  A similar differential of 14 points was found in reading.  </w:t>
      </w:r>
    </w:p>
    <w:p w:rsidR="001806D0" w:rsidRPr="001806D0" w:rsidRDefault="001806D0" w:rsidP="001806D0">
      <w:pPr>
        <w:numPr>
          <w:ilvl w:val="0"/>
          <w:numId w:val="1"/>
        </w:numPr>
        <w:contextualSpacing/>
        <w:jc w:val="both"/>
        <w:rPr>
          <w:rFonts w:ascii="Calibri" w:eastAsia="Times New Roman" w:hAnsi="Calibri" w:cs="Arial"/>
          <w:sz w:val="24"/>
          <w:szCs w:val="24"/>
          <w:lang w:eastAsia="en-AU"/>
        </w:rPr>
      </w:pPr>
      <w:r w:rsidRPr="001806D0">
        <w:rPr>
          <w:rFonts w:ascii="Calibri" w:eastAsia="Times New Roman" w:hAnsi="Calibri" w:cs="Arial"/>
          <w:sz w:val="24"/>
          <w:szCs w:val="24"/>
          <w:lang w:eastAsia="en-AU"/>
        </w:rPr>
        <w:t xml:space="preserve">The paper suggests that the additional SSNP funding may have addressed resource issues for disadvantaged students; particularly those that do not have access to resources or support at home (i.e. homework support).    </w:t>
      </w:r>
    </w:p>
    <w:p w:rsidR="001806D0" w:rsidRPr="001806D0" w:rsidRDefault="001806D0" w:rsidP="001806D0">
      <w:pPr>
        <w:numPr>
          <w:ilvl w:val="0"/>
          <w:numId w:val="1"/>
        </w:numPr>
        <w:contextualSpacing/>
        <w:jc w:val="both"/>
        <w:rPr>
          <w:rFonts w:ascii="Calibri" w:eastAsia="Times New Roman" w:hAnsi="Calibri" w:cs="Arial"/>
          <w:sz w:val="24"/>
          <w:szCs w:val="24"/>
          <w:lang w:eastAsia="en-AU"/>
        </w:rPr>
      </w:pPr>
      <w:r w:rsidRPr="001806D0">
        <w:rPr>
          <w:rFonts w:ascii="Calibri" w:eastAsia="Times New Roman" w:hAnsi="Calibri" w:cs="Arial"/>
          <w:sz w:val="24"/>
          <w:szCs w:val="24"/>
          <w:lang w:eastAsia="en-AU"/>
        </w:rPr>
        <w:t xml:space="preserve">The results also indicate a significant causal impact of the SSNP program on teaching and learning. Students reported improved experiences of the quality of their learning environment and substantially higher levels of teacher effectiveness. Teachers reported higher opinions of their teaching practice as well as higher support from school leaders. </w:t>
      </w:r>
    </w:p>
    <w:p w:rsidR="001806D0" w:rsidRPr="001806D0" w:rsidRDefault="001806D0" w:rsidP="003F6B87">
      <w:pPr>
        <w:numPr>
          <w:ilvl w:val="0"/>
          <w:numId w:val="1"/>
        </w:numPr>
        <w:spacing w:after="120"/>
        <w:ind w:left="357" w:hanging="357"/>
        <w:jc w:val="both"/>
        <w:rPr>
          <w:rFonts w:ascii="Calibri" w:eastAsia="Times New Roman" w:hAnsi="Calibri" w:cs="Arial"/>
          <w:sz w:val="24"/>
          <w:szCs w:val="24"/>
          <w:lang w:eastAsia="en-AU"/>
        </w:rPr>
      </w:pPr>
      <w:r w:rsidRPr="001806D0">
        <w:rPr>
          <w:rFonts w:ascii="Calibri" w:eastAsia="Times New Roman" w:hAnsi="Calibri" w:cs="Arial"/>
          <w:sz w:val="24"/>
          <w:szCs w:val="24"/>
          <w:lang w:eastAsia="en-AU"/>
        </w:rPr>
        <w:lastRenderedPageBreak/>
        <w:t>The paper concludes that these results are largely due to schools spending a majority of their SSNP funds on coaches for teachers and principals to enhance the quality of their practice</w:t>
      </w:r>
      <w:r w:rsidR="002C7EA7">
        <w:rPr>
          <w:rFonts w:ascii="Calibri" w:eastAsia="Times New Roman" w:hAnsi="Calibri" w:cs="Arial"/>
          <w:sz w:val="24"/>
          <w:szCs w:val="24"/>
          <w:lang w:eastAsia="en-AU"/>
        </w:rPr>
        <w:t xml:space="preserve"> and leadership</w:t>
      </w:r>
      <w:r w:rsidRPr="001806D0">
        <w:rPr>
          <w:rFonts w:ascii="Calibri" w:eastAsia="Times New Roman" w:hAnsi="Calibri" w:cs="Arial"/>
          <w:sz w:val="24"/>
          <w:szCs w:val="24"/>
          <w:lang w:eastAsia="en-AU"/>
        </w:rPr>
        <w:t xml:space="preserve">. </w:t>
      </w:r>
    </w:p>
    <w:p w:rsidR="001806D0" w:rsidRPr="001806D0" w:rsidRDefault="001806D0" w:rsidP="00F55E3C">
      <w:pPr>
        <w:suppressAutoHyphens/>
        <w:autoSpaceDE w:val="0"/>
        <w:autoSpaceDN w:val="0"/>
        <w:adjustRightInd w:val="0"/>
        <w:spacing w:after="120" w:line="280" w:lineRule="atLeast"/>
        <w:jc w:val="both"/>
        <w:textAlignment w:val="center"/>
        <w:rPr>
          <w:rFonts w:ascii="Calibri" w:eastAsia="Calibri" w:hAnsi="Calibri" w:cs="Calibri"/>
          <w:b/>
          <w:bCs/>
          <w:color w:val="005696"/>
          <w:sz w:val="28"/>
          <w:szCs w:val="28"/>
          <w:u w:color="005596"/>
          <w:lang w:val="en-US" w:eastAsia="en-AU"/>
        </w:rPr>
      </w:pPr>
      <w:r w:rsidRPr="001806D0">
        <w:rPr>
          <w:rFonts w:ascii="Calibri" w:eastAsia="Calibri" w:hAnsi="Calibri" w:cs="Calibri"/>
          <w:b/>
          <w:bCs/>
          <w:color w:val="005696"/>
          <w:sz w:val="28"/>
          <w:szCs w:val="28"/>
          <w:u w:color="005596"/>
          <w:lang w:val="en-US" w:eastAsia="en-AU"/>
        </w:rPr>
        <w:t>Project Background</w:t>
      </w:r>
    </w:p>
    <w:p w:rsidR="001806D0" w:rsidRPr="001806D0" w:rsidRDefault="001806D0" w:rsidP="001806D0">
      <w:pPr>
        <w:numPr>
          <w:ilvl w:val="0"/>
          <w:numId w:val="1"/>
        </w:numPr>
        <w:contextualSpacing/>
        <w:jc w:val="both"/>
        <w:rPr>
          <w:rFonts w:ascii="Calibri" w:eastAsia="Times New Roman" w:hAnsi="Calibri" w:cs="Arial"/>
          <w:sz w:val="24"/>
          <w:szCs w:val="24"/>
          <w:lang w:eastAsia="en-AU"/>
        </w:rPr>
      </w:pPr>
      <w:r w:rsidRPr="001806D0">
        <w:rPr>
          <w:rFonts w:ascii="Calibri" w:eastAsia="Times New Roman" w:hAnsi="Calibri" w:cs="Arial"/>
          <w:sz w:val="24"/>
          <w:szCs w:val="24"/>
          <w:lang w:eastAsia="en-AU"/>
        </w:rPr>
        <w:t>This research examined the impact of the Smarter Schools National Partnerships (SSNP) on student achievement between 2009 and 2011.  Using data from the SSNP program in Victorian government schools along with NAPLAN results, it analysed the effect of the program on numeracy and literacy scores in primary and secondary school students.</w:t>
      </w:r>
    </w:p>
    <w:p w:rsidR="001806D0" w:rsidRPr="001806D0" w:rsidRDefault="001806D0" w:rsidP="001806D0">
      <w:pPr>
        <w:numPr>
          <w:ilvl w:val="0"/>
          <w:numId w:val="1"/>
        </w:numPr>
        <w:contextualSpacing/>
        <w:jc w:val="both"/>
        <w:rPr>
          <w:rFonts w:ascii="Calibri" w:eastAsia="Times New Roman" w:hAnsi="Calibri" w:cs="Arial"/>
          <w:sz w:val="24"/>
          <w:szCs w:val="24"/>
          <w:lang w:eastAsia="en-AU"/>
        </w:rPr>
      </w:pPr>
      <w:r w:rsidRPr="001806D0">
        <w:rPr>
          <w:rFonts w:ascii="Calibri" w:eastAsia="Times New Roman" w:hAnsi="Calibri" w:cs="Arial"/>
          <w:sz w:val="24"/>
          <w:szCs w:val="24"/>
          <w:lang w:eastAsia="en-AU"/>
        </w:rPr>
        <w:t>Using quasi-experimental</w:t>
      </w:r>
      <w:r w:rsidRPr="00D61335">
        <w:rPr>
          <w:rFonts w:ascii="Calibri" w:eastAsia="Times New Roman" w:hAnsi="Calibri"/>
          <w:sz w:val="24"/>
          <w:vertAlign w:val="superscript"/>
          <w:lang w:eastAsia="en-AU"/>
        </w:rPr>
        <w:footnoteReference w:id="1"/>
      </w:r>
      <w:r w:rsidRPr="001806D0">
        <w:rPr>
          <w:rFonts w:ascii="Calibri" w:eastAsia="Times New Roman" w:hAnsi="Calibri" w:cs="Arial"/>
          <w:sz w:val="24"/>
          <w:szCs w:val="24"/>
          <w:lang w:eastAsia="en-AU"/>
        </w:rPr>
        <w:t xml:space="preserve"> economic and statistical techniques, this research contributes to the current literature by presenting evidence on the impact of school resourcing and management on student outcomes.  </w:t>
      </w:r>
    </w:p>
    <w:p w:rsidR="001806D0" w:rsidRPr="001806D0" w:rsidRDefault="001806D0" w:rsidP="001806D0">
      <w:pPr>
        <w:numPr>
          <w:ilvl w:val="0"/>
          <w:numId w:val="1"/>
        </w:numPr>
        <w:contextualSpacing/>
        <w:jc w:val="both"/>
        <w:rPr>
          <w:rFonts w:ascii="Calibri" w:eastAsia="Times New Roman" w:hAnsi="Calibri" w:cs="Arial"/>
          <w:sz w:val="24"/>
          <w:szCs w:val="24"/>
          <w:lang w:eastAsia="en-AU"/>
        </w:rPr>
      </w:pPr>
      <w:r w:rsidRPr="001806D0">
        <w:rPr>
          <w:rFonts w:ascii="Calibri" w:eastAsia="Times New Roman" w:hAnsi="Calibri" w:cs="Arial"/>
          <w:sz w:val="24"/>
          <w:szCs w:val="24"/>
          <w:lang w:eastAsia="en-AU"/>
        </w:rPr>
        <w:t xml:space="preserve">A partnership between state/territory and Commonwealth governments, the SSNP provided $2.5 billion in funding to schools.  Broadly, three major initiatives were developed under the SSNP which aimed to improve students’ literacy and numeracy outcomes; strengthen the capacity of disadvantaged schools; and drive continuous improvement in teaching.  </w:t>
      </w:r>
    </w:p>
    <w:p w:rsidR="001806D0" w:rsidRPr="001806D0" w:rsidRDefault="001806D0" w:rsidP="00F55E3C">
      <w:pPr>
        <w:numPr>
          <w:ilvl w:val="0"/>
          <w:numId w:val="1"/>
        </w:numPr>
        <w:ind w:left="357" w:hanging="357"/>
        <w:jc w:val="both"/>
        <w:rPr>
          <w:rFonts w:ascii="Calibri" w:eastAsia="Times New Roman" w:hAnsi="Calibri" w:cs="Arial"/>
          <w:sz w:val="24"/>
          <w:szCs w:val="24"/>
          <w:lang w:eastAsia="en-AU"/>
        </w:rPr>
      </w:pPr>
      <w:r w:rsidRPr="001806D0">
        <w:rPr>
          <w:rFonts w:ascii="Calibri" w:eastAsia="Times New Roman" w:hAnsi="Calibri" w:cs="Arial"/>
          <w:sz w:val="24"/>
          <w:szCs w:val="24"/>
          <w:lang w:eastAsia="en-AU"/>
        </w:rPr>
        <w:t>These initiatives were labelled: ‘Literacy and Numeracy’; ‘Low Socio-economic Status School Communities’; and ‘Improving Teacher Quality’.  The paper only evaluated the first two due to the limited data and low school take-up on the ‘Improving Teacher Quality’ initiative.</w:t>
      </w:r>
    </w:p>
    <w:p w:rsidR="001806D0" w:rsidRPr="001806D0" w:rsidRDefault="001806D0" w:rsidP="00F55E3C">
      <w:pPr>
        <w:suppressAutoHyphens/>
        <w:autoSpaceDE w:val="0"/>
        <w:autoSpaceDN w:val="0"/>
        <w:adjustRightInd w:val="0"/>
        <w:spacing w:after="120" w:line="280" w:lineRule="atLeast"/>
        <w:jc w:val="both"/>
        <w:textAlignment w:val="center"/>
        <w:rPr>
          <w:rFonts w:ascii="Calibri" w:eastAsia="Calibri" w:hAnsi="Calibri" w:cs="Calibri"/>
          <w:b/>
          <w:bCs/>
          <w:color w:val="005696"/>
          <w:sz w:val="28"/>
          <w:szCs w:val="28"/>
          <w:u w:color="005596"/>
          <w:lang w:val="en-US" w:eastAsia="en-AU"/>
        </w:rPr>
      </w:pPr>
      <w:r w:rsidRPr="001806D0">
        <w:rPr>
          <w:rFonts w:ascii="Calibri" w:eastAsia="Calibri" w:hAnsi="Calibri" w:cs="Calibri"/>
          <w:b/>
          <w:bCs/>
          <w:color w:val="005696"/>
          <w:sz w:val="28"/>
          <w:szCs w:val="28"/>
          <w:u w:color="005596"/>
          <w:lang w:val="en-US" w:eastAsia="en-AU"/>
        </w:rPr>
        <w:t>Project Methodology</w:t>
      </w:r>
    </w:p>
    <w:p w:rsidR="001806D0" w:rsidRPr="001806D0" w:rsidRDefault="001806D0" w:rsidP="001806D0">
      <w:pPr>
        <w:numPr>
          <w:ilvl w:val="0"/>
          <w:numId w:val="1"/>
        </w:numPr>
        <w:contextualSpacing/>
        <w:jc w:val="both"/>
        <w:rPr>
          <w:rFonts w:ascii="Calibri" w:eastAsia="Times New Roman" w:hAnsi="Calibri" w:cs="Arial"/>
          <w:sz w:val="24"/>
          <w:szCs w:val="24"/>
          <w:lang w:eastAsia="en-AU"/>
        </w:rPr>
      </w:pPr>
      <w:r w:rsidRPr="001806D0">
        <w:rPr>
          <w:rFonts w:ascii="Calibri" w:eastAsia="Times New Roman" w:hAnsi="Calibri" w:cs="Arial"/>
          <w:sz w:val="24"/>
          <w:szCs w:val="24"/>
          <w:lang w:eastAsia="en-AU"/>
        </w:rPr>
        <w:t xml:space="preserve">The paper argues that other analyses of the SSNP have not found sufficient evidence of its effectiveness due to their failure to recognise existing differences between students that participated in the SSNP program and the rest of the student body.  </w:t>
      </w:r>
    </w:p>
    <w:p w:rsidR="001806D0" w:rsidRPr="001806D0" w:rsidRDefault="001806D0" w:rsidP="001806D0">
      <w:pPr>
        <w:numPr>
          <w:ilvl w:val="0"/>
          <w:numId w:val="1"/>
        </w:numPr>
        <w:contextualSpacing/>
        <w:jc w:val="both"/>
        <w:rPr>
          <w:rFonts w:ascii="Calibri" w:eastAsia="Times New Roman" w:hAnsi="Calibri" w:cs="Arial"/>
          <w:sz w:val="24"/>
          <w:szCs w:val="24"/>
          <w:lang w:eastAsia="en-AU"/>
        </w:rPr>
      </w:pPr>
      <w:r w:rsidRPr="001806D0">
        <w:rPr>
          <w:rFonts w:ascii="Calibri" w:eastAsia="Times New Roman" w:hAnsi="Calibri" w:cs="Arial"/>
          <w:sz w:val="24"/>
          <w:szCs w:val="24"/>
          <w:lang w:eastAsia="en-AU"/>
        </w:rPr>
        <w:t xml:space="preserve">In contrast, this research examined changes in student achievement, as measured by NAPLAN, between two points in time (in 2009, prior to the SSNP, and 2011, following a complete year of full implementation of SSNP) for students who only differ by their participation in the SSNP program. </w:t>
      </w:r>
    </w:p>
    <w:p w:rsidR="001806D0" w:rsidRPr="001806D0" w:rsidRDefault="001806D0" w:rsidP="001806D0">
      <w:pPr>
        <w:numPr>
          <w:ilvl w:val="0"/>
          <w:numId w:val="1"/>
        </w:numPr>
        <w:contextualSpacing/>
        <w:jc w:val="both"/>
        <w:rPr>
          <w:rFonts w:ascii="Calibri" w:eastAsia="Times New Roman" w:hAnsi="Calibri" w:cs="Arial"/>
          <w:sz w:val="24"/>
          <w:szCs w:val="24"/>
          <w:lang w:eastAsia="en-AU"/>
        </w:rPr>
      </w:pPr>
      <w:r w:rsidRPr="001806D0">
        <w:rPr>
          <w:rFonts w:ascii="Calibri" w:eastAsia="Times New Roman" w:hAnsi="Calibri" w:cs="Arial"/>
          <w:sz w:val="24"/>
          <w:szCs w:val="24"/>
          <w:lang w:eastAsia="en-AU"/>
        </w:rPr>
        <w:t>In Victoria, selection of schools into the SSNP program was based on the schools’ Student Family Occupation (SFO) index.  As a result, a cut-off score was used to allocate schools into the SSNP program.  In total, 334 schools with over 137,000 students received SSNP funding.  From this, two samples were constructed:</w:t>
      </w:r>
    </w:p>
    <w:p w:rsidR="001806D0" w:rsidRPr="001806D0" w:rsidRDefault="001806D0" w:rsidP="00DA510B">
      <w:pPr>
        <w:numPr>
          <w:ilvl w:val="1"/>
          <w:numId w:val="1"/>
        </w:numPr>
        <w:contextualSpacing/>
        <w:jc w:val="both"/>
        <w:rPr>
          <w:rFonts w:ascii="Calibri" w:eastAsia="Times New Roman" w:hAnsi="Calibri" w:cs="Arial"/>
          <w:sz w:val="24"/>
          <w:szCs w:val="24"/>
          <w:lang w:eastAsia="en-AU"/>
        </w:rPr>
      </w:pPr>
      <w:r w:rsidRPr="001806D0">
        <w:rPr>
          <w:rFonts w:ascii="Calibri" w:eastAsia="Times New Roman" w:hAnsi="Calibri" w:cs="Arial"/>
          <w:sz w:val="24"/>
          <w:szCs w:val="24"/>
          <w:lang w:eastAsia="en-AU"/>
        </w:rPr>
        <w:t>Primary school sample – students who moved from Year 3 in 2009 to Year 5 in 2011; and</w:t>
      </w:r>
    </w:p>
    <w:p w:rsidR="001806D0" w:rsidRPr="001806D0" w:rsidRDefault="001806D0" w:rsidP="00DA510B">
      <w:pPr>
        <w:numPr>
          <w:ilvl w:val="1"/>
          <w:numId w:val="1"/>
        </w:numPr>
        <w:contextualSpacing/>
        <w:jc w:val="both"/>
        <w:rPr>
          <w:rFonts w:ascii="Calibri" w:eastAsia="Times New Roman" w:hAnsi="Calibri" w:cs="Arial"/>
          <w:sz w:val="24"/>
          <w:szCs w:val="24"/>
          <w:lang w:eastAsia="en-AU"/>
        </w:rPr>
      </w:pPr>
      <w:r w:rsidRPr="001806D0">
        <w:rPr>
          <w:rFonts w:ascii="Calibri" w:eastAsia="Times New Roman" w:hAnsi="Calibri" w:cs="Arial"/>
          <w:sz w:val="24"/>
          <w:szCs w:val="24"/>
          <w:lang w:eastAsia="en-AU"/>
        </w:rPr>
        <w:t>Secondary school sample – students who moved from Year 7 in 2009 to Year 9 in 2011.</w:t>
      </w:r>
    </w:p>
    <w:p w:rsidR="001806D0" w:rsidRDefault="001806D0" w:rsidP="00607D27">
      <w:pPr>
        <w:numPr>
          <w:ilvl w:val="0"/>
          <w:numId w:val="1"/>
        </w:numPr>
        <w:contextualSpacing/>
        <w:jc w:val="both"/>
        <w:rPr>
          <w:rFonts w:ascii="Calibri" w:eastAsia="Times New Roman" w:hAnsi="Calibri" w:cs="Arial"/>
          <w:sz w:val="24"/>
          <w:szCs w:val="24"/>
          <w:lang w:eastAsia="en-AU"/>
        </w:rPr>
      </w:pPr>
      <w:r w:rsidRPr="001806D0">
        <w:rPr>
          <w:rFonts w:ascii="Calibri" w:eastAsia="Times New Roman" w:hAnsi="Calibri" w:cs="Arial"/>
          <w:sz w:val="24"/>
          <w:szCs w:val="24"/>
          <w:lang w:eastAsia="en-AU"/>
        </w:rPr>
        <w:t>The research evaluated the differences between students at schools who were just above the SFO index cut-off score and were allocated into the SSNP program and those who were just below the cut-off score and were not allocated into the SSNP program.  The assumption is made that these students only differ by whether or not their school was allocated into the SSNP program.</w:t>
      </w:r>
    </w:p>
    <w:p w:rsidR="00607D27" w:rsidRPr="00607D27" w:rsidRDefault="00607D27" w:rsidP="00607D27">
      <w:pPr>
        <w:ind w:left="360"/>
        <w:contextualSpacing/>
        <w:jc w:val="both"/>
        <w:rPr>
          <w:rFonts w:ascii="Calibri" w:eastAsia="Times New Roman" w:hAnsi="Calibri" w:cs="Arial"/>
          <w:sz w:val="24"/>
          <w:szCs w:val="24"/>
          <w:lang w:eastAsia="en-AU"/>
        </w:rPr>
      </w:pPr>
    </w:p>
    <w:p w:rsidR="001806D0" w:rsidRPr="008261E5" w:rsidRDefault="001806D0" w:rsidP="001806D0">
      <w:pPr>
        <w:suppressAutoHyphens/>
        <w:autoSpaceDE w:val="0"/>
        <w:autoSpaceDN w:val="0"/>
        <w:adjustRightInd w:val="0"/>
        <w:spacing w:before="120" w:after="120" w:line="280" w:lineRule="atLeast"/>
        <w:jc w:val="both"/>
        <w:textAlignment w:val="center"/>
        <w:rPr>
          <w:rFonts w:ascii="Calibri" w:eastAsia="Calibri" w:hAnsi="Calibri" w:cs="Calibri"/>
          <w:b/>
          <w:bCs/>
          <w:color w:val="005696"/>
          <w:sz w:val="28"/>
          <w:szCs w:val="28"/>
          <w:u w:color="005596"/>
          <w:lang w:val="en-US" w:eastAsia="en-AU"/>
        </w:rPr>
      </w:pPr>
      <w:r w:rsidRPr="008261E5">
        <w:rPr>
          <w:rFonts w:ascii="Calibri" w:eastAsia="Calibri" w:hAnsi="Calibri" w:cs="Calibri"/>
          <w:b/>
          <w:bCs/>
          <w:color w:val="005696"/>
          <w:sz w:val="28"/>
          <w:szCs w:val="28"/>
          <w:u w:color="005596"/>
          <w:lang w:val="en-US" w:eastAsia="en-AU"/>
        </w:rPr>
        <w:t>Acknowledgments</w:t>
      </w:r>
    </w:p>
    <w:p w:rsidR="00995C1C" w:rsidRPr="00995C1C" w:rsidRDefault="001806D0" w:rsidP="001806D0">
      <w:pPr>
        <w:jc w:val="both"/>
        <w:rPr>
          <w:rFonts w:ascii="Calibri" w:eastAsia="Times New Roman" w:hAnsi="Calibri" w:cs="Arial"/>
          <w:sz w:val="24"/>
          <w:szCs w:val="24"/>
          <w:lang w:eastAsia="en-AU"/>
        </w:rPr>
      </w:pPr>
      <w:r w:rsidRPr="008261E5">
        <w:rPr>
          <w:rFonts w:ascii="Calibri" w:eastAsia="Times New Roman" w:hAnsi="Calibri" w:cs="Arial"/>
          <w:sz w:val="24"/>
          <w:szCs w:val="24"/>
          <w:lang w:eastAsia="en-AU"/>
        </w:rPr>
        <w:t xml:space="preserve">This summary note is based on the 2013 research report, </w:t>
      </w:r>
      <w:r w:rsidR="00607D27" w:rsidRPr="00607D27">
        <w:rPr>
          <w:rFonts w:ascii="Calibri" w:eastAsia="Times New Roman" w:hAnsi="Calibri" w:cs="Arial"/>
          <w:i/>
          <w:sz w:val="24"/>
          <w:szCs w:val="24"/>
          <w:lang w:eastAsia="en-AU"/>
        </w:rPr>
        <w:t>School Resources, Autonomy and student Achievement: Evidence from Regression Discontinuity Design</w:t>
      </w:r>
      <w:r w:rsidR="00607D27">
        <w:rPr>
          <w:rFonts w:ascii="Calibri" w:eastAsia="Times New Roman" w:hAnsi="Calibri" w:cs="Arial"/>
          <w:sz w:val="24"/>
          <w:szCs w:val="24"/>
          <w:lang w:eastAsia="en-AU"/>
        </w:rPr>
        <w:t xml:space="preserve">, </w:t>
      </w:r>
      <w:r w:rsidRPr="008261E5">
        <w:rPr>
          <w:rFonts w:ascii="Calibri" w:eastAsia="Times New Roman" w:hAnsi="Calibri" w:cs="Arial"/>
          <w:sz w:val="24"/>
          <w:szCs w:val="24"/>
          <w:lang w:eastAsia="en-AU"/>
        </w:rPr>
        <w:t xml:space="preserve">by </w:t>
      </w:r>
      <w:r w:rsidR="00607D27">
        <w:rPr>
          <w:rFonts w:ascii="Calibri" w:eastAsia="Times New Roman" w:hAnsi="Calibri" w:cs="Arial"/>
          <w:sz w:val="24"/>
          <w:szCs w:val="24"/>
          <w:lang w:eastAsia="en-AU"/>
        </w:rPr>
        <w:t>Mike Helal</w:t>
      </w:r>
      <w:r w:rsidRPr="008261E5">
        <w:rPr>
          <w:rFonts w:ascii="Calibri" w:eastAsia="Times New Roman" w:hAnsi="Calibri" w:cs="Arial"/>
          <w:sz w:val="24"/>
          <w:szCs w:val="24"/>
          <w:lang w:eastAsia="en-AU"/>
        </w:rPr>
        <w:t>. The research report can be accessed at:</w:t>
      </w:r>
      <w:r w:rsidR="00995C1C">
        <w:rPr>
          <w:rFonts w:ascii="Calibri" w:eastAsia="Times New Roman" w:hAnsi="Calibri" w:cs="Arial"/>
          <w:sz w:val="24"/>
          <w:szCs w:val="24"/>
          <w:lang w:eastAsia="en-AU"/>
        </w:rPr>
        <w:t xml:space="preserve"> </w:t>
      </w:r>
      <w:hyperlink r:id="rId15" w:history="1">
        <w:r w:rsidR="00995C1C" w:rsidRPr="00523151">
          <w:rPr>
            <w:rStyle w:val="Hyperlink"/>
            <w:rFonts w:ascii="Calibri" w:eastAsia="Times New Roman" w:hAnsi="Calibri" w:cs="Arial"/>
            <w:sz w:val="24"/>
            <w:szCs w:val="24"/>
            <w:lang w:eastAsia="en-AU"/>
          </w:rPr>
          <w:t>http://www.sole-jole.org/13470.pdf</w:t>
        </w:r>
      </w:hyperlink>
      <w:r w:rsidR="00995C1C" w:rsidRPr="00995C1C">
        <w:rPr>
          <w:rStyle w:val="Hyperlink"/>
          <w:rFonts w:ascii="Calibri" w:eastAsia="Times New Roman" w:hAnsi="Calibri" w:cs="Arial"/>
          <w:sz w:val="24"/>
          <w:szCs w:val="24"/>
          <w:u w:val="none"/>
          <w:lang w:eastAsia="en-AU"/>
        </w:rPr>
        <w:t xml:space="preserve"> </w:t>
      </w:r>
      <w:r w:rsidR="00995C1C" w:rsidRPr="00995C1C">
        <w:t xml:space="preserve">or     </w:t>
      </w:r>
      <w:r w:rsidR="00995C1C">
        <w:rPr>
          <w:rStyle w:val="Hyperlink"/>
          <w:rFonts w:ascii="Calibri" w:eastAsia="Times New Roman" w:hAnsi="Calibri" w:cs="Arial"/>
          <w:sz w:val="24"/>
          <w:szCs w:val="24"/>
          <w:u w:val="none"/>
          <w:lang w:eastAsia="en-AU"/>
        </w:rPr>
        <w:t xml:space="preserve"> </w:t>
      </w:r>
      <w:r w:rsidR="00995C1C">
        <w:rPr>
          <w:rFonts w:ascii="Calibri" w:eastAsia="Times New Roman" w:hAnsi="Calibri" w:cs="Arial"/>
          <w:sz w:val="24"/>
          <w:szCs w:val="24"/>
          <w:lang w:eastAsia="en-AU"/>
        </w:rPr>
        <w:t xml:space="preserve"> </w:t>
      </w:r>
      <w:hyperlink r:id="rId16" w:history="1">
        <w:r w:rsidR="00042428" w:rsidRPr="00BC2E91">
          <w:rPr>
            <w:rStyle w:val="Hyperlink"/>
            <w:rFonts w:ascii="Calibri" w:eastAsia="Times New Roman" w:hAnsi="Calibri" w:cs="Arial"/>
            <w:sz w:val="24"/>
            <w:szCs w:val="24"/>
            <w:lang w:eastAsia="en-AU"/>
          </w:rPr>
          <w:t>https://www.melbourneinstitute.com/miaesr/publications/working-paper-series/wps2014.html</w:t>
        </w:r>
      </w:hyperlink>
      <w:r w:rsidR="00995C1C">
        <w:rPr>
          <w:rStyle w:val="Hyperlink"/>
          <w:rFonts w:ascii="Calibri" w:eastAsia="Times New Roman" w:hAnsi="Calibri" w:cs="Arial"/>
          <w:sz w:val="24"/>
          <w:szCs w:val="24"/>
          <w:lang w:eastAsia="en-AU"/>
        </w:rPr>
        <w:t xml:space="preserve"> </w:t>
      </w:r>
    </w:p>
    <w:p w:rsidR="00042428" w:rsidRPr="008261E5" w:rsidRDefault="00042428" w:rsidP="001806D0">
      <w:pPr>
        <w:jc w:val="both"/>
        <w:rPr>
          <w:rFonts w:ascii="Calibri" w:eastAsia="Times New Roman" w:hAnsi="Calibri" w:cs="Arial"/>
          <w:sz w:val="24"/>
          <w:szCs w:val="24"/>
          <w:lang w:eastAsia="en-AU"/>
        </w:rPr>
      </w:pPr>
    </w:p>
    <w:p w:rsidR="001806D0" w:rsidRPr="008261E5" w:rsidRDefault="001806D0" w:rsidP="001806D0">
      <w:pPr>
        <w:jc w:val="both"/>
        <w:rPr>
          <w:rFonts w:ascii="Calibri" w:eastAsia="Times New Roman" w:hAnsi="Calibri" w:cs="Arial"/>
          <w:sz w:val="24"/>
          <w:szCs w:val="24"/>
          <w:lang w:eastAsia="en-AU"/>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3F6B87" w:rsidRDefault="003F6B87" w:rsidP="001806D0">
      <w:pPr>
        <w:ind w:left="360"/>
        <w:contextualSpacing/>
        <w:jc w:val="both"/>
        <w:rPr>
          <w:rFonts w:ascii="Calibri" w:eastAsia="Calibri" w:hAnsi="Calibri" w:cs="Calibri"/>
          <w:b/>
          <w:sz w:val="20"/>
          <w:szCs w:val="20"/>
        </w:rPr>
      </w:pPr>
    </w:p>
    <w:p w:rsidR="003F6B87" w:rsidRDefault="003F6B87" w:rsidP="003F6B87">
      <w:pPr>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AD4097">
      <w:pPr>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042428" w:rsidRDefault="00042428" w:rsidP="001806D0">
      <w:pPr>
        <w:ind w:left="360"/>
        <w:contextualSpacing/>
        <w:jc w:val="both"/>
        <w:rPr>
          <w:rFonts w:ascii="Calibri" w:eastAsia="Calibri" w:hAnsi="Calibri" w:cs="Calibri"/>
          <w:b/>
          <w:sz w:val="20"/>
          <w:szCs w:val="20"/>
        </w:rPr>
      </w:pPr>
    </w:p>
    <w:p w:rsidR="002622DF" w:rsidRPr="00380D10" w:rsidRDefault="001806D0" w:rsidP="00AD4097">
      <w:pPr>
        <w:contextualSpacing/>
        <w:jc w:val="both"/>
        <w:rPr>
          <w:rFonts w:ascii="Arial" w:eastAsia="Calibri" w:hAnsi="Arial" w:cs="Arial"/>
          <w:sz w:val="24"/>
          <w:szCs w:val="24"/>
        </w:rPr>
      </w:pPr>
      <w:r w:rsidRPr="008261E5">
        <w:rPr>
          <w:rFonts w:ascii="Calibri" w:eastAsia="Calibri" w:hAnsi="Calibri" w:cs="Calibri"/>
          <w:b/>
          <w:sz w:val="20"/>
          <w:szCs w:val="20"/>
        </w:rPr>
        <w:t xml:space="preserve">This research is a result of a partnership arrangement between the Department of Education and Early Childhood Development and the Melbourne Institute of Applied Economic and Social Research. </w:t>
      </w:r>
    </w:p>
    <w:sectPr w:rsidR="002622DF" w:rsidRPr="00380D10" w:rsidSect="005149E7">
      <w:headerReference w:type="default" r:id="rId17"/>
      <w:footerReference w:type="default" r:id="rId18"/>
      <w:pgSz w:w="11906" w:h="16838"/>
      <w:pgMar w:top="1440" w:right="127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A5" w:rsidRDefault="00562FA5" w:rsidP="001806D0">
      <w:pPr>
        <w:spacing w:after="0" w:line="240" w:lineRule="auto"/>
      </w:pPr>
      <w:r>
        <w:separator/>
      </w:r>
    </w:p>
  </w:endnote>
  <w:endnote w:type="continuationSeparator" w:id="0">
    <w:p w:rsidR="00562FA5" w:rsidRDefault="00562FA5" w:rsidP="0018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DF" w:rsidRDefault="00D61335">
    <w:pPr>
      <w:pStyle w:val="Footer"/>
    </w:pPr>
    <w:r>
      <w:rPr>
        <w:noProof/>
        <w:lang w:eastAsia="en-AU"/>
      </w:rPr>
      <mc:AlternateContent>
        <mc:Choice Requires="wps">
          <w:drawing>
            <wp:anchor distT="0" distB="0" distL="114300" distR="114300" simplePos="0" relativeHeight="251657728" behindDoc="0" locked="0" layoutInCell="1" allowOverlap="1">
              <wp:simplePos x="0" y="0"/>
              <wp:positionH relativeFrom="margin">
                <wp:posOffset>-965200</wp:posOffset>
              </wp:positionH>
              <wp:positionV relativeFrom="page">
                <wp:posOffset>9896475</wp:posOffset>
              </wp:positionV>
              <wp:extent cx="15083155" cy="942975"/>
              <wp:effectExtent l="0" t="0" r="444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3155" cy="94297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id="Rectangle 7" o:spid="_x0000_s1026" style="position:absolute;margin-left:-76pt;margin-top:779.25pt;width:1187.65pt;height:7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" fillcolor="#4f81bd" stroked="f" strokeweight="2pt">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A5" w:rsidRDefault="00562FA5" w:rsidP="001806D0">
      <w:pPr>
        <w:spacing w:after="0" w:line="240" w:lineRule="auto"/>
      </w:pPr>
      <w:r>
        <w:separator/>
      </w:r>
    </w:p>
  </w:footnote>
  <w:footnote w:type="continuationSeparator" w:id="0">
    <w:p w:rsidR="00562FA5" w:rsidRDefault="00562FA5" w:rsidP="001806D0">
      <w:pPr>
        <w:spacing w:after="0" w:line="240" w:lineRule="auto"/>
      </w:pPr>
      <w:r>
        <w:continuationSeparator/>
      </w:r>
    </w:p>
  </w:footnote>
  <w:footnote w:id="1">
    <w:p w:rsidR="001806D0" w:rsidRDefault="001806D0" w:rsidP="001806D0">
      <w:pPr>
        <w:pStyle w:val="FootnoteText"/>
      </w:pPr>
      <w:r>
        <w:rPr>
          <w:rStyle w:val="FootnoteReference"/>
        </w:rPr>
        <w:footnoteRef/>
      </w:r>
      <w:r>
        <w:t xml:space="preserve"> Quasi-experimental research examines the causal impact of an intervention on its target population. Although similar to traditional research designs it specifically lacks the element of random assignment to treatment or control group. This is an appropriate technique for this research as selection into the SSNP program was not random.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DF" w:rsidRPr="00C93443" w:rsidRDefault="00D61335" w:rsidP="00C93443">
    <w:pPr>
      <w:pStyle w:val="Header"/>
      <w:jc w:val="both"/>
      <w:rPr>
        <w:color w:val="FFFF00"/>
      </w:rPr>
    </w:pPr>
    <w:r>
      <w:rPr>
        <w:noProof/>
        <w:lang w:eastAsia="en-AU"/>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ge">
                <wp:posOffset>-19050</wp:posOffset>
              </wp:positionV>
              <wp:extent cx="10800080" cy="923925"/>
              <wp:effectExtent l="0" t="0" r="127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92392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id="Rectangle 8" o:spid="_x0000_s1026" style="position:absolute;margin-left:0;margin-top:-1.5pt;width:850.4pt;height:7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" fillcolor="#4f81bd" stroked="f" strokeweight="2pt">
              <w10:wrap anchorx="margin" anchory="page"/>
            </v:rect>
          </w:pict>
        </mc:Fallback>
      </mc:AlternateContent>
    </w:r>
  </w:p>
  <w:p w:rsidR="00DE5DDF" w:rsidRDefault="00555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93D"/>
    <w:multiLevelType w:val="hybridMultilevel"/>
    <w:tmpl w:val="8370EE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76B6318"/>
    <w:multiLevelType w:val="hybridMultilevel"/>
    <w:tmpl w:val="E04666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8AB5BEE"/>
    <w:multiLevelType w:val="hybridMultilevel"/>
    <w:tmpl w:val="1708C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D0"/>
    <w:rsid w:val="00042428"/>
    <w:rsid w:val="001806D0"/>
    <w:rsid w:val="00201E53"/>
    <w:rsid w:val="002622DF"/>
    <w:rsid w:val="002C7EA7"/>
    <w:rsid w:val="00380D10"/>
    <w:rsid w:val="003F6B87"/>
    <w:rsid w:val="005358FA"/>
    <w:rsid w:val="00555703"/>
    <w:rsid w:val="00562FA5"/>
    <w:rsid w:val="005B3FAF"/>
    <w:rsid w:val="005F02F2"/>
    <w:rsid w:val="00607D27"/>
    <w:rsid w:val="006B6063"/>
    <w:rsid w:val="006D6FE4"/>
    <w:rsid w:val="00781A11"/>
    <w:rsid w:val="00876685"/>
    <w:rsid w:val="009215D4"/>
    <w:rsid w:val="00995C1C"/>
    <w:rsid w:val="00AD4097"/>
    <w:rsid w:val="00D23D9D"/>
    <w:rsid w:val="00D61335"/>
    <w:rsid w:val="00DA510B"/>
    <w:rsid w:val="00F5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D0"/>
  </w:style>
  <w:style w:type="paragraph" w:styleId="Footer">
    <w:name w:val="footer"/>
    <w:basedOn w:val="Normal"/>
    <w:link w:val="FooterChar"/>
    <w:uiPriority w:val="99"/>
    <w:unhideWhenUsed/>
    <w:rsid w:val="00180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D0"/>
  </w:style>
  <w:style w:type="paragraph" w:styleId="BalloonText">
    <w:name w:val="Balloon Text"/>
    <w:basedOn w:val="Normal"/>
    <w:link w:val="BalloonTextChar"/>
    <w:uiPriority w:val="99"/>
    <w:semiHidden/>
    <w:unhideWhenUsed/>
    <w:rsid w:val="00180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D0"/>
    <w:rPr>
      <w:rFonts w:ascii="Tahoma" w:hAnsi="Tahoma" w:cs="Tahoma"/>
      <w:sz w:val="16"/>
      <w:szCs w:val="16"/>
    </w:rPr>
  </w:style>
  <w:style w:type="paragraph" w:styleId="ListParagraph">
    <w:name w:val="List Paragraph"/>
    <w:basedOn w:val="Normal"/>
    <w:uiPriority w:val="34"/>
    <w:qFormat/>
    <w:rsid w:val="001806D0"/>
    <w:pPr>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1806D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806D0"/>
    <w:rPr>
      <w:rFonts w:ascii="Calibri" w:eastAsia="Calibri" w:hAnsi="Calibri" w:cs="Times New Roman"/>
      <w:sz w:val="20"/>
      <w:szCs w:val="20"/>
    </w:rPr>
  </w:style>
  <w:style w:type="character" w:styleId="FootnoteReference">
    <w:name w:val="footnote reference"/>
    <w:uiPriority w:val="99"/>
    <w:unhideWhenUsed/>
    <w:rsid w:val="001806D0"/>
    <w:rPr>
      <w:vertAlign w:val="superscript"/>
    </w:rPr>
  </w:style>
  <w:style w:type="character" w:styleId="Hyperlink">
    <w:name w:val="Hyperlink"/>
    <w:basedOn w:val="DefaultParagraphFont"/>
    <w:uiPriority w:val="99"/>
    <w:unhideWhenUsed/>
    <w:rsid w:val="00042428"/>
    <w:rPr>
      <w:color w:val="0000FF" w:themeColor="hyperlink"/>
      <w:u w:val="single"/>
    </w:rPr>
  </w:style>
  <w:style w:type="character" w:styleId="FollowedHyperlink">
    <w:name w:val="FollowedHyperlink"/>
    <w:basedOn w:val="DefaultParagraphFont"/>
    <w:uiPriority w:val="99"/>
    <w:semiHidden/>
    <w:unhideWhenUsed/>
    <w:rsid w:val="006B60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D0"/>
  </w:style>
  <w:style w:type="paragraph" w:styleId="Footer">
    <w:name w:val="footer"/>
    <w:basedOn w:val="Normal"/>
    <w:link w:val="FooterChar"/>
    <w:uiPriority w:val="99"/>
    <w:unhideWhenUsed/>
    <w:rsid w:val="00180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D0"/>
  </w:style>
  <w:style w:type="paragraph" w:styleId="BalloonText">
    <w:name w:val="Balloon Text"/>
    <w:basedOn w:val="Normal"/>
    <w:link w:val="BalloonTextChar"/>
    <w:uiPriority w:val="99"/>
    <w:semiHidden/>
    <w:unhideWhenUsed/>
    <w:rsid w:val="00180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D0"/>
    <w:rPr>
      <w:rFonts w:ascii="Tahoma" w:hAnsi="Tahoma" w:cs="Tahoma"/>
      <w:sz w:val="16"/>
      <w:szCs w:val="16"/>
    </w:rPr>
  </w:style>
  <w:style w:type="paragraph" w:styleId="ListParagraph">
    <w:name w:val="List Paragraph"/>
    <w:basedOn w:val="Normal"/>
    <w:uiPriority w:val="34"/>
    <w:qFormat/>
    <w:rsid w:val="001806D0"/>
    <w:pPr>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1806D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806D0"/>
    <w:rPr>
      <w:rFonts w:ascii="Calibri" w:eastAsia="Calibri" w:hAnsi="Calibri" w:cs="Times New Roman"/>
      <w:sz w:val="20"/>
      <w:szCs w:val="20"/>
    </w:rPr>
  </w:style>
  <w:style w:type="character" w:styleId="FootnoteReference">
    <w:name w:val="footnote reference"/>
    <w:uiPriority w:val="99"/>
    <w:unhideWhenUsed/>
    <w:rsid w:val="001806D0"/>
    <w:rPr>
      <w:vertAlign w:val="superscript"/>
    </w:rPr>
  </w:style>
  <w:style w:type="character" w:styleId="Hyperlink">
    <w:name w:val="Hyperlink"/>
    <w:basedOn w:val="DefaultParagraphFont"/>
    <w:uiPriority w:val="99"/>
    <w:unhideWhenUsed/>
    <w:rsid w:val="00042428"/>
    <w:rPr>
      <w:color w:val="0000FF" w:themeColor="hyperlink"/>
      <w:u w:val="single"/>
    </w:rPr>
  </w:style>
  <w:style w:type="character" w:styleId="FollowedHyperlink">
    <w:name w:val="FollowedHyperlink"/>
    <w:basedOn w:val="DefaultParagraphFont"/>
    <w:uiPriority w:val="99"/>
    <w:semiHidden/>
    <w:unhideWhenUsed/>
    <w:rsid w:val="006B60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elbourneinstitute.com/miaesr/publications/working-paper-series/wps201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sole-jole.org/13470.pdf" TargetMode="External"/><Relationship Id="rId23" Type="http://schemas.openxmlformats.org/officeDocument/2006/relationships/customXml" Target="../customXml/item4.xml"/><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f1e22bdf-3d18-4ee3-a232-8974cf02f396</TermId>
        </TermInfo>
      </Terms>
    </a319977fc8504e09982f090ae1d7c602>
    <TaxCatchAll xmlns="cb9114c1-daad-44dd-acad-30f4246641f2">
      <Value>107</Value>
      <Value>94</Value>
      <Value>93</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This research examined the impact of the Smarter Schools National Partnership on literacy and numeracy achievement in primary and secondary school students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C5CDB-B8D5-47FB-9885-91C88FA2452E}"/>
</file>

<file path=customXml/itemProps2.xml><?xml version="1.0" encoding="utf-8"?>
<ds:datastoreItem xmlns:ds="http://schemas.openxmlformats.org/officeDocument/2006/customXml" ds:itemID="{17681EC7-1710-4B8F-BE4E-C9525BC3D52C}"/>
</file>

<file path=customXml/itemProps3.xml><?xml version="1.0" encoding="utf-8"?>
<ds:datastoreItem xmlns:ds="http://schemas.openxmlformats.org/officeDocument/2006/customXml" ds:itemID="{A892D442-8C5F-4BBF-B06C-68316FE1ECDE}"/>
</file>

<file path=customXml/itemProps4.xml><?xml version="1.0" encoding="utf-8"?>
<ds:datastoreItem xmlns:ds="http://schemas.openxmlformats.org/officeDocument/2006/customXml" ds:itemID="{B7895728-23B8-4C1C-B7C3-ED39CDF995F3}"/>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DEECD</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Impact of the Smarter Schools National Partnerships on Student Achievement</dc:title>
  <dc:creator>Endekov, Zoran Z</dc:creator>
  <cp:lastModifiedBy>Endekov, Zoran Z</cp:lastModifiedBy>
  <cp:revision>2</cp:revision>
  <cp:lastPrinted>2014-06-18T02:32:00Z</cp:lastPrinted>
  <dcterms:created xsi:type="dcterms:W3CDTF">2014-08-19T01:12:00Z</dcterms:created>
  <dcterms:modified xsi:type="dcterms:W3CDTF">2014-08-19T01:12:00Z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107;#Report|f1e22bdf-3d18-4ee3-a232-8974cf02f396</vt:lpwstr>
  </property>
  <property fmtid="{D5CDD505-2E9C-101B-9397-08002B2CF9AE}" pid="5" name="DEECD_SubjectCategory">
    <vt:lpwstr/>
  </property>
  <property fmtid="{D5CDD505-2E9C-101B-9397-08002B2CF9AE}" pid="6" name="DEECD_Audience">
    <vt:lpwstr>93;#General Public|ef488336-45f4-40cf-bd6f-84d3a45c44c0</vt:lpwstr>
  </property>
</Properties>
</file>