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1" w:type="dxa"/>
        <w:tblInd w:w="93" w:type="dxa"/>
        <w:tblLook w:val="04A0" w:firstRow="1" w:lastRow="0" w:firstColumn="1" w:lastColumn="0" w:noHBand="0" w:noVBand="1"/>
      </w:tblPr>
      <w:tblGrid>
        <w:gridCol w:w="3260"/>
        <w:gridCol w:w="6961"/>
      </w:tblGrid>
      <w:tr w:rsidR="000C703E" w:rsidRPr="000C703E" w:rsidTr="000C703E">
        <w:trPr>
          <w:trHeight w:val="315"/>
        </w:trPr>
        <w:tc>
          <w:tcPr>
            <w:tcW w:w="10221" w:type="dxa"/>
            <w:gridSpan w:val="2"/>
            <w:tcBorders>
              <w:top w:val="nil"/>
              <w:left w:val="nil"/>
              <w:bottom w:val="nil"/>
              <w:right w:val="nil"/>
            </w:tcBorders>
            <w:shd w:val="clear" w:color="auto" w:fill="auto"/>
            <w:vAlign w:val="center"/>
            <w:hideMark/>
          </w:tcPr>
          <w:p w:rsidR="000C703E" w:rsidRPr="000C703E" w:rsidRDefault="000C703E" w:rsidP="000C703E">
            <w:pPr>
              <w:spacing w:after="0" w:line="240" w:lineRule="auto"/>
              <w:jc w:val="center"/>
              <w:rPr>
                <w:rFonts w:ascii="Arial" w:eastAsia="Times New Roman" w:hAnsi="Arial" w:cs="Arial"/>
                <w:b/>
                <w:bCs/>
                <w:color w:val="000080"/>
                <w:sz w:val="24"/>
                <w:szCs w:val="24"/>
                <w:lang w:eastAsia="en-AU"/>
              </w:rPr>
            </w:pPr>
            <w:r w:rsidRPr="000C703E">
              <w:rPr>
                <w:rFonts w:ascii="Arial" w:eastAsia="Times New Roman" w:hAnsi="Arial" w:cs="Arial"/>
                <w:b/>
                <w:bCs/>
                <w:color w:val="000080"/>
                <w:sz w:val="24"/>
                <w:szCs w:val="24"/>
                <w:lang w:eastAsia="en-AU"/>
              </w:rPr>
              <w:t xml:space="preserve">PUBLICATION OF </w:t>
            </w:r>
            <w:r w:rsidRPr="000C703E">
              <w:rPr>
                <w:rFonts w:ascii="Arial" w:eastAsia="Times New Roman" w:hAnsi="Arial" w:cs="Arial"/>
                <w:b/>
                <w:bCs/>
                <w:i/>
                <w:iCs/>
                <w:color w:val="000080"/>
                <w:sz w:val="24"/>
                <w:szCs w:val="24"/>
                <w:lang w:eastAsia="en-AU"/>
              </w:rPr>
              <w:t>ON TRACK</w:t>
            </w:r>
            <w:r w:rsidRPr="000C703E">
              <w:rPr>
                <w:rFonts w:ascii="Arial" w:eastAsia="Times New Roman" w:hAnsi="Arial" w:cs="Arial"/>
                <w:b/>
                <w:bCs/>
                <w:color w:val="000080"/>
                <w:sz w:val="24"/>
                <w:szCs w:val="24"/>
                <w:lang w:eastAsia="en-AU"/>
              </w:rPr>
              <w:t xml:space="preserve"> POST YEAR 12 DESTINATIONS 2014 </w:t>
            </w:r>
          </w:p>
        </w:tc>
      </w:tr>
      <w:tr w:rsidR="000C703E" w:rsidRPr="000C703E" w:rsidTr="000C703E">
        <w:trPr>
          <w:trHeight w:val="315"/>
        </w:trPr>
        <w:tc>
          <w:tcPr>
            <w:tcW w:w="10221" w:type="dxa"/>
            <w:gridSpan w:val="2"/>
            <w:tcBorders>
              <w:top w:val="nil"/>
              <w:left w:val="nil"/>
              <w:bottom w:val="nil"/>
              <w:right w:val="nil"/>
            </w:tcBorders>
            <w:shd w:val="clear" w:color="auto" w:fill="auto"/>
            <w:vAlign w:val="center"/>
            <w:hideMark/>
          </w:tcPr>
          <w:p w:rsidR="000C703E" w:rsidRPr="000C703E" w:rsidRDefault="000C703E" w:rsidP="000C703E">
            <w:pPr>
              <w:spacing w:after="0" w:line="240" w:lineRule="auto"/>
              <w:jc w:val="center"/>
              <w:rPr>
                <w:rFonts w:ascii="Arial" w:eastAsia="Times New Roman" w:hAnsi="Arial" w:cs="Arial"/>
                <w:b/>
                <w:bCs/>
                <w:color w:val="000080"/>
                <w:sz w:val="24"/>
                <w:szCs w:val="24"/>
                <w:lang w:eastAsia="en-AU"/>
              </w:rPr>
            </w:pPr>
            <w:r w:rsidRPr="000C703E">
              <w:rPr>
                <w:rFonts w:ascii="Arial" w:eastAsia="Times New Roman" w:hAnsi="Arial" w:cs="Arial"/>
                <w:b/>
                <w:bCs/>
                <w:color w:val="000080"/>
                <w:sz w:val="24"/>
                <w:szCs w:val="24"/>
                <w:lang w:eastAsia="en-AU"/>
              </w:rPr>
              <w:t>NOTES TO TABLE</w:t>
            </w:r>
          </w:p>
        </w:tc>
      </w:tr>
      <w:tr w:rsidR="000C703E" w:rsidRPr="000C703E" w:rsidTr="000C703E">
        <w:trPr>
          <w:trHeight w:val="315"/>
        </w:trPr>
        <w:tc>
          <w:tcPr>
            <w:tcW w:w="3260" w:type="dxa"/>
            <w:tcBorders>
              <w:top w:val="nil"/>
              <w:left w:val="nil"/>
              <w:bottom w:val="nil"/>
              <w:right w:val="nil"/>
            </w:tcBorders>
            <w:shd w:val="clear" w:color="auto" w:fill="auto"/>
            <w:noWrap/>
            <w:vAlign w:val="bottom"/>
            <w:hideMark/>
          </w:tcPr>
          <w:p w:rsidR="000C703E" w:rsidRPr="000C703E" w:rsidRDefault="000C703E" w:rsidP="000C703E">
            <w:pPr>
              <w:spacing w:after="0" w:line="240" w:lineRule="auto"/>
              <w:rPr>
                <w:rFonts w:ascii="Calibri" w:eastAsia="Times New Roman" w:hAnsi="Calibri" w:cs="Times New Roman"/>
                <w:color w:val="000000"/>
                <w:lang w:eastAsia="en-AU"/>
              </w:rPr>
            </w:pPr>
          </w:p>
        </w:tc>
        <w:tc>
          <w:tcPr>
            <w:tcW w:w="6961" w:type="dxa"/>
            <w:tcBorders>
              <w:top w:val="nil"/>
              <w:left w:val="nil"/>
              <w:bottom w:val="nil"/>
              <w:right w:val="nil"/>
            </w:tcBorders>
            <w:shd w:val="clear" w:color="auto" w:fill="auto"/>
            <w:noWrap/>
            <w:vAlign w:val="bottom"/>
            <w:hideMark/>
          </w:tcPr>
          <w:p w:rsidR="000C703E" w:rsidRPr="000C703E" w:rsidRDefault="000C703E" w:rsidP="000C703E">
            <w:pPr>
              <w:spacing w:after="0" w:line="240" w:lineRule="auto"/>
              <w:rPr>
                <w:rFonts w:ascii="Calibri" w:eastAsia="Times New Roman" w:hAnsi="Calibri" w:cs="Times New Roman"/>
                <w:color w:val="000000"/>
                <w:lang w:eastAsia="en-AU"/>
              </w:rPr>
            </w:pPr>
          </w:p>
        </w:tc>
      </w:tr>
      <w:tr w:rsidR="000C703E" w:rsidRPr="000C703E" w:rsidTr="000C703E">
        <w:trPr>
          <w:trHeight w:val="315"/>
        </w:trPr>
        <w:tc>
          <w:tcPr>
            <w:tcW w:w="326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0C703E" w:rsidRPr="000C703E" w:rsidRDefault="000C703E" w:rsidP="000C703E">
            <w:pPr>
              <w:spacing w:after="0" w:line="240" w:lineRule="auto"/>
              <w:rPr>
                <w:rFonts w:ascii="Arial" w:eastAsia="Times New Roman" w:hAnsi="Arial" w:cs="Arial"/>
                <w:b/>
                <w:bCs/>
                <w:lang w:eastAsia="en-AU"/>
              </w:rPr>
            </w:pPr>
            <w:r w:rsidRPr="000C703E">
              <w:rPr>
                <w:rFonts w:ascii="Arial" w:eastAsia="Times New Roman" w:hAnsi="Arial" w:cs="Arial"/>
                <w:b/>
                <w:bCs/>
                <w:lang w:eastAsia="en-AU"/>
              </w:rPr>
              <w:t>COLUMN</w:t>
            </w:r>
          </w:p>
        </w:tc>
        <w:tc>
          <w:tcPr>
            <w:tcW w:w="6961" w:type="dxa"/>
            <w:tcBorders>
              <w:top w:val="single" w:sz="8" w:space="0" w:color="auto"/>
              <w:left w:val="nil"/>
              <w:bottom w:val="single" w:sz="8" w:space="0" w:color="auto"/>
              <w:right w:val="single" w:sz="8" w:space="0" w:color="auto"/>
            </w:tcBorders>
            <w:shd w:val="clear" w:color="000000" w:fill="D9D9D9"/>
            <w:vAlign w:val="center"/>
            <w:hideMark/>
          </w:tcPr>
          <w:p w:rsidR="000C703E" w:rsidRPr="000C703E" w:rsidRDefault="000C703E" w:rsidP="000C703E">
            <w:pPr>
              <w:spacing w:after="0" w:line="240" w:lineRule="auto"/>
              <w:rPr>
                <w:rFonts w:ascii="Arial" w:eastAsia="Times New Roman" w:hAnsi="Arial" w:cs="Arial"/>
                <w:b/>
                <w:bCs/>
                <w:lang w:eastAsia="en-AU"/>
              </w:rPr>
            </w:pPr>
            <w:r w:rsidRPr="000C703E">
              <w:rPr>
                <w:rFonts w:ascii="Arial" w:eastAsia="Times New Roman" w:hAnsi="Arial" w:cs="Arial"/>
                <w:b/>
                <w:bCs/>
                <w:lang w:eastAsia="en-AU"/>
              </w:rPr>
              <w:t>EXPLANATION</w:t>
            </w:r>
          </w:p>
        </w:tc>
      </w:tr>
      <w:tr w:rsidR="000C703E" w:rsidRPr="000C703E" w:rsidTr="000C703E">
        <w:trPr>
          <w:trHeight w:val="300"/>
        </w:trPr>
        <w:tc>
          <w:tcPr>
            <w:tcW w:w="3260" w:type="dxa"/>
            <w:vMerge w:val="restart"/>
            <w:tcBorders>
              <w:top w:val="nil"/>
              <w:left w:val="single" w:sz="8" w:space="0" w:color="auto"/>
              <w:bottom w:val="single" w:sz="8" w:space="0" w:color="000000"/>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SCHOOL  NA</w:t>
            </w:r>
            <w:bookmarkStart w:id="0" w:name="_GoBack"/>
            <w:bookmarkEnd w:id="0"/>
            <w:r w:rsidRPr="000C703E">
              <w:rPr>
                <w:rFonts w:ascii="Arial" w:eastAsia="Times New Roman" w:hAnsi="Arial" w:cs="Arial"/>
                <w:lang w:eastAsia="en-AU"/>
              </w:rPr>
              <w:t>ME</w:t>
            </w:r>
          </w:p>
        </w:tc>
        <w:tc>
          <w:tcPr>
            <w:tcW w:w="6961" w:type="dxa"/>
            <w:vMerge w:val="restart"/>
            <w:tcBorders>
              <w:top w:val="nil"/>
              <w:left w:val="single" w:sz="8" w:space="0" w:color="auto"/>
              <w:bottom w:val="single" w:sz="8" w:space="0" w:color="000000"/>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The name of the school and campus where reported separately.</w:t>
            </w:r>
          </w:p>
        </w:tc>
      </w:tr>
      <w:tr w:rsidR="000C703E" w:rsidRPr="000C703E" w:rsidTr="000C703E">
        <w:trPr>
          <w:trHeight w:val="315"/>
        </w:trPr>
        <w:tc>
          <w:tcPr>
            <w:tcW w:w="3260" w:type="dxa"/>
            <w:vMerge/>
            <w:tcBorders>
              <w:top w:val="nil"/>
              <w:left w:val="single" w:sz="8" w:space="0" w:color="auto"/>
              <w:bottom w:val="single" w:sz="8" w:space="0" w:color="000000"/>
              <w:right w:val="single" w:sz="8" w:space="0" w:color="auto"/>
            </w:tcBorders>
            <w:vAlign w:val="center"/>
            <w:hideMark/>
          </w:tcPr>
          <w:p w:rsidR="000C703E" w:rsidRPr="000C703E" w:rsidRDefault="000C703E" w:rsidP="000C703E">
            <w:pPr>
              <w:spacing w:after="0" w:line="240" w:lineRule="auto"/>
              <w:rPr>
                <w:rFonts w:ascii="Arial" w:eastAsia="Times New Roman" w:hAnsi="Arial" w:cs="Arial"/>
                <w:lang w:eastAsia="en-AU"/>
              </w:rPr>
            </w:pPr>
          </w:p>
        </w:tc>
        <w:tc>
          <w:tcPr>
            <w:tcW w:w="6961" w:type="dxa"/>
            <w:vMerge/>
            <w:tcBorders>
              <w:top w:val="nil"/>
              <w:left w:val="single" w:sz="8" w:space="0" w:color="auto"/>
              <w:bottom w:val="single" w:sz="8" w:space="0" w:color="000000"/>
              <w:right w:val="single" w:sz="8" w:space="0" w:color="auto"/>
            </w:tcBorders>
            <w:vAlign w:val="center"/>
            <w:hideMark/>
          </w:tcPr>
          <w:p w:rsidR="000C703E" w:rsidRPr="000C703E" w:rsidRDefault="000C703E" w:rsidP="000C703E">
            <w:pPr>
              <w:spacing w:after="0" w:line="240" w:lineRule="auto"/>
              <w:rPr>
                <w:rFonts w:ascii="Arial" w:eastAsia="Times New Roman" w:hAnsi="Arial" w:cs="Arial"/>
                <w:lang w:eastAsia="en-AU"/>
              </w:rPr>
            </w:pPr>
          </w:p>
        </w:tc>
      </w:tr>
      <w:tr w:rsidR="000C703E" w:rsidRPr="000C703E" w:rsidTr="000C703E">
        <w:trPr>
          <w:trHeight w:val="585"/>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LOCALITY</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Included because in some cases the locality is not identifiable from the school name or there is more than one school with the same name.</w:t>
            </w:r>
          </w:p>
        </w:tc>
      </w:tr>
      <w:tr w:rsidR="000C703E" w:rsidRPr="000C703E" w:rsidTr="000C703E">
        <w:trPr>
          <w:trHeight w:val="1440"/>
        </w:trPr>
        <w:tc>
          <w:tcPr>
            <w:tcW w:w="3260" w:type="dxa"/>
            <w:vMerge w:val="restart"/>
            <w:tcBorders>
              <w:top w:val="nil"/>
              <w:left w:val="single" w:sz="8" w:space="0" w:color="auto"/>
              <w:bottom w:val="single" w:sz="8" w:space="0" w:color="000000"/>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Total completed Year 12 (Actual Number)</w:t>
            </w:r>
          </w:p>
        </w:tc>
        <w:tc>
          <w:tcPr>
            <w:tcW w:w="6961" w:type="dxa"/>
            <w:tcBorders>
              <w:top w:val="nil"/>
              <w:left w:val="nil"/>
              <w:bottom w:val="nil"/>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This includes all students in Year 12 under the age </w:t>
            </w:r>
            <w:proofErr w:type="gramStart"/>
            <w:r w:rsidRPr="000C703E">
              <w:rPr>
                <w:rFonts w:ascii="Arial" w:eastAsia="Times New Roman" w:hAnsi="Arial" w:cs="Arial"/>
                <w:lang w:eastAsia="en-AU"/>
              </w:rPr>
              <w:t>of  21</w:t>
            </w:r>
            <w:proofErr w:type="gramEnd"/>
            <w:r w:rsidRPr="000C703E">
              <w:rPr>
                <w:rFonts w:ascii="Arial" w:eastAsia="Times New Roman" w:hAnsi="Arial" w:cs="Arial"/>
                <w:lang w:eastAsia="en-AU"/>
              </w:rPr>
              <w:t xml:space="preserve"> on 1 January 2014 in Victorian schools/providers that have successfully completed Victorian Certificate of Education (VCE) or Victorian Certificate of Applied Learning (VCAL) at intermediate, senior or senior extension level in 2013</w:t>
            </w:r>
            <w:r w:rsidRPr="000C703E">
              <w:rPr>
                <w:rFonts w:ascii="Arial" w:eastAsia="Times New Roman" w:hAnsi="Arial" w:cs="Arial"/>
                <w:b/>
                <w:bCs/>
                <w:lang w:eastAsia="en-AU"/>
              </w:rPr>
              <w:t>.</w:t>
            </w:r>
            <w:r w:rsidRPr="000C703E">
              <w:rPr>
                <w:rFonts w:ascii="Arial" w:eastAsia="Times New Roman" w:hAnsi="Arial" w:cs="Arial"/>
                <w:lang w:eastAsia="en-AU"/>
              </w:rPr>
              <w:t xml:space="preserve"> International Baccalaureate (IB) Year 12 enrolments in 2013</w:t>
            </w:r>
            <w:r w:rsidRPr="000C703E">
              <w:rPr>
                <w:rFonts w:ascii="Arial" w:eastAsia="Times New Roman" w:hAnsi="Arial" w:cs="Arial"/>
                <w:b/>
                <w:bCs/>
                <w:lang w:eastAsia="en-AU"/>
              </w:rPr>
              <w:t xml:space="preserve"> </w:t>
            </w:r>
            <w:r w:rsidRPr="000C703E">
              <w:rPr>
                <w:rFonts w:ascii="Arial" w:eastAsia="Times New Roman" w:hAnsi="Arial" w:cs="Arial"/>
                <w:lang w:eastAsia="en-AU"/>
              </w:rPr>
              <w:t xml:space="preserve">are also included. </w:t>
            </w:r>
          </w:p>
        </w:tc>
      </w:tr>
      <w:tr w:rsidR="000C703E" w:rsidRPr="000C703E" w:rsidTr="000C703E">
        <w:trPr>
          <w:trHeight w:val="300"/>
        </w:trPr>
        <w:tc>
          <w:tcPr>
            <w:tcW w:w="3260" w:type="dxa"/>
            <w:vMerge/>
            <w:tcBorders>
              <w:top w:val="nil"/>
              <w:left w:val="single" w:sz="8" w:space="0" w:color="auto"/>
              <w:bottom w:val="single" w:sz="8" w:space="0" w:color="000000"/>
              <w:right w:val="single" w:sz="8" w:space="0" w:color="auto"/>
            </w:tcBorders>
            <w:vAlign w:val="center"/>
            <w:hideMark/>
          </w:tcPr>
          <w:p w:rsidR="000C703E" w:rsidRPr="000C703E" w:rsidRDefault="000C703E" w:rsidP="000C703E">
            <w:pPr>
              <w:spacing w:after="0" w:line="240" w:lineRule="auto"/>
              <w:rPr>
                <w:rFonts w:ascii="Arial" w:eastAsia="Times New Roman" w:hAnsi="Arial" w:cs="Arial"/>
                <w:lang w:eastAsia="en-AU"/>
              </w:rPr>
            </w:pPr>
          </w:p>
        </w:tc>
        <w:tc>
          <w:tcPr>
            <w:tcW w:w="6961" w:type="dxa"/>
            <w:tcBorders>
              <w:top w:val="nil"/>
              <w:left w:val="nil"/>
              <w:bottom w:val="nil"/>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w:t>
            </w:r>
          </w:p>
        </w:tc>
      </w:tr>
      <w:tr w:rsidR="000C703E" w:rsidRPr="000C703E" w:rsidTr="000C703E">
        <w:trPr>
          <w:trHeight w:val="855"/>
        </w:trPr>
        <w:tc>
          <w:tcPr>
            <w:tcW w:w="3260" w:type="dxa"/>
            <w:vMerge/>
            <w:tcBorders>
              <w:top w:val="nil"/>
              <w:left w:val="single" w:sz="8" w:space="0" w:color="auto"/>
              <w:bottom w:val="single" w:sz="8" w:space="0" w:color="000000"/>
              <w:right w:val="single" w:sz="8" w:space="0" w:color="auto"/>
            </w:tcBorders>
            <w:vAlign w:val="center"/>
            <w:hideMark/>
          </w:tcPr>
          <w:p w:rsidR="000C703E" w:rsidRPr="000C703E" w:rsidRDefault="000C703E" w:rsidP="000C703E">
            <w:pPr>
              <w:spacing w:after="0" w:line="240" w:lineRule="auto"/>
              <w:rPr>
                <w:rFonts w:ascii="Arial" w:eastAsia="Times New Roman" w:hAnsi="Arial" w:cs="Arial"/>
                <w:lang w:eastAsia="en-AU"/>
              </w:rPr>
            </w:pPr>
          </w:p>
        </w:tc>
        <w:tc>
          <w:tcPr>
            <w:tcW w:w="6961" w:type="dxa"/>
            <w:tcBorders>
              <w:top w:val="nil"/>
              <w:left w:val="nil"/>
              <w:bottom w:val="nil"/>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This figure includes students with international addresses and has been sourced from the Victorian Curriculum and Assessment Authority (VCAA). Students who have satisfied the requirements of more than one certificate are counted only once.</w:t>
            </w:r>
          </w:p>
        </w:tc>
      </w:tr>
      <w:tr w:rsidR="000C703E" w:rsidRPr="000C703E" w:rsidTr="000C703E">
        <w:trPr>
          <w:trHeight w:val="315"/>
        </w:trPr>
        <w:tc>
          <w:tcPr>
            <w:tcW w:w="3260" w:type="dxa"/>
            <w:vMerge/>
            <w:tcBorders>
              <w:top w:val="nil"/>
              <w:left w:val="single" w:sz="8" w:space="0" w:color="auto"/>
              <w:bottom w:val="single" w:sz="8" w:space="0" w:color="000000"/>
              <w:right w:val="single" w:sz="8" w:space="0" w:color="auto"/>
            </w:tcBorders>
            <w:vAlign w:val="center"/>
            <w:hideMark/>
          </w:tcPr>
          <w:p w:rsidR="000C703E" w:rsidRPr="000C703E" w:rsidRDefault="000C703E" w:rsidP="000C703E">
            <w:pPr>
              <w:spacing w:after="0" w:line="240" w:lineRule="auto"/>
              <w:rPr>
                <w:rFonts w:ascii="Arial" w:eastAsia="Times New Roman" w:hAnsi="Arial" w:cs="Arial"/>
                <w:lang w:eastAsia="en-AU"/>
              </w:rPr>
            </w:pP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w:t>
            </w:r>
          </w:p>
        </w:tc>
      </w:tr>
      <w:tr w:rsidR="000C703E" w:rsidRPr="000C703E" w:rsidTr="000C703E">
        <w:trPr>
          <w:trHeight w:val="585"/>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Total Consented to </w:t>
            </w:r>
            <w:r w:rsidRPr="000C703E">
              <w:rPr>
                <w:rFonts w:ascii="Arial" w:eastAsia="Times New Roman" w:hAnsi="Arial" w:cs="Arial"/>
                <w:i/>
                <w:iCs/>
                <w:lang w:eastAsia="en-AU"/>
              </w:rPr>
              <w:t>On Track</w:t>
            </w:r>
            <w:r w:rsidRPr="000C703E">
              <w:rPr>
                <w:rFonts w:ascii="Arial" w:eastAsia="Times New Roman" w:hAnsi="Arial" w:cs="Arial"/>
                <w:lang w:eastAsia="en-AU"/>
              </w:rPr>
              <w:t xml:space="preserve">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This is the number of Year 12 completers who consented to participate in the 2014 </w:t>
            </w:r>
            <w:r w:rsidRPr="000C703E">
              <w:rPr>
                <w:rFonts w:ascii="Arial" w:eastAsia="Times New Roman" w:hAnsi="Arial" w:cs="Arial"/>
                <w:i/>
                <w:iCs/>
                <w:lang w:eastAsia="en-AU"/>
              </w:rPr>
              <w:t>On Track</w:t>
            </w:r>
            <w:r w:rsidRPr="000C703E">
              <w:rPr>
                <w:rFonts w:ascii="Arial" w:eastAsia="Times New Roman" w:hAnsi="Arial" w:cs="Arial"/>
                <w:lang w:eastAsia="en-AU"/>
              </w:rPr>
              <w:t xml:space="preserve"> survey.</w:t>
            </w:r>
          </w:p>
        </w:tc>
      </w:tr>
      <w:tr w:rsidR="000C703E" w:rsidRPr="000C703E" w:rsidTr="000C703E">
        <w:trPr>
          <w:trHeight w:val="855"/>
        </w:trPr>
        <w:tc>
          <w:tcPr>
            <w:tcW w:w="3260" w:type="dxa"/>
            <w:tcBorders>
              <w:top w:val="nil"/>
              <w:left w:val="single" w:sz="8" w:space="0" w:color="auto"/>
              <w:bottom w:val="nil"/>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VTAC DATA 2013/14</w:t>
            </w:r>
          </w:p>
        </w:tc>
        <w:tc>
          <w:tcPr>
            <w:tcW w:w="6961" w:type="dxa"/>
            <w:tcBorders>
              <w:top w:val="nil"/>
              <w:left w:val="nil"/>
              <w:bottom w:val="nil"/>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The percentages appearing in the columns underneath the heading “VTAC DATA 2013/14” are calculated by the Victorian Tertiary Admissions Centre (VTAC) using the total numbers of tertiary applicants at each school. </w:t>
            </w:r>
          </w:p>
        </w:tc>
      </w:tr>
      <w:tr w:rsidR="000C703E" w:rsidRPr="000C703E" w:rsidTr="000C703E">
        <w:trPr>
          <w:trHeight w:val="300"/>
        </w:trPr>
        <w:tc>
          <w:tcPr>
            <w:tcW w:w="3260" w:type="dxa"/>
            <w:tcBorders>
              <w:top w:val="nil"/>
              <w:left w:val="single" w:sz="8" w:space="0" w:color="auto"/>
              <w:bottom w:val="nil"/>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(See Note) </w:t>
            </w:r>
          </w:p>
        </w:tc>
        <w:tc>
          <w:tcPr>
            <w:tcW w:w="6961" w:type="dxa"/>
            <w:tcBorders>
              <w:top w:val="nil"/>
              <w:left w:val="nil"/>
              <w:bottom w:val="nil"/>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w:t>
            </w:r>
          </w:p>
        </w:tc>
      </w:tr>
      <w:tr w:rsidR="000C703E" w:rsidRPr="000C703E" w:rsidTr="000C703E">
        <w:trPr>
          <w:trHeight w:val="1740"/>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VTAC has released this data to the Department of Education &amp; Early Childhood Development for the express purpose of producing the </w:t>
            </w:r>
            <w:r w:rsidRPr="000C703E">
              <w:rPr>
                <w:rFonts w:ascii="Arial" w:eastAsia="Times New Roman" w:hAnsi="Arial" w:cs="Arial"/>
                <w:i/>
                <w:iCs/>
                <w:lang w:eastAsia="en-AU"/>
              </w:rPr>
              <w:t xml:space="preserve">On Track </w:t>
            </w:r>
            <w:r w:rsidRPr="000C703E">
              <w:rPr>
                <w:rFonts w:ascii="Arial" w:eastAsia="Times New Roman" w:hAnsi="Arial" w:cs="Arial"/>
                <w:lang w:eastAsia="en-AU"/>
              </w:rPr>
              <w:t xml:space="preserve">table. The table is produced for information only. The data provided by VTAC remains the property of VTAC.  </w:t>
            </w:r>
            <w:r w:rsidRPr="000C703E">
              <w:rPr>
                <w:rFonts w:ascii="Arial" w:eastAsia="Times New Roman" w:hAnsi="Arial" w:cs="Arial"/>
                <w:b/>
                <w:bCs/>
                <w:lang w:eastAsia="en-AU"/>
              </w:rPr>
              <w:t>It</w:t>
            </w:r>
            <w:r w:rsidRPr="000C703E">
              <w:rPr>
                <w:rFonts w:ascii="Arial" w:eastAsia="Times New Roman" w:hAnsi="Arial" w:cs="Arial"/>
                <w:i/>
                <w:iCs/>
                <w:lang w:eastAsia="en-AU"/>
              </w:rPr>
              <w:t xml:space="preserve"> </w:t>
            </w:r>
            <w:r w:rsidRPr="000C703E">
              <w:rPr>
                <w:rFonts w:ascii="Arial" w:eastAsia="Times New Roman" w:hAnsi="Arial" w:cs="Arial"/>
                <w:b/>
                <w:bCs/>
                <w:lang w:eastAsia="en-AU"/>
              </w:rPr>
              <w:t>must not be used by any third party</w:t>
            </w:r>
            <w:r w:rsidRPr="000C703E">
              <w:rPr>
                <w:rFonts w:ascii="Arial" w:eastAsia="Times New Roman" w:hAnsi="Arial" w:cs="Arial"/>
                <w:i/>
                <w:iCs/>
                <w:lang w:eastAsia="en-AU"/>
              </w:rPr>
              <w:t xml:space="preserve"> </w:t>
            </w:r>
            <w:r w:rsidRPr="000C703E">
              <w:rPr>
                <w:rFonts w:ascii="Arial" w:eastAsia="Times New Roman" w:hAnsi="Arial" w:cs="Arial"/>
                <w:lang w:eastAsia="en-AU"/>
              </w:rPr>
              <w:t>for inclusion in any published form or the development of any table or list without the express permission of the VTAC Director; to do so would constitute misrepresentation of the data and a breach of copyright.</w:t>
            </w:r>
            <w:r w:rsidRPr="000C703E">
              <w:rPr>
                <w:rFonts w:ascii="Arial" w:eastAsia="Times New Roman" w:hAnsi="Arial" w:cs="Arial"/>
                <w:i/>
                <w:iCs/>
                <w:sz w:val="20"/>
                <w:szCs w:val="20"/>
                <w:lang w:eastAsia="en-AU"/>
              </w:rPr>
              <w:t xml:space="preserve"> </w:t>
            </w:r>
          </w:p>
        </w:tc>
      </w:tr>
      <w:tr w:rsidR="000C703E" w:rsidRPr="000C703E" w:rsidTr="000C703E">
        <w:trPr>
          <w:trHeight w:val="300"/>
        </w:trPr>
        <w:tc>
          <w:tcPr>
            <w:tcW w:w="3260" w:type="dxa"/>
            <w:vMerge w:val="restart"/>
            <w:tcBorders>
              <w:top w:val="nil"/>
              <w:left w:val="single" w:sz="8" w:space="0" w:color="auto"/>
              <w:bottom w:val="single" w:sz="8" w:space="0" w:color="000000"/>
              <w:right w:val="single" w:sz="8" w:space="0" w:color="auto"/>
            </w:tcBorders>
            <w:shd w:val="clear" w:color="000000" w:fill="FDE9D9"/>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Tertiary Applications and offers</w:t>
            </w:r>
          </w:p>
        </w:tc>
        <w:tc>
          <w:tcPr>
            <w:tcW w:w="6961" w:type="dxa"/>
            <w:vMerge w:val="restart"/>
            <w:tcBorders>
              <w:top w:val="nil"/>
              <w:left w:val="single" w:sz="8" w:space="0" w:color="auto"/>
              <w:bottom w:val="single" w:sz="8" w:space="0" w:color="000000"/>
              <w:right w:val="single" w:sz="8" w:space="0" w:color="auto"/>
            </w:tcBorders>
            <w:shd w:val="clear" w:color="000000" w:fill="FDE9D9"/>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The information presented under this section is based on the number of Year 12 completers who</w:t>
            </w:r>
            <w:r w:rsidRPr="000C703E">
              <w:rPr>
                <w:rFonts w:ascii="Arial" w:eastAsia="Times New Roman" w:hAnsi="Arial" w:cs="Arial"/>
                <w:b/>
                <w:bCs/>
                <w:i/>
                <w:iCs/>
                <w:lang w:eastAsia="en-AU"/>
              </w:rPr>
              <w:t xml:space="preserve"> </w:t>
            </w:r>
            <w:r w:rsidRPr="000C703E">
              <w:rPr>
                <w:rFonts w:ascii="Arial" w:eastAsia="Times New Roman" w:hAnsi="Arial" w:cs="Arial"/>
                <w:lang w:eastAsia="en-AU"/>
              </w:rPr>
              <w:t xml:space="preserve">consented to participate in the </w:t>
            </w:r>
            <w:r w:rsidRPr="000C703E">
              <w:rPr>
                <w:rFonts w:ascii="Arial" w:eastAsia="Times New Roman" w:hAnsi="Arial" w:cs="Arial"/>
                <w:i/>
                <w:iCs/>
                <w:lang w:eastAsia="en-AU"/>
              </w:rPr>
              <w:t>On Track</w:t>
            </w:r>
            <w:r w:rsidRPr="000C703E">
              <w:rPr>
                <w:rFonts w:ascii="Arial" w:eastAsia="Times New Roman" w:hAnsi="Arial" w:cs="Arial"/>
                <w:lang w:eastAsia="en-AU"/>
              </w:rPr>
              <w:t xml:space="preserve"> survey, not the total number of Year 12 completers in the school.</w:t>
            </w:r>
          </w:p>
        </w:tc>
      </w:tr>
      <w:tr w:rsidR="000C703E" w:rsidRPr="000C703E" w:rsidTr="000C703E">
        <w:trPr>
          <w:trHeight w:val="300"/>
        </w:trPr>
        <w:tc>
          <w:tcPr>
            <w:tcW w:w="3260" w:type="dxa"/>
            <w:vMerge/>
            <w:tcBorders>
              <w:top w:val="nil"/>
              <w:left w:val="single" w:sz="8" w:space="0" w:color="auto"/>
              <w:bottom w:val="single" w:sz="8" w:space="0" w:color="000000"/>
              <w:right w:val="single" w:sz="8" w:space="0" w:color="auto"/>
            </w:tcBorders>
            <w:vAlign w:val="center"/>
            <w:hideMark/>
          </w:tcPr>
          <w:p w:rsidR="000C703E" w:rsidRPr="000C703E" w:rsidRDefault="000C703E" w:rsidP="000C703E">
            <w:pPr>
              <w:spacing w:after="0" w:line="240" w:lineRule="auto"/>
              <w:rPr>
                <w:rFonts w:ascii="Arial" w:eastAsia="Times New Roman" w:hAnsi="Arial" w:cs="Arial"/>
                <w:lang w:eastAsia="en-AU"/>
              </w:rPr>
            </w:pPr>
          </w:p>
        </w:tc>
        <w:tc>
          <w:tcPr>
            <w:tcW w:w="6961" w:type="dxa"/>
            <w:vMerge/>
            <w:tcBorders>
              <w:top w:val="nil"/>
              <w:left w:val="single" w:sz="8" w:space="0" w:color="auto"/>
              <w:bottom w:val="single" w:sz="8" w:space="0" w:color="000000"/>
              <w:right w:val="single" w:sz="8" w:space="0" w:color="auto"/>
            </w:tcBorders>
            <w:vAlign w:val="center"/>
            <w:hideMark/>
          </w:tcPr>
          <w:p w:rsidR="000C703E" w:rsidRPr="000C703E" w:rsidRDefault="000C703E" w:rsidP="000C703E">
            <w:pPr>
              <w:spacing w:after="0" w:line="240" w:lineRule="auto"/>
              <w:rPr>
                <w:rFonts w:ascii="Arial" w:eastAsia="Times New Roman" w:hAnsi="Arial" w:cs="Arial"/>
                <w:lang w:eastAsia="en-AU"/>
              </w:rPr>
            </w:pPr>
          </w:p>
        </w:tc>
      </w:tr>
      <w:tr w:rsidR="000C703E" w:rsidRPr="000C703E" w:rsidTr="000C703E">
        <w:trPr>
          <w:trHeight w:val="315"/>
        </w:trPr>
        <w:tc>
          <w:tcPr>
            <w:tcW w:w="3260" w:type="dxa"/>
            <w:vMerge/>
            <w:tcBorders>
              <w:top w:val="nil"/>
              <w:left w:val="single" w:sz="8" w:space="0" w:color="auto"/>
              <w:bottom w:val="single" w:sz="8" w:space="0" w:color="000000"/>
              <w:right w:val="single" w:sz="8" w:space="0" w:color="auto"/>
            </w:tcBorders>
            <w:vAlign w:val="center"/>
            <w:hideMark/>
          </w:tcPr>
          <w:p w:rsidR="000C703E" w:rsidRPr="000C703E" w:rsidRDefault="000C703E" w:rsidP="000C703E">
            <w:pPr>
              <w:spacing w:after="0" w:line="240" w:lineRule="auto"/>
              <w:rPr>
                <w:rFonts w:ascii="Arial" w:eastAsia="Times New Roman" w:hAnsi="Arial" w:cs="Arial"/>
                <w:lang w:eastAsia="en-AU"/>
              </w:rPr>
            </w:pPr>
          </w:p>
        </w:tc>
        <w:tc>
          <w:tcPr>
            <w:tcW w:w="6961" w:type="dxa"/>
            <w:vMerge/>
            <w:tcBorders>
              <w:top w:val="nil"/>
              <w:left w:val="single" w:sz="8" w:space="0" w:color="auto"/>
              <w:bottom w:val="single" w:sz="8" w:space="0" w:color="000000"/>
              <w:right w:val="single" w:sz="8" w:space="0" w:color="auto"/>
            </w:tcBorders>
            <w:vAlign w:val="center"/>
            <w:hideMark/>
          </w:tcPr>
          <w:p w:rsidR="000C703E" w:rsidRPr="000C703E" w:rsidRDefault="000C703E" w:rsidP="000C703E">
            <w:pPr>
              <w:spacing w:after="0" w:line="240" w:lineRule="auto"/>
              <w:rPr>
                <w:rFonts w:ascii="Arial" w:eastAsia="Times New Roman" w:hAnsi="Arial" w:cs="Arial"/>
                <w:lang w:eastAsia="en-AU"/>
              </w:rPr>
            </w:pPr>
          </w:p>
        </w:tc>
      </w:tr>
      <w:tr w:rsidR="000C703E" w:rsidRPr="000C703E" w:rsidTr="000C703E">
        <w:trPr>
          <w:trHeight w:val="300"/>
        </w:trPr>
        <w:tc>
          <w:tcPr>
            <w:tcW w:w="3260" w:type="dxa"/>
            <w:tcBorders>
              <w:top w:val="nil"/>
              <w:left w:val="single" w:sz="8" w:space="0" w:color="auto"/>
              <w:bottom w:val="nil"/>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Tertiary Applicants </w:t>
            </w:r>
          </w:p>
        </w:tc>
        <w:tc>
          <w:tcPr>
            <w:tcW w:w="6961" w:type="dxa"/>
            <w:vMerge w:val="restart"/>
            <w:tcBorders>
              <w:top w:val="nil"/>
              <w:left w:val="single" w:sz="8" w:space="0" w:color="auto"/>
              <w:bottom w:val="single" w:sz="8" w:space="0" w:color="000000"/>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The number of </w:t>
            </w:r>
            <w:r w:rsidRPr="000C703E">
              <w:rPr>
                <w:rFonts w:ascii="Arial" w:eastAsia="Times New Roman" w:hAnsi="Arial" w:cs="Arial"/>
                <w:i/>
                <w:iCs/>
                <w:lang w:eastAsia="en-AU"/>
              </w:rPr>
              <w:t>On Track</w:t>
            </w:r>
            <w:r w:rsidRPr="000C703E">
              <w:rPr>
                <w:rFonts w:ascii="Arial" w:eastAsia="Times New Roman" w:hAnsi="Arial" w:cs="Arial"/>
                <w:lang w:eastAsia="en-AU"/>
              </w:rPr>
              <w:t xml:space="preserve"> consenters applying for a tertiary place through VTAC.</w:t>
            </w:r>
          </w:p>
        </w:tc>
      </w:tr>
      <w:tr w:rsidR="000C703E" w:rsidRPr="000C703E" w:rsidTr="000C703E">
        <w:trPr>
          <w:trHeight w:val="315"/>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(Actual Number)</w:t>
            </w:r>
          </w:p>
        </w:tc>
        <w:tc>
          <w:tcPr>
            <w:tcW w:w="6961" w:type="dxa"/>
            <w:vMerge/>
            <w:tcBorders>
              <w:top w:val="nil"/>
              <w:left w:val="single" w:sz="8" w:space="0" w:color="auto"/>
              <w:bottom w:val="single" w:sz="8" w:space="0" w:color="000000"/>
              <w:right w:val="single" w:sz="8" w:space="0" w:color="auto"/>
            </w:tcBorders>
            <w:vAlign w:val="center"/>
            <w:hideMark/>
          </w:tcPr>
          <w:p w:rsidR="000C703E" w:rsidRPr="000C703E" w:rsidRDefault="000C703E" w:rsidP="000C703E">
            <w:pPr>
              <w:spacing w:after="0" w:line="240" w:lineRule="auto"/>
              <w:rPr>
                <w:rFonts w:ascii="Arial" w:eastAsia="Times New Roman" w:hAnsi="Arial" w:cs="Arial"/>
                <w:lang w:eastAsia="en-AU"/>
              </w:rPr>
            </w:pPr>
          </w:p>
        </w:tc>
      </w:tr>
      <w:tr w:rsidR="000C703E" w:rsidRPr="000C703E" w:rsidTr="000C703E">
        <w:trPr>
          <w:trHeight w:val="870"/>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University Offers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The percentage of tertiary applicants who received at least one university offer, excluding supplementary offers.  This includes those applicants who received offers for both university and TAFE courses.</w:t>
            </w:r>
          </w:p>
        </w:tc>
      </w:tr>
      <w:tr w:rsidR="000C703E" w:rsidRPr="000C703E" w:rsidTr="000C703E">
        <w:trPr>
          <w:trHeight w:val="1155"/>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TAFE/VET Offers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The percentage of tertiary applicants who received at least one tertiary offer, excluding supplementary offers, but did not receive any university offer.  That is, they received an offer for a TAFE/VET course at Certificate IV or above, including those run by independent tertiary colleges.</w:t>
            </w:r>
          </w:p>
        </w:tc>
      </w:tr>
      <w:tr w:rsidR="000C703E" w:rsidRPr="000C703E" w:rsidTr="000C703E">
        <w:trPr>
          <w:trHeight w:val="870"/>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Any Tertiary Offer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The percentage of tertiary applicants who received any tertiary offer (University and TAFE/VET Offers), excluding supplementary offers. This is equal to the sum of university and TAFE/VET offers.  </w:t>
            </w:r>
          </w:p>
        </w:tc>
      </w:tr>
      <w:tr w:rsidR="000C703E" w:rsidRPr="000C703E" w:rsidTr="000C703E">
        <w:trPr>
          <w:trHeight w:val="870"/>
        </w:trPr>
        <w:tc>
          <w:tcPr>
            <w:tcW w:w="3260" w:type="dxa"/>
            <w:tcBorders>
              <w:top w:val="nil"/>
              <w:left w:val="single" w:sz="8" w:space="0" w:color="auto"/>
              <w:bottom w:val="single" w:sz="8" w:space="0" w:color="auto"/>
              <w:right w:val="single" w:sz="8" w:space="0" w:color="auto"/>
            </w:tcBorders>
            <w:shd w:val="clear" w:color="000000" w:fill="FDE9D9"/>
            <w:vAlign w:val="center"/>
            <w:hideMark/>
          </w:tcPr>
          <w:p w:rsidR="000C703E" w:rsidRPr="000C703E" w:rsidRDefault="000C703E" w:rsidP="000C703E">
            <w:pPr>
              <w:spacing w:after="0" w:line="240" w:lineRule="auto"/>
              <w:rPr>
                <w:rFonts w:ascii="Arial" w:eastAsia="Times New Roman" w:hAnsi="Arial" w:cs="Arial"/>
                <w:i/>
                <w:iCs/>
                <w:lang w:eastAsia="en-AU"/>
              </w:rPr>
            </w:pPr>
            <w:r w:rsidRPr="000C703E">
              <w:rPr>
                <w:rFonts w:ascii="Arial" w:eastAsia="Times New Roman" w:hAnsi="Arial" w:cs="Arial"/>
                <w:i/>
                <w:iCs/>
                <w:lang w:eastAsia="en-AU"/>
              </w:rPr>
              <w:lastRenderedPageBreak/>
              <w:t>ON TRACK</w:t>
            </w:r>
            <w:r w:rsidRPr="000C703E">
              <w:rPr>
                <w:rFonts w:ascii="Arial" w:eastAsia="Times New Roman" w:hAnsi="Arial" w:cs="Arial"/>
                <w:lang w:eastAsia="en-AU"/>
              </w:rPr>
              <w:t xml:space="preserve"> SURVEY DATA</w:t>
            </w:r>
          </w:p>
        </w:tc>
        <w:tc>
          <w:tcPr>
            <w:tcW w:w="6961" w:type="dxa"/>
            <w:tcBorders>
              <w:top w:val="nil"/>
              <w:left w:val="nil"/>
              <w:bottom w:val="single" w:sz="8" w:space="0" w:color="auto"/>
              <w:right w:val="single" w:sz="8" w:space="0" w:color="auto"/>
            </w:tcBorders>
            <w:shd w:val="clear" w:color="000000" w:fill="FDE9D9"/>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The data appearing in the columns underneath the heading “</w:t>
            </w:r>
            <w:r w:rsidRPr="000C703E">
              <w:rPr>
                <w:rFonts w:ascii="Arial" w:eastAsia="Times New Roman" w:hAnsi="Arial" w:cs="Arial"/>
                <w:i/>
                <w:iCs/>
                <w:lang w:eastAsia="en-AU"/>
              </w:rPr>
              <w:t>ON</w:t>
            </w:r>
            <w:r w:rsidRPr="000C703E">
              <w:rPr>
                <w:rFonts w:ascii="Arial" w:eastAsia="Times New Roman" w:hAnsi="Arial" w:cs="Arial"/>
                <w:lang w:eastAsia="en-AU"/>
              </w:rPr>
              <w:t xml:space="preserve"> </w:t>
            </w:r>
            <w:r w:rsidRPr="000C703E">
              <w:rPr>
                <w:rFonts w:ascii="Arial" w:eastAsia="Times New Roman" w:hAnsi="Arial" w:cs="Arial"/>
                <w:i/>
                <w:iCs/>
                <w:lang w:eastAsia="en-AU"/>
              </w:rPr>
              <w:t>TRACK</w:t>
            </w:r>
            <w:r w:rsidRPr="000C703E">
              <w:rPr>
                <w:rFonts w:ascii="Arial" w:eastAsia="Times New Roman" w:hAnsi="Arial" w:cs="Arial"/>
                <w:lang w:eastAsia="en-AU"/>
              </w:rPr>
              <w:t xml:space="preserve"> SURVEY DATA” have been sourced from the survey of Year 12 completers conducted in May 2014 and excludes students with international addresses.</w:t>
            </w:r>
          </w:p>
        </w:tc>
      </w:tr>
      <w:tr w:rsidR="000C703E" w:rsidRPr="000C703E" w:rsidTr="000C703E">
        <w:trPr>
          <w:trHeight w:val="585"/>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Total respondents</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This is the number of Year 12 completers who responded to the </w:t>
            </w:r>
            <w:r w:rsidRPr="000C703E">
              <w:rPr>
                <w:rFonts w:ascii="Arial" w:eastAsia="Times New Roman" w:hAnsi="Arial" w:cs="Arial"/>
                <w:i/>
                <w:iCs/>
                <w:lang w:eastAsia="en-AU"/>
              </w:rPr>
              <w:t>On Track</w:t>
            </w:r>
            <w:r w:rsidRPr="000C703E">
              <w:rPr>
                <w:rFonts w:ascii="Arial" w:eastAsia="Times New Roman" w:hAnsi="Arial" w:cs="Arial"/>
                <w:lang w:eastAsia="en-AU"/>
              </w:rPr>
              <w:t xml:space="preserve"> survey in 2014. This is a proportion of the Year 12 completers who consented to participate.</w:t>
            </w:r>
          </w:p>
        </w:tc>
      </w:tr>
      <w:tr w:rsidR="000C703E" w:rsidRPr="000C703E" w:rsidTr="000C703E">
        <w:trPr>
          <w:trHeight w:val="585"/>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Bachelor degree Enrolled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The percentage of young people that responded to the survey that were enrolled in a Bachelor degree course.</w:t>
            </w:r>
          </w:p>
        </w:tc>
      </w:tr>
      <w:tr w:rsidR="000C703E" w:rsidRPr="000C703E" w:rsidTr="000C703E">
        <w:trPr>
          <w:trHeight w:val="585"/>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Deferrals (%)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The percentage of young people that responded to the survey that have deferred a tertiary place </w:t>
            </w:r>
          </w:p>
        </w:tc>
      </w:tr>
      <w:tr w:rsidR="000C703E" w:rsidRPr="000C703E" w:rsidTr="000C703E">
        <w:trPr>
          <w:trHeight w:val="870"/>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TAFE/VET Enrolled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The percentage of young people that responded to the survey that were enrolled in a TAFE/VET course. TAFE/VET courses are vocational education and training courses at a variety of certificate levels, mainly at Certificate IV and above.</w:t>
            </w:r>
          </w:p>
        </w:tc>
      </w:tr>
      <w:tr w:rsidR="000C703E" w:rsidRPr="000C703E" w:rsidTr="000C703E">
        <w:trPr>
          <w:trHeight w:val="870"/>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Apprentice/Trainee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The percentage of young people that responded to the survey that are undertaking an apprenticeship or traineeship.  Apprenticeships and traineeships combine paid work and relevant training underpinned by a training agreement.</w:t>
            </w:r>
          </w:p>
        </w:tc>
      </w:tr>
      <w:tr w:rsidR="000C703E" w:rsidRPr="000C703E" w:rsidTr="000C703E">
        <w:trPr>
          <w:trHeight w:val="585"/>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Employed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 xml:space="preserve">The percentage of young people that responded to the survey that are employed either full time or part time that are not undertaking education or training, excluding deferrals. </w:t>
            </w:r>
          </w:p>
        </w:tc>
      </w:tr>
      <w:tr w:rsidR="000C703E" w:rsidRPr="000C703E" w:rsidTr="000C703E">
        <w:trPr>
          <w:trHeight w:val="585"/>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Looking for Work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The percentage of young people that responded to the survey who are looking for work and are not undertaking education or training, excluding deferrals.</w:t>
            </w:r>
          </w:p>
        </w:tc>
      </w:tr>
      <w:tr w:rsidR="000C703E" w:rsidRPr="000C703E" w:rsidTr="000C703E">
        <w:trPr>
          <w:trHeight w:val="870"/>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Other (%)</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The percentage of young people that responded to the survey who were NILFET (Not in the Labour Force, Education or Employment) or whose destination could not be determined from the information provided.</w:t>
            </w:r>
          </w:p>
        </w:tc>
      </w:tr>
      <w:tr w:rsidR="000C703E" w:rsidRPr="000C703E" w:rsidTr="000C703E">
        <w:trPr>
          <w:trHeight w:val="315"/>
        </w:trPr>
        <w:tc>
          <w:tcPr>
            <w:tcW w:w="3260" w:type="dxa"/>
            <w:tcBorders>
              <w:top w:val="nil"/>
              <w:left w:val="single" w:sz="8" w:space="0" w:color="auto"/>
              <w:bottom w:val="single" w:sz="8" w:space="0" w:color="auto"/>
              <w:right w:val="single" w:sz="8" w:space="0" w:color="auto"/>
            </w:tcBorders>
            <w:shd w:val="clear" w:color="000000" w:fill="D9D9D9"/>
            <w:vAlign w:val="center"/>
            <w:hideMark/>
          </w:tcPr>
          <w:p w:rsidR="000C703E" w:rsidRPr="000C703E" w:rsidRDefault="000C703E" w:rsidP="000C703E">
            <w:pPr>
              <w:spacing w:after="0" w:line="240" w:lineRule="auto"/>
              <w:rPr>
                <w:rFonts w:ascii="Arial" w:eastAsia="Times New Roman" w:hAnsi="Arial" w:cs="Arial"/>
                <w:b/>
                <w:bCs/>
                <w:lang w:eastAsia="en-AU"/>
              </w:rPr>
            </w:pPr>
            <w:r w:rsidRPr="000C703E">
              <w:rPr>
                <w:rFonts w:ascii="Arial" w:eastAsia="Times New Roman" w:hAnsi="Arial" w:cs="Arial"/>
                <w:b/>
                <w:bCs/>
                <w:lang w:eastAsia="en-AU"/>
              </w:rPr>
              <w:t>WHOLE TABLE</w:t>
            </w:r>
          </w:p>
        </w:tc>
        <w:tc>
          <w:tcPr>
            <w:tcW w:w="6961" w:type="dxa"/>
            <w:tcBorders>
              <w:top w:val="nil"/>
              <w:left w:val="nil"/>
              <w:bottom w:val="single" w:sz="8" w:space="0" w:color="auto"/>
              <w:right w:val="single" w:sz="8" w:space="0" w:color="auto"/>
            </w:tcBorders>
            <w:shd w:val="clear" w:color="000000" w:fill="D9D9D9"/>
            <w:vAlign w:val="center"/>
            <w:hideMark/>
          </w:tcPr>
          <w:p w:rsidR="000C703E" w:rsidRPr="000C703E" w:rsidRDefault="000C703E" w:rsidP="000C703E">
            <w:pPr>
              <w:spacing w:after="0" w:line="240" w:lineRule="auto"/>
              <w:rPr>
                <w:rFonts w:ascii="Arial" w:eastAsia="Times New Roman" w:hAnsi="Arial" w:cs="Arial"/>
                <w:b/>
                <w:bCs/>
                <w:lang w:eastAsia="en-AU"/>
              </w:rPr>
            </w:pPr>
            <w:r w:rsidRPr="000C703E">
              <w:rPr>
                <w:rFonts w:ascii="Arial" w:eastAsia="Times New Roman" w:hAnsi="Arial" w:cs="Arial"/>
                <w:b/>
                <w:bCs/>
                <w:lang w:eastAsia="en-AU"/>
              </w:rPr>
              <w:t> </w:t>
            </w:r>
          </w:p>
        </w:tc>
      </w:tr>
      <w:tr w:rsidR="000C703E" w:rsidRPr="000C703E" w:rsidTr="000C703E">
        <w:trPr>
          <w:trHeight w:val="315"/>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Rounding</w:t>
            </w:r>
          </w:p>
        </w:tc>
        <w:tc>
          <w:tcPr>
            <w:tcW w:w="6961" w:type="dxa"/>
            <w:tcBorders>
              <w:top w:val="nil"/>
              <w:left w:val="nil"/>
              <w:bottom w:val="single" w:sz="8" w:space="0" w:color="auto"/>
              <w:right w:val="single" w:sz="8" w:space="0" w:color="auto"/>
            </w:tcBorders>
            <w:shd w:val="clear" w:color="auto" w:fill="auto"/>
            <w:vAlign w:val="center"/>
            <w:hideMark/>
          </w:tcPr>
          <w:p w:rsidR="000C703E" w:rsidRPr="000C703E" w:rsidRDefault="000C703E" w:rsidP="000C703E">
            <w:pPr>
              <w:spacing w:after="0" w:line="240" w:lineRule="auto"/>
              <w:rPr>
                <w:rFonts w:ascii="Arial" w:eastAsia="Times New Roman" w:hAnsi="Arial" w:cs="Arial"/>
                <w:lang w:eastAsia="en-AU"/>
              </w:rPr>
            </w:pPr>
            <w:r w:rsidRPr="000C703E">
              <w:rPr>
                <w:rFonts w:ascii="Arial" w:eastAsia="Times New Roman" w:hAnsi="Arial" w:cs="Arial"/>
                <w:lang w:eastAsia="en-AU"/>
              </w:rPr>
              <w:t>All percentages have been rounded to the nearest whole number.</w:t>
            </w:r>
          </w:p>
        </w:tc>
      </w:tr>
    </w:tbl>
    <w:p w:rsidR="0075580C" w:rsidRDefault="000C703E"/>
    <w:sectPr w:rsidR="0075580C" w:rsidSect="000C703E">
      <w:pgSz w:w="11906" w:h="16838"/>
      <w:pgMar w:top="709" w:right="144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3E"/>
    <w:rsid w:val="000C703E"/>
    <w:rsid w:val="00B56468"/>
    <w:rsid w:val="00B847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TaxCatchAll xmlns="cb9114c1-daad-44dd-acad-30f4246641f2">
      <Value>97</Value>
      <Value>94</Value>
      <Value>93</Value>
    </TaxCatchAll>
    <DEECD_Expired xmlns="http://schemas.microsoft.com/sharepoint/v3">false</DEECD_Expired>
    <DEECD_Keywords xmlns="http://schemas.microsoft.com/sharepoint/v3">Research,on track,on track survey,completer,Destinations of School Leavers,destination data,ontrack,</DEECD_Keywords>
    <PublishingExpirationDate xmlns="http://schemas.microsoft.com/sharepoint/v3" xsi:nil="true"/>
    <DEECD_Description xmlns="http://schemas.microsoft.com/sharepoint/v3">Notes for interpreting the 'On Track' 2014 Destinations Data table for Year 12 2013 completers.</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General Public</TermName>
          <TermId xmlns="http://schemas.microsoft.com/office/infopath/2007/PartnerControls">ef488336-45f4-40cf-bd6f-84d3a45c44c0</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6A74E-1E22-4B2A-8960-87B5853557F8}"/>
</file>

<file path=customXml/itemProps2.xml><?xml version="1.0" encoding="utf-8"?>
<ds:datastoreItem xmlns:ds="http://schemas.openxmlformats.org/officeDocument/2006/customXml" ds:itemID="{0CD9A9C0-BD9C-4DCD-9B97-D72B7D466FE9}"/>
</file>

<file path=customXml/itemProps3.xml><?xml version="1.0" encoding="utf-8"?>
<ds:datastoreItem xmlns:ds="http://schemas.openxmlformats.org/officeDocument/2006/customXml" ds:itemID="{FD1FED71-B09A-49C6-A1D0-6E4704417098}"/>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of On Track post-year 12 destinations 2014: notes to table</dc:title>
  <dc:subject/>
  <dc:creator>Molaeb, Hiba M</dc:creator>
  <cp:keywords/>
  <dc:description/>
  <cp:lastModifiedBy>Molaeb, Hiba M</cp:lastModifiedBy>
  <cp:revision>1</cp:revision>
  <dcterms:created xsi:type="dcterms:W3CDTF">2014-07-30T04:07:00Z</dcterms:created>
  <dcterms:modified xsi:type="dcterms:W3CDTF">2014-07-30T04:10:00Z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97;#Guide / Manual|b3949c2d-9e4b-4ecf-ba30-8067d8603b3b</vt:lpwstr>
  </property>
  <property fmtid="{D5CDD505-2E9C-101B-9397-08002B2CF9AE}" pid="5" name="DEECD_SubjectCategory">
    <vt:lpwstr/>
  </property>
  <property fmtid="{D5CDD505-2E9C-101B-9397-08002B2CF9AE}" pid="6" name="DEECD_Audience">
    <vt:lpwstr>93;#General Public|ef488336-45f4-40cf-bd6f-84d3a45c44c0</vt:lpwstr>
  </property>
</Properties>
</file>