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FE2CA" w14:textId="77777777" w:rsidR="00147024" w:rsidRPr="0062056D" w:rsidRDefault="00147024" w:rsidP="00147024">
      <w:pPr>
        <w:spacing w:after="0"/>
        <w:rPr>
          <w:rFonts w:cs="HelveticaNeue-Light"/>
          <w:b/>
          <w:color w:val="000000"/>
          <w:sz w:val="32"/>
          <w:szCs w:val="32"/>
          <w:lang w:val="en-AU" w:eastAsia="en-AU"/>
        </w:rPr>
      </w:pPr>
      <w:r w:rsidRPr="0062056D">
        <w:rPr>
          <w:rFonts w:cs="DejaVuSansCondensed-Bold"/>
          <w:b/>
          <w:bCs/>
          <w:sz w:val="32"/>
          <w:szCs w:val="32"/>
          <w:lang w:val="en-AU" w:eastAsia="en-AU"/>
        </w:rPr>
        <w:t>Conflict of interest management flowchart</w:t>
      </w:r>
    </w:p>
    <w:p w14:paraId="3F1C3C98" w14:textId="77777777" w:rsidR="00A15FFE" w:rsidRDefault="00147024" w:rsidP="00147024">
      <w:r>
        <w:rPr>
          <w:noProof/>
          <w:lang w:val="en-AU" w:eastAsia="en-AU"/>
        </w:rPr>
        <w:drawing>
          <wp:inline distT="0" distB="0" distL="0" distR="0" wp14:anchorId="3EE45050" wp14:editId="57E9DA50">
            <wp:extent cx="4800600" cy="77056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2093" cy="770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D6B8F" w14:textId="77777777" w:rsidR="004D156B" w:rsidRPr="0062056D" w:rsidRDefault="004D156B" w:rsidP="004D156B">
      <w:pPr>
        <w:pStyle w:val="Heading1"/>
        <w:rPr>
          <w:rFonts w:asciiTheme="minorHAnsi" w:hAnsiTheme="minorHAnsi"/>
          <w:sz w:val="28"/>
          <w:lang w:val="en-AU" w:eastAsia="en-AU"/>
        </w:rPr>
      </w:pPr>
      <w:bookmarkStart w:id="0" w:name="_Toc419119755"/>
      <w:r w:rsidRPr="0062056D">
        <w:rPr>
          <w:rFonts w:asciiTheme="minorHAnsi" w:hAnsiTheme="minorHAnsi"/>
          <w:sz w:val="28"/>
          <w:lang w:val="en-AU" w:eastAsia="en-AU"/>
        </w:rPr>
        <w:lastRenderedPageBreak/>
        <w:t xml:space="preserve">Guide to </w:t>
      </w:r>
      <w:r w:rsidR="00976ABC">
        <w:rPr>
          <w:rFonts w:asciiTheme="minorHAnsi" w:hAnsiTheme="minorHAnsi"/>
          <w:sz w:val="28"/>
          <w:lang w:val="en-AU" w:eastAsia="en-AU"/>
        </w:rPr>
        <w:t>m</w:t>
      </w:r>
      <w:r w:rsidR="00976ABC" w:rsidRPr="0062056D">
        <w:rPr>
          <w:rFonts w:asciiTheme="minorHAnsi" w:hAnsiTheme="minorHAnsi"/>
          <w:sz w:val="28"/>
          <w:lang w:val="en-AU" w:eastAsia="en-AU"/>
        </w:rPr>
        <w:t xml:space="preserve">anaging </w:t>
      </w:r>
      <w:r w:rsidR="00976ABC">
        <w:rPr>
          <w:rFonts w:asciiTheme="minorHAnsi" w:hAnsiTheme="minorHAnsi"/>
          <w:sz w:val="28"/>
          <w:lang w:val="en-AU" w:eastAsia="en-AU"/>
        </w:rPr>
        <w:t>c</w:t>
      </w:r>
      <w:r w:rsidR="00976ABC" w:rsidRPr="0062056D">
        <w:rPr>
          <w:rFonts w:asciiTheme="minorHAnsi" w:hAnsiTheme="minorHAnsi"/>
          <w:sz w:val="28"/>
          <w:lang w:val="en-AU" w:eastAsia="en-AU"/>
        </w:rPr>
        <w:t xml:space="preserve">onflicts </w:t>
      </w:r>
      <w:r w:rsidRPr="0062056D">
        <w:rPr>
          <w:rFonts w:asciiTheme="minorHAnsi" w:hAnsiTheme="minorHAnsi"/>
          <w:sz w:val="28"/>
          <w:lang w:val="en-AU" w:eastAsia="en-AU"/>
        </w:rPr>
        <w:t xml:space="preserve">of </w:t>
      </w:r>
      <w:r w:rsidR="00976ABC">
        <w:rPr>
          <w:rFonts w:asciiTheme="minorHAnsi" w:hAnsiTheme="minorHAnsi"/>
          <w:sz w:val="28"/>
          <w:lang w:val="en-AU" w:eastAsia="en-AU"/>
        </w:rPr>
        <w:t>i</w:t>
      </w:r>
      <w:r w:rsidR="00976ABC" w:rsidRPr="0062056D">
        <w:rPr>
          <w:rFonts w:asciiTheme="minorHAnsi" w:hAnsiTheme="minorHAnsi"/>
          <w:sz w:val="28"/>
          <w:lang w:val="en-AU" w:eastAsia="en-AU"/>
        </w:rPr>
        <w:t xml:space="preserve">nterest </w:t>
      </w:r>
      <w:r w:rsidRPr="0062056D">
        <w:rPr>
          <w:rFonts w:asciiTheme="minorHAnsi" w:hAnsiTheme="minorHAnsi"/>
          <w:sz w:val="28"/>
          <w:lang w:val="en-AU" w:eastAsia="en-AU"/>
        </w:rPr>
        <w:t xml:space="preserve">or </w:t>
      </w:r>
      <w:bookmarkEnd w:id="0"/>
      <w:r w:rsidR="00976ABC">
        <w:rPr>
          <w:rFonts w:asciiTheme="minorHAnsi" w:hAnsiTheme="minorHAnsi"/>
          <w:sz w:val="28"/>
          <w:lang w:val="en-AU" w:eastAsia="en-AU"/>
        </w:rPr>
        <w:t>d</w:t>
      </w:r>
      <w:r w:rsidR="00976ABC" w:rsidRPr="0062056D">
        <w:rPr>
          <w:rFonts w:asciiTheme="minorHAnsi" w:hAnsiTheme="minorHAnsi"/>
          <w:sz w:val="28"/>
          <w:lang w:val="en-AU" w:eastAsia="en-AU"/>
        </w:rPr>
        <w:t>uty</w:t>
      </w:r>
    </w:p>
    <w:p w14:paraId="6A242CB5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 xml:space="preserve">Once an interest has been declared and registered, there are several options available to </w:t>
      </w:r>
      <w:r>
        <w:rPr>
          <w:rFonts w:cs="FreeSans"/>
          <w:color w:val="2F312D"/>
          <w:lang w:val="en-AU" w:eastAsia="en-AU"/>
        </w:rPr>
        <w:t>the Regional Council</w:t>
      </w:r>
      <w:r w:rsidRPr="00BA6147">
        <w:rPr>
          <w:rFonts w:cs="FreeSans"/>
          <w:color w:val="2F312D"/>
          <w:lang w:val="en-AU" w:eastAsia="en-AU"/>
        </w:rPr>
        <w:t xml:space="preserve"> </w:t>
      </w:r>
      <w:r w:rsidR="00976ABC">
        <w:rPr>
          <w:rFonts w:cs="FreeSans"/>
          <w:color w:val="2F312D"/>
          <w:lang w:val="en-AU" w:eastAsia="en-AU"/>
        </w:rPr>
        <w:t xml:space="preserve">when </w:t>
      </w:r>
      <w:r w:rsidRPr="00BA6147">
        <w:rPr>
          <w:rFonts w:cs="FreeSans"/>
          <w:color w:val="2F312D"/>
          <w:lang w:val="en-AU" w:eastAsia="en-AU"/>
        </w:rPr>
        <w:t>deciding how to manage a conflict of interest:</w:t>
      </w:r>
    </w:p>
    <w:p w14:paraId="08D3FAD7" w14:textId="77777777" w:rsidR="004D156B" w:rsidRPr="00BA6147" w:rsidRDefault="00976ABC" w:rsidP="004D156B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>
        <w:rPr>
          <w:rFonts w:cs="FreeSansBold"/>
          <w:b/>
          <w:bCs/>
          <w:color w:val="2F312D"/>
          <w:lang w:val="en-AU" w:eastAsia="en-AU"/>
        </w:rPr>
        <w:t>r</w:t>
      </w:r>
      <w:r w:rsidRPr="00BA6147">
        <w:rPr>
          <w:rFonts w:cs="FreeSansBold"/>
          <w:b/>
          <w:bCs/>
          <w:color w:val="2F312D"/>
          <w:lang w:val="en-AU" w:eastAsia="en-AU"/>
        </w:rPr>
        <w:t xml:space="preserve">emove </w:t>
      </w:r>
      <w:r w:rsidR="004D156B" w:rsidRPr="00BA6147">
        <w:rPr>
          <w:rFonts w:cs="FreeSans"/>
          <w:color w:val="2F312D"/>
          <w:lang w:val="en-AU" w:eastAsia="en-AU"/>
        </w:rPr>
        <w:t>– the member does not participate at all in the matter</w:t>
      </w:r>
    </w:p>
    <w:p w14:paraId="474AD0D6" w14:textId="77777777" w:rsidR="004D156B" w:rsidRPr="00BA6147" w:rsidRDefault="00976ABC" w:rsidP="004D156B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>
        <w:rPr>
          <w:rFonts w:cs="FreeSansBold"/>
          <w:b/>
          <w:bCs/>
          <w:color w:val="2F312D"/>
          <w:lang w:val="en-AU" w:eastAsia="en-AU"/>
        </w:rPr>
        <w:t>r</w:t>
      </w:r>
      <w:r w:rsidRPr="00BA6147">
        <w:rPr>
          <w:rFonts w:cs="FreeSansBold"/>
          <w:b/>
          <w:bCs/>
          <w:color w:val="2F312D"/>
          <w:lang w:val="en-AU" w:eastAsia="en-AU"/>
        </w:rPr>
        <w:t xml:space="preserve">estrict </w:t>
      </w:r>
      <w:r w:rsidR="004D156B" w:rsidRPr="00BA6147">
        <w:rPr>
          <w:rFonts w:cs="FreeSans"/>
          <w:color w:val="2F312D"/>
          <w:lang w:val="en-AU" w:eastAsia="en-AU"/>
        </w:rPr>
        <w:t>– restrictions are placed on the member’s involvement in the matter</w:t>
      </w:r>
    </w:p>
    <w:p w14:paraId="1C3A8D91" w14:textId="77777777" w:rsidR="004D156B" w:rsidRPr="00BA6147" w:rsidRDefault="00976ABC" w:rsidP="004D156B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>
        <w:rPr>
          <w:rFonts w:cs="FreeSansBold"/>
          <w:b/>
          <w:bCs/>
          <w:color w:val="2F312D"/>
          <w:lang w:val="en-AU" w:eastAsia="en-AU"/>
        </w:rPr>
        <w:t>r</w:t>
      </w:r>
      <w:r w:rsidRPr="00BA6147">
        <w:rPr>
          <w:rFonts w:cs="FreeSansBold"/>
          <w:b/>
          <w:bCs/>
          <w:color w:val="2F312D"/>
          <w:lang w:val="en-AU" w:eastAsia="en-AU"/>
        </w:rPr>
        <w:t xml:space="preserve">ecruit </w:t>
      </w:r>
      <w:r w:rsidR="004D156B" w:rsidRPr="00BA6147">
        <w:rPr>
          <w:rFonts w:cs="FreeSans"/>
          <w:color w:val="2F312D"/>
          <w:lang w:val="en-AU" w:eastAsia="en-AU"/>
        </w:rPr>
        <w:t>– a disinterested third party is recruited to provide advice (such as a probity adviser, lawyer or governance expert)</w:t>
      </w:r>
    </w:p>
    <w:p w14:paraId="0D55B5C4" w14:textId="77777777" w:rsidR="004D156B" w:rsidRPr="00BA6147" w:rsidRDefault="00976ABC" w:rsidP="004D156B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>
        <w:rPr>
          <w:rFonts w:cs="FreeSansBold"/>
          <w:b/>
          <w:bCs/>
          <w:color w:val="2F312D"/>
          <w:lang w:val="en-AU" w:eastAsia="en-AU"/>
        </w:rPr>
        <w:t>r</w:t>
      </w:r>
      <w:r w:rsidRPr="00BA6147">
        <w:rPr>
          <w:rFonts w:cs="FreeSansBold"/>
          <w:b/>
          <w:bCs/>
          <w:color w:val="2F312D"/>
          <w:lang w:val="en-AU" w:eastAsia="en-AU"/>
        </w:rPr>
        <w:t xml:space="preserve">elinquish </w:t>
      </w:r>
      <w:r w:rsidR="004D156B" w:rsidRPr="00BA6147">
        <w:rPr>
          <w:rFonts w:cs="FreeSans"/>
          <w:color w:val="2F312D"/>
          <w:lang w:val="en-AU" w:eastAsia="en-AU"/>
        </w:rPr>
        <w:t>– the private interest concerned is relinquished</w:t>
      </w:r>
    </w:p>
    <w:p w14:paraId="2C2ADB9F" w14:textId="77777777" w:rsidR="004D156B" w:rsidRPr="00BA6147" w:rsidRDefault="00976ABC" w:rsidP="004D156B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proofErr w:type="gramStart"/>
      <w:r>
        <w:rPr>
          <w:rFonts w:cs="FreeSansBold"/>
          <w:b/>
          <w:bCs/>
          <w:color w:val="2F312D"/>
          <w:lang w:val="en-AU" w:eastAsia="en-AU"/>
        </w:rPr>
        <w:t>r</w:t>
      </w:r>
      <w:r w:rsidRPr="00BA6147">
        <w:rPr>
          <w:rFonts w:cs="FreeSansBold"/>
          <w:b/>
          <w:bCs/>
          <w:color w:val="2F312D"/>
          <w:lang w:val="en-AU" w:eastAsia="en-AU"/>
        </w:rPr>
        <w:t>esign</w:t>
      </w:r>
      <w:proofErr w:type="gramEnd"/>
      <w:r w:rsidRPr="00BA6147">
        <w:rPr>
          <w:rFonts w:cs="FreeSansBold"/>
          <w:b/>
          <w:bCs/>
          <w:color w:val="2F312D"/>
          <w:lang w:val="en-AU" w:eastAsia="en-AU"/>
        </w:rPr>
        <w:t xml:space="preserve"> </w:t>
      </w:r>
      <w:r w:rsidR="004D156B" w:rsidRPr="00BA6147">
        <w:rPr>
          <w:rFonts w:cs="FreeSans"/>
          <w:color w:val="2F312D"/>
          <w:lang w:val="en-AU" w:eastAsia="en-AU"/>
        </w:rPr>
        <w:t>– the member steps down from the position on a temporary or permanent basis.</w:t>
      </w:r>
    </w:p>
    <w:p w14:paraId="03383E2E" w14:textId="77777777" w:rsidR="004D156B" w:rsidRPr="00DB4B10" w:rsidRDefault="004D156B" w:rsidP="004D156B">
      <w:pPr>
        <w:pStyle w:val="Heading2"/>
        <w:rPr>
          <w:sz w:val="24"/>
          <w:lang w:val="en-AU" w:eastAsia="en-AU"/>
        </w:rPr>
      </w:pPr>
      <w:bookmarkStart w:id="1" w:name="_Toc419119756"/>
      <w:r w:rsidRPr="00DB4B10">
        <w:rPr>
          <w:sz w:val="24"/>
          <w:lang w:val="en-AU" w:eastAsia="en-AU"/>
        </w:rPr>
        <w:t>Remove – the recommended procedure for managing conflicts of interest</w:t>
      </w:r>
      <w:bookmarkEnd w:id="1"/>
    </w:p>
    <w:p w14:paraId="1FB60EE7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 xml:space="preserve">The option of removing the conflicted member from </w:t>
      </w:r>
      <w:r w:rsidR="00722657" w:rsidRPr="00BA6147">
        <w:rPr>
          <w:rFonts w:cs="FreeSans"/>
          <w:color w:val="2F312D"/>
          <w:lang w:val="en-AU" w:eastAsia="en-AU"/>
        </w:rPr>
        <w:t>decision</w:t>
      </w:r>
      <w:r w:rsidR="00722657">
        <w:rPr>
          <w:rFonts w:cs="FreeSans"/>
          <w:color w:val="2F312D"/>
          <w:lang w:val="en-AU" w:eastAsia="en-AU"/>
        </w:rPr>
        <w:t>-</w:t>
      </w:r>
      <w:r w:rsidRPr="00BA6147">
        <w:rPr>
          <w:rFonts w:cs="FreeSans"/>
          <w:color w:val="2F312D"/>
          <w:lang w:val="en-AU" w:eastAsia="en-AU"/>
        </w:rPr>
        <w:t>making will usually be sufficient to manage the conflict where the conflict is in relation to a single issue. The recommended procedure for dealing with a conflict of interest is for the member with the conflict to:</w:t>
      </w:r>
    </w:p>
    <w:p w14:paraId="2666837F" w14:textId="77777777" w:rsidR="004D156B" w:rsidRPr="00BA6147" w:rsidRDefault="004D156B" w:rsidP="004D156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>leave the room at the start of the relevant agenda item and not return until the start of the next agenda item</w:t>
      </w:r>
    </w:p>
    <w:p w14:paraId="45CF65DE" w14:textId="77777777" w:rsidR="004D156B" w:rsidRPr="00BA6147" w:rsidRDefault="004D156B" w:rsidP="004D156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>not discuss the matter at all with any other member (either in the meeting or elsewhere)</w:t>
      </w:r>
    </w:p>
    <w:p w14:paraId="4083E178" w14:textId="77777777" w:rsidR="004D156B" w:rsidRPr="00BA6147" w:rsidRDefault="004D156B" w:rsidP="004D156B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proofErr w:type="gramStart"/>
      <w:r w:rsidRPr="00BA6147">
        <w:rPr>
          <w:rFonts w:cs="FreeSans"/>
          <w:color w:val="2F312D"/>
          <w:lang w:val="en-AU" w:eastAsia="en-AU"/>
        </w:rPr>
        <w:t>not</w:t>
      </w:r>
      <w:proofErr w:type="gramEnd"/>
      <w:r w:rsidRPr="00BA6147">
        <w:rPr>
          <w:rFonts w:cs="FreeSans"/>
          <w:color w:val="2F312D"/>
          <w:lang w:val="en-AU" w:eastAsia="en-AU"/>
        </w:rPr>
        <w:t xml:space="preserve"> participate in any Board decision on the matter.</w:t>
      </w:r>
    </w:p>
    <w:p w14:paraId="1E6DA10C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 xml:space="preserve">This procedure should be followed unless the </w:t>
      </w:r>
      <w:r>
        <w:rPr>
          <w:rFonts w:cs="FreeSans"/>
          <w:color w:val="2F312D"/>
          <w:lang w:val="en-AU" w:eastAsia="en-AU"/>
        </w:rPr>
        <w:t>Regional Council</w:t>
      </w:r>
      <w:r w:rsidRPr="00BA6147">
        <w:rPr>
          <w:rFonts w:cs="FreeSans"/>
          <w:color w:val="2F312D"/>
          <w:lang w:val="en-AU" w:eastAsia="en-AU"/>
        </w:rPr>
        <w:t xml:space="preserve"> determines and documents clear reasons why the public interest requires the </w:t>
      </w:r>
      <w:r>
        <w:rPr>
          <w:rFonts w:cs="FreeSans"/>
          <w:color w:val="2F312D"/>
          <w:lang w:val="en-AU" w:eastAsia="en-AU"/>
        </w:rPr>
        <w:t>Council to</w:t>
      </w:r>
      <w:r w:rsidRPr="00BA6147">
        <w:rPr>
          <w:rFonts w:cs="FreeSans"/>
          <w:color w:val="2F312D"/>
          <w:lang w:val="en-AU" w:eastAsia="en-AU"/>
        </w:rPr>
        <w:t xml:space="preserve"> manage the conflict in a different way. Depending on the nature of the conflict, lesser or stronger options may be required. Lesser options include placing restrictions on the conflicted member’s involvement in discussion and </w:t>
      </w:r>
      <w:r w:rsidR="00722657" w:rsidRPr="00BA6147">
        <w:rPr>
          <w:rFonts w:cs="FreeSans"/>
          <w:color w:val="2F312D"/>
          <w:lang w:val="en-AU" w:eastAsia="en-AU"/>
        </w:rPr>
        <w:t>decision</w:t>
      </w:r>
      <w:r w:rsidR="00722657">
        <w:rPr>
          <w:rFonts w:cs="FreeSans"/>
          <w:color w:val="2F312D"/>
          <w:lang w:val="en-AU" w:eastAsia="en-AU"/>
        </w:rPr>
        <w:t>-</w:t>
      </w:r>
      <w:r w:rsidRPr="00BA6147">
        <w:rPr>
          <w:rFonts w:cs="FreeSans"/>
          <w:color w:val="2F312D"/>
          <w:lang w:val="en-AU" w:eastAsia="en-AU"/>
        </w:rPr>
        <w:t>making, while stronger options include relinquishment and resignation.</w:t>
      </w:r>
    </w:p>
    <w:p w14:paraId="6EC804C6" w14:textId="77777777" w:rsidR="004D156B" w:rsidRPr="00DB4B10" w:rsidRDefault="004D156B" w:rsidP="004D156B">
      <w:pPr>
        <w:pStyle w:val="Heading2"/>
        <w:rPr>
          <w:sz w:val="24"/>
          <w:lang w:val="en-AU" w:eastAsia="en-AU"/>
        </w:rPr>
      </w:pPr>
      <w:bookmarkStart w:id="2" w:name="_Toc419119757"/>
      <w:r w:rsidRPr="00DB4B10">
        <w:rPr>
          <w:sz w:val="24"/>
          <w:lang w:val="en-AU" w:eastAsia="en-AU"/>
        </w:rPr>
        <w:t>Restrict or recruit – lesser options for managing conflicts of interest</w:t>
      </w:r>
      <w:bookmarkEnd w:id="2"/>
    </w:p>
    <w:p w14:paraId="0A6C21B6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>In certain circumstances, factors such as the expertise of the ‘conflicted’ member and/or the composition of the</w:t>
      </w:r>
      <w:r>
        <w:rPr>
          <w:rFonts w:cs="FreeSans"/>
          <w:color w:val="2F312D"/>
          <w:lang w:val="en-AU" w:eastAsia="en-AU"/>
        </w:rPr>
        <w:t xml:space="preserve"> Regional Council</w:t>
      </w:r>
      <w:r w:rsidRPr="00BA6147">
        <w:rPr>
          <w:rFonts w:cs="FreeSans"/>
          <w:color w:val="2F312D"/>
          <w:lang w:val="en-AU" w:eastAsia="en-AU"/>
        </w:rPr>
        <w:t xml:space="preserve"> may sufficiently affect the public interest for a lesser option such as restricting involvement or recruiting an independent person to be considered.</w:t>
      </w:r>
    </w:p>
    <w:p w14:paraId="7155E74E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 xml:space="preserve">If the </w:t>
      </w:r>
      <w:r>
        <w:rPr>
          <w:rFonts w:cs="FreeSans"/>
          <w:color w:val="2F312D"/>
          <w:lang w:val="en-AU" w:eastAsia="en-AU"/>
        </w:rPr>
        <w:t>Regional Council</w:t>
      </w:r>
      <w:r w:rsidRPr="00BA6147">
        <w:rPr>
          <w:rFonts w:cs="FreeSans"/>
          <w:color w:val="2F312D"/>
          <w:lang w:val="en-AU" w:eastAsia="en-AU"/>
        </w:rPr>
        <w:t xml:space="preserve"> is uncertain whether a lesser option is in the public interest, independent advice should be sought.</w:t>
      </w:r>
    </w:p>
    <w:p w14:paraId="07979147" w14:textId="77777777" w:rsidR="004D156B" w:rsidRPr="00BA6147" w:rsidRDefault="00722657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>
        <w:rPr>
          <w:rFonts w:cs="FreeSans"/>
          <w:color w:val="2F312D"/>
          <w:lang w:val="en-AU" w:eastAsia="en-AU"/>
        </w:rPr>
        <w:t>Following are e</w:t>
      </w:r>
      <w:r w:rsidR="004D156B" w:rsidRPr="00BA6147">
        <w:rPr>
          <w:rFonts w:cs="FreeSans"/>
          <w:color w:val="2F312D"/>
          <w:lang w:val="en-AU" w:eastAsia="en-AU"/>
        </w:rPr>
        <w:t>xamples of where, taking into account al</w:t>
      </w:r>
      <w:r w:rsidR="004D156B">
        <w:rPr>
          <w:rFonts w:cs="FreeSans"/>
          <w:color w:val="2F312D"/>
          <w:lang w:val="en-AU" w:eastAsia="en-AU"/>
        </w:rPr>
        <w:t>l the relevant circumstances, the Regional Council</w:t>
      </w:r>
      <w:r w:rsidR="004D156B" w:rsidRPr="00BA6147">
        <w:rPr>
          <w:rFonts w:cs="FreeSans"/>
          <w:color w:val="2F312D"/>
          <w:lang w:val="en-AU" w:eastAsia="en-AU"/>
        </w:rPr>
        <w:t xml:space="preserve"> may determine that a lesser option is in the public interest</w:t>
      </w:r>
      <w:r>
        <w:rPr>
          <w:rFonts w:cs="FreeSans"/>
          <w:color w:val="2F312D"/>
          <w:lang w:val="en-AU" w:eastAsia="en-AU"/>
        </w:rPr>
        <w:t>.</w:t>
      </w:r>
    </w:p>
    <w:p w14:paraId="5CAD00AC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DejaVuSansCondensed"/>
          <w:b/>
          <w:lang w:val="en-AU" w:eastAsia="en-AU"/>
        </w:rPr>
        <w:t xml:space="preserve">Member expertise – </w:t>
      </w:r>
      <w:r w:rsidRPr="00BA6147">
        <w:rPr>
          <w:rFonts w:cs="FreeSans"/>
          <w:color w:val="2F312D"/>
          <w:lang w:val="en-AU" w:eastAsia="en-AU"/>
        </w:rPr>
        <w:t xml:space="preserve">If the ‘conflicted’ member was appointed on the basis of their knowledge of the issue and/or as a stakeholder representative, it may be in the public interest for them to be present for at least part of the </w:t>
      </w:r>
      <w:r>
        <w:rPr>
          <w:rFonts w:cs="FreeSans"/>
          <w:color w:val="2F312D"/>
          <w:lang w:val="en-AU" w:eastAsia="en-AU"/>
        </w:rPr>
        <w:t>Council</w:t>
      </w:r>
      <w:r w:rsidRPr="00BA6147">
        <w:rPr>
          <w:rFonts w:cs="FreeSans"/>
          <w:color w:val="2F312D"/>
          <w:lang w:val="en-AU" w:eastAsia="en-AU"/>
        </w:rPr>
        <w:t xml:space="preserve">’s discussions, to enable the </w:t>
      </w:r>
      <w:r>
        <w:rPr>
          <w:rFonts w:cs="FreeSans"/>
          <w:color w:val="2F312D"/>
          <w:lang w:val="en-AU" w:eastAsia="en-AU"/>
        </w:rPr>
        <w:t>Council</w:t>
      </w:r>
      <w:r w:rsidRPr="00BA6147">
        <w:rPr>
          <w:rFonts w:cs="FreeSans"/>
          <w:color w:val="2F312D"/>
          <w:lang w:val="en-AU" w:eastAsia="en-AU"/>
        </w:rPr>
        <w:t xml:space="preserve"> to use this knowledge and/or understand key stakeholder views.</w:t>
      </w:r>
    </w:p>
    <w:p w14:paraId="73FFA2F1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>Note</w:t>
      </w:r>
      <w:r w:rsidR="00765371">
        <w:rPr>
          <w:rFonts w:cs="FreeSans"/>
          <w:color w:val="2F312D"/>
          <w:lang w:val="en-AU" w:eastAsia="en-AU"/>
        </w:rPr>
        <w:t xml:space="preserve"> </w:t>
      </w:r>
      <w:r w:rsidRPr="00BA6147">
        <w:rPr>
          <w:rFonts w:cs="FreeSans"/>
          <w:color w:val="2F312D"/>
          <w:lang w:val="en-AU" w:eastAsia="en-AU"/>
        </w:rPr>
        <w:t xml:space="preserve">that if a member who is </w:t>
      </w:r>
      <w:r w:rsidRPr="00BA6147">
        <w:rPr>
          <w:rFonts w:cs="FreeSans"/>
          <w:color w:val="2F312D"/>
          <w:u w:val="single"/>
          <w:lang w:val="en-AU" w:eastAsia="en-AU"/>
        </w:rPr>
        <w:t>not</w:t>
      </w:r>
      <w:r w:rsidRPr="00BA6147">
        <w:rPr>
          <w:rFonts w:cs="FreeSans"/>
          <w:color w:val="2F312D"/>
          <w:lang w:val="en-AU" w:eastAsia="en-AU"/>
        </w:rPr>
        <w:t xml:space="preserve"> conflicted </w:t>
      </w:r>
      <w:r w:rsidR="00765371">
        <w:rPr>
          <w:rFonts w:cs="FreeSans"/>
          <w:color w:val="2F312D"/>
          <w:lang w:val="en-AU" w:eastAsia="en-AU"/>
        </w:rPr>
        <w:t>and</w:t>
      </w:r>
      <w:r w:rsidR="00765371" w:rsidRPr="00BA6147">
        <w:rPr>
          <w:rFonts w:cs="FreeSans"/>
          <w:color w:val="2F312D"/>
          <w:lang w:val="en-AU" w:eastAsia="en-AU"/>
        </w:rPr>
        <w:t xml:space="preserve"> </w:t>
      </w:r>
      <w:r w:rsidRPr="00BA6147">
        <w:rPr>
          <w:rFonts w:cs="FreeSans"/>
          <w:color w:val="2F312D"/>
          <w:lang w:val="en-AU" w:eastAsia="en-AU"/>
        </w:rPr>
        <w:t xml:space="preserve">can provide the required expertise in discussions </w:t>
      </w:r>
      <w:r w:rsidRPr="00DB4B10">
        <w:rPr>
          <w:rFonts w:cs="FreeSans"/>
          <w:color w:val="2F312D"/>
          <w:lang w:val="en-AU" w:eastAsia="en-AU"/>
        </w:rPr>
        <w:t>is absent from the meeting</w:t>
      </w:r>
      <w:r w:rsidRPr="00BA6147">
        <w:rPr>
          <w:rFonts w:cs="FreeSans"/>
          <w:color w:val="2F312D"/>
          <w:lang w:val="en-AU" w:eastAsia="en-AU"/>
        </w:rPr>
        <w:t>, it will almost always be in the public interest for that part of the discussion to be held over to the next meeting.</w:t>
      </w:r>
    </w:p>
    <w:p w14:paraId="311AFD4D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DejaVuSansCondensed"/>
          <w:b/>
          <w:lang w:val="en-AU" w:eastAsia="en-AU"/>
        </w:rPr>
        <w:t xml:space="preserve">Composition of the Board – </w:t>
      </w:r>
      <w:r w:rsidRPr="00BA6147">
        <w:rPr>
          <w:rFonts w:cs="FreeSans"/>
          <w:color w:val="2F312D"/>
          <w:lang w:val="en-AU" w:eastAsia="en-AU"/>
        </w:rPr>
        <w:t xml:space="preserve">Some agencies have establishing Acts that require a significant proportion of members to be appointed on the basis of expertise that usually derives from a related financial or non-financial interest. In such cases, even if all members are present at the meeting, there may never be a quorum if all ‘conflicted’ members abstain from certain decisions. In such </w:t>
      </w:r>
      <w:r w:rsidRPr="00BA6147">
        <w:rPr>
          <w:rFonts w:cs="FreeSans"/>
          <w:color w:val="2F312D"/>
          <w:lang w:val="en-AU" w:eastAsia="en-AU"/>
        </w:rPr>
        <w:lastRenderedPageBreak/>
        <w:t>circumstances, it may be in the public interest for certain members (e</w:t>
      </w:r>
      <w:r w:rsidR="00765371">
        <w:rPr>
          <w:rFonts w:cs="FreeSans"/>
          <w:color w:val="2F312D"/>
          <w:lang w:val="en-AU" w:eastAsia="en-AU"/>
        </w:rPr>
        <w:t>.</w:t>
      </w:r>
      <w:r w:rsidRPr="00BA6147">
        <w:rPr>
          <w:rFonts w:cs="FreeSans"/>
          <w:color w:val="2F312D"/>
          <w:lang w:val="en-AU" w:eastAsia="en-AU"/>
        </w:rPr>
        <w:t>g</w:t>
      </w:r>
      <w:r w:rsidR="00765371">
        <w:rPr>
          <w:rFonts w:cs="FreeSans"/>
          <w:color w:val="2F312D"/>
          <w:lang w:val="en-AU" w:eastAsia="en-AU"/>
        </w:rPr>
        <w:t>.</w:t>
      </w:r>
      <w:r w:rsidRPr="00BA6147">
        <w:rPr>
          <w:rFonts w:cs="FreeSans"/>
          <w:color w:val="2F312D"/>
          <w:lang w:val="en-AU" w:eastAsia="en-AU"/>
        </w:rPr>
        <w:t xml:space="preserve"> whose conflict is not</w:t>
      </w:r>
      <w:r>
        <w:rPr>
          <w:rFonts w:cs="FreeSans"/>
          <w:color w:val="2F312D"/>
          <w:lang w:val="en-AU" w:eastAsia="en-AU"/>
        </w:rPr>
        <w:t xml:space="preserve"> </w:t>
      </w:r>
      <w:r w:rsidRPr="00BA6147">
        <w:rPr>
          <w:rFonts w:cs="FreeSans"/>
          <w:color w:val="2F312D"/>
          <w:lang w:val="en-AU" w:eastAsia="en-AU"/>
        </w:rPr>
        <w:t>material) to take part in discussion and decision-making on the issue.</w:t>
      </w:r>
    </w:p>
    <w:p w14:paraId="73742F4A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>Note that if no quorum exists for a decision because members who are not conflicted are absent, it will almost always be in the public interest for the decision to be held over to the next Board meeting.</w:t>
      </w:r>
    </w:p>
    <w:p w14:paraId="4B470C30" w14:textId="77777777" w:rsidR="004D156B" w:rsidRPr="00DB4B10" w:rsidRDefault="004D156B" w:rsidP="004D156B">
      <w:pPr>
        <w:pStyle w:val="Heading2"/>
        <w:rPr>
          <w:sz w:val="24"/>
          <w:lang w:val="en-AU" w:eastAsia="en-AU"/>
        </w:rPr>
      </w:pPr>
      <w:bookmarkStart w:id="3" w:name="_Toc419119758"/>
      <w:r w:rsidRPr="00DB4B10">
        <w:rPr>
          <w:sz w:val="24"/>
          <w:lang w:val="en-AU" w:eastAsia="en-AU"/>
        </w:rPr>
        <w:t>Relinquish or resign – stronger options for managing conflicts of interest</w:t>
      </w:r>
      <w:bookmarkEnd w:id="3"/>
    </w:p>
    <w:p w14:paraId="7FAB7343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 xml:space="preserve">In some cases, the conflict of interest may be more enduring. That is, members of the public could reasonably form the view that a member’s situation is unacceptable and may damage the reputation of the entity. </w:t>
      </w:r>
    </w:p>
    <w:p w14:paraId="6F71CBC5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>It may then be necessary for the member to:</w:t>
      </w:r>
    </w:p>
    <w:p w14:paraId="7BA33D46" w14:textId="77777777" w:rsidR="004D156B" w:rsidRPr="00BA6147" w:rsidRDefault="004D156B" w:rsidP="004D156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>relinquish their private interests</w:t>
      </w:r>
    </w:p>
    <w:p w14:paraId="4072983F" w14:textId="77777777" w:rsidR="004D156B" w:rsidRPr="00BA6147" w:rsidRDefault="004D156B" w:rsidP="004D156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r w:rsidRPr="00BA6147">
        <w:rPr>
          <w:rFonts w:cs="FreeSans"/>
          <w:color w:val="2F312D"/>
          <w:lang w:val="en-AU" w:eastAsia="en-AU"/>
        </w:rPr>
        <w:t xml:space="preserve">resign or temporarily stand down from the other organisation to which </w:t>
      </w:r>
      <w:r w:rsidR="00765371" w:rsidRPr="00D03690">
        <w:rPr>
          <w:rFonts w:cs="FreeSans"/>
          <w:color w:val="2F312D"/>
          <w:lang w:val="en-AU" w:eastAsia="en-AU"/>
        </w:rPr>
        <w:t>the</w:t>
      </w:r>
      <w:r w:rsidR="00765371">
        <w:rPr>
          <w:rFonts w:cs="FreeSans"/>
          <w:color w:val="2F312D"/>
          <w:lang w:val="en-AU" w:eastAsia="en-AU"/>
        </w:rPr>
        <w:t xml:space="preserve"> member</w:t>
      </w:r>
      <w:r w:rsidRPr="00BA6147">
        <w:rPr>
          <w:rFonts w:cs="FreeSans"/>
          <w:color w:val="2F312D"/>
          <w:lang w:val="en-AU" w:eastAsia="en-AU"/>
        </w:rPr>
        <w:t xml:space="preserve"> has a duty</w:t>
      </w:r>
    </w:p>
    <w:p w14:paraId="07477F6F" w14:textId="77777777" w:rsidR="004D156B" w:rsidRPr="00BA6147" w:rsidRDefault="004D156B" w:rsidP="004D156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cs="FreeSans"/>
          <w:color w:val="2F312D"/>
          <w:lang w:val="en-AU" w:eastAsia="en-AU"/>
        </w:rPr>
      </w:pPr>
      <w:proofErr w:type="gramStart"/>
      <w:r w:rsidRPr="00BA6147">
        <w:rPr>
          <w:rFonts w:cs="FreeSans"/>
          <w:color w:val="2F312D"/>
          <w:lang w:val="en-AU" w:eastAsia="en-AU"/>
        </w:rPr>
        <w:t>resign</w:t>
      </w:r>
      <w:proofErr w:type="gramEnd"/>
      <w:r w:rsidRPr="00BA6147">
        <w:rPr>
          <w:rFonts w:cs="FreeSans"/>
          <w:color w:val="2F312D"/>
          <w:lang w:val="en-AU" w:eastAsia="en-AU"/>
        </w:rPr>
        <w:t xml:space="preserve"> from the </w:t>
      </w:r>
      <w:r>
        <w:rPr>
          <w:rFonts w:cs="FreeSans"/>
          <w:color w:val="2F312D"/>
          <w:lang w:val="en-AU" w:eastAsia="en-AU"/>
        </w:rPr>
        <w:t>Council</w:t>
      </w:r>
      <w:r w:rsidRPr="00BA6147">
        <w:rPr>
          <w:rFonts w:cs="FreeSans"/>
          <w:color w:val="2F312D"/>
          <w:lang w:val="en-AU" w:eastAsia="en-AU"/>
        </w:rPr>
        <w:t>.</w:t>
      </w:r>
    </w:p>
    <w:p w14:paraId="5CF070EE" w14:textId="77777777" w:rsidR="004D156B" w:rsidRPr="00BA6147" w:rsidRDefault="004D156B" w:rsidP="004D156B">
      <w:pPr>
        <w:autoSpaceDE w:val="0"/>
        <w:autoSpaceDN w:val="0"/>
        <w:adjustRightInd w:val="0"/>
        <w:spacing w:after="120" w:line="240" w:lineRule="auto"/>
      </w:pPr>
      <w:r w:rsidRPr="00BA6147">
        <w:rPr>
          <w:rFonts w:cs="FreeSans"/>
          <w:color w:val="2F312D"/>
          <w:lang w:val="en-AU" w:eastAsia="en-AU"/>
        </w:rPr>
        <w:t xml:space="preserve">If the </w:t>
      </w:r>
      <w:r>
        <w:rPr>
          <w:rFonts w:cs="FreeSans"/>
          <w:color w:val="2F312D"/>
          <w:lang w:val="en-AU" w:eastAsia="en-AU"/>
        </w:rPr>
        <w:t>Council</w:t>
      </w:r>
      <w:r w:rsidRPr="00BA6147">
        <w:rPr>
          <w:rFonts w:cs="FreeSans"/>
          <w:color w:val="2F312D"/>
          <w:lang w:val="en-AU" w:eastAsia="en-AU"/>
        </w:rPr>
        <w:t xml:space="preserve"> is uncertain whether the stronger option is in the public interest, independent advice should be sought.</w:t>
      </w:r>
    </w:p>
    <w:p w14:paraId="0F294FBA" w14:textId="77777777" w:rsidR="004D156B" w:rsidRDefault="004D156B" w:rsidP="00147024"/>
    <w:sectPr w:rsidR="004D15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E7495" w14:textId="77777777" w:rsidR="00F84C1C" w:rsidRDefault="00F84C1C" w:rsidP="004D156B">
      <w:pPr>
        <w:spacing w:after="0" w:line="240" w:lineRule="auto"/>
      </w:pPr>
      <w:r>
        <w:separator/>
      </w:r>
    </w:p>
  </w:endnote>
  <w:endnote w:type="continuationSeparator" w:id="0">
    <w:p w14:paraId="6E97EC45" w14:textId="77777777" w:rsidR="00F84C1C" w:rsidRDefault="00F84C1C" w:rsidP="004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ansCondense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F4A27" w14:textId="77777777" w:rsidR="002E3105" w:rsidRDefault="002E31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04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AF47B" w14:textId="77777777" w:rsidR="004D156B" w:rsidRDefault="004D15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1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01C8DB" w14:textId="77777777" w:rsidR="004D156B" w:rsidRDefault="004D15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BF6DD" w14:textId="77777777" w:rsidR="002E3105" w:rsidRDefault="002E3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91351" w14:textId="77777777" w:rsidR="00F84C1C" w:rsidRDefault="00F84C1C" w:rsidP="004D156B">
      <w:pPr>
        <w:spacing w:after="0" w:line="240" w:lineRule="auto"/>
      </w:pPr>
      <w:r>
        <w:separator/>
      </w:r>
    </w:p>
  </w:footnote>
  <w:footnote w:type="continuationSeparator" w:id="0">
    <w:p w14:paraId="4473940C" w14:textId="77777777" w:rsidR="00F84C1C" w:rsidRDefault="00F84C1C" w:rsidP="004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AD7D3" w14:textId="77777777" w:rsidR="002E3105" w:rsidRDefault="002E31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C0BAC" w14:textId="7963CC2D" w:rsidR="0062056D" w:rsidRPr="0062056D" w:rsidRDefault="0062056D">
    <w:pPr>
      <w:pStyle w:val="Header"/>
    </w:pPr>
    <w:r>
      <w:rPr>
        <w:noProof/>
        <w:lang w:val="en-AU" w:eastAsia="en-AU"/>
      </w:rPr>
      <w:drawing>
        <wp:inline distT="0" distB="0" distL="0" distR="0" wp14:anchorId="2C8C69B4" wp14:editId="21BFDE75">
          <wp:extent cx="819150" cy="762440"/>
          <wp:effectExtent l="0" t="0" r="0" b="0"/>
          <wp:docPr id="3" name="Picture 3" descr="NEW ACFE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ACFE logo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602" cy="76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2069D" w14:textId="77777777" w:rsidR="002E3105" w:rsidRDefault="002E3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38C9"/>
    <w:multiLevelType w:val="hybridMultilevel"/>
    <w:tmpl w:val="8BC6C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05030"/>
    <w:multiLevelType w:val="hybridMultilevel"/>
    <w:tmpl w:val="0896C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37288"/>
    <w:multiLevelType w:val="hybridMultilevel"/>
    <w:tmpl w:val="4A0CF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24"/>
    <w:rsid w:val="000C002A"/>
    <w:rsid w:val="00103148"/>
    <w:rsid w:val="00147024"/>
    <w:rsid w:val="00171BF5"/>
    <w:rsid w:val="001A59FB"/>
    <w:rsid w:val="001C7B59"/>
    <w:rsid w:val="002E3105"/>
    <w:rsid w:val="00497965"/>
    <w:rsid w:val="004D156B"/>
    <w:rsid w:val="0062056D"/>
    <w:rsid w:val="006336C3"/>
    <w:rsid w:val="006417F5"/>
    <w:rsid w:val="00722657"/>
    <w:rsid w:val="00765371"/>
    <w:rsid w:val="00895421"/>
    <w:rsid w:val="00976ABC"/>
    <w:rsid w:val="00BD33EA"/>
    <w:rsid w:val="00C72527"/>
    <w:rsid w:val="00D03690"/>
    <w:rsid w:val="00F84C1C"/>
    <w:rsid w:val="00F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8B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24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5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5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24"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156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156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6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6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24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5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56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024"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D156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156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6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1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6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101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319A4-5099-4F45-866F-384D701791D2}"/>
</file>

<file path=customXml/itemProps2.xml><?xml version="1.0" encoding="utf-8"?>
<ds:datastoreItem xmlns:ds="http://schemas.openxmlformats.org/officeDocument/2006/customXml" ds:itemID="{BB1C8012-125D-49E1-8EDC-D777EDCDBDA6}"/>
</file>

<file path=customXml/itemProps3.xml><?xml version="1.0" encoding="utf-8"?>
<ds:datastoreItem xmlns:ds="http://schemas.openxmlformats.org/officeDocument/2006/customXml" ds:itemID="{F2FC1DDD-9F06-4857-973F-B30C1F44F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Vickers, Alison G</dc:creator>
  <cp:lastModifiedBy>Vickers, Alison G</cp:lastModifiedBy>
  <cp:revision>3</cp:revision>
  <dcterms:created xsi:type="dcterms:W3CDTF">2015-08-14T04:17:00Z</dcterms:created>
  <dcterms:modified xsi:type="dcterms:W3CDTF">2015-08-27T06:01:00Z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