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278BD" w14:textId="77777777" w:rsidR="00EB653A" w:rsidRDefault="00EB653A" w:rsidP="006B3523">
      <w:pPr>
        <w:pStyle w:val="Subtitle"/>
        <w:spacing w:after="0"/>
        <w:jc w:val="center"/>
      </w:pPr>
      <w:r w:rsidRPr="009029AA">
        <w:t xml:space="preserve">Adult, Community and Further Education </w:t>
      </w:r>
      <w:r>
        <w:t>Board</w:t>
      </w:r>
    </w:p>
    <w:p w14:paraId="158EE8C4" w14:textId="23E0F454" w:rsidR="00EB653A" w:rsidRPr="009029AA" w:rsidRDefault="00EB653A" w:rsidP="006B3523">
      <w:pPr>
        <w:pStyle w:val="Title"/>
        <w:spacing w:after="360"/>
        <w:jc w:val="center"/>
        <w:rPr>
          <w:sz w:val="52"/>
          <w:szCs w:val="54"/>
        </w:rPr>
      </w:pPr>
      <w:r>
        <w:rPr>
          <w:sz w:val="52"/>
          <w:szCs w:val="54"/>
        </w:rPr>
        <w:t xml:space="preserve">Priority </w:t>
      </w:r>
      <w:r w:rsidR="006D12FB">
        <w:rPr>
          <w:sz w:val="52"/>
          <w:szCs w:val="54"/>
        </w:rPr>
        <w:t>a</w:t>
      </w:r>
      <w:r>
        <w:rPr>
          <w:sz w:val="52"/>
          <w:szCs w:val="54"/>
        </w:rPr>
        <w:t>ctivities</w:t>
      </w:r>
      <w:r w:rsidR="00DA7EF5">
        <w:rPr>
          <w:sz w:val="52"/>
          <w:szCs w:val="54"/>
        </w:rPr>
        <w:t xml:space="preserve"> </w:t>
      </w:r>
      <w:r>
        <w:rPr>
          <w:sz w:val="52"/>
          <w:szCs w:val="54"/>
        </w:rPr>
        <w:t>20</w:t>
      </w:r>
      <w:r w:rsidR="0017493C">
        <w:rPr>
          <w:sz w:val="52"/>
          <w:szCs w:val="54"/>
        </w:rPr>
        <w:t>1</w:t>
      </w:r>
      <w:r>
        <w:rPr>
          <w:sz w:val="52"/>
          <w:szCs w:val="54"/>
        </w:rPr>
        <w:t>8</w:t>
      </w:r>
    </w:p>
    <w:p w14:paraId="268475A8" w14:textId="77777777" w:rsidR="00EB653A" w:rsidRDefault="00EB653A" w:rsidP="00CA1CF2">
      <w:pPr>
        <w:pStyle w:val="Heading2"/>
      </w:pPr>
      <w:r>
        <w:t>Introduction</w:t>
      </w:r>
    </w:p>
    <w:p w14:paraId="0DDD493E" w14:textId="2B895463" w:rsidR="00A51746" w:rsidRDefault="00EB653A" w:rsidP="006D12FB">
      <w:pPr>
        <w:pStyle w:val="Normalbeforelist"/>
      </w:pPr>
      <w:r>
        <w:t xml:space="preserve">This plan sets out </w:t>
      </w:r>
      <w:r w:rsidR="00201F4C">
        <w:t xml:space="preserve">the </w:t>
      </w:r>
      <w:bookmarkStart w:id="0" w:name="_GoBack"/>
      <w:r w:rsidR="00201F4C">
        <w:t xml:space="preserve">Adult Community and Further Education Board (ACFEB) </w:t>
      </w:r>
      <w:r>
        <w:t>priority activities</w:t>
      </w:r>
      <w:bookmarkEnd w:id="0"/>
      <w:r>
        <w:t xml:space="preserve"> </w:t>
      </w:r>
      <w:r w:rsidR="00355482">
        <w:t>for the period 1 January</w:t>
      </w:r>
      <w:r w:rsidR="00201F4C">
        <w:t xml:space="preserve"> </w:t>
      </w:r>
      <w:r>
        <w:t>to 31 December 201</w:t>
      </w:r>
      <w:r w:rsidR="00DA7EF5">
        <w:t>8</w:t>
      </w:r>
      <w:r w:rsidR="00201F4C">
        <w:t xml:space="preserve">. These activities </w:t>
      </w:r>
      <w:r w:rsidR="00A51746">
        <w:t>have been identified giving consideration to:</w:t>
      </w:r>
    </w:p>
    <w:p w14:paraId="579C341E" w14:textId="087CAAB0" w:rsidR="00A51746" w:rsidRDefault="006D12FB" w:rsidP="006D12FB">
      <w:pPr>
        <w:pStyle w:val="Bulletedlist"/>
      </w:pPr>
      <w:r>
        <w:t>T</w:t>
      </w:r>
      <w:r w:rsidR="00A51746">
        <w:t>he</w:t>
      </w:r>
      <w:r w:rsidR="00201F4C">
        <w:t xml:space="preserve"> functions </w:t>
      </w:r>
      <w:r>
        <w:t xml:space="preserve">of </w:t>
      </w:r>
      <w:r w:rsidR="00355482">
        <w:t xml:space="preserve">Adult, Community and Further Education Board </w:t>
      </w:r>
      <w:r w:rsidR="00E43AE9">
        <w:t xml:space="preserve">as set out in the </w:t>
      </w:r>
      <w:r w:rsidR="00E43AE9" w:rsidRPr="00A51746">
        <w:rPr>
          <w:i/>
        </w:rPr>
        <w:t xml:space="preserve">Education and Training Reform Act </w:t>
      </w:r>
      <w:r w:rsidR="00E54D79" w:rsidRPr="00A51746">
        <w:rPr>
          <w:i/>
        </w:rPr>
        <w:t>2006</w:t>
      </w:r>
      <w:r>
        <w:t>.</w:t>
      </w:r>
    </w:p>
    <w:p w14:paraId="327F017D" w14:textId="5114B779" w:rsidR="00A51746" w:rsidRDefault="006D12FB" w:rsidP="006D12FB">
      <w:pPr>
        <w:pStyle w:val="Bulletedlist"/>
      </w:pPr>
      <w:r>
        <w:t>E</w:t>
      </w:r>
      <w:r w:rsidR="00E43AE9">
        <w:t>xpectations of the Minister for Training and Skills</w:t>
      </w:r>
      <w:r>
        <w:t>.</w:t>
      </w:r>
    </w:p>
    <w:p w14:paraId="7F471737" w14:textId="6F3D8018" w:rsidR="00A51746" w:rsidRDefault="006D12FB" w:rsidP="006B3523">
      <w:pPr>
        <w:pStyle w:val="Bulletedlist"/>
        <w:spacing w:after="120"/>
      </w:pPr>
      <w:r>
        <w:t xml:space="preserve">The </w:t>
      </w:r>
      <w:r w:rsidR="00355482" w:rsidRPr="00355482">
        <w:rPr>
          <w:i/>
        </w:rPr>
        <w:t xml:space="preserve">Adult, Community and Further Education Board </w:t>
      </w:r>
      <w:r w:rsidRPr="00355482">
        <w:rPr>
          <w:i/>
        </w:rPr>
        <w:t>Strategy 2016–</w:t>
      </w:r>
      <w:r w:rsidR="00A51746" w:rsidRPr="00355482">
        <w:rPr>
          <w:i/>
        </w:rPr>
        <w:t>19</w:t>
      </w:r>
      <w:r w:rsidR="00A51746">
        <w:t>.</w:t>
      </w:r>
    </w:p>
    <w:p w14:paraId="2D25A4BA" w14:textId="2B5F089B" w:rsidR="007C1B57" w:rsidRDefault="007C1B57" w:rsidP="007C1B57">
      <w:pPr>
        <w:pStyle w:val="Normalbeforelist"/>
      </w:pPr>
      <w:r>
        <w:t>The</w:t>
      </w:r>
      <w:r w:rsidR="00A51746">
        <w:t xml:space="preserve"> plan is organised around the following strategic areas identified in the</w:t>
      </w:r>
      <w:r>
        <w:t xml:space="preserve"> </w:t>
      </w:r>
      <w:r w:rsidR="00B0133A" w:rsidRPr="00355482">
        <w:rPr>
          <w:i/>
        </w:rPr>
        <w:t xml:space="preserve">Adult, Community and Further Education Board </w:t>
      </w:r>
      <w:r w:rsidRPr="00355482">
        <w:rPr>
          <w:i/>
        </w:rPr>
        <w:t>Strategy 2016–19</w:t>
      </w:r>
      <w:r w:rsidR="00A51746">
        <w:t>:</w:t>
      </w:r>
    </w:p>
    <w:p w14:paraId="182D4013" w14:textId="46B05FA8" w:rsidR="007C1B57" w:rsidRDefault="00683EEB" w:rsidP="007C1B57">
      <w:pPr>
        <w:pStyle w:val="Bulletedlist"/>
      </w:pPr>
      <w:r>
        <w:t xml:space="preserve">Quality </w:t>
      </w:r>
      <w:r w:rsidR="00201F4C">
        <w:t>ACFE</w:t>
      </w:r>
      <w:r w:rsidR="007C1B57">
        <w:t>.</w:t>
      </w:r>
    </w:p>
    <w:p w14:paraId="1AFFDDD7" w14:textId="77777777" w:rsidR="007C1B57" w:rsidRDefault="007C1B57" w:rsidP="007C1B57">
      <w:pPr>
        <w:pStyle w:val="Bulletedlist"/>
      </w:pPr>
      <w:r>
        <w:t>Accountable ACFE.</w:t>
      </w:r>
    </w:p>
    <w:p w14:paraId="64EE38C6" w14:textId="77777777" w:rsidR="007C1B57" w:rsidRDefault="007C1B57" w:rsidP="007C1B57">
      <w:pPr>
        <w:pStyle w:val="Bulletedlist"/>
      </w:pPr>
      <w:r>
        <w:t>Influential ACFE.</w:t>
      </w:r>
    </w:p>
    <w:p w14:paraId="24E8B637" w14:textId="54830F30" w:rsidR="007C1B57" w:rsidRPr="00A15FC7" w:rsidRDefault="007C1B57" w:rsidP="006B3523">
      <w:pPr>
        <w:pStyle w:val="Bulletedlist"/>
        <w:spacing w:after="120"/>
      </w:pPr>
      <w:r>
        <w:t>Sustainable ACFE</w:t>
      </w:r>
      <w:r w:rsidR="00201F4C">
        <w:t>.</w:t>
      </w:r>
    </w:p>
    <w:p w14:paraId="52017AD7" w14:textId="77777777" w:rsidR="00EB653A" w:rsidRDefault="00EB653A" w:rsidP="00CA1CF2">
      <w:pPr>
        <w:pStyle w:val="Heading2"/>
      </w:pPr>
      <w:r>
        <w:t>Mission</w:t>
      </w:r>
    </w:p>
    <w:p w14:paraId="1DD27C00" w14:textId="5327E4C6" w:rsidR="00EB653A" w:rsidDel="00972BA2" w:rsidRDefault="0032653E" w:rsidP="00EB653A">
      <w:r w:rsidDel="00972BA2">
        <w:t xml:space="preserve">The mission of the Adult, Community and Further Education Board is </w:t>
      </w:r>
      <w:r w:rsidRPr="00B7082A" w:rsidDel="00972BA2">
        <w:rPr>
          <w:b/>
        </w:rPr>
        <w:t>to increase the educational participation and attainment of adults, improve social cohesion, and boost the human and social capital of Victoria</w:t>
      </w:r>
      <w:r w:rsidDel="00972BA2">
        <w:t>.</w:t>
      </w:r>
    </w:p>
    <w:p w14:paraId="2226522C" w14:textId="77777777" w:rsidR="00DA7EF5" w:rsidRPr="00CA1CF2" w:rsidRDefault="00DA7EF5" w:rsidP="00DA7EF5">
      <w:pPr>
        <w:pStyle w:val="Heading1"/>
        <w:rPr>
          <w:rStyle w:val="Heading3Char"/>
        </w:rPr>
      </w:pPr>
      <w:r w:rsidRPr="00CA1CF2">
        <w:rPr>
          <w:rStyle w:val="Heading2Char"/>
        </w:rPr>
        <w:t>Quality ACFE</w:t>
      </w:r>
      <w:r w:rsidR="008074FD" w:rsidRPr="00CA1CF2">
        <w:rPr>
          <w:rStyle w:val="Heading2Char"/>
        </w:rPr>
        <w:br/>
      </w:r>
      <w:proofErr w:type="gramStart"/>
      <w:r w:rsidRPr="00CA1CF2">
        <w:rPr>
          <w:rStyle w:val="Heading3Char"/>
        </w:rPr>
        <w:t>Our</w:t>
      </w:r>
      <w:proofErr w:type="gramEnd"/>
      <w:r w:rsidRPr="00CA1CF2">
        <w:rPr>
          <w:rStyle w:val="Heading3Char"/>
        </w:rPr>
        <w:t xml:space="preserve"> resources are used to ensure access to high-quality programs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5971"/>
        <w:gridCol w:w="3662"/>
      </w:tblGrid>
      <w:tr w:rsidR="00DA7EF5" w:rsidRPr="001D2BD2" w14:paraId="2FBBA3DD" w14:textId="77777777" w:rsidTr="00315004">
        <w:trPr>
          <w:cantSplit/>
        </w:trPr>
        <w:tc>
          <w:tcPr>
            <w:tcW w:w="5971" w:type="dxa"/>
            <w:tcBorders>
              <w:top w:val="nil"/>
              <w:left w:val="single" w:sz="4" w:space="0" w:color="auto"/>
              <w:bottom w:val="single" w:sz="4" w:space="0" w:color="D9D9D9" w:themeColor="background1" w:themeShade="D9"/>
              <w:right w:val="single" w:sz="4" w:space="0" w:color="FFFFFF" w:themeColor="background1"/>
            </w:tcBorders>
            <w:shd w:val="clear" w:color="auto" w:fill="323E4F" w:themeFill="text2" w:themeFillShade="BF"/>
            <w:vAlign w:val="center"/>
            <w:hideMark/>
          </w:tcPr>
          <w:p w14:paraId="332B2D37" w14:textId="771ECF06" w:rsidR="00DA7EF5" w:rsidRPr="001D2BD2" w:rsidRDefault="00DA7EF5" w:rsidP="008A4D8C">
            <w:pPr>
              <w:pStyle w:val="Tableheading1"/>
            </w:pPr>
            <w:r w:rsidRPr="001D2BD2">
              <w:t xml:space="preserve">Strategy 2016–19 </w:t>
            </w:r>
            <w:r w:rsidR="00664BA9" w:rsidRPr="001D2BD2">
              <w:t>p</w:t>
            </w:r>
            <w:r w:rsidRPr="001D2BD2">
              <w:t>riorities</w:t>
            </w:r>
          </w:p>
        </w:tc>
        <w:tc>
          <w:tcPr>
            <w:tcW w:w="3662" w:type="dxa"/>
            <w:tcBorders>
              <w:top w:val="nil"/>
              <w:left w:val="single" w:sz="4" w:space="0" w:color="FFFFFF" w:themeColor="background1"/>
              <w:bottom w:val="single" w:sz="4" w:space="0" w:color="D9D9D9" w:themeColor="background1" w:themeShade="D9"/>
              <w:right w:val="single" w:sz="4" w:space="0" w:color="auto"/>
            </w:tcBorders>
            <w:shd w:val="clear" w:color="auto" w:fill="323E4F" w:themeFill="text2" w:themeFillShade="BF"/>
            <w:vAlign w:val="center"/>
            <w:hideMark/>
          </w:tcPr>
          <w:p w14:paraId="1A72588C" w14:textId="17C2EDFE" w:rsidR="00DA7EF5" w:rsidRPr="001D2BD2" w:rsidRDefault="00DA7EF5" w:rsidP="008A4D8C">
            <w:pPr>
              <w:pStyle w:val="Tableheading1"/>
            </w:pPr>
            <w:r w:rsidRPr="001D2BD2">
              <w:t>Target</w:t>
            </w:r>
          </w:p>
        </w:tc>
      </w:tr>
      <w:tr w:rsidR="00DA7EF5" w:rsidRPr="00005A03" w14:paraId="73F06246" w14:textId="77777777" w:rsidTr="00315004">
        <w:trPr>
          <w:cantSplit/>
        </w:trPr>
        <w:tc>
          <w:tcPr>
            <w:tcW w:w="59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B0DFE01" w14:textId="32A4BF1C" w:rsidR="00DA7EF5" w:rsidRPr="00005A03" w:rsidRDefault="00DA7EF5" w:rsidP="008A4D8C">
            <w:pPr>
              <w:pStyle w:val="Tabletext"/>
            </w:pPr>
            <w:r w:rsidRPr="00005A03">
              <w:t>Ensure programs and related services respond to learner needs and aspirations, connecting to further education and employment pathways</w:t>
            </w:r>
          </w:p>
        </w:tc>
        <w:tc>
          <w:tcPr>
            <w:tcW w:w="36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93CB70" w14:textId="7F6BB1C7" w:rsidR="00DA7EF5" w:rsidRPr="006C336B" w:rsidRDefault="00DA7EF5" w:rsidP="008A4D8C">
            <w:pPr>
              <w:pStyle w:val="Tabletext"/>
            </w:pPr>
            <w:r w:rsidRPr="006C336B">
              <w:t>Increase</w:t>
            </w:r>
            <w:r w:rsidR="001D2BD2">
              <w:t>d percentage</w:t>
            </w:r>
            <w:r w:rsidRPr="006C336B">
              <w:t xml:space="preserve"> of learners reporting satisfaction with training</w:t>
            </w:r>
          </w:p>
        </w:tc>
      </w:tr>
      <w:tr w:rsidR="007F0F73" w:rsidRPr="00005A03" w14:paraId="6D551720" w14:textId="77777777" w:rsidTr="00A67CCB">
        <w:trPr>
          <w:cantSplit/>
        </w:trPr>
        <w:tc>
          <w:tcPr>
            <w:tcW w:w="59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4972CF2" w14:textId="228719B7" w:rsidR="007F0F73" w:rsidRPr="00005A03" w:rsidRDefault="007F0F73" w:rsidP="008A4D8C">
            <w:pPr>
              <w:pStyle w:val="Tabletext"/>
            </w:pPr>
            <w:r w:rsidRPr="00005A03">
              <w:t>Design the system settings for responsive and agile program delivery across networks of providers to maximise access for learners</w:t>
            </w:r>
          </w:p>
        </w:tc>
        <w:tc>
          <w:tcPr>
            <w:tcW w:w="36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6A404B2" w14:textId="04BF5AF4" w:rsidR="007F0F73" w:rsidRPr="009B0D80" w:rsidRDefault="004A1E78" w:rsidP="008A4D8C">
            <w:pPr>
              <w:pStyle w:val="Tabletext"/>
              <w:rPr>
                <w:b/>
              </w:rPr>
            </w:pPr>
            <w:r w:rsidRPr="009B0D80">
              <w:rPr>
                <w:b/>
                <w:color w:val="000000"/>
                <w:szCs w:val="17"/>
              </w:rPr>
              <w:t xml:space="preserve">State Budget Paper No. 3 </w:t>
            </w:r>
            <w:r w:rsidRPr="009B0D80">
              <w:rPr>
                <w:b/>
                <w:i/>
                <w:color w:val="000000"/>
                <w:szCs w:val="17"/>
              </w:rPr>
              <w:t>Service Delivery</w:t>
            </w:r>
            <w:r w:rsidRPr="009B0D80">
              <w:rPr>
                <w:b/>
                <w:color w:val="000000"/>
                <w:szCs w:val="17"/>
              </w:rPr>
              <w:t xml:space="preserve"> </w:t>
            </w:r>
            <w:r w:rsidRPr="00C01646">
              <w:rPr>
                <w:b/>
                <w:color w:val="000000"/>
                <w:szCs w:val="17"/>
              </w:rPr>
              <w:t xml:space="preserve">performance measure and target: 45,000 </w:t>
            </w:r>
            <w:r w:rsidR="00C01646" w:rsidRPr="00C01646">
              <w:rPr>
                <w:b/>
              </w:rPr>
              <w:t>Adult, Community and Further Education Board</w:t>
            </w:r>
            <w:r w:rsidRPr="00C01646">
              <w:rPr>
                <w:b/>
                <w:color w:val="000000"/>
                <w:szCs w:val="17"/>
              </w:rPr>
              <w:t>-f</w:t>
            </w:r>
            <w:r w:rsidRPr="009B0D80">
              <w:rPr>
                <w:b/>
                <w:color w:val="000000"/>
                <w:szCs w:val="17"/>
              </w:rPr>
              <w:t>unded pre</w:t>
            </w:r>
            <w:r w:rsidRPr="009B0D80">
              <w:rPr>
                <w:b/>
                <w:color w:val="000000"/>
                <w:szCs w:val="17"/>
              </w:rPr>
              <w:noBreakHyphen/>
              <w:t>accredited module enrolments</w:t>
            </w:r>
          </w:p>
        </w:tc>
      </w:tr>
      <w:tr w:rsidR="00A51273" w:rsidRPr="009A0081" w14:paraId="75FD6232" w14:textId="77777777" w:rsidTr="00A67CCB">
        <w:trPr>
          <w:cantSplit/>
        </w:trPr>
        <w:tc>
          <w:tcPr>
            <w:tcW w:w="5971" w:type="dxa"/>
            <w:tcBorders>
              <w:top w:val="single" w:sz="4" w:space="0" w:color="D9D9D9" w:themeColor="background1" w:themeShade="D9"/>
              <w:left w:val="nil"/>
              <w:bottom w:val="nil"/>
              <w:right w:val="single" w:sz="4" w:space="0" w:color="FFFFFF" w:themeColor="background1"/>
            </w:tcBorders>
            <w:shd w:val="clear" w:color="auto" w:fill="323E4F" w:themeFill="text2" w:themeFillShade="BF"/>
            <w:vAlign w:val="center"/>
          </w:tcPr>
          <w:p w14:paraId="1863D369" w14:textId="1B5D89E5" w:rsidR="00A51273" w:rsidRPr="00FF1C22" w:rsidRDefault="00A51273" w:rsidP="008A4D8C">
            <w:pPr>
              <w:pStyle w:val="Tableheading1"/>
            </w:pPr>
            <w:r w:rsidRPr="005B5093">
              <w:t>Ministerial Statement of Expectations 2018</w:t>
            </w:r>
          </w:p>
        </w:tc>
        <w:tc>
          <w:tcPr>
            <w:tcW w:w="3662" w:type="dxa"/>
            <w:tcBorders>
              <w:top w:val="single" w:sz="4" w:space="0" w:color="D9D9D9" w:themeColor="background1" w:themeShade="D9"/>
              <w:left w:val="single" w:sz="4" w:space="0" w:color="FFFFFF" w:themeColor="background1"/>
              <w:bottom w:val="nil"/>
              <w:right w:val="nil"/>
            </w:tcBorders>
            <w:shd w:val="clear" w:color="auto" w:fill="323E4F" w:themeFill="text2" w:themeFillShade="BF"/>
            <w:vAlign w:val="center"/>
          </w:tcPr>
          <w:p w14:paraId="48B229E0" w14:textId="400C05B2" w:rsidR="00A51273" w:rsidRPr="00A51273" w:rsidRDefault="00A51273" w:rsidP="008A4D8C">
            <w:pPr>
              <w:pStyle w:val="Tableheading1"/>
            </w:pPr>
          </w:p>
        </w:tc>
      </w:tr>
      <w:tr w:rsidR="000D5F60" w:rsidRPr="00EE14EA" w14:paraId="53B0B514" w14:textId="77777777" w:rsidTr="00A67CCB">
        <w:trPr>
          <w:cantSplit/>
        </w:trPr>
        <w:tc>
          <w:tcPr>
            <w:tcW w:w="5971" w:type="dxa"/>
            <w:tcBorders>
              <w:top w:val="nil"/>
              <w:left w:val="nil"/>
              <w:bottom w:val="single" w:sz="4" w:space="0" w:color="D9D9D9" w:themeColor="background1" w:themeShade="D9"/>
              <w:right w:val="single" w:sz="4" w:space="0" w:color="FFFFFF" w:themeColor="background1"/>
            </w:tcBorders>
            <w:shd w:val="clear" w:color="auto" w:fill="7F7F7F" w:themeFill="text1" w:themeFillTint="80"/>
            <w:vAlign w:val="center"/>
          </w:tcPr>
          <w:p w14:paraId="14AD009E" w14:textId="72A4775A" w:rsidR="000D5F60" w:rsidRPr="00EE14EA" w:rsidRDefault="00444051" w:rsidP="00EE14EA">
            <w:pPr>
              <w:pStyle w:val="Tableheading2"/>
            </w:pPr>
            <w:r>
              <w:t>Expectation</w:t>
            </w:r>
          </w:p>
        </w:tc>
        <w:tc>
          <w:tcPr>
            <w:tcW w:w="3662" w:type="dxa"/>
            <w:tcBorders>
              <w:top w:val="nil"/>
              <w:left w:val="single" w:sz="4" w:space="0" w:color="FFFFFF" w:themeColor="background1"/>
              <w:bottom w:val="single" w:sz="4" w:space="0" w:color="D9D9D9" w:themeColor="background1" w:themeShade="D9"/>
              <w:right w:val="nil"/>
            </w:tcBorders>
            <w:shd w:val="clear" w:color="auto" w:fill="7F7F7F" w:themeFill="text1" w:themeFillTint="80"/>
            <w:vAlign w:val="center"/>
          </w:tcPr>
          <w:p w14:paraId="4BFD68F7" w14:textId="61BDBB6E" w:rsidR="000D5F60" w:rsidRPr="00444051" w:rsidRDefault="00EE14EA" w:rsidP="00444051">
            <w:pPr>
              <w:pStyle w:val="Tableheading2"/>
            </w:pPr>
            <w:r w:rsidRPr="00444051">
              <w:t>Demonstrated by</w:t>
            </w:r>
          </w:p>
        </w:tc>
      </w:tr>
      <w:tr w:rsidR="000D5F60" w:rsidRPr="009A0081" w14:paraId="260D7964" w14:textId="77777777" w:rsidTr="00315004">
        <w:trPr>
          <w:cantSplit/>
        </w:trPr>
        <w:tc>
          <w:tcPr>
            <w:tcW w:w="597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3E85479" w14:textId="4DD970A3" w:rsidR="000D5F60" w:rsidRPr="00B50B66" w:rsidRDefault="000D5F60" w:rsidP="00EE14EA">
            <w:pPr>
              <w:pStyle w:val="Tabletext"/>
            </w:pPr>
            <w:r w:rsidRPr="00B50B66">
              <w:t>Fund, support and resource programs and services that meet local community needs and support disadvantaged learners</w:t>
            </w:r>
          </w:p>
        </w:tc>
        <w:tc>
          <w:tcPr>
            <w:tcW w:w="366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2FD9A19" w14:textId="53C68539" w:rsidR="000D5F60" w:rsidRPr="006730C1" w:rsidRDefault="00EE14EA" w:rsidP="008A4D8C">
            <w:pPr>
              <w:pStyle w:val="Tabletext"/>
              <w:rPr>
                <w:color w:val="000000"/>
                <w:szCs w:val="17"/>
              </w:rPr>
            </w:pPr>
            <w:r>
              <w:t>Improved participation in training by priority learner cohorts</w:t>
            </w:r>
          </w:p>
        </w:tc>
      </w:tr>
    </w:tbl>
    <w:p w14:paraId="1F61E681" w14:textId="77777777" w:rsidR="002414B1" w:rsidRDefault="002414B1" w:rsidP="002414B1">
      <w:pPr>
        <w:pStyle w:val="Spacebetweentabl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633"/>
      </w:tblGrid>
      <w:tr w:rsidR="008B428A" w:rsidRPr="009A0081" w14:paraId="5D0BBB7C" w14:textId="77777777" w:rsidTr="00027464">
        <w:trPr>
          <w:cantSplit/>
          <w:tblHeader/>
        </w:trPr>
        <w:tc>
          <w:tcPr>
            <w:tcW w:w="0" w:type="auto"/>
            <w:tcBorders>
              <w:top w:val="nil"/>
              <w:left w:val="nil"/>
              <w:bottom w:val="single" w:sz="4" w:space="0" w:color="D9D9D9" w:themeColor="background1" w:themeShade="D9"/>
              <w:right w:val="single" w:sz="4" w:space="0" w:color="FFFFFF" w:themeColor="background1"/>
            </w:tcBorders>
            <w:shd w:val="clear" w:color="auto" w:fill="7F7F7F" w:themeFill="text1" w:themeFillTint="80"/>
            <w:vAlign w:val="center"/>
          </w:tcPr>
          <w:p w14:paraId="55D5F6CE" w14:textId="7EB0BFC0" w:rsidR="008B428A" w:rsidRPr="009C71AF" w:rsidRDefault="008B428A" w:rsidP="008A4D8C">
            <w:pPr>
              <w:pStyle w:val="Tableheading2"/>
            </w:pPr>
            <w:r>
              <w:lastRenderedPageBreak/>
              <w:t>Priority activities 2018</w:t>
            </w:r>
          </w:p>
        </w:tc>
      </w:tr>
      <w:tr w:rsidR="008B428A" w:rsidRPr="00C56ACA" w14:paraId="519D3243" w14:textId="77777777" w:rsidTr="00027464">
        <w:trPr>
          <w:cantSplit/>
        </w:trPr>
        <w:tc>
          <w:tcPr>
            <w:tcW w:w="0" w:type="auto"/>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vAlign w:val="center"/>
          </w:tcPr>
          <w:p w14:paraId="5D4BEAA0" w14:textId="41637034" w:rsidR="008B428A" w:rsidRDefault="008B428A" w:rsidP="00355482">
            <w:pPr>
              <w:pStyle w:val="Tabletextbeforeindented"/>
            </w:pPr>
            <w:r>
              <w:t>Establish a rolling program to progressively develop priority learner cohort-specific strategies for increasing engagement and improving outcomes</w:t>
            </w:r>
          </w:p>
        </w:tc>
      </w:tr>
      <w:tr w:rsidR="008B428A" w:rsidRPr="00005A03" w14:paraId="2A8ED4BA" w14:textId="77777777" w:rsidTr="00027464">
        <w:trPr>
          <w:cantSplit/>
        </w:trPr>
        <w:tc>
          <w:tcPr>
            <w:tcW w:w="0" w:type="auto"/>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5F08E565" w14:textId="05D56653" w:rsidR="008B428A" w:rsidRPr="00005A03" w:rsidRDefault="008B428A" w:rsidP="00355482">
            <w:pPr>
              <w:pStyle w:val="Tabletextindented"/>
              <w:keepNext/>
            </w:pPr>
            <w:r>
              <w:t>Program established</w:t>
            </w:r>
          </w:p>
        </w:tc>
      </w:tr>
      <w:tr w:rsidR="008B428A" w:rsidRPr="00005A03" w14:paraId="34A51871" w14:textId="77777777" w:rsidTr="00027464">
        <w:trPr>
          <w:cantSplit/>
        </w:trPr>
        <w:tc>
          <w:tcPr>
            <w:tcW w:w="0" w:type="auto"/>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483BE02" w14:textId="70CE8CFA" w:rsidR="008B428A" w:rsidRPr="00005A03" w:rsidRDefault="008B428A" w:rsidP="00E75BB4">
            <w:pPr>
              <w:pStyle w:val="Tabletextindented"/>
            </w:pPr>
            <w:r>
              <w:t>Three strategies developed</w:t>
            </w:r>
          </w:p>
        </w:tc>
      </w:tr>
      <w:tr w:rsidR="008B428A" w:rsidRPr="00005A03" w14:paraId="4CD9F209" w14:textId="77777777" w:rsidTr="00853F92">
        <w:trPr>
          <w:cantSplit/>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1C02229" w14:textId="06F0497B" w:rsidR="008B428A" w:rsidRPr="00005A03" w:rsidRDefault="008B428A" w:rsidP="008A4D8C">
            <w:pPr>
              <w:pStyle w:val="Tabletext"/>
            </w:pPr>
            <w:r w:rsidRPr="00005A03">
              <w:t>Review Certificates in Gene</w:t>
            </w:r>
            <w:r>
              <w:t>ral Education for Adults for re</w:t>
            </w:r>
            <w:r w:rsidRPr="00005A03">
              <w:t>accreditation and to increase links to and contribution to foundations skills training</w:t>
            </w:r>
          </w:p>
        </w:tc>
      </w:tr>
      <w:tr w:rsidR="008B428A" w:rsidRPr="00005A03" w14:paraId="66D5266D" w14:textId="77777777" w:rsidTr="00853F92">
        <w:trPr>
          <w:cantSplit/>
        </w:trPr>
        <w:tc>
          <w:tcPr>
            <w:tcW w:w="0" w:type="auto"/>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vAlign w:val="center"/>
          </w:tcPr>
          <w:p w14:paraId="60272BCB" w14:textId="0C39BAD4" w:rsidR="008B428A" w:rsidRPr="00005A03" w:rsidRDefault="008B428A" w:rsidP="00A334F8">
            <w:pPr>
              <w:pStyle w:val="Tabletextbeforeindented"/>
            </w:pPr>
            <w:r>
              <w:t>Implement</w:t>
            </w:r>
            <w:r w:rsidRPr="00005A03">
              <w:t xml:space="preserve"> a Professional </w:t>
            </w:r>
            <w:r>
              <w:t>Development</w:t>
            </w:r>
            <w:r w:rsidRPr="00005A03">
              <w:t xml:space="preserve"> Strategy that responds coherently to the Learn Local sector’s skills and knowledge development needs</w:t>
            </w:r>
          </w:p>
        </w:tc>
      </w:tr>
      <w:tr w:rsidR="008B428A" w:rsidRPr="00005A03" w14:paraId="4CE927E8" w14:textId="77777777" w:rsidTr="00853F92">
        <w:trPr>
          <w:cantSplit/>
        </w:trPr>
        <w:tc>
          <w:tcPr>
            <w:tcW w:w="0" w:type="auto"/>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7D87567D" w14:textId="48B02F92" w:rsidR="008B428A" w:rsidRPr="00474BCB" w:rsidRDefault="008B428A" w:rsidP="00627D98">
            <w:pPr>
              <w:pStyle w:val="Tabletextindented"/>
              <w:keepNext/>
              <w:rPr>
                <w:caps/>
              </w:rPr>
            </w:pPr>
            <w:r>
              <w:t>Strategy endorsed by ACFEB</w:t>
            </w:r>
          </w:p>
        </w:tc>
      </w:tr>
      <w:tr w:rsidR="008B428A" w:rsidRPr="00005A03" w14:paraId="59ADA28A" w14:textId="77777777" w:rsidTr="00853F92">
        <w:trPr>
          <w:cantSplit/>
        </w:trPr>
        <w:tc>
          <w:tcPr>
            <w:tcW w:w="0" w:type="auto"/>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7ACC41A" w14:textId="0FF604A5" w:rsidR="008B428A" w:rsidRDefault="008B428A" w:rsidP="00E75BB4">
            <w:pPr>
              <w:pStyle w:val="Tabletextindented"/>
            </w:pPr>
            <w:r>
              <w:t>Commence implementation</w:t>
            </w:r>
          </w:p>
        </w:tc>
      </w:tr>
      <w:tr w:rsidR="008B428A" w:rsidRPr="00005A03" w14:paraId="6E45B196" w14:textId="77777777" w:rsidTr="00722642">
        <w:trPr>
          <w:cantSplit/>
        </w:trPr>
        <w:tc>
          <w:tcPr>
            <w:tcW w:w="0" w:type="auto"/>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vAlign w:val="center"/>
          </w:tcPr>
          <w:p w14:paraId="1A3014E4" w14:textId="47D1AFA0" w:rsidR="008B428A" w:rsidRPr="00005A03" w:rsidRDefault="008B428A" w:rsidP="00627D98">
            <w:pPr>
              <w:pStyle w:val="Tabletextbeforeindented"/>
            </w:pPr>
            <w:r>
              <w:t>Progressively e</w:t>
            </w:r>
            <w:r w:rsidRPr="00005A03">
              <w:t>xpand the Learn Local Quality Partnership</w:t>
            </w:r>
            <w:r>
              <w:t>s</w:t>
            </w:r>
            <w:r w:rsidRPr="00005A03">
              <w:t xml:space="preserve"> program</w:t>
            </w:r>
            <w:r>
              <w:t xml:space="preserve"> to another six partnerships</w:t>
            </w:r>
          </w:p>
        </w:tc>
      </w:tr>
      <w:tr w:rsidR="008B428A" w:rsidRPr="00005A03" w14:paraId="0DFEBC72" w14:textId="77777777" w:rsidTr="00722642">
        <w:trPr>
          <w:cantSplit/>
        </w:trPr>
        <w:tc>
          <w:tcPr>
            <w:tcW w:w="0" w:type="auto"/>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01BCFEEE" w14:textId="727A5C94" w:rsidR="008B428A" w:rsidRPr="00806C0B" w:rsidRDefault="008B428A" w:rsidP="00627D98">
            <w:pPr>
              <w:pStyle w:val="Tabletextindented"/>
            </w:pPr>
            <w:r>
              <w:t>Further six  sites identified</w:t>
            </w:r>
          </w:p>
        </w:tc>
      </w:tr>
      <w:tr w:rsidR="008B428A" w:rsidRPr="00005A03" w14:paraId="0EB2C586" w14:textId="77777777" w:rsidTr="00722642">
        <w:trPr>
          <w:cantSplit/>
        </w:trPr>
        <w:tc>
          <w:tcPr>
            <w:tcW w:w="0" w:type="auto"/>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090217B" w14:textId="4E560704" w:rsidR="008B428A" w:rsidRPr="00806C0B" w:rsidRDefault="008B428A" w:rsidP="00027464">
            <w:pPr>
              <w:pStyle w:val="Tabletextindented"/>
            </w:pPr>
            <w:r>
              <w:t>Further six partnerships established</w:t>
            </w:r>
          </w:p>
        </w:tc>
      </w:tr>
      <w:tr w:rsidR="008B428A" w:rsidRPr="00005A03" w14:paraId="1EB8349D" w14:textId="77777777" w:rsidTr="00722642">
        <w:trPr>
          <w:cantSplit/>
        </w:trPr>
        <w:tc>
          <w:tcPr>
            <w:tcW w:w="0" w:type="auto"/>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vAlign w:val="center"/>
          </w:tcPr>
          <w:p w14:paraId="2727B4AF" w14:textId="63941862" w:rsidR="008B428A" w:rsidRPr="00005A03" w:rsidRDefault="008B428A" w:rsidP="00B61A6B">
            <w:pPr>
              <w:pStyle w:val="Tabletextbeforeindented"/>
            </w:pPr>
            <w:r w:rsidRPr="00806C0B">
              <w:t xml:space="preserve">Guide and direct the work of Regional Councils of Adult, Community and Further Education to ensure their capacity to provide local and regional intelligence that will assist </w:t>
            </w:r>
            <w:r>
              <w:t>the Adult, Community and Further Education Board</w:t>
            </w:r>
            <w:r w:rsidRPr="00806C0B">
              <w:t xml:space="preserve"> strategically target its resources to identified priority learner cohorts and localities</w:t>
            </w:r>
          </w:p>
        </w:tc>
      </w:tr>
      <w:tr w:rsidR="008B428A" w:rsidRPr="00005A03" w14:paraId="39107677" w14:textId="77777777" w:rsidTr="00722642">
        <w:trPr>
          <w:cantSplit/>
        </w:trPr>
        <w:tc>
          <w:tcPr>
            <w:tcW w:w="0" w:type="auto"/>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0D61BC58" w14:textId="7951B4C7" w:rsidR="008B428A" w:rsidRPr="00806C0B" w:rsidRDefault="008B428A" w:rsidP="003B0D2C">
            <w:pPr>
              <w:pStyle w:val="Tabletextindented"/>
            </w:pPr>
            <w:r>
              <w:t>Establish a Statement of Adult, Community and Further Education Board Expectations of Regional Councils</w:t>
            </w:r>
          </w:p>
        </w:tc>
      </w:tr>
      <w:tr w:rsidR="008B428A" w:rsidRPr="00005A03" w14:paraId="04A8FEFA" w14:textId="77777777" w:rsidTr="00210000">
        <w:trPr>
          <w:cantSplit/>
        </w:trPr>
        <w:tc>
          <w:tcPr>
            <w:tcW w:w="0" w:type="auto"/>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13CD7FFD" w14:textId="77777777" w:rsidR="008B428A" w:rsidRPr="00806C0B" w:rsidRDefault="008B428A" w:rsidP="003B0D2C">
            <w:pPr>
              <w:pStyle w:val="Tabletextindented"/>
            </w:pPr>
            <w:r>
              <w:t>Establish a strategic planning framework</w:t>
            </w:r>
          </w:p>
        </w:tc>
      </w:tr>
      <w:tr w:rsidR="008B428A" w:rsidRPr="00FF6EAA" w14:paraId="57FF550F" w14:textId="77777777" w:rsidTr="00210000">
        <w:trPr>
          <w:cantSplit/>
        </w:trPr>
        <w:tc>
          <w:tcPr>
            <w:tcW w:w="0" w:type="auto"/>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6B5ED42D" w14:textId="1912DFE5" w:rsidR="008B428A" w:rsidRDefault="008B428A" w:rsidP="003B0D2C">
            <w:pPr>
              <w:pStyle w:val="Tabletextindented"/>
            </w:pPr>
            <w:r>
              <w:t>Support Regional Council planning through the delivery and support of Planning workshops with each regional council</w:t>
            </w:r>
          </w:p>
        </w:tc>
      </w:tr>
      <w:tr w:rsidR="008B428A" w:rsidRPr="00FF6EAA" w14:paraId="29333768" w14:textId="77777777" w:rsidTr="00722642">
        <w:trPr>
          <w:cantSplit/>
        </w:trPr>
        <w:tc>
          <w:tcPr>
            <w:tcW w:w="0" w:type="auto"/>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vAlign w:val="center"/>
          </w:tcPr>
          <w:p w14:paraId="4943E5C0" w14:textId="2EF4FFEF" w:rsidR="008B428A" w:rsidRPr="00FF6EAA" w:rsidRDefault="008B428A" w:rsidP="003B0D2C">
            <w:pPr>
              <w:pStyle w:val="Tabletextbeforeindented"/>
            </w:pPr>
            <w:r w:rsidRPr="00FF6EAA">
              <w:t>Review Capacity and Innovation Fund to identify and share best-practice products and identify lessons</w:t>
            </w:r>
            <w:r>
              <w:t xml:space="preserve"> learnt</w:t>
            </w:r>
          </w:p>
        </w:tc>
      </w:tr>
      <w:tr w:rsidR="008B428A" w:rsidRPr="00FF6EAA" w14:paraId="76BD4139" w14:textId="77777777" w:rsidTr="00722642">
        <w:trPr>
          <w:cantSplit/>
        </w:trPr>
        <w:tc>
          <w:tcPr>
            <w:tcW w:w="0" w:type="auto"/>
            <w:tcBorders>
              <w:top w:val="nil"/>
              <w:left w:val="single" w:sz="4" w:space="0" w:color="D9D9D9" w:themeColor="background1" w:themeShade="D9"/>
              <w:bottom w:val="nil"/>
              <w:right w:val="single" w:sz="4" w:space="0" w:color="D9D9D9" w:themeColor="background1" w:themeShade="D9"/>
            </w:tcBorders>
            <w:vAlign w:val="center"/>
          </w:tcPr>
          <w:p w14:paraId="5BB96BEF" w14:textId="2ABEFE71" w:rsidR="008B428A" w:rsidRPr="00FF6EAA" w:rsidRDefault="008B428A" w:rsidP="00BD747A">
            <w:pPr>
              <w:pStyle w:val="Tabletextindented"/>
            </w:pPr>
            <w:r w:rsidRPr="00FF6EAA">
              <w:t>Review</w:t>
            </w:r>
            <w:r>
              <w:t xml:space="preserve"> completed</w:t>
            </w:r>
          </w:p>
        </w:tc>
      </w:tr>
      <w:tr w:rsidR="008B428A" w:rsidRPr="00FF6EAA" w14:paraId="7770B609" w14:textId="77777777" w:rsidTr="00AE29EB">
        <w:trPr>
          <w:cantSplit/>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A1C469" w14:textId="4A339C85" w:rsidR="008B428A" w:rsidRPr="00FF6EAA" w:rsidRDefault="008B428A" w:rsidP="00BD747A">
            <w:pPr>
              <w:pStyle w:val="Tabletext"/>
            </w:pPr>
            <w:r>
              <w:t>Develop an online forum for capturing and sharing best-practice Adult, Community and Further Education Board-funded initiatives</w:t>
            </w:r>
          </w:p>
        </w:tc>
      </w:tr>
      <w:tr w:rsidR="008B428A" w:rsidRPr="00FF6EAA" w14:paraId="0CD156FC" w14:textId="77777777" w:rsidTr="00AE29EB">
        <w:trPr>
          <w:cantSplit/>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49112E" w14:textId="222ECBFD" w:rsidR="008B428A" w:rsidRPr="00FF6EAA" w:rsidRDefault="008B428A" w:rsidP="00BD747A">
            <w:pPr>
              <w:pStyle w:val="Tabletext"/>
            </w:pPr>
            <w:r w:rsidRPr="00FF6EAA">
              <w:t>Proceed with three pilots of the Senior Victorians Flagship Project and conduct evaluation</w:t>
            </w:r>
          </w:p>
        </w:tc>
      </w:tr>
    </w:tbl>
    <w:p w14:paraId="5602CB6D" w14:textId="77777777" w:rsidR="00DA7EF5" w:rsidRPr="00CA1CF2" w:rsidRDefault="00DA7EF5" w:rsidP="00DA7EF5">
      <w:pPr>
        <w:pStyle w:val="Heading1"/>
        <w:rPr>
          <w:rStyle w:val="Heading3Char"/>
        </w:rPr>
      </w:pPr>
      <w:r w:rsidRPr="00CA1CF2">
        <w:rPr>
          <w:rStyle w:val="Heading2Char"/>
        </w:rPr>
        <w:t>Accountable ACFE</w:t>
      </w:r>
      <w:r w:rsidR="008074FD" w:rsidRPr="00CA1CF2">
        <w:rPr>
          <w:rStyle w:val="Heading2Char"/>
        </w:rPr>
        <w:br/>
      </w:r>
      <w:proofErr w:type="gramStart"/>
      <w:r w:rsidR="008074FD" w:rsidRPr="00CA1CF2">
        <w:rPr>
          <w:rStyle w:val="Heading3Char"/>
        </w:rPr>
        <w:t>W</w:t>
      </w:r>
      <w:r w:rsidRPr="00CA1CF2">
        <w:rPr>
          <w:rStyle w:val="Heading3Char"/>
        </w:rPr>
        <w:t>e</w:t>
      </w:r>
      <w:proofErr w:type="gramEnd"/>
      <w:r w:rsidRPr="00CA1CF2">
        <w:rPr>
          <w:rStyle w:val="Heading3Char"/>
        </w:rPr>
        <w:t xml:space="preserve"> support pathways to further education and 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952"/>
        <w:gridCol w:w="3686"/>
      </w:tblGrid>
      <w:tr w:rsidR="00003BB7" w:rsidRPr="009A0081" w14:paraId="77BB2157" w14:textId="77777777" w:rsidTr="00315CAB">
        <w:trPr>
          <w:cantSplit/>
        </w:trPr>
        <w:tc>
          <w:tcPr>
            <w:tcW w:w="3088" w:type="pct"/>
            <w:tcBorders>
              <w:top w:val="nil"/>
              <w:left w:val="nil"/>
              <w:bottom w:val="single" w:sz="4" w:space="0" w:color="D9D9D9" w:themeColor="background1" w:themeShade="D9"/>
              <w:right w:val="single" w:sz="4" w:space="0" w:color="FFFFFF" w:themeColor="background1"/>
            </w:tcBorders>
            <w:shd w:val="clear" w:color="auto" w:fill="323E4F" w:themeFill="text2" w:themeFillShade="BF"/>
            <w:vAlign w:val="center"/>
            <w:hideMark/>
          </w:tcPr>
          <w:p w14:paraId="4442F22F" w14:textId="67E03EED" w:rsidR="00664BA9" w:rsidRPr="00FF1C22" w:rsidRDefault="00664BA9" w:rsidP="008A4D8C">
            <w:pPr>
              <w:pStyle w:val="Tableheading1"/>
            </w:pPr>
            <w:r w:rsidRPr="00FF1C22">
              <w:t xml:space="preserve">Strategy 2016–19 </w:t>
            </w:r>
            <w:r>
              <w:t>p</w:t>
            </w:r>
            <w:r w:rsidRPr="00FF1C22">
              <w:t>riorities</w:t>
            </w:r>
          </w:p>
        </w:tc>
        <w:tc>
          <w:tcPr>
            <w:tcW w:w="1912" w:type="pct"/>
            <w:tcBorders>
              <w:top w:val="nil"/>
              <w:left w:val="single" w:sz="4" w:space="0" w:color="FFFFFF" w:themeColor="background1"/>
              <w:bottom w:val="single" w:sz="4" w:space="0" w:color="D9D9D9" w:themeColor="background1" w:themeShade="D9"/>
              <w:right w:val="nil"/>
            </w:tcBorders>
            <w:shd w:val="clear" w:color="auto" w:fill="323E4F" w:themeFill="text2" w:themeFillShade="BF"/>
            <w:vAlign w:val="center"/>
            <w:hideMark/>
          </w:tcPr>
          <w:p w14:paraId="5751C9E4" w14:textId="2C30D99B" w:rsidR="00664BA9" w:rsidRPr="00FF1C22" w:rsidRDefault="00664BA9" w:rsidP="008A4D8C">
            <w:pPr>
              <w:pStyle w:val="Tableheading1"/>
            </w:pPr>
            <w:r w:rsidRPr="00FF1C22">
              <w:t>Target</w:t>
            </w:r>
          </w:p>
        </w:tc>
      </w:tr>
      <w:tr w:rsidR="00003BB7" w:rsidRPr="009A0081" w14:paraId="54E9B705" w14:textId="77777777" w:rsidTr="00315CAB">
        <w:tblPrEx>
          <w:tblLook w:val="00A0" w:firstRow="1" w:lastRow="0" w:firstColumn="1" w:lastColumn="0" w:noHBand="0" w:noVBand="0"/>
        </w:tblPrEx>
        <w:trPr>
          <w:cantSplit/>
        </w:trPr>
        <w:tc>
          <w:tcPr>
            <w:tcW w:w="308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FB0DED" w14:textId="77777777" w:rsidR="00664BA9" w:rsidRPr="005B5093" w:rsidRDefault="00664BA9" w:rsidP="008A4D8C">
            <w:pPr>
              <w:pStyle w:val="Tabletext"/>
              <w:numPr>
                <w:ilvl w:val="0"/>
                <w:numId w:val="13"/>
              </w:numPr>
              <w:ind w:left="175" w:hanging="175"/>
            </w:pPr>
            <w:r w:rsidRPr="005B5093">
              <w:t>Develop robust baselines and build an evidence base for planning and monitoring regional performance in transitioning learners to further education and employment</w:t>
            </w:r>
          </w:p>
          <w:p w14:paraId="1A5218BD" w14:textId="77777777" w:rsidR="00664BA9" w:rsidRPr="005B5093" w:rsidRDefault="00664BA9" w:rsidP="008A4D8C">
            <w:pPr>
              <w:pStyle w:val="Tabletext"/>
              <w:numPr>
                <w:ilvl w:val="0"/>
                <w:numId w:val="13"/>
              </w:numPr>
              <w:ind w:left="175" w:hanging="175"/>
            </w:pPr>
            <w:r w:rsidRPr="005B5093">
              <w:t>Review and align budget and supports towards programs and initiatives with high conversion rates to further education and employment</w:t>
            </w:r>
          </w:p>
        </w:tc>
        <w:tc>
          <w:tcPr>
            <w:tcW w:w="191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A7C97E" w14:textId="7D293F3C" w:rsidR="00664BA9" w:rsidRPr="005B5093" w:rsidRDefault="00E21EDA" w:rsidP="008A4D8C">
            <w:pPr>
              <w:pStyle w:val="Tabletext"/>
            </w:pPr>
            <w:r>
              <w:t>Increase in percentage</w:t>
            </w:r>
            <w:r w:rsidR="00664BA9" w:rsidRPr="002F0DEB">
              <w:t xml:space="preserve"> of learners transitioning to further training</w:t>
            </w:r>
          </w:p>
        </w:tc>
      </w:tr>
      <w:tr w:rsidR="00003BB7" w:rsidRPr="009A0081" w14:paraId="0A6AA195" w14:textId="77777777" w:rsidTr="00315CAB">
        <w:tblPrEx>
          <w:tblLook w:val="00A0" w:firstRow="1" w:lastRow="0" w:firstColumn="1" w:lastColumn="0" w:noHBand="0" w:noVBand="0"/>
        </w:tblPrEx>
        <w:trPr>
          <w:cantSplit/>
        </w:trPr>
        <w:tc>
          <w:tcPr>
            <w:tcW w:w="3088" w:type="pct"/>
            <w:tcBorders>
              <w:top w:val="single" w:sz="4" w:space="0" w:color="D9D9D9" w:themeColor="background1" w:themeShade="D9"/>
              <w:left w:val="single" w:sz="4" w:space="0" w:color="auto"/>
              <w:bottom w:val="nil"/>
              <w:right w:val="single" w:sz="4" w:space="0" w:color="FFFFFF" w:themeColor="background1"/>
            </w:tcBorders>
            <w:shd w:val="clear" w:color="auto" w:fill="323E4F" w:themeFill="text2" w:themeFillShade="BF"/>
            <w:vAlign w:val="center"/>
          </w:tcPr>
          <w:p w14:paraId="2594369C" w14:textId="77777777" w:rsidR="0096283D" w:rsidRPr="00FF1C22" w:rsidRDefault="0096283D" w:rsidP="008A4D8C">
            <w:pPr>
              <w:pStyle w:val="Tableheading1"/>
            </w:pPr>
            <w:r w:rsidRPr="005B5093">
              <w:lastRenderedPageBreak/>
              <w:t>Ministerial Statement of Expectations 2018</w:t>
            </w:r>
          </w:p>
        </w:tc>
        <w:tc>
          <w:tcPr>
            <w:tcW w:w="1912" w:type="pct"/>
            <w:tcBorders>
              <w:top w:val="single" w:sz="4" w:space="0" w:color="D9D9D9" w:themeColor="background1" w:themeShade="D9"/>
              <w:left w:val="single" w:sz="4" w:space="0" w:color="FFFFFF" w:themeColor="background1"/>
              <w:bottom w:val="nil"/>
              <w:right w:val="single" w:sz="4" w:space="0" w:color="auto"/>
            </w:tcBorders>
            <w:shd w:val="clear" w:color="auto" w:fill="323E4F" w:themeFill="text2" w:themeFillShade="BF"/>
            <w:vAlign w:val="center"/>
          </w:tcPr>
          <w:p w14:paraId="41FFB90B" w14:textId="48E5459D" w:rsidR="0096283D" w:rsidRPr="0096283D" w:rsidRDefault="0096283D" w:rsidP="008A4D8C">
            <w:pPr>
              <w:pStyle w:val="Tableheading1"/>
            </w:pPr>
          </w:p>
        </w:tc>
      </w:tr>
      <w:tr w:rsidR="00003BB7" w:rsidRPr="009A0081" w14:paraId="2C4F6FAC" w14:textId="77777777" w:rsidTr="00315CAB">
        <w:tblPrEx>
          <w:tblLook w:val="00A0" w:firstRow="1" w:lastRow="0" w:firstColumn="1" w:lastColumn="0" w:noHBand="0" w:noVBand="0"/>
        </w:tblPrEx>
        <w:trPr>
          <w:cantSplit/>
        </w:trPr>
        <w:tc>
          <w:tcPr>
            <w:tcW w:w="3088" w:type="pct"/>
            <w:tcBorders>
              <w:top w:val="nil"/>
              <w:left w:val="nil"/>
              <w:bottom w:val="nil"/>
              <w:right w:val="single" w:sz="4" w:space="0" w:color="FFFFFF" w:themeColor="background1"/>
            </w:tcBorders>
            <w:shd w:val="clear" w:color="auto" w:fill="7F7F7F" w:themeFill="text1" w:themeFillTint="80"/>
            <w:vAlign w:val="center"/>
          </w:tcPr>
          <w:p w14:paraId="37C588A7" w14:textId="77777777" w:rsidR="0096283D" w:rsidRPr="009C71AF" w:rsidRDefault="0096283D" w:rsidP="008A4D8C">
            <w:pPr>
              <w:pStyle w:val="Tableheading2"/>
            </w:pPr>
            <w:r>
              <w:t>Expectations</w:t>
            </w:r>
          </w:p>
        </w:tc>
        <w:tc>
          <w:tcPr>
            <w:tcW w:w="1912" w:type="pct"/>
            <w:tcBorders>
              <w:top w:val="nil"/>
              <w:left w:val="single" w:sz="4" w:space="0" w:color="FFFFFF" w:themeColor="background1"/>
              <w:bottom w:val="nil"/>
              <w:right w:val="single" w:sz="4" w:space="0" w:color="767171" w:themeColor="background2" w:themeShade="80"/>
            </w:tcBorders>
            <w:shd w:val="clear" w:color="auto" w:fill="7F7F7F" w:themeFill="text1" w:themeFillTint="80"/>
            <w:vAlign w:val="center"/>
          </w:tcPr>
          <w:p w14:paraId="30183900" w14:textId="61908AB4" w:rsidR="0096283D" w:rsidRPr="00444051" w:rsidRDefault="005E376B" w:rsidP="00444051">
            <w:pPr>
              <w:pStyle w:val="Tableheading2"/>
            </w:pPr>
            <w:r w:rsidRPr="00444051">
              <w:t>Demonstrated by</w:t>
            </w:r>
          </w:p>
        </w:tc>
      </w:tr>
      <w:tr w:rsidR="00003BB7" w:rsidRPr="00FF6EAA" w14:paraId="77CF90C6" w14:textId="77777777" w:rsidTr="00315CAB">
        <w:tblPrEx>
          <w:tblLook w:val="00A0" w:firstRow="1" w:lastRow="0" w:firstColumn="1" w:lastColumn="0" w:noHBand="0" w:noVBand="0"/>
        </w:tblPrEx>
        <w:trPr>
          <w:cantSplit/>
        </w:trPr>
        <w:tc>
          <w:tcPr>
            <w:tcW w:w="3088"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40953B4" w14:textId="0C579E80" w:rsidR="008578C4" w:rsidRPr="00FF6EAA" w:rsidRDefault="008578C4" w:rsidP="00FF6EAA">
            <w:pPr>
              <w:pStyle w:val="Tabletext"/>
            </w:pPr>
            <w:r w:rsidRPr="00FF6EAA">
              <w:t>Act as an expert advisor to Government on the needs of adult learners and the most appropriate and effective responses to those needs</w:t>
            </w:r>
          </w:p>
        </w:tc>
        <w:tc>
          <w:tcPr>
            <w:tcW w:w="1912"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4DCDB23" w14:textId="600F9948" w:rsidR="008578C4" w:rsidRPr="00FF6EAA" w:rsidRDefault="005E376B" w:rsidP="00FF6EAA">
            <w:pPr>
              <w:pStyle w:val="Tabletext"/>
            </w:pPr>
            <w:r w:rsidRPr="00FF6EAA">
              <w:t>Regularly providing evidence-based advice on strategies to improve work and learning outcomes for adult Victorians, particularly those experiencing disadvantage</w:t>
            </w:r>
          </w:p>
        </w:tc>
      </w:tr>
      <w:tr w:rsidR="00003BB7" w:rsidRPr="00FF6EAA" w14:paraId="48EE97C6" w14:textId="77777777" w:rsidTr="00315CAB">
        <w:tblPrEx>
          <w:tblLook w:val="00A0" w:firstRow="1" w:lastRow="0" w:firstColumn="1" w:lastColumn="0" w:noHBand="0" w:noVBand="0"/>
        </w:tblPrEx>
        <w:trPr>
          <w:cantSplit/>
        </w:trPr>
        <w:tc>
          <w:tcPr>
            <w:tcW w:w="308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F0B8920" w14:textId="2FD29419" w:rsidR="000A54E7" w:rsidRPr="00FF6EAA" w:rsidRDefault="00B73E97" w:rsidP="00FF6EAA">
            <w:pPr>
              <w:pStyle w:val="Tabletext"/>
            </w:pPr>
            <w:r w:rsidRPr="00FF6EAA">
              <w:t>Implement best-practice governance arrangements and adhere to public sector values and behaviours</w:t>
            </w:r>
          </w:p>
        </w:tc>
        <w:tc>
          <w:tcPr>
            <w:tcW w:w="191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89861D9" w14:textId="2E250EB7" w:rsidR="00B73E97" w:rsidRPr="00FF6EAA" w:rsidRDefault="00B73E97" w:rsidP="00FF6EAA">
            <w:pPr>
              <w:pStyle w:val="Tabletext"/>
            </w:pPr>
            <w:r w:rsidRPr="00FF6EAA">
              <w:t>Demonstrated by responding to the review of Board performance undertaken in 2017</w:t>
            </w:r>
          </w:p>
        </w:tc>
      </w:tr>
    </w:tbl>
    <w:p w14:paraId="4B46E4CD" w14:textId="77777777" w:rsidR="00733E60" w:rsidRDefault="00733E60" w:rsidP="00733E60">
      <w:pPr>
        <w:pStyle w:val="Spacebetweentabl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633"/>
      </w:tblGrid>
      <w:tr w:rsidR="008B428A" w:rsidRPr="009A0081" w14:paraId="504F5619" w14:textId="77777777" w:rsidTr="008B428A">
        <w:trPr>
          <w:cantSplit/>
          <w:tblHeader/>
        </w:trPr>
        <w:tc>
          <w:tcPr>
            <w:tcW w:w="5000" w:type="pct"/>
            <w:tcBorders>
              <w:top w:val="nil"/>
              <w:left w:val="nil"/>
              <w:bottom w:val="single" w:sz="4" w:space="0" w:color="D9D9D9" w:themeColor="background1" w:themeShade="D9"/>
              <w:right w:val="single" w:sz="4" w:space="0" w:color="FFFFFF" w:themeColor="background1"/>
            </w:tcBorders>
            <w:shd w:val="clear" w:color="auto" w:fill="7F7F7F" w:themeFill="text1" w:themeFillTint="80"/>
            <w:vAlign w:val="center"/>
          </w:tcPr>
          <w:p w14:paraId="2B9A0A19" w14:textId="702236A6" w:rsidR="008B428A" w:rsidRPr="009C71AF" w:rsidRDefault="008B428A" w:rsidP="008A4D8C">
            <w:pPr>
              <w:pStyle w:val="Tableheading2"/>
            </w:pPr>
            <w:r>
              <w:t>Priority activities 2018</w:t>
            </w:r>
          </w:p>
        </w:tc>
      </w:tr>
      <w:tr w:rsidR="008B428A" w:rsidRPr="00FF6EAA" w14:paraId="3019BE17" w14:textId="77777777" w:rsidTr="008B428A">
        <w:trPr>
          <w:cantSplit/>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99B48B2" w14:textId="7208A2DD" w:rsidR="008B428A" w:rsidRPr="00FF6EAA" w:rsidRDefault="008B428A" w:rsidP="00FF6EAA">
            <w:pPr>
              <w:pStyle w:val="Tabletext"/>
            </w:pPr>
            <w:r w:rsidRPr="00FF6EAA">
              <w:t>Review pre-accredited contracting and allocation to ensure greater transparency and accountability for providers to inform the 2019 allocation process</w:t>
            </w:r>
          </w:p>
        </w:tc>
      </w:tr>
      <w:tr w:rsidR="008B428A" w:rsidRPr="00FF6EAA" w14:paraId="088B884E" w14:textId="77777777" w:rsidTr="008B428A">
        <w:trPr>
          <w:cantSplit/>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69E4B39" w14:textId="7386B56A" w:rsidR="008B428A" w:rsidRPr="00FF6EAA" w:rsidRDefault="008B428A" w:rsidP="00FF6EAA">
            <w:pPr>
              <w:pStyle w:val="Tabletext"/>
            </w:pPr>
            <w:r w:rsidRPr="00FF6EAA">
              <w:t>Respond to the review of Board performance undertaken in 2017</w:t>
            </w:r>
          </w:p>
        </w:tc>
      </w:tr>
      <w:tr w:rsidR="008B428A" w:rsidRPr="00FF6EAA" w14:paraId="72337818" w14:textId="77777777" w:rsidTr="008B428A">
        <w:trPr>
          <w:cantSplit/>
        </w:trPr>
        <w:tc>
          <w:tcPr>
            <w:tcW w:w="5000"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vAlign w:val="center"/>
          </w:tcPr>
          <w:p w14:paraId="2BD5151D" w14:textId="77777777" w:rsidR="008B428A" w:rsidRPr="00FF6EAA" w:rsidRDefault="008B428A" w:rsidP="004F42B6">
            <w:pPr>
              <w:pStyle w:val="Tabletextbeforeindented"/>
            </w:pPr>
            <w:r w:rsidRPr="00FF6EAA">
              <w:t>Investigate the effectiveness of system settings in supporting the journey of disadvantaged learners into pre-accredited programs, and onwards to further education and employment</w:t>
            </w:r>
          </w:p>
        </w:tc>
      </w:tr>
      <w:tr w:rsidR="008B428A" w:rsidRPr="00FF6EAA" w14:paraId="07CDF698" w14:textId="77777777" w:rsidTr="008B428A">
        <w:tblPrEx>
          <w:tblLook w:val="01E0" w:firstRow="1" w:lastRow="1" w:firstColumn="1" w:lastColumn="1" w:noHBand="0" w:noVBand="0"/>
        </w:tblPrEx>
        <w:trPr>
          <w:cantSplit/>
        </w:trPr>
        <w:tc>
          <w:tcPr>
            <w:tcW w:w="5000" w:type="pct"/>
            <w:tcBorders>
              <w:top w:val="nil"/>
              <w:left w:val="single" w:sz="4" w:space="0" w:color="D9D9D9" w:themeColor="background1" w:themeShade="D9"/>
              <w:bottom w:val="nil"/>
              <w:right w:val="single" w:sz="4" w:space="0" w:color="D9D9D9" w:themeColor="background1" w:themeShade="D9"/>
            </w:tcBorders>
            <w:vAlign w:val="center"/>
          </w:tcPr>
          <w:p w14:paraId="60DED840" w14:textId="238279E3" w:rsidR="008B428A" w:rsidRPr="00FF6EAA" w:rsidRDefault="008B428A" w:rsidP="005E67DE">
            <w:pPr>
              <w:pStyle w:val="Tabletextindented"/>
            </w:pPr>
            <w:r>
              <w:t xml:space="preserve">Measure the satisfaction of adult, community and further education learners through the </w:t>
            </w:r>
            <w:r w:rsidRPr="00FF6EAA">
              <w:t>VET Student Satisfaction Surve</w:t>
            </w:r>
            <w:r>
              <w:t>y</w:t>
            </w:r>
          </w:p>
        </w:tc>
      </w:tr>
      <w:tr w:rsidR="008B428A" w:rsidRPr="00FF6EAA" w14:paraId="197CABB7" w14:textId="77777777" w:rsidTr="008B428A">
        <w:tblPrEx>
          <w:tblLook w:val="01E0" w:firstRow="1" w:lastRow="1" w:firstColumn="1" w:lastColumn="1" w:noHBand="0" w:noVBand="0"/>
        </w:tblPrEx>
        <w:trPr>
          <w:cantSplit/>
        </w:trPr>
        <w:tc>
          <w:tcPr>
            <w:tcW w:w="5000"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EBB798B" w14:textId="2683739F" w:rsidR="008B428A" w:rsidRPr="004A36E4" w:rsidRDefault="008B428A" w:rsidP="004A36E4">
            <w:pPr>
              <w:pStyle w:val="Tabletextindented"/>
            </w:pPr>
            <w:r w:rsidRPr="004A36E4">
              <w:t>Understand linkages and pathways through analysis of the learner journey and capture evidence through case studies of specific models of delivery</w:t>
            </w:r>
          </w:p>
        </w:tc>
      </w:tr>
      <w:tr w:rsidR="008B428A" w:rsidRPr="00FF6EAA" w14:paraId="3A999FD2" w14:textId="77777777" w:rsidTr="008B428A">
        <w:tblPrEx>
          <w:tblLook w:val="01E0" w:firstRow="1" w:lastRow="1" w:firstColumn="1" w:lastColumn="1" w:noHBand="0" w:noVBand="0"/>
        </w:tblPrEx>
        <w:trPr>
          <w:cantSplit/>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5B3998" w14:textId="38B15202" w:rsidR="008B428A" w:rsidRPr="00FF6EAA" w:rsidRDefault="008B428A" w:rsidP="003D5564">
            <w:pPr>
              <w:pStyle w:val="Tabletext"/>
            </w:pPr>
            <w:r w:rsidRPr="00FF6EAA">
              <w:t>Establish the Learning Aware Families (</w:t>
            </w:r>
            <w:proofErr w:type="spellStart"/>
            <w:r w:rsidRPr="00FF6EAA">
              <w:t>LeAF</w:t>
            </w:r>
            <w:proofErr w:type="spellEnd"/>
            <w:r w:rsidRPr="00FF6EAA">
              <w:t>) package to expand the Family Learning Partnership program and provide flexible supports to disadvantaged families</w:t>
            </w:r>
          </w:p>
        </w:tc>
      </w:tr>
      <w:tr w:rsidR="008B428A" w:rsidRPr="00FF6EAA" w14:paraId="46C660ED" w14:textId="77777777" w:rsidTr="008B428A">
        <w:tblPrEx>
          <w:tblLook w:val="01E0" w:firstRow="1" w:lastRow="1" w:firstColumn="1" w:lastColumn="1" w:noHBand="0" w:noVBand="0"/>
        </w:tblPrEx>
        <w:trPr>
          <w:cantSplit/>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D77473" w14:textId="2F4B8A7B" w:rsidR="008B428A" w:rsidRPr="00FF6EAA" w:rsidRDefault="008B428A" w:rsidP="003D5564">
            <w:pPr>
              <w:pStyle w:val="Tabletext"/>
            </w:pPr>
            <w:r w:rsidRPr="00FF6EAA">
              <w:t>Review the Learner Engagement A-frame Program (LEAP) pilot to identify program improvements and enhance the capability of providers to engage disadvantaged and vulnerable learners</w:t>
            </w:r>
          </w:p>
        </w:tc>
      </w:tr>
      <w:tr w:rsidR="008B428A" w:rsidRPr="00FF6EAA" w14:paraId="0E0DEB53" w14:textId="77777777" w:rsidTr="008B428A">
        <w:tblPrEx>
          <w:tblLook w:val="01E0" w:firstRow="1" w:lastRow="1" w:firstColumn="1" w:lastColumn="1" w:noHBand="0" w:noVBand="0"/>
        </w:tblPrEx>
        <w:trPr>
          <w:cantSplit/>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CB47181" w14:textId="1005FF93" w:rsidR="008B428A" w:rsidRPr="00FF6EAA" w:rsidRDefault="008B428A" w:rsidP="003D5564">
            <w:pPr>
              <w:pStyle w:val="Tabletext"/>
            </w:pPr>
            <w:r w:rsidRPr="00FF6EAA">
              <w:t>Implement Learner Engagement A-frame Program (LEAP) program Round 1</w:t>
            </w:r>
          </w:p>
        </w:tc>
      </w:tr>
      <w:tr w:rsidR="008B428A" w:rsidRPr="00FF6EAA" w14:paraId="3F4778E8" w14:textId="77777777" w:rsidTr="008B428A">
        <w:tblPrEx>
          <w:tblLook w:val="01E0" w:firstRow="1" w:lastRow="1" w:firstColumn="1" w:lastColumn="1" w:noHBand="0" w:noVBand="0"/>
        </w:tblPrEx>
        <w:trPr>
          <w:cantSplit/>
        </w:trPr>
        <w:tc>
          <w:tcPr>
            <w:tcW w:w="5000"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vAlign w:val="center"/>
          </w:tcPr>
          <w:p w14:paraId="4E804173" w14:textId="26D3041F" w:rsidR="008B428A" w:rsidRPr="00FF6EAA" w:rsidRDefault="008B428A" w:rsidP="00087037">
            <w:pPr>
              <w:pStyle w:val="Tabletextbeforeindented"/>
            </w:pPr>
            <w:r>
              <w:t>Design</w:t>
            </w:r>
            <w:r w:rsidRPr="00FF6EAA">
              <w:t xml:space="preserve"> eight A-</w:t>
            </w:r>
            <w:r>
              <w:t>f</w:t>
            </w:r>
            <w:r w:rsidRPr="00FF6EAA">
              <w:t xml:space="preserve">rames to support </w:t>
            </w:r>
            <w:r>
              <w:t>work experience students transition</w:t>
            </w:r>
            <w:r w:rsidRPr="00FF6EAA">
              <w:t xml:space="preserve"> </w:t>
            </w:r>
            <w:r>
              <w:t>to real industry employment opportunities</w:t>
            </w:r>
          </w:p>
        </w:tc>
      </w:tr>
      <w:tr w:rsidR="008B428A" w:rsidRPr="00FF6EAA" w14:paraId="0A9EA439" w14:textId="77777777" w:rsidTr="008B428A">
        <w:tblPrEx>
          <w:tblLook w:val="01E0" w:firstRow="1" w:lastRow="1" w:firstColumn="1" w:lastColumn="1" w:noHBand="0" w:noVBand="0"/>
        </w:tblPrEx>
        <w:trPr>
          <w:cantSplit/>
        </w:trPr>
        <w:tc>
          <w:tcPr>
            <w:tcW w:w="5000" w:type="pct"/>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7E875A65" w14:textId="627BAF32" w:rsidR="008B428A" w:rsidRPr="00FF6EAA" w:rsidRDefault="008B428A" w:rsidP="003D5564">
            <w:pPr>
              <w:pStyle w:val="Tabletextindented"/>
              <w:keepNext/>
            </w:pPr>
            <w:r w:rsidRPr="00FF6EAA">
              <w:t>Development</w:t>
            </w:r>
            <w:r>
              <w:t xml:space="preserve"> of A-frames</w:t>
            </w:r>
          </w:p>
        </w:tc>
      </w:tr>
      <w:tr w:rsidR="008B428A" w:rsidRPr="00FF6EAA" w14:paraId="24DF332A" w14:textId="77777777" w:rsidTr="008B428A">
        <w:tblPrEx>
          <w:tblLook w:val="01E0" w:firstRow="1" w:lastRow="1" w:firstColumn="1" w:lastColumn="1" w:noHBand="0" w:noVBand="0"/>
        </w:tblPrEx>
        <w:trPr>
          <w:cantSplit/>
        </w:trPr>
        <w:tc>
          <w:tcPr>
            <w:tcW w:w="5000" w:type="pct"/>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022F0A6C" w14:textId="1B62C237" w:rsidR="008B428A" w:rsidRPr="00FF6EAA" w:rsidRDefault="008B428A" w:rsidP="001E71DF">
            <w:pPr>
              <w:pStyle w:val="Tabletextindented"/>
              <w:keepNext/>
            </w:pPr>
            <w:r>
              <w:t>Professional development sessions for providers</w:t>
            </w:r>
          </w:p>
        </w:tc>
      </w:tr>
      <w:tr w:rsidR="008B428A" w:rsidRPr="00FF6EAA" w14:paraId="0EC61510" w14:textId="77777777" w:rsidTr="008B428A">
        <w:tblPrEx>
          <w:tblLook w:val="01E0" w:firstRow="1" w:lastRow="1" w:firstColumn="1" w:lastColumn="1" w:noHBand="0" w:noVBand="0"/>
        </w:tblPrEx>
        <w:trPr>
          <w:cantSplit/>
        </w:trPr>
        <w:tc>
          <w:tcPr>
            <w:tcW w:w="5000"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AC12FBE" w14:textId="7261466E" w:rsidR="008B428A" w:rsidRDefault="008B428A" w:rsidP="005A1794">
            <w:pPr>
              <w:pStyle w:val="Tabletextindented"/>
            </w:pPr>
            <w:r>
              <w:t>Final report on project outcomes</w:t>
            </w:r>
          </w:p>
        </w:tc>
      </w:tr>
      <w:tr w:rsidR="008B428A" w:rsidRPr="00C56ACA" w14:paraId="3B118A66" w14:textId="77777777" w:rsidTr="008B428A">
        <w:tblPrEx>
          <w:tblLook w:val="01E0" w:firstRow="1" w:lastRow="1" w:firstColumn="1" w:lastColumn="1" w:noHBand="0" w:noVBand="0"/>
        </w:tblPrEx>
        <w:trPr>
          <w:cantSplit/>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0C39821" w14:textId="0382994C" w:rsidR="008B428A" w:rsidRPr="00C56ACA" w:rsidRDefault="008B428A" w:rsidP="00474BCB">
            <w:pPr>
              <w:pStyle w:val="Tabletext"/>
            </w:pPr>
            <w:r>
              <w:t>Develop m</w:t>
            </w:r>
            <w:r w:rsidRPr="00C56ACA">
              <w:t>etrics to measure pre-accredited training participation, outcomes</w:t>
            </w:r>
            <w:r>
              <w:t xml:space="preserve"> and</w:t>
            </w:r>
            <w:r w:rsidRPr="00C56ACA">
              <w:t xml:space="preserve"> trends  </w:t>
            </w:r>
          </w:p>
        </w:tc>
      </w:tr>
      <w:tr w:rsidR="008B428A" w:rsidRPr="00C56ACA" w14:paraId="5096F6DC" w14:textId="77777777" w:rsidTr="008B428A">
        <w:tblPrEx>
          <w:tblLook w:val="01E0" w:firstRow="1" w:lastRow="1" w:firstColumn="1" w:lastColumn="1" w:noHBand="0" w:noVBand="0"/>
        </w:tblPrEx>
        <w:trPr>
          <w:cantSplit/>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F73E9A" w14:textId="01CC9641" w:rsidR="008B428A" w:rsidRDefault="008B428A" w:rsidP="005A1794">
            <w:pPr>
              <w:pStyle w:val="Tabletext"/>
            </w:pPr>
            <w:r>
              <w:t>Develop Adult, Community and Further Education Board 2019 priorities, including strategies to achieve metrics targets</w:t>
            </w:r>
          </w:p>
        </w:tc>
      </w:tr>
    </w:tbl>
    <w:p w14:paraId="2BC289E2" w14:textId="77777777" w:rsidR="00DA7EF5" w:rsidRPr="00CA1CF2" w:rsidRDefault="00DA7EF5" w:rsidP="00DA7EF5">
      <w:pPr>
        <w:pStyle w:val="Heading1"/>
        <w:rPr>
          <w:rStyle w:val="Heading3Char"/>
        </w:rPr>
      </w:pPr>
      <w:r w:rsidRPr="00CA1CF2">
        <w:rPr>
          <w:rStyle w:val="Heading2Char"/>
        </w:rPr>
        <w:lastRenderedPageBreak/>
        <w:t>Influential ACFE</w:t>
      </w:r>
      <w:r w:rsidR="00CF4760" w:rsidRPr="00CA1CF2">
        <w:rPr>
          <w:rStyle w:val="Heading2Char"/>
        </w:rPr>
        <w:br/>
      </w:r>
      <w:proofErr w:type="spellStart"/>
      <w:r w:rsidRPr="00CA1CF2">
        <w:rPr>
          <w:rStyle w:val="Heading3Char"/>
        </w:rPr>
        <w:t>ACFE</w:t>
      </w:r>
      <w:proofErr w:type="spellEnd"/>
      <w:r w:rsidRPr="00CA1CF2">
        <w:rPr>
          <w:rStyle w:val="Heading3Char"/>
        </w:rPr>
        <w:t xml:space="preserve"> and pre-accredited training are well-known and highly-regarded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952"/>
        <w:gridCol w:w="3686"/>
      </w:tblGrid>
      <w:tr w:rsidR="002D66D4" w:rsidRPr="009A0081" w14:paraId="3D21F995" w14:textId="77777777" w:rsidTr="003F08E8">
        <w:trPr>
          <w:cantSplit/>
        </w:trPr>
        <w:tc>
          <w:tcPr>
            <w:tcW w:w="3088" w:type="pct"/>
            <w:tcBorders>
              <w:top w:val="nil"/>
              <w:left w:val="nil"/>
              <w:bottom w:val="single" w:sz="4" w:space="0" w:color="D9D9D9" w:themeColor="background1" w:themeShade="D9"/>
              <w:right w:val="single" w:sz="4" w:space="0" w:color="FFFFFF" w:themeColor="background1"/>
            </w:tcBorders>
            <w:shd w:val="clear" w:color="auto" w:fill="323E4F" w:themeFill="text2" w:themeFillShade="BF"/>
            <w:vAlign w:val="center"/>
            <w:hideMark/>
          </w:tcPr>
          <w:p w14:paraId="61306290" w14:textId="2735AA7A" w:rsidR="00664BA9" w:rsidRPr="00FF1C22" w:rsidRDefault="00664BA9" w:rsidP="008A4D8C">
            <w:pPr>
              <w:pStyle w:val="Tableheading1"/>
            </w:pPr>
            <w:r w:rsidRPr="00FF1C22">
              <w:t xml:space="preserve">Strategy 2016–19 </w:t>
            </w:r>
            <w:r>
              <w:t>p</w:t>
            </w:r>
            <w:r w:rsidRPr="00FF1C22">
              <w:t>riorities</w:t>
            </w:r>
          </w:p>
        </w:tc>
        <w:tc>
          <w:tcPr>
            <w:tcW w:w="1912" w:type="pct"/>
            <w:tcBorders>
              <w:top w:val="nil"/>
              <w:left w:val="single" w:sz="4" w:space="0" w:color="FFFFFF" w:themeColor="background1"/>
              <w:bottom w:val="single" w:sz="4" w:space="0" w:color="D9D9D9" w:themeColor="background1" w:themeShade="D9"/>
              <w:right w:val="nil"/>
            </w:tcBorders>
            <w:shd w:val="clear" w:color="auto" w:fill="323E4F" w:themeFill="text2" w:themeFillShade="BF"/>
            <w:vAlign w:val="center"/>
            <w:hideMark/>
          </w:tcPr>
          <w:p w14:paraId="184228C0" w14:textId="7E56449B" w:rsidR="00664BA9" w:rsidRPr="00FF1C22" w:rsidRDefault="00664BA9" w:rsidP="008A4D8C">
            <w:pPr>
              <w:pStyle w:val="Tableheading1"/>
            </w:pPr>
            <w:r w:rsidRPr="00FF1C22">
              <w:t>Target</w:t>
            </w:r>
          </w:p>
        </w:tc>
      </w:tr>
      <w:tr w:rsidR="002A2878" w:rsidRPr="009A0081" w14:paraId="0E0DE6F6" w14:textId="77777777" w:rsidTr="003F08E8">
        <w:tblPrEx>
          <w:tblLook w:val="00A0" w:firstRow="1" w:lastRow="0" w:firstColumn="1" w:lastColumn="0" w:noHBand="0" w:noVBand="0"/>
        </w:tblPrEx>
        <w:trPr>
          <w:cantSplit/>
        </w:trPr>
        <w:tc>
          <w:tcPr>
            <w:tcW w:w="308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CA72492" w14:textId="171BE18C" w:rsidR="002A2878" w:rsidRPr="005B5093" w:rsidRDefault="002A2878" w:rsidP="006E1A3F">
            <w:pPr>
              <w:pStyle w:val="Tabletext"/>
              <w:numPr>
                <w:ilvl w:val="0"/>
                <w:numId w:val="13"/>
              </w:numPr>
              <w:ind w:left="175" w:hanging="175"/>
            </w:pPr>
            <w:r w:rsidRPr="005B5093">
              <w:t>Proactively foster productive relationships with state departments, TAFEs, Local Government and industry to shape policy settings, and collaborate to maximise impact</w:t>
            </w:r>
          </w:p>
        </w:tc>
        <w:tc>
          <w:tcPr>
            <w:tcW w:w="1912" w:type="pct"/>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834C6C3" w14:textId="77777777" w:rsidR="002A2878" w:rsidRPr="005B5093" w:rsidRDefault="002A2878" w:rsidP="00054ABB">
            <w:pPr>
              <w:pStyle w:val="Tabletext"/>
            </w:pPr>
            <w:r>
              <w:t>Increase in percentage</w:t>
            </w:r>
            <w:r w:rsidRPr="005B5093">
              <w:t xml:space="preserve"> of learners reporting it is likely training will lead to fur</w:t>
            </w:r>
            <w:r>
              <w:t>ther training or employment</w:t>
            </w:r>
          </w:p>
          <w:p w14:paraId="5E4EBF4D" w14:textId="4BBA0D91" w:rsidR="002A2878" w:rsidRPr="005B5093" w:rsidRDefault="002A2878" w:rsidP="008A4D8C">
            <w:pPr>
              <w:pStyle w:val="Tabletext"/>
            </w:pPr>
            <w:r>
              <w:t>Increase in percentage</w:t>
            </w:r>
            <w:r w:rsidRPr="005B5093">
              <w:t xml:space="preserve"> of learners reporting their purpose for undertaking training as training- or employment-related</w:t>
            </w:r>
          </w:p>
        </w:tc>
      </w:tr>
      <w:tr w:rsidR="002A2878" w:rsidRPr="009A0081" w14:paraId="181279EB" w14:textId="77777777" w:rsidTr="003F08E8">
        <w:tblPrEx>
          <w:tblLook w:val="00A0" w:firstRow="1" w:lastRow="0" w:firstColumn="1" w:lastColumn="0" w:noHBand="0" w:noVBand="0"/>
        </w:tblPrEx>
        <w:trPr>
          <w:cantSplit/>
        </w:trPr>
        <w:tc>
          <w:tcPr>
            <w:tcW w:w="308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4DB205" w14:textId="2FF1E7E1" w:rsidR="002A2878" w:rsidRPr="005B5093" w:rsidRDefault="002A2878" w:rsidP="008A4D8C">
            <w:pPr>
              <w:pStyle w:val="Tabletext"/>
              <w:numPr>
                <w:ilvl w:val="0"/>
                <w:numId w:val="13"/>
              </w:numPr>
              <w:ind w:left="175" w:hanging="175"/>
            </w:pPr>
            <w:r w:rsidRPr="005B5093">
              <w:t>Promote the evidence base to demonstrate the socio-economic value and monitor the impact of pre-accredited training on Victoria’s prosperity</w:t>
            </w:r>
          </w:p>
        </w:tc>
        <w:tc>
          <w:tcPr>
            <w:tcW w:w="1912" w:type="pct"/>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B32EAC" w14:textId="5EDD1235" w:rsidR="002A2878" w:rsidRDefault="002A2878" w:rsidP="008A4D8C">
            <w:pPr>
              <w:pStyle w:val="Tabletext"/>
            </w:pPr>
          </w:p>
        </w:tc>
      </w:tr>
      <w:tr w:rsidR="002D66D4" w:rsidRPr="009A0081" w14:paraId="758F6801" w14:textId="77777777" w:rsidTr="00A67CCB">
        <w:tblPrEx>
          <w:tblLook w:val="00A0" w:firstRow="1" w:lastRow="0" w:firstColumn="1" w:lastColumn="0" w:noHBand="0" w:noVBand="0"/>
        </w:tblPrEx>
        <w:trPr>
          <w:cantSplit/>
        </w:trPr>
        <w:tc>
          <w:tcPr>
            <w:tcW w:w="3088" w:type="pct"/>
            <w:tcBorders>
              <w:top w:val="single" w:sz="4" w:space="0" w:color="D9D9D9" w:themeColor="background1" w:themeShade="D9"/>
              <w:left w:val="nil"/>
              <w:bottom w:val="single" w:sz="4" w:space="0" w:color="auto"/>
              <w:right w:val="single" w:sz="4" w:space="0" w:color="FFFFFF" w:themeColor="background1"/>
            </w:tcBorders>
            <w:shd w:val="clear" w:color="auto" w:fill="323E4F" w:themeFill="text2" w:themeFillShade="BF"/>
            <w:vAlign w:val="center"/>
          </w:tcPr>
          <w:p w14:paraId="662BE1FA" w14:textId="39B04EC6" w:rsidR="006E1A3F" w:rsidRPr="00FF1C22" w:rsidRDefault="006E1A3F" w:rsidP="008A4D8C">
            <w:pPr>
              <w:pStyle w:val="Tableheading1"/>
            </w:pPr>
            <w:r w:rsidRPr="005B5093">
              <w:t>Ministerial Statement of Expectations 2018</w:t>
            </w:r>
          </w:p>
        </w:tc>
        <w:tc>
          <w:tcPr>
            <w:tcW w:w="1912" w:type="pct"/>
            <w:tcBorders>
              <w:top w:val="single" w:sz="4" w:space="0" w:color="D9D9D9" w:themeColor="background1" w:themeShade="D9"/>
              <w:left w:val="single" w:sz="4" w:space="0" w:color="FFFFFF" w:themeColor="background1"/>
              <w:bottom w:val="single" w:sz="4" w:space="0" w:color="auto"/>
              <w:right w:val="nil"/>
            </w:tcBorders>
            <w:shd w:val="clear" w:color="auto" w:fill="323E4F" w:themeFill="text2" w:themeFillShade="BF"/>
            <w:vAlign w:val="center"/>
          </w:tcPr>
          <w:p w14:paraId="3C892CFB" w14:textId="49EA8228" w:rsidR="006E1A3F" w:rsidRPr="00FF1C22" w:rsidRDefault="006E1A3F" w:rsidP="008A4D8C">
            <w:pPr>
              <w:pStyle w:val="Tableheading1"/>
            </w:pPr>
          </w:p>
        </w:tc>
      </w:tr>
      <w:tr w:rsidR="002D66D4" w:rsidRPr="009A0081" w14:paraId="380C5FBD" w14:textId="77777777" w:rsidTr="00A67CCB">
        <w:tblPrEx>
          <w:tblLook w:val="00A0" w:firstRow="1" w:lastRow="0" w:firstColumn="1" w:lastColumn="0" w:noHBand="0" w:noVBand="0"/>
        </w:tblPrEx>
        <w:trPr>
          <w:cantSplit/>
        </w:trPr>
        <w:tc>
          <w:tcPr>
            <w:tcW w:w="3088" w:type="pct"/>
            <w:tcBorders>
              <w:top w:val="single" w:sz="4" w:space="0" w:color="auto"/>
              <w:left w:val="nil"/>
              <w:bottom w:val="single" w:sz="4" w:space="0" w:color="D9D9D9" w:themeColor="background1" w:themeShade="D9"/>
              <w:right w:val="single" w:sz="4" w:space="0" w:color="FFFFFF" w:themeColor="background1"/>
            </w:tcBorders>
            <w:shd w:val="clear" w:color="auto" w:fill="7F7F7F" w:themeFill="text1" w:themeFillTint="80"/>
            <w:vAlign w:val="center"/>
          </w:tcPr>
          <w:p w14:paraId="6A18F431" w14:textId="214B083E" w:rsidR="006E1A3F" w:rsidRPr="009C71AF" w:rsidRDefault="00321CCC" w:rsidP="008A4D8C">
            <w:pPr>
              <w:pStyle w:val="Tableheading2"/>
            </w:pPr>
            <w:r>
              <w:t>Expectation</w:t>
            </w:r>
          </w:p>
        </w:tc>
        <w:tc>
          <w:tcPr>
            <w:tcW w:w="1912" w:type="pct"/>
            <w:tcBorders>
              <w:top w:val="single" w:sz="4" w:space="0" w:color="auto"/>
              <w:left w:val="single" w:sz="4" w:space="0" w:color="FFFFFF" w:themeColor="background1"/>
              <w:bottom w:val="single" w:sz="4" w:space="0" w:color="D9D9D9" w:themeColor="background1" w:themeShade="D9"/>
              <w:right w:val="nil"/>
            </w:tcBorders>
            <w:shd w:val="clear" w:color="auto" w:fill="7F7F7F" w:themeFill="text1" w:themeFillTint="80"/>
            <w:vAlign w:val="center"/>
          </w:tcPr>
          <w:p w14:paraId="5A5CE00E" w14:textId="24C5A62B" w:rsidR="006E1A3F" w:rsidRDefault="0094056D" w:rsidP="008A4D8C">
            <w:pPr>
              <w:pStyle w:val="Tableheading2"/>
            </w:pPr>
            <w:r>
              <w:t>Demonstrated by</w:t>
            </w:r>
          </w:p>
        </w:tc>
      </w:tr>
      <w:tr w:rsidR="002D66D4" w:rsidRPr="009A0081" w14:paraId="64F9FCC8" w14:textId="77777777" w:rsidTr="003F08E8">
        <w:tblPrEx>
          <w:tblLook w:val="00A0" w:firstRow="1" w:lastRow="0" w:firstColumn="1" w:lastColumn="0" w:noHBand="0" w:noVBand="0"/>
        </w:tblPrEx>
        <w:trPr>
          <w:cantSplit/>
        </w:trPr>
        <w:tc>
          <w:tcPr>
            <w:tcW w:w="308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95F1DD" w14:textId="02260D1A" w:rsidR="006E1A3F" w:rsidRPr="002079F7" w:rsidRDefault="006E1A3F" w:rsidP="0094056D">
            <w:pPr>
              <w:pStyle w:val="Tabletext"/>
            </w:pPr>
            <w:r w:rsidRPr="009C71AF">
              <w:t>Act as an expert advisor to Government on the needs of adult learners and the most appropriate and effective responses to those needs</w:t>
            </w:r>
          </w:p>
        </w:tc>
        <w:tc>
          <w:tcPr>
            <w:tcW w:w="191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86C7CBC" w14:textId="32D96A07" w:rsidR="006E1A3F" w:rsidRPr="00BD31E5" w:rsidRDefault="0094056D" w:rsidP="0094056D">
            <w:pPr>
              <w:pStyle w:val="Tabletext"/>
            </w:pPr>
            <w:r>
              <w:t>Effective engagement with stakeholders and other agencies to inform strategic and policy decisions, especially in areas of Government priorities such as the prevention of family violence and implementation of the NDIS</w:t>
            </w:r>
          </w:p>
        </w:tc>
      </w:tr>
      <w:tr w:rsidR="003F1F44" w:rsidRPr="009A0081" w14:paraId="40C19FE7" w14:textId="77777777" w:rsidTr="003F08E8">
        <w:tblPrEx>
          <w:tblLook w:val="00A0" w:firstRow="1" w:lastRow="0" w:firstColumn="1" w:lastColumn="0" w:noHBand="0" w:noVBand="0"/>
        </w:tblPrEx>
        <w:trPr>
          <w:cantSplit/>
        </w:trPr>
        <w:tc>
          <w:tcPr>
            <w:tcW w:w="308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233360" w14:textId="38C165F3" w:rsidR="003F1F44" w:rsidRPr="009C71AF" w:rsidRDefault="003F1F44" w:rsidP="003F1F44">
            <w:pPr>
              <w:pStyle w:val="Tabletext"/>
            </w:pPr>
            <w:r w:rsidRPr="0059781C">
              <w:t>Provide a strategic environment that supports stronger collaboration between the Learn Local network and other parts of the education and training system</w:t>
            </w:r>
          </w:p>
        </w:tc>
        <w:tc>
          <w:tcPr>
            <w:tcW w:w="191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0769867" w14:textId="234D89F0" w:rsidR="003F1F44" w:rsidRDefault="00325370" w:rsidP="003F1F44">
            <w:pPr>
              <w:pStyle w:val="Tabletext"/>
            </w:pPr>
            <w:r>
              <w:t>The creation of local pathways between pre-accredited training and accredited training</w:t>
            </w:r>
          </w:p>
        </w:tc>
      </w:tr>
    </w:tbl>
    <w:p w14:paraId="47D9FEC6" w14:textId="77777777" w:rsidR="00321CCC" w:rsidRDefault="00321CCC" w:rsidP="00321CCC">
      <w:pPr>
        <w:pStyle w:val="Spacebetweentabl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633"/>
      </w:tblGrid>
      <w:tr w:rsidR="00595CA2" w:rsidRPr="009A0081" w14:paraId="6515BC89" w14:textId="77777777" w:rsidTr="003B5180">
        <w:trPr>
          <w:cantSplit/>
          <w:tblHeader/>
        </w:trPr>
        <w:tc>
          <w:tcPr>
            <w:tcW w:w="0" w:type="auto"/>
            <w:tcBorders>
              <w:top w:val="single" w:sz="4" w:space="0" w:color="auto"/>
              <w:left w:val="nil"/>
              <w:bottom w:val="single" w:sz="4" w:space="0" w:color="D9D9D9" w:themeColor="background1" w:themeShade="D9"/>
              <w:right w:val="single" w:sz="4" w:space="0" w:color="FFFFFF" w:themeColor="background1"/>
            </w:tcBorders>
            <w:shd w:val="clear" w:color="auto" w:fill="7F7F7F" w:themeFill="text1" w:themeFillTint="80"/>
            <w:vAlign w:val="center"/>
          </w:tcPr>
          <w:p w14:paraId="14044D0A" w14:textId="7E8705AD" w:rsidR="00595CA2" w:rsidRPr="00FF1C22" w:rsidRDefault="00595CA2" w:rsidP="008A4D8C">
            <w:pPr>
              <w:pStyle w:val="Tableheading2"/>
            </w:pPr>
            <w:r>
              <w:t>Priority activities 2018</w:t>
            </w:r>
          </w:p>
        </w:tc>
      </w:tr>
      <w:tr w:rsidR="00595CA2" w:rsidRPr="009A0081" w14:paraId="1709414C" w14:textId="77777777" w:rsidTr="003B5180">
        <w:trPr>
          <w:cantSplit/>
        </w:trPr>
        <w:tc>
          <w:tcPr>
            <w:tcW w:w="0" w:type="auto"/>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vAlign w:val="center"/>
          </w:tcPr>
          <w:p w14:paraId="0DEEC703" w14:textId="14629719" w:rsidR="00595CA2" w:rsidRPr="005B5093" w:rsidRDefault="00595CA2" w:rsidP="00DA15AD">
            <w:pPr>
              <w:pStyle w:val="Tabletextbeforeindented"/>
            </w:pPr>
            <w:r w:rsidRPr="005B5093">
              <w:t>Articulate the evidence of the achievements of learners in pre-accredited programs and the impact of pre-accredited training on learner pathways into further education and employment</w:t>
            </w:r>
          </w:p>
        </w:tc>
      </w:tr>
      <w:tr w:rsidR="00595CA2" w:rsidRPr="00FF6EAA" w14:paraId="09EC7448" w14:textId="77777777" w:rsidTr="003B5180">
        <w:tblPrEx>
          <w:tblLook w:val="01E0" w:firstRow="1" w:lastRow="1" w:firstColumn="1" w:lastColumn="1" w:noHBand="0" w:noVBand="0"/>
        </w:tblPrEx>
        <w:trPr>
          <w:cantSplit/>
        </w:trPr>
        <w:tc>
          <w:tcPr>
            <w:tcW w:w="0" w:type="auto"/>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F87A7F" w14:textId="538EC3EB" w:rsidR="00595CA2" w:rsidRPr="00FF6EAA" w:rsidRDefault="00595CA2" w:rsidP="00DF015E">
            <w:pPr>
              <w:pStyle w:val="Tabletextindented"/>
            </w:pPr>
            <w:r>
              <w:t>Continue to track the p</w:t>
            </w:r>
            <w:r w:rsidRPr="00FF6EAA">
              <w:t xml:space="preserve">re-accredited </w:t>
            </w:r>
            <w:r>
              <w:t>l</w:t>
            </w:r>
            <w:r w:rsidRPr="00FF6EAA">
              <w:t xml:space="preserve">earner </w:t>
            </w:r>
            <w:r>
              <w:t>j</w:t>
            </w:r>
            <w:r w:rsidRPr="00FF6EAA">
              <w:t>ourney</w:t>
            </w:r>
            <w:r>
              <w:t xml:space="preserve"> through comparison of year-on-year data analysis to deepen understanding of pathways to further education and employment</w:t>
            </w:r>
          </w:p>
        </w:tc>
      </w:tr>
      <w:tr w:rsidR="00595CA2" w:rsidRPr="009A0081" w14:paraId="18CDCF38" w14:textId="77777777" w:rsidTr="003B5180">
        <w:trPr>
          <w:cantSplit/>
        </w:trPr>
        <w:tc>
          <w:tcPr>
            <w:tcW w:w="0" w:type="auto"/>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vAlign w:val="center"/>
          </w:tcPr>
          <w:p w14:paraId="55DC6C01" w14:textId="77777777" w:rsidR="00595CA2" w:rsidRPr="005B5093" w:rsidRDefault="00595CA2" w:rsidP="00EB5E2E">
            <w:pPr>
              <w:pStyle w:val="Tabletextbeforeindented"/>
            </w:pPr>
            <w:r w:rsidRPr="005B5093">
              <w:t>Contribute to work on the Government priority NDIS</w:t>
            </w:r>
          </w:p>
        </w:tc>
      </w:tr>
      <w:tr w:rsidR="00595CA2" w:rsidRPr="00FF6EAA" w14:paraId="116C132A" w14:textId="77777777" w:rsidTr="003B5180">
        <w:tblPrEx>
          <w:tblLook w:val="01E0" w:firstRow="1" w:lastRow="1" w:firstColumn="1" w:lastColumn="1" w:noHBand="0" w:noVBand="0"/>
        </w:tblPrEx>
        <w:trPr>
          <w:cantSplit/>
        </w:trPr>
        <w:tc>
          <w:tcPr>
            <w:tcW w:w="0" w:type="auto"/>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3DA8CA00" w14:textId="2572FC97" w:rsidR="00595CA2" w:rsidRPr="00FF6EAA" w:rsidRDefault="00595CA2" w:rsidP="00204690">
            <w:pPr>
              <w:pStyle w:val="Tabletextindented"/>
            </w:pPr>
            <w:r>
              <w:t>Scoping pre-accredited training to support development of the NDIS workforce</w:t>
            </w:r>
          </w:p>
        </w:tc>
      </w:tr>
      <w:tr w:rsidR="00595CA2" w:rsidRPr="00FF6EAA" w14:paraId="11E8E544" w14:textId="77777777" w:rsidTr="003B5180">
        <w:tblPrEx>
          <w:tblLook w:val="01E0" w:firstRow="1" w:lastRow="1" w:firstColumn="1" w:lastColumn="1" w:noHBand="0" w:noVBand="0"/>
        </w:tblPrEx>
        <w:trPr>
          <w:cantSplit/>
        </w:trPr>
        <w:tc>
          <w:tcPr>
            <w:tcW w:w="0" w:type="auto"/>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0097C338" w14:textId="535F0532" w:rsidR="00595CA2" w:rsidRPr="00FF6EAA" w:rsidRDefault="00595CA2" w:rsidP="00204690">
            <w:pPr>
              <w:pStyle w:val="Tabletextindented"/>
            </w:pPr>
            <w:r>
              <w:t>Implement pre-accredited training to support NDIS workforce</w:t>
            </w:r>
          </w:p>
        </w:tc>
      </w:tr>
      <w:tr w:rsidR="00595CA2" w:rsidRPr="00FF6EAA" w14:paraId="238AC1D0" w14:textId="77777777" w:rsidTr="003B5180">
        <w:tblPrEx>
          <w:tblLook w:val="01E0" w:firstRow="1" w:lastRow="1" w:firstColumn="1" w:lastColumn="1" w:noHBand="0" w:noVBand="0"/>
        </w:tblPrEx>
        <w:trPr>
          <w:cantSplit/>
        </w:trPr>
        <w:tc>
          <w:tcPr>
            <w:tcW w:w="0" w:type="auto"/>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3860580" w14:textId="673B2A0C" w:rsidR="00595CA2" w:rsidRPr="00FF6EAA" w:rsidRDefault="00595CA2" w:rsidP="00204690">
            <w:pPr>
              <w:pStyle w:val="Tabletextindented"/>
            </w:pPr>
            <w:r>
              <w:t>Scoping pre-accredited training delivery to people with a disability under NDIS</w:t>
            </w:r>
          </w:p>
        </w:tc>
      </w:tr>
      <w:tr w:rsidR="00595CA2" w:rsidRPr="009A0081" w14:paraId="490B4579" w14:textId="77777777" w:rsidTr="003B5180">
        <w:trPr>
          <w:cantSplit/>
        </w:trPr>
        <w:tc>
          <w:tcPr>
            <w:tcW w:w="0" w:type="auto"/>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vAlign w:val="center"/>
          </w:tcPr>
          <w:p w14:paraId="2A934846" w14:textId="12067074" w:rsidR="00595CA2" w:rsidRPr="005B5093" w:rsidRDefault="00595CA2" w:rsidP="00562F7B">
            <w:pPr>
              <w:pStyle w:val="Tabletextbeforeindented"/>
            </w:pPr>
            <w:r w:rsidRPr="005B5093">
              <w:t xml:space="preserve">Contribute to work on </w:t>
            </w:r>
            <w:r>
              <w:t>the Government priority of prevention of family v</w:t>
            </w:r>
            <w:r w:rsidRPr="005B5093">
              <w:t>iolence</w:t>
            </w:r>
          </w:p>
        </w:tc>
      </w:tr>
      <w:tr w:rsidR="00595CA2" w:rsidRPr="009A0081" w14:paraId="1443C8AC" w14:textId="77777777" w:rsidTr="003B5180">
        <w:trPr>
          <w:cantSplit/>
        </w:trPr>
        <w:tc>
          <w:tcPr>
            <w:tcW w:w="0" w:type="auto"/>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41D824" w14:textId="3816F335" w:rsidR="00595CA2" w:rsidRPr="005B5093" w:rsidRDefault="00595CA2" w:rsidP="00562F7B">
            <w:pPr>
              <w:pStyle w:val="Tabletextindented"/>
            </w:pPr>
            <w:r>
              <w:t>Implement</w:t>
            </w:r>
            <w:r w:rsidRPr="003F766F">
              <w:t xml:space="preserve"> </w:t>
            </w:r>
            <w:r>
              <w:t xml:space="preserve">pre-accredited training in </w:t>
            </w:r>
            <w:r w:rsidRPr="003F766F">
              <w:t>financial literacy</w:t>
            </w:r>
            <w:r>
              <w:t xml:space="preserve"> as recommended by </w:t>
            </w:r>
            <w:r w:rsidRPr="003F766F">
              <w:t>Royal Commission</w:t>
            </w:r>
          </w:p>
        </w:tc>
      </w:tr>
      <w:tr w:rsidR="00595CA2" w:rsidRPr="009A0081" w14:paraId="2853C268" w14:textId="77777777" w:rsidTr="003B5180">
        <w:tblPrEx>
          <w:tblLook w:val="01E0" w:firstRow="1" w:lastRow="1" w:firstColumn="1" w:lastColumn="1" w:noHBand="0" w:noVBand="0"/>
        </w:tblPrEx>
        <w:trPr>
          <w:cantSplit/>
        </w:trPr>
        <w:tc>
          <w:tcPr>
            <w:tcW w:w="0" w:type="auto"/>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vAlign w:val="center"/>
          </w:tcPr>
          <w:p w14:paraId="70AEBF7D" w14:textId="2E6CAC4E" w:rsidR="00595CA2" w:rsidRDefault="00595CA2" w:rsidP="006D12FB">
            <w:pPr>
              <w:pStyle w:val="Tabletextindented"/>
              <w:ind w:left="0"/>
            </w:pPr>
            <w:r>
              <w:t xml:space="preserve">Strengthen relationships between the adult, community and further education and TAFE sectors through a </w:t>
            </w:r>
            <w:r w:rsidRPr="00BD31E5">
              <w:t>ACFE</w:t>
            </w:r>
            <w:r>
              <w:t>–</w:t>
            </w:r>
            <w:r w:rsidRPr="00BD31E5">
              <w:t>TAFE Roadmap</w:t>
            </w:r>
            <w:r>
              <w:t xml:space="preserve"> in collaboration with the Victorian TAFE Association(VTA)</w:t>
            </w:r>
          </w:p>
        </w:tc>
      </w:tr>
      <w:tr w:rsidR="00595CA2" w:rsidRPr="009A0081" w14:paraId="2625D30E" w14:textId="77777777" w:rsidTr="003B5180">
        <w:tblPrEx>
          <w:tblLook w:val="01E0" w:firstRow="1" w:lastRow="1" w:firstColumn="1" w:lastColumn="1" w:noHBand="0" w:noVBand="0"/>
        </w:tblPrEx>
        <w:trPr>
          <w:cantSplit/>
        </w:trPr>
        <w:tc>
          <w:tcPr>
            <w:tcW w:w="0" w:type="auto"/>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50F6363" w14:textId="689F48CF" w:rsidR="00595CA2" w:rsidRDefault="00595CA2" w:rsidP="004260B7">
            <w:pPr>
              <w:pStyle w:val="Tabletextindented"/>
            </w:pPr>
            <w:r>
              <w:t>Finalise ACFE–TAFE Roadmap with the Victorian TAFE Association</w:t>
            </w:r>
          </w:p>
        </w:tc>
      </w:tr>
      <w:tr w:rsidR="00595CA2" w:rsidRPr="009A0081" w14:paraId="2C1F4198" w14:textId="77777777" w:rsidTr="009021B1">
        <w:tblPrEx>
          <w:tblLook w:val="01E0" w:firstRow="1" w:lastRow="1" w:firstColumn="1" w:lastColumn="1" w:noHBand="0" w:noVBand="0"/>
        </w:tblPrEx>
        <w:trPr>
          <w:cantSplit/>
        </w:trPr>
        <w:tc>
          <w:tcPr>
            <w:tcW w:w="0" w:type="auto"/>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C43C38" w14:textId="4DE420EA" w:rsidR="00595CA2" w:rsidRPr="00694EC3" w:rsidRDefault="00595CA2" w:rsidP="004260B7">
            <w:pPr>
              <w:pStyle w:val="Tabletextindented"/>
            </w:pPr>
            <w:r>
              <w:t>Formulate an implementation plan in collaboration with the Victorian TAFE Association</w:t>
            </w:r>
          </w:p>
        </w:tc>
      </w:tr>
      <w:tr w:rsidR="00595CA2" w:rsidRPr="009A0081" w14:paraId="46321BC0" w14:textId="77777777" w:rsidTr="009021B1">
        <w:tblPrEx>
          <w:tblLook w:val="01E0" w:firstRow="1" w:lastRow="1" w:firstColumn="1" w:lastColumn="1" w:noHBand="0" w:noVBand="0"/>
        </w:tblPrEx>
        <w:trPr>
          <w:cantSplit/>
        </w:trPr>
        <w:tc>
          <w:tcPr>
            <w:tcW w:w="0" w:type="auto"/>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vAlign w:val="center"/>
          </w:tcPr>
          <w:p w14:paraId="77933019" w14:textId="44095F59" w:rsidR="00595CA2" w:rsidRDefault="00595CA2" w:rsidP="009021B1">
            <w:pPr>
              <w:pStyle w:val="Tabletextbeforeindented"/>
            </w:pPr>
            <w:r w:rsidRPr="005B5093">
              <w:t>Position pre-accredited programs as a contributor to literacy, numeracy and employability skills</w:t>
            </w:r>
          </w:p>
        </w:tc>
      </w:tr>
      <w:tr w:rsidR="00595CA2" w:rsidRPr="009A0081" w14:paraId="075AF51D" w14:textId="77777777" w:rsidTr="009021B1">
        <w:tblPrEx>
          <w:tblLook w:val="01E0" w:firstRow="1" w:lastRow="1" w:firstColumn="1" w:lastColumn="1" w:noHBand="0" w:noVBand="0"/>
        </w:tblPrEx>
        <w:trPr>
          <w:cantSplit/>
        </w:trPr>
        <w:tc>
          <w:tcPr>
            <w:tcW w:w="0" w:type="auto"/>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994DAE" w14:textId="4364197B" w:rsidR="00595CA2" w:rsidRDefault="00595CA2" w:rsidP="009021B1">
            <w:pPr>
              <w:pStyle w:val="Tabletextindented"/>
            </w:pPr>
            <w:r>
              <w:t>Promote the use of pre-accredited programs in support of Victorians workers employed in transitioning industries</w:t>
            </w:r>
          </w:p>
        </w:tc>
      </w:tr>
      <w:tr w:rsidR="00595CA2" w:rsidRPr="009A0081" w14:paraId="2E36B939" w14:textId="77777777" w:rsidTr="009021B1">
        <w:tblPrEx>
          <w:tblLook w:val="01E0" w:firstRow="1" w:lastRow="1" w:firstColumn="1" w:lastColumn="1" w:noHBand="0" w:noVBand="0"/>
        </w:tblPrEx>
        <w:trPr>
          <w:cantSplit/>
        </w:trPr>
        <w:tc>
          <w:tcPr>
            <w:tcW w:w="0" w:type="auto"/>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vAlign w:val="center"/>
          </w:tcPr>
          <w:p w14:paraId="40FB7806" w14:textId="3AFC8B84" w:rsidR="00595CA2" w:rsidRDefault="00595CA2" w:rsidP="009021B1">
            <w:pPr>
              <w:pStyle w:val="Tabletextbeforeindented"/>
            </w:pPr>
            <w:r>
              <w:lastRenderedPageBreak/>
              <w:t xml:space="preserve">Raise the profile of the adult, community and further education sector through implementation of the ACFE Board </w:t>
            </w:r>
            <w:r w:rsidRPr="00BD31E5">
              <w:t>Communications and Stakeholder Engagement Strategy</w:t>
            </w:r>
          </w:p>
        </w:tc>
      </w:tr>
      <w:tr w:rsidR="00595CA2" w:rsidRPr="009A0081" w14:paraId="33DEA3A3" w14:textId="77777777" w:rsidTr="009021B1">
        <w:tblPrEx>
          <w:tblLook w:val="01E0" w:firstRow="1" w:lastRow="1" w:firstColumn="1" w:lastColumn="1" w:noHBand="0" w:noVBand="0"/>
        </w:tblPrEx>
        <w:trPr>
          <w:cantSplit/>
        </w:trPr>
        <w:tc>
          <w:tcPr>
            <w:tcW w:w="0" w:type="auto"/>
            <w:tcBorders>
              <w:top w:val="nil"/>
              <w:left w:val="single" w:sz="4" w:space="0" w:color="D9D9D9" w:themeColor="background1" w:themeShade="D9"/>
              <w:bottom w:val="nil"/>
              <w:right w:val="single" w:sz="4" w:space="0" w:color="D9D9D9" w:themeColor="background1" w:themeShade="D9"/>
            </w:tcBorders>
            <w:vAlign w:val="center"/>
          </w:tcPr>
          <w:p w14:paraId="3055CA27" w14:textId="01E9D4B3" w:rsidR="00595CA2" w:rsidRDefault="00595CA2" w:rsidP="009021B1">
            <w:pPr>
              <w:pStyle w:val="Tabletextindented"/>
            </w:pPr>
            <w:r>
              <w:t xml:space="preserve">Integrate </w:t>
            </w:r>
            <w:r w:rsidRPr="00BD31E5">
              <w:t>Communications and Stakeholder Engagement Strategy</w:t>
            </w:r>
            <w:r>
              <w:t xml:space="preserve"> key messages into current communication channels</w:t>
            </w:r>
          </w:p>
        </w:tc>
      </w:tr>
      <w:tr w:rsidR="00595CA2" w:rsidRPr="009A0081" w14:paraId="15C23C94" w14:textId="77777777" w:rsidTr="009021B1">
        <w:tblPrEx>
          <w:tblLook w:val="01E0" w:firstRow="1" w:lastRow="1" w:firstColumn="1" w:lastColumn="1" w:noHBand="0" w:noVBand="0"/>
        </w:tblPrEx>
        <w:trPr>
          <w:cantSplit/>
        </w:trPr>
        <w:tc>
          <w:tcPr>
            <w:tcW w:w="0" w:type="auto"/>
            <w:tcBorders>
              <w:top w:val="nil"/>
              <w:left w:val="single" w:sz="4" w:space="0" w:color="D9D9D9" w:themeColor="background1" w:themeShade="D9"/>
              <w:bottom w:val="nil"/>
              <w:right w:val="single" w:sz="4" w:space="0" w:color="D9D9D9" w:themeColor="background1" w:themeShade="D9"/>
            </w:tcBorders>
            <w:vAlign w:val="center"/>
          </w:tcPr>
          <w:p w14:paraId="7F386E8A" w14:textId="38761F55" w:rsidR="00595CA2" w:rsidRDefault="00595CA2" w:rsidP="009021B1">
            <w:pPr>
              <w:pStyle w:val="Tabletextindented"/>
            </w:pPr>
            <w:r>
              <w:t>Lift online profile of ACFE sector as integral part of Victoria’s education and training system</w:t>
            </w:r>
          </w:p>
        </w:tc>
      </w:tr>
      <w:tr w:rsidR="00595CA2" w:rsidRPr="009A0081" w14:paraId="54D8FF35" w14:textId="77777777" w:rsidTr="009021B1">
        <w:tblPrEx>
          <w:tblLook w:val="01E0" w:firstRow="1" w:lastRow="1" w:firstColumn="1" w:lastColumn="1" w:noHBand="0" w:noVBand="0"/>
        </w:tblPrEx>
        <w:trPr>
          <w:cantSplit/>
        </w:trPr>
        <w:tc>
          <w:tcPr>
            <w:tcW w:w="0" w:type="auto"/>
            <w:tcBorders>
              <w:top w:val="nil"/>
              <w:left w:val="single" w:sz="4" w:space="0" w:color="D9D9D9" w:themeColor="background1" w:themeShade="D9"/>
              <w:bottom w:val="nil"/>
              <w:right w:val="single" w:sz="4" w:space="0" w:color="D9D9D9" w:themeColor="background1" w:themeShade="D9"/>
            </w:tcBorders>
            <w:vAlign w:val="center"/>
          </w:tcPr>
          <w:p w14:paraId="64CCEC58" w14:textId="1306F127" w:rsidR="00595CA2" w:rsidRDefault="00595CA2" w:rsidP="009021B1">
            <w:pPr>
              <w:pStyle w:val="Tabletextindented"/>
            </w:pPr>
            <w:r>
              <w:t>Establish meeting and briefing program with key stakeholders</w:t>
            </w:r>
          </w:p>
        </w:tc>
      </w:tr>
      <w:tr w:rsidR="00595CA2" w:rsidRPr="009A0081" w14:paraId="3707736B" w14:textId="77777777" w:rsidTr="009021B1">
        <w:tblPrEx>
          <w:tblLook w:val="01E0" w:firstRow="1" w:lastRow="1" w:firstColumn="1" w:lastColumn="1" w:noHBand="0" w:noVBand="0"/>
        </w:tblPrEx>
        <w:trPr>
          <w:cantSplit/>
        </w:trPr>
        <w:tc>
          <w:tcPr>
            <w:tcW w:w="0" w:type="auto"/>
            <w:tcBorders>
              <w:top w:val="nil"/>
              <w:left w:val="single" w:sz="4" w:space="0" w:color="D9D9D9" w:themeColor="background1" w:themeShade="D9"/>
              <w:bottom w:val="nil"/>
              <w:right w:val="single" w:sz="4" w:space="0" w:color="D9D9D9" w:themeColor="background1" w:themeShade="D9"/>
            </w:tcBorders>
            <w:vAlign w:val="center"/>
          </w:tcPr>
          <w:p w14:paraId="23C36614" w14:textId="1AE7EE9C" w:rsidR="00595CA2" w:rsidRDefault="00595CA2" w:rsidP="009021B1">
            <w:pPr>
              <w:pStyle w:val="Tabletextindented"/>
            </w:pPr>
            <w:r>
              <w:t>Develop a communications kit to support ACFEB meeting and briefing program with key stakeholders</w:t>
            </w:r>
          </w:p>
        </w:tc>
      </w:tr>
      <w:tr w:rsidR="00595CA2" w:rsidRPr="009A0081" w14:paraId="27B48A3C" w14:textId="77777777" w:rsidTr="009021B1">
        <w:tblPrEx>
          <w:tblLook w:val="01E0" w:firstRow="1" w:lastRow="1" w:firstColumn="1" w:lastColumn="1" w:noHBand="0" w:noVBand="0"/>
        </w:tblPrEx>
        <w:trPr>
          <w:cantSplit/>
        </w:trPr>
        <w:tc>
          <w:tcPr>
            <w:tcW w:w="0" w:type="auto"/>
            <w:tcBorders>
              <w:top w:val="nil"/>
              <w:left w:val="single" w:sz="4" w:space="0" w:color="D9D9D9" w:themeColor="background1" w:themeShade="D9"/>
              <w:bottom w:val="nil"/>
              <w:right w:val="single" w:sz="4" w:space="0" w:color="D9D9D9" w:themeColor="background1" w:themeShade="D9"/>
            </w:tcBorders>
            <w:vAlign w:val="center"/>
          </w:tcPr>
          <w:p w14:paraId="33E39C60" w14:textId="3E7B7162" w:rsidR="00595CA2" w:rsidRDefault="00595CA2" w:rsidP="009021B1">
            <w:pPr>
              <w:pStyle w:val="Tabletextindented"/>
            </w:pPr>
            <w:r>
              <w:t>Develop a media plan</w:t>
            </w:r>
          </w:p>
        </w:tc>
      </w:tr>
      <w:tr w:rsidR="00595CA2" w:rsidRPr="009A0081" w14:paraId="2AF6F936" w14:textId="77777777" w:rsidTr="009021B1">
        <w:tblPrEx>
          <w:tblLook w:val="01E0" w:firstRow="1" w:lastRow="1" w:firstColumn="1" w:lastColumn="1" w:noHBand="0" w:noVBand="0"/>
        </w:tblPrEx>
        <w:trPr>
          <w:cantSplit/>
        </w:trPr>
        <w:tc>
          <w:tcPr>
            <w:tcW w:w="0" w:type="auto"/>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6F3B5D" w14:textId="63182213" w:rsidR="00595CA2" w:rsidRDefault="00595CA2" w:rsidP="009021B1">
            <w:pPr>
              <w:pStyle w:val="Tabletextindented"/>
            </w:pPr>
            <w:r>
              <w:t>Implement an electronic direct mail strategy</w:t>
            </w:r>
          </w:p>
        </w:tc>
      </w:tr>
      <w:tr w:rsidR="00595CA2" w:rsidRPr="009A0081" w14:paraId="26985F3C" w14:textId="77777777" w:rsidTr="003B5180">
        <w:tblPrEx>
          <w:tblLook w:val="01E0" w:firstRow="1" w:lastRow="1" w:firstColumn="1" w:lastColumn="1" w:noHBand="0" w:noVBand="0"/>
        </w:tblPrEx>
        <w:trPr>
          <w:cantSplit/>
        </w:trPr>
        <w:tc>
          <w:tcPr>
            <w:tcW w:w="0" w:type="auto"/>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vAlign w:val="center"/>
          </w:tcPr>
          <w:p w14:paraId="58427C3F" w14:textId="33D9608F" w:rsidR="00595CA2" w:rsidRDefault="00595CA2" w:rsidP="009021B1">
            <w:pPr>
              <w:pStyle w:val="Tabletext"/>
            </w:pPr>
            <w:r>
              <w:t>Enhance the recognition of the sector through the Learn Local Awards</w:t>
            </w:r>
          </w:p>
        </w:tc>
      </w:tr>
      <w:tr w:rsidR="00595CA2" w:rsidRPr="009A0081" w14:paraId="353F6E89" w14:textId="77777777" w:rsidTr="003B5180">
        <w:tblPrEx>
          <w:tblLook w:val="01E0" w:firstRow="1" w:lastRow="1" w:firstColumn="1" w:lastColumn="1" w:noHBand="0" w:noVBand="0"/>
        </w:tblPrEx>
        <w:trPr>
          <w:cantSplit/>
        </w:trPr>
        <w:tc>
          <w:tcPr>
            <w:tcW w:w="0" w:type="auto"/>
            <w:tcBorders>
              <w:top w:val="nil"/>
              <w:left w:val="single" w:sz="4" w:space="0" w:color="D9D9D9" w:themeColor="background1" w:themeShade="D9"/>
              <w:bottom w:val="nil"/>
              <w:right w:val="single" w:sz="4" w:space="0" w:color="D9D9D9" w:themeColor="background1" w:themeShade="D9"/>
            </w:tcBorders>
            <w:vAlign w:val="center"/>
          </w:tcPr>
          <w:p w14:paraId="220BFC66" w14:textId="77777777" w:rsidR="00595CA2" w:rsidRPr="005B5093" w:rsidRDefault="00595CA2" w:rsidP="009021B1">
            <w:pPr>
              <w:pStyle w:val="Tabletextindented"/>
            </w:pPr>
            <w:r>
              <w:t xml:space="preserve">Review </w:t>
            </w:r>
            <w:r w:rsidRPr="005B5093">
              <w:t>Learn Local Awards categories and criteria</w:t>
            </w:r>
          </w:p>
        </w:tc>
      </w:tr>
      <w:tr w:rsidR="00595CA2" w:rsidRPr="009A0081" w14:paraId="6AEF2E25" w14:textId="77777777" w:rsidTr="003B5180">
        <w:tblPrEx>
          <w:tblLook w:val="01E0" w:firstRow="1" w:lastRow="1" w:firstColumn="1" w:lastColumn="1" w:noHBand="0" w:noVBand="0"/>
        </w:tblPrEx>
        <w:trPr>
          <w:cantSplit/>
        </w:trPr>
        <w:tc>
          <w:tcPr>
            <w:tcW w:w="0" w:type="auto"/>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C502597" w14:textId="4C667760" w:rsidR="00595CA2" w:rsidRDefault="00595CA2" w:rsidP="009021B1">
            <w:pPr>
              <w:pStyle w:val="Tabletextindented"/>
            </w:pPr>
            <w:r>
              <w:t>Conduct  Learn Local Awards 2018 ceremony</w:t>
            </w:r>
          </w:p>
        </w:tc>
      </w:tr>
      <w:tr w:rsidR="00595CA2" w:rsidRPr="009A0081" w14:paraId="3A336F47" w14:textId="77777777" w:rsidTr="003B5180">
        <w:tblPrEx>
          <w:tblLook w:val="01E0" w:firstRow="1" w:lastRow="1" w:firstColumn="1" w:lastColumn="1" w:noHBand="0" w:noVBand="0"/>
        </w:tblPrEx>
        <w:trPr>
          <w:cantSplit/>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5305AA3" w14:textId="276472DA" w:rsidR="00595CA2" w:rsidRDefault="00595CA2" w:rsidP="009021B1">
            <w:pPr>
              <w:pStyle w:val="Tabletext"/>
            </w:pPr>
            <w:r>
              <w:t>Promote</w:t>
            </w:r>
            <w:r w:rsidRPr="0059781C">
              <w:t xml:space="preserve"> collaboration</w:t>
            </w:r>
            <w:r>
              <w:t xml:space="preserve"> and learning</w:t>
            </w:r>
            <w:r w:rsidRPr="0059781C">
              <w:t xml:space="preserve"> between the Learn Local network and other parts of the education and training system</w:t>
            </w:r>
            <w:r>
              <w:t xml:space="preserve"> through a major </w:t>
            </w:r>
            <w:r w:rsidRPr="005B5093">
              <w:t>Learn Local Conference</w:t>
            </w:r>
            <w:r>
              <w:t xml:space="preserve"> 2018</w:t>
            </w:r>
          </w:p>
        </w:tc>
      </w:tr>
    </w:tbl>
    <w:p w14:paraId="69CB988C" w14:textId="77777777" w:rsidR="00DA7EF5" w:rsidRPr="00CA1CF2" w:rsidRDefault="00DA7EF5" w:rsidP="00DA7EF5">
      <w:pPr>
        <w:pStyle w:val="Heading1"/>
        <w:rPr>
          <w:rStyle w:val="Heading3Char"/>
        </w:rPr>
      </w:pPr>
      <w:r w:rsidRPr="00CA1CF2">
        <w:rPr>
          <w:rStyle w:val="Heading2Char"/>
        </w:rPr>
        <w:t>Sustainable ACFE</w:t>
      </w:r>
      <w:r w:rsidR="00CF4760" w:rsidRPr="00CA1CF2">
        <w:rPr>
          <w:rStyle w:val="Heading2Char"/>
        </w:rPr>
        <w:br/>
      </w:r>
      <w:r w:rsidRPr="00CA1CF2">
        <w:rPr>
          <w:rStyle w:val="Heading3Char"/>
        </w:rPr>
        <w:t>The ACFE provider network is strong and sustainable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5947"/>
        <w:gridCol w:w="3691"/>
      </w:tblGrid>
      <w:tr w:rsidR="00003BB7" w:rsidRPr="009A0081" w14:paraId="70B4380A" w14:textId="77777777" w:rsidTr="00D357CC">
        <w:trPr>
          <w:cantSplit/>
          <w:trHeight w:val="20"/>
        </w:trPr>
        <w:tc>
          <w:tcPr>
            <w:tcW w:w="0" w:type="auto"/>
            <w:tcBorders>
              <w:top w:val="nil"/>
              <w:left w:val="nil"/>
              <w:bottom w:val="single" w:sz="4" w:space="0" w:color="D9D9D9" w:themeColor="background1" w:themeShade="D9"/>
              <w:right w:val="single" w:sz="4" w:space="0" w:color="FFFFFF" w:themeColor="background1"/>
            </w:tcBorders>
            <w:shd w:val="clear" w:color="auto" w:fill="323E4F" w:themeFill="text2" w:themeFillShade="BF"/>
            <w:vAlign w:val="center"/>
            <w:hideMark/>
          </w:tcPr>
          <w:p w14:paraId="42A80FB2" w14:textId="4935114D" w:rsidR="00664BA9" w:rsidRPr="00FF1C22" w:rsidRDefault="00664BA9" w:rsidP="008A4D8C">
            <w:pPr>
              <w:pStyle w:val="Tableheading1"/>
            </w:pPr>
            <w:r w:rsidRPr="00FF1C22">
              <w:t xml:space="preserve">Strategy 2016–19 </w:t>
            </w:r>
            <w:r>
              <w:t>p</w:t>
            </w:r>
            <w:r w:rsidRPr="00FF1C22">
              <w:t>riorities</w:t>
            </w:r>
          </w:p>
        </w:tc>
        <w:tc>
          <w:tcPr>
            <w:tcW w:w="3691" w:type="dxa"/>
            <w:tcBorders>
              <w:top w:val="nil"/>
              <w:left w:val="single" w:sz="4" w:space="0" w:color="FFFFFF" w:themeColor="background1"/>
              <w:bottom w:val="single" w:sz="4" w:space="0" w:color="D9D9D9" w:themeColor="background1" w:themeShade="D9"/>
              <w:right w:val="nil"/>
            </w:tcBorders>
            <w:shd w:val="clear" w:color="auto" w:fill="323E4F" w:themeFill="text2" w:themeFillShade="BF"/>
            <w:vAlign w:val="center"/>
            <w:hideMark/>
          </w:tcPr>
          <w:p w14:paraId="446EFB87" w14:textId="6918C8DA" w:rsidR="00664BA9" w:rsidRPr="00FF1C22" w:rsidRDefault="00664BA9" w:rsidP="008A4D8C">
            <w:pPr>
              <w:pStyle w:val="Tableheading1"/>
            </w:pPr>
            <w:r w:rsidRPr="00FF1C22">
              <w:t>Target</w:t>
            </w:r>
          </w:p>
        </w:tc>
      </w:tr>
      <w:tr w:rsidR="00003BB7" w:rsidRPr="009A0081" w14:paraId="30CABBE8" w14:textId="77777777" w:rsidTr="00A67CCB">
        <w:tblPrEx>
          <w:tblLook w:val="00A0" w:firstRow="1" w:lastRow="0" w:firstColumn="1" w:lastColumn="0" w:noHBand="0" w:noVBand="0"/>
        </w:tblPrEx>
        <w:trPr>
          <w:cantSplit/>
          <w:trHeight w:val="20"/>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A45898" w14:textId="4BA90F08" w:rsidR="00664BA9" w:rsidRPr="009A0081" w:rsidRDefault="00664BA9" w:rsidP="00A245BE">
            <w:pPr>
              <w:pStyle w:val="Tabletext"/>
              <w:numPr>
                <w:ilvl w:val="0"/>
                <w:numId w:val="13"/>
              </w:numPr>
              <w:ind w:left="175" w:right="35" w:hanging="175"/>
            </w:pPr>
            <w:r w:rsidRPr="00E006D5">
              <w:t>Support a network of providers with the right skills, resources and connections to maximise deployment of resources and harness innovation</w:t>
            </w:r>
          </w:p>
        </w:tc>
        <w:tc>
          <w:tcPr>
            <w:tcW w:w="36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0E79EFA" w14:textId="2AD789B7" w:rsidR="00664BA9" w:rsidRPr="009C7A25" w:rsidRDefault="00F25536" w:rsidP="008A4D8C">
            <w:pPr>
              <w:pStyle w:val="Tabletext"/>
            </w:pPr>
            <w:r>
              <w:t xml:space="preserve">Allocation of </w:t>
            </w:r>
            <w:r w:rsidR="00C01646">
              <w:t>Adult, Community and Further Education Board</w:t>
            </w:r>
            <w:r>
              <w:t xml:space="preserve"> budget is aligned to strategic priorities</w:t>
            </w:r>
          </w:p>
        </w:tc>
      </w:tr>
      <w:tr w:rsidR="00A245BE" w:rsidRPr="009A0081" w14:paraId="346CE3ED" w14:textId="77777777" w:rsidTr="00A67CCB">
        <w:tblPrEx>
          <w:tblLook w:val="00A0" w:firstRow="1" w:lastRow="0" w:firstColumn="1" w:lastColumn="0" w:noHBand="0" w:noVBand="0"/>
        </w:tblPrEx>
        <w:trPr>
          <w:cantSplit/>
          <w:trHeight w:val="20"/>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D211290" w14:textId="2D6BEB14" w:rsidR="00A245BE" w:rsidRPr="00E006D5" w:rsidRDefault="00A245BE" w:rsidP="00003BB7">
            <w:pPr>
              <w:pStyle w:val="Tabletext"/>
              <w:numPr>
                <w:ilvl w:val="0"/>
                <w:numId w:val="13"/>
              </w:numPr>
              <w:ind w:left="175" w:right="35" w:hanging="175"/>
            </w:pPr>
            <w:r w:rsidRPr="00E006D5">
              <w:t>Ensure and manage sustainable funding provision for sector programs</w:t>
            </w:r>
          </w:p>
        </w:tc>
        <w:tc>
          <w:tcPr>
            <w:tcW w:w="36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8D1D1DD" w14:textId="3D4297D2" w:rsidR="00A245BE" w:rsidRDefault="00A245BE" w:rsidP="008A4D8C">
            <w:pPr>
              <w:pStyle w:val="Tabletext"/>
            </w:pPr>
            <w:r>
              <w:t>Number of providers of Adult, Community and Further Education Board-funded pre-accredited training under the Learn Local brand engaged in successful Capacity and Innovation Fund bids</w:t>
            </w:r>
          </w:p>
        </w:tc>
      </w:tr>
      <w:tr w:rsidR="00003BB7" w:rsidRPr="009A0081" w14:paraId="4B4FBE6B" w14:textId="77777777" w:rsidTr="00A67CCB">
        <w:tblPrEx>
          <w:tblLook w:val="00A0" w:firstRow="1" w:lastRow="0" w:firstColumn="1" w:lastColumn="0" w:noHBand="0" w:noVBand="0"/>
        </w:tblPrEx>
        <w:trPr>
          <w:cantSplit/>
          <w:trHeight w:val="20"/>
        </w:trPr>
        <w:tc>
          <w:tcPr>
            <w:tcW w:w="0" w:type="auto"/>
            <w:tcBorders>
              <w:top w:val="single" w:sz="4" w:space="0" w:color="D9D9D9" w:themeColor="background1" w:themeShade="D9"/>
              <w:left w:val="nil"/>
              <w:bottom w:val="nil"/>
              <w:right w:val="single" w:sz="4" w:space="0" w:color="FFFFFF" w:themeColor="background1"/>
            </w:tcBorders>
            <w:shd w:val="clear" w:color="auto" w:fill="323E4F" w:themeFill="text2" w:themeFillShade="BF"/>
            <w:vAlign w:val="center"/>
          </w:tcPr>
          <w:p w14:paraId="17A041A1" w14:textId="4CC88209" w:rsidR="00F35230" w:rsidRPr="00FF1C22" w:rsidRDefault="00F35230" w:rsidP="008A4D8C">
            <w:pPr>
              <w:pStyle w:val="Tableheading1"/>
            </w:pPr>
            <w:r w:rsidRPr="005B5093">
              <w:t>Ministerial Statement of Expectations 2018</w:t>
            </w:r>
          </w:p>
        </w:tc>
        <w:tc>
          <w:tcPr>
            <w:tcW w:w="3691" w:type="dxa"/>
            <w:tcBorders>
              <w:top w:val="single" w:sz="4" w:space="0" w:color="D9D9D9" w:themeColor="background1" w:themeShade="D9"/>
              <w:left w:val="single" w:sz="4" w:space="0" w:color="FFFFFF" w:themeColor="background1"/>
              <w:bottom w:val="nil"/>
              <w:right w:val="nil"/>
            </w:tcBorders>
            <w:shd w:val="clear" w:color="auto" w:fill="323E4F" w:themeFill="text2" w:themeFillShade="BF"/>
            <w:vAlign w:val="center"/>
          </w:tcPr>
          <w:p w14:paraId="7A027502" w14:textId="33390BE9" w:rsidR="00F35230" w:rsidRPr="003C31A1" w:rsidRDefault="00F35230" w:rsidP="008A4D8C">
            <w:pPr>
              <w:pStyle w:val="Tableheading1"/>
            </w:pPr>
          </w:p>
        </w:tc>
      </w:tr>
      <w:tr w:rsidR="00003BB7" w:rsidRPr="009A0081" w14:paraId="60135746" w14:textId="77777777" w:rsidTr="00A67CCB">
        <w:tblPrEx>
          <w:tblLook w:val="00A0" w:firstRow="1" w:lastRow="0" w:firstColumn="1" w:lastColumn="0" w:noHBand="0" w:noVBand="0"/>
        </w:tblPrEx>
        <w:trPr>
          <w:cantSplit/>
          <w:trHeight w:val="20"/>
        </w:trPr>
        <w:tc>
          <w:tcPr>
            <w:tcW w:w="0" w:type="auto"/>
            <w:tcBorders>
              <w:top w:val="nil"/>
              <w:left w:val="nil"/>
              <w:bottom w:val="single" w:sz="4" w:space="0" w:color="D9D9D9" w:themeColor="background1" w:themeShade="D9"/>
              <w:right w:val="single" w:sz="4" w:space="0" w:color="FFFFFF" w:themeColor="background1"/>
            </w:tcBorders>
            <w:shd w:val="clear" w:color="auto" w:fill="7F7F7F" w:themeFill="text1" w:themeFillTint="80"/>
            <w:vAlign w:val="center"/>
          </w:tcPr>
          <w:p w14:paraId="4D48EFE7" w14:textId="68E20FB8" w:rsidR="00F35230" w:rsidRPr="00E854EA" w:rsidRDefault="00321CCC" w:rsidP="00E854EA">
            <w:pPr>
              <w:pStyle w:val="Tableheading2"/>
            </w:pPr>
            <w:r>
              <w:t>Expectation</w:t>
            </w:r>
          </w:p>
        </w:tc>
        <w:tc>
          <w:tcPr>
            <w:tcW w:w="3691" w:type="dxa"/>
            <w:tcBorders>
              <w:top w:val="nil"/>
              <w:left w:val="single" w:sz="4" w:space="0" w:color="FFFFFF" w:themeColor="background1"/>
              <w:bottom w:val="single" w:sz="4" w:space="0" w:color="D9D9D9" w:themeColor="background1" w:themeShade="D9"/>
              <w:right w:val="nil"/>
            </w:tcBorders>
            <w:shd w:val="clear" w:color="auto" w:fill="7F7F7F" w:themeFill="text1" w:themeFillTint="80"/>
            <w:vAlign w:val="center"/>
          </w:tcPr>
          <w:p w14:paraId="02285361" w14:textId="6ABFE091" w:rsidR="00F35230" w:rsidRPr="00E854EA" w:rsidRDefault="00E854EA" w:rsidP="00E854EA">
            <w:pPr>
              <w:pStyle w:val="Tableheading2"/>
            </w:pPr>
            <w:r w:rsidRPr="00E854EA">
              <w:t>Demonstrated by</w:t>
            </w:r>
          </w:p>
        </w:tc>
      </w:tr>
      <w:tr w:rsidR="00003BB7" w:rsidRPr="009A0081" w14:paraId="66E16522" w14:textId="77777777" w:rsidTr="00D357CC">
        <w:tblPrEx>
          <w:tblLook w:val="00A0" w:firstRow="1" w:lastRow="0" w:firstColumn="1" w:lastColumn="0" w:noHBand="0" w:noVBand="0"/>
        </w:tblPrEx>
        <w:trPr>
          <w:cantSplit/>
          <w:trHeight w:val="20"/>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64C1CFC" w14:textId="390D8692" w:rsidR="00F35230" w:rsidRPr="00B50B66" w:rsidRDefault="00F35230" w:rsidP="006356BF">
            <w:pPr>
              <w:pStyle w:val="Tabletext"/>
            </w:pPr>
            <w:r w:rsidRPr="00B50B66">
              <w:t>Fund, support and resource programs and services that meet local community needs and support disadvantaged learners</w:t>
            </w:r>
          </w:p>
        </w:tc>
        <w:tc>
          <w:tcPr>
            <w:tcW w:w="36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100CDBC" w14:textId="51EA9B8F" w:rsidR="00F35230" w:rsidRPr="00036D52" w:rsidRDefault="00F35230" w:rsidP="008A4D8C">
            <w:pPr>
              <w:pStyle w:val="Tabletext"/>
            </w:pPr>
            <w:r w:rsidRPr="00036D52">
              <w:t>S</w:t>
            </w:r>
            <w:r w:rsidR="006356BF">
              <w:t>trengthened delivery and capability of providers, especially in regional Victoria</w:t>
            </w:r>
          </w:p>
        </w:tc>
      </w:tr>
      <w:tr w:rsidR="003F1F44" w:rsidRPr="009A0081" w14:paraId="14BFDD4F" w14:textId="77777777" w:rsidTr="00D357CC">
        <w:tblPrEx>
          <w:tblLook w:val="00A0" w:firstRow="1" w:lastRow="0" w:firstColumn="1" w:lastColumn="0" w:noHBand="0" w:noVBand="0"/>
        </w:tblPrEx>
        <w:trPr>
          <w:cantSplit/>
          <w:trHeight w:val="20"/>
        </w:trPr>
        <w:tc>
          <w:tcPr>
            <w:tcW w:w="0" w:type="auto"/>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AC30CA3" w14:textId="3C65C70E" w:rsidR="003F1F44" w:rsidRPr="00B50B66" w:rsidRDefault="003F1F44" w:rsidP="003F1F44">
            <w:pPr>
              <w:pStyle w:val="Tabletext"/>
            </w:pPr>
            <w:r w:rsidRPr="0059781C">
              <w:t>Provide a strategic environment that supports stronger collaboration across the network of Learn Local providers</w:t>
            </w:r>
          </w:p>
        </w:tc>
        <w:tc>
          <w:tcPr>
            <w:tcW w:w="36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C89318" w14:textId="05CA9FC5" w:rsidR="003F1F44" w:rsidRPr="00036D52" w:rsidRDefault="00325370" w:rsidP="003F1F44">
            <w:pPr>
              <w:pStyle w:val="Tabletext"/>
            </w:pPr>
            <w:r>
              <w:t>Increased collaboration by Learn Local providers, leading to greater innovation</w:t>
            </w:r>
          </w:p>
        </w:tc>
      </w:tr>
    </w:tbl>
    <w:p w14:paraId="54FA520B" w14:textId="77777777" w:rsidR="00EE2094" w:rsidRDefault="00EE2094" w:rsidP="00EE2094">
      <w:pPr>
        <w:pStyle w:val="Spacebetweentabl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628"/>
      </w:tblGrid>
      <w:tr w:rsidR="00595CA2" w:rsidRPr="009A0081" w14:paraId="11D1CD38" w14:textId="77777777" w:rsidTr="00595CA2">
        <w:trPr>
          <w:cantSplit/>
          <w:trHeight w:val="20"/>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7F7F7F" w:themeFill="text1" w:themeFillTint="80"/>
            <w:vAlign w:val="center"/>
          </w:tcPr>
          <w:p w14:paraId="1A7601F9" w14:textId="40D6600B" w:rsidR="00595CA2" w:rsidRPr="00E854EA" w:rsidRDefault="00595CA2" w:rsidP="00E854EA">
            <w:pPr>
              <w:pStyle w:val="Tableheading2"/>
            </w:pPr>
            <w:r>
              <w:lastRenderedPageBreak/>
              <w:t>Priority activities 2018</w:t>
            </w:r>
          </w:p>
        </w:tc>
      </w:tr>
      <w:tr w:rsidR="00595CA2" w:rsidRPr="009A0081" w14:paraId="51F436D8" w14:textId="77777777" w:rsidTr="00595CA2">
        <w:trPr>
          <w:cantSplit/>
          <w:trHeight w:val="20"/>
        </w:trPr>
        <w:tc>
          <w:tcPr>
            <w:tcW w:w="5000"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auto"/>
            <w:vAlign w:val="center"/>
          </w:tcPr>
          <w:p w14:paraId="38BA867B" w14:textId="77777777" w:rsidR="00595CA2" w:rsidRPr="005B5093" w:rsidRDefault="00595CA2" w:rsidP="00D357CC">
            <w:pPr>
              <w:pStyle w:val="Tabletextbeforeindented"/>
            </w:pPr>
            <w:r w:rsidRPr="005B5093">
              <w:t>Respond to the review of policy and processes for registration of providers with the Board</w:t>
            </w:r>
          </w:p>
        </w:tc>
      </w:tr>
      <w:tr w:rsidR="00595CA2" w:rsidRPr="009A0081" w14:paraId="4CFBF979" w14:textId="77777777" w:rsidTr="00595CA2">
        <w:tblPrEx>
          <w:tblLook w:val="01E0" w:firstRow="1" w:lastRow="1" w:firstColumn="1" w:lastColumn="1" w:noHBand="0" w:noVBand="0"/>
        </w:tblPrEx>
        <w:trPr>
          <w:cantSplit/>
          <w:trHeight w:val="20"/>
        </w:trPr>
        <w:tc>
          <w:tcPr>
            <w:tcW w:w="5000" w:type="pct"/>
            <w:tcBorders>
              <w:top w:val="nil"/>
              <w:left w:val="single" w:sz="4" w:space="0" w:color="D9D9D9" w:themeColor="background1" w:themeShade="D9"/>
              <w:bottom w:val="nil"/>
              <w:right w:val="single" w:sz="4" w:space="0" w:color="D9D9D9" w:themeColor="background1" w:themeShade="D9"/>
            </w:tcBorders>
            <w:vAlign w:val="center"/>
          </w:tcPr>
          <w:p w14:paraId="21605AF4" w14:textId="79047A5C" w:rsidR="00595CA2" w:rsidRDefault="00595CA2" w:rsidP="00D357CC">
            <w:pPr>
              <w:pStyle w:val="Tabletextindented"/>
            </w:pPr>
            <w:r>
              <w:t>Develop guidelines</w:t>
            </w:r>
          </w:p>
        </w:tc>
      </w:tr>
      <w:tr w:rsidR="00595CA2" w:rsidRPr="009A0081" w14:paraId="6251D8E9" w14:textId="77777777" w:rsidTr="00595CA2">
        <w:tblPrEx>
          <w:tblLook w:val="01E0" w:firstRow="1" w:lastRow="1" w:firstColumn="1" w:lastColumn="1" w:noHBand="0" w:noVBand="0"/>
        </w:tblPrEx>
        <w:trPr>
          <w:cantSplit/>
          <w:trHeight w:val="20"/>
        </w:trPr>
        <w:tc>
          <w:tcPr>
            <w:tcW w:w="5000"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0F06F6" w14:textId="2D99B2D9" w:rsidR="00595CA2" w:rsidRPr="005B5093" w:rsidRDefault="00595CA2" w:rsidP="00D357CC">
            <w:pPr>
              <w:pStyle w:val="Tabletextindented"/>
            </w:pPr>
            <w:r>
              <w:t>Complete re-registration</w:t>
            </w:r>
          </w:p>
        </w:tc>
      </w:tr>
      <w:tr w:rsidR="00595CA2" w:rsidRPr="009A0081" w14:paraId="696DC768" w14:textId="77777777" w:rsidTr="00595CA2">
        <w:tblPrEx>
          <w:tblLook w:val="01E0" w:firstRow="1" w:lastRow="1" w:firstColumn="1" w:lastColumn="1" w:noHBand="0" w:noVBand="0"/>
        </w:tblPrEx>
        <w:trPr>
          <w:cantSplit/>
          <w:trHeight w:val="20"/>
        </w:trPr>
        <w:tc>
          <w:tcPr>
            <w:tcW w:w="5000"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vAlign w:val="center"/>
          </w:tcPr>
          <w:p w14:paraId="07780CA2" w14:textId="47DBE542" w:rsidR="00595CA2" w:rsidRPr="00EE5218" w:rsidRDefault="00595CA2" w:rsidP="00EE5218">
            <w:pPr>
              <w:pStyle w:val="Tabletext"/>
            </w:pPr>
            <w:r w:rsidRPr="00EE5218">
              <w:t>Investigate feasibility of establishing networks of providers, including sustainable models for shared services provision</w:t>
            </w:r>
          </w:p>
        </w:tc>
      </w:tr>
      <w:tr w:rsidR="00595CA2" w:rsidRPr="009A0081" w14:paraId="596C52C8" w14:textId="77777777" w:rsidTr="00595CA2">
        <w:tblPrEx>
          <w:tblLook w:val="01E0" w:firstRow="1" w:lastRow="1" w:firstColumn="1" w:lastColumn="1" w:noHBand="0" w:noVBand="0"/>
        </w:tblPrEx>
        <w:trPr>
          <w:cantSplit/>
          <w:trHeight w:val="20"/>
        </w:trPr>
        <w:tc>
          <w:tcPr>
            <w:tcW w:w="5000" w:type="pc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vAlign w:val="center"/>
          </w:tcPr>
          <w:p w14:paraId="58937DD6" w14:textId="39630344" w:rsidR="00595CA2" w:rsidRPr="005B5093" w:rsidRDefault="00595CA2" w:rsidP="00967D8C">
            <w:pPr>
              <w:pStyle w:val="Tabletext"/>
              <w:keepNext/>
            </w:pPr>
            <w:r>
              <w:t>Develop and make available a package of initiatives supporting sector governance</w:t>
            </w:r>
          </w:p>
        </w:tc>
      </w:tr>
      <w:tr w:rsidR="00595CA2" w:rsidRPr="009A0081" w14:paraId="56405F9B" w14:textId="77777777" w:rsidTr="00595CA2">
        <w:tblPrEx>
          <w:tblLook w:val="01E0" w:firstRow="1" w:lastRow="1" w:firstColumn="1" w:lastColumn="1" w:noHBand="0" w:noVBand="0"/>
        </w:tblPrEx>
        <w:trPr>
          <w:cantSplit/>
          <w:trHeight w:val="20"/>
        </w:trPr>
        <w:tc>
          <w:tcPr>
            <w:tcW w:w="5000" w:type="pct"/>
            <w:tcBorders>
              <w:top w:val="nil"/>
              <w:left w:val="single" w:sz="4" w:space="0" w:color="D9D9D9" w:themeColor="background1" w:themeShade="D9"/>
              <w:bottom w:val="nil"/>
              <w:right w:val="single" w:sz="4" w:space="0" w:color="D9D9D9" w:themeColor="background1" w:themeShade="D9"/>
            </w:tcBorders>
            <w:vAlign w:val="center"/>
          </w:tcPr>
          <w:p w14:paraId="6E56195F" w14:textId="74063F64" w:rsidR="00595CA2" w:rsidRPr="007F0FC8" w:rsidRDefault="00595CA2" w:rsidP="00A15119">
            <w:pPr>
              <w:pStyle w:val="Tabletextindented"/>
            </w:pPr>
            <w:r w:rsidRPr="007F0FC8">
              <w:t>Training and resource materials in business management and governance</w:t>
            </w:r>
          </w:p>
        </w:tc>
      </w:tr>
      <w:tr w:rsidR="00595CA2" w:rsidRPr="009A0081" w14:paraId="374BA8F3" w14:textId="77777777" w:rsidTr="00595CA2">
        <w:tblPrEx>
          <w:tblLook w:val="01E0" w:firstRow="1" w:lastRow="1" w:firstColumn="1" w:lastColumn="1" w:noHBand="0" w:noVBand="0"/>
        </w:tblPrEx>
        <w:trPr>
          <w:cantSplit/>
          <w:trHeight w:val="20"/>
        </w:trPr>
        <w:tc>
          <w:tcPr>
            <w:tcW w:w="5000" w:type="pct"/>
            <w:tcBorders>
              <w:top w:val="nil"/>
              <w:left w:val="single" w:sz="4" w:space="0" w:color="D9D9D9" w:themeColor="background1" w:themeShade="D9"/>
              <w:bottom w:val="nil"/>
              <w:right w:val="single" w:sz="4" w:space="0" w:color="D9D9D9" w:themeColor="background1" w:themeShade="D9"/>
            </w:tcBorders>
            <w:vAlign w:val="center"/>
          </w:tcPr>
          <w:p w14:paraId="37459662" w14:textId="40E8AB26" w:rsidR="00595CA2" w:rsidRPr="007F0FC8" w:rsidRDefault="00595CA2" w:rsidP="007F0FC8">
            <w:pPr>
              <w:pStyle w:val="Tabletextindented"/>
            </w:pPr>
            <w:r>
              <w:t>In-</w:t>
            </w:r>
            <w:r w:rsidRPr="007F0FC8">
              <w:t>business support</w:t>
            </w:r>
            <w:r>
              <w:t xml:space="preserve"> in relation to budgeting skills, business planning, understanding reporting requirements, streamlining processes, and updating practices and business model</w:t>
            </w:r>
          </w:p>
        </w:tc>
      </w:tr>
      <w:tr w:rsidR="00595CA2" w:rsidRPr="009A0081" w14:paraId="0A907A3C" w14:textId="77777777" w:rsidTr="00595CA2">
        <w:tblPrEx>
          <w:tblLook w:val="01E0" w:firstRow="1" w:lastRow="1" w:firstColumn="1" w:lastColumn="1" w:noHBand="0" w:noVBand="0"/>
        </w:tblPrEx>
        <w:trPr>
          <w:cantSplit/>
          <w:trHeight w:val="20"/>
        </w:trPr>
        <w:tc>
          <w:tcPr>
            <w:tcW w:w="5000" w:type="pct"/>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F8BA7DD" w14:textId="38603CD7" w:rsidR="00595CA2" w:rsidRPr="007F0FC8" w:rsidRDefault="00595CA2" w:rsidP="007F0FC8">
            <w:pPr>
              <w:pStyle w:val="Tabletextindented"/>
            </w:pPr>
            <w:r>
              <w:t>Establishment of a panel of financial health advisers</w:t>
            </w:r>
          </w:p>
        </w:tc>
      </w:tr>
    </w:tbl>
    <w:p w14:paraId="07BA268C" w14:textId="77777777" w:rsidR="00DA7EF5" w:rsidRPr="000D39C7" w:rsidRDefault="00DA7EF5" w:rsidP="00C473E1">
      <w:pPr>
        <w:pStyle w:val="Spacebetweentables"/>
      </w:pPr>
    </w:p>
    <w:sectPr w:rsidR="00DA7EF5" w:rsidRPr="000D39C7" w:rsidSect="008A5DD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FFADDE" w16cid:durableId="1E762242"/>
  <w16cid:commentId w16cid:paraId="632A3EF5" w16cid:durableId="1E762363"/>
  <w16cid:commentId w16cid:paraId="4A636BFF" w16cid:durableId="1E7623B6"/>
  <w16cid:commentId w16cid:paraId="315A34BA" w16cid:durableId="1E762450"/>
  <w16cid:commentId w16cid:paraId="652A88F2" w16cid:durableId="1E76247A"/>
  <w16cid:commentId w16cid:paraId="621DD6B5" w16cid:durableId="1E762495"/>
  <w16cid:commentId w16cid:paraId="7C33FFD3" w16cid:durableId="1E7624EA"/>
  <w16cid:commentId w16cid:paraId="30613C15" w16cid:durableId="1E762576"/>
  <w16cid:commentId w16cid:paraId="234CCCDF" w16cid:durableId="1E7625D6"/>
  <w16cid:commentId w16cid:paraId="4397262F" w16cid:durableId="1E7628E8"/>
  <w16cid:commentId w16cid:paraId="166CD676" w16cid:durableId="1E76271F"/>
  <w16cid:commentId w16cid:paraId="0524B5FF" w16cid:durableId="1E7629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91041" w14:textId="77777777" w:rsidR="000463AE" w:rsidRDefault="000463AE" w:rsidP="0008410D">
      <w:pPr>
        <w:spacing w:after="0" w:line="240" w:lineRule="auto"/>
      </w:pPr>
      <w:r>
        <w:separator/>
      </w:r>
    </w:p>
  </w:endnote>
  <w:endnote w:type="continuationSeparator" w:id="0">
    <w:p w14:paraId="039D3E5F" w14:textId="77777777" w:rsidR="000463AE" w:rsidRDefault="000463AE" w:rsidP="0008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387F" w14:textId="2DC27FA1" w:rsidR="00B87DAA" w:rsidRPr="002C6A91" w:rsidRDefault="00B87DAA" w:rsidP="00B87DAA">
    <w:pPr>
      <w:pStyle w:val="Footer"/>
      <w:tabs>
        <w:tab w:val="clear" w:pos="9026"/>
      </w:tabs>
      <w:rPr>
        <w:sz w:val="18"/>
      </w:rPr>
    </w:pPr>
    <w:r w:rsidRPr="002C6A91">
      <w:rPr>
        <w:color w:val="7F7F7F" w:themeColor="background1" w:themeShade="7F"/>
        <w:spacing w:val="60"/>
        <w:sz w:val="18"/>
      </w:rPr>
      <w:t>Page</w:t>
    </w:r>
    <w:r w:rsidRPr="002C6A91">
      <w:rPr>
        <w:sz w:val="18"/>
      </w:rPr>
      <w:t xml:space="preserve"> | </w:t>
    </w:r>
    <w:r w:rsidRPr="002C6A91">
      <w:rPr>
        <w:sz w:val="18"/>
      </w:rPr>
      <w:fldChar w:fldCharType="begin"/>
    </w:r>
    <w:r w:rsidRPr="002C6A91">
      <w:rPr>
        <w:sz w:val="18"/>
      </w:rPr>
      <w:instrText xml:space="preserve"> PAGE   \* MERGEFORMAT </w:instrText>
    </w:r>
    <w:r w:rsidRPr="002C6A91">
      <w:rPr>
        <w:sz w:val="18"/>
      </w:rPr>
      <w:fldChar w:fldCharType="separate"/>
    </w:r>
    <w:r w:rsidR="00BE2B54" w:rsidRPr="00BE2B54">
      <w:rPr>
        <w:b/>
        <w:bCs/>
        <w:noProof/>
        <w:sz w:val="18"/>
      </w:rPr>
      <w:t>6</w:t>
    </w:r>
    <w:r w:rsidRPr="002C6A91">
      <w:rPr>
        <w:b/>
        <w:bCs/>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BEEE1" w14:textId="7431677B" w:rsidR="00B87DAA" w:rsidRPr="0043431E" w:rsidRDefault="00B87DAA" w:rsidP="00B87DAA">
    <w:pPr>
      <w:pStyle w:val="Footer"/>
      <w:tabs>
        <w:tab w:val="clear" w:pos="9026"/>
      </w:tabs>
      <w:jc w:val="right"/>
      <w:rPr>
        <w:sz w:val="18"/>
      </w:rPr>
    </w:pPr>
    <w:r w:rsidRPr="0043431E">
      <w:rPr>
        <w:color w:val="7F7F7F" w:themeColor="background1" w:themeShade="7F"/>
        <w:spacing w:val="60"/>
        <w:sz w:val="18"/>
      </w:rPr>
      <w:t>Page</w:t>
    </w:r>
    <w:r w:rsidRPr="0043431E">
      <w:rPr>
        <w:sz w:val="18"/>
      </w:rPr>
      <w:t xml:space="preserve"> | </w:t>
    </w:r>
    <w:r w:rsidRPr="0043431E">
      <w:rPr>
        <w:sz w:val="18"/>
      </w:rPr>
      <w:fldChar w:fldCharType="begin"/>
    </w:r>
    <w:r w:rsidRPr="0043431E">
      <w:rPr>
        <w:sz w:val="18"/>
      </w:rPr>
      <w:instrText xml:space="preserve"> PAGE   \* MERGEFORMAT </w:instrText>
    </w:r>
    <w:r w:rsidRPr="0043431E">
      <w:rPr>
        <w:sz w:val="18"/>
      </w:rPr>
      <w:fldChar w:fldCharType="separate"/>
    </w:r>
    <w:r w:rsidR="00BE2B54" w:rsidRPr="00BE2B54">
      <w:rPr>
        <w:b/>
        <w:bCs/>
        <w:noProof/>
        <w:sz w:val="18"/>
      </w:rPr>
      <w:t>5</w:t>
    </w:r>
    <w:r w:rsidRPr="0043431E">
      <w:rPr>
        <w:b/>
        <w:bCs/>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00CB9" w14:textId="3BC476B3" w:rsidR="008A5DDB" w:rsidRPr="0043431E" w:rsidRDefault="008A5DDB" w:rsidP="008A5DDB">
    <w:pPr>
      <w:pStyle w:val="Footer"/>
      <w:tabs>
        <w:tab w:val="clear" w:pos="9026"/>
      </w:tabs>
      <w:jc w:val="right"/>
      <w:rPr>
        <w:sz w:val="18"/>
      </w:rPr>
    </w:pPr>
    <w:r w:rsidRPr="0043431E">
      <w:rPr>
        <w:color w:val="7F7F7F" w:themeColor="background1" w:themeShade="7F"/>
        <w:spacing w:val="60"/>
        <w:sz w:val="18"/>
      </w:rPr>
      <w:t>Page</w:t>
    </w:r>
    <w:r w:rsidRPr="0043431E">
      <w:rPr>
        <w:sz w:val="18"/>
      </w:rPr>
      <w:t xml:space="preserve"> | </w:t>
    </w:r>
    <w:r w:rsidRPr="0043431E">
      <w:rPr>
        <w:sz w:val="18"/>
      </w:rPr>
      <w:fldChar w:fldCharType="begin"/>
    </w:r>
    <w:r w:rsidRPr="0043431E">
      <w:rPr>
        <w:sz w:val="18"/>
      </w:rPr>
      <w:instrText xml:space="preserve"> PAGE   \* MERGEFORMAT </w:instrText>
    </w:r>
    <w:r w:rsidRPr="0043431E">
      <w:rPr>
        <w:sz w:val="18"/>
      </w:rPr>
      <w:fldChar w:fldCharType="separate"/>
    </w:r>
    <w:r w:rsidR="00BE2B54" w:rsidRPr="00BE2B54">
      <w:rPr>
        <w:b/>
        <w:bCs/>
        <w:noProof/>
        <w:sz w:val="18"/>
      </w:rPr>
      <w:t>1</w:t>
    </w:r>
    <w:r w:rsidRPr="0043431E">
      <w:rPr>
        <w:b/>
        <w:bC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8ADC" w14:textId="77777777" w:rsidR="000463AE" w:rsidRDefault="000463AE" w:rsidP="0008410D">
      <w:pPr>
        <w:spacing w:after="0" w:line="240" w:lineRule="auto"/>
      </w:pPr>
      <w:r>
        <w:separator/>
      </w:r>
    </w:p>
  </w:footnote>
  <w:footnote w:type="continuationSeparator" w:id="0">
    <w:p w14:paraId="32DD56BE" w14:textId="77777777" w:rsidR="000463AE" w:rsidRDefault="000463AE" w:rsidP="00084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DE15" w14:textId="77777777" w:rsidR="00935D2B" w:rsidRDefault="00935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FF93D" w14:textId="77777777" w:rsidR="00935D2B" w:rsidRDefault="00935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FCAB" w14:textId="43D6753D" w:rsidR="000439A2" w:rsidRDefault="000439A2">
    <w:pPr>
      <w:pStyle w:val="Header"/>
    </w:pPr>
    <w:r>
      <w:rPr>
        <w:noProof/>
        <w:lang w:eastAsia="en-AU"/>
      </w:rPr>
      <w:drawing>
        <wp:anchor distT="0" distB="0" distL="114300" distR="114300" simplePos="0" relativeHeight="251659264" behindDoc="1" locked="0" layoutInCell="1" allowOverlap="1" wp14:anchorId="7C040C8A" wp14:editId="426205B1">
          <wp:simplePos x="0" y="0"/>
          <wp:positionH relativeFrom="page">
            <wp:align>center</wp:align>
          </wp:positionH>
          <wp:positionV relativeFrom="page">
            <wp:posOffset>252095</wp:posOffset>
          </wp:positionV>
          <wp:extent cx="817200" cy="738000"/>
          <wp:effectExtent l="0" t="0" r="2540" b="5080"/>
          <wp:wrapTopAndBottom/>
          <wp:docPr id="1" name="Picture 1" descr="NEW ACFE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CFE logo Black"/>
                  <pic:cNvPicPr>
                    <a:picLocks noChangeAspect="1" noChangeArrowheads="1"/>
                  </pic:cNvPicPr>
                </pic:nvPicPr>
                <pic:blipFill rotWithShape="1">
                  <a:blip r:embed="rId1">
                    <a:extLst>
                      <a:ext uri="{28A0092B-C50C-407E-A947-70E740481C1C}">
                        <a14:useLocalDpi xmlns:a14="http://schemas.microsoft.com/office/drawing/2010/main" val="0"/>
                      </a:ext>
                    </a:extLst>
                  </a:blip>
                  <a:srcRect l="17148" t="19041" r="16642" b="16835"/>
                  <a:stretch/>
                </pic:blipFill>
                <pic:spPr bwMode="auto">
                  <a:xfrm>
                    <a:off x="0" y="0"/>
                    <a:ext cx="817200" cy="73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64E4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914957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D80D3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208F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41AD5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19A18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42892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9C8E0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23627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B5C4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3C82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0708BC"/>
    <w:multiLevelType w:val="hybridMultilevel"/>
    <w:tmpl w:val="6AA22728"/>
    <w:lvl w:ilvl="0" w:tplc="793A2D7A">
      <w:numFmt w:val="bullet"/>
      <w:lvlText w:val="•"/>
      <w:lvlJc w:val="left"/>
      <w:pPr>
        <w:ind w:left="720" w:hanging="360"/>
      </w:pPr>
      <w:rPr>
        <w:rFonts w:ascii="Calibri" w:eastAsiaTheme="minorHAns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B038BC"/>
    <w:multiLevelType w:val="hybridMultilevel"/>
    <w:tmpl w:val="C130D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E0D7DA2"/>
    <w:multiLevelType w:val="multilevel"/>
    <w:tmpl w:val="096840DC"/>
    <w:lvl w:ilvl="0">
      <w:start w:val="1"/>
      <w:numFmt w:val="decimal"/>
      <w:pStyle w:val="Tablenumberedparagraph"/>
      <w:lvlText w:val="%1."/>
      <w:lvlJc w:val="left"/>
      <w:pPr>
        <w:ind w:left="425" w:hanging="425"/>
      </w:pPr>
      <w:rPr>
        <w:rFonts w:hint="default"/>
      </w:rPr>
    </w:lvl>
    <w:lvl w:ilvl="1">
      <w:start w:val="1"/>
      <w:numFmt w:val="lowerLetter"/>
      <w:lvlText w:val="%2."/>
      <w:lvlJc w:val="left"/>
      <w:pPr>
        <w:ind w:left="851" w:hanging="426"/>
      </w:pPr>
      <w:rPr>
        <w:rFonts w:hint="default"/>
        <w:color w:val="auto"/>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4" w15:restartNumberingAfterBreak="0">
    <w:nsid w:val="211F4D92"/>
    <w:multiLevelType w:val="hybridMultilevel"/>
    <w:tmpl w:val="50F07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A42C03"/>
    <w:multiLevelType w:val="hybridMultilevel"/>
    <w:tmpl w:val="F32EF200"/>
    <w:lvl w:ilvl="0" w:tplc="D980C1D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C259C2"/>
    <w:multiLevelType w:val="hybridMultilevel"/>
    <w:tmpl w:val="6016C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740039"/>
    <w:multiLevelType w:val="hybridMultilevel"/>
    <w:tmpl w:val="7458F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1900D2"/>
    <w:multiLevelType w:val="hybridMultilevel"/>
    <w:tmpl w:val="290AC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FB0365"/>
    <w:multiLevelType w:val="hybridMultilevel"/>
    <w:tmpl w:val="CD549DDE"/>
    <w:lvl w:ilvl="0" w:tplc="793A2D7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7B4F6C"/>
    <w:multiLevelType w:val="hybridMultilevel"/>
    <w:tmpl w:val="7020E22A"/>
    <w:lvl w:ilvl="0" w:tplc="0D0CC5C4">
      <w:start w:val="1"/>
      <w:numFmt w:val="bullet"/>
      <w:pStyle w:va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F10659"/>
    <w:multiLevelType w:val="hybridMultilevel"/>
    <w:tmpl w:val="71ECE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5660C9"/>
    <w:multiLevelType w:val="hybridMultilevel"/>
    <w:tmpl w:val="E57C5CD8"/>
    <w:lvl w:ilvl="0" w:tplc="793A2D7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056282"/>
    <w:multiLevelType w:val="hybridMultilevel"/>
    <w:tmpl w:val="E4CC2B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1F3C2A"/>
    <w:multiLevelType w:val="hybridMultilevel"/>
    <w:tmpl w:val="F1CCAE9C"/>
    <w:lvl w:ilvl="0" w:tplc="27F68AFC">
      <w:start w:val="1"/>
      <w:numFmt w:val="bullet"/>
      <w:pStyle w:val="Strategyprioritie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22"/>
  </w:num>
  <w:num w:numId="4">
    <w:abstractNumId w:val="11"/>
  </w:num>
  <w:num w:numId="5">
    <w:abstractNumId w:val="19"/>
  </w:num>
  <w:num w:numId="6">
    <w:abstractNumId w:val="23"/>
  </w:num>
  <w:num w:numId="7">
    <w:abstractNumId w:val="13"/>
  </w:num>
  <w:num w:numId="8">
    <w:abstractNumId w:val="13"/>
  </w:num>
  <w:num w:numId="9">
    <w:abstractNumId w:val="20"/>
  </w:num>
  <w:num w:numId="10">
    <w:abstractNumId w:val="13"/>
  </w:num>
  <w:num w:numId="11">
    <w:abstractNumId w:val="16"/>
  </w:num>
  <w:num w:numId="12">
    <w:abstractNumId w:val="24"/>
  </w:num>
  <w:num w:numId="13">
    <w:abstractNumId w:val="12"/>
  </w:num>
  <w:num w:numId="14">
    <w:abstractNumId w:val="14"/>
  </w:num>
  <w:num w:numId="15">
    <w:abstractNumId w:val="18"/>
  </w:num>
  <w:num w:numId="16">
    <w:abstractNumId w:val="17"/>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removePersonalInformation/>
  <w:removeDateAndTime/>
  <w:proofState w:spelling="clean" w:grammar="clean"/>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94"/>
    <w:rsid w:val="000035AB"/>
    <w:rsid w:val="00003BB7"/>
    <w:rsid w:val="00005A03"/>
    <w:rsid w:val="00006F46"/>
    <w:rsid w:val="00012844"/>
    <w:rsid w:val="00016E3B"/>
    <w:rsid w:val="00017DF6"/>
    <w:rsid w:val="000208E3"/>
    <w:rsid w:val="00020F03"/>
    <w:rsid w:val="00027464"/>
    <w:rsid w:val="00027C85"/>
    <w:rsid w:val="00032ED6"/>
    <w:rsid w:val="00036D52"/>
    <w:rsid w:val="000411F2"/>
    <w:rsid w:val="0004288A"/>
    <w:rsid w:val="000439A2"/>
    <w:rsid w:val="00044490"/>
    <w:rsid w:val="000463AE"/>
    <w:rsid w:val="00047F0E"/>
    <w:rsid w:val="00053922"/>
    <w:rsid w:val="0005449A"/>
    <w:rsid w:val="0005489E"/>
    <w:rsid w:val="00054ABB"/>
    <w:rsid w:val="00061148"/>
    <w:rsid w:val="00065619"/>
    <w:rsid w:val="00073368"/>
    <w:rsid w:val="0007613A"/>
    <w:rsid w:val="0008410D"/>
    <w:rsid w:val="00087037"/>
    <w:rsid w:val="000907A0"/>
    <w:rsid w:val="000915C4"/>
    <w:rsid w:val="000960FE"/>
    <w:rsid w:val="00097DEE"/>
    <w:rsid w:val="000A54E7"/>
    <w:rsid w:val="000A57DE"/>
    <w:rsid w:val="000B2E93"/>
    <w:rsid w:val="000C0375"/>
    <w:rsid w:val="000D24D8"/>
    <w:rsid w:val="000D2C91"/>
    <w:rsid w:val="000D5F60"/>
    <w:rsid w:val="000D66BF"/>
    <w:rsid w:val="000E4B0F"/>
    <w:rsid w:val="000E5CA9"/>
    <w:rsid w:val="000E6B9E"/>
    <w:rsid w:val="000F0AD6"/>
    <w:rsid w:val="000F194C"/>
    <w:rsid w:val="000F27C0"/>
    <w:rsid w:val="000F6EC7"/>
    <w:rsid w:val="000F6ECC"/>
    <w:rsid w:val="000F6EDA"/>
    <w:rsid w:val="00102930"/>
    <w:rsid w:val="00104541"/>
    <w:rsid w:val="0010467F"/>
    <w:rsid w:val="0011041D"/>
    <w:rsid w:val="00113093"/>
    <w:rsid w:val="00113EA3"/>
    <w:rsid w:val="00114130"/>
    <w:rsid w:val="001170CA"/>
    <w:rsid w:val="00121598"/>
    <w:rsid w:val="0014019B"/>
    <w:rsid w:val="0014189A"/>
    <w:rsid w:val="001442EF"/>
    <w:rsid w:val="00144CD8"/>
    <w:rsid w:val="0016103D"/>
    <w:rsid w:val="00161E38"/>
    <w:rsid w:val="001649D2"/>
    <w:rsid w:val="001654F4"/>
    <w:rsid w:val="00167D08"/>
    <w:rsid w:val="00170DA5"/>
    <w:rsid w:val="0017301A"/>
    <w:rsid w:val="0017493C"/>
    <w:rsid w:val="00180365"/>
    <w:rsid w:val="00182EE0"/>
    <w:rsid w:val="0018345A"/>
    <w:rsid w:val="001969B0"/>
    <w:rsid w:val="00196B81"/>
    <w:rsid w:val="001A3250"/>
    <w:rsid w:val="001A5B2D"/>
    <w:rsid w:val="001A64C3"/>
    <w:rsid w:val="001B17BC"/>
    <w:rsid w:val="001B1AFF"/>
    <w:rsid w:val="001B1F52"/>
    <w:rsid w:val="001B43EC"/>
    <w:rsid w:val="001B7D18"/>
    <w:rsid w:val="001C0C06"/>
    <w:rsid w:val="001C4B36"/>
    <w:rsid w:val="001C5A5D"/>
    <w:rsid w:val="001D2BD2"/>
    <w:rsid w:val="001D651E"/>
    <w:rsid w:val="001D7E97"/>
    <w:rsid w:val="001E71DF"/>
    <w:rsid w:val="001E7750"/>
    <w:rsid w:val="0020035A"/>
    <w:rsid w:val="00201F4C"/>
    <w:rsid w:val="00204690"/>
    <w:rsid w:val="002079F7"/>
    <w:rsid w:val="00210000"/>
    <w:rsid w:val="0021504D"/>
    <w:rsid w:val="002171A8"/>
    <w:rsid w:val="00222266"/>
    <w:rsid w:val="002245D2"/>
    <w:rsid w:val="00226286"/>
    <w:rsid w:val="00226491"/>
    <w:rsid w:val="00226E6A"/>
    <w:rsid w:val="0022722F"/>
    <w:rsid w:val="002414B1"/>
    <w:rsid w:val="00241C0C"/>
    <w:rsid w:val="002515E4"/>
    <w:rsid w:val="00260F6E"/>
    <w:rsid w:val="002639E9"/>
    <w:rsid w:val="0026561A"/>
    <w:rsid w:val="00270F9F"/>
    <w:rsid w:val="00286F1F"/>
    <w:rsid w:val="00290349"/>
    <w:rsid w:val="002939E1"/>
    <w:rsid w:val="002A2878"/>
    <w:rsid w:val="002A3881"/>
    <w:rsid w:val="002A4ED1"/>
    <w:rsid w:val="002A71A8"/>
    <w:rsid w:val="002C2757"/>
    <w:rsid w:val="002C2A23"/>
    <w:rsid w:val="002C6A91"/>
    <w:rsid w:val="002D66D4"/>
    <w:rsid w:val="002F0DEB"/>
    <w:rsid w:val="002F2AED"/>
    <w:rsid w:val="002F3EB7"/>
    <w:rsid w:val="00312422"/>
    <w:rsid w:val="00315004"/>
    <w:rsid w:val="00315CAB"/>
    <w:rsid w:val="00321CCC"/>
    <w:rsid w:val="00325370"/>
    <w:rsid w:val="0032653E"/>
    <w:rsid w:val="0033232A"/>
    <w:rsid w:val="00334780"/>
    <w:rsid w:val="00342A29"/>
    <w:rsid w:val="003441E0"/>
    <w:rsid w:val="00346ED4"/>
    <w:rsid w:val="00347A76"/>
    <w:rsid w:val="00351AE9"/>
    <w:rsid w:val="0035311C"/>
    <w:rsid w:val="003536D4"/>
    <w:rsid w:val="00355482"/>
    <w:rsid w:val="00362F70"/>
    <w:rsid w:val="0036794C"/>
    <w:rsid w:val="00373D04"/>
    <w:rsid w:val="00393DE3"/>
    <w:rsid w:val="0039718B"/>
    <w:rsid w:val="003A0DF5"/>
    <w:rsid w:val="003A787B"/>
    <w:rsid w:val="003B0D2C"/>
    <w:rsid w:val="003B3B9C"/>
    <w:rsid w:val="003B5180"/>
    <w:rsid w:val="003C0626"/>
    <w:rsid w:val="003C31A1"/>
    <w:rsid w:val="003C7A32"/>
    <w:rsid w:val="003D28D1"/>
    <w:rsid w:val="003D5564"/>
    <w:rsid w:val="003D727C"/>
    <w:rsid w:val="003E0CE9"/>
    <w:rsid w:val="003E5BA3"/>
    <w:rsid w:val="003F08E8"/>
    <w:rsid w:val="003F0A02"/>
    <w:rsid w:val="003F0F58"/>
    <w:rsid w:val="003F1D29"/>
    <w:rsid w:val="003F1F44"/>
    <w:rsid w:val="003F48E8"/>
    <w:rsid w:val="003F685F"/>
    <w:rsid w:val="003F766F"/>
    <w:rsid w:val="00401F56"/>
    <w:rsid w:val="0041244D"/>
    <w:rsid w:val="00417777"/>
    <w:rsid w:val="00421748"/>
    <w:rsid w:val="00422360"/>
    <w:rsid w:val="004260B7"/>
    <w:rsid w:val="00427638"/>
    <w:rsid w:val="00427A8C"/>
    <w:rsid w:val="004341C2"/>
    <w:rsid w:val="0043431E"/>
    <w:rsid w:val="00444051"/>
    <w:rsid w:val="0045148C"/>
    <w:rsid w:val="0046129D"/>
    <w:rsid w:val="00461825"/>
    <w:rsid w:val="00464FC8"/>
    <w:rsid w:val="004749C8"/>
    <w:rsid w:val="00474BCB"/>
    <w:rsid w:val="0047705E"/>
    <w:rsid w:val="0048175B"/>
    <w:rsid w:val="00481A6D"/>
    <w:rsid w:val="00482AD7"/>
    <w:rsid w:val="00486955"/>
    <w:rsid w:val="00486B6A"/>
    <w:rsid w:val="00491BA6"/>
    <w:rsid w:val="004A1E78"/>
    <w:rsid w:val="004A36E4"/>
    <w:rsid w:val="004A4058"/>
    <w:rsid w:val="004B0A84"/>
    <w:rsid w:val="004B117B"/>
    <w:rsid w:val="004B1939"/>
    <w:rsid w:val="004B360E"/>
    <w:rsid w:val="004B4606"/>
    <w:rsid w:val="004B7BEC"/>
    <w:rsid w:val="004C0282"/>
    <w:rsid w:val="004C0D78"/>
    <w:rsid w:val="004C13B3"/>
    <w:rsid w:val="004C1670"/>
    <w:rsid w:val="004C1D69"/>
    <w:rsid w:val="004C1DE3"/>
    <w:rsid w:val="004C3434"/>
    <w:rsid w:val="004D1A90"/>
    <w:rsid w:val="004D2163"/>
    <w:rsid w:val="004D2EF3"/>
    <w:rsid w:val="004D2F09"/>
    <w:rsid w:val="004E2199"/>
    <w:rsid w:val="004F0A10"/>
    <w:rsid w:val="004F4067"/>
    <w:rsid w:val="004F42B6"/>
    <w:rsid w:val="00501BB1"/>
    <w:rsid w:val="005031E9"/>
    <w:rsid w:val="00515CDE"/>
    <w:rsid w:val="0051678D"/>
    <w:rsid w:val="0051717B"/>
    <w:rsid w:val="00520C2E"/>
    <w:rsid w:val="00521E21"/>
    <w:rsid w:val="00523533"/>
    <w:rsid w:val="005427A9"/>
    <w:rsid w:val="00542B62"/>
    <w:rsid w:val="00542DD4"/>
    <w:rsid w:val="0055124E"/>
    <w:rsid w:val="005565F3"/>
    <w:rsid w:val="00561A85"/>
    <w:rsid w:val="00562F7B"/>
    <w:rsid w:val="00565508"/>
    <w:rsid w:val="00566511"/>
    <w:rsid w:val="00571E3A"/>
    <w:rsid w:val="00585937"/>
    <w:rsid w:val="00587B49"/>
    <w:rsid w:val="00590A77"/>
    <w:rsid w:val="00591EBC"/>
    <w:rsid w:val="005952EF"/>
    <w:rsid w:val="005953A1"/>
    <w:rsid w:val="00595CA2"/>
    <w:rsid w:val="0059781C"/>
    <w:rsid w:val="005A1794"/>
    <w:rsid w:val="005A2406"/>
    <w:rsid w:val="005A58F3"/>
    <w:rsid w:val="005B09FA"/>
    <w:rsid w:val="005B4F36"/>
    <w:rsid w:val="005B5093"/>
    <w:rsid w:val="005B61FE"/>
    <w:rsid w:val="005C0AA7"/>
    <w:rsid w:val="005C6AAE"/>
    <w:rsid w:val="005D29F9"/>
    <w:rsid w:val="005D4105"/>
    <w:rsid w:val="005E0CA7"/>
    <w:rsid w:val="005E2120"/>
    <w:rsid w:val="005E33F5"/>
    <w:rsid w:val="005E376B"/>
    <w:rsid w:val="005E67DE"/>
    <w:rsid w:val="00600857"/>
    <w:rsid w:val="006048FC"/>
    <w:rsid w:val="0062071A"/>
    <w:rsid w:val="00627629"/>
    <w:rsid w:val="00627D98"/>
    <w:rsid w:val="00631ADC"/>
    <w:rsid w:val="006327FC"/>
    <w:rsid w:val="00632E64"/>
    <w:rsid w:val="006356BF"/>
    <w:rsid w:val="00636464"/>
    <w:rsid w:val="006441F3"/>
    <w:rsid w:val="006477F4"/>
    <w:rsid w:val="0065273C"/>
    <w:rsid w:val="00657906"/>
    <w:rsid w:val="00664BA9"/>
    <w:rsid w:val="006730C1"/>
    <w:rsid w:val="00683EEB"/>
    <w:rsid w:val="006927DF"/>
    <w:rsid w:val="00693BE5"/>
    <w:rsid w:val="00694EC3"/>
    <w:rsid w:val="006A1F33"/>
    <w:rsid w:val="006A39FC"/>
    <w:rsid w:val="006B046B"/>
    <w:rsid w:val="006B3523"/>
    <w:rsid w:val="006B59E8"/>
    <w:rsid w:val="006B7CFF"/>
    <w:rsid w:val="006C336B"/>
    <w:rsid w:val="006C5162"/>
    <w:rsid w:val="006C60AD"/>
    <w:rsid w:val="006D017C"/>
    <w:rsid w:val="006D12FB"/>
    <w:rsid w:val="006D3BA7"/>
    <w:rsid w:val="006D528A"/>
    <w:rsid w:val="006D5360"/>
    <w:rsid w:val="006E1A3F"/>
    <w:rsid w:val="006E67C7"/>
    <w:rsid w:val="006E6DAA"/>
    <w:rsid w:val="006F2128"/>
    <w:rsid w:val="006F6344"/>
    <w:rsid w:val="00702BE1"/>
    <w:rsid w:val="007126BB"/>
    <w:rsid w:val="00713CAB"/>
    <w:rsid w:val="00716850"/>
    <w:rsid w:val="00717020"/>
    <w:rsid w:val="00722642"/>
    <w:rsid w:val="00726D0D"/>
    <w:rsid w:val="00730AF8"/>
    <w:rsid w:val="00733E60"/>
    <w:rsid w:val="00733FC8"/>
    <w:rsid w:val="00736360"/>
    <w:rsid w:val="00741291"/>
    <w:rsid w:val="00745F85"/>
    <w:rsid w:val="007474DC"/>
    <w:rsid w:val="00751EF3"/>
    <w:rsid w:val="007530AE"/>
    <w:rsid w:val="00761C62"/>
    <w:rsid w:val="00762286"/>
    <w:rsid w:val="007643BC"/>
    <w:rsid w:val="007644AF"/>
    <w:rsid w:val="00764A14"/>
    <w:rsid w:val="00773203"/>
    <w:rsid w:val="0077436E"/>
    <w:rsid w:val="00777F87"/>
    <w:rsid w:val="00780AB5"/>
    <w:rsid w:val="007811B1"/>
    <w:rsid w:val="00785242"/>
    <w:rsid w:val="00785A3C"/>
    <w:rsid w:val="00794636"/>
    <w:rsid w:val="00795BB5"/>
    <w:rsid w:val="007A0D64"/>
    <w:rsid w:val="007A3099"/>
    <w:rsid w:val="007A6B98"/>
    <w:rsid w:val="007A7399"/>
    <w:rsid w:val="007B52DF"/>
    <w:rsid w:val="007B758C"/>
    <w:rsid w:val="007C1B57"/>
    <w:rsid w:val="007C3167"/>
    <w:rsid w:val="007D2275"/>
    <w:rsid w:val="007E0778"/>
    <w:rsid w:val="007E1B8F"/>
    <w:rsid w:val="007E31F4"/>
    <w:rsid w:val="007E51A5"/>
    <w:rsid w:val="007E6F0C"/>
    <w:rsid w:val="007E71CF"/>
    <w:rsid w:val="007F0F73"/>
    <w:rsid w:val="007F0FC8"/>
    <w:rsid w:val="007F0FF4"/>
    <w:rsid w:val="007F6F7C"/>
    <w:rsid w:val="00802C00"/>
    <w:rsid w:val="008042BF"/>
    <w:rsid w:val="00805F52"/>
    <w:rsid w:val="00806397"/>
    <w:rsid w:val="00806C0B"/>
    <w:rsid w:val="008074FD"/>
    <w:rsid w:val="00817EA5"/>
    <w:rsid w:val="008222FB"/>
    <w:rsid w:val="00822569"/>
    <w:rsid w:val="00822607"/>
    <w:rsid w:val="0084163B"/>
    <w:rsid w:val="008446E7"/>
    <w:rsid w:val="008518AD"/>
    <w:rsid w:val="00853F92"/>
    <w:rsid w:val="0085571C"/>
    <w:rsid w:val="00856B55"/>
    <w:rsid w:val="008578C4"/>
    <w:rsid w:val="00863A49"/>
    <w:rsid w:val="00875A1F"/>
    <w:rsid w:val="00882A07"/>
    <w:rsid w:val="00887299"/>
    <w:rsid w:val="00896A43"/>
    <w:rsid w:val="008A044D"/>
    <w:rsid w:val="008A3F1F"/>
    <w:rsid w:val="008A4D8C"/>
    <w:rsid w:val="008A5DDB"/>
    <w:rsid w:val="008B19C6"/>
    <w:rsid w:val="008B428A"/>
    <w:rsid w:val="008C15C7"/>
    <w:rsid w:val="008C1BF4"/>
    <w:rsid w:val="008C3CB4"/>
    <w:rsid w:val="008C6DD3"/>
    <w:rsid w:val="008C7011"/>
    <w:rsid w:val="008C7E50"/>
    <w:rsid w:val="008D2818"/>
    <w:rsid w:val="008D6287"/>
    <w:rsid w:val="008D6D26"/>
    <w:rsid w:val="008E0688"/>
    <w:rsid w:val="008E4AAC"/>
    <w:rsid w:val="008E4BE8"/>
    <w:rsid w:val="008E4F62"/>
    <w:rsid w:val="008E64EE"/>
    <w:rsid w:val="008F0632"/>
    <w:rsid w:val="008F2575"/>
    <w:rsid w:val="008F401A"/>
    <w:rsid w:val="008F636E"/>
    <w:rsid w:val="008F6EAC"/>
    <w:rsid w:val="009011B2"/>
    <w:rsid w:val="009013E4"/>
    <w:rsid w:val="00901870"/>
    <w:rsid w:val="009021B1"/>
    <w:rsid w:val="009029BC"/>
    <w:rsid w:val="009079C2"/>
    <w:rsid w:val="009104F8"/>
    <w:rsid w:val="00911A99"/>
    <w:rsid w:val="00914BD0"/>
    <w:rsid w:val="00915875"/>
    <w:rsid w:val="00916465"/>
    <w:rsid w:val="00924DF8"/>
    <w:rsid w:val="009261C0"/>
    <w:rsid w:val="00926CC3"/>
    <w:rsid w:val="00931D02"/>
    <w:rsid w:val="00932193"/>
    <w:rsid w:val="00935D2B"/>
    <w:rsid w:val="009365B4"/>
    <w:rsid w:val="0094056D"/>
    <w:rsid w:val="00941A8A"/>
    <w:rsid w:val="009502C7"/>
    <w:rsid w:val="00953902"/>
    <w:rsid w:val="00953A92"/>
    <w:rsid w:val="0095689E"/>
    <w:rsid w:val="00956DC8"/>
    <w:rsid w:val="009609D0"/>
    <w:rsid w:val="00961B43"/>
    <w:rsid w:val="009621FA"/>
    <w:rsid w:val="0096283D"/>
    <w:rsid w:val="00963311"/>
    <w:rsid w:val="00964689"/>
    <w:rsid w:val="009646A5"/>
    <w:rsid w:val="009670E9"/>
    <w:rsid w:val="0096796E"/>
    <w:rsid w:val="00967D8C"/>
    <w:rsid w:val="00970022"/>
    <w:rsid w:val="00970B2D"/>
    <w:rsid w:val="00971B3B"/>
    <w:rsid w:val="0097257B"/>
    <w:rsid w:val="00972BA2"/>
    <w:rsid w:val="009750DA"/>
    <w:rsid w:val="00981061"/>
    <w:rsid w:val="009814AF"/>
    <w:rsid w:val="00981F50"/>
    <w:rsid w:val="00982169"/>
    <w:rsid w:val="0098460A"/>
    <w:rsid w:val="00990D9D"/>
    <w:rsid w:val="00996988"/>
    <w:rsid w:val="009A1437"/>
    <w:rsid w:val="009A53E0"/>
    <w:rsid w:val="009A56CC"/>
    <w:rsid w:val="009B0D80"/>
    <w:rsid w:val="009B320D"/>
    <w:rsid w:val="009B474A"/>
    <w:rsid w:val="009B7344"/>
    <w:rsid w:val="009C206B"/>
    <w:rsid w:val="009C5178"/>
    <w:rsid w:val="009C71AF"/>
    <w:rsid w:val="009C7A25"/>
    <w:rsid w:val="009D166E"/>
    <w:rsid w:val="009D23A0"/>
    <w:rsid w:val="009E008B"/>
    <w:rsid w:val="009E2F7B"/>
    <w:rsid w:val="009F0C9B"/>
    <w:rsid w:val="00A02046"/>
    <w:rsid w:val="00A03351"/>
    <w:rsid w:val="00A03FC8"/>
    <w:rsid w:val="00A05D0F"/>
    <w:rsid w:val="00A10AD4"/>
    <w:rsid w:val="00A1167C"/>
    <w:rsid w:val="00A14DC9"/>
    <w:rsid w:val="00A15119"/>
    <w:rsid w:val="00A15FC7"/>
    <w:rsid w:val="00A23932"/>
    <w:rsid w:val="00A245BE"/>
    <w:rsid w:val="00A2714F"/>
    <w:rsid w:val="00A300EE"/>
    <w:rsid w:val="00A30BCB"/>
    <w:rsid w:val="00A317C9"/>
    <w:rsid w:val="00A324F0"/>
    <w:rsid w:val="00A32C29"/>
    <w:rsid w:val="00A334F8"/>
    <w:rsid w:val="00A33D2B"/>
    <w:rsid w:val="00A3439B"/>
    <w:rsid w:val="00A43B02"/>
    <w:rsid w:val="00A453F3"/>
    <w:rsid w:val="00A46ACA"/>
    <w:rsid w:val="00A51273"/>
    <w:rsid w:val="00A51746"/>
    <w:rsid w:val="00A67CCB"/>
    <w:rsid w:val="00A75005"/>
    <w:rsid w:val="00A75ACD"/>
    <w:rsid w:val="00A76ECC"/>
    <w:rsid w:val="00A87951"/>
    <w:rsid w:val="00A90897"/>
    <w:rsid w:val="00A90C02"/>
    <w:rsid w:val="00A924CE"/>
    <w:rsid w:val="00A92F31"/>
    <w:rsid w:val="00A937E2"/>
    <w:rsid w:val="00A93803"/>
    <w:rsid w:val="00AA03CB"/>
    <w:rsid w:val="00AA171B"/>
    <w:rsid w:val="00AA6307"/>
    <w:rsid w:val="00AB2A21"/>
    <w:rsid w:val="00AB484B"/>
    <w:rsid w:val="00AB50CB"/>
    <w:rsid w:val="00AB6E89"/>
    <w:rsid w:val="00AC1DE4"/>
    <w:rsid w:val="00AC6259"/>
    <w:rsid w:val="00AC6340"/>
    <w:rsid w:val="00AD0EC1"/>
    <w:rsid w:val="00AD775A"/>
    <w:rsid w:val="00AE10D5"/>
    <w:rsid w:val="00AE1F77"/>
    <w:rsid w:val="00AE1FE6"/>
    <w:rsid w:val="00AE29EB"/>
    <w:rsid w:val="00AE6EFF"/>
    <w:rsid w:val="00AE7DC1"/>
    <w:rsid w:val="00AF07F6"/>
    <w:rsid w:val="00AF1C5C"/>
    <w:rsid w:val="00AF2C34"/>
    <w:rsid w:val="00AF3706"/>
    <w:rsid w:val="00AF7316"/>
    <w:rsid w:val="00B002AF"/>
    <w:rsid w:val="00B0133A"/>
    <w:rsid w:val="00B11323"/>
    <w:rsid w:val="00B159DD"/>
    <w:rsid w:val="00B16304"/>
    <w:rsid w:val="00B21E0C"/>
    <w:rsid w:val="00B313F1"/>
    <w:rsid w:val="00B32BFA"/>
    <w:rsid w:val="00B404D3"/>
    <w:rsid w:val="00B410E8"/>
    <w:rsid w:val="00B41C26"/>
    <w:rsid w:val="00B4337D"/>
    <w:rsid w:val="00B472D3"/>
    <w:rsid w:val="00B4732C"/>
    <w:rsid w:val="00B47BF4"/>
    <w:rsid w:val="00B50B66"/>
    <w:rsid w:val="00B535B1"/>
    <w:rsid w:val="00B5582C"/>
    <w:rsid w:val="00B567B1"/>
    <w:rsid w:val="00B61A6B"/>
    <w:rsid w:val="00B62545"/>
    <w:rsid w:val="00B63C2E"/>
    <w:rsid w:val="00B653AA"/>
    <w:rsid w:val="00B67366"/>
    <w:rsid w:val="00B7082A"/>
    <w:rsid w:val="00B70F63"/>
    <w:rsid w:val="00B71E45"/>
    <w:rsid w:val="00B73E97"/>
    <w:rsid w:val="00B82D35"/>
    <w:rsid w:val="00B87838"/>
    <w:rsid w:val="00B87C95"/>
    <w:rsid w:val="00B87DAA"/>
    <w:rsid w:val="00B90A77"/>
    <w:rsid w:val="00B97F7C"/>
    <w:rsid w:val="00BA4510"/>
    <w:rsid w:val="00BB089B"/>
    <w:rsid w:val="00BB0D8A"/>
    <w:rsid w:val="00BB37C5"/>
    <w:rsid w:val="00BB40F8"/>
    <w:rsid w:val="00BB4491"/>
    <w:rsid w:val="00BB560B"/>
    <w:rsid w:val="00BC3068"/>
    <w:rsid w:val="00BC60D2"/>
    <w:rsid w:val="00BC6682"/>
    <w:rsid w:val="00BD0B33"/>
    <w:rsid w:val="00BD0DBE"/>
    <w:rsid w:val="00BD31E5"/>
    <w:rsid w:val="00BD50A2"/>
    <w:rsid w:val="00BD747A"/>
    <w:rsid w:val="00BE0D66"/>
    <w:rsid w:val="00BE2B54"/>
    <w:rsid w:val="00BE30EE"/>
    <w:rsid w:val="00BE4C72"/>
    <w:rsid w:val="00BE67BE"/>
    <w:rsid w:val="00BE6D74"/>
    <w:rsid w:val="00BF111E"/>
    <w:rsid w:val="00BF28C9"/>
    <w:rsid w:val="00C00F60"/>
    <w:rsid w:val="00C01152"/>
    <w:rsid w:val="00C01646"/>
    <w:rsid w:val="00C05B34"/>
    <w:rsid w:val="00C10E27"/>
    <w:rsid w:val="00C131E4"/>
    <w:rsid w:val="00C135A9"/>
    <w:rsid w:val="00C15BCC"/>
    <w:rsid w:val="00C21751"/>
    <w:rsid w:val="00C24AFA"/>
    <w:rsid w:val="00C42A1B"/>
    <w:rsid w:val="00C46084"/>
    <w:rsid w:val="00C4698D"/>
    <w:rsid w:val="00C473E1"/>
    <w:rsid w:val="00C5421E"/>
    <w:rsid w:val="00C54254"/>
    <w:rsid w:val="00C549BD"/>
    <w:rsid w:val="00C55987"/>
    <w:rsid w:val="00C56ACA"/>
    <w:rsid w:val="00C618E6"/>
    <w:rsid w:val="00C6348A"/>
    <w:rsid w:val="00C745D8"/>
    <w:rsid w:val="00C7577E"/>
    <w:rsid w:val="00C807AB"/>
    <w:rsid w:val="00C82C39"/>
    <w:rsid w:val="00C856E8"/>
    <w:rsid w:val="00C876BC"/>
    <w:rsid w:val="00C8791A"/>
    <w:rsid w:val="00C90AC6"/>
    <w:rsid w:val="00C934AE"/>
    <w:rsid w:val="00C94BBC"/>
    <w:rsid w:val="00C9655C"/>
    <w:rsid w:val="00C97850"/>
    <w:rsid w:val="00C978A3"/>
    <w:rsid w:val="00CA0A55"/>
    <w:rsid w:val="00CA17F5"/>
    <w:rsid w:val="00CA1CF2"/>
    <w:rsid w:val="00CB230F"/>
    <w:rsid w:val="00CB63FF"/>
    <w:rsid w:val="00CB6780"/>
    <w:rsid w:val="00CB7429"/>
    <w:rsid w:val="00CC432A"/>
    <w:rsid w:val="00CD2C16"/>
    <w:rsid w:val="00CD5163"/>
    <w:rsid w:val="00CD723C"/>
    <w:rsid w:val="00CE1186"/>
    <w:rsid w:val="00CF2EC1"/>
    <w:rsid w:val="00CF4760"/>
    <w:rsid w:val="00CF4B17"/>
    <w:rsid w:val="00D06F97"/>
    <w:rsid w:val="00D07ECC"/>
    <w:rsid w:val="00D11367"/>
    <w:rsid w:val="00D16DB7"/>
    <w:rsid w:val="00D21D2C"/>
    <w:rsid w:val="00D226F9"/>
    <w:rsid w:val="00D236D1"/>
    <w:rsid w:val="00D25EDD"/>
    <w:rsid w:val="00D27753"/>
    <w:rsid w:val="00D32C60"/>
    <w:rsid w:val="00D349D4"/>
    <w:rsid w:val="00D357CC"/>
    <w:rsid w:val="00D37617"/>
    <w:rsid w:val="00D40645"/>
    <w:rsid w:val="00D4257C"/>
    <w:rsid w:val="00D4444D"/>
    <w:rsid w:val="00D44BF2"/>
    <w:rsid w:val="00D522E3"/>
    <w:rsid w:val="00D53D29"/>
    <w:rsid w:val="00D53E1F"/>
    <w:rsid w:val="00D5540A"/>
    <w:rsid w:val="00D564EB"/>
    <w:rsid w:val="00D6526A"/>
    <w:rsid w:val="00D67654"/>
    <w:rsid w:val="00D74102"/>
    <w:rsid w:val="00D74CF8"/>
    <w:rsid w:val="00D76247"/>
    <w:rsid w:val="00D80594"/>
    <w:rsid w:val="00D85E60"/>
    <w:rsid w:val="00D90DCD"/>
    <w:rsid w:val="00D90EC7"/>
    <w:rsid w:val="00D96E34"/>
    <w:rsid w:val="00DA14C6"/>
    <w:rsid w:val="00DA15AD"/>
    <w:rsid w:val="00DA15F2"/>
    <w:rsid w:val="00DA4B0D"/>
    <w:rsid w:val="00DA4C6A"/>
    <w:rsid w:val="00DA5505"/>
    <w:rsid w:val="00DA699F"/>
    <w:rsid w:val="00DA7EF5"/>
    <w:rsid w:val="00DB0B9B"/>
    <w:rsid w:val="00DB1D4B"/>
    <w:rsid w:val="00DB2281"/>
    <w:rsid w:val="00DB6082"/>
    <w:rsid w:val="00DB6C0B"/>
    <w:rsid w:val="00DB6E21"/>
    <w:rsid w:val="00DC362E"/>
    <w:rsid w:val="00DC7B88"/>
    <w:rsid w:val="00DD0DEC"/>
    <w:rsid w:val="00DD4170"/>
    <w:rsid w:val="00DD6E3E"/>
    <w:rsid w:val="00DE29E2"/>
    <w:rsid w:val="00DE2B06"/>
    <w:rsid w:val="00DE2CD3"/>
    <w:rsid w:val="00DE57A0"/>
    <w:rsid w:val="00DE7D78"/>
    <w:rsid w:val="00DF1135"/>
    <w:rsid w:val="00DF1498"/>
    <w:rsid w:val="00DF373A"/>
    <w:rsid w:val="00E07098"/>
    <w:rsid w:val="00E11CEE"/>
    <w:rsid w:val="00E11D88"/>
    <w:rsid w:val="00E1512F"/>
    <w:rsid w:val="00E16683"/>
    <w:rsid w:val="00E21694"/>
    <w:rsid w:val="00E21EDA"/>
    <w:rsid w:val="00E22939"/>
    <w:rsid w:val="00E3543C"/>
    <w:rsid w:val="00E43AE9"/>
    <w:rsid w:val="00E53419"/>
    <w:rsid w:val="00E546C1"/>
    <w:rsid w:val="00E54D79"/>
    <w:rsid w:val="00E63955"/>
    <w:rsid w:val="00E65859"/>
    <w:rsid w:val="00E66E7D"/>
    <w:rsid w:val="00E67C5D"/>
    <w:rsid w:val="00E70025"/>
    <w:rsid w:val="00E75599"/>
    <w:rsid w:val="00E75ADC"/>
    <w:rsid w:val="00E75BB4"/>
    <w:rsid w:val="00E84717"/>
    <w:rsid w:val="00E854EA"/>
    <w:rsid w:val="00E9215D"/>
    <w:rsid w:val="00E92D47"/>
    <w:rsid w:val="00E97343"/>
    <w:rsid w:val="00EA119F"/>
    <w:rsid w:val="00EA28C1"/>
    <w:rsid w:val="00EA4B0E"/>
    <w:rsid w:val="00EB135D"/>
    <w:rsid w:val="00EB3DA3"/>
    <w:rsid w:val="00EB5E2E"/>
    <w:rsid w:val="00EB653A"/>
    <w:rsid w:val="00EC3F5E"/>
    <w:rsid w:val="00EC5880"/>
    <w:rsid w:val="00ED55D2"/>
    <w:rsid w:val="00EE14EA"/>
    <w:rsid w:val="00EE2094"/>
    <w:rsid w:val="00EE5218"/>
    <w:rsid w:val="00EE726A"/>
    <w:rsid w:val="00EF13F7"/>
    <w:rsid w:val="00EF6513"/>
    <w:rsid w:val="00F01879"/>
    <w:rsid w:val="00F0255E"/>
    <w:rsid w:val="00F057DA"/>
    <w:rsid w:val="00F05A6E"/>
    <w:rsid w:val="00F074CA"/>
    <w:rsid w:val="00F11C2F"/>
    <w:rsid w:val="00F144AE"/>
    <w:rsid w:val="00F250BB"/>
    <w:rsid w:val="00F25536"/>
    <w:rsid w:val="00F31250"/>
    <w:rsid w:val="00F31874"/>
    <w:rsid w:val="00F334D1"/>
    <w:rsid w:val="00F35230"/>
    <w:rsid w:val="00F35CB6"/>
    <w:rsid w:val="00F44F37"/>
    <w:rsid w:val="00F4779D"/>
    <w:rsid w:val="00F55CA3"/>
    <w:rsid w:val="00F56FAE"/>
    <w:rsid w:val="00F6606B"/>
    <w:rsid w:val="00F66A54"/>
    <w:rsid w:val="00F704F3"/>
    <w:rsid w:val="00F70C72"/>
    <w:rsid w:val="00F7168A"/>
    <w:rsid w:val="00F723FB"/>
    <w:rsid w:val="00F83ACD"/>
    <w:rsid w:val="00F84A64"/>
    <w:rsid w:val="00F85811"/>
    <w:rsid w:val="00F87756"/>
    <w:rsid w:val="00F94506"/>
    <w:rsid w:val="00F9723F"/>
    <w:rsid w:val="00FA0DA2"/>
    <w:rsid w:val="00FA7EF8"/>
    <w:rsid w:val="00FB7AE3"/>
    <w:rsid w:val="00FC386B"/>
    <w:rsid w:val="00FC47F8"/>
    <w:rsid w:val="00FC5365"/>
    <w:rsid w:val="00FC7DA1"/>
    <w:rsid w:val="00FD01CF"/>
    <w:rsid w:val="00FD1301"/>
    <w:rsid w:val="00FD216C"/>
    <w:rsid w:val="00FD2F7D"/>
    <w:rsid w:val="00FD3F8D"/>
    <w:rsid w:val="00FD450A"/>
    <w:rsid w:val="00FD4E40"/>
    <w:rsid w:val="00FE2795"/>
    <w:rsid w:val="00FE3F69"/>
    <w:rsid w:val="00FF04FA"/>
    <w:rsid w:val="00FF0C9E"/>
    <w:rsid w:val="00FF10DE"/>
    <w:rsid w:val="00FF27A5"/>
    <w:rsid w:val="00FF490A"/>
    <w:rsid w:val="00FF4A11"/>
    <w:rsid w:val="00FF5F95"/>
    <w:rsid w:val="00FF6EAA"/>
    <w:rsid w:val="00FF7E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053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5B"/>
    <w:pPr>
      <w:spacing w:after="60"/>
    </w:pPr>
  </w:style>
  <w:style w:type="paragraph" w:styleId="Heading1">
    <w:name w:val="heading 1"/>
    <w:basedOn w:val="Normal"/>
    <w:next w:val="Normal"/>
    <w:link w:val="Heading1Char"/>
    <w:uiPriority w:val="9"/>
    <w:qFormat/>
    <w:rsid w:val="008557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5571C"/>
    <w:pPr>
      <w:keepNext/>
      <w:keepLines/>
      <w:spacing w:before="24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85571C"/>
    <w:pPr>
      <w:keepNext/>
      <w:keepLines/>
      <w:spacing w:before="12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2A29"/>
    <w:pPr>
      <w:spacing w:after="12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2A2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42A29"/>
    <w:pPr>
      <w:ind w:left="720"/>
      <w:contextualSpacing/>
    </w:pPr>
  </w:style>
  <w:style w:type="table" w:styleId="TableGrid">
    <w:name w:val="Table Grid"/>
    <w:basedOn w:val="TableNormal"/>
    <w:uiPriority w:val="39"/>
    <w:rsid w:val="0034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2A29"/>
    <w:rPr>
      <w:sz w:val="16"/>
      <w:szCs w:val="16"/>
    </w:rPr>
  </w:style>
  <w:style w:type="paragraph" w:styleId="CommentText">
    <w:name w:val="annotation text"/>
    <w:basedOn w:val="Normal"/>
    <w:link w:val="CommentTextChar"/>
    <w:uiPriority w:val="99"/>
    <w:semiHidden/>
    <w:unhideWhenUsed/>
    <w:rsid w:val="00342A29"/>
    <w:pPr>
      <w:spacing w:line="240" w:lineRule="auto"/>
    </w:pPr>
    <w:rPr>
      <w:sz w:val="20"/>
      <w:szCs w:val="20"/>
    </w:rPr>
  </w:style>
  <w:style w:type="character" w:customStyle="1" w:styleId="CommentTextChar">
    <w:name w:val="Comment Text Char"/>
    <w:basedOn w:val="DefaultParagraphFont"/>
    <w:link w:val="CommentText"/>
    <w:uiPriority w:val="99"/>
    <w:semiHidden/>
    <w:rsid w:val="00342A29"/>
    <w:rPr>
      <w:sz w:val="20"/>
      <w:szCs w:val="20"/>
    </w:rPr>
  </w:style>
  <w:style w:type="paragraph" w:styleId="CommentSubject">
    <w:name w:val="annotation subject"/>
    <w:basedOn w:val="CommentText"/>
    <w:next w:val="CommentText"/>
    <w:link w:val="CommentSubjectChar"/>
    <w:uiPriority w:val="99"/>
    <w:semiHidden/>
    <w:unhideWhenUsed/>
    <w:rsid w:val="00342A29"/>
    <w:rPr>
      <w:b/>
      <w:bCs/>
    </w:rPr>
  </w:style>
  <w:style w:type="character" w:customStyle="1" w:styleId="CommentSubjectChar">
    <w:name w:val="Comment Subject Char"/>
    <w:basedOn w:val="CommentTextChar"/>
    <w:link w:val="CommentSubject"/>
    <w:uiPriority w:val="99"/>
    <w:semiHidden/>
    <w:rsid w:val="00342A29"/>
    <w:rPr>
      <w:b/>
      <w:bCs/>
      <w:sz w:val="20"/>
      <w:szCs w:val="20"/>
    </w:rPr>
  </w:style>
  <w:style w:type="paragraph" w:styleId="BalloonText">
    <w:name w:val="Balloon Text"/>
    <w:basedOn w:val="Normal"/>
    <w:link w:val="BalloonTextChar"/>
    <w:uiPriority w:val="99"/>
    <w:semiHidden/>
    <w:unhideWhenUsed/>
    <w:rsid w:val="00342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A29"/>
    <w:rPr>
      <w:rFonts w:ascii="Segoe UI" w:hAnsi="Segoe UI" w:cs="Segoe UI"/>
      <w:sz w:val="18"/>
      <w:szCs w:val="18"/>
    </w:rPr>
  </w:style>
  <w:style w:type="character" w:customStyle="1" w:styleId="Heading1Char">
    <w:name w:val="Heading 1 Char"/>
    <w:basedOn w:val="DefaultParagraphFont"/>
    <w:link w:val="Heading1"/>
    <w:uiPriority w:val="9"/>
    <w:rsid w:val="0085571C"/>
    <w:rPr>
      <w:rFonts w:asciiTheme="majorHAnsi" w:eastAsiaTheme="majorEastAsia" w:hAnsiTheme="majorHAnsi" w:cstheme="majorBidi"/>
      <w:color w:val="2E74B5" w:themeColor="accent1" w:themeShade="BF"/>
      <w:sz w:val="32"/>
      <w:szCs w:val="32"/>
    </w:rPr>
  </w:style>
  <w:style w:type="paragraph" w:customStyle="1" w:styleId="Normalbeforelist">
    <w:name w:val="Normal before list"/>
    <w:basedOn w:val="Normal"/>
    <w:next w:val="Bulletedlist"/>
    <w:qFormat/>
    <w:rsid w:val="00981F50"/>
    <w:pPr>
      <w:keepNext/>
      <w:spacing w:after="0"/>
    </w:pPr>
  </w:style>
  <w:style w:type="paragraph" w:customStyle="1" w:styleId="Tablenumberedparagraph">
    <w:name w:val="Table numbered paragraph"/>
    <w:basedOn w:val="ListParagraph"/>
    <w:rsid w:val="00B71E45"/>
    <w:pPr>
      <w:numPr>
        <w:numId w:val="7"/>
      </w:numPr>
      <w:spacing w:line="240" w:lineRule="auto"/>
    </w:pPr>
    <w:rPr>
      <w:sz w:val="18"/>
    </w:rPr>
  </w:style>
  <w:style w:type="paragraph" w:customStyle="1" w:styleId="Tabletext">
    <w:name w:val="Table text"/>
    <w:basedOn w:val="Normal"/>
    <w:rsid w:val="0048175B"/>
    <w:pPr>
      <w:spacing w:before="60" w:line="240" w:lineRule="auto"/>
    </w:pPr>
    <w:rPr>
      <w:sz w:val="18"/>
    </w:rPr>
  </w:style>
  <w:style w:type="paragraph" w:customStyle="1" w:styleId="Tableheading1">
    <w:name w:val="Table heading 1"/>
    <w:basedOn w:val="Tabletext"/>
    <w:qFormat/>
    <w:rsid w:val="00FF4A11"/>
    <w:pPr>
      <w:keepNext/>
      <w:outlineLvl w:val="1"/>
    </w:pPr>
    <w:rPr>
      <w:b/>
      <w:color w:val="FFFFFF" w:themeColor="background1"/>
    </w:rPr>
  </w:style>
  <w:style w:type="paragraph" w:customStyle="1" w:styleId="Tableheading2">
    <w:name w:val="Table heading 2"/>
    <w:basedOn w:val="Tabletext"/>
    <w:qFormat/>
    <w:rsid w:val="00FF4A11"/>
    <w:pPr>
      <w:keepNext/>
      <w:outlineLvl w:val="2"/>
    </w:pPr>
    <w:rPr>
      <w:color w:val="FFFFFF" w:themeColor="background1"/>
    </w:rPr>
  </w:style>
  <w:style w:type="paragraph" w:customStyle="1" w:styleId="Tableheading3">
    <w:name w:val="Table heading 3"/>
    <w:basedOn w:val="Tabletext"/>
    <w:rsid w:val="00FC47F8"/>
    <w:pPr>
      <w:keepNext/>
    </w:pPr>
  </w:style>
  <w:style w:type="paragraph" w:styleId="Subtitle">
    <w:name w:val="Subtitle"/>
    <w:basedOn w:val="Normal"/>
    <w:next w:val="Normal"/>
    <w:link w:val="SubtitleChar"/>
    <w:uiPriority w:val="11"/>
    <w:qFormat/>
    <w:rsid w:val="006B3523"/>
    <w:pPr>
      <w:numPr>
        <w:ilvl w:val="1"/>
      </w:numPr>
      <w:spacing w:after="160"/>
    </w:pPr>
    <w:rPr>
      <w:rFonts w:eastAsiaTheme="minorEastAsia"/>
      <w:caps/>
      <w:color w:val="5A5A5A" w:themeColor="text1" w:themeTint="A5"/>
      <w:spacing w:val="15"/>
    </w:rPr>
  </w:style>
  <w:style w:type="character" w:customStyle="1" w:styleId="SubtitleChar">
    <w:name w:val="Subtitle Char"/>
    <w:basedOn w:val="DefaultParagraphFont"/>
    <w:link w:val="Subtitle"/>
    <w:uiPriority w:val="11"/>
    <w:rsid w:val="006B3523"/>
    <w:rPr>
      <w:rFonts w:eastAsiaTheme="minorEastAsia"/>
      <w:caps/>
      <w:color w:val="5A5A5A" w:themeColor="text1" w:themeTint="A5"/>
      <w:spacing w:val="15"/>
    </w:rPr>
  </w:style>
  <w:style w:type="paragraph" w:customStyle="1" w:styleId="Listbulleted">
    <w:name w:val="List bulleted"/>
    <w:basedOn w:val="Tablenumberedparagraph"/>
    <w:qFormat/>
    <w:rsid w:val="002245D2"/>
    <w:pPr>
      <w:numPr>
        <w:numId w:val="0"/>
      </w:numPr>
      <w:ind w:left="426" w:hanging="142"/>
    </w:pPr>
    <w:rPr>
      <w:sz w:val="22"/>
    </w:rPr>
  </w:style>
  <w:style w:type="character" w:customStyle="1" w:styleId="Heading2Char">
    <w:name w:val="Heading 2 Char"/>
    <w:basedOn w:val="DefaultParagraphFont"/>
    <w:link w:val="Heading2"/>
    <w:uiPriority w:val="9"/>
    <w:rsid w:val="0085571C"/>
    <w:rPr>
      <w:rFonts w:asciiTheme="majorHAnsi" w:eastAsiaTheme="majorEastAsia" w:hAnsiTheme="majorHAnsi" w:cstheme="majorBidi"/>
      <w:color w:val="2E74B5" w:themeColor="accent1" w:themeShade="BF"/>
      <w:sz w:val="28"/>
      <w:szCs w:val="26"/>
    </w:rPr>
  </w:style>
  <w:style w:type="character" w:customStyle="1" w:styleId="Heading3Char">
    <w:name w:val="Heading 3 Char"/>
    <w:basedOn w:val="DefaultParagraphFont"/>
    <w:link w:val="Heading3"/>
    <w:uiPriority w:val="9"/>
    <w:rsid w:val="0085571C"/>
    <w:rPr>
      <w:rFonts w:asciiTheme="majorHAnsi" w:eastAsiaTheme="majorEastAsia" w:hAnsiTheme="majorHAnsi" w:cstheme="majorBidi"/>
      <w:color w:val="1F4D78" w:themeColor="accent1" w:themeShade="7F"/>
      <w:sz w:val="24"/>
      <w:szCs w:val="24"/>
    </w:rPr>
  </w:style>
  <w:style w:type="paragraph" w:customStyle="1" w:styleId="Heading3afterHeading2">
    <w:name w:val="Heading 3 after Heading 2"/>
    <w:basedOn w:val="Heading3"/>
    <w:rsid w:val="0085571C"/>
    <w:pPr>
      <w:spacing w:before="0"/>
    </w:pPr>
  </w:style>
  <w:style w:type="table" w:customStyle="1" w:styleId="TableGrid1">
    <w:name w:val="Table Grid1"/>
    <w:basedOn w:val="TableNormal"/>
    <w:next w:val="TableGrid"/>
    <w:uiPriority w:val="39"/>
    <w:rsid w:val="0090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C1DE3"/>
    <w:pPr>
      <w:keepNext/>
      <w:spacing w:before="360" w:after="120" w:line="240" w:lineRule="auto"/>
    </w:pPr>
    <w:rPr>
      <w:i/>
      <w:iCs/>
      <w:color w:val="44546A" w:themeColor="text2"/>
      <w:sz w:val="18"/>
      <w:szCs w:val="18"/>
    </w:rPr>
  </w:style>
  <w:style w:type="paragraph" w:customStyle="1" w:styleId="Bulletedlist">
    <w:name w:val="Bulleted list"/>
    <w:basedOn w:val="Tablenumberedparagraph"/>
    <w:qFormat/>
    <w:rsid w:val="00F44F37"/>
    <w:pPr>
      <w:numPr>
        <w:numId w:val="9"/>
      </w:numPr>
      <w:ind w:left="568" w:hanging="284"/>
    </w:pPr>
    <w:rPr>
      <w:sz w:val="22"/>
    </w:rPr>
  </w:style>
  <w:style w:type="paragraph" w:customStyle="1" w:styleId="Strategypriorities">
    <w:name w:val="Strategy priorities"/>
    <w:basedOn w:val="ListParagraph"/>
    <w:qFormat/>
    <w:rsid w:val="00DA7EF5"/>
    <w:pPr>
      <w:numPr>
        <w:numId w:val="12"/>
      </w:numPr>
      <w:spacing w:after="80"/>
      <w:ind w:left="357" w:hanging="357"/>
      <w:contextualSpacing w:val="0"/>
    </w:pPr>
  </w:style>
  <w:style w:type="paragraph" w:customStyle="1" w:styleId="Spacebetweentables">
    <w:name w:val="Space between tables"/>
    <w:basedOn w:val="Normal"/>
    <w:qFormat/>
    <w:rsid w:val="00C473E1"/>
    <w:pPr>
      <w:spacing w:after="0"/>
    </w:pPr>
    <w:rPr>
      <w:sz w:val="2"/>
      <w:szCs w:val="2"/>
    </w:rPr>
  </w:style>
  <w:style w:type="paragraph" w:styleId="Header">
    <w:name w:val="header"/>
    <w:basedOn w:val="Normal"/>
    <w:link w:val="HeaderChar"/>
    <w:uiPriority w:val="99"/>
    <w:unhideWhenUsed/>
    <w:rsid w:val="00084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10D"/>
  </w:style>
  <w:style w:type="paragraph" w:styleId="Footer">
    <w:name w:val="footer"/>
    <w:basedOn w:val="Normal"/>
    <w:link w:val="FooterChar"/>
    <w:uiPriority w:val="99"/>
    <w:unhideWhenUsed/>
    <w:rsid w:val="00084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10D"/>
  </w:style>
  <w:style w:type="paragraph" w:customStyle="1" w:styleId="Tabletextindented">
    <w:name w:val="Table text indented"/>
    <w:basedOn w:val="Tabletext"/>
    <w:rsid w:val="00E75BB4"/>
    <w:pPr>
      <w:spacing w:before="0" w:after="0"/>
      <w:ind w:left="284"/>
    </w:pPr>
  </w:style>
  <w:style w:type="paragraph" w:customStyle="1" w:styleId="Tabletextdateforindented">
    <w:name w:val="Table text date for indented"/>
    <w:basedOn w:val="Tabletext"/>
    <w:rsid w:val="00627D98"/>
    <w:pPr>
      <w:spacing w:before="0" w:after="0"/>
    </w:pPr>
  </w:style>
  <w:style w:type="paragraph" w:customStyle="1" w:styleId="Tabletextbeforeindented">
    <w:name w:val="Table text before indented"/>
    <w:basedOn w:val="Tabletext"/>
    <w:qFormat/>
    <w:rsid w:val="00355482"/>
    <w:pPr>
      <w:keepNext/>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openxmlformats.org/officeDocument/2006/relationships/customXml" Target="../customXml/item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8A437E-F30F-49E4-96AC-01C3EE3350A7}"/>
</file>

<file path=customXml/itemProps2.xml><?xml version="1.0" encoding="utf-8"?>
<ds:datastoreItem xmlns:ds="http://schemas.openxmlformats.org/officeDocument/2006/customXml" ds:itemID="{BBF79FE3-D2F8-43FC-87DE-29CBBD3D5CBF}"/>
</file>

<file path=customXml/itemProps3.xml><?xml version="1.0" encoding="utf-8"?>
<ds:datastoreItem xmlns:ds="http://schemas.openxmlformats.org/officeDocument/2006/customXml" ds:itemID="{82214D86-A011-4B74-8A52-CADB2AAA3FBC}"/>
</file>

<file path=customXml/itemProps4.xml><?xml version="1.0" encoding="utf-8"?>
<ds:datastoreItem xmlns:ds="http://schemas.openxmlformats.org/officeDocument/2006/customXml" ds:itemID="{AD26FCA3-3FA3-4949-9E78-EC1B8037FF12}"/>
</file>

<file path=docProps/app.xml><?xml version="1.0" encoding="utf-8"?>
<Properties xmlns="http://schemas.openxmlformats.org/officeDocument/2006/extended-properties" xmlns:vt="http://schemas.openxmlformats.org/officeDocument/2006/docPropsVTypes">
  <Template>Normal</Template>
  <TotalTime>0</TotalTime>
  <Pages>6</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2018-05-29T07:59:00Z</dcterms:created>
  <dcterms:modified xsi:type="dcterms:W3CDTF">2018-05-29T22:55:00Z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