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1F513" w14:textId="77777777" w:rsidR="007E21F5" w:rsidRPr="002828A7" w:rsidRDefault="002828A7" w:rsidP="002828A7">
      <w:pPr>
        <w:pStyle w:val="Title"/>
        <w:rPr>
          <w:rFonts w:ascii="Arial" w:hAnsi="Arial" w:cs="Arial"/>
        </w:rPr>
      </w:pPr>
      <w:bookmarkStart w:id="0" w:name="_GoBack"/>
      <w:bookmarkEnd w:id="0"/>
      <w:r w:rsidRPr="002828A7">
        <w:rPr>
          <w:rFonts w:ascii="Arial" w:hAnsi="Arial" w:cs="Arial"/>
        </w:rPr>
        <w:t>THE STATE OF VICTORIA’S CHILDREN REPORT 2018</w:t>
      </w:r>
    </w:p>
    <w:p w14:paraId="30D3D430" w14:textId="77777777" w:rsidR="002828A7" w:rsidRDefault="002828A7">
      <w:r>
        <w:br w:type="page"/>
      </w:r>
    </w:p>
    <w:p w14:paraId="497FF9B2" w14:textId="59C0514E" w:rsidR="002828A7" w:rsidRDefault="002828A7"/>
    <w:sdt>
      <w:sdtPr>
        <w:rPr>
          <w:rFonts w:asciiTheme="minorHAnsi" w:eastAsiaTheme="minorHAnsi" w:hAnsiTheme="minorHAnsi" w:cstheme="minorBidi"/>
          <w:b w:val="0"/>
          <w:bCs w:val="0"/>
          <w:color w:val="auto"/>
          <w:sz w:val="22"/>
          <w:szCs w:val="22"/>
          <w:lang w:val="en-AU"/>
        </w:rPr>
        <w:id w:val="-785277704"/>
        <w:docPartObj>
          <w:docPartGallery w:val="Table of Contents"/>
          <w:docPartUnique/>
        </w:docPartObj>
      </w:sdtPr>
      <w:sdtEndPr>
        <w:rPr>
          <w:noProof/>
        </w:rPr>
      </w:sdtEndPr>
      <w:sdtContent>
        <w:p w14:paraId="4D9B0DB6" w14:textId="77777777" w:rsidR="007851FC" w:rsidRDefault="007851FC">
          <w:pPr>
            <w:pStyle w:val="TOCHeading"/>
          </w:pPr>
          <w:r>
            <w:t>Table of Contents</w:t>
          </w:r>
        </w:p>
        <w:p w14:paraId="758D453D" w14:textId="1C5C3ACA" w:rsidR="00505C97" w:rsidRDefault="007851FC">
          <w:pPr>
            <w:pStyle w:val="TOC1"/>
            <w:tabs>
              <w:tab w:val="right" w:leader="dot" w:pos="9016"/>
            </w:tabs>
            <w:rPr>
              <w:rFonts w:eastAsiaTheme="minorEastAsia" w:cstheme="minorBidi"/>
              <w:b w:val="0"/>
              <w:bCs w:val="0"/>
              <w:caps w:val="0"/>
              <w:noProof/>
              <w:sz w:val="22"/>
              <w:szCs w:val="22"/>
              <w:lang w:eastAsia="en-AU"/>
            </w:rPr>
          </w:pPr>
          <w:r>
            <w:rPr>
              <w:b w:val="0"/>
              <w:bCs w:val="0"/>
            </w:rPr>
            <w:fldChar w:fldCharType="begin"/>
          </w:r>
          <w:r>
            <w:instrText xml:space="preserve"> TOC \o "1-3" \h \z \u </w:instrText>
          </w:r>
          <w:r>
            <w:rPr>
              <w:b w:val="0"/>
              <w:bCs w:val="0"/>
            </w:rPr>
            <w:fldChar w:fldCharType="separate"/>
          </w:r>
          <w:hyperlink w:anchor="_Toc33527726" w:history="1">
            <w:r w:rsidR="00505C97" w:rsidRPr="000C34E7">
              <w:rPr>
                <w:rStyle w:val="Hyperlink"/>
                <w:rFonts w:ascii="Arial" w:hAnsi="Arial" w:cs="Arial"/>
                <w:noProof/>
                <w:lang w:bidi="en-US"/>
              </w:rPr>
              <w:t>MINISTERIAL FOREWORD</w:t>
            </w:r>
            <w:r w:rsidR="00505C97">
              <w:rPr>
                <w:noProof/>
                <w:webHidden/>
              </w:rPr>
              <w:tab/>
            </w:r>
            <w:r w:rsidR="00505C97">
              <w:rPr>
                <w:noProof/>
                <w:webHidden/>
              </w:rPr>
              <w:fldChar w:fldCharType="begin"/>
            </w:r>
            <w:r w:rsidR="00505C97">
              <w:rPr>
                <w:noProof/>
                <w:webHidden/>
              </w:rPr>
              <w:instrText xml:space="preserve"> PAGEREF _Toc33527726 \h </w:instrText>
            </w:r>
            <w:r w:rsidR="00505C97">
              <w:rPr>
                <w:noProof/>
                <w:webHidden/>
              </w:rPr>
            </w:r>
            <w:r w:rsidR="00505C97">
              <w:rPr>
                <w:noProof/>
                <w:webHidden/>
              </w:rPr>
              <w:fldChar w:fldCharType="separate"/>
            </w:r>
            <w:r w:rsidR="00505C97">
              <w:rPr>
                <w:noProof/>
                <w:webHidden/>
              </w:rPr>
              <w:t>3</w:t>
            </w:r>
            <w:r w:rsidR="00505C97">
              <w:rPr>
                <w:noProof/>
                <w:webHidden/>
              </w:rPr>
              <w:fldChar w:fldCharType="end"/>
            </w:r>
          </w:hyperlink>
        </w:p>
        <w:p w14:paraId="47A631D7" w14:textId="0F12674E" w:rsidR="00505C97" w:rsidRDefault="0036403D">
          <w:pPr>
            <w:pStyle w:val="TOC1"/>
            <w:tabs>
              <w:tab w:val="right" w:leader="dot" w:pos="9016"/>
            </w:tabs>
            <w:rPr>
              <w:rFonts w:eastAsiaTheme="minorEastAsia" w:cstheme="minorBidi"/>
              <w:b w:val="0"/>
              <w:bCs w:val="0"/>
              <w:caps w:val="0"/>
              <w:noProof/>
              <w:sz w:val="22"/>
              <w:szCs w:val="22"/>
              <w:lang w:eastAsia="en-AU"/>
            </w:rPr>
          </w:pPr>
          <w:hyperlink w:anchor="_Toc33527727" w:history="1">
            <w:r w:rsidR="00505C97" w:rsidRPr="000C34E7">
              <w:rPr>
                <w:rStyle w:val="Hyperlink"/>
                <w:rFonts w:ascii="Arial" w:hAnsi="Arial" w:cs="Arial"/>
                <w:noProof/>
                <w:lang w:bidi="en-US"/>
              </w:rPr>
              <w:t>EXECUTIVE SUMMARY</w:t>
            </w:r>
            <w:r w:rsidR="00505C97">
              <w:rPr>
                <w:noProof/>
                <w:webHidden/>
              </w:rPr>
              <w:tab/>
            </w:r>
            <w:r w:rsidR="00505C97">
              <w:rPr>
                <w:noProof/>
                <w:webHidden/>
              </w:rPr>
              <w:fldChar w:fldCharType="begin"/>
            </w:r>
            <w:r w:rsidR="00505C97">
              <w:rPr>
                <w:noProof/>
                <w:webHidden/>
              </w:rPr>
              <w:instrText xml:space="preserve"> PAGEREF _Toc33527727 \h </w:instrText>
            </w:r>
            <w:r w:rsidR="00505C97">
              <w:rPr>
                <w:noProof/>
                <w:webHidden/>
              </w:rPr>
            </w:r>
            <w:r w:rsidR="00505C97">
              <w:rPr>
                <w:noProof/>
                <w:webHidden/>
              </w:rPr>
              <w:fldChar w:fldCharType="separate"/>
            </w:r>
            <w:r w:rsidR="00505C97">
              <w:rPr>
                <w:noProof/>
                <w:webHidden/>
              </w:rPr>
              <w:t>6</w:t>
            </w:r>
            <w:r w:rsidR="00505C97">
              <w:rPr>
                <w:noProof/>
                <w:webHidden/>
              </w:rPr>
              <w:fldChar w:fldCharType="end"/>
            </w:r>
          </w:hyperlink>
        </w:p>
        <w:p w14:paraId="4DD2E889" w14:textId="310B7CC7" w:rsidR="00505C97" w:rsidRDefault="0036403D">
          <w:pPr>
            <w:pStyle w:val="TOC2"/>
            <w:tabs>
              <w:tab w:val="right" w:leader="dot" w:pos="9016"/>
            </w:tabs>
            <w:rPr>
              <w:rFonts w:eastAsiaTheme="minorEastAsia" w:cstheme="minorBidi"/>
              <w:smallCaps w:val="0"/>
              <w:noProof/>
              <w:sz w:val="22"/>
              <w:szCs w:val="22"/>
              <w:lang w:eastAsia="en-AU"/>
            </w:rPr>
          </w:pPr>
          <w:hyperlink w:anchor="_Toc33527728" w:history="1">
            <w:r w:rsidR="00505C97" w:rsidRPr="000C34E7">
              <w:rPr>
                <w:rStyle w:val="Hyperlink"/>
                <w:rFonts w:ascii="Arial" w:hAnsi="Arial" w:cs="Arial"/>
                <w:noProof/>
              </w:rPr>
              <w:t>Strengths</w:t>
            </w:r>
            <w:r w:rsidR="00505C97">
              <w:rPr>
                <w:noProof/>
                <w:webHidden/>
              </w:rPr>
              <w:tab/>
            </w:r>
            <w:r w:rsidR="00505C97">
              <w:rPr>
                <w:noProof/>
                <w:webHidden/>
              </w:rPr>
              <w:fldChar w:fldCharType="begin"/>
            </w:r>
            <w:r w:rsidR="00505C97">
              <w:rPr>
                <w:noProof/>
                <w:webHidden/>
              </w:rPr>
              <w:instrText xml:space="preserve"> PAGEREF _Toc33527728 \h </w:instrText>
            </w:r>
            <w:r w:rsidR="00505C97">
              <w:rPr>
                <w:noProof/>
                <w:webHidden/>
              </w:rPr>
            </w:r>
            <w:r w:rsidR="00505C97">
              <w:rPr>
                <w:noProof/>
                <w:webHidden/>
              </w:rPr>
              <w:fldChar w:fldCharType="separate"/>
            </w:r>
            <w:r w:rsidR="00505C97">
              <w:rPr>
                <w:noProof/>
                <w:webHidden/>
              </w:rPr>
              <w:t>6</w:t>
            </w:r>
            <w:r w:rsidR="00505C97">
              <w:rPr>
                <w:noProof/>
                <w:webHidden/>
              </w:rPr>
              <w:fldChar w:fldCharType="end"/>
            </w:r>
          </w:hyperlink>
        </w:p>
        <w:p w14:paraId="2F2FAB09" w14:textId="1CB51F6E" w:rsidR="00505C97" w:rsidRDefault="0036403D">
          <w:pPr>
            <w:pStyle w:val="TOC2"/>
            <w:tabs>
              <w:tab w:val="right" w:leader="dot" w:pos="9016"/>
            </w:tabs>
            <w:rPr>
              <w:rFonts w:eastAsiaTheme="minorEastAsia" w:cstheme="minorBidi"/>
              <w:smallCaps w:val="0"/>
              <w:noProof/>
              <w:sz w:val="22"/>
              <w:szCs w:val="22"/>
              <w:lang w:eastAsia="en-AU"/>
            </w:rPr>
          </w:pPr>
          <w:hyperlink w:anchor="_Toc33527729" w:history="1">
            <w:r w:rsidR="00505C97" w:rsidRPr="000C34E7">
              <w:rPr>
                <w:rStyle w:val="Hyperlink"/>
                <w:rFonts w:ascii="Arial" w:hAnsi="Arial" w:cs="Arial"/>
                <w:noProof/>
              </w:rPr>
              <w:t>Watchpoints</w:t>
            </w:r>
            <w:r w:rsidR="00505C97">
              <w:rPr>
                <w:noProof/>
                <w:webHidden/>
              </w:rPr>
              <w:tab/>
            </w:r>
            <w:r w:rsidR="00505C97">
              <w:rPr>
                <w:noProof/>
                <w:webHidden/>
              </w:rPr>
              <w:fldChar w:fldCharType="begin"/>
            </w:r>
            <w:r w:rsidR="00505C97">
              <w:rPr>
                <w:noProof/>
                <w:webHidden/>
              </w:rPr>
              <w:instrText xml:space="preserve"> PAGEREF _Toc33527729 \h </w:instrText>
            </w:r>
            <w:r w:rsidR="00505C97">
              <w:rPr>
                <w:noProof/>
                <w:webHidden/>
              </w:rPr>
            </w:r>
            <w:r w:rsidR="00505C97">
              <w:rPr>
                <w:noProof/>
                <w:webHidden/>
              </w:rPr>
              <w:fldChar w:fldCharType="separate"/>
            </w:r>
            <w:r w:rsidR="00505C97">
              <w:rPr>
                <w:noProof/>
                <w:webHidden/>
              </w:rPr>
              <w:t>6</w:t>
            </w:r>
            <w:r w:rsidR="00505C97">
              <w:rPr>
                <w:noProof/>
                <w:webHidden/>
              </w:rPr>
              <w:fldChar w:fldCharType="end"/>
            </w:r>
          </w:hyperlink>
        </w:p>
        <w:p w14:paraId="52C134E3" w14:textId="04829CB8" w:rsidR="00505C97" w:rsidRDefault="0036403D">
          <w:pPr>
            <w:pStyle w:val="TOC1"/>
            <w:tabs>
              <w:tab w:val="right" w:leader="dot" w:pos="9016"/>
            </w:tabs>
            <w:rPr>
              <w:rFonts w:eastAsiaTheme="minorEastAsia" w:cstheme="minorBidi"/>
              <w:b w:val="0"/>
              <w:bCs w:val="0"/>
              <w:caps w:val="0"/>
              <w:noProof/>
              <w:sz w:val="22"/>
              <w:szCs w:val="22"/>
              <w:lang w:eastAsia="en-AU"/>
            </w:rPr>
          </w:pPr>
          <w:hyperlink w:anchor="_Toc33527730" w:history="1">
            <w:r w:rsidR="00505C97" w:rsidRPr="000C34E7">
              <w:rPr>
                <w:rStyle w:val="Hyperlink"/>
                <w:rFonts w:ascii="Arial" w:hAnsi="Arial" w:cs="Arial"/>
                <w:noProof/>
                <w:lang w:bidi="en-US"/>
              </w:rPr>
              <w:t>INTRODUCTION</w:t>
            </w:r>
            <w:r w:rsidR="00505C97">
              <w:rPr>
                <w:noProof/>
                <w:webHidden/>
              </w:rPr>
              <w:tab/>
            </w:r>
            <w:r w:rsidR="00505C97">
              <w:rPr>
                <w:noProof/>
                <w:webHidden/>
              </w:rPr>
              <w:fldChar w:fldCharType="begin"/>
            </w:r>
            <w:r w:rsidR="00505C97">
              <w:rPr>
                <w:noProof/>
                <w:webHidden/>
              </w:rPr>
              <w:instrText xml:space="preserve"> PAGEREF _Toc33527730 \h </w:instrText>
            </w:r>
            <w:r w:rsidR="00505C97">
              <w:rPr>
                <w:noProof/>
                <w:webHidden/>
              </w:rPr>
            </w:r>
            <w:r w:rsidR="00505C97">
              <w:rPr>
                <w:noProof/>
                <w:webHidden/>
              </w:rPr>
              <w:fldChar w:fldCharType="separate"/>
            </w:r>
            <w:r w:rsidR="00505C97">
              <w:rPr>
                <w:noProof/>
                <w:webHidden/>
              </w:rPr>
              <w:t>8</w:t>
            </w:r>
            <w:r w:rsidR="00505C97">
              <w:rPr>
                <w:noProof/>
                <w:webHidden/>
              </w:rPr>
              <w:fldChar w:fldCharType="end"/>
            </w:r>
          </w:hyperlink>
        </w:p>
        <w:p w14:paraId="5916C048" w14:textId="0F62D3E1" w:rsidR="00505C97" w:rsidRDefault="0036403D">
          <w:pPr>
            <w:pStyle w:val="TOC1"/>
            <w:tabs>
              <w:tab w:val="right" w:leader="dot" w:pos="9016"/>
            </w:tabs>
            <w:rPr>
              <w:rFonts w:eastAsiaTheme="minorEastAsia" w:cstheme="minorBidi"/>
              <w:b w:val="0"/>
              <w:bCs w:val="0"/>
              <w:caps w:val="0"/>
              <w:noProof/>
              <w:sz w:val="22"/>
              <w:szCs w:val="22"/>
              <w:lang w:eastAsia="en-AU"/>
            </w:rPr>
          </w:pPr>
          <w:hyperlink w:anchor="_Toc33527731" w:history="1">
            <w:r w:rsidR="00505C97" w:rsidRPr="000C34E7">
              <w:rPr>
                <w:rStyle w:val="Hyperlink"/>
                <w:rFonts w:ascii="Arial" w:hAnsi="Arial" w:cs="Arial"/>
                <w:noProof/>
                <w:lang w:bidi="en-US"/>
              </w:rPr>
              <w:t>DEMOGRAPHICS OF VICTORIA’S YOUNG PEOPLE</w:t>
            </w:r>
            <w:r w:rsidR="00505C97">
              <w:rPr>
                <w:noProof/>
                <w:webHidden/>
              </w:rPr>
              <w:tab/>
            </w:r>
            <w:r w:rsidR="00505C97">
              <w:rPr>
                <w:noProof/>
                <w:webHidden/>
              </w:rPr>
              <w:fldChar w:fldCharType="begin"/>
            </w:r>
            <w:r w:rsidR="00505C97">
              <w:rPr>
                <w:noProof/>
                <w:webHidden/>
              </w:rPr>
              <w:instrText xml:space="preserve"> PAGEREF _Toc33527731 \h </w:instrText>
            </w:r>
            <w:r w:rsidR="00505C97">
              <w:rPr>
                <w:noProof/>
                <w:webHidden/>
              </w:rPr>
            </w:r>
            <w:r w:rsidR="00505C97">
              <w:rPr>
                <w:noProof/>
                <w:webHidden/>
              </w:rPr>
              <w:fldChar w:fldCharType="separate"/>
            </w:r>
            <w:r w:rsidR="00505C97">
              <w:rPr>
                <w:noProof/>
                <w:webHidden/>
              </w:rPr>
              <w:t>11</w:t>
            </w:r>
            <w:r w:rsidR="00505C97">
              <w:rPr>
                <w:noProof/>
                <w:webHidden/>
              </w:rPr>
              <w:fldChar w:fldCharType="end"/>
            </w:r>
          </w:hyperlink>
        </w:p>
        <w:p w14:paraId="58DB5F80" w14:textId="4B6E1EBB" w:rsidR="00505C97" w:rsidRDefault="0036403D">
          <w:pPr>
            <w:pStyle w:val="TOC1"/>
            <w:tabs>
              <w:tab w:val="right" w:leader="dot" w:pos="9016"/>
            </w:tabs>
            <w:rPr>
              <w:rFonts w:eastAsiaTheme="minorEastAsia" w:cstheme="minorBidi"/>
              <w:b w:val="0"/>
              <w:bCs w:val="0"/>
              <w:caps w:val="0"/>
              <w:noProof/>
              <w:sz w:val="22"/>
              <w:szCs w:val="22"/>
              <w:lang w:eastAsia="en-AU"/>
            </w:rPr>
          </w:pPr>
          <w:hyperlink w:anchor="_Toc33527732" w:history="1">
            <w:r w:rsidR="00505C97" w:rsidRPr="000C34E7">
              <w:rPr>
                <w:rStyle w:val="Hyperlink"/>
                <w:rFonts w:ascii="Arial" w:hAnsi="Arial" w:cs="Arial"/>
                <w:noProof/>
                <w:lang w:bidi="en-US"/>
              </w:rPr>
              <w:t>PHYSICAL HEALTH</w:t>
            </w:r>
            <w:r w:rsidR="00505C97">
              <w:rPr>
                <w:noProof/>
                <w:webHidden/>
              </w:rPr>
              <w:tab/>
            </w:r>
            <w:r w:rsidR="00505C97">
              <w:rPr>
                <w:noProof/>
                <w:webHidden/>
              </w:rPr>
              <w:fldChar w:fldCharType="begin"/>
            </w:r>
            <w:r w:rsidR="00505C97">
              <w:rPr>
                <w:noProof/>
                <w:webHidden/>
              </w:rPr>
              <w:instrText xml:space="preserve"> PAGEREF _Toc33527732 \h </w:instrText>
            </w:r>
            <w:r w:rsidR="00505C97">
              <w:rPr>
                <w:noProof/>
                <w:webHidden/>
              </w:rPr>
            </w:r>
            <w:r w:rsidR="00505C97">
              <w:rPr>
                <w:noProof/>
                <w:webHidden/>
              </w:rPr>
              <w:fldChar w:fldCharType="separate"/>
            </w:r>
            <w:r w:rsidR="00505C97">
              <w:rPr>
                <w:noProof/>
                <w:webHidden/>
              </w:rPr>
              <w:t>14</w:t>
            </w:r>
            <w:r w:rsidR="00505C97">
              <w:rPr>
                <w:noProof/>
                <w:webHidden/>
              </w:rPr>
              <w:fldChar w:fldCharType="end"/>
            </w:r>
          </w:hyperlink>
        </w:p>
        <w:p w14:paraId="72EB8711" w14:textId="1CA1FDED" w:rsidR="00505C97" w:rsidRDefault="0036403D">
          <w:pPr>
            <w:pStyle w:val="TOC2"/>
            <w:tabs>
              <w:tab w:val="right" w:leader="dot" w:pos="9016"/>
            </w:tabs>
            <w:rPr>
              <w:rFonts w:eastAsiaTheme="minorEastAsia" w:cstheme="minorBidi"/>
              <w:smallCaps w:val="0"/>
              <w:noProof/>
              <w:sz w:val="22"/>
              <w:szCs w:val="22"/>
              <w:lang w:eastAsia="en-AU"/>
            </w:rPr>
          </w:pPr>
          <w:hyperlink w:anchor="_Toc33527733" w:history="1">
            <w:r w:rsidR="00505C97" w:rsidRPr="000C34E7">
              <w:rPr>
                <w:rStyle w:val="Hyperlink"/>
                <w:rFonts w:ascii="Arial" w:hAnsi="Arial" w:cs="Arial"/>
                <w:noProof/>
              </w:rPr>
              <w:t>INFOGRAPHIC SUMMARY</w:t>
            </w:r>
            <w:r w:rsidR="00505C97">
              <w:rPr>
                <w:noProof/>
                <w:webHidden/>
              </w:rPr>
              <w:tab/>
            </w:r>
            <w:r w:rsidR="00505C97">
              <w:rPr>
                <w:noProof/>
                <w:webHidden/>
              </w:rPr>
              <w:fldChar w:fldCharType="begin"/>
            </w:r>
            <w:r w:rsidR="00505C97">
              <w:rPr>
                <w:noProof/>
                <w:webHidden/>
              </w:rPr>
              <w:instrText xml:space="preserve"> PAGEREF _Toc33527733 \h </w:instrText>
            </w:r>
            <w:r w:rsidR="00505C97">
              <w:rPr>
                <w:noProof/>
                <w:webHidden/>
              </w:rPr>
            </w:r>
            <w:r w:rsidR="00505C97">
              <w:rPr>
                <w:noProof/>
                <w:webHidden/>
              </w:rPr>
              <w:fldChar w:fldCharType="separate"/>
            </w:r>
            <w:r w:rsidR="00505C97">
              <w:rPr>
                <w:noProof/>
                <w:webHidden/>
              </w:rPr>
              <w:t>14</w:t>
            </w:r>
            <w:r w:rsidR="00505C97">
              <w:rPr>
                <w:noProof/>
                <w:webHidden/>
              </w:rPr>
              <w:fldChar w:fldCharType="end"/>
            </w:r>
          </w:hyperlink>
        </w:p>
        <w:p w14:paraId="50A981A6" w14:textId="43BC057D" w:rsidR="00505C97" w:rsidRDefault="0036403D">
          <w:pPr>
            <w:pStyle w:val="TOC2"/>
            <w:tabs>
              <w:tab w:val="right" w:leader="dot" w:pos="9016"/>
            </w:tabs>
            <w:rPr>
              <w:rFonts w:eastAsiaTheme="minorEastAsia" w:cstheme="minorBidi"/>
              <w:smallCaps w:val="0"/>
              <w:noProof/>
              <w:sz w:val="22"/>
              <w:szCs w:val="22"/>
              <w:lang w:eastAsia="en-AU"/>
            </w:rPr>
          </w:pPr>
          <w:hyperlink w:anchor="_Toc33527734" w:history="1">
            <w:r w:rsidR="00505C97" w:rsidRPr="000C34E7">
              <w:rPr>
                <w:rStyle w:val="Hyperlink"/>
                <w:rFonts w:ascii="Arial" w:hAnsi="Arial" w:cs="Arial"/>
                <w:noProof/>
              </w:rPr>
              <w:t>INTRODUCTION</w:t>
            </w:r>
            <w:r w:rsidR="00505C97">
              <w:rPr>
                <w:noProof/>
                <w:webHidden/>
              </w:rPr>
              <w:tab/>
            </w:r>
            <w:r w:rsidR="00505C97">
              <w:rPr>
                <w:noProof/>
                <w:webHidden/>
              </w:rPr>
              <w:fldChar w:fldCharType="begin"/>
            </w:r>
            <w:r w:rsidR="00505C97">
              <w:rPr>
                <w:noProof/>
                <w:webHidden/>
              </w:rPr>
              <w:instrText xml:space="preserve"> PAGEREF _Toc33527734 \h </w:instrText>
            </w:r>
            <w:r w:rsidR="00505C97">
              <w:rPr>
                <w:noProof/>
                <w:webHidden/>
              </w:rPr>
            </w:r>
            <w:r w:rsidR="00505C97">
              <w:rPr>
                <w:noProof/>
                <w:webHidden/>
              </w:rPr>
              <w:fldChar w:fldCharType="separate"/>
            </w:r>
            <w:r w:rsidR="00505C97">
              <w:rPr>
                <w:noProof/>
                <w:webHidden/>
              </w:rPr>
              <w:t>16</w:t>
            </w:r>
            <w:r w:rsidR="00505C97">
              <w:rPr>
                <w:noProof/>
                <w:webHidden/>
              </w:rPr>
              <w:fldChar w:fldCharType="end"/>
            </w:r>
          </w:hyperlink>
        </w:p>
        <w:p w14:paraId="11DF9B7E" w14:textId="450174C1" w:rsidR="00505C97" w:rsidRDefault="0036403D">
          <w:pPr>
            <w:pStyle w:val="TOC3"/>
            <w:tabs>
              <w:tab w:val="left" w:pos="1100"/>
              <w:tab w:val="right" w:leader="dot" w:pos="9016"/>
            </w:tabs>
            <w:rPr>
              <w:rFonts w:eastAsiaTheme="minorEastAsia" w:cstheme="minorBidi"/>
              <w:i w:val="0"/>
              <w:iCs w:val="0"/>
              <w:noProof/>
              <w:sz w:val="22"/>
              <w:szCs w:val="22"/>
              <w:lang w:eastAsia="en-AU"/>
            </w:rPr>
          </w:pPr>
          <w:hyperlink w:anchor="_Toc33527735" w:history="1">
            <w:r w:rsidR="00505C97" w:rsidRPr="000C34E7">
              <w:rPr>
                <w:rStyle w:val="Hyperlink"/>
                <w:rFonts w:ascii="Arial" w:hAnsi="Arial" w:cs="Arial"/>
                <w:noProof/>
              </w:rPr>
              <w:t>2.1</w:t>
            </w:r>
            <w:r w:rsidR="00505C97">
              <w:rPr>
                <w:rFonts w:eastAsiaTheme="minorEastAsia" w:cstheme="minorBidi"/>
                <w:i w:val="0"/>
                <w:iCs w:val="0"/>
                <w:noProof/>
                <w:sz w:val="22"/>
                <w:szCs w:val="22"/>
                <w:lang w:eastAsia="en-AU"/>
              </w:rPr>
              <w:tab/>
            </w:r>
            <w:r w:rsidR="00505C97" w:rsidRPr="000C34E7">
              <w:rPr>
                <w:rStyle w:val="Hyperlink"/>
                <w:rFonts w:ascii="Arial" w:hAnsi="Arial" w:cs="Arial"/>
                <w:noProof/>
              </w:rPr>
              <w:t>Most adolescents report good health</w:t>
            </w:r>
            <w:r w:rsidR="00505C97">
              <w:rPr>
                <w:noProof/>
                <w:webHidden/>
              </w:rPr>
              <w:tab/>
            </w:r>
            <w:r w:rsidR="00505C97">
              <w:rPr>
                <w:noProof/>
                <w:webHidden/>
              </w:rPr>
              <w:fldChar w:fldCharType="begin"/>
            </w:r>
            <w:r w:rsidR="00505C97">
              <w:rPr>
                <w:noProof/>
                <w:webHidden/>
              </w:rPr>
              <w:instrText xml:space="preserve"> PAGEREF _Toc33527735 \h </w:instrText>
            </w:r>
            <w:r w:rsidR="00505C97">
              <w:rPr>
                <w:noProof/>
                <w:webHidden/>
              </w:rPr>
            </w:r>
            <w:r w:rsidR="00505C97">
              <w:rPr>
                <w:noProof/>
                <w:webHidden/>
              </w:rPr>
              <w:fldChar w:fldCharType="separate"/>
            </w:r>
            <w:r w:rsidR="00505C97">
              <w:rPr>
                <w:noProof/>
                <w:webHidden/>
              </w:rPr>
              <w:t>16</w:t>
            </w:r>
            <w:r w:rsidR="00505C97">
              <w:rPr>
                <w:noProof/>
                <w:webHidden/>
              </w:rPr>
              <w:fldChar w:fldCharType="end"/>
            </w:r>
          </w:hyperlink>
        </w:p>
        <w:p w14:paraId="4A5CF09D" w14:textId="7B3ED123" w:rsidR="00505C97" w:rsidRDefault="0036403D">
          <w:pPr>
            <w:pStyle w:val="TOC3"/>
            <w:tabs>
              <w:tab w:val="left" w:pos="1100"/>
              <w:tab w:val="right" w:leader="dot" w:pos="9016"/>
            </w:tabs>
            <w:rPr>
              <w:rFonts w:eastAsiaTheme="minorEastAsia" w:cstheme="minorBidi"/>
              <w:i w:val="0"/>
              <w:iCs w:val="0"/>
              <w:noProof/>
              <w:sz w:val="22"/>
              <w:szCs w:val="22"/>
              <w:lang w:eastAsia="en-AU"/>
            </w:rPr>
          </w:pPr>
          <w:hyperlink w:anchor="_Toc33527736" w:history="1">
            <w:r w:rsidR="00505C97" w:rsidRPr="000C34E7">
              <w:rPr>
                <w:rStyle w:val="Hyperlink"/>
                <w:rFonts w:ascii="Arial" w:hAnsi="Arial" w:cs="Arial"/>
                <w:noProof/>
              </w:rPr>
              <w:t>2.2</w:t>
            </w:r>
            <w:r w:rsidR="00505C97">
              <w:rPr>
                <w:rFonts w:eastAsiaTheme="minorEastAsia" w:cstheme="minorBidi"/>
                <w:i w:val="0"/>
                <w:iCs w:val="0"/>
                <w:noProof/>
                <w:sz w:val="22"/>
                <w:szCs w:val="22"/>
                <w:lang w:eastAsia="en-AU"/>
              </w:rPr>
              <w:tab/>
            </w:r>
            <w:r w:rsidR="00505C97" w:rsidRPr="000C34E7">
              <w:rPr>
                <w:rStyle w:val="Hyperlink"/>
                <w:rFonts w:ascii="Arial" w:hAnsi="Arial" w:cs="Arial"/>
                <w:noProof/>
              </w:rPr>
              <w:t>Most adolescents feel they can access physical and dental health services but not mental health services</w:t>
            </w:r>
            <w:r w:rsidR="00505C97">
              <w:rPr>
                <w:noProof/>
                <w:webHidden/>
              </w:rPr>
              <w:tab/>
            </w:r>
            <w:r w:rsidR="00505C97">
              <w:rPr>
                <w:noProof/>
                <w:webHidden/>
              </w:rPr>
              <w:fldChar w:fldCharType="begin"/>
            </w:r>
            <w:r w:rsidR="00505C97">
              <w:rPr>
                <w:noProof/>
                <w:webHidden/>
              </w:rPr>
              <w:instrText xml:space="preserve"> PAGEREF _Toc33527736 \h </w:instrText>
            </w:r>
            <w:r w:rsidR="00505C97">
              <w:rPr>
                <w:noProof/>
                <w:webHidden/>
              </w:rPr>
            </w:r>
            <w:r w:rsidR="00505C97">
              <w:rPr>
                <w:noProof/>
                <w:webHidden/>
              </w:rPr>
              <w:fldChar w:fldCharType="separate"/>
            </w:r>
            <w:r w:rsidR="00505C97">
              <w:rPr>
                <w:noProof/>
                <w:webHidden/>
              </w:rPr>
              <w:t>17</w:t>
            </w:r>
            <w:r w:rsidR="00505C97">
              <w:rPr>
                <w:noProof/>
                <w:webHidden/>
              </w:rPr>
              <w:fldChar w:fldCharType="end"/>
            </w:r>
          </w:hyperlink>
        </w:p>
        <w:p w14:paraId="6A878795" w14:textId="0620F195" w:rsidR="00505C97" w:rsidRDefault="0036403D">
          <w:pPr>
            <w:pStyle w:val="TOC3"/>
            <w:tabs>
              <w:tab w:val="left" w:pos="1100"/>
              <w:tab w:val="right" w:leader="dot" w:pos="9016"/>
            </w:tabs>
            <w:rPr>
              <w:rFonts w:eastAsiaTheme="minorEastAsia" w:cstheme="minorBidi"/>
              <w:i w:val="0"/>
              <w:iCs w:val="0"/>
              <w:noProof/>
              <w:sz w:val="22"/>
              <w:szCs w:val="22"/>
              <w:lang w:eastAsia="en-AU"/>
            </w:rPr>
          </w:pPr>
          <w:hyperlink w:anchor="_Toc33527737" w:history="1">
            <w:r w:rsidR="00505C97" w:rsidRPr="000C34E7">
              <w:rPr>
                <w:rStyle w:val="Hyperlink"/>
                <w:rFonts w:ascii="Arial" w:hAnsi="Arial" w:cs="Arial"/>
                <w:noProof/>
              </w:rPr>
              <w:t>2.3</w:t>
            </w:r>
            <w:r w:rsidR="00505C97">
              <w:rPr>
                <w:rFonts w:eastAsiaTheme="minorEastAsia" w:cstheme="minorBidi"/>
                <w:i w:val="0"/>
                <w:iCs w:val="0"/>
                <w:noProof/>
                <w:sz w:val="22"/>
                <w:szCs w:val="22"/>
                <w:lang w:eastAsia="en-AU"/>
              </w:rPr>
              <w:tab/>
            </w:r>
            <w:r w:rsidR="00505C97" w:rsidRPr="000C34E7">
              <w:rPr>
                <w:rStyle w:val="Hyperlink"/>
                <w:rFonts w:ascii="Arial" w:hAnsi="Arial" w:cs="Arial"/>
                <w:noProof/>
              </w:rPr>
              <w:t>Many adolescents do not meet daily dietary guidelines</w:t>
            </w:r>
            <w:r w:rsidR="00505C97">
              <w:rPr>
                <w:noProof/>
                <w:webHidden/>
              </w:rPr>
              <w:tab/>
            </w:r>
            <w:r w:rsidR="00505C97">
              <w:rPr>
                <w:noProof/>
                <w:webHidden/>
              </w:rPr>
              <w:fldChar w:fldCharType="begin"/>
            </w:r>
            <w:r w:rsidR="00505C97">
              <w:rPr>
                <w:noProof/>
                <w:webHidden/>
              </w:rPr>
              <w:instrText xml:space="preserve"> PAGEREF _Toc33527737 \h </w:instrText>
            </w:r>
            <w:r w:rsidR="00505C97">
              <w:rPr>
                <w:noProof/>
                <w:webHidden/>
              </w:rPr>
            </w:r>
            <w:r w:rsidR="00505C97">
              <w:rPr>
                <w:noProof/>
                <w:webHidden/>
              </w:rPr>
              <w:fldChar w:fldCharType="separate"/>
            </w:r>
            <w:r w:rsidR="00505C97">
              <w:rPr>
                <w:noProof/>
                <w:webHidden/>
              </w:rPr>
              <w:t>18</w:t>
            </w:r>
            <w:r w:rsidR="00505C97">
              <w:rPr>
                <w:noProof/>
                <w:webHidden/>
              </w:rPr>
              <w:fldChar w:fldCharType="end"/>
            </w:r>
          </w:hyperlink>
        </w:p>
        <w:p w14:paraId="6C694315" w14:textId="7F5B7BA0" w:rsidR="00505C97" w:rsidRDefault="0036403D">
          <w:pPr>
            <w:pStyle w:val="TOC3"/>
            <w:tabs>
              <w:tab w:val="left" w:pos="1100"/>
              <w:tab w:val="right" w:leader="dot" w:pos="9016"/>
            </w:tabs>
            <w:rPr>
              <w:rFonts w:eastAsiaTheme="minorEastAsia" w:cstheme="minorBidi"/>
              <w:i w:val="0"/>
              <w:iCs w:val="0"/>
              <w:noProof/>
              <w:sz w:val="22"/>
              <w:szCs w:val="22"/>
              <w:lang w:eastAsia="en-AU"/>
            </w:rPr>
          </w:pPr>
          <w:hyperlink w:anchor="_Toc33527738" w:history="1">
            <w:r w:rsidR="00505C97" w:rsidRPr="000C34E7">
              <w:rPr>
                <w:rStyle w:val="Hyperlink"/>
                <w:rFonts w:ascii="Arial" w:hAnsi="Arial" w:cs="Arial"/>
                <w:noProof/>
              </w:rPr>
              <w:t>2.4</w:t>
            </w:r>
            <w:r w:rsidR="00505C97">
              <w:rPr>
                <w:rFonts w:eastAsiaTheme="minorEastAsia" w:cstheme="minorBidi"/>
                <w:i w:val="0"/>
                <w:iCs w:val="0"/>
                <w:noProof/>
                <w:sz w:val="22"/>
                <w:szCs w:val="22"/>
                <w:lang w:eastAsia="en-AU"/>
              </w:rPr>
              <w:tab/>
            </w:r>
            <w:r w:rsidR="00505C97" w:rsidRPr="000C34E7">
              <w:rPr>
                <w:rStyle w:val="Hyperlink"/>
                <w:rFonts w:ascii="Arial" w:hAnsi="Arial" w:cs="Arial"/>
                <w:noProof/>
              </w:rPr>
              <w:t>Around one in four adolescents are overweight</w:t>
            </w:r>
            <w:r w:rsidR="00505C97">
              <w:rPr>
                <w:noProof/>
                <w:webHidden/>
              </w:rPr>
              <w:tab/>
            </w:r>
            <w:r w:rsidR="00505C97">
              <w:rPr>
                <w:noProof/>
                <w:webHidden/>
              </w:rPr>
              <w:fldChar w:fldCharType="begin"/>
            </w:r>
            <w:r w:rsidR="00505C97">
              <w:rPr>
                <w:noProof/>
                <w:webHidden/>
              </w:rPr>
              <w:instrText xml:space="preserve"> PAGEREF _Toc33527738 \h </w:instrText>
            </w:r>
            <w:r w:rsidR="00505C97">
              <w:rPr>
                <w:noProof/>
                <w:webHidden/>
              </w:rPr>
            </w:r>
            <w:r w:rsidR="00505C97">
              <w:rPr>
                <w:noProof/>
                <w:webHidden/>
              </w:rPr>
              <w:fldChar w:fldCharType="separate"/>
            </w:r>
            <w:r w:rsidR="00505C97">
              <w:rPr>
                <w:noProof/>
                <w:webHidden/>
              </w:rPr>
              <w:t>20</w:t>
            </w:r>
            <w:r w:rsidR="00505C97">
              <w:rPr>
                <w:noProof/>
                <w:webHidden/>
              </w:rPr>
              <w:fldChar w:fldCharType="end"/>
            </w:r>
          </w:hyperlink>
        </w:p>
        <w:p w14:paraId="1D3F624F" w14:textId="5FB8C04B" w:rsidR="00505C97" w:rsidRDefault="0036403D">
          <w:pPr>
            <w:pStyle w:val="TOC3"/>
            <w:tabs>
              <w:tab w:val="left" w:pos="1100"/>
              <w:tab w:val="right" w:leader="dot" w:pos="9016"/>
            </w:tabs>
            <w:rPr>
              <w:rFonts w:eastAsiaTheme="minorEastAsia" w:cstheme="minorBidi"/>
              <w:i w:val="0"/>
              <w:iCs w:val="0"/>
              <w:noProof/>
              <w:sz w:val="22"/>
              <w:szCs w:val="22"/>
              <w:lang w:eastAsia="en-AU"/>
            </w:rPr>
          </w:pPr>
          <w:hyperlink w:anchor="_Toc33527739" w:history="1">
            <w:r w:rsidR="00505C97" w:rsidRPr="000C34E7">
              <w:rPr>
                <w:rStyle w:val="Hyperlink"/>
                <w:rFonts w:ascii="Arial" w:hAnsi="Arial" w:cs="Arial"/>
                <w:noProof/>
              </w:rPr>
              <w:t>2.5</w:t>
            </w:r>
            <w:r w:rsidR="00505C97">
              <w:rPr>
                <w:rFonts w:eastAsiaTheme="minorEastAsia" w:cstheme="minorBidi"/>
                <w:i w:val="0"/>
                <w:iCs w:val="0"/>
                <w:noProof/>
                <w:sz w:val="22"/>
                <w:szCs w:val="22"/>
                <w:lang w:eastAsia="en-AU"/>
              </w:rPr>
              <w:tab/>
            </w:r>
            <w:r w:rsidR="00505C97" w:rsidRPr="000C34E7">
              <w:rPr>
                <w:rStyle w:val="Hyperlink"/>
                <w:rFonts w:ascii="Arial" w:hAnsi="Arial" w:cs="Arial"/>
                <w:noProof/>
              </w:rPr>
              <w:t>Fewer than one in five students meet guidelines for daily physical activity</w:t>
            </w:r>
            <w:r w:rsidR="00505C97">
              <w:rPr>
                <w:noProof/>
                <w:webHidden/>
              </w:rPr>
              <w:tab/>
            </w:r>
            <w:r w:rsidR="00505C97">
              <w:rPr>
                <w:noProof/>
                <w:webHidden/>
              </w:rPr>
              <w:fldChar w:fldCharType="begin"/>
            </w:r>
            <w:r w:rsidR="00505C97">
              <w:rPr>
                <w:noProof/>
                <w:webHidden/>
              </w:rPr>
              <w:instrText xml:space="preserve"> PAGEREF _Toc33527739 \h </w:instrText>
            </w:r>
            <w:r w:rsidR="00505C97">
              <w:rPr>
                <w:noProof/>
                <w:webHidden/>
              </w:rPr>
            </w:r>
            <w:r w:rsidR="00505C97">
              <w:rPr>
                <w:noProof/>
                <w:webHidden/>
              </w:rPr>
              <w:fldChar w:fldCharType="separate"/>
            </w:r>
            <w:r w:rsidR="00505C97">
              <w:rPr>
                <w:noProof/>
                <w:webHidden/>
              </w:rPr>
              <w:t>21</w:t>
            </w:r>
            <w:r w:rsidR="00505C97">
              <w:rPr>
                <w:noProof/>
                <w:webHidden/>
              </w:rPr>
              <w:fldChar w:fldCharType="end"/>
            </w:r>
          </w:hyperlink>
        </w:p>
        <w:p w14:paraId="23AB36E9" w14:textId="1100DF11" w:rsidR="00505C97" w:rsidRDefault="0036403D">
          <w:pPr>
            <w:pStyle w:val="TOC3"/>
            <w:tabs>
              <w:tab w:val="left" w:pos="1100"/>
              <w:tab w:val="right" w:leader="dot" w:pos="9016"/>
            </w:tabs>
            <w:rPr>
              <w:rFonts w:eastAsiaTheme="minorEastAsia" w:cstheme="minorBidi"/>
              <w:i w:val="0"/>
              <w:iCs w:val="0"/>
              <w:noProof/>
              <w:sz w:val="22"/>
              <w:szCs w:val="22"/>
              <w:lang w:eastAsia="en-AU"/>
            </w:rPr>
          </w:pPr>
          <w:hyperlink w:anchor="_Toc33527740" w:history="1">
            <w:r w:rsidR="00505C97" w:rsidRPr="000C34E7">
              <w:rPr>
                <w:rStyle w:val="Hyperlink"/>
                <w:rFonts w:ascii="Arial" w:hAnsi="Arial" w:cs="Arial"/>
                <w:noProof/>
              </w:rPr>
              <w:t>2.6</w:t>
            </w:r>
            <w:r w:rsidR="00505C97">
              <w:rPr>
                <w:rFonts w:eastAsiaTheme="minorEastAsia" w:cstheme="minorBidi"/>
                <w:i w:val="0"/>
                <w:iCs w:val="0"/>
                <w:noProof/>
                <w:sz w:val="22"/>
                <w:szCs w:val="22"/>
                <w:lang w:eastAsia="en-AU"/>
              </w:rPr>
              <w:tab/>
            </w:r>
            <w:r w:rsidR="00505C97" w:rsidRPr="000C34E7">
              <w:rPr>
                <w:rStyle w:val="Hyperlink"/>
                <w:rFonts w:ascii="Arial" w:hAnsi="Arial" w:cs="Arial"/>
                <w:noProof/>
              </w:rPr>
              <w:t>A higher rate of adolescents are being hospitalised for severe allergic reactions</w:t>
            </w:r>
            <w:r w:rsidR="00505C97">
              <w:rPr>
                <w:noProof/>
                <w:webHidden/>
              </w:rPr>
              <w:tab/>
            </w:r>
            <w:r w:rsidR="00505C97">
              <w:rPr>
                <w:noProof/>
                <w:webHidden/>
              </w:rPr>
              <w:fldChar w:fldCharType="begin"/>
            </w:r>
            <w:r w:rsidR="00505C97">
              <w:rPr>
                <w:noProof/>
                <w:webHidden/>
              </w:rPr>
              <w:instrText xml:space="preserve"> PAGEREF _Toc33527740 \h </w:instrText>
            </w:r>
            <w:r w:rsidR="00505C97">
              <w:rPr>
                <w:noProof/>
                <w:webHidden/>
              </w:rPr>
            </w:r>
            <w:r w:rsidR="00505C97">
              <w:rPr>
                <w:noProof/>
                <w:webHidden/>
              </w:rPr>
              <w:fldChar w:fldCharType="separate"/>
            </w:r>
            <w:r w:rsidR="00505C97">
              <w:rPr>
                <w:noProof/>
                <w:webHidden/>
              </w:rPr>
              <w:t>22</w:t>
            </w:r>
            <w:r w:rsidR="00505C97">
              <w:rPr>
                <w:noProof/>
                <w:webHidden/>
              </w:rPr>
              <w:fldChar w:fldCharType="end"/>
            </w:r>
          </w:hyperlink>
        </w:p>
        <w:p w14:paraId="7A6643AF" w14:textId="5D6A1AE4" w:rsidR="00505C97" w:rsidRDefault="0036403D">
          <w:pPr>
            <w:pStyle w:val="TOC3"/>
            <w:tabs>
              <w:tab w:val="left" w:pos="1100"/>
              <w:tab w:val="right" w:leader="dot" w:pos="9016"/>
            </w:tabs>
            <w:rPr>
              <w:rFonts w:eastAsiaTheme="minorEastAsia" w:cstheme="minorBidi"/>
              <w:i w:val="0"/>
              <w:iCs w:val="0"/>
              <w:noProof/>
              <w:sz w:val="22"/>
              <w:szCs w:val="22"/>
              <w:lang w:eastAsia="en-AU"/>
            </w:rPr>
          </w:pPr>
          <w:hyperlink w:anchor="_Toc33527741" w:history="1">
            <w:r w:rsidR="00505C97" w:rsidRPr="000C34E7">
              <w:rPr>
                <w:rStyle w:val="Hyperlink"/>
                <w:rFonts w:ascii="Arial" w:hAnsi="Arial" w:cs="Arial"/>
                <w:noProof/>
              </w:rPr>
              <w:t>2.7</w:t>
            </w:r>
            <w:r w:rsidR="00505C97">
              <w:rPr>
                <w:rFonts w:eastAsiaTheme="minorEastAsia" w:cstheme="minorBidi"/>
                <w:i w:val="0"/>
                <w:iCs w:val="0"/>
                <w:noProof/>
                <w:sz w:val="22"/>
                <w:szCs w:val="22"/>
                <w:lang w:eastAsia="en-AU"/>
              </w:rPr>
              <w:tab/>
            </w:r>
            <w:r w:rsidR="00505C97" w:rsidRPr="000C34E7">
              <w:rPr>
                <w:rStyle w:val="Hyperlink"/>
                <w:rFonts w:ascii="Arial" w:hAnsi="Arial" w:cs="Arial"/>
                <w:noProof/>
              </w:rPr>
              <w:t>Most Victorian adolescents use screens for more than two hours a day</w:t>
            </w:r>
            <w:r w:rsidR="00505C97">
              <w:rPr>
                <w:noProof/>
                <w:webHidden/>
              </w:rPr>
              <w:tab/>
            </w:r>
            <w:r w:rsidR="00505C97">
              <w:rPr>
                <w:noProof/>
                <w:webHidden/>
              </w:rPr>
              <w:fldChar w:fldCharType="begin"/>
            </w:r>
            <w:r w:rsidR="00505C97">
              <w:rPr>
                <w:noProof/>
                <w:webHidden/>
              </w:rPr>
              <w:instrText xml:space="preserve"> PAGEREF _Toc33527741 \h </w:instrText>
            </w:r>
            <w:r w:rsidR="00505C97">
              <w:rPr>
                <w:noProof/>
                <w:webHidden/>
              </w:rPr>
            </w:r>
            <w:r w:rsidR="00505C97">
              <w:rPr>
                <w:noProof/>
                <w:webHidden/>
              </w:rPr>
              <w:fldChar w:fldCharType="separate"/>
            </w:r>
            <w:r w:rsidR="00505C97">
              <w:rPr>
                <w:noProof/>
                <w:webHidden/>
              </w:rPr>
              <w:t>23</w:t>
            </w:r>
            <w:r w:rsidR="00505C97">
              <w:rPr>
                <w:noProof/>
                <w:webHidden/>
              </w:rPr>
              <w:fldChar w:fldCharType="end"/>
            </w:r>
          </w:hyperlink>
        </w:p>
        <w:p w14:paraId="403F95DF" w14:textId="330D0B00" w:rsidR="00505C97" w:rsidRDefault="0036403D">
          <w:pPr>
            <w:pStyle w:val="TOC3"/>
            <w:tabs>
              <w:tab w:val="left" w:pos="1100"/>
              <w:tab w:val="right" w:leader="dot" w:pos="9016"/>
            </w:tabs>
            <w:rPr>
              <w:rFonts w:eastAsiaTheme="minorEastAsia" w:cstheme="minorBidi"/>
              <w:i w:val="0"/>
              <w:iCs w:val="0"/>
              <w:noProof/>
              <w:sz w:val="22"/>
              <w:szCs w:val="22"/>
              <w:lang w:eastAsia="en-AU"/>
            </w:rPr>
          </w:pPr>
          <w:hyperlink w:anchor="_Toc33527742" w:history="1">
            <w:r w:rsidR="00505C97" w:rsidRPr="000C34E7">
              <w:rPr>
                <w:rStyle w:val="Hyperlink"/>
                <w:rFonts w:ascii="Arial" w:hAnsi="Arial" w:cs="Arial"/>
                <w:noProof/>
              </w:rPr>
              <w:t>2.8</w:t>
            </w:r>
            <w:r w:rsidR="00505C97">
              <w:rPr>
                <w:rFonts w:eastAsiaTheme="minorEastAsia" w:cstheme="minorBidi"/>
                <w:i w:val="0"/>
                <w:iCs w:val="0"/>
                <w:noProof/>
                <w:sz w:val="22"/>
                <w:szCs w:val="22"/>
                <w:lang w:eastAsia="en-AU"/>
              </w:rPr>
              <w:tab/>
            </w:r>
            <w:r w:rsidR="00505C97" w:rsidRPr="000C34E7">
              <w:rPr>
                <w:rStyle w:val="Hyperlink"/>
                <w:rFonts w:ascii="Arial" w:hAnsi="Arial" w:cs="Arial"/>
                <w:noProof/>
              </w:rPr>
              <w:t>A higher rate of adolescents experience sleeping problems than in the past</w:t>
            </w:r>
            <w:r w:rsidR="00505C97">
              <w:rPr>
                <w:noProof/>
                <w:webHidden/>
              </w:rPr>
              <w:tab/>
            </w:r>
            <w:r w:rsidR="00505C97">
              <w:rPr>
                <w:noProof/>
                <w:webHidden/>
              </w:rPr>
              <w:fldChar w:fldCharType="begin"/>
            </w:r>
            <w:r w:rsidR="00505C97">
              <w:rPr>
                <w:noProof/>
                <w:webHidden/>
              </w:rPr>
              <w:instrText xml:space="preserve"> PAGEREF _Toc33527742 \h </w:instrText>
            </w:r>
            <w:r w:rsidR="00505C97">
              <w:rPr>
                <w:noProof/>
                <w:webHidden/>
              </w:rPr>
            </w:r>
            <w:r w:rsidR="00505C97">
              <w:rPr>
                <w:noProof/>
                <w:webHidden/>
              </w:rPr>
              <w:fldChar w:fldCharType="separate"/>
            </w:r>
            <w:r w:rsidR="00505C97">
              <w:rPr>
                <w:noProof/>
                <w:webHidden/>
              </w:rPr>
              <w:t>25</w:t>
            </w:r>
            <w:r w:rsidR="00505C97">
              <w:rPr>
                <w:noProof/>
                <w:webHidden/>
              </w:rPr>
              <w:fldChar w:fldCharType="end"/>
            </w:r>
          </w:hyperlink>
        </w:p>
        <w:p w14:paraId="62656B3E" w14:textId="665784BA" w:rsidR="00505C97" w:rsidRDefault="0036403D">
          <w:pPr>
            <w:pStyle w:val="TOC3"/>
            <w:tabs>
              <w:tab w:val="left" w:pos="1100"/>
              <w:tab w:val="right" w:leader="dot" w:pos="9016"/>
            </w:tabs>
            <w:rPr>
              <w:rFonts w:eastAsiaTheme="minorEastAsia" w:cstheme="minorBidi"/>
              <w:i w:val="0"/>
              <w:iCs w:val="0"/>
              <w:noProof/>
              <w:sz w:val="22"/>
              <w:szCs w:val="22"/>
              <w:lang w:eastAsia="en-AU"/>
            </w:rPr>
          </w:pPr>
          <w:hyperlink w:anchor="_Toc33527743" w:history="1">
            <w:r w:rsidR="00505C97" w:rsidRPr="000C34E7">
              <w:rPr>
                <w:rStyle w:val="Hyperlink"/>
                <w:rFonts w:ascii="Arial" w:hAnsi="Arial" w:cs="Arial"/>
                <w:noProof/>
              </w:rPr>
              <w:t>2.9</w:t>
            </w:r>
            <w:r w:rsidR="00505C97">
              <w:rPr>
                <w:rFonts w:eastAsiaTheme="minorEastAsia" w:cstheme="minorBidi"/>
                <w:i w:val="0"/>
                <w:iCs w:val="0"/>
                <w:noProof/>
                <w:sz w:val="22"/>
                <w:szCs w:val="22"/>
                <w:lang w:eastAsia="en-AU"/>
              </w:rPr>
              <w:tab/>
            </w:r>
            <w:r w:rsidR="00505C97" w:rsidRPr="000C34E7">
              <w:rPr>
                <w:rStyle w:val="Hyperlink"/>
                <w:rFonts w:ascii="Arial" w:hAnsi="Arial" w:cs="Arial"/>
                <w:noProof/>
              </w:rPr>
              <w:t>Lower rates of adolescents are regularly smoking, drinking, and using drugs</w:t>
            </w:r>
            <w:r w:rsidR="00505C97">
              <w:rPr>
                <w:noProof/>
                <w:webHidden/>
              </w:rPr>
              <w:tab/>
            </w:r>
            <w:r w:rsidR="00505C97">
              <w:rPr>
                <w:noProof/>
                <w:webHidden/>
              </w:rPr>
              <w:fldChar w:fldCharType="begin"/>
            </w:r>
            <w:r w:rsidR="00505C97">
              <w:rPr>
                <w:noProof/>
                <w:webHidden/>
              </w:rPr>
              <w:instrText xml:space="preserve"> PAGEREF _Toc33527743 \h </w:instrText>
            </w:r>
            <w:r w:rsidR="00505C97">
              <w:rPr>
                <w:noProof/>
                <w:webHidden/>
              </w:rPr>
            </w:r>
            <w:r w:rsidR="00505C97">
              <w:rPr>
                <w:noProof/>
                <w:webHidden/>
              </w:rPr>
              <w:fldChar w:fldCharType="separate"/>
            </w:r>
            <w:r w:rsidR="00505C97">
              <w:rPr>
                <w:noProof/>
                <w:webHidden/>
              </w:rPr>
              <w:t>27</w:t>
            </w:r>
            <w:r w:rsidR="00505C97">
              <w:rPr>
                <w:noProof/>
                <w:webHidden/>
              </w:rPr>
              <w:fldChar w:fldCharType="end"/>
            </w:r>
          </w:hyperlink>
        </w:p>
        <w:p w14:paraId="67D0248E" w14:textId="2349BCBA" w:rsidR="00505C97" w:rsidRDefault="0036403D">
          <w:pPr>
            <w:pStyle w:val="TOC3"/>
            <w:tabs>
              <w:tab w:val="left" w:pos="1100"/>
              <w:tab w:val="right" w:leader="dot" w:pos="9016"/>
            </w:tabs>
            <w:rPr>
              <w:rFonts w:eastAsiaTheme="minorEastAsia" w:cstheme="minorBidi"/>
              <w:i w:val="0"/>
              <w:iCs w:val="0"/>
              <w:noProof/>
              <w:sz w:val="22"/>
              <w:szCs w:val="22"/>
              <w:lang w:eastAsia="en-AU"/>
            </w:rPr>
          </w:pPr>
          <w:hyperlink w:anchor="_Toc33527744" w:history="1">
            <w:r w:rsidR="00505C97" w:rsidRPr="000C34E7">
              <w:rPr>
                <w:rStyle w:val="Hyperlink"/>
                <w:rFonts w:ascii="Arial" w:hAnsi="Arial" w:cs="Arial"/>
                <w:noProof/>
              </w:rPr>
              <w:t>2.10</w:t>
            </w:r>
            <w:r w:rsidR="00505C97">
              <w:rPr>
                <w:rFonts w:eastAsiaTheme="minorEastAsia" w:cstheme="minorBidi"/>
                <w:i w:val="0"/>
                <w:iCs w:val="0"/>
                <w:noProof/>
                <w:sz w:val="22"/>
                <w:szCs w:val="22"/>
                <w:lang w:eastAsia="en-AU"/>
              </w:rPr>
              <w:tab/>
            </w:r>
            <w:r w:rsidR="00505C97" w:rsidRPr="000C34E7">
              <w:rPr>
                <w:rStyle w:val="Hyperlink"/>
                <w:rFonts w:ascii="Arial" w:hAnsi="Arial" w:cs="Arial"/>
                <w:noProof/>
              </w:rPr>
              <w:t>Adolescents are more likely to try alcohol or drugs if their parents or other adults in the family do</w:t>
            </w:r>
            <w:r w:rsidR="00505C97">
              <w:rPr>
                <w:noProof/>
                <w:webHidden/>
              </w:rPr>
              <w:tab/>
            </w:r>
            <w:r w:rsidR="00505C97">
              <w:rPr>
                <w:noProof/>
                <w:webHidden/>
              </w:rPr>
              <w:fldChar w:fldCharType="begin"/>
            </w:r>
            <w:r w:rsidR="00505C97">
              <w:rPr>
                <w:noProof/>
                <w:webHidden/>
              </w:rPr>
              <w:instrText xml:space="preserve"> PAGEREF _Toc33527744 \h </w:instrText>
            </w:r>
            <w:r w:rsidR="00505C97">
              <w:rPr>
                <w:noProof/>
                <w:webHidden/>
              </w:rPr>
            </w:r>
            <w:r w:rsidR="00505C97">
              <w:rPr>
                <w:noProof/>
                <w:webHidden/>
              </w:rPr>
              <w:fldChar w:fldCharType="separate"/>
            </w:r>
            <w:r w:rsidR="00505C97">
              <w:rPr>
                <w:noProof/>
                <w:webHidden/>
              </w:rPr>
              <w:t>30</w:t>
            </w:r>
            <w:r w:rsidR="00505C97">
              <w:rPr>
                <w:noProof/>
                <w:webHidden/>
              </w:rPr>
              <w:fldChar w:fldCharType="end"/>
            </w:r>
          </w:hyperlink>
        </w:p>
        <w:p w14:paraId="37173F2B" w14:textId="7F0A68C1" w:rsidR="00505C97" w:rsidRDefault="0036403D">
          <w:pPr>
            <w:pStyle w:val="TOC3"/>
            <w:tabs>
              <w:tab w:val="left" w:pos="1100"/>
              <w:tab w:val="right" w:leader="dot" w:pos="9016"/>
            </w:tabs>
            <w:rPr>
              <w:rFonts w:eastAsiaTheme="minorEastAsia" w:cstheme="minorBidi"/>
              <w:i w:val="0"/>
              <w:iCs w:val="0"/>
              <w:noProof/>
              <w:sz w:val="22"/>
              <w:szCs w:val="22"/>
              <w:lang w:eastAsia="en-AU"/>
            </w:rPr>
          </w:pPr>
          <w:hyperlink w:anchor="_Toc33527745" w:history="1">
            <w:r w:rsidR="00505C97" w:rsidRPr="000C34E7">
              <w:rPr>
                <w:rStyle w:val="Hyperlink"/>
                <w:rFonts w:ascii="Arial" w:hAnsi="Arial" w:cs="Arial"/>
                <w:noProof/>
              </w:rPr>
              <w:t>2.11</w:t>
            </w:r>
            <w:r w:rsidR="00505C97">
              <w:rPr>
                <w:rFonts w:eastAsiaTheme="minorEastAsia" w:cstheme="minorBidi"/>
                <w:i w:val="0"/>
                <w:iCs w:val="0"/>
                <w:noProof/>
                <w:sz w:val="22"/>
                <w:szCs w:val="22"/>
                <w:lang w:eastAsia="en-AU"/>
              </w:rPr>
              <w:tab/>
            </w:r>
            <w:r w:rsidR="00505C97" w:rsidRPr="000C34E7">
              <w:rPr>
                <w:rStyle w:val="Hyperlink"/>
                <w:rFonts w:ascii="Arial" w:hAnsi="Arial" w:cs="Arial"/>
                <w:noProof/>
              </w:rPr>
              <w:t>Adolescents are more likely to drink, smoke or use cannabis if their parents have a relaxed attitude to the use of these substances</w:t>
            </w:r>
            <w:r w:rsidR="00505C97">
              <w:rPr>
                <w:noProof/>
                <w:webHidden/>
              </w:rPr>
              <w:tab/>
            </w:r>
            <w:r w:rsidR="00505C97">
              <w:rPr>
                <w:noProof/>
                <w:webHidden/>
              </w:rPr>
              <w:fldChar w:fldCharType="begin"/>
            </w:r>
            <w:r w:rsidR="00505C97">
              <w:rPr>
                <w:noProof/>
                <w:webHidden/>
              </w:rPr>
              <w:instrText xml:space="preserve"> PAGEREF _Toc33527745 \h </w:instrText>
            </w:r>
            <w:r w:rsidR="00505C97">
              <w:rPr>
                <w:noProof/>
                <w:webHidden/>
              </w:rPr>
            </w:r>
            <w:r w:rsidR="00505C97">
              <w:rPr>
                <w:noProof/>
                <w:webHidden/>
              </w:rPr>
              <w:fldChar w:fldCharType="separate"/>
            </w:r>
            <w:r w:rsidR="00505C97">
              <w:rPr>
                <w:noProof/>
                <w:webHidden/>
              </w:rPr>
              <w:t>31</w:t>
            </w:r>
            <w:r w:rsidR="00505C97">
              <w:rPr>
                <w:noProof/>
                <w:webHidden/>
              </w:rPr>
              <w:fldChar w:fldCharType="end"/>
            </w:r>
          </w:hyperlink>
        </w:p>
        <w:p w14:paraId="11DF1776" w14:textId="55DB2E25" w:rsidR="00505C97" w:rsidRDefault="0036403D">
          <w:pPr>
            <w:pStyle w:val="TOC3"/>
            <w:tabs>
              <w:tab w:val="left" w:pos="1100"/>
              <w:tab w:val="right" w:leader="dot" w:pos="9016"/>
            </w:tabs>
            <w:rPr>
              <w:rFonts w:eastAsiaTheme="minorEastAsia" w:cstheme="minorBidi"/>
              <w:i w:val="0"/>
              <w:iCs w:val="0"/>
              <w:noProof/>
              <w:sz w:val="22"/>
              <w:szCs w:val="22"/>
              <w:lang w:eastAsia="en-AU"/>
            </w:rPr>
          </w:pPr>
          <w:hyperlink w:anchor="_Toc33527746" w:history="1">
            <w:r w:rsidR="00505C97" w:rsidRPr="000C34E7">
              <w:rPr>
                <w:rStyle w:val="Hyperlink"/>
                <w:rFonts w:ascii="Arial" w:hAnsi="Arial" w:cs="Arial"/>
                <w:noProof/>
              </w:rPr>
              <w:t>2.12</w:t>
            </w:r>
            <w:r w:rsidR="00505C97">
              <w:rPr>
                <w:rFonts w:eastAsiaTheme="minorEastAsia" w:cstheme="minorBidi"/>
                <w:i w:val="0"/>
                <w:iCs w:val="0"/>
                <w:noProof/>
                <w:sz w:val="22"/>
                <w:szCs w:val="22"/>
                <w:lang w:eastAsia="en-AU"/>
              </w:rPr>
              <w:tab/>
            </w:r>
            <w:r w:rsidR="00505C97" w:rsidRPr="000C34E7">
              <w:rPr>
                <w:rStyle w:val="Hyperlink"/>
                <w:rFonts w:ascii="Arial" w:hAnsi="Arial" w:cs="Arial"/>
                <w:noProof/>
              </w:rPr>
              <w:t>A lower rate of adolescents are sexually active</w:t>
            </w:r>
            <w:r w:rsidR="00505C97">
              <w:rPr>
                <w:noProof/>
                <w:webHidden/>
              </w:rPr>
              <w:tab/>
            </w:r>
            <w:r w:rsidR="00505C97">
              <w:rPr>
                <w:noProof/>
                <w:webHidden/>
              </w:rPr>
              <w:fldChar w:fldCharType="begin"/>
            </w:r>
            <w:r w:rsidR="00505C97">
              <w:rPr>
                <w:noProof/>
                <w:webHidden/>
              </w:rPr>
              <w:instrText xml:space="preserve"> PAGEREF _Toc33527746 \h </w:instrText>
            </w:r>
            <w:r w:rsidR="00505C97">
              <w:rPr>
                <w:noProof/>
                <w:webHidden/>
              </w:rPr>
            </w:r>
            <w:r w:rsidR="00505C97">
              <w:rPr>
                <w:noProof/>
                <w:webHidden/>
              </w:rPr>
              <w:fldChar w:fldCharType="separate"/>
            </w:r>
            <w:r w:rsidR="00505C97">
              <w:rPr>
                <w:noProof/>
                <w:webHidden/>
              </w:rPr>
              <w:t>32</w:t>
            </w:r>
            <w:r w:rsidR="00505C97">
              <w:rPr>
                <w:noProof/>
                <w:webHidden/>
              </w:rPr>
              <w:fldChar w:fldCharType="end"/>
            </w:r>
          </w:hyperlink>
        </w:p>
        <w:p w14:paraId="3693BE3E" w14:textId="16E53877" w:rsidR="00505C97" w:rsidRDefault="0036403D">
          <w:pPr>
            <w:pStyle w:val="TOC3"/>
            <w:tabs>
              <w:tab w:val="left" w:pos="1100"/>
              <w:tab w:val="right" w:leader="dot" w:pos="9016"/>
            </w:tabs>
            <w:rPr>
              <w:rFonts w:eastAsiaTheme="minorEastAsia" w:cstheme="minorBidi"/>
              <w:i w:val="0"/>
              <w:iCs w:val="0"/>
              <w:noProof/>
              <w:sz w:val="22"/>
              <w:szCs w:val="22"/>
              <w:lang w:eastAsia="en-AU"/>
            </w:rPr>
          </w:pPr>
          <w:hyperlink w:anchor="_Toc33527747" w:history="1">
            <w:r w:rsidR="00505C97" w:rsidRPr="000C34E7">
              <w:rPr>
                <w:rStyle w:val="Hyperlink"/>
                <w:rFonts w:ascii="Arial" w:hAnsi="Arial" w:cs="Arial"/>
                <w:noProof/>
              </w:rPr>
              <w:t>2.13</w:t>
            </w:r>
            <w:r w:rsidR="00505C97">
              <w:rPr>
                <w:rFonts w:eastAsiaTheme="minorEastAsia" w:cstheme="minorBidi"/>
                <w:i w:val="0"/>
                <w:iCs w:val="0"/>
                <w:noProof/>
                <w:sz w:val="22"/>
                <w:szCs w:val="22"/>
                <w:lang w:eastAsia="en-AU"/>
              </w:rPr>
              <w:tab/>
            </w:r>
            <w:r w:rsidR="00505C97" w:rsidRPr="000C34E7">
              <w:rPr>
                <w:rStyle w:val="Hyperlink"/>
                <w:rFonts w:ascii="Arial" w:hAnsi="Arial" w:cs="Arial"/>
                <w:noProof/>
              </w:rPr>
              <w:t>Rates of teenage pregnancy remain low</w:t>
            </w:r>
            <w:r w:rsidR="00505C97">
              <w:rPr>
                <w:noProof/>
                <w:webHidden/>
              </w:rPr>
              <w:tab/>
            </w:r>
            <w:r w:rsidR="00505C97">
              <w:rPr>
                <w:noProof/>
                <w:webHidden/>
              </w:rPr>
              <w:fldChar w:fldCharType="begin"/>
            </w:r>
            <w:r w:rsidR="00505C97">
              <w:rPr>
                <w:noProof/>
                <w:webHidden/>
              </w:rPr>
              <w:instrText xml:space="preserve"> PAGEREF _Toc33527747 \h </w:instrText>
            </w:r>
            <w:r w:rsidR="00505C97">
              <w:rPr>
                <w:noProof/>
                <w:webHidden/>
              </w:rPr>
            </w:r>
            <w:r w:rsidR="00505C97">
              <w:rPr>
                <w:noProof/>
                <w:webHidden/>
              </w:rPr>
              <w:fldChar w:fldCharType="separate"/>
            </w:r>
            <w:r w:rsidR="00505C97">
              <w:rPr>
                <w:noProof/>
                <w:webHidden/>
              </w:rPr>
              <w:t>33</w:t>
            </w:r>
            <w:r w:rsidR="00505C97">
              <w:rPr>
                <w:noProof/>
                <w:webHidden/>
              </w:rPr>
              <w:fldChar w:fldCharType="end"/>
            </w:r>
          </w:hyperlink>
        </w:p>
        <w:p w14:paraId="5CF62916" w14:textId="31915198" w:rsidR="00505C97" w:rsidRDefault="0036403D">
          <w:pPr>
            <w:pStyle w:val="TOC3"/>
            <w:tabs>
              <w:tab w:val="left" w:pos="1100"/>
              <w:tab w:val="right" w:leader="dot" w:pos="9016"/>
            </w:tabs>
            <w:rPr>
              <w:rFonts w:eastAsiaTheme="minorEastAsia" w:cstheme="minorBidi"/>
              <w:i w:val="0"/>
              <w:iCs w:val="0"/>
              <w:noProof/>
              <w:sz w:val="22"/>
              <w:szCs w:val="22"/>
              <w:lang w:eastAsia="en-AU"/>
            </w:rPr>
          </w:pPr>
          <w:hyperlink w:anchor="_Toc33527748" w:history="1">
            <w:r w:rsidR="00505C97" w:rsidRPr="000C34E7">
              <w:rPr>
                <w:rStyle w:val="Hyperlink"/>
                <w:rFonts w:ascii="Arial" w:hAnsi="Arial" w:cs="Arial"/>
                <w:noProof/>
              </w:rPr>
              <w:t>2.14</w:t>
            </w:r>
            <w:r w:rsidR="00505C97">
              <w:rPr>
                <w:rFonts w:eastAsiaTheme="minorEastAsia" w:cstheme="minorBidi"/>
                <w:i w:val="0"/>
                <w:iCs w:val="0"/>
                <w:noProof/>
                <w:sz w:val="22"/>
                <w:szCs w:val="22"/>
                <w:lang w:eastAsia="en-AU"/>
              </w:rPr>
              <w:tab/>
            </w:r>
            <w:r w:rsidR="00505C97" w:rsidRPr="000C34E7">
              <w:rPr>
                <w:rStyle w:val="Hyperlink"/>
                <w:rFonts w:ascii="Arial" w:hAnsi="Arial" w:cs="Arial"/>
                <w:noProof/>
              </w:rPr>
              <w:t>Rates of sexually transmitted infection have declined</w:t>
            </w:r>
            <w:r w:rsidR="00505C97">
              <w:rPr>
                <w:noProof/>
                <w:webHidden/>
              </w:rPr>
              <w:tab/>
            </w:r>
            <w:r w:rsidR="00505C97">
              <w:rPr>
                <w:noProof/>
                <w:webHidden/>
              </w:rPr>
              <w:fldChar w:fldCharType="begin"/>
            </w:r>
            <w:r w:rsidR="00505C97">
              <w:rPr>
                <w:noProof/>
                <w:webHidden/>
              </w:rPr>
              <w:instrText xml:space="preserve"> PAGEREF _Toc33527748 \h </w:instrText>
            </w:r>
            <w:r w:rsidR="00505C97">
              <w:rPr>
                <w:noProof/>
                <w:webHidden/>
              </w:rPr>
            </w:r>
            <w:r w:rsidR="00505C97">
              <w:rPr>
                <w:noProof/>
                <w:webHidden/>
              </w:rPr>
              <w:fldChar w:fldCharType="separate"/>
            </w:r>
            <w:r w:rsidR="00505C97">
              <w:rPr>
                <w:noProof/>
                <w:webHidden/>
              </w:rPr>
              <w:t>34</w:t>
            </w:r>
            <w:r w:rsidR="00505C97">
              <w:rPr>
                <w:noProof/>
                <w:webHidden/>
              </w:rPr>
              <w:fldChar w:fldCharType="end"/>
            </w:r>
          </w:hyperlink>
        </w:p>
        <w:p w14:paraId="6A9325A7" w14:textId="6BE997A1" w:rsidR="00505C97" w:rsidRDefault="0036403D">
          <w:pPr>
            <w:pStyle w:val="TOC3"/>
            <w:tabs>
              <w:tab w:val="left" w:pos="1100"/>
              <w:tab w:val="right" w:leader="dot" w:pos="9016"/>
            </w:tabs>
            <w:rPr>
              <w:rFonts w:eastAsiaTheme="minorEastAsia" w:cstheme="minorBidi"/>
              <w:i w:val="0"/>
              <w:iCs w:val="0"/>
              <w:noProof/>
              <w:sz w:val="22"/>
              <w:szCs w:val="22"/>
              <w:lang w:eastAsia="en-AU"/>
            </w:rPr>
          </w:pPr>
          <w:hyperlink w:anchor="_Toc33527749" w:history="1">
            <w:r w:rsidR="00505C97" w:rsidRPr="000C34E7">
              <w:rPr>
                <w:rStyle w:val="Hyperlink"/>
                <w:rFonts w:ascii="Arial" w:hAnsi="Arial" w:cs="Arial"/>
                <w:noProof/>
              </w:rPr>
              <w:t>2.15</w:t>
            </w:r>
            <w:r w:rsidR="00505C97">
              <w:rPr>
                <w:rFonts w:eastAsiaTheme="minorEastAsia" w:cstheme="minorBidi"/>
                <w:i w:val="0"/>
                <w:iCs w:val="0"/>
                <w:noProof/>
                <w:sz w:val="22"/>
                <w:szCs w:val="22"/>
                <w:lang w:eastAsia="en-AU"/>
              </w:rPr>
              <w:tab/>
            </w:r>
            <w:r w:rsidR="00505C97" w:rsidRPr="000C34E7">
              <w:rPr>
                <w:rStyle w:val="Hyperlink"/>
                <w:rFonts w:ascii="Arial" w:hAnsi="Arial" w:cs="Arial"/>
                <w:noProof/>
              </w:rPr>
              <w:t>HPV immunisation rates have steadily increased</w:t>
            </w:r>
            <w:r w:rsidR="00505C97">
              <w:rPr>
                <w:noProof/>
                <w:webHidden/>
              </w:rPr>
              <w:tab/>
            </w:r>
            <w:r w:rsidR="00505C97">
              <w:rPr>
                <w:noProof/>
                <w:webHidden/>
              </w:rPr>
              <w:fldChar w:fldCharType="begin"/>
            </w:r>
            <w:r w:rsidR="00505C97">
              <w:rPr>
                <w:noProof/>
                <w:webHidden/>
              </w:rPr>
              <w:instrText xml:space="preserve"> PAGEREF _Toc33527749 \h </w:instrText>
            </w:r>
            <w:r w:rsidR="00505C97">
              <w:rPr>
                <w:noProof/>
                <w:webHidden/>
              </w:rPr>
            </w:r>
            <w:r w:rsidR="00505C97">
              <w:rPr>
                <w:noProof/>
                <w:webHidden/>
              </w:rPr>
              <w:fldChar w:fldCharType="separate"/>
            </w:r>
            <w:r w:rsidR="00505C97">
              <w:rPr>
                <w:noProof/>
                <w:webHidden/>
              </w:rPr>
              <w:t>35</w:t>
            </w:r>
            <w:r w:rsidR="00505C97">
              <w:rPr>
                <w:noProof/>
                <w:webHidden/>
              </w:rPr>
              <w:fldChar w:fldCharType="end"/>
            </w:r>
          </w:hyperlink>
        </w:p>
        <w:p w14:paraId="2A1870C1" w14:textId="78DF673E" w:rsidR="00505C97" w:rsidRDefault="0036403D">
          <w:pPr>
            <w:pStyle w:val="TOC1"/>
            <w:tabs>
              <w:tab w:val="right" w:leader="dot" w:pos="9016"/>
            </w:tabs>
            <w:rPr>
              <w:rFonts w:eastAsiaTheme="minorEastAsia" w:cstheme="minorBidi"/>
              <w:b w:val="0"/>
              <w:bCs w:val="0"/>
              <w:caps w:val="0"/>
              <w:noProof/>
              <w:sz w:val="22"/>
              <w:szCs w:val="22"/>
              <w:lang w:eastAsia="en-AU"/>
            </w:rPr>
          </w:pPr>
          <w:hyperlink w:anchor="_Toc33527750" w:history="1">
            <w:r w:rsidR="00505C97" w:rsidRPr="000C34E7">
              <w:rPr>
                <w:rStyle w:val="Hyperlink"/>
                <w:rFonts w:ascii="Arial" w:hAnsi="Arial" w:cs="Arial"/>
                <w:noProof/>
                <w:lang w:bidi="en-US"/>
              </w:rPr>
              <w:t>SOCIAL &amp; EMOTIONAL WELLBEING</w:t>
            </w:r>
            <w:r w:rsidR="00505C97">
              <w:rPr>
                <w:noProof/>
                <w:webHidden/>
              </w:rPr>
              <w:tab/>
            </w:r>
            <w:r w:rsidR="00505C97">
              <w:rPr>
                <w:noProof/>
                <w:webHidden/>
              </w:rPr>
              <w:fldChar w:fldCharType="begin"/>
            </w:r>
            <w:r w:rsidR="00505C97">
              <w:rPr>
                <w:noProof/>
                <w:webHidden/>
              </w:rPr>
              <w:instrText xml:space="preserve"> PAGEREF _Toc33527750 \h </w:instrText>
            </w:r>
            <w:r w:rsidR="00505C97">
              <w:rPr>
                <w:noProof/>
                <w:webHidden/>
              </w:rPr>
            </w:r>
            <w:r w:rsidR="00505C97">
              <w:rPr>
                <w:noProof/>
                <w:webHidden/>
              </w:rPr>
              <w:fldChar w:fldCharType="separate"/>
            </w:r>
            <w:r w:rsidR="00505C97">
              <w:rPr>
                <w:noProof/>
                <w:webHidden/>
              </w:rPr>
              <w:t>37</w:t>
            </w:r>
            <w:r w:rsidR="00505C97">
              <w:rPr>
                <w:noProof/>
                <w:webHidden/>
              </w:rPr>
              <w:fldChar w:fldCharType="end"/>
            </w:r>
          </w:hyperlink>
        </w:p>
        <w:p w14:paraId="06AA63F9" w14:textId="3AC27E9C" w:rsidR="00505C97" w:rsidRDefault="0036403D">
          <w:pPr>
            <w:pStyle w:val="TOC2"/>
            <w:tabs>
              <w:tab w:val="right" w:leader="dot" w:pos="9016"/>
            </w:tabs>
            <w:rPr>
              <w:rFonts w:eastAsiaTheme="minorEastAsia" w:cstheme="minorBidi"/>
              <w:smallCaps w:val="0"/>
              <w:noProof/>
              <w:sz w:val="22"/>
              <w:szCs w:val="22"/>
              <w:lang w:eastAsia="en-AU"/>
            </w:rPr>
          </w:pPr>
          <w:hyperlink w:anchor="_Toc33527751" w:history="1">
            <w:r w:rsidR="00505C97" w:rsidRPr="000C34E7">
              <w:rPr>
                <w:rStyle w:val="Hyperlink"/>
                <w:rFonts w:ascii="Arial" w:hAnsi="Arial" w:cs="Arial"/>
                <w:noProof/>
              </w:rPr>
              <w:t>INFOGRAPHIC SUMMARY</w:t>
            </w:r>
            <w:r w:rsidR="00505C97">
              <w:rPr>
                <w:noProof/>
                <w:webHidden/>
              </w:rPr>
              <w:tab/>
            </w:r>
            <w:r w:rsidR="00505C97">
              <w:rPr>
                <w:noProof/>
                <w:webHidden/>
              </w:rPr>
              <w:fldChar w:fldCharType="begin"/>
            </w:r>
            <w:r w:rsidR="00505C97">
              <w:rPr>
                <w:noProof/>
                <w:webHidden/>
              </w:rPr>
              <w:instrText xml:space="preserve"> PAGEREF _Toc33527751 \h </w:instrText>
            </w:r>
            <w:r w:rsidR="00505C97">
              <w:rPr>
                <w:noProof/>
                <w:webHidden/>
              </w:rPr>
            </w:r>
            <w:r w:rsidR="00505C97">
              <w:rPr>
                <w:noProof/>
                <w:webHidden/>
              </w:rPr>
              <w:fldChar w:fldCharType="separate"/>
            </w:r>
            <w:r w:rsidR="00505C97">
              <w:rPr>
                <w:noProof/>
                <w:webHidden/>
              </w:rPr>
              <w:t>37</w:t>
            </w:r>
            <w:r w:rsidR="00505C97">
              <w:rPr>
                <w:noProof/>
                <w:webHidden/>
              </w:rPr>
              <w:fldChar w:fldCharType="end"/>
            </w:r>
          </w:hyperlink>
        </w:p>
        <w:p w14:paraId="51CA025A" w14:textId="17464905" w:rsidR="00505C97" w:rsidRDefault="0036403D">
          <w:pPr>
            <w:pStyle w:val="TOC2"/>
            <w:tabs>
              <w:tab w:val="right" w:leader="dot" w:pos="9016"/>
            </w:tabs>
            <w:rPr>
              <w:rFonts w:eastAsiaTheme="minorEastAsia" w:cstheme="minorBidi"/>
              <w:smallCaps w:val="0"/>
              <w:noProof/>
              <w:sz w:val="22"/>
              <w:szCs w:val="22"/>
              <w:lang w:eastAsia="en-AU"/>
            </w:rPr>
          </w:pPr>
          <w:hyperlink w:anchor="_Toc33527752" w:history="1">
            <w:r w:rsidR="00505C97" w:rsidRPr="000C34E7">
              <w:rPr>
                <w:rStyle w:val="Hyperlink"/>
                <w:rFonts w:ascii="Arial" w:hAnsi="Arial" w:cs="Arial"/>
                <w:noProof/>
              </w:rPr>
              <w:t>INTRODUCTION</w:t>
            </w:r>
            <w:r w:rsidR="00505C97">
              <w:rPr>
                <w:noProof/>
                <w:webHidden/>
              </w:rPr>
              <w:tab/>
            </w:r>
            <w:r w:rsidR="00505C97">
              <w:rPr>
                <w:noProof/>
                <w:webHidden/>
              </w:rPr>
              <w:fldChar w:fldCharType="begin"/>
            </w:r>
            <w:r w:rsidR="00505C97">
              <w:rPr>
                <w:noProof/>
                <w:webHidden/>
              </w:rPr>
              <w:instrText xml:space="preserve"> PAGEREF _Toc33527752 \h </w:instrText>
            </w:r>
            <w:r w:rsidR="00505C97">
              <w:rPr>
                <w:noProof/>
                <w:webHidden/>
              </w:rPr>
            </w:r>
            <w:r w:rsidR="00505C97">
              <w:rPr>
                <w:noProof/>
                <w:webHidden/>
              </w:rPr>
              <w:fldChar w:fldCharType="separate"/>
            </w:r>
            <w:r w:rsidR="00505C97">
              <w:rPr>
                <w:noProof/>
                <w:webHidden/>
              </w:rPr>
              <w:t>39</w:t>
            </w:r>
            <w:r w:rsidR="00505C97">
              <w:rPr>
                <w:noProof/>
                <w:webHidden/>
              </w:rPr>
              <w:fldChar w:fldCharType="end"/>
            </w:r>
          </w:hyperlink>
        </w:p>
        <w:p w14:paraId="4DC907B1" w14:textId="26421E2C" w:rsidR="00505C97" w:rsidRDefault="0036403D">
          <w:pPr>
            <w:pStyle w:val="TOC3"/>
            <w:tabs>
              <w:tab w:val="right" w:leader="dot" w:pos="9016"/>
            </w:tabs>
            <w:rPr>
              <w:rFonts w:eastAsiaTheme="minorEastAsia" w:cstheme="minorBidi"/>
              <w:i w:val="0"/>
              <w:iCs w:val="0"/>
              <w:noProof/>
              <w:sz w:val="22"/>
              <w:szCs w:val="22"/>
              <w:lang w:eastAsia="en-AU"/>
            </w:rPr>
          </w:pPr>
          <w:hyperlink w:anchor="_Toc33527753" w:history="1">
            <w:r w:rsidR="00505C97" w:rsidRPr="000C34E7">
              <w:rPr>
                <w:rStyle w:val="Hyperlink"/>
                <w:rFonts w:ascii="Arial" w:hAnsi="Arial" w:cs="Arial"/>
                <w:noProof/>
              </w:rPr>
              <w:t>3.1 Most adolescents feel connected to their peers</w:t>
            </w:r>
            <w:r w:rsidR="00505C97">
              <w:rPr>
                <w:noProof/>
                <w:webHidden/>
              </w:rPr>
              <w:tab/>
            </w:r>
            <w:r w:rsidR="00505C97">
              <w:rPr>
                <w:noProof/>
                <w:webHidden/>
              </w:rPr>
              <w:fldChar w:fldCharType="begin"/>
            </w:r>
            <w:r w:rsidR="00505C97">
              <w:rPr>
                <w:noProof/>
                <w:webHidden/>
              </w:rPr>
              <w:instrText xml:space="preserve"> PAGEREF _Toc33527753 \h </w:instrText>
            </w:r>
            <w:r w:rsidR="00505C97">
              <w:rPr>
                <w:noProof/>
                <w:webHidden/>
              </w:rPr>
            </w:r>
            <w:r w:rsidR="00505C97">
              <w:rPr>
                <w:noProof/>
                <w:webHidden/>
              </w:rPr>
              <w:fldChar w:fldCharType="separate"/>
            </w:r>
            <w:r w:rsidR="00505C97">
              <w:rPr>
                <w:noProof/>
                <w:webHidden/>
              </w:rPr>
              <w:t>39</w:t>
            </w:r>
            <w:r w:rsidR="00505C97">
              <w:rPr>
                <w:noProof/>
                <w:webHidden/>
              </w:rPr>
              <w:fldChar w:fldCharType="end"/>
            </w:r>
          </w:hyperlink>
        </w:p>
        <w:p w14:paraId="3438F8B4" w14:textId="1A23F270" w:rsidR="00505C97" w:rsidRDefault="0036403D">
          <w:pPr>
            <w:pStyle w:val="TOC3"/>
            <w:tabs>
              <w:tab w:val="left" w:pos="1100"/>
              <w:tab w:val="right" w:leader="dot" w:pos="9016"/>
            </w:tabs>
            <w:rPr>
              <w:rFonts w:eastAsiaTheme="minorEastAsia" w:cstheme="minorBidi"/>
              <w:i w:val="0"/>
              <w:iCs w:val="0"/>
              <w:noProof/>
              <w:sz w:val="22"/>
              <w:szCs w:val="22"/>
              <w:lang w:eastAsia="en-AU"/>
            </w:rPr>
          </w:pPr>
          <w:hyperlink w:anchor="_Toc33527754" w:history="1">
            <w:r w:rsidR="00505C97" w:rsidRPr="000C34E7">
              <w:rPr>
                <w:rStyle w:val="Hyperlink"/>
                <w:rFonts w:ascii="Arial" w:hAnsi="Arial" w:cs="Arial"/>
                <w:noProof/>
              </w:rPr>
              <w:t>3.2</w:t>
            </w:r>
            <w:r w:rsidR="00505C97">
              <w:rPr>
                <w:rFonts w:eastAsiaTheme="minorEastAsia" w:cstheme="minorBidi"/>
                <w:i w:val="0"/>
                <w:iCs w:val="0"/>
                <w:noProof/>
                <w:sz w:val="22"/>
                <w:szCs w:val="22"/>
                <w:lang w:eastAsia="en-AU"/>
              </w:rPr>
              <w:tab/>
            </w:r>
            <w:r w:rsidR="00505C97" w:rsidRPr="000C34E7">
              <w:rPr>
                <w:rStyle w:val="Hyperlink"/>
                <w:rFonts w:ascii="Arial" w:hAnsi="Arial" w:cs="Arial"/>
                <w:noProof/>
              </w:rPr>
              <w:t>Life satisfaction among adolescents is declining</w:t>
            </w:r>
            <w:r w:rsidR="00505C97">
              <w:rPr>
                <w:noProof/>
                <w:webHidden/>
              </w:rPr>
              <w:tab/>
            </w:r>
            <w:r w:rsidR="00505C97">
              <w:rPr>
                <w:noProof/>
                <w:webHidden/>
              </w:rPr>
              <w:fldChar w:fldCharType="begin"/>
            </w:r>
            <w:r w:rsidR="00505C97">
              <w:rPr>
                <w:noProof/>
                <w:webHidden/>
              </w:rPr>
              <w:instrText xml:space="preserve"> PAGEREF _Toc33527754 \h </w:instrText>
            </w:r>
            <w:r w:rsidR="00505C97">
              <w:rPr>
                <w:noProof/>
                <w:webHidden/>
              </w:rPr>
            </w:r>
            <w:r w:rsidR="00505C97">
              <w:rPr>
                <w:noProof/>
                <w:webHidden/>
              </w:rPr>
              <w:fldChar w:fldCharType="separate"/>
            </w:r>
            <w:r w:rsidR="00505C97">
              <w:rPr>
                <w:noProof/>
                <w:webHidden/>
              </w:rPr>
              <w:t>40</w:t>
            </w:r>
            <w:r w:rsidR="00505C97">
              <w:rPr>
                <w:noProof/>
                <w:webHidden/>
              </w:rPr>
              <w:fldChar w:fldCharType="end"/>
            </w:r>
          </w:hyperlink>
        </w:p>
        <w:p w14:paraId="08A9DE58" w14:textId="2D8C075B" w:rsidR="00505C97" w:rsidRDefault="0036403D">
          <w:pPr>
            <w:pStyle w:val="TOC3"/>
            <w:tabs>
              <w:tab w:val="left" w:pos="1100"/>
              <w:tab w:val="right" w:leader="dot" w:pos="9016"/>
            </w:tabs>
            <w:rPr>
              <w:rFonts w:eastAsiaTheme="minorEastAsia" w:cstheme="minorBidi"/>
              <w:i w:val="0"/>
              <w:iCs w:val="0"/>
              <w:noProof/>
              <w:sz w:val="22"/>
              <w:szCs w:val="22"/>
              <w:lang w:eastAsia="en-AU"/>
            </w:rPr>
          </w:pPr>
          <w:hyperlink w:anchor="_Toc33527755" w:history="1">
            <w:r w:rsidR="00505C97" w:rsidRPr="000C34E7">
              <w:rPr>
                <w:rStyle w:val="Hyperlink"/>
                <w:rFonts w:ascii="Arial" w:hAnsi="Arial" w:cs="Arial"/>
                <w:noProof/>
              </w:rPr>
              <w:t>3.3</w:t>
            </w:r>
            <w:r w:rsidR="00505C97">
              <w:rPr>
                <w:rFonts w:eastAsiaTheme="minorEastAsia" w:cstheme="minorBidi"/>
                <w:i w:val="0"/>
                <w:iCs w:val="0"/>
                <w:noProof/>
                <w:sz w:val="22"/>
                <w:szCs w:val="22"/>
                <w:lang w:eastAsia="en-AU"/>
              </w:rPr>
              <w:tab/>
            </w:r>
            <w:r w:rsidR="00505C97" w:rsidRPr="000C34E7">
              <w:rPr>
                <w:rStyle w:val="Hyperlink"/>
                <w:rFonts w:ascii="Arial" w:hAnsi="Arial" w:cs="Arial"/>
                <w:noProof/>
              </w:rPr>
              <w:t>A declining proportion of adolescents have high levels of resilience</w:t>
            </w:r>
            <w:r w:rsidR="00505C97">
              <w:rPr>
                <w:noProof/>
                <w:webHidden/>
              </w:rPr>
              <w:tab/>
            </w:r>
            <w:r w:rsidR="00505C97">
              <w:rPr>
                <w:noProof/>
                <w:webHidden/>
              </w:rPr>
              <w:fldChar w:fldCharType="begin"/>
            </w:r>
            <w:r w:rsidR="00505C97">
              <w:rPr>
                <w:noProof/>
                <w:webHidden/>
              </w:rPr>
              <w:instrText xml:space="preserve"> PAGEREF _Toc33527755 \h </w:instrText>
            </w:r>
            <w:r w:rsidR="00505C97">
              <w:rPr>
                <w:noProof/>
                <w:webHidden/>
              </w:rPr>
            </w:r>
            <w:r w:rsidR="00505C97">
              <w:rPr>
                <w:noProof/>
                <w:webHidden/>
              </w:rPr>
              <w:fldChar w:fldCharType="separate"/>
            </w:r>
            <w:r w:rsidR="00505C97">
              <w:rPr>
                <w:noProof/>
                <w:webHidden/>
              </w:rPr>
              <w:t>41</w:t>
            </w:r>
            <w:r w:rsidR="00505C97">
              <w:rPr>
                <w:noProof/>
                <w:webHidden/>
              </w:rPr>
              <w:fldChar w:fldCharType="end"/>
            </w:r>
          </w:hyperlink>
        </w:p>
        <w:p w14:paraId="77C39E59" w14:textId="4A4A8038" w:rsidR="00505C97" w:rsidRDefault="0036403D">
          <w:pPr>
            <w:pStyle w:val="TOC3"/>
            <w:tabs>
              <w:tab w:val="left" w:pos="1100"/>
              <w:tab w:val="right" w:leader="dot" w:pos="9016"/>
            </w:tabs>
            <w:rPr>
              <w:rFonts w:eastAsiaTheme="minorEastAsia" w:cstheme="minorBidi"/>
              <w:i w:val="0"/>
              <w:iCs w:val="0"/>
              <w:noProof/>
              <w:sz w:val="22"/>
              <w:szCs w:val="22"/>
              <w:lang w:eastAsia="en-AU"/>
            </w:rPr>
          </w:pPr>
          <w:hyperlink w:anchor="_Toc33527756" w:history="1">
            <w:r w:rsidR="00505C97" w:rsidRPr="000C34E7">
              <w:rPr>
                <w:rStyle w:val="Hyperlink"/>
                <w:rFonts w:ascii="Arial" w:hAnsi="Arial" w:cs="Arial"/>
                <w:noProof/>
              </w:rPr>
              <w:t>3.4</w:t>
            </w:r>
            <w:r w:rsidR="00505C97">
              <w:rPr>
                <w:rFonts w:eastAsiaTheme="minorEastAsia" w:cstheme="minorBidi"/>
                <w:i w:val="0"/>
                <w:iCs w:val="0"/>
                <w:noProof/>
                <w:sz w:val="22"/>
                <w:szCs w:val="22"/>
                <w:lang w:eastAsia="en-AU"/>
              </w:rPr>
              <w:tab/>
            </w:r>
            <w:r w:rsidR="00505C97" w:rsidRPr="000C34E7">
              <w:rPr>
                <w:rStyle w:val="Hyperlink"/>
                <w:rFonts w:ascii="Arial" w:hAnsi="Arial" w:cs="Arial"/>
                <w:noProof/>
              </w:rPr>
              <w:t>Younger adolescents are twice as likely to be bullied than older adolescents</w:t>
            </w:r>
            <w:r w:rsidR="00505C97">
              <w:rPr>
                <w:noProof/>
                <w:webHidden/>
              </w:rPr>
              <w:tab/>
            </w:r>
            <w:r w:rsidR="00505C97">
              <w:rPr>
                <w:noProof/>
                <w:webHidden/>
              </w:rPr>
              <w:fldChar w:fldCharType="begin"/>
            </w:r>
            <w:r w:rsidR="00505C97">
              <w:rPr>
                <w:noProof/>
                <w:webHidden/>
              </w:rPr>
              <w:instrText xml:space="preserve"> PAGEREF _Toc33527756 \h </w:instrText>
            </w:r>
            <w:r w:rsidR="00505C97">
              <w:rPr>
                <w:noProof/>
                <w:webHidden/>
              </w:rPr>
            </w:r>
            <w:r w:rsidR="00505C97">
              <w:rPr>
                <w:noProof/>
                <w:webHidden/>
              </w:rPr>
              <w:fldChar w:fldCharType="separate"/>
            </w:r>
            <w:r w:rsidR="00505C97">
              <w:rPr>
                <w:noProof/>
                <w:webHidden/>
              </w:rPr>
              <w:t>43</w:t>
            </w:r>
            <w:r w:rsidR="00505C97">
              <w:rPr>
                <w:noProof/>
                <w:webHidden/>
              </w:rPr>
              <w:fldChar w:fldCharType="end"/>
            </w:r>
          </w:hyperlink>
        </w:p>
        <w:p w14:paraId="269EA802" w14:textId="1D4FA976" w:rsidR="00505C97" w:rsidRDefault="0036403D">
          <w:pPr>
            <w:pStyle w:val="TOC3"/>
            <w:tabs>
              <w:tab w:val="left" w:pos="1100"/>
              <w:tab w:val="right" w:leader="dot" w:pos="9016"/>
            </w:tabs>
            <w:rPr>
              <w:rFonts w:eastAsiaTheme="minorEastAsia" w:cstheme="minorBidi"/>
              <w:i w:val="0"/>
              <w:iCs w:val="0"/>
              <w:noProof/>
              <w:sz w:val="22"/>
              <w:szCs w:val="22"/>
              <w:lang w:eastAsia="en-AU"/>
            </w:rPr>
          </w:pPr>
          <w:hyperlink w:anchor="_Toc33527757" w:history="1">
            <w:r w:rsidR="00505C97" w:rsidRPr="000C34E7">
              <w:rPr>
                <w:rStyle w:val="Hyperlink"/>
                <w:rFonts w:ascii="Arial" w:hAnsi="Arial" w:cs="Arial"/>
                <w:noProof/>
              </w:rPr>
              <w:t>3.5</w:t>
            </w:r>
            <w:r w:rsidR="00505C97">
              <w:rPr>
                <w:rFonts w:eastAsiaTheme="minorEastAsia" w:cstheme="minorBidi"/>
                <w:i w:val="0"/>
                <w:iCs w:val="0"/>
                <w:noProof/>
                <w:sz w:val="22"/>
                <w:szCs w:val="22"/>
                <w:lang w:eastAsia="en-AU"/>
              </w:rPr>
              <w:tab/>
            </w:r>
            <w:r w:rsidR="00505C97" w:rsidRPr="000C34E7">
              <w:rPr>
                <w:rStyle w:val="Hyperlink"/>
                <w:rFonts w:ascii="Arial" w:hAnsi="Arial" w:cs="Arial"/>
                <w:noProof/>
              </w:rPr>
              <w:t>Adolescents who have been bullied are more likely to be absent from school and less likely to be high achievers</w:t>
            </w:r>
            <w:r w:rsidR="00505C97">
              <w:rPr>
                <w:noProof/>
                <w:webHidden/>
              </w:rPr>
              <w:tab/>
            </w:r>
            <w:r w:rsidR="00505C97">
              <w:rPr>
                <w:noProof/>
                <w:webHidden/>
              </w:rPr>
              <w:fldChar w:fldCharType="begin"/>
            </w:r>
            <w:r w:rsidR="00505C97">
              <w:rPr>
                <w:noProof/>
                <w:webHidden/>
              </w:rPr>
              <w:instrText xml:space="preserve"> PAGEREF _Toc33527757 \h </w:instrText>
            </w:r>
            <w:r w:rsidR="00505C97">
              <w:rPr>
                <w:noProof/>
                <w:webHidden/>
              </w:rPr>
            </w:r>
            <w:r w:rsidR="00505C97">
              <w:rPr>
                <w:noProof/>
                <w:webHidden/>
              </w:rPr>
              <w:fldChar w:fldCharType="separate"/>
            </w:r>
            <w:r w:rsidR="00505C97">
              <w:rPr>
                <w:noProof/>
                <w:webHidden/>
              </w:rPr>
              <w:t>44</w:t>
            </w:r>
            <w:r w:rsidR="00505C97">
              <w:rPr>
                <w:noProof/>
                <w:webHidden/>
              </w:rPr>
              <w:fldChar w:fldCharType="end"/>
            </w:r>
          </w:hyperlink>
        </w:p>
        <w:p w14:paraId="2FA008F4" w14:textId="2A81BFD0" w:rsidR="00505C97" w:rsidRDefault="0036403D">
          <w:pPr>
            <w:pStyle w:val="TOC3"/>
            <w:tabs>
              <w:tab w:val="left" w:pos="1100"/>
              <w:tab w:val="right" w:leader="dot" w:pos="9016"/>
            </w:tabs>
            <w:rPr>
              <w:rFonts w:eastAsiaTheme="minorEastAsia" w:cstheme="minorBidi"/>
              <w:i w:val="0"/>
              <w:iCs w:val="0"/>
              <w:noProof/>
              <w:sz w:val="22"/>
              <w:szCs w:val="22"/>
              <w:lang w:eastAsia="en-AU"/>
            </w:rPr>
          </w:pPr>
          <w:hyperlink w:anchor="_Toc33527758" w:history="1">
            <w:r w:rsidR="00505C97" w:rsidRPr="000C34E7">
              <w:rPr>
                <w:rStyle w:val="Hyperlink"/>
                <w:rFonts w:ascii="Arial" w:hAnsi="Arial" w:cs="Arial"/>
                <w:noProof/>
              </w:rPr>
              <w:t>3.6</w:t>
            </w:r>
            <w:r w:rsidR="00505C97">
              <w:rPr>
                <w:rFonts w:eastAsiaTheme="minorEastAsia" w:cstheme="minorBidi"/>
                <w:i w:val="0"/>
                <w:iCs w:val="0"/>
                <w:noProof/>
                <w:sz w:val="22"/>
                <w:szCs w:val="22"/>
                <w:lang w:eastAsia="en-AU"/>
              </w:rPr>
              <w:tab/>
            </w:r>
            <w:r w:rsidR="00505C97" w:rsidRPr="000C34E7">
              <w:rPr>
                <w:rStyle w:val="Hyperlink"/>
                <w:rFonts w:ascii="Arial" w:hAnsi="Arial" w:cs="Arial"/>
                <w:noProof/>
              </w:rPr>
              <w:t>Around one in ten adolescents report being cyberbullied</w:t>
            </w:r>
            <w:r w:rsidR="00505C97">
              <w:rPr>
                <w:noProof/>
                <w:webHidden/>
              </w:rPr>
              <w:tab/>
            </w:r>
            <w:r w:rsidR="00505C97">
              <w:rPr>
                <w:noProof/>
                <w:webHidden/>
              </w:rPr>
              <w:fldChar w:fldCharType="begin"/>
            </w:r>
            <w:r w:rsidR="00505C97">
              <w:rPr>
                <w:noProof/>
                <w:webHidden/>
              </w:rPr>
              <w:instrText xml:space="preserve"> PAGEREF _Toc33527758 \h </w:instrText>
            </w:r>
            <w:r w:rsidR="00505C97">
              <w:rPr>
                <w:noProof/>
                <w:webHidden/>
              </w:rPr>
            </w:r>
            <w:r w:rsidR="00505C97">
              <w:rPr>
                <w:noProof/>
                <w:webHidden/>
              </w:rPr>
              <w:fldChar w:fldCharType="separate"/>
            </w:r>
            <w:r w:rsidR="00505C97">
              <w:rPr>
                <w:noProof/>
                <w:webHidden/>
              </w:rPr>
              <w:t>45</w:t>
            </w:r>
            <w:r w:rsidR="00505C97">
              <w:rPr>
                <w:noProof/>
                <w:webHidden/>
              </w:rPr>
              <w:fldChar w:fldCharType="end"/>
            </w:r>
          </w:hyperlink>
        </w:p>
        <w:p w14:paraId="29844345" w14:textId="5C7DF390" w:rsidR="00505C97" w:rsidRDefault="0036403D">
          <w:pPr>
            <w:pStyle w:val="TOC3"/>
            <w:tabs>
              <w:tab w:val="left" w:pos="1100"/>
              <w:tab w:val="right" w:leader="dot" w:pos="9016"/>
            </w:tabs>
            <w:rPr>
              <w:rFonts w:eastAsiaTheme="minorEastAsia" w:cstheme="minorBidi"/>
              <w:i w:val="0"/>
              <w:iCs w:val="0"/>
              <w:noProof/>
              <w:sz w:val="22"/>
              <w:szCs w:val="22"/>
              <w:lang w:eastAsia="en-AU"/>
            </w:rPr>
          </w:pPr>
          <w:hyperlink w:anchor="_Toc33527759" w:history="1">
            <w:r w:rsidR="00505C97" w:rsidRPr="000C34E7">
              <w:rPr>
                <w:rStyle w:val="Hyperlink"/>
                <w:rFonts w:ascii="Arial" w:hAnsi="Arial" w:cs="Arial"/>
                <w:noProof/>
              </w:rPr>
              <w:t>3.7</w:t>
            </w:r>
            <w:r w:rsidR="00505C97">
              <w:rPr>
                <w:rFonts w:eastAsiaTheme="minorEastAsia" w:cstheme="minorBidi"/>
                <w:i w:val="0"/>
                <w:iCs w:val="0"/>
                <w:noProof/>
                <w:sz w:val="22"/>
                <w:szCs w:val="22"/>
                <w:lang w:eastAsia="en-AU"/>
              </w:rPr>
              <w:tab/>
            </w:r>
            <w:r w:rsidR="00505C97" w:rsidRPr="000C34E7">
              <w:rPr>
                <w:rStyle w:val="Hyperlink"/>
                <w:rFonts w:ascii="Arial" w:hAnsi="Arial" w:cs="Arial"/>
                <w:noProof/>
              </w:rPr>
              <w:t>Experiences of bullying remain prevalent for LGBTIQ adolescents</w:t>
            </w:r>
            <w:r w:rsidR="00505C97">
              <w:rPr>
                <w:noProof/>
                <w:webHidden/>
              </w:rPr>
              <w:tab/>
            </w:r>
            <w:r w:rsidR="00505C97">
              <w:rPr>
                <w:noProof/>
                <w:webHidden/>
              </w:rPr>
              <w:fldChar w:fldCharType="begin"/>
            </w:r>
            <w:r w:rsidR="00505C97">
              <w:rPr>
                <w:noProof/>
                <w:webHidden/>
              </w:rPr>
              <w:instrText xml:space="preserve"> PAGEREF _Toc33527759 \h </w:instrText>
            </w:r>
            <w:r w:rsidR="00505C97">
              <w:rPr>
                <w:noProof/>
                <w:webHidden/>
              </w:rPr>
            </w:r>
            <w:r w:rsidR="00505C97">
              <w:rPr>
                <w:noProof/>
                <w:webHidden/>
              </w:rPr>
              <w:fldChar w:fldCharType="separate"/>
            </w:r>
            <w:r w:rsidR="00505C97">
              <w:rPr>
                <w:noProof/>
                <w:webHidden/>
              </w:rPr>
              <w:t>46</w:t>
            </w:r>
            <w:r w:rsidR="00505C97">
              <w:rPr>
                <w:noProof/>
                <w:webHidden/>
              </w:rPr>
              <w:fldChar w:fldCharType="end"/>
            </w:r>
          </w:hyperlink>
        </w:p>
        <w:p w14:paraId="5215849C" w14:textId="59D10DB1" w:rsidR="00505C97" w:rsidRDefault="0036403D">
          <w:pPr>
            <w:pStyle w:val="TOC3"/>
            <w:tabs>
              <w:tab w:val="left" w:pos="1100"/>
              <w:tab w:val="right" w:leader="dot" w:pos="9016"/>
            </w:tabs>
            <w:rPr>
              <w:rFonts w:eastAsiaTheme="minorEastAsia" w:cstheme="minorBidi"/>
              <w:i w:val="0"/>
              <w:iCs w:val="0"/>
              <w:noProof/>
              <w:sz w:val="22"/>
              <w:szCs w:val="22"/>
              <w:lang w:eastAsia="en-AU"/>
            </w:rPr>
          </w:pPr>
          <w:hyperlink w:anchor="_Toc33527760" w:history="1">
            <w:r w:rsidR="00505C97" w:rsidRPr="000C34E7">
              <w:rPr>
                <w:rStyle w:val="Hyperlink"/>
                <w:rFonts w:ascii="Arial" w:hAnsi="Arial" w:cs="Arial"/>
                <w:noProof/>
              </w:rPr>
              <w:t>3.8</w:t>
            </w:r>
            <w:r w:rsidR="00505C97">
              <w:rPr>
                <w:rFonts w:eastAsiaTheme="minorEastAsia" w:cstheme="minorBidi"/>
                <w:i w:val="0"/>
                <w:iCs w:val="0"/>
                <w:noProof/>
                <w:sz w:val="22"/>
                <w:szCs w:val="22"/>
                <w:lang w:eastAsia="en-AU"/>
              </w:rPr>
              <w:tab/>
            </w:r>
            <w:r w:rsidR="00505C97" w:rsidRPr="000C34E7">
              <w:rPr>
                <w:rStyle w:val="Hyperlink"/>
                <w:rFonts w:ascii="Arial" w:hAnsi="Arial" w:cs="Arial"/>
                <w:noProof/>
              </w:rPr>
              <w:t>Mental wellbeing in adolescence</w:t>
            </w:r>
            <w:r w:rsidR="00505C97">
              <w:rPr>
                <w:noProof/>
                <w:webHidden/>
              </w:rPr>
              <w:tab/>
            </w:r>
            <w:r w:rsidR="00505C97">
              <w:rPr>
                <w:noProof/>
                <w:webHidden/>
              </w:rPr>
              <w:fldChar w:fldCharType="begin"/>
            </w:r>
            <w:r w:rsidR="00505C97">
              <w:rPr>
                <w:noProof/>
                <w:webHidden/>
              </w:rPr>
              <w:instrText xml:space="preserve"> PAGEREF _Toc33527760 \h </w:instrText>
            </w:r>
            <w:r w:rsidR="00505C97">
              <w:rPr>
                <w:noProof/>
                <w:webHidden/>
              </w:rPr>
            </w:r>
            <w:r w:rsidR="00505C97">
              <w:rPr>
                <w:noProof/>
                <w:webHidden/>
              </w:rPr>
              <w:fldChar w:fldCharType="separate"/>
            </w:r>
            <w:r w:rsidR="00505C97">
              <w:rPr>
                <w:noProof/>
                <w:webHidden/>
              </w:rPr>
              <w:t>47</w:t>
            </w:r>
            <w:r w:rsidR="00505C97">
              <w:rPr>
                <w:noProof/>
                <w:webHidden/>
              </w:rPr>
              <w:fldChar w:fldCharType="end"/>
            </w:r>
          </w:hyperlink>
        </w:p>
        <w:p w14:paraId="1E8D26A5" w14:textId="28B22985" w:rsidR="00505C97" w:rsidRDefault="0036403D">
          <w:pPr>
            <w:pStyle w:val="TOC3"/>
            <w:tabs>
              <w:tab w:val="left" w:pos="1100"/>
              <w:tab w:val="right" w:leader="dot" w:pos="9016"/>
            </w:tabs>
            <w:rPr>
              <w:rFonts w:eastAsiaTheme="minorEastAsia" w:cstheme="minorBidi"/>
              <w:i w:val="0"/>
              <w:iCs w:val="0"/>
              <w:noProof/>
              <w:sz w:val="22"/>
              <w:szCs w:val="22"/>
              <w:lang w:eastAsia="en-AU"/>
            </w:rPr>
          </w:pPr>
          <w:hyperlink w:anchor="_Toc33527761" w:history="1">
            <w:r w:rsidR="00505C97" w:rsidRPr="000C34E7">
              <w:rPr>
                <w:rStyle w:val="Hyperlink"/>
                <w:rFonts w:ascii="Arial" w:hAnsi="Arial" w:cs="Arial"/>
                <w:noProof/>
              </w:rPr>
              <w:t>3.9</w:t>
            </w:r>
            <w:r w:rsidR="00505C97">
              <w:rPr>
                <w:rFonts w:eastAsiaTheme="minorEastAsia" w:cstheme="minorBidi"/>
                <w:i w:val="0"/>
                <w:iCs w:val="0"/>
                <w:noProof/>
                <w:sz w:val="22"/>
                <w:szCs w:val="22"/>
                <w:lang w:eastAsia="en-AU"/>
              </w:rPr>
              <w:tab/>
            </w:r>
            <w:r w:rsidR="00505C97" w:rsidRPr="000C34E7">
              <w:rPr>
                <w:rStyle w:val="Hyperlink"/>
                <w:rFonts w:ascii="Arial" w:hAnsi="Arial" w:cs="Arial"/>
                <w:noProof/>
              </w:rPr>
              <w:t>More Victorian adolescents are reporting depressive symptoms</w:t>
            </w:r>
            <w:r w:rsidR="00505C97">
              <w:rPr>
                <w:noProof/>
                <w:webHidden/>
              </w:rPr>
              <w:tab/>
            </w:r>
            <w:r w:rsidR="00505C97">
              <w:rPr>
                <w:noProof/>
                <w:webHidden/>
              </w:rPr>
              <w:fldChar w:fldCharType="begin"/>
            </w:r>
            <w:r w:rsidR="00505C97">
              <w:rPr>
                <w:noProof/>
                <w:webHidden/>
              </w:rPr>
              <w:instrText xml:space="preserve"> PAGEREF _Toc33527761 \h </w:instrText>
            </w:r>
            <w:r w:rsidR="00505C97">
              <w:rPr>
                <w:noProof/>
                <w:webHidden/>
              </w:rPr>
            </w:r>
            <w:r w:rsidR="00505C97">
              <w:rPr>
                <w:noProof/>
                <w:webHidden/>
              </w:rPr>
              <w:fldChar w:fldCharType="separate"/>
            </w:r>
            <w:r w:rsidR="00505C97">
              <w:rPr>
                <w:noProof/>
                <w:webHidden/>
              </w:rPr>
              <w:t>48</w:t>
            </w:r>
            <w:r w:rsidR="00505C97">
              <w:rPr>
                <w:noProof/>
                <w:webHidden/>
              </w:rPr>
              <w:fldChar w:fldCharType="end"/>
            </w:r>
          </w:hyperlink>
        </w:p>
        <w:p w14:paraId="281056D8" w14:textId="48AE5270" w:rsidR="00505C97" w:rsidRDefault="0036403D">
          <w:pPr>
            <w:pStyle w:val="TOC3"/>
            <w:tabs>
              <w:tab w:val="left" w:pos="1100"/>
              <w:tab w:val="right" w:leader="dot" w:pos="9016"/>
            </w:tabs>
            <w:rPr>
              <w:rFonts w:eastAsiaTheme="minorEastAsia" w:cstheme="minorBidi"/>
              <w:i w:val="0"/>
              <w:iCs w:val="0"/>
              <w:noProof/>
              <w:sz w:val="22"/>
              <w:szCs w:val="22"/>
              <w:lang w:eastAsia="en-AU"/>
            </w:rPr>
          </w:pPr>
          <w:hyperlink w:anchor="_Toc33527762" w:history="1">
            <w:r w:rsidR="00505C97" w:rsidRPr="000C34E7">
              <w:rPr>
                <w:rStyle w:val="Hyperlink"/>
                <w:rFonts w:ascii="Arial" w:hAnsi="Arial" w:cs="Arial"/>
                <w:noProof/>
              </w:rPr>
              <w:t>3.10</w:t>
            </w:r>
            <w:r w:rsidR="00505C97">
              <w:rPr>
                <w:rFonts w:eastAsiaTheme="minorEastAsia" w:cstheme="minorBidi"/>
                <w:i w:val="0"/>
                <w:iCs w:val="0"/>
                <w:noProof/>
                <w:sz w:val="22"/>
                <w:szCs w:val="22"/>
                <w:lang w:eastAsia="en-AU"/>
              </w:rPr>
              <w:tab/>
            </w:r>
            <w:r w:rsidR="00505C97" w:rsidRPr="000C34E7">
              <w:rPr>
                <w:rStyle w:val="Hyperlink"/>
                <w:rFonts w:ascii="Arial" w:hAnsi="Arial" w:cs="Arial"/>
                <w:noProof/>
              </w:rPr>
              <w:t>Adolescent use of mental health services in Victoria is increasing</w:t>
            </w:r>
            <w:r w:rsidR="00505C97">
              <w:rPr>
                <w:noProof/>
                <w:webHidden/>
              </w:rPr>
              <w:tab/>
            </w:r>
            <w:r w:rsidR="00505C97">
              <w:rPr>
                <w:noProof/>
                <w:webHidden/>
              </w:rPr>
              <w:fldChar w:fldCharType="begin"/>
            </w:r>
            <w:r w:rsidR="00505C97">
              <w:rPr>
                <w:noProof/>
                <w:webHidden/>
              </w:rPr>
              <w:instrText xml:space="preserve"> PAGEREF _Toc33527762 \h </w:instrText>
            </w:r>
            <w:r w:rsidR="00505C97">
              <w:rPr>
                <w:noProof/>
                <w:webHidden/>
              </w:rPr>
            </w:r>
            <w:r w:rsidR="00505C97">
              <w:rPr>
                <w:noProof/>
                <w:webHidden/>
              </w:rPr>
              <w:fldChar w:fldCharType="separate"/>
            </w:r>
            <w:r w:rsidR="00505C97">
              <w:rPr>
                <w:noProof/>
                <w:webHidden/>
              </w:rPr>
              <w:t>49</w:t>
            </w:r>
            <w:r w:rsidR="00505C97">
              <w:rPr>
                <w:noProof/>
                <w:webHidden/>
              </w:rPr>
              <w:fldChar w:fldCharType="end"/>
            </w:r>
          </w:hyperlink>
        </w:p>
        <w:p w14:paraId="15E05A36" w14:textId="42A0AC91" w:rsidR="00505C97" w:rsidRDefault="0036403D">
          <w:pPr>
            <w:pStyle w:val="TOC3"/>
            <w:tabs>
              <w:tab w:val="left" w:pos="1100"/>
              <w:tab w:val="right" w:leader="dot" w:pos="9016"/>
            </w:tabs>
            <w:rPr>
              <w:rFonts w:eastAsiaTheme="minorEastAsia" w:cstheme="minorBidi"/>
              <w:i w:val="0"/>
              <w:iCs w:val="0"/>
              <w:noProof/>
              <w:sz w:val="22"/>
              <w:szCs w:val="22"/>
              <w:lang w:eastAsia="en-AU"/>
            </w:rPr>
          </w:pPr>
          <w:hyperlink w:anchor="_Toc33527763" w:history="1">
            <w:r w:rsidR="00505C97" w:rsidRPr="000C34E7">
              <w:rPr>
                <w:rStyle w:val="Hyperlink"/>
                <w:rFonts w:ascii="Arial" w:hAnsi="Arial" w:cs="Arial"/>
                <w:noProof/>
              </w:rPr>
              <w:t>3.11</w:t>
            </w:r>
            <w:r w:rsidR="00505C97">
              <w:rPr>
                <w:rFonts w:eastAsiaTheme="minorEastAsia" w:cstheme="minorBidi"/>
                <w:i w:val="0"/>
                <w:iCs w:val="0"/>
                <w:noProof/>
                <w:sz w:val="22"/>
                <w:szCs w:val="22"/>
                <w:lang w:eastAsia="en-AU"/>
              </w:rPr>
              <w:tab/>
            </w:r>
            <w:r w:rsidR="00505C97" w:rsidRPr="000C34E7">
              <w:rPr>
                <w:rStyle w:val="Hyperlink"/>
                <w:rFonts w:ascii="Arial" w:hAnsi="Arial" w:cs="Arial"/>
                <w:noProof/>
              </w:rPr>
              <w:t>Deliberate self-harm rates are increasing</w:t>
            </w:r>
            <w:r w:rsidR="00505C97">
              <w:rPr>
                <w:noProof/>
                <w:webHidden/>
              </w:rPr>
              <w:tab/>
            </w:r>
            <w:r w:rsidR="00505C97">
              <w:rPr>
                <w:noProof/>
                <w:webHidden/>
              </w:rPr>
              <w:fldChar w:fldCharType="begin"/>
            </w:r>
            <w:r w:rsidR="00505C97">
              <w:rPr>
                <w:noProof/>
                <w:webHidden/>
              </w:rPr>
              <w:instrText xml:space="preserve"> PAGEREF _Toc33527763 \h </w:instrText>
            </w:r>
            <w:r w:rsidR="00505C97">
              <w:rPr>
                <w:noProof/>
                <w:webHidden/>
              </w:rPr>
            </w:r>
            <w:r w:rsidR="00505C97">
              <w:rPr>
                <w:noProof/>
                <w:webHidden/>
              </w:rPr>
              <w:fldChar w:fldCharType="separate"/>
            </w:r>
            <w:r w:rsidR="00505C97">
              <w:rPr>
                <w:noProof/>
                <w:webHidden/>
              </w:rPr>
              <w:t>50</w:t>
            </w:r>
            <w:r w:rsidR="00505C97">
              <w:rPr>
                <w:noProof/>
                <w:webHidden/>
              </w:rPr>
              <w:fldChar w:fldCharType="end"/>
            </w:r>
          </w:hyperlink>
        </w:p>
        <w:p w14:paraId="5AF196DE" w14:textId="4BCC6516" w:rsidR="00505C97" w:rsidRDefault="0036403D">
          <w:pPr>
            <w:pStyle w:val="TOC1"/>
            <w:tabs>
              <w:tab w:val="right" w:leader="dot" w:pos="9016"/>
            </w:tabs>
            <w:rPr>
              <w:rFonts w:eastAsiaTheme="minorEastAsia" w:cstheme="minorBidi"/>
              <w:b w:val="0"/>
              <w:bCs w:val="0"/>
              <w:caps w:val="0"/>
              <w:noProof/>
              <w:sz w:val="22"/>
              <w:szCs w:val="22"/>
              <w:lang w:eastAsia="en-AU"/>
            </w:rPr>
          </w:pPr>
          <w:hyperlink w:anchor="_Toc33527764" w:history="1">
            <w:r w:rsidR="00505C97" w:rsidRPr="000C34E7">
              <w:rPr>
                <w:rStyle w:val="Hyperlink"/>
                <w:noProof/>
                <w:lang w:bidi="en-US"/>
              </w:rPr>
              <w:t>EDUCATION</w:t>
            </w:r>
            <w:r w:rsidR="00505C97">
              <w:rPr>
                <w:noProof/>
                <w:webHidden/>
              </w:rPr>
              <w:tab/>
            </w:r>
            <w:r w:rsidR="00505C97">
              <w:rPr>
                <w:noProof/>
                <w:webHidden/>
              </w:rPr>
              <w:fldChar w:fldCharType="begin"/>
            </w:r>
            <w:r w:rsidR="00505C97">
              <w:rPr>
                <w:noProof/>
                <w:webHidden/>
              </w:rPr>
              <w:instrText xml:space="preserve"> PAGEREF _Toc33527764 \h </w:instrText>
            </w:r>
            <w:r w:rsidR="00505C97">
              <w:rPr>
                <w:noProof/>
                <w:webHidden/>
              </w:rPr>
            </w:r>
            <w:r w:rsidR="00505C97">
              <w:rPr>
                <w:noProof/>
                <w:webHidden/>
              </w:rPr>
              <w:fldChar w:fldCharType="separate"/>
            </w:r>
            <w:r w:rsidR="00505C97">
              <w:rPr>
                <w:noProof/>
                <w:webHidden/>
              </w:rPr>
              <w:t>54</w:t>
            </w:r>
            <w:r w:rsidR="00505C97">
              <w:rPr>
                <w:noProof/>
                <w:webHidden/>
              </w:rPr>
              <w:fldChar w:fldCharType="end"/>
            </w:r>
          </w:hyperlink>
        </w:p>
        <w:p w14:paraId="0135A6E8" w14:textId="7A682885" w:rsidR="00505C97" w:rsidRDefault="0036403D">
          <w:pPr>
            <w:pStyle w:val="TOC2"/>
            <w:tabs>
              <w:tab w:val="right" w:leader="dot" w:pos="9016"/>
            </w:tabs>
            <w:rPr>
              <w:rFonts w:eastAsiaTheme="minorEastAsia" w:cstheme="minorBidi"/>
              <w:smallCaps w:val="0"/>
              <w:noProof/>
              <w:sz w:val="22"/>
              <w:szCs w:val="22"/>
              <w:lang w:eastAsia="en-AU"/>
            </w:rPr>
          </w:pPr>
          <w:hyperlink w:anchor="_Toc33527765" w:history="1">
            <w:r w:rsidR="00505C97" w:rsidRPr="000C34E7">
              <w:rPr>
                <w:rStyle w:val="Hyperlink"/>
                <w:rFonts w:ascii="Arial" w:hAnsi="Arial" w:cs="Arial"/>
                <w:noProof/>
              </w:rPr>
              <w:t>INFOGRAPHIC SUMMARY</w:t>
            </w:r>
            <w:r w:rsidR="00505C97">
              <w:rPr>
                <w:noProof/>
                <w:webHidden/>
              </w:rPr>
              <w:tab/>
            </w:r>
            <w:r w:rsidR="00505C97">
              <w:rPr>
                <w:noProof/>
                <w:webHidden/>
              </w:rPr>
              <w:fldChar w:fldCharType="begin"/>
            </w:r>
            <w:r w:rsidR="00505C97">
              <w:rPr>
                <w:noProof/>
                <w:webHidden/>
              </w:rPr>
              <w:instrText xml:space="preserve"> PAGEREF _Toc33527765 \h </w:instrText>
            </w:r>
            <w:r w:rsidR="00505C97">
              <w:rPr>
                <w:noProof/>
                <w:webHidden/>
              </w:rPr>
            </w:r>
            <w:r w:rsidR="00505C97">
              <w:rPr>
                <w:noProof/>
                <w:webHidden/>
              </w:rPr>
              <w:fldChar w:fldCharType="separate"/>
            </w:r>
            <w:r w:rsidR="00505C97">
              <w:rPr>
                <w:noProof/>
                <w:webHidden/>
              </w:rPr>
              <w:t>54</w:t>
            </w:r>
            <w:r w:rsidR="00505C97">
              <w:rPr>
                <w:noProof/>
                <w:webHidden/>
              </w:rPr>
              <w:fldChar w:fldCharType="end"/>
            </w:r>
          </w:hyperlink>
        </w:p>
        <w:p w14:paraId="0250C71C" w14:textId="4338FBA5" w:rsidR="00505C97" w:rsidRDefault="0036403D">
          <w:pPr>
            <w:pStyle w:val="TOC2"/>
            <w:tabs>
              <w:tab w:val="right" w:leader="dot" w:pos="9016"/>
            </w:tabs>
            <w:rPr>
              <w:rFonts w:eastAsiaTheme="minorEastAsia" w:cstheme="minorBidi"/>
              <w:smallCaps w:val="0"/>
              <w:noProof/>
              <w:sz w:val="22"/>
              <w:szCs w:val="22"/>
              <w:lang w:eastAsia="en-AU"/>
            </w:rPr>
          </w:pPr>
          <w:hyperlink w:anchor="_Toc33527766" w:history="1">
            <w:r w:rsidR="00505C97" w:rsidRPr="000C34E7">
              <w:rPr>
                <w:rStyle w:val="Hyperlink"/>
                <w:rFonts w:ascii="Arial" w:hAnsi="Arial" w:cs="Arial"/>
                <w:noProof/>
              </w:rPr>
              <w:t>INTRODUCTION</w:t>
            </w:r>
            <w:r w:rsidR="00505C97">
              <w:rPr>
                <w:noProof/>
                <w:webHidden/>
              </w:rPr>
              <w:tab/>
            </w:r>
            <w:r w:rsidR="00505C97">
              <w:rPr>
                <w:noProof/>
                <w:webHidden/>
              </w:rPr>
              <w:fldChar w:fldCharType="begin"/>
            </w:r>
            <w:r w:rsidR="00505C97">
              <w:rPr>
                <w:noProof/>
                <w:webHidden/>
              </w:rPr>
              <w:instrText xml:space="preserve"> PAGEREF _Toc33527766 \h </w:instrText>
            </w:r>
            <w:r w:rsidR="00505C97">
              <w:rPr>
                <w:noProof/>
                <w:webHidden/>
              </w:rPr>
            </w:r>
            <w:r w:rsidR="00505C97">
              <w:rPr>
                <w:noProof/>
                <w:webHidden/>
              </w:rPr>
              <w:fldChar w:fldCharType="separate"/>
            </w:r>
            <w:r w:rsidR="00505C97">
              <w:rPr>
                <w:noProof/>
                <w:webHidden/>
              </w:rPr>
              <w:t>57</w:t>
            </w:r>
            <w:r w:rsidR="00505C97">
              <w:rPr>
                <w:noProof/>
                <w:webHidden/>
              </w:rPr>
              <w:fldChar w:fldCharType="end"/>
            </w:r>
          </w:hyperlink>
        </w:p>
        <w:p w14:paraId="6FF332D2" w14:textId="559F7AA0" w:rsidR="00505C97" w:rsidRDefault="0036403D">
          <w:pPr>
            <w:pStyle w:val="TOC3"/>
            <w:tabs>
              <w:tab w:val="left" w:pos="1100"/>
              <w:tab w:val="right" w:leader="dot" w:pos="9016"/>
            </w:tabs>
            <w:rPr>
              <w:rFonts w:eastAsiaTheme="minorEastAsia" w:cstheme="minorBidi"/>
              <w:i w:val="0"/>
              <w:iCs w:val="0"/>
              <w:noProof/>
              <w:sz w:val="22"/>
              <w:szCs w:val="22"/>
              <w:lang w:eastAsia="en-AU"/>
            </w:rPr>
          </w:pPr>
          <w:hyperlink w:anchor="_Toc33527767" w:history="1">
            <w:r w:rsidR="00505C97" w:rsidRPr="000C34E7">
              <w:rPr>
                <w:rStyle w:val="Hyperlink"/>
                <w:rFonts w:ascii="Arial" w:hAnsi="Arial" w:cs="Arial"/>
                <w:noProof/>
              </w:rPr>
              <w:t>4.1</w:t>
            </w:r>
            <w:r w:rsidR="00505C97">
              <w:rPr>
                <w:rFonts w:eastAsiaTheme="minorEastAsia" w:cstheme="minorBidi"/>
                <w:i w:val="0"/>
                <w:iCs w:val="0"/>
                <w:noProof/>
                <w:sz w:val="22"/>
                <w:szCs w:val="22"/>
                <w:lang w:eastAsia="en-AU"/>
              </w:rPr>
              <w:tab/>
            </w:r>
            <w:r w:rsidR="00505C97" w:rsidRPr="000C34E7">
              <w:rPr>
                <w:rStyle w:val="Hyperlink"/>
                <w:rFonts w:ascii="Arial" w:hAnsi="Arial" w:cs="Arial"/>
                <w:noProof/>
              </w:rPr>
              <w:t>Most Victorian schools implement transition programs, yet transition to secondary school remains a challenge for many students</w:t>
            </w:r>
            <w:r w:rsidR="00505C97">
              <w:rPr>
                <w:noProof/>
                <w:webHidden/>
              </w:rPr>
              <w:tab/>
            </w:r>
            <w:r w:rsidR="00505C97">
              <w:rPr>
                <w:noProof/>
                <w:webHidden/>
              </w:rPr>
              <w:fldChar w:fldCharType="begin"/>
            </w:r>
            <w:r w:rsidR="00505C97">
              <w:rPr>
                <w:noProof/>
                <w:webHidden/>
              </w:rPr>
              <w:instrText xml:space="preserve"> PAGEREF _Toc33527767 \h </w:instrText>
            </w:r>
            <w:r w:rsidR="00505C97">
              <w:rPr>
                <w:noProof/>
                <w:webHidden/>
              </w:rPr>
            </w:r>
            <w:r w:rsidR="00505C97">
              <w:rPr>
                <w:noProof/>
                <w:webHidden/>
              </w:rPr>
              <w:fldChar w:fldCharType="separate"/>
            </w:r>
            <w:r w:rsidR="00505C97">
              <w:rPr>
                <w:noProof/>
                <w:webHidden/>
              </w:rPr>
              <w:t>58</w:t>
            </w:r>
            <w:r w:rsidR="00505C97">
              <w:rPr>
                <w:noProof/>
                <w:webHidden/>
              </w:rPr>
              <w:fldChar w:fldCharType="end"/>
            </w:r>
          </w:hyperlink>
        </w:p>
        <w:p w14:paraId="5FF189B9" w14:textId="11F04577" w:rsidR="00505C97" w:rsidRDefault="0036403D">
          <w:pPr>
            <w:pStyle w:val="TOC3"/>
            <w:tabs>
              <w:tab w:val="left" w:pos="1100"/>
              <w:tab w:val="right" w:leader="dot" w:pos="9016"/>
            </w:tabs>
            <w:rPr>
              <w:rFonts w:eastAsiaTheme="minorEastAsia" w:cstheme="minorBidi"/>
              <w:i w:val="0"/>
              <w:iCs w:val="0"/>
              <w:noProof/>
              <w:sz w:val="22"/>
              <w:szCs w:val="22"/>
              <w:lang w:eastAsia="en-AU"/>
            </w:rPr>
          </w:pPr>
          <w:hyperlink w:anchor="_Toc33527768" w:history="1">
            <w:r w:rsidR="00505C97" w:rsidRPr="000C34E7">
              <w:rPr>
                <w:rStyle w:val="Hyperlink"/>
                <w:rFonts w:ascii="Arial" w:hAnsi="Arial" w:cs="Arial"/>
                <w:noProof/>
              </w:rPr>
              <w:t>4.2</w:t>
            </w:r>
            <w:r w:rsidR="00505C97">
              <w:rPr>
                <w:rFonts w:eastAsiaTheme="minorEastAsia" w:cstheme="minorBidi"/>
                <w:i w:val="0"/>
                <w:iCs w:val="0"/>
                <w:noProof/>
                <w:sz w:val="22"/>
                <w:szCs w:val="22"/>
                <w:lang w:eastAsia="en-AU"/>
              </w:rPr>
              <w:tab/>
            </w:r>
            <w:r w:rsidR="00505C97" w:rsidRPr="000C34E7">
              <w:rPr>
                <w:rStyle w:val="Hyperlink"/>
                <w:rFonts w:ascii="Arial" w:hAnsi="Arial" w:cs="Arial"/>
                <w:noProof/>
              </w:rPr>
              <w:t>Student attitudes to school become less positive on entry to secondary school, and never fully recover</w:t>
            </w:r>
            <w:r w:rsidR="00505C97">
              <w:rPr>
                <w:noProof/>
                <w:webHidden/>
              </w:rPr>
              <w:tab/>
            </w:r>
            <w:r w:rsidR="00505C97">
              <w:rPr>
                <w:noProof/>
                <w:webHidden/>
              </w:rPr>
              <w:fldChar w:fldCharType="begin"/>
            </w:r>
            <w:r w:rsidR="00505C97">
              <w:rPr>
                <w:noProof/>
                <w:webHidden/>
              </w:rPr>
              <w:instrText xml:space="preserve"> PAGEREF _Toc33527768 \h </w:instrText>
            </w:r>
            <w:r w:rsidR="00505C97">
              <w:rPr>
                <w:noProof/>
                <w:webHidden/>
              </w:rPr>
            </w:r>
            <w:r w:rsidR="00505C97">
              <w:rPr>
                <w:noProof/>
                <w:webHidden/>
              </w:rPr>
              <w:fldChar w:fldCharType="separate"/>
            </w:r>
            <w:r w:rsidR="00505C97">
              <w:rPr>
                <w:noProof/>
                <w:webHidden/>
              </w:rPr>
              <w:t>58</w:t>
            </w:r>
            <w:r w:rsidR="00505C97">
              <w:rPr>
                <w:noProof/>
                <w:webHidden/>
              </w:rPr>
              <w:fldChar w:fldCharType="end"/>
            </w:r>
          </w:hyperlink>
        </w:p>
        <w:p w14:paraId="503D7139" w14:textId="6A10B2EF" w:rsidR="00505C97" w:rsidRDefault="0036403D">
          <w:pPr>
            <w:pStyle w:val="TOC3"/>
            <w:tabs>
              <w:tab w:val="left" w:pos="1100"/>
              <w:tab w:val="right" w:leader="dot" w:pos="9016"/>
            </w:tabs>
            <w:rPr>
              <w:rFonts w:eastAsiaTheme="minorEastAsia" w:cstheme="minorBidi"/>
              <w:i w:val="0"/>
              <w:iCs w:val="0"/>
              <w:noProof/>
              <w:sz w:val="22"/>
              <w:szCs w:val="22"/>
              <w:lang w:eastAsia="en-AU"/>
            </w:rPr>
          </w:pPr>
          <w:hyperlink w:anchor="_Toc33527769" w:history="1">
            <w:r w:rsidR="00505C97" w:rsidRPr="000C34E7">
              <w:rPr>
                <w:rStyle w:val="Hyperlink"/>
                <w:rFonts w:ascii="Arial" w:hAnsi="Arial" w:cs="Arial"/>
                <w:noProof/>
              </w:rPr>
              <w:t>4.3</w:t>
            </w:r>
            <w:r w:rsidR="00505C97">
              <w:rPr>
                <w:rFonts w:eastAsiaTheme="minorEastAsia" w:cstheme="minorBidi"/>
                <w:i w:val="0"/>
                <w:iCs w:val="0"/>
                <w:noProof/>
                <w:sz w:val="22"/>
                <w:szCs w:val="22"/>
                <w:lang w:eastAsia="en-AU"/>
              </w:rPr>
              <w:tab/>
            </w:r>
            <w:r w:rsidR="00505C97" w:rsidRPr="000C34E7">
              <w:rPr>
                <w:rStyle w:val="Hyperlink"/>
                <w:rFonts w:ascii="Arial" w:hAnsi="Arial" w:cs="Arial"/>
                <w:noProof/>
              </w:rPr>
              <w:t>Adolescents who have a positive attitude to school are more likely to be high achievers</w:t>
            </w:r>
            <w:r w:rsidR="00505C97">
              <w:rPr>
                <w:noProof/>
                <w:webHidden/>
              </w:rPr>
              <w:tab/>
            </w:r>
            <w:r w:rsidR="00505C97">
              <w:rPr>
                <w:noProof/>
                <w:webHidden/>
              </w:rPr>
              <w:fldChar w:fldCharType="begin"/>
            </w:r>
            <w:r w:rsidR="00505C97">
              <w:rPr>
                <w:noProof/>
                <w:webHidden/>
              </w:rPr>
              <w:instrText xml:space="preserve"> PAGEREF _Toc33527769 \h </w:instrText>
            </w:r>
            <w:r w:rsidR="00505C97">
              <w:rPr>
                <w:noProof/>
                <w:webHidden/>
              </w:rPr>
            </w:r>
            <w:r w:rsidR="00505C97">
              <w:rPr>
                <w:noProof/>
                <w:webHidden/>
              </w:rPr>
              <w:fldChar w:fldCharType="separate"/>
            </w:r>
            <w:r w:rsidR="00505C97">
              <w:rPr>
                <w:noProof/>
                <w:webHidden/>
              </w:rPr>
              <w:t>60</w:t>
            </w:r>
            <w:r w:rsidR="00505C97">
              <w:rPr>
                <w:noProof/>
                <w:webHidden/>
              </w:rPr>
              <w:fldChar w:fldCharType="end"/>
            </w:r>
          </w:hyperlink>
        </w:p>
        <w:p w14:paraId="602D6A93" w14:textId="020D46A4" w:rsidR="00505C97" w:rsidRDefault="0036403D">
          <w:pPr>
            <w:pStyle w:val="TOC3"/>
            <w:tabs>
              <w:tab w:val="left" w:pos="1100"/>
              <w:tab w:val="right" w:leader="dot" w:pos="9016"/>
            </w:tabs>
            <w:rPr>
              <w:rFonts w:eastAsiaTheme="minorEastAsia" w:cstheme="minorBidi"/>
              <w:i w:val="0"/>
              <w:iCs w:val="0"/>
              <w:noProof/>
              <w:sz w:val="22"/>
              <w:szCs w:val="22"/>
              <w:lang w:eastAsia="en-AU"/>
            </w:rPr>
          </w:pPr>
          <w:hyperlink w:anchor="_Toc33527770" w:history="1">
            <w:r w:rsidR="00505C97" w:rsidRPr="000C34E7">
              <w:rPr>
                <w:rStyle w:val="Hyperlink"/>
                <w:rFonts w:ascii="Arial" w:hAnsi="Arial" w:cs="Arial"/>
                <w:noProof/>
              </w:rPr>
              <w:t>4.4</w:t>
            </w:r>
            <w:r w:rsidR="00505C97">
              <w:rPr>
                <w:rFonts w:eastAsiaTheme="minorEastAsia" w:cstheme="minorBidi"/>
                <w:i w:val="0"/>
                <w:iCs w:val="0"/>
                <w:noProof/>
                <w:sz w:val="22"/>
                <w:szCs w:val="22"/>
                <w:lang w:eastAsia="en-AU"/>
              </w:rPr>
              <w:tab/>
            </w:r>
            <w:r w:rsidR="00505C97" w:rsidRPr="000C34E7">
              <w:rPr>
                <w:rStyle w:val="Hyperlink"/>
                <w:rFonts w:ascii="Arial" w:hAnsi="Arial" w:cs="Arial"/>
                <w:noProof/>
              </w:rPr>
              <w:t>Adolescents’ attitudes towards attendance decline on the transition to secondary school, while absenteeism increases</w:t>
            </w:r>
            <w:r w:rsidR="00505C97">
              <w:rPr>
                <w:noProof/>
                <w:webHidden/>
              </w:rPr>
              <w:tab/>
            </w:r>
            <w:r w:rsidR="00505C97">
              <w:rPr>
                <w:noProof/>
                <w:webHidden/>
              </w:rPr>
              <w:fldChar w:fldCharType="begin"/>
            </w:r>
            <w:r w:rsidR="00505C97">
              <w:rPr>
                <w:noProof/>
                <w:webHidden/>
              </w:rPr>
              <w:instrText xml:space="preserve"> PAGEREF _Toc33527770 \h </w:instrText>
            </w:r>
            <w:r w:rsidR="00505C97">
              <w:rPr>
                <w:noProof/>
                <w:webHidden/>
              </w:rPr>
            </w:r>
            <w:r w:rsidR="00505C97">
              <w:rPr>
                <w:noProof/>
                <w:webHidden/>
              </w:rPr>
              <w:fldChar w:fldCharType="separate"/>
            </w:r>
            <w:r w:rsidR="00505C97">
              <w:rPr>
                <w:noProof/>
                <w:webHidden/>
              </w:rPr>
              <w:t>60</w:t>
            </w:r>
            <w:r w:rsidR="00505C97">
              <w:rPr>
                <w:noProof/>
                <w:webHidden/>
              </w:rPr>
              <w:fldChar w:fldCharType="end"/>
            </w:r>
          </w:hyperlink>
        </w:p>
        <w:p w14:paraId="495E858F" w14:textId="57C62682" w:rsidR="00505C97" w:rsidRDefault="0036403D">
          <w:pPr>
            <w:pStyle w:val="TOC3"/>
            <w:tabs>
              <w:tab w:val="left" w:pos="1100"/>
              <w:tab w:val="right" w:leader="dot" w:pos="9016"/>
            </w:tabs>
            <w:rPr>
              <w:rFonts w:eastAsiaTheme="minorEastAsia" w:cstheme="minorBidi"/>
              <w:i w:val="0"/>
              <w:iCs w:val="0"/>
              <w:noProof/>
              <w:sz w:val="22"/>
              <w:szCs w:val="22"/>
              <w:lang w:eastAsia="en-AU"/>
            </w:rPr>
          </w:pPr>
          <w:hyperlink w:anchor="_Toc33527771" w:history="1">
            <w:r w:rsidR="00505C97" w:rsidRPr="000C34E7">
              <w:rPr>
                <w:rStyle w:val="Hyperlink"/>
                <w:rFonts w:ascii="Arial" w:hAnsi="Arial" w:cs="Arial"/>
                <w:noProof/>
              </w:rPr>
              <w:t>4.5</w:t>
            </w:r>
            <w:r w:rsidR="00505C97">
              <w:rPr>
                <w:rFonts w:eastAsiaTheme="minorEastAsia" w:cstheme="minorBidi"/>
                <w:i w:val="0"/>
                <w:iCs w:val="0"/>
                <w:noProof/>
                <w:sz w:val="22"/>
                <w:szCs w:val="22"/>
                <w:lang w:eastAsia="en-AU"/>
              </w:rPr>
              <w:tab/>
            </w:r>
            <w:r w:rsidR="00505C97" w:rsidRPr="000C34E7">
              <w:rPr>
                <w:rStyle w:val="Hyperlink"/>
                <w:rFonts w:ascii="Arial" w:hAnsi="Arial" w:cs="Arial"/>
                <w:noProof/>
              </w:rPr>
              <w:t>Chronic absence peaks in adolescence</w:t>
            </w:r>
            <w:r w:rsidR="00505C97">
              <w:rPr>
                <w:noProof/>
                <w:webHidden/>
              </w:rPr>
              <w:tab/>
            </w:r>
            <w:r w:rsidR="00505C97">
              <w:rPr>
                <w:noProof/>
                <w:webHidden/>
              </w:rPr>
              <w:fldChar w:fldCharType="begin"/>
            </w:r>
            <w:r w:rsidR="00505C97">
              <w:rPr>
                <w:noProof/>
                <w:webHidden/>
              </w:rPr>
              <w:instrText xml:space="preserve"> PAGEREF _Toc33527771 \h </w:instrText>
            </w:r>
            <w:r w:rsidR="00505C97">
              <w:rPr>
                <w:noProof/>
                <w:webHidden/>
              </w:rPr>
            </w:r>
            <w:r w:rsidR="00505C97">
              <w:rPr>
                <w:noProof/>
                <w:webHidden/>
              </w:rPr>
              <w:fldChar w:fldCharType="separate"/>
            </w:r>
            <w:r w:rsidR="00505C97">
              <w:rPr>
                <w:noProof/>
                <w:webHidden/>
              </w:rPr>
              <w:t>61</w:t>
            </w:r>
            <w:r w:rsidR="00505C97">
              <w:rPr>
                <w:noProof/>
                <w:webHidden/>
              </w:rPr>
              <w:fldChar w:fldCharType="end"/>
            </w:r>
          </w:hyperlink>
        </w:p>
        <w:p w14:paraId="4A3697F7" w14:textId="799C72CE" w:rsidR="00505C97" w:rsidRDefault="0036403D">
          <w:pPr>
            <w:pStyle w:val="TOC3"/>
            <w:tabs>
              <w:tab w:val="left" w:pos="1100"/>
              <w:tab w:val="right" w:leader="dot" w:pos="9016"/>
            </w:tabs>
            <w:rPr>
              <w:rFonts w:eastAsiaTheme="minorEastAsia" w:cstheme="minorBidi"/>
              <w:i w:val="0"/>
              <w:iCs w:val="0"/>
              <w:noProof/>
              <w:sz w:val="22"/>
              <w:szCs w:val="22"/>
              <w:lang w:eastAsia="en-AU"/>
            </w:rPr>
          </w:pPr>
          <w:hyperlink w:anchor="_Toc33527772" w:history="1">
            <w:r w:rsidR="00505C97" w:rsidRPr="000C34E7">
              <w:rPr>
                <w:rStyle w:val="Hyperlink"/>
                <w:rFonts w:ascii="Arial" w:hAnsi="Arial" w:cs="Arial"/>
                <w:noProof/>
              </w:rPr>
              <w:t>4.6</w:t>
            </w:r>
            <w:r w:rsidR="00505C97">
              <w:rPr>
                <w:rFonts w:eastAsiaTheme="minorEastAsia" w:cstheme="minorBidi"/>
                <w:i w:val="0"/>
                <w:iCs w:val="0"/>
                <w:noProof/>
                <w:sz w:val="22"/>
                <w:szCs w:val="22"/>
                <w:lang w:eastAsia="en-AU"/>
              </w:rPr>
              <w:tab/>
            </w:r>
            <w:r w:rsidR="00505C97" w:rsidRPr="000C34E7">
              <w:rPr>
                <w:rStyle w:val="Hyperlink"/>
                <w:rFonts w:ascii="Arial" w:hAnsi="Arial" w:cs="Arial"/>
                <w:noProof/>
              </w:rPr>
              <w:t>Negative attitudes to attendance and connectedness to schooling are associated with chronic absenteeism</w:t>
            </w:r>
            <w:r w:rsidR="00505C97">
              <w:rPr>
                <w:noProof/>
                <w:webHidden/>
              </w:rPr>
              <w:tab/>
            </w:r>
            <w:r w:rsidR="00505C97">
              <w:rPr>
                <w:noProof/>
                <w:webHidden/>
              </w:rPr>
              <w:fldChar w:fldCharType="begin"/>
            </w:r>
            <w:r w:rsidR="00505C97">
              <w:rPr>
                <w:noProof/>
                <w:webHidden/>
              </w:rPr>
              <w:instrText xml:space="preserve"> PAGEREF _Toc33527772 \h </w:instrText>
            </w:r>
            <w:r w:rsidR="00505C97">
              <w:rPr>
                <w:noProof/>
                <w:webHidden/>
              </w:rPr>
            </w:r>
            <w:r w:rsidR="00505C97">
              <w:rPr>
                <w:noProof/>
                <w:webHidden/>
              </w:rPr>
              <w:fldChar w:fldCharType="separate"/>
            </w:r>
            <w:r w:rsidR="00505C97">
              <w:rPr>
                <w:noProof/>
                <w:webHidden/>
              </w:rPr>
              <w:t>62</w:t>
            </w:r>
            <w:r w:rsidR="00505C97">
              <w:rPr>
                <w:noProof/>
                <w:webHidden/>
              </w:rPr>
              <w:fldChar w:fldCharType="end"/>
            </w:r>
          </w:hyperlink>
        </w:p>
        <w:p w14:paraId="2B70B07B" w14:textId="6D8ED828" w:rsidR="00505C97" w:rsidRDefault="0036403D">
          <w:pPr>
            <w:pStyle w:val="TOC3"/>
            <w:tabs>
              <w:tab w:val="left" w:pos="1100"/>
              <w:tab w:val="right" w:leader="dot" w:pos="9016"/>
            </w:tabs>
            <w:rPr>
              <w:rFonts w:eastAsiaTheme="minorEastAsia" w:cstheme="minorBidi"/>
              <w:i w:val="0"/>
              <w:iCs w:val="0"/>
              <w:noProof/>
              <w:sz w:val="22"/>
              <w:szCs w:val="22"/>
              <w:lang w:eastAsia="en-AU"/>
            </w:rPr>
          </w:pPr>
          <w:hyperlink w:anchor="_Toc33527773" w:history="1">
            <w:r w:rsidR="00505C97" w:rsidRPr="000C34E7">
              <w:rPr>
                <w:rStyle w:val="Hyperlink"/>
                <w:rFonts w:ascii="Arial" w:hAnsi="Arial" w:cs="Arial"/>
                <w:noProof/>
              </w:rPr>
              <w:t>4.7</w:t>
            </w:r>
            <w:r w:rsidR="00505C97">
              <w:rPr>
                <w:rFonts w:eastAsiaTheme="minorEastAsia" w:cstheme="minorBidi"/>
                <w:i w:val="0"/>
                <w:iCs w:val="0"/>
                <w:noProof/>
                <w:sz w:val="22"/>
                <w:szCs w:val="22"/>
                <w:lang w:eastAsia="en-AU"/>
              </w:rPr>
              <w:tab/>
            </w:r>
            <w:r w:rsidR="00505C97" w:rsidRPr="000C34E7">
              <w:rPr>
                <w:rStyle w:val="Hyperlink"/>
                <w:rFonts w:ascii="Arial" w:hAnsi="Arial" w:cs="Arial"/>
                <w:noProof/>
              </w:rPr>
              <w:t>Disengagement increases when adolescents transition to secondary school</w:t>
            </w:r>
            <w:r w:rsidR="00505C97">
              <w:rPr>
                <w:noProof/>
                <w:webHidden/>
              </w:rPr>
              <w:tab/>
            </w:r>
            <w:r w:rsidR="00505C97">
              <w:rPr>
                <w:noProof/>
                <w:webHidden/>
              </w:rPr>
              <w:fldChar w:fldCharType="begin"/>
            </w:r>
            <w:r w:rsidR="00505C97">
              <w:rPr>
                <w:noProof/>
                <w:webHidden/>
              </w:rPr>
              <w:instrText xml:space="preserve"> PAGEREF _Toc33527773 \h </w:instrText>
            </w:r>
            <w:r w:rsidR="00505C97">
              <w:rPr>
                <w:noProof/>
                <w:webHidden/>
              </w:rPr>
            </w:r>
            <w:r w:rsidR="00505C97">
              <w:rPr>
                <w:noProof/>
                <w:webHidden/>
              </w:rPr>
              <w:fldChar w:fldCharType="separate"/>
            </w:r>
            <w:r w:rsidR="00505C97">
              <w:rPr>
                <w:noProof/>
                <w:webHidden/>
              </w:rPr>
              <w:t>63</w:t>
            </w:r>
            <w:r w:rsidR="00505C97">
              <w:rPr>
                <w:noProof/>
                <w:webHidden/>
              </w:rPr>
              <w:fldChar w:fldCharType="end"/>
            </w:r>
          </w:hyperlink>
        </w:p>
        <w:p w14:paraId="1D2F18AE" w14:textId="568BC833" w:rsidR="00505C97" w:rsidRDefault="0036403D">
          <w:pPr>
            <w:pStyle w:val="TOC3"/>
            <w:tabs>
              <w:tab w:val="left" w:pos="1100"/>
              <w:tab w:val="right" w:leader="dot" w:pos="9016"/>
            </w:tabs>
            <w:rPr>
              <w:rFonts w:eastAsiaTheme="minorEastAsia" w:cstheme="minorBidi"/>
              <w:i w:val="0"/>
              <w:iCs w:val="0"/>
              <w:noProof/>
              <w:sz w:val="22"/>
              <w:szCs w:val="22"/>
              <w:lang w:eastAsia="en-AU"/>
            </w:rPr>
          </w:pPr>
          <w:hyperlink w:anchor="_Toc33527774" w:history="1">
            <w:r w:rsidR="00505C97" w:rsidRPr="000C34E7">
              <w:rPr>
                <w:rStyle w:val="Hyperlink"/>
                <w:rFonts w:ascii="Arial" w:hAnsi="Arial" w:cs="Arial"/>
                <w:noProof/>
              </w:rPr>
              <w:t>4.8</w:t>
            </w:r>
            <w:r w:rsidR="00505C97">
              <w:rPr>
                <w:rFonts w:eastAsiaTheme="minorEastAsia" w:cstheme="minorBidi"/>
                <w:i w:val="0"/>
                <w:iCs w:val="0"/>
                <w:noProof/>
                <w:sz w:val="22"/>
                <w:szCs w:val="22"/>
                <w:lang w:eastAsia="en-AU"/>
              </w:rPr>
              <w:tab/>
            </w:r>
            <w:r w:rsidR="00505C97" w:rsidRPr="000C34E7">
              <w:rPr>
                <w:rStyle w:val="Hyperlink"/>
                <w:rFonts w:ascii="Arial" w:hAnsi="Arial" w:cs="Arial"/>
                <w:noProof/>
              </w:rPr>
              <w:t>Student achievement declines following the transition to secondary school</w:t>
            </w:r>
            <w:r w:rsidR="00505C97">
              <w:rPr>
                <w:noProof/>
                <w:webHidden/>
              </w:rPr>
              <w:tab/>
            </w:r>
            <w:r w:rsidR="00505C97">
              <w:rPr>
                <w:noProof/>
                <w:webHidden/>
              </w:rPr>
              <w:fldChar w:fldCharType="begin"/>
            </w:r>
            <w:r w:rsidR="00505C97">
              <w:rPr>
                <w:noProof/>
                <w:webHidden/>
              </w:rPr>
              <w:instrText xml:space="preserve"> PAGEREF _Toc33527774 \h </w:instrText>
            </w:r>
            <w:r w:rsidR="00505C97">
              <w:rPr>
                <w:noProof/>
                <w:webHidden/>
              </w:rPr>
            </w:r>
            <w:r w:rsidR="00505C97">
              <w:rPr>
                <w:noProof/>
                <w:webHidden/>
              </w:rPr>
              <w:fldChar w:fldCharType="separate"/>
            </w:r>
            <w:r w:rsidR="00505C97">
              <w:rPr>
                <w:noProof/>
                <w:webHidden/>
              </w:rPr>
              <w:t>63</w:t>
            </w:r>
            <w:r w:rsidR="00505C97">
              <w:rPr>
                <w:noProof/>
                <w:webHidden/>
              </w:rPr>
              <w:fldChar w:fldCharType="end"/>
            </w:r>
          </w:hyperlink>
        </w:p>
        <w:p w14:paraId="32D29551" w14:textId="5AEF339D" w:rsidR="00505C97" w:rsidRDefault="0036403D">
          <w:pPr>
            <w:pStyle w:val="TOC3"/>
            <w:tabs>
              <w:tab w:val="left" w:pos="1100"/>
              <w:tab w:val="right" w:leader="dot" w:pos="9016"/>
            </w:tabs>
            <w:rPr>
              <w:rFonts w:eastAsiaTheme="minorEastAsia" w:cstheme="minorBidi"/>
              <w:i w:val="0"/>
              <w:iCs w:val="0"/>
              <w:noProof/>
              <w:sz w:val="22"/>
              <w:szCs w:val="22"/>
              <w:lang w:eastAsia="en-AU"/>
            </w:rPr>
          </w:pPr>
          <w:hyperlink w:anchor="_Toc33527775" w:history="1">
            <w:r w:rsidR="00505C97" w:rsidRPr="000C34E7">
              <w:rPr>
                <w:rStyle w:val="Hyperlink"/>
                <w:rFonts w:ascii="Arial" w:hAnsi="Arial" w:cs="Arial"/>
                <w:noProof/>
              </w:rPr>
              <w:t>4.9</w:t>
            </w:r>
            <w:r w:rsidR="00505C97">
              <w:rPr>
                <w:rFonts w:eastAsiaTheme="minorEastAsia" w:cstheme="minorBidi"/>
                <w:i w:val="0"/>
                <w:iCs w:val="0"/>
                <w:noProof/>
                <w:sz w:val="22"/>
                <w:szCs w:val="22"/>
                <w:lang w:eastAsia="en-AU"/>
              </w:rPr>
              <w:tab/>
            </w:r>
            <w:r w:rsidR="00505C97" w:rsidRPr="000C34E7">
              <w:rPr>
                <w:rStyle w:val="Hyperlink"/>
                <w:rFonts w:ascii="Arial" w:hAnsi="Arial" w:cs="Arial"/>
                <w:noProof/>
              </w:rPr>
              <w:t>Educational outcomes for Aboriginal students are improving</w:t>
            </w:r>
            <w:r w:rsidR="00505C97">
              <w:rPr>
                <w:noProof/>
                <w:webHidden/>
              </w:rPr>
              <w:tab/>
            </w:r>
            <w:r w:rsidR="00505C97">
              <w:rPr>
                <w:noProof/>
                <w:webHidden/>
              </w:rPr>
              <w:fldChar w:fldCharType="begin"/>
            </w:r>
            <w:r w:rsidR="00505C97">
              <w:rPr>
                <w:noProof/>
                <w:webHidden/>
              </w:rPr>
              <w:instrText xml:space="preserve"> PAGEREF _Toc33527775 \h </w:instrText>
            </w:r>
            <w:r w:rsidR="00505C97">
              <w:rPr>
                <w:noProof/>
                <w:webHidden/>
              </w:rPr>
            </w:r>
            <w:r w:rsidR="00505C97">
              <w:rPr>
                <w:noProof/>
                <w:webHidden/>
              </w:rPr>
              <w:fldChar w:fldCharType="separate"/>
            </w:r>
            <w:r w:rsidR="00505C97">
              <w:rPr>
                <w:noProof/>
                <w:webHidden/>
              </w:rPr>
              <w:t>65</w:t>
            </w:r>
            <w:r w:rsidR="00505C97">
              <w:rPr>
                <w:noProof/>
                <w:webHidden/>
              </w:rPr>
              <w:fldChar w:fldCharType="end"/>
            </w:r>
          </w:hyperlink>
        </w:p>
        <w:p w14:paraId="53B7108D" w14:textId="37E1B11A" w:rsidR="00505C97" w:rsidRDefault="0036403D">
          <w:pPr>
            <w:pStyle w:val="TOC3"/>
            <w:tabs>
              <w:tab w:val="left" w:pos="1100"/>
              <w:tab w:val="right" w:leader="dot" w:pos="9016"/>
            </w:tabs>
            <w:rPr>
              <w:rFonts w:eastAsiaTheme="minorEastAsia" w:cstheme="minorBidi"/>
              <w:i w:val="0"/>
              <w:iCs w:val="0"/>
              <w:noProof/>
              <w:sz w:val="22"/>
              <w:szCs w:val="22"/>
              <w:lang w:eastAsia="en-AU"/>
            </w:rPr>
          </w:pPr>
          <w:hyperlink w:anchor="_Toc33527776" w:history="1">
            <w:r w:rsidR="00505C97" w:rsidRPr="000C34E7">
              <w:rPr>
                <w:rStyle w:val="Hyperlink"/>
                <w:rFonts w:ascii="Arial" w:hAnsi="Arial" w:cs="Arial"/>
                <w:noProof/>
              </w:rPr>
              <w:t>4.10</w:t>
            </w:r>
            <w:r w:rsidR="00505C97">
              <w:rPr>
                <w:rFonts w:eastAsiaTheme="minorEastAsia" w:cstheme="minorBidi"/>
                <w:i w:val="0"/>
                <w:iCs w:val="0"/>
                <w:noProof/>
                <w:sz w:val="22"/>
                <w:szCs w:val="22"/>
                <w:lang w:eastAsia="en-AU"/>
              </w:rPr>
              <w:tab/>
            </w:r>
            <w:r w:rsidR="00505C97" w:rsidRPr="000C34E7">
              <w:rPr>
                <w:rStyle w:val="Hyperlink"/>
                <w:rFonts w:ascii="Arial" w:hAnsi="Arial" w:cs="Arial"/>
                <w:noProof/>
              </w:rPr>
              <w:t>Adolescent subject choice continues to reflect historical gender biases</w:t>
            </w:r>
            <w:r w:rsidR="00505C97">
              <w:rPr>
                <w:noProof/>
                <w:webHidden/>
              </w:rPr>
              <w:tab/>
            </w:r>
            <w:r w:rsidR="00505C97">
              <w:rPr>
                <w:noProof/>
                <w:webHidden/>
              </w:rPr>
              <w:fldChar w:fldCharType="begin"/>
            </w:r>
            <w:r w:rsidR="00505C97">
              <w:rPr>
                <w:noProof/>
                <w:webHidden/>
              </w:rPr>
              <w:instrText xml:space="preserve"> PAGEREF _Toc33527776 \h </w:instrText>
            </w:r>
            <w:r w:rsidR="00505C97">
              <w:rPr>
                <w:noProof/>
                <w:webHidden/>
              </w:rPr>
            </w:r>
            <w:r w:rsidR="00505C97">
              <w:rPr>
                <w:noProof/>
                <w:webHidden/>
              </w:rPr>
              <w:fldChar w:fldCharType="separate"/>
            </w:r>
            <w:r w:rsidR="00505C97">
              <w:rPr>
                <w:noProof/>
                <w:webHidden/>
              </w:rPr>
              <w:t>67</w:t>
            </w:r>
            <w:r w:rsidR="00505C97">
              <w:rPr>
                <w:noProof/>
                <w:webHidden/>
              </w:rPr>
              <w:fldChar w:fldCharType="end"/>
            </w:r>
          </w:hyperlink>
        </w:p>
        <w:p w14:paraId="3102E00B" w14:textId="7DAD97EB" w:rsidR="00505C97" w:rsidRDefault="0036403D">
          <w:pPr>
            <w:pStyle w:val="TOC3"/>
            <w:tabs>
              <w:tab w:val="left" w:pos="1100"/>
              <w:tab w:val="right" w:leader="dot" w:pos="9016"/>
            </w:tabs>
            <w:rPr>
              <w:rFonts w:eastAsiaTheme="minorEastAsia" w:cstheme="minorBidi"/>
              <w:i w:val="0"/>
              <w:iCs w:val="0"/>
              <w:noProof/>
              <w:sz w:val="22"/>
              <w:szCs w:val="22"/>
              <w:lang w:eastAsia="en-AU"/>
            </w:rPr>
          </w:pPr>
          <w:hyperlink w:anchor="_Toc33527777" w:history="1">
            <w:r w:rsidR="00505C97" w:rsidRPr="000C34E7">
              <w:rPr>
                <w:rStyle w:val="Hyperlink"/>
                <w:rFonts w:ascii="Arial" w:hAnsi="Arial" w:cs="Arial"/>
                <w:noProof/>
              </w:rPr>
              <w:t>4.11</w:t>
            </w:r>
            <w:r w:rsidR="00505C97">
              <w:rPr>
                <w:rFonts w:eastAsiaTheme="minorEastAsia" w:cstheme="minorBidi"/>
                <w:i w:val="0"/>
                <w:iCs w:val="0"/>
                <w:noProof/>
                <w:sz w:val="22"/>
                <w:szCs w:val="22"/>
                <w:lang w:eastAsia="en-AU"/>
              </w:rPr>
              <w:tab/>
            </w:r>
            <w:r w:rsidR="00505C97" w:rsidRPr="000C34E7">
              <w:rPr>
                <w:rStyle w:val="Hyperlink"/>
                <w:rFonts w:ascii="Arial" w:hAnsi="Arial" w:cs="Arial"/>
                <w:noProof/>
              </w:rPr>
              <w:t>Four in five adolescents complete secondary schooling</w:t>
            </w:r>
            <w:r w:rsidR="00505C97">
              <w:rPr>
                <w:noProof/>
                <w:webHidden/>
              </w:rPr>
              <w:tab/>
            </w:r>
            <w:r w:rsidR="00505C97">
              <w:rPr>
                <w:noProof/>
                <w:webHidden/>
              </w:rPr>
              <w:fldChar w:fldCharType="begin"/>
            </w:r>
            <w:r w:rsidR="00505C97">
              <w:rPr>
                <w:noProof/>
                <w:webHidden/>
              </w:rPr>
              <w:instrText xml:space="preserve"> PAGEREF _Toc33527777 \h </w:instrText>
            </w:r>
            <w:r w:rsidR="00505C97">
              <w:rPr>
                <w:noProof/>
                <w:webHidden/>
              </w:rPr>
            </w:r>
            <w:r w:rsidR="00505C97">
              <w:rPr>
                <w:noProof/>
                <w:webHidden/>
              </w:rPr>
              <w:fldChar w:fldCharType="separate"/>
            </w:r>
            <w:r w:rsidR="00505C97">
              <w:rPr>
                <w:noProof/>
                <w:webHidden/>
              </w:rPr>
              <w:t>69</w:t>
            </w:r>
            <w:r w:rsidR="00505C97">
              <w:rPr>
                <w:noProof/>
                <w:webHidden/>
              </w:rPr>
              <w:fldChar w:fldCharType="end"/>
            </w:r>
          </w:hyperlink>
        </w:p>
        <w:p w14:paraId="5659D246" w14:textId="3AF2F5E4" w:rsidR="00505C97" w:rsidRDefault="0036403D">
          <w:pPr>
            <w:pStyle w:val="TOC3"/>
            <w:tabs>
              <w:tab w:val="left" w:pos="1100"/>
              <w:tab w:val="right" w:leader="dot" w:pos="9016"/>
            </w:tabs>
            <w:rPr>
              <w:rFonts w:eastAsiaTheme="minorEastAsia" w:cstheme="minorBidi"/>
              <w:i w:val="0"/>
              <w:iCs w:val="0"/>
              <w:noProof/>
              <w:sz w:val="22"/>
              <w:szCs w:val="22"/>
              <w:lang w:eastAsia="en-AU"/>
            </w:rPr>
          </w:pPr>
          <w:hyperlink w:anchor="_Toc33527778" w:history="1">
            <w:r w:rsidR="00505C97" w:rsidRPr="000C34E7">
              <w:rPr>
                <w:rStyle w:val="Hyperlink"/>
                <w:rFonts w:ascii="Arial" w:hAnsi="Arial" w:cs="Arial"/>
                <w:noProof/>
              </w:rPr>
              <w:t>4.12</w:t>
            </w:r>
            <w:r w:rsidR="00505C97">
              <w:rPr>
                <w:rFonts w:eastAsiaTheme="minorEastAsia" w:cstheme="minorBidi"/>
                <w:i w:val="0"/>
                <w:iCs w:val="0"/>
                <w:noProof/>
                <w:sz w:val="22"/>
                <w:szCs w:val="22"/>
                <w:lang w:eastAsia="en-AU"/>
              </w:rPr>
              <w:tab/>
            </w:r>
            <w:r w:rsidR="00505C97" w:rsidRPr="000C34E7">
              <w:rPr>
                <w:rStyle w:val="Hyperlink"/>
                <w:rFonts w:ascii="Arial" w:hAnsi="Arial" w:cs="Arial"/>
                <w:noProof/>
              </w:rPr>
              <w:t>The majority of Year 12 completers and non-completers choose further education or training as their next destination</w:t>
            </w:r>
            <w:r w:rsidR="00505C97">
              <w:rPr>
                <w:noProof/>
                <w:webHidden/>
              </w:rPr>
              <w:tab/>
            </w:r>
            <w:r w:rsidR="00505C97">
              <w:rPr>
                <w:noProof/>
                <w:webHidden/>
              </w:rPr>
              <w:fldChar w:fldCharType="begin"/>
            </w:r>
            <w:r w:rsidR="00505C97">
              <w:rPr>
                <w:noProof/>
                <w:webHidden/>
              </w:rPr>
              <w:instrText xml:space="preserve"> PAGEREF _Toc33527778 \h </w:instrText>
            </w:r>
            <w:r w:rsidR="00505C97">
              <w:rPr>
                <w:noProof/>
                <w:webHidden/>
              </w:rPr>
            </w:r>
            <w:r w:rsidR="00505C97">
              <w:rPr>
                <w:noProof/>
                <w:webHidden/>
              </w:rPr>
              <w:fldChar w:fldCharType="separate"/>
            </w:r>
            <w:r w:rsidR="00505C97">
              <w:rPr>
                <w:noProof/>
                <w:webHidden/>
              </w:rPr>
              <w:t>70</w:t>
            </w:r>
            <w:r w:rsidR="00505C97">
              <w:rPr>
                <w:noProof/>
                <w:webHidden/>
              </w:rPr>
              <w:fldChar w:fldCharType="end"/>
            </w:r>
          </w:hyperlink>
        </w:p>
        <w:p w14:paraId="4EE49DD2" w14:textId="2FBFE8ED" w:rsidR="00505C97" w:rsidRDefault="0036403D">
          <w:pPr>
            <w:pStyle w:val="TOC3"/>
            <w:tabs>
              <w:tab w:val="left" w:pos="1100"/>
              <w:tab w:val="right" w:leader="dot" w:pos="9016"/>
            </w:tabs>
            <w:rPr>
              <w:rFonts w:eastAsiaTheme="minorEastAsia" w:cstheme="minorBidi"/>
              <w:i w:val="0"/>
              <w:iCs w:val="0"/>
              <w:noProof/>
              <w:sz w:val="22"/>
              <w:szCs w:val="22"/>
              <w:lang w:eastAsia="en-AU"/>
            </w:rPr>
          </w:pPr>
          <w:hyperlink w:anchor="_Toc33527779" w:history="1">
            <w:r w:rsidR="00505C97" w:rsidRPr="000C34E7">
              <w:rPr>
                <w:rStyle w:val="Hyperlink"/>
                <w:rFonts w:ascii="Arial" w:hAnsi="Arial" w:cs="Arial"/>
                <w:noProof/>
              </w:rPr>
              <w:t>4.13</w:t>
            </w:r>
            <w:r w:rsidR="00505C97">
              <w:rPr>
                <w:rFonts w:eastAsiaTheme="minorEastAsia" w:cstheme="minorBidi"/>
                <w:i w:val="0"/>
                <w:iCs w:val="0"/>
                <w:noProof/>
                <w:sz w:val="22"/>
                <w:szCs w:val="22"/>
                <w:lang w:eastAsia="en-AU"/>
              </w:rPr>
              <w:tab/>
            </w:r>
            <w:r w:rsidR="00505C97" w:rsidRPr="000C34E7">
              <w:rPr>
                <w:rStyle w:val="Hyperlink"/>
                <w:rFonts w:ascii="Arial" w:hAnsi="Arial" w:cs="Arial"/>
                <w:noProof/>
              </w:rPr>
              <w:t>Leaving school early is associated with lower socioeconomic status, poor school attendance and school mobility</w:t>
            </w:r>
            <w:r w:rsidR="00505C97">
              <w:rPr>
                <w:noProof/>
                <w:webHidden/>
              </w:rPr>
              <w:tab/>
            </w:r>
            <w:r w:rsidR="00505C97">
              <w:rPr>
                <w:noProof/>
                <w:webHidden/>
              </w:rPr>
              <w:fldChar w:fldCharType="begin"/>
            </w:r>
            <w:r w:rsidR="00505C97">
              <w:rPr>
                <w:noProof/>
                <w:webHidden/>
              </w:rPr>
              <w:instrText xml:space="preserve"> PAGEREF _Toc33527779 \h </w:instrText>
            </w:r>
            <w:r w:rsidR="00505C97">
              <w:rPr>
                <w:noProof/>
                <w:webHidden/>
              </w:rPr>
            </w:r>
            <w:r w:rsidR="00505C97">
              <w:rPr>
                <w:noProof/>
                <w:webHidden/>
              </w:rPr>
              <w:fldChar w:fldCharType="separate"/>
            </w:r>
            <w:r w:rsidR="00505C97">
              <w:rPr>
                <w:noProof/>
                <w:webHidden/>
              </w:rPr>
              <w:t>72</w:t>
            </w:r>
            <w:r w:rsidR="00505C97">
              <w:rPr>
                <w:noProof/>
                <w:webHidden/>
              </w:rPr>
              <w:fldChar w:fldCharType="end"/>
            </w:r>
          </w:hyperlink>
        </w:p>
        <w:p w14:paraId="33876BB0" w14:textId="0AC2118F" w:rsidR="00505C97" w:rsidRDefault="0036403D">
          <w:pPr>
            <w:pStyle w:val="TOC1"/>
            <w:tabs>
              <w:tab w:val="right" w:leader="dot" w:pos="9016"/>
            </w:tabs>
            <w:rPr>
              <w:rFonts w:eastAsiaTheme="minorEastAsia" w:cstheme="minorBidi"/>
              <w:b w:val="0"/>
              <w:bCs w:val="0"/>
              <w:caps w:val="0"/>
              <w:noProof/>
              <w:sz w:val="22"/>
              <w:szCs w:val="22"/>
              <w:lang w:eastAsia="en-AU"/>
            </w:rPr>
          </w:pPr>
          <w:hyperlink w:anchor="_Toc33527780" w:history="1">
            <w:r w:rsidR="00505C97" w:rsidRPr="000C34E7">
              <w:rPr>
                <w:rStyle w:val="Hyperlink"/>
                <w:rFonts w:ascii="Arial" w:hAnsi="Arial" w:cs="Arial"/>
                <w:noProof/>
                <w:lang w:bidi="en-US"/>
              </w:rPr>
              <w:t>SAFE FAMILIES AND COMMUNITIES</w:t>
            </w:r>
            <w:r w:rsidR="00505C97">
              <w:rPr>
                <w:noProof/>
                <w:webHidden/>
              </w:rPr>
              <w:tab/>
            </w:r>
            <w:r w:rsidR="00505C97">
              <w:rPr>
                <w:noProof/>
                <w:webHidden/>
              </w:rPr>
              <w:fldChar w:fldCharType="begin"/>
            </w:r>
            <w:r w:rsidR="00505C97">
              <w:rPr>
                <w:noProof/>
                <w:webHidden/>
              </w:rPr>
              <w:instrText xml:space="preserve"> PAGEREF _Toc33527780 \h </w:instrText>
            </w:r>
            <w:r w:rsidR="00505C97">
              <w:rPr>
                <w:noProof/>
                <w:webHidden/>
              </w:rPr>
            </w:r>
            <w:r w:rsidR="00505C97">
              <w:rPr>
                <w:noProof/>
                <w:webHidden/>
              </w:rPr>
              <w:fldChar w:fldCharType="separate"/>
            </w:r>
            <w:r w:rsidR="00505C97">
              <w:rPr>
                <w:noProof/>
                <w:webHidden/>
              </w:rPr>
              <w:t>74</w:t>
            </w:r>
            <w:r w:rsidR="00505C97">
              <w:rPr>
                <w:noProof/>
                <w:webHidden/>
              </w:rPr>
              <w:fldChar w:fldCharType="end"/>
            </w:r>
          </w:hyperlink>
        </w:p>
        <w:p w14:paraId="6D3B1614" w14:textId="03480C53" w:rsidR="00505C97" w:rsidRDefault="0036403D">
          <w:pPr>
            <w:pStyle w:val="TOC2"/>
            <w:tabs>
              <w:tab w:val="right" w:leader="dot" w:pos="9016"/>
            </w:tabs>
            <w:rPr>
              <w:rFonts w:eastAsiaTheme="minorEastAsia" w:cstheme="minorBidi"/>
              <w:smallCaps w:val="0"/>
              <w:noProof/>
              <w:sz w:val="22"/>
              <w:szCs w:val="22"/>
              <w:lang w:eastAsia="en-AU"/>
            </w:rPr>
          </w:pPr>
          <w:hyperlink w:anchor="_Toc33527781" w:history="1">
            <w:r w:rsidR="00505C97" w:rsidRPr="000C34E7">
              <w:rPr>
                <w:rStyle w:val="Hyperlink"/>
                <w:rFonts w:ascii="Arial" w:hAnsi="Arial" w:cs="Arial"/>
                <w:noProof/>
              </w:rPr>
              <w:t>INFOGRAPHIC SUMMARY</w:t>
            </w:r>
            <w:r w:rsidR="00505C97">
              <w:rPr>
                <w:noProof/>
                <w:webHidden/>
              </w:rPr>
              <w:tab/>
            </w:r>
            <w:r w:rsidR="00505C97">
              <w:rPr>
                <w:noProof/>
                <w:webHidden/>
              </w:rPr>
              <w:fldChar w:fldCharType="begin"/>
            </w:r>
            <w:r w:rsidR="00505C97">
              <w:rPr>
                <w:noProof/>
                <w:webHidden/>
              </w:rPr>
              <w:instrText xml:space="preserve"> PAGEREF _Toc33527781 \h </w:instrText>
            </w:r>
            <w:r w:rsidR="00505C97">
              <w:rPr>
                <w:noProof/>
                <w:webHidden/>
              </w:rPr>
            </w:r>
            <w:r w:rsidR="00505C97">
              <w:rPr>
                <w:noProof/>
                <w:webHidden/>
              </w:rPr>
              <w:fldChar w:fldCharType="separate"/>
            </w:r>
            <w:r w:rsidR="00505C97">
              <w:rPr>
                <w:noProof/>
                <w:webHidden/>
              </w:rPr>
              <w:t>74</w:t>
            </w:r>
            <w:r w:rsidR="00505C97">
              <w:rPr>
                <w:noProof/>
                <w:webHidden/>
              </w:rPr>
              <w:fldChar w:fldCharType="end"/>
            </w:r>
          </w:hyperlink>
        </w:p>
        <w:p w14:paraId="0ECAE0A0" w14:textId="2DD15976" w:rsidR="00505C97" w:rsidRDefault="0036403D">
          <w:pPr>
            <w:pStyle w:val="TOC2"/>
            <w:tabs>
              <w:tab w:val="right" w:leader="dot" w:pos="9016"/>
            </w:tabs>
            <w:rPr>
              <w:rFonts w:eastAsiaTheme="minorEastAsia" w:cstheme="minorBidi"/>
              <w:smallCaps w:val="0"/>
              <w:noProof/>
              <w:sz w:val="22"/>
              <w:szCs w:val="22"/>
              <w:lang w:eastAsia="en-AU"/>
            </w:rPr>
          </w:pPr>
          <w:hyperlink w:anchor="_Toc33527782" w:history="1">
            <w:r w:rsidR="00505C97" w:rsidRPr="000C34E7">
              <w:rPr>
                <w:rStyle w:val="Hyperlink"/>
                <w:rFonts w:ascii="Arial" w:hAnsi="Arial" w:cs="Arial"/>
                <w:noProof/>
              </w:rPr>
              <w:t>INTRODUCTION</w:t>
            </w:r>
            <w:r w:rsidR="00505C97">
              <w:rPr>
                <w:noProof/>
                <w:webHidden/>
              </w:rPr>
              <w:tab/>
            </w:r>
            <w:r w:rsidR="00505C97">
              <w:rPr>
                <w:noProof/>
                <w:webHidden/>
              </w:rPr>
              <w:fldChar w:fldCharType="begin"/>
            </w:r>
            <w:r w:rsidR="00505C97">
              <w:rPr>
                <w:noProof/>
                <w:webHidden/>
              </w:rPr>
              <w:instrText xml:space="preserve"> PAGEREF _Toc33527782 \h </w:instrText>
            </w:r>
            <w:r w:rsidR="00505C97">
              <w:rPr>
                <w:noProof/>
                <w:webHidden/>
              </w:rPr>
            </w:r>
            <w:r w:rsidR="00505C97">
              <w:rPr>
                <w:noProof/>
                <w:webHidden/>
              </w:rPr>
              <w:fldChar w:fldCharType="separate"/>
            </w:r>
            <w:r w:rsidR="00505C97">
              <w:rPr>
                <w:noProof/>
                <w:webHidden/>
              </w:rPr>
              <w:t>76</w:t>
            </w:r>
            <w:r w:rsidR="00505C97">
              <w:rPr>
                <w:noProof/>
                <w:webHidden/>
              </w:rPr>
              <w:fldChar w:fldCharType="end"/>
            </w:r>
          </w:hyperlink>
        </w:p>
        <w:p w14:paraId="18180835" w14:textId="5F23628A" w:rsidR="00505C97" w:rsidRDefault="0036403D">
          <w:pPr>
            <w:pStyle w:val="TOC3"/>
            <w:tabs>
              <w:tab w:val="left" w:pos="1100"/>
              <w:tab w:val="right" w:leader="dot" w:pos="9016"/>
            </w:tabs>
            <w:rPr>
              <w:rFonts w:eastAsiaTheme="minorEastAsia" w:cstheme="minorBidi"/>
              <w:i w:val="0"/>
              <w:iCs w:val="0"/>
              <w:noProof/>
              <w:sz w:val="22"/>
              <w:szCs w:val="22"/>
              <w:lang w:eastAsia="en-AU"/>
            </w:rPr>
          </w:pPr>
          <w:hyperlink w:anchor="_Toc33527783" w:history="1">
            <w:r w:rsidR="00505C97" w:rsidRPr="000C34E7">
              <w:rPr>
                <w:rStyle w:val="Hyperlink"/>
                <w:rFonts w:ascii="Arial" w:hAnsi="Arial" w:cs="Arial"/>
                <w:noProof/>
              </w:rPr>
              <w:t>5.1</w:t>
            </w:r>
            <w:r w:rsidR="00505C97">
              <w:rPr>
                <w:rFonts w:eastAsiaTheme="minorEastAsia" w:cstheme="minorBidi"/>
                <w:i w:val="0"/>
                <w:iCs w:val="0"/>
                <w:noProof/>
                <w:sz w:val="22"/>
                <w:szCs w:val="22"/>
                <w:lang w:eastAsia="en-AU"/>
              </w:rPr>
              <w:tab/>
            </w:r>
            <w:r w:rsidR="00505C97" w:rsidRPr="000C34E7">
              <w:rPr>
                <w:rStyle w:val="Hyperlink"/>
                <w:rFonts w:ascii="Arial" w:hAnsi="Arial" w:cs="Arial"/>
                <w:noProof/>
              </w:rPr>
              <w:t>A growing proportion of adolescents have university educated parents</w:t>
            </w:r>
            <w:r w:rsidR="00505C97">
              <w:rPr>
                <w:noProof/>
                <w:webHidden/>
              </w:rPr>
              <w:tab/>
            </w:r>
            <w:r w:rsidR="00505C97">
              <w:rPr>
                <w:noProof/>
                <w:webHidden/>
              </w:rPr>
              <w:fldChar w:fldCharType="begin"/>
            </w:r>
            <w:r w:rsidR="00505C97">
              <w:rPr>
                <w:noProof/>
                <w:webHidden/>
              </w:rPr>
              <w:instrText xml:space="preserve"> PAGEREF _Toc33527783 \h </w:instrText>
            </w:r>
            <w:r w:rsidR="00505C97">
              <w:rPr>
                <w:noProof/>
                <w:webHidden/>
              </w:rPr>
            </w:r>
            <w:r w:rsidR="00505C97">
              <w:rPr>
                <w:noProof/>
                <w:webHidden/>
              </w:rPr>
              <w:fldChar w:fldCharType="separate"/>
            </w:r>
            <w:r w:rsidR="00505C97">
              <w:rPr>
                <w:noProof/>
                <w:webHidden/>
              </w:rPr>
              <w:t>76</w:t>
            </w:r>
            <w:r w:rsidR="00505C97">
              <w:rPr>
                <w:noProof/>
                <w:webHidden/>
              </w:rPr>
              <w:fldChar w:fldCharType="end"/>
            </w:r>
          </w:hyperlink>
        </w:p>
        <w:p w14:paraId="6CFFA7ED" w14:textId="5A268F7B" w:rsidR="00505C97" w:rsidRDefault="0036403D">
          <w:pPr>
            <w:pStyle w:val="TOC3"/>
            <w:tabs>
              <w:tab w:val="left" w:pos="1100"/>
              <w:tab w:val="right" w:leader="dot" w:pos="9016"/>
            </w:tabs>
            <w:rPr>
              <w:rFonts w:eastAsiaTheme="minorEastAsia" w:cstheme="minorBidi"/>
              <w:i w:val="0"/>
              <w:iCs w:val="0"/>
              <w:noProof/>
              <w:sz w:val="22"/>
              <w:szCs w:val="22"/>
              <w:lang w:eastAsia="en-AU"/>
            </w:rPr>
          </w:pPr>
          <w:hyperlink w:anchor="_Toc33527784" w:history="1">
            <w:r w:rsidR="00505C97" w:rsidRPr="000C34E7">
              <w:rPr>
                <w:rStyle w:val="Hyperlink"/>
                <w:rFonts w:ascii="Arial" w:hAnsi="Arial" w:cs="Arial"/>
                <w:noProof/>
              </w:rPr>
              <w:t>5.2</w:t>
            </w:r>
            <w:r w:rsidR="00505C97">
              <w:rPr>
                <w:rFonts w:eastAsiaTheme="minorEastAsia" w:cstheme="minorBidi"/>
                <w:i w:val="0"/>
                <w:iCs w:val="0"/>
                <w:noProof/>
                <w:sz w:val="22"/>
                <w:szCs w:val="22"/>
                <w:lang w:eastAsia="en-AU"/>
              </w:rPr>
              <w:tab/>
            </w:r>
            <w:r w:rsidR="00505C97" w:rsidRPr="000C34E7">
              <w:rPr>
                <w:rStyle w:val="Hyperlink"/>
                <w:rFonts w:ascii="Arial" w:hAnsi="Arial" w:cs="Arial"/>
                <w:noProof/>
              </w:rPr>
              <w:t>Most adolescents live in healthy, well-functioning families</w:t>
            </w:r>
            <w:r w:rsidR="00505C97">
              <w:rPr>
                <w:noProof/>
                <w:webHidden/>
              </w:rPr>
              <w:tab/>
            </w:r>
            <w:r w:rsidR="00505C97">
              <w:rPr>
                <w:noProof/>
                <w:webHidden/>
              </w:rPr>
              <w:fldChar w:fldCharType="begin"/>
            </w:r>
            <w:r w:rsidR="00505C97">
              <w:rPr>
                <w:noProof/>
                <w:webHidden/>
              </w:rPr>
              <w:instrText xml:space="preserve"> PAGEREF _Toc33527784 \h </w:instrText>
            </w:r>
            <w:r w:rsidR="00505C97">
              <w:rPr>
                <w:noProof/>
                <w:webHidden/>
              </w:rPr>
            </w:r>
            <w:r w:rsidR="00505C97">
              <w:rPr>
                <w:noProof/>
                <w:webHidden/>
              </w:rPr>
              <w:fldChar w:fldCharType="separate"/>
            </w:r>
            <w:r w:rsidR="00505C97">
              <w:rPr>
                <w:noProof/>
                <w:webHidden/>
              </w:rPr>
              <w:t>77</w:t>
            </w:r>
            <w:r w:rsidR="00505C97">
              <w:rPr>
                <w:noProof/>
                <w:webHidden/>
              </w:rPr>
              <w:fldChar w:fldCharType="end"/>
            </w:r>
          </w:hyperlink>
        </w:p>
        <w:p w14:paraId="26DA24A9" w14:textId="3FE13E40" w:rsidR="00505C97" w:rsidRDefault="0036403D">
          <w:pPr>
            <w:pStyle w:val="TOC3"/>
            <w:tabs>
              <w:tab w:val="left" w:pos="1100"/>
              <w:tab w:val="right" w:leader="dot" w:pos="9016"/>
            </w:tabs>
            <w:rPr>
              <w:rFonts w:eastAsiaTheme="minorEastAsia" w:cstheme="minorBidi"/>
              <w:i w:val="0"/>
              <w:iCs w:val="0"/>
              <w:noProof/>
              <w:sz w:val="22"/>
              <w:szCs w:val="22"/>
              <w:lang w:eastAsia="en-AU"/>
            </w:rPr>
          </w:pPr>
          <w:hyperlink w:anchor="_Toc33527785" w:history="1">
            <w:r w:rsidR="00505C97" w:rsidRPr="000C34E7">
              <w:rPr>
                <w:rStyle w:val="Hyperlink"/>
                <w:rFonts w:ascii="Arial" w:hAnsi="Arial" w:cs="Arial"/>
                <w:noProof/>
              </w:rPr>
              <w:t>5.3</w:t>
            </w:r>
            <w:r w:rsidR="00505C97">
              <w:rPr>
                <w:rFonts w:eastAsiaTheme="minorEastAsia" w:cstheme="minorBidi"/>
                <w:i w:val="0"/>
                <w:iCs w:val="0"/>
                <w:noProof/>
                <w:sz w:val="22"/>
                <w:szCs w:val="22"/>
                <w:lang w:eastAsia="en-AU"/>
              </w:rPr>
              <w:tab/>
            </w:r>
            <w:r w:rsidR="00505C97" w:rsidRPr="000C34E7">
              <w:rPr>
                <w:rStyle w:val="Hyperlink"/>
                <w:rFonts w:ascii="Arial" w:hAnsi="Arial" w:cs="Arial"/>
                <w:noProof/>
              </w:rPr>
              <w:t>Most adolescents have a trusted adult they can talk to</w:t>
            </w:r>
            <w:r w:rsidR="00505C97">
              <w:rPr>
                <w:noProof/>
                <w:webHidden/>
              </w:rPr>
              <w:tab/>
            </w:r>
            <w:r w:rsidR="00505C97">
              <w:rPr>
                <w:noProof/>
                <w:webHidden/>
              </w:rPr>
              <w:fldChar w:fldCharType="begin"/>
            </w:r>
            <w:r w:rsidR="00505C97">
              <w:rPr>
                <w:noProof/>
                <w:webHidden/>
              </w:rPr>
              <w:instrText xml:space="preserve"> PAGEREF _Toc33527785 \h </w:instrText>
            </w:r>
            <w:r w:rsidR="00505C97">
              <w:rPr>
                <w:noProof/>
                <w:webHidden/>
              </w:rPr>
            </w:r>
            <w:r w:rsidR="00505C97">
              <w:rPr>
                <w:noProof/>
                <w:webHidden/>
              </w:rPr>
              <w:fldChar w:fldCharType="separate"/>
            </w:r>
            <w:r w:rsidR="00505C97">
              <w:rPr>
                <w:noProof/>
                <w:webHidden/>
              </w:rPr>
              <w:t>78</w:t>
            </w:r>
            <w:r w:rsidR="00505C97">
              <w:rPr>
                <w:noProof/>
                <w:webHidden/>
              </w:rPr>
              <w:fldChar w:fldCharType="end"/>
            </w:r>
          </w:hyperlink>
        </w:p>
        <w:p w14:paraId="19BD4116" w14:textId="2102CB7C" w:rsidR="00505C97" w:rsidRDefault="0036403D">
          <w:pPr>
            <w:pStyle w:val="TOC3"/>
            <w:tabs>
              <w:tab w:val="left" w:pos="1100"/>
              <w:tab w:val="right" w:leader="dot" w:pos="9016"/>
            </w:tabs>
            <w:rPr>
              <w:rFonts w:eastAsiaTheme="minorEastAsia" w:cstheme="minorBidi"/>
              <w:i w:val="0"/>
              <w:iCs w:val="0"/>
              <w:noProof/>
              <w:sz w:val="22"/>
              <w:szCs w:val="22"/>
              <w:lang w:eastAsia="en-AU"/>
            </w:rPr>
          </w:pPr>
          <w:hyperlink w:anchor="_Toc33527786" w:history="1">
            <w:r w:rsidR="00505C97" w:rsidRPr="000C34E7">
              <w:rPr>
                <w:rStyle w:val="Hyperlink"/>
                <w:rFonts w:ascii="Arial" w:hAnsi="Arial" w:cs="Arial"/>
                <w:noProof/>
              </w:rPr>
              <w:t>5.4</w:t>
            </w:r>
            <w:r w:rsidR="00505C97">
              <w:rPr>
                <w:rFonts w:eastAsiaTheme="minorEastAsia" w:cstheme="minorBidi"/>
                <w:i w:val="0"/>
                <w:iCs w:val="0"/>
                <w:noProof/>
                <w:sz w:val="22"/>
                <w:szCs w:val="22"/>
                <w:lang w:eastAsia="en-AU"/>
              </w:rPr>
              <w:tab/>
            </w:r>
            <w:r w:rsidR="00505C97" w:rsidRPr="000C34E7">
              <w:rPr>
                <w:rStyle w:val="Hyperlink"/>
                <w:rFonts w:ascii="Arial" w:hAnsi="Arial" w:cs="Arial"/>
                <w:noProof/>
              </w:rPr>
              <w:t>Around one in three adolescents reports serious family conflicts</w:t>
            </w:r>
            <w:r w:rsidR="00505C97">
              <w:rPr>
                <w:noProof/>
                <w:webHidden/>
              </w:rPr>
              <w:tab/>
            </w:r>
            <w:r w:rsidR="00505C97">
              <w:rPr>
                <w:noProof/>
                <w:webHidden/>
              </w:rPr>
              <w:fldChar w:fldCharType="begin"/>
            </w:r>
            <w:r w:rsidR="00505C97">
              <w:rPr>
                <w:noProof/>
                <w:webHidden/>
              </w:rPr>
              <w:instrText xml:space="preserve"> PAGEREF _Toc33527786 \h </w:instrText>
            </w:r>
            <w:r w:rsidR="00505C97">
              <w:rPr>
                <w:noProof/>
                <w:webHidden/>
              </w:rPr>
            </w:r>
            <w:r w:rsidR="00505C97">
              <w:rPr>
                <w:noProof/>
                <w:webHidden/>
              </w:rPr>
              <w:fldChar w:fldCharType="separate"/>
            </w:r>
            <w:r w:rsidR="00505C97">
              <w:rPr>
                <w:noProof/>
                <w:webHidden/>
              </w:rPr>
              <w:t>79</w:t>
            </w:r>
            <w:r w:rsidR="00505C97">
              <w:rPr>
                <w:noProof/>
                <w:webHidden/>
              </w:rPr>
              <w:fldChar w:fldCharType="end"/>
            </w:r>
          </w:hyperlink>
        </w:p>
        <w:p w14:paraId="0C76ACBB" w14:textId="6DAC964A" w:rsidR="00505C97" w:rsidRDefault="0036403D">
          <w:pPr>
            <w:pStyle w:val="TOC3"/>
            <w:tabs>
              <w:tab w:val="left" w:pos="1100"/>
              <w:tab w:val="right" w:leader="dot" w:pos="9016"/>
            </w:tabs>
            <w:rPr>
              <w:rFonts w:eastAsiaTheme="minorEastAsia" w:cstheme="minorBidi"/>
              <w:i w:val="0"/>
              <w:iCs w:val="0"/>
              <w:noProof/>
              <w:sz w:val="22"/>
              <w:szCs w:val="22"/>
              <w:lang w:eastAsia="en-AU"/>
            </w:rPr>
          </w:pPr>
          <w:hyperlink w:anchor="_Toc33527787" w:history="1">
            <w:r w:rsidR="00505C97" w:rsidRPr="000C34E7">
              <w:rPr>
                <w:rStyle w:val="Hyperlink"/>
                <w:rFonts w:ascii="Arial" w:hAnsi="Arial" w:cs="Arial"/>
                <w:noProof/>
              </w:rPr>
              <w:t>5.5</w:t>
            </w:r>
            <w:r w:rsidR="00505C97">
              <w:rPr>
                <w:rFonts w:eastAsiaTheme="minorEastAsia" w:cstheme="minorBidi"/>
                <w:i w:val="0"/>
                <w:iCs w:val="0"/>
                <w:noProof/>
                <w:sz w:val="22"/>
                <w:szCs w:val="22"/>
                <w:lang w:eastAsia="en-AU"/>
              </w:rPr>
              <w:tab/>
            </w:r>
            <w:r w:rsidR="00505C97" w:rsidRPr="000C34E7">
              <w:rPr>
                <w:rStyle w:val="Hyperlink"/>
                <w:rFonts w:ascii="Arial" w:hAnsi="Arial" w:cs="Arial"/>
                <w:noProof/>
              </w:rPr>
              <w:t>One in ten people affected by family violence are adolescents</w:t>
            </w:r>
            <w:r w:rsidR="00505C97">
              <w:rPr>
                <w:noProof/>
                <w:webHidden/>
              </w:rPr>
              <w:tab/>
            </w:r>
            <w:r w:rsidR="00505C97">
              <w:rPr>
                <w:noProof/>
                <w:webHidden/>
              </w:rPr>
              <w:fldChar w:fldCharType="begin"/>
            </w:r>
            <w:r w:rsidR="00505C97">
              <w:rPr>
                <w:noProof/>
                <w:webHidden/>
              </w:rPr>
              <w:instrText xml:space="preserve"> PAGEREF _Toc33527787 \h </w:instrText>
            </w:r>
            <w:r w:rsidR="00505C97">
              <w:rPr>
                <w:noProof/>
                <w:webHidden/>
              </w:rPr>
            </w:r>
            <w:r w:rsidR="00505C97">
              <w:rPr>
                <w:noProof/>
                <w:webHidden/>
              </w:rPr>
              <w:fldChar w:fldCharType="separate"/>
            </w:r>
            <w:r w:rsidR="00505C97">
              <w:rPr>
                <w:noProof/>
                <w:webHidden/>
              </w:rPr>
              <w:t>80</w:t>
            </w:r>
            <w:r w:rsidR="00505C97">
              <w:rPr>
                <w:noProof/>
                <w:webHidden/>
              </w:rPr>
              <w:fldChar w:fldCharType="end"/>
            </w:r>
          </w:hyperlink>
        </w:p>
        <w:p w14:paraId="3FCD3D34" w14:textId="0B17DBBC" w:rsidR="00505C97" w:rsidRDefault="0036403D">
          <w:pPr>
            <w:pStyle w:val="TOC3"/>
            <w:tabs>
              <w:tab w:val="left" w:pos="1100"/>
              <w:tab w:val="right" w:leader="dot" w:pos="9016"/>
            </w:tabs>
            <w:rPr>
              <w:rFonts w:eastAsiaTheme="minorEastAsia" w:cstheme="minorBidi"/>
              <w:i w:val="0"/>
              <w:iCs w:val="0"/>
              <w:noProof/>
              <w:sz w:val="22"/>
              <w:szCs w:val="22"/>
              <w:lang w:eastAsia="en-AU"/>
            </w:rPr>
          </w:pPr>
          <w:hyperlink w:anchor="_Toc33527788" w:history="1">
            <w:r w:rsidR="00505C97" w:rsidRPr="000C34E7">
              <w:rPr>
                <w:rStyle w:val="Hyperlink"/>
                <w:rFonts w:ascii="Arial" w:hAnsi="Arial" w:cs="Arial"/>
                <w:noProof/>
              </w:rPr>
              <w:t>5.6</w:t>
            </w:r>
            <w:r w:rsidR="00505C97">
              <w:rPr>
                <w:rFonts w:eastAsiaTheme="minorEastAsia" w:cstheme="minorBidi"/>
                <w:i w:val="0"/>
                <w:iCs w:val="0"/>
                <w:noProof/>
                <w:sz w:val="22"/>
                <w:szCs w:val="22"/>
                <w:lang w:eastAsia="en-AU"/>
              </w:rPr>
              <w:tab/>
            </w:r>
            <w:r w:rsidR="00505C97" w:rsidRPr="000C34E7">
              <w:rPr>
                <w:rStyle w:val="Hyperlink"/>
                <w:rFonts w:ascii="Arial" w:hAnsi="Arial" w:cs="Arial"/>
                <w:noProof/>
              </w:rPr>
              <w:t>Most adolescents live in safe neighbourhoods</w:t>
            </w:r>
            <w:r w:rsidR="00505C97">
              <w:rPr>
                <w:noProof/>
                <w:webHidden/>
              </w:rPr>
              <w:tab/>
            </w:r>
            <w:r w:rsidR="00505C97">
              <w:rPr>
                <w:noProof/>
                <w:webHidden/>
              </w:rPr>
              <w:fldChar w:fldCharType="begin"/>
            </w:r>
            <w:r w:rsidR="00505C97">
              <w:rPr>
                <w:noProof/>
                <w:webHidden/>
              </w:rPr>
              <w:instrText xml:space="preserve"> PAGEREF _Toc33527788 \h </w:instrText>
            </w:r>
            <w:r w:rsidR="00505C97">
              <w:rPr>
                <w:noProof/>
                <w:webHidden/>
              </w:rPr>
            </w:r>
            <w:r w:rsidR="00505C97">
              <w:rPr>
                <w:noProof/>
                <w:webHidden/>
              </w:rPr>
              <w:fldChar w:fldCharType="separate"/>
            </w:r>
            <w:r w:rsidR="00505C97">
              <w:rPr>
                <w:noProof/>
                <w:webHidden/>
              </w:rPr>
              <w:t>82</w:t>
            </w:r>
            <w:r w:rsidR="00505C97">
              <w:rPr>
                <w:noProof/>
                <w:webHidden/>
              </w:rPr>
              <w:fldChar w:fldCharType="end"/>
            </w:r>
          </w:hyperlink>
        </w:p>
        <w:p w14:paraId="3FB1C15E" w14:textId="071B5FE1" w:rsidR="00505C97" w:rsidRDefault="0036403D">
          <w:pPr>
            <w:pStyle w:val="TOC3"/>
            <w:tabs>
              <w:tab w:val="left" w:pos="1100"/>
              <w:tab w:val="right" w:leader="dot" w:pos="9016"/>
            </w:tabs>
            <w:rPr>
              <w:rFonts w:eastAsiaTheme="minorEastAsia" w:cstheme="minorBidi"/>
              <w:i w:val="0"/>
              <w:iCs w:val="0"/>
              <w:noProof/>
              <w:sz w:val="22"/>
              <w:szCs w:val="22"/>
              <w:lang w:eastAsia="en-AU"/>
            </w:rPr>
          </w:pPr>
          <w:hyperlink w:anchor="_Toc33527789" w:history="1">
            <w:r w:rsidR="00505C97" w:rsidRPr="000C34E7">
              <w:rPr>
                <w:rStyle w:val="Hyperlink"/>
                <w:rFonts w:ascii="Arial" w:hAnsi="Arial" w:cs="Arial"/>
                <w:noProof/>
              </w:rPr>
              <w:t>5.7</w:t>
            </w:r>
            <w:r w:rsidR="00505C97">
              <w:rPr>
                <w:rFonts w:eastAsiaTheme="minorEastAsia" w:cstheme="minorBidi"/>
                <w:i w:val="0"/>
                <w:iCs w:val="0"/>
                <w:noProof/>
                <w:sz w:val="22"/>
                <w:szCs w:val="22"/>
                <w:lang w:eastAsia="en-AU"/>
              </w:rPr>
              <w:tab/>
            </w:r>
            <w:r w:rsidR="00505C97" w:rsidRPr="000C34E7">
              <w:rPr>
                <w:rStyle w:val="Hyperlink"/>
                <w:rFonts w:ascii="Arial" w:hAnsi="Arial" w:cs="Arial"/>
                <w:noProof/>
              </w:rPr>
              <w:t>A growing number of adolescents are seeking assistance from homelessness services</w:t>
            </w:r>
            <w:r w:rsidR="00505C97">
              <w:rPr>
                <w:noProof/>
                <w:webHidden/>
              </w:rPr>
              <w:tab/>
            </w:r>
            <w:r w:rsidR="00505C97">
              <w:rPr>
                <w:noProof/>
                <w:webHidden/>
              </w:rPr>
              <w:fldChar w:fldCharType="begin"/>
            </w:r>
            <w:r w:rsidR="00505C97">
              <w:rPr>
                <w:noProof/>
                <w:webHidden/>
              </w:rPr>
              <w:instrText xml:space="preserve"> PAGEREF _Toc33527789 \h </w:instrText>
            </w:r>
            <w:r w:rsidR="00505C97">
              <w:rPr>
                <w:noProof/>
                <w:webHidden/>
              </w:rPr>
            </w:r>
            <w:r w:rsidR="00505C97">
              <w:rPr>
                <w:noProof/>
                <w:webHidden/>
              </w:rPr>
              <w:fldChar w:fldCharType="separate"/>
            </w:r>
            <w:r w:rsidR="00505C97">
              <w:rPr>
                <w:noProof/>
                <w:webHidden/>
              </w:rPr>
              <w:t>83</w:t>
            </w:r>
            <w:r w:rsidR="00505C97">
              <w:rPr>
                <w:noProof/>
                <w:webHidden/>
              </w:rPr>
              <w:fldChar w:fldCharType="end"/>
            </w:r>
          </w:hyperlink>
        </w:p>
        <w:p w14:paraId="215405F2" w14:textId="240EB185" w:rsidR="00505C97" w:rsidRDefault="0036403D">
          <w:pPr>
            <w:pStyle w:val="TOC3"/>
            <w:tabs>
              <w:tab w:val="left" w:pos="1100"/>
              <w:tab w:val="right" w:leader="dot" w:pos="9016"/>
            </w:tabs>
            <w:rPr>
              <w:rFonts w:eastAsiaTheme="minorEastAsia" w:cstheme="minorBidi"/>
              <w:i w:val="0"/>
              <w:iCs w:val="0"/>
              <w:noProof/>
              <w:sz w:val="22"/>
              <w:szCs w:val="22"/>
              <w:lang w:eastAsia="en-AU"/>
            </w:rPr>
          </w:pPr>
          <w:hyperlink w:anchor="_Toc33527790" w:history="1">
            <w:r w:rsidR="00505C97" w:rsidRPr="000C34E7">
              <w:rPr>
                <w:rStyle w:val="Hyperlink"/>
                <w:rFonts w:ascii="Arial" w:hAnsi="Arial" w:cs="Arial"/>
                <w:noProof/>
              </w:rPr>
              <w:t>5.8</w:t>
            </w:r>
            <w:r w:rsidR="00505C97">
              <w:rPr>
                <w:rFonts w:eastAsiaTheme="minorEastAsia" w:cstheme="minorBidi"/>
                <w:i w:val="0"/>
                <w:iCs w:val="0"/>
                <w:noProof/>
                <w:sz w:val="22"/>
                <w:szCs w:val="22"/>
                <w:lang w:eastAsia="en-AU"/>
              </w:rPr>
              <w:tab/>
            </w:r>
            <w:r w:rsidR="00505C97" w:rsidRPr="000C34E7">
              <w:rPr>
                <w:rStyle w:val="Hyperlink"/>
                <w:rFonts w:ascii="Arial" w:hAnsi="Arial" w:cs="Arial"/>
                <w:noProof/>
              </w:rPr>
              <w:t>The proportion of adolescents living in care is small but growing</w:t>
            </w:r>
            <w:r w:rsidR="00505C97">
              <w:rPr>
                <w:noProof/>
                <w:webHidden/>
              </w:rPr>
              <w:tab/>
            </w:r>
            <w:r w:rsidR="00505C97">
              <w:rPr>
                <w:noProof/>
                <w:webHidden/>
              </w:rPr>
              <w:fldChar w:fldCharType="begin"/>
            </w:r>
            <w:r w:rsidR="00505C97">
              <w:rPr>
                <w:noProof/>
                <w:webHidden/>
              </w:rPr>
              <w:instrText xml:space="preserve"> PAGEREF _Toc33527790 \h </w:instrText>
            </w:r>
            <w:r w:rsidR="00505C97">
              <w:rPr>
                <w:noProof/>
                <w:webHidden/>
              </w:rPr>
            </w:r>
            <w:r w:rsidR="00505C97">
              <w:rPr>
                <w:noProof/>
                <w:webHidden/>
              </w:rPr>
              <w:fldChar w:fldCharType="separate"/>
            </w:r>
            <w:r w:rsidR="00505C97">
              <w:rPr>
                <w:noProof/>
                <w:webHidden/>
              </w:rPr>
              <w:t>85</w:t>
            </w:r>
            <w:r w:rsidR="00505C97">
              <w:rPr>
                <w:noProof/>
                <w:webHidden/>
              </w:rPr>
              <w:fldChar w:fldCharType="end"/>
            </w:r>
          </w:hyperlink>
        </w:p>
        <w:p w14:paraId="2F74E3BD" w14:textId="37632A3D" w:rsidR="00505C97" w:rsidRDefault="0036403D">
          <w:pPr>
            <w:pStyle w:val="TOC3"/>
            <w:tabs>
              <w:tab w:val="left" w:pos="1100"/>
              <w:tab w:val="right" w:leader="dot" w:pos="9016"/>
            </w:tabs>
            <w:rPr>
              <w:rFonts w:eastAsiaTheme="minorEastAsia" w:cstheme="minorBidi"/>
              <w:i w:val="0"/>
              <w:iCs w:val="0"/>
              <w:noProof/>
              <w:sz w:val="22"/>
              <w:szCs w:val="22"/>
              <w:lang w:eastAsia="en-AU"/>
            </w:rPr>
          </w:pPr>
          <w:hyperlink w:anchor="_Toc33527791" w:history="1">
            <w:r w:rsidR="00505C97" w:rsidRPr="000C34E7">
              <w:rPr>
                <w:rStyle w:val="Hyperlink"/>
                <w:rFonts w:ascii="Arial" w:hAnsi="Arial" w:cs="Arial"/>
                <w:noProof/>
              </w:rPr>
              <w:t>5.9</w:t>
            </w:r>
            <w:r w:rsidR="00505C97">
              <w:rPr>
                <w:rFonts w:eastAsiaTheme="minorEastAsia" w:cstheme="minorBidi"/>
                <w:i w:val="0"/>
                <w:iCs w:val="0"/>
                <w:noProof/>
                <w:sz w:val="22"/>
                <w:szCs w:val="22"/>
                <w:lang w:eastAsia="en-AU"/>
              </w:rPr>
              <w:tab/>
            </w:r>
            <w:r w:rsidR="00505C97" w:rsidRPr="000C34E7">
              <w:rPr>
                <w:rStyle w:val="Hyperlink"/>
                <w:rFonts w:ascii="Arial" w:hAnsi="Arial" w:cs="Arial"/>
                <w:noProof/>
              </w:rPr>
              <w:t>A growing proportion of adolescents who access homelessness services have recently left care services</w:t>
            </w:r>
            <w:r w:rsidR="00505C97">
              <w:rPr>
                <w:noProof/>
                <w:webHidden/>
              </w:rPr>
              <w:tab/>
            </w:r>
            <w:r w:rsidR="00505C97">
              <w:rPr>
                <w:noProof/>
                <w:webHidden/>
              </w:rPr>
              <w:fldChar w:fldCharType="begin"/>
            </w:r>
            <w:r w:rsidR="00505C97">
              <w:rPr>
                <w:noProof/>
                <w:webHidden/>
              </w:rPr>
              <w:instrText xml:space="preserve"> PAGEREF _Toc33527791 \h </w:instrText>
            </w:r>
            <w:r w:rsidR="00505C97">
              <w:rPr>
                <w:noProof/>
                <w:webHidden/>
              </w:rPr>
            </w:r>
            <w:r w:rsidR="00505C97">
              <w:rPr>
                <w:noProof/>
                <w:webHidden/>
              </w:rPr>
              <w:fldChar w:fldCharType="separate"/>
            </w:r>
            <w:r w:rsidR="00505C97">
              <w:rPr>
                <w:noProof/>
                <w:webHidden/>
              </w:rPr>
              <w:t>89</w:t>
            </w:r>
            <w:r w:rsidR="00505C97">
              <w:rPr>
                <w:noProof/>
                <w:webHidden/>
              </w:rPr>
              <w:fldChar w:fldCharType="end"/>
            </w:r>
          </w:hyperlink>
        </w:p>
        <w:p w14:paraId="3251A6CC" w14:textId="311C40A4" w:rsidR="00505C97" w:rsidRDefault="0036403D">
          <w:pPr>
            <w:pStyle w:val="TOC3"/>
            <w:tabs>
              <w:tab w:val="left" w:pos="1100"/>
              <w:tab w:val="right" w:leader="dot" w:pos="9016"/>
            </w:tabs>
            <w:rPr>
              <w:rFonts w:eastAsiaTheme="minorEastAsia" w:cstheme="minorBidi"/>
              <w:i w:val="0"/>
              <w:iCs w:val="0"/>
              <w:noProof/>
              <w:sz w:val="22"/>
              <w:szCs w:val="22"/>
              <w:lang w:eastAsia="en-AU"/>
            </w:rPr>
          </w:pPr>
          <w:hyperlink w:anchor="_Toc33527792" w:history="1">
            <w:r w:rsidR="00505C97" w:rsidRPr="000C34E7">
              <w:rPr>
                <w:rStyle w:val="Hyperlink"/>
                <w:rFonts w:ascii="Arial" w:hAnsi="Arial" w:cs="Arial"/>
                <w:noProof/>
              </w:rPr>
              <w:t>5.10</w:t>
            </w:r>
            <w:r w:rsidR="00505C97">
              <w:rPr>
                <w:rFonts w:eastAsiaTheme="minorEastAsia" w:cstheme="minorBidi"/>
                <w:i w:val="0"/>
                <w:iCs w:val="0"/>
                <w:noProof/>
                <w:sz w:val="22"/>
                <w:szCs w:val="22"/>
                <w:lang w:eastAsia="en-AU"/>
              </w:rPr>
              <w:tab/>
            </w:r>
            <w:r w:rsidR="00505C97" w:rsidRPr="000C34E7">
              <w:rPr>
                <w:rStyle w:val="Hyperlink"/>
                <w:rFonts w:ascii="Arial" w:hAnsi="Arial" w:cs="Arial"/>
                <w:noProof/>
              </w:rPr>
              <w:t>Fewer adolescents are under community supervision for involvement or alleged involvement in crime, but the number in detention is rising</w:t>
            </w:r>
            <w:r w:rsidR="00505C97">
              <w:rPr>
                <w:noProof/>
                <w:webHidden/>
              </w:rPr>
              <w:tab/>
            </w:r>
            <w:r w:rsidR="00505C97">
              <w:rPr>
                <w:noProof/>
                <w:webHidden/>
              </w:rPr>
              <w:fldChar w:fldCharType="begin"/>
            </w:r>
            <w:r w:rsidR="00505C97">
              <w:rPr>
                <w:noProof/>
                <w:webHidden/>
              </w:rPr>
              <w:instrText xml:space="preserve"> PAGEREF _Toc33527792 \h </w:instrText>
            </w:r>
            <w:r w:rsidR="00505C97">
              <w:rPr>
                <w:noProof/>
                <w:webHidden/>
              </w:rPr>
            </w:r>
            <w:r w:rsidR="00505C97">
              <w:rPr>
                <w:noProof/>
                <w:webHidden/>
              </w:rPr>
              <w:fldChar w:fldCharType="separate"/>
            </w:r>
            <w:r w:rsidR="00505C97">
              <w:rPr>
                <w:noProof/>
                <w:webHidden/>
              </w:rPr>
              <w:t>91</w:t>
            </w:r>
            <w:r w:rsidR="00505C97">
              <w:rPr>
                <w:noProof/>
                <w:webHidden/>
              </w:rPr>
              <w:fldChar w:fldCharType="end"/>
            </w:r>
          </w:hyperlink>
        </w:p>
        <w:p w14:paraId="0178B17C" w14:textId="5FB96908" w:rsidR="00505C97" w:rsidRDefault="0036403D">
          <w:pPr>
            <w:pStyle w:val="TOC1"/>
            <w:tabs>
              <w:tab w:val="right" w:leader="dot" w:pos="9016"/>
            </w:tabs>
            <w:rPr>
              <w:rFonts w:eastAsiaTheme="minorEastAsia" w:cstheme="minorBidi"/>
              <w:b w:val="0"/>
              <w:bCs w:val="0"/>
              <w:caps w:val="0"/>
              <w:noProof/>
              <w:sz w:val="22"/>
              <w:szCs w:val="22"/>
              <w:lang w:eastAsia="en-AU"/>
            </w:rPr>
          </w:pPr>
          <w:hyperlink w:anchor="_Toc33527793" w:history="1">
            <w:r w:rsidR="00505C97" w:rsidRPr="000C34E7">
              <w:rPr>
                <w:rStyle w:val="Hyperlink"/>
                <w:rFonts w:ascii="Arial" w:hAnsi="Arial" w:cs="Arial"/>
                <w:noProof/>
                <w:lang w:bidi="en-US"/>
              </w:rPr>
              <w:t>CONCLUSION</w:t>
            </w:r>
            <w:r w:rsidR="00505C97">
              <w:rPr>
                <w:noProof/>
                <w:webHidden/>
              </w:rPr>
              <w:tab/>
            </w:r>
            <w:r w:rsidR="00505C97">
              <w:rPr>
                <w:noProof/>
                <w:webHidden/>
              </w:rPr>
              <w:fldChar w:fldCharType="begin"/>
            </w:r>
            <w:r w:rsidR="00505C97">
              <w:rPr>
                <w:noProof/>
                <w:webHidden/>
              </w:rPr>
              <w:instrText xml:space="preserve"> PAGEREF _Toc33527793 \h </w:instrText>
            </w:r>
            <w:r w:rsidR="00505C97">
              <w:rPr>
                <w:noProof/>
                <w:webHidden/>
              </w:rPr>
            </w:r>
            <w:r w:rsidR="00505C97">
              <w:rPr>
                <w:noProof/>
                <w:webHidden/>
              </w:rPr>
              <w:fldChar w:fldCharType="separate"/>
            </w:r>
            <w:r w:rsidR="00505C97">
              <w:rPr>
                <w:noProof/>
                <w:webHidden/>
              </w:rPr>
              <w:t>96</w:t>
            </w:r>
            <w:r w:rsidR="00505C97">
              <w:rPr>
                <w:noProof/>
                <w:webHidden/>
              </w:rPr>
              <w:fldChar w:fldCharType="end"/>
            </w:r>
          </w:hyperlink>
        </w:p>
        <w:p w14:paraId="0E3D9F91" w14:textId="4BA4D6D7" w:rsidR="00505C97" w:rsidRDefault="0036403D">
          <w:pPr>
            <w:pStyle w:val="TOC1"/>
            <w:tabs>
              <w:tab w:val="right" w:leader="dot" w:pos="9016"/>
            </w:tabs>
            <w:rPr>
              <w:rFonts w:eastAsiaTheme="minorEastAsia" w:cstheme="minorBidi"/>
              <w:b w:val="0"/>
              <w:bCs w:val="0"/>
              <w:caps w:val="0"/>
              <w:noProof/>
              <w:sz w:val="22"/>
              <w:szCs w:val="22"/>
              <w:lang w:eastAsia="en-AU"/>
            </w:rPr>
          </w:pPr>
          <w:hyperlink w:anchor="_Toc33527794" w:history="1">
            <w:r w:rsidR="00505C97" w:rsidRPr="000C34E7">
              <w:rPr>
                <w:rStyle w:val="Hyperlink"/>
                <w:rFonts w:ascii="Arial" w:hAnsi="Arial" w:cs="Arial"/>
                <w:noProof/>
                <w:lang w:bidi="en-US"/>
              </w:rPr>
              <w:t>Acronyms, References &amp;</w:t>
            </w:r>
            <w:r w:rsidR="00505C97">
              <w:rPr>
                <w:noProof/>
                <w:webHidden/>
              </w:rPr>
              <w:tab/>
            </w:r>
            <w:r w:rsidR="00505C97">
              <w:rPr>
                <w:noProof/>
                <w:webHidden/>
              </w:rPr>
              <w:fldChar w:fldCharType="begin"/>
            </w:r>
            <w:r w:rsidR="00505C97">
              <w:rPr>
                <w:noProof/>
                <w:webHidden/>
              </w:rPr>
              <w:instrText xml:space="preserve"> PAGEREF _Toc33527794 \h </w:instrText>
            </w:r>
            <w:r w:rsidR="00505C97">
              <w:rPr>
                <w:noProof/>
                <w:webHidden/>
              </w:rPr>
            </w:r>
            <w:r w:rsidR="00505C97">
              <w:rPr>
                <w:noProof/>
                <w:webHidden/>
              </w:rPr>
              <w:fldChar w:fldCharType="separate"/>
            </w:r>
            <w:r w:rsidR="00505C97">
              <w:rPr>
                <w:noProof/>
                <w:webHidden/>
              </w:rPr>
              <w:t>98</w:t>
            </w:r>
            <w:r w:rsidR="00505C97">
              <w:rPr>
                <w:noProof/>
                <w:webHidden/>
              </w:rPr>
              <w:fldChar w:fldCharType="end"/>
            </w:r>
          </w:hyperlink>
        </w:p>
        <w:p w14:paraId="6D1F3605" w14:textId="41F3DE35" w:rsidR="00505C97" w:rsidRDefault="0036403D">
          <w:pPr>
            <w:pStyle w:val="TOC1"/>
            <w:tabs>
              <w:tab w:val="left" w:pos="660"/>
              <w:tab w:val="right" w:leader="dot" w:pos="9016"/>
            </w:tabs>
            <w:rPr>
              <w:rFonts w:eastAsiaTheme="minorEastAsia" w:cstheme="minorBidi"/>
              <w:b w:val="0"/>
              <w:bCs w:val="0"/>
              <w:caps w:val="0"/>
              <w:noProof/>
              <w:sz w:val="22"/>
              <w:szCs w:val="22"/>
              <w:lang w:eastAsia="en-AU"/>
            </w:rPr>
          </w:pPr>
          <w:hyperlink w:anchor="_Toc33527795" w:history="1">
            <w:r w:rsidR="00505C97" w:rsidRPr="000C34E7">
              <w:rPr>
                <w:rStyle w:val="Hyperlink"/>
                <w:rFonts w:ascii="Arial" w:hAnsi="Arial" w:cs="Arial"/>
                <w:noProof/>
                <w:lang w:bidi="en-US"/>
              </w:rPr>
              <w:t>List</w:t>
            </w:r>
            <w:r w:rsidR="00505C97">
              <w:rPr>
                <w:rFonts w:eastAsiaTheme="minorEastAsia" w:cstheme="minorBidi"/>
                <w:b w:val="0"/>
                <w:bCs w:val="0"/>
                <w:caps w:val="0"/>
                <w:noProof/>
                <w:sz w:val="22"/>
                <w:szCs w:val="22"/>
                <w:lang w:eastAsia="en-AU"/>
              </w:rPr>
              <w:tab/>
            </w:r>
            <w:r w:rsidR="00505C97" w:rsidRPr="000C34E7">
              <w:rPr>
                <w:rStyle w:val="Hyperlink"/>
                <w:rFonts w:ascii="Arial" w:hAnsi="Arial" w:cs="Arial"/>
                <w:noProof/>
                <w:lang w:bidi="en-US"/>
              </w:rPr>
              <w:t>of figures</w:t>
            </w:r>
            <w:r w:rsidR="00505C97">
              <w:rPr>
                <w:noProof/>
                <w:webHidden/>
              </w:rPr>
              <w:tab/>
            </w:r>
            <w:r w:rsidR="00505C97">
              <w:rPr>
                <w:noProof/>
                <w:webHidden/>
              </w:rPr>
              <w:fldChar w:fldCharType="begin"/>
            </w:r>
            <w:r w:rsidR="00505C97">
              <w:rPr>
                <w:noProof/>
                <w:webHidden/>
              </w:rPr>
              <w:instrText xml:space="preserve"> PAGEREF _Toc33527795 \h </w:instrText>
            </w:r>
            <w:r w:rsidR="00505C97">
              <w:rPr>
                <w:noProof/>
                <w:webHidden/>
              </w:rPr>
            </w:r>
            <w:r w:rsidR="00505C97">
              <w:rPr>
                <w:noProof/>
                <w:webHidden/>
              </w:rPr>
              <w:fldChar w:fldCharType="separate"/>
            </w:r>
            <w:r w:rsidR="00505C97">
              <w:rPr>
                <w:noProof/>
                <w:webHidden/>
              </w:rPr>
              <w:t>98</w:t>
            </w:r>
            <w:r w:rsidR="00505C97">
              <w:rPr>
                <w:noProof/>
                <w:webHidden/>
              </w:rPr>
              <w:fldChar w:fldCharType="end"/>
            </w:r>
          </w:hyperlink>
        </w:p>
        <w:p w14:paraId="616859EF" w14:textId="2B0F1EF3" w:rsidR="00505C97" w:rsidRDefault="0036403D">
          <w:pPr>
            <w:pStyle w:val="TOC2"/>
            <w:tabs>
              <w:tab w:val="right" w:leader="dot" w:pos="9016"/>
            </w:tabs>
            <w:rPr>
              <w:rFonts w:eastAsiaTheme="minorEastAsia" w:cstheme="minorBidi"/>
              <w:smallCaps w:val="0"/>
              <w:noProof/>
              <w:sz w:val="22"/>
              <w:szCs w:val="22"/>
              <w:lang w:eastAsia="en-AU"/>
            </w:rPr>
          </w:pPr>
          <w:hyperlink w:anchor="_Toc33527796" w:history="1">
            <w:r w:rsidR="00505C97" w:rsidRPr="000C34E7">
              <w:rPr>
                <w:rStyle w:val="Hyperlink"/>
                <w:rFonts w:ascii="Arial" w:hAnsi="Arial" w:cs="Arial"/>
                <w:noProof/>
              </w:rPr>
              <w:t>ACRONYMS</w:t>
            </w:r>
            <w:r w:rsidR="00505C97">
              <w:rPr>
                <w:noProof/>
                <w:webHidden/>
              </w:rPr>
              <w:tab/>
            </w:r>
            <w:r w:rsidR="00505C97">
              <w:rPr>
                <w:noProof/>
                <w:webHidden/>
              </w:rPr>
              <w:fldChar w:fldCharType="begin"/>
            </w:r>
            <w:r w:rsidR="00505C97">
              <w:rPr>
                <w:noProof/>
                <w:webHidden/>
              </w:rPr>
              <w:instrText xml:space="preserve"> PAGEREF _Toc33527796 \h </w:instrText>
            </w:r>
            <w:r w:rsidR="00505C97">
              <w:rPr>
                <w:noProof/>
                <w:webHidden/>
              </w:rPr>
            </w:r>
            <w:r w:rsidR="00505C97">
              <w:rPr>
                <w:noProof/>
                <w:webHidden/>
              </w:rPr>
              <w:fldChar w:fldCharType="separate"/>
            </w:r>
            <w:r w:rsidR="00505C97">
              <w:rPr>
                <w:noProof/>
                <w:webHidden/>
              </w:rPr>
              <w:t>98</w:t>
            </w:r>
            <w:r w:rsidR="00505C97">
              <w:rPr>
                <w:noProof/>
                <w:webHidden/>
              </w:rPr>
              <w:fldChar w:fldCharType="end"/>
            </w:r>
          </w:hyperlink>
        </w:p>
        <w:p w14:paraId="7B4F0EA5" w14:textId="2091C2B3" w:rsidR="00505C97" w:rsidRDefault="0036403D">
          <w:pPr>
            <w:pStyle w:val="TOC2"/>
            <w:tabs>
              <w:tab w:val="right" w:leader="dot" w:pos="9016"/>
            </w:tabs>
            <w:rPr>
              <w:rFonts w:eastAsiaTheme="minorEastAsia" w:cstheme="minorBidi"/>
              <w:smallCaps w:val="0"/>
              <w:noProof/>
              <w:sz w:val="22"/>
              <w:szCs w:val="22"/>
              <w:lang w:eastAsia="en-AU"/>
            </w:rPr>
          </w:pPr>
          <w:hyperlink w:anchor="_Toc33527797" w:history="1">
            <w:r w:rsidR="00505C97" w:rsidRPr="000C34E7">
              <w:rPr>
                <w:rStyle w:val="Hyperlink"/>
                <w:rFonts w:ascii="Arial" w:hAnsi="Arial" w:cs="Arial"/>
                <w:noProof/>
              </w:rPr>
              <w:t>REFERENCES</w:t>
            </w:r>
            <w:r w:rsidR="00505C97">
              <w:rPr>
                <w:noProof/>
                <w:webHidden/>
              </w:rPr>
              <w:tab/>
            </w:r>
            <w:r w:rsidR="00505C97">
              <w:rPr>
                <w:noProof/>
                <w:webHidden/>
              </w:rPr>
              <w:fldChar w:fldCharType="begin"/>
            </w:r>
            <w:r w:rsidR="00505C97">
              <w:rPr>
                <w:noProof/>
                <w:webHidden/>
              </w:rPr>
              <w:instrText xml:space="preserve"> PAGEREF _Toc33527797 \h </w:instrText>
            </w:r>
            <w:r w:rsidR="00505C97">
              <w:rPr>
                <w:noProof/>
                <w:webHidden/>
              </w:rPr>
            </w:r>
            <w:r w:rsidR="00505C97">
              <w:rPr>
                <w:noProof/>
                <w:webHidden/>
              </w:rPr>
              <w:fldChar w:fldCharType="separate"/>
            </w:r>
            <w:r w:rsidR="00505C97">
              <w:rPr>
                <w:noProof/>
                <w:webHidden/>
              </w:rPr>
              <w:t>99</w:t>
            </w:r>
            <w:r w:rsidR="00505C97">
              <w:rPr>
                <w:noProof/>
                <w:webHidden/>
              </w:rPr>
              <w:fldChar w:fldCharType="end"/>
            </w:r>
          </w:hyperlink>
        </w:p>
        <w:p w14:paraId="22F1D491" w14:textId="13E71180" w:rsidR="00505C97" w:rsidRDefault="0036403D">
          <w:pPr>
            <w:pStyle w:val="TOC2"/>
            <w:tabs>
              <w:tab w:val="right" w:leader="dot" w:pos="9016"/>
            </w:tabs>
            <w:rPr>
              <w:rFonts w:eastAsiaTheme="minorEastAsia" w:cstheme="minorBidi"/>
              <w:smallCaps w:val="0"/>
              <w:noProof/>
              <w:sz w:val="22"/>
              <w:szCs w:val="22"/>
              <w:lang w:eastAsia="en-AU"/>
            </w:rPr>
          </w:pPr>
          <w:hyperlink w:anchor="_Toc33527798" w:history="1">
            <w:r w:rsidR="00505C97" w:rsidRPr="000C34E7">
              <w:rPr>
                <w:rStyle w:val="Hyperlink"/>
                <w:rFonts w:ascii="Arial" w:hAnsi="Arial" w:cs="Arial"/>
                <w:noProof/>
              </w:rPr>
              <w:t>LIST OF FIGURES</w:t>
            </w:r>
            <w:r w:rsidR="00505C97">
              <w:rPr>
                <w:noProof/>
                <w:webHidden/>
              </w:rPr>
              <w:tab/>
            </w:r>
            <w:r w:rsidR="00505C97">
              <w:rPr>
                <w:noProof/>
                <w:webHidden/>
              </w:rPr>
              <w:fldChar w:fldCharType="begin"/>
            </w:r>
            <w:r w:rsidR="00505C97">
              <w:rPr>
                <w:noProof/>
                <w:webHidden/>
              </w:rPr>
              <w:instrText xml:space="preserve"> PAGEREF _Toc33527798 \h </w:instrText>
            </w:r>
            <w:r w:rsidR="00505C97">
              <w:rPr>
                <w:noProof/>
                <w:webHidden/>
              </w:rPr>
            </w:r>
            <w:r w:rsidR="00505C97">
              <w:rPr>
                <w:noProof/>
                <w:webHidden/>
              </w:rPr>
              <w:fldChar w:fldCharType="separate"/>
            </w:r>
            <w:r w:rsidR="00505C97">
              <w:rPr>
                <w:noProof/>
                <w:webHidden/>
              </w:rPr>
              <w:t>113</w:t>
            </w:r>
            <w:r w:rsidR="00505C97">
              <w:rPr>
                <w:noProof/>
                <w:webHidden/>
              </w:rPr>
              <w:fldChar w:fldCharType="end"/>
            </w:r>
          </w:hyperlink>
        </w:p>
        <w:p w14:paraId="07E62B02" w14:textId="327485A2" w:rsidR="007851FC" w:rsidRDefault="007851FC">
          <w:r>
            <w:rPr>
              <w:b/>
              <w:bCs/>
              <w:noProof/>
            </w:rPr>
            <w:fldChar w:fldCharType="end"/>
          </w:r>
        </w:p>
      </w:sdtContent>
    </w:sdt>
    <w:p w14:paraId="240C9550" w14:textId="77777777" w:rsidR="002828A7" w:rsidRDefault="002828A7"/>
    <w:p w14:paraId="64C45722" w14:textId="77777777" w:rsidR="002828A7" w:rsidRPr="0085176D" w:rsidRDefault="002828A7" w:rsidP="002828A7">
      <w:pPr>
        <w:pStyle w:val="Heading1"/>
        <w:rPr>
          <w:rFonts w:ascii="Arial" w:hAnsi="Arial" w:cs="Arial"/>
        </w:rPr>
      </w:pPr>
      <w:bookmarkStart w:id="1" w:name="_Toc33527726"/>
      <w:r>
        <w:rPr>
          <w:rFonts w:ascii="Arial" w:hAnsi="Arial" w:cs="Arial"/>
        </w:rPr>
        <w:lastRenderedPageBreak/>
        <w:t xml:space="preserve">MINISTERIAL </w:t>
      </w:r>
      <w:r w:rsidRPr="0085176D">
        <w:rPr>
          <w:rFonts w:ascii="Arial" w:hAnsi="Arial" w:cs="Arial"/>
        </w:rPr>
        <w:t>FOREWORD</w:t>
      </w:r>
      <w:bookmarkEnd w:id="1"/>
    </w:p>
    <w:p w14:paraId="5B4F9CD9" w14:textId="77777777" w:rsidR="002828A7" w:rsidRPr="002828A7" w:rsidRDefault="002828A7" w:rsidP="002828A7">
      <w:pPr>
        <w:rPr>
          <w:rFonts w:ascii="Arial" w:hAnsi="Arial" w:cs="Arial"/>
          <w:sz w:val="24"/>
          <w:szCs w:val="24"/>
        </w:rPr>
      </w:pPr>
      <w:r w:rsidRPr="002828A7">
        <w:rPr>
          <w:rFonts w:ascii="Arial" w:hAnsi="Arial" w:cs="Arial"/>
          <w:sz w:val="24"/>
          <w:szCs w:val="24"/>
        </w:rPr>
        <w:t xml:space="preserve">Adolescence is a time of growth, change and discovery for young people. The </w:t>
      </w:r>
      <w:r w:rsidRPr="002828A7">
        <w:rPr>
          <w:rFonts w:ascii="Arial" w:hAnsi="Arial" w:cs="Arial"/>
          <w:spacing w:val="-4"/>
          <w:sz w:val="24"/>
          <w:szCs w:val="24"/>
        </w:rPr>
        <w:t xml:space="preserve">events </w:t>
      </w:r>
      <w:r w:rsidRPr="002828A7">
        <w:rPr>
          <w:rFonts w:ascii="Arial" w:hAnsi="Arial" w:cs="Arial"/>
          <w:sz w:val="24"/>
          <w:szCs w:val="24"/>
        </w:rPr>
        <w:t xml:space="preserve">that </w:t>
      </w:r>
      <w:r w:rsidRPr="002828A7">
        <w:rPr>
          <w:rFonts w:ascii="Arial" w:hAnsi="Arial" w:cs="Arial"/>
          <w:spacing w:val="-3"/>
          <w:sz w:val="24"/>
          <w:szCs w:val="24"/>
        </w:rPr>
        <w:t xml:space="preserve">take </w:t>
      </w:r>
      <w:r w:rsidRPr="002828A7">
        <w:rPr>
          <w:rFonts w:ascii="Arial" w:hAnsi="Arial" w:cs="Arial"/>
          <w:sz w:val="24"/>
          <w:szCs w:val="24"/>
        </w:rPr>
        <w:t>place during adolescence can influence our lives, health and wellbeing for years to come.</w:t>
      </w:r>
    </w:p>
    <w:p w14:paraId="18412772" w14:textId="77777777" w:rsidR="002828A7" w:rsidRPr="002828A7" w:rsidRDefault="002828A7" w:rsidP="002828A7">
      <w:pPr>
        <w:rPr>
          <w:rFonts w:ascii="Arial" w:hAnsi="Arial" w:cs="Arial"/>
          <w:sz w:val="24"/>
          <w:szCs w:val="24"/>
        </w:rPr>
      </w:pPr>
      <w:r w:rsidRPr="002828A7">
        <w:rPr>
          <w:rFonts w:ascii="Arial" w:hAnsi="Arial" w:cs="Arial"/>
          <w:sz w:val="24"/>
          <w:szCs w:val="24"/>
        </w:rPr>
        <w:t xml:space="preserve">This year’s </w:t>
      </w:r>
      <w:r w:rsidRPr="002828A7">
        <w:rPr>
          <w:rFonts w:ascii="Arial" w:hAnsi="Arial" w:cs="Arial"/>
          <w:i/>
          <w:sz w:val="24"/>
          <w:szCs w:val="24"/>
        </w:rPr>
        <w:t xml:space="preserve">State of Victoria’s Children Report </w:t>
      </w:r>
      <w:r w:rsidRPr="002828A7">
        <w:rPr>
          <w:rFonts w:ascii="Arial" w:hAnsi="Arial" w:cs="Arial"/>
          <w:sz w:val="24"/>
          <w:szCs w:val="24"/>
        </w:rPr>
        <w:t>focuses on adolescence, providing a snapshot of how more than 500,000 adolescent Victorians are faring. The report paints a largely positive picture, with most Victorian young people in good physical and mental health and living in safe, supportive environments with healthy, well-functioning families.</w:t>
      </w:r>
    </w:p>
    <w:p w14:paraId="1693087F" w14:textId="77777777" w:rsidR="002828A7" w:rsidRPr="002828A7" w:rsidRDefault="002828A7" w:rsidP="002828A7">
      <w:pPr>
        <w:rPr>
          <w:rFonts w:ascii="Arial" w:hAnsi="Arial" w:cs="Arial"/>
          <w:sz w:val="24"/>
          <w:szCs w:val="24"/>
        </w:rPr>
      </w:pPr>
      <w:r w:rsidRPr="002828A7">
        <w:rPr>
          <w:rFonts w:ascii="Arial" w:hAnsi="Arial" w:cs="Arial"/>
          <w:sz w:val="24"/>
          <w:szCs w:val="24"/>
        </w:rPr>
        <w:t>The report goes beyond the classroom to look at how different factors can influence young people’s lives, including their educational outcomes, health and wellbeing, safety and home life.</w:t>
      </w:r>
    </w:p>
    <w:p w14:paraId="21B9BFF0" w14:textId="77777777" w:rsidR="002828A7" w:rsidRPr="002828A7" w:rsidRDefault="002828A7" w:rsidP="002828A7">
      <w:pPr>
        <w:rPr>
          <w:rFonts w:ascii="Arial" w:hAnsi="Arial" w:cs="Arial"/>
          <w:sz w:val="24"/>
          <w:szCs w:val="24"/>
        </w:rPr>
      </w:pPr>
      <w:r w:rsidRPr="002828A7">
        <w:rPr>
          <w:rFonts w:ascii="Arial" w:hAnsi="Arial" w:cs="Arial"/>
          <w:sz w:val="24"/>
          <w:szCs w:val="24"/>
        </w:rPr>
        <w:t>Students in Victoria are consistently achieving some of the best NAPLAN results in the country. Year 12 attainment rates are improving for young people leaving school, and our schools have the lowest rates of absenteeism in the country.</w:t>
      </w:r>
    </w:p>
    <w:p w14:paraId="6E051ED2" w14:textId="77777777" w:rsidR="002828A7" w:rsidRPr="002828A7" w:rsidRDefault="002828A7" w:rsidP="002828A7">
      <w:pPr>
        <w:rPr>
          <w:rFonts w:ascii="Arial" w:hAnsi="Arial" w:cs="Arial"/>
          <w:sz w:val="24"/>
          <w:szCs w:val="24"/>
        </w:rPr>
      </w:pPr>
      <w:r w:rsidRPr="002828A7">
        <w:rPr>
          <w:rFonts w:ascii="Arial" w:hAnsi="Arial" w:cs="Arial"/>
          <w:spacing w:val="-8"/>
          <w:sz w:val="24"/>
          <w:szCs w:val="24"/>
        </w:rPr>
        <w:t xml:space="preserve">Yet </w:t>
      </w:r>
      <w:r w:rsidRPr="002828A7">
        <w:rPr>
          <w:rFonts w:ascii="Arial" w:hAnsi="Arial" w:cs="Arial"/>
          <w:sz w:val="24"/>
          <w:szCs w:val="24"/>
        </w:rPr>
        <w:t>we know that as young people reach secondary school, there’s still work to be done</w:t>
      </w:r>
      <w:r w:rsidRPr="002828A7">
        <w:rPr>
          <w:rFonts w:ascii="Arial" w:hAnsi="Arial" w:cs="Arial"/>
          <w:spacing w:val="-13"/>
          <w:sz w:val="24"/>
          <w:szCs w:val="24"/>
        </w:rPr>
        <w:t xml:space="preserve"> </w:t>
      </w:r>
      <w:r w:rsidRPr="002828A7">
        <w:rPr>
          <w:rFonts w:ascii="Arial" w:hAnsi="Arial" w:cs="Arial"/>
          <w:sz w:val="24"/>
          <w:szCs w:val="24"/>
        </w:rPr>
        <w:t>to</w:t>
      </w:r>
      <w:r w:rsidRPr="002828A7">
        <w:rPr>
          <w:rFonts w:ascii="Arial" w:hAnsi="Arial" w:cs="Arial"/>
          <w:spacing w:val="-12"/>
          <w:sz w:val="24"/>
          <w:szCs w:val="24"/>
        </w:rPr>
        <w:t xml:space="preserve"> </w:t>
      </w:r>
      <w:r w:rsidRPr="002828A7">
        <w:rPr>
          <w:rFonts w:ascii="Arial" w:hAnsi="Arial" w:cs="Arial"/>
          <w:sz w:val="24"/>
          <w:szCs w:val="24"/>
        </w:rPr>
        <w:t>increase</w:t>
      </w:r>
      <w:r w:rsidRPr="002828A7">
        <w:rPr>
          <w:rFonts w:ascii="Arial" w:hAnsi="Arial" w:cs="Arial"/>
          <w:spacing w:val="-12"/>
          <w:sz w:val="24"/>
          <w:szCs w:val="24"/>
        </w:rPr>
        <w:t xml:space="preserve"> </w:t>
      </w:r>
      <w:r w:rsidRPr="002828A7">
        <w:rPr>
          <w:rFonts w:ascii="Arial" w:hAnsi="Arial" w:cs="Arial"/>
          <w:sz w:val="24"/>
          <w:szCs w:val="24"/>
        </w:rPr>
        <w:t>their</w:t>
      </w:r>
      <w:r w:rsidRPr="002828A7">
        <w:rPr>
          <w:rFonts w:ascii="Arial" w:hAnsi="Arial" w:cs="Arial"/>
          <w:spacing w:val="-13"/>
          <w:sz w:val="24"/>
          <w:szCs w:val="24"/>
        </w:rPr>
        <w:t xml:space="preserve"> </w:t>
      </w:r>
      <w:r w:rsidRPr="002828A7">
        <w:rPr>
          <w:rFonts w:ascii="Arial" w:hAnsi="Arial" w:cs="Arial"/>
          <w:sz w:val="24"/>
          <w:szCs w:val="24"/>
        </w:rPr>
        <w:t>performance</w:t>
      </w:r>
      <w:r w:rsidRPr="002828A7">
        <w:rPr>
          <w:rFonts w:ascii="Arial" w:hAnsi="Arial" w:cs="Arial"/>
          <w:spacing w:val="-12"/>
          <w:sz w:val="24"/>
          <w:szCs w:val="24"/>
        </w:rPr>
        <w:t xml:space="preserve"> </w:t>
      </w:r>
      <w:r w:rsidRPr="002828A7">
        <w:rPr>
          <w:rFonts w:ascii="Arial" w:hAnsi="Arial" w:cs="Arial"/>
          <w:sz w:val="24"/>
          <w:szCs w:val="24"/>
        </w:rPr>
        <w:t>and</w:t>
      </w:r>
      <w:r w:rsidRPr="002828A7">
        <w:rPr>
          <w:rFonts w:ascii="Arial" w:hAnsi="Arial" w:cs="Arial"/>
          <w:spacing w:val="-12"/>
          <w:sz w:val="24"/>
          <w:szCs w:val="24"/>
        </w:rPr>
        <w:t xml:space="preserve"> </w:t>
      </w:r>
      <w:r w:rsidRPr="002828A7">
        <w:rPr>
          <w:rFonts w:ascii="Arial" w:hAnsi="Arial" w:cs="Arial"/>
          <w:sz w:val="24"/>
          <w:szCs w:val="24"/>
        </w:rPr>
        <w:t>engagement.</w:t>
      </w:r>
      <w:r w:rsidRPr="002828A7">
        <w:rPr>
          <w:rFonts w:ascii="Arial" w:hAnsi="Arial" w:cs="Arial"/>
          <w:spacing w:val="-13"/>
          <w:sz w:val="24"/>
          <w:szCs w:val="24"/>
        </w:rPr>
        <w:t xml:space="preserve"> </w:t>
      </w:r>
      <w:r w:rsidRPr="002828A7">
        <w:rPr>
          <w:rFonts w:ascii="Arial" w:hAnsi="Arial" w:cs="Arial"/>
          <w:sz w:val="24"/>
          <w:szCs w:val="24"/>
        </w:rPr>
        <w:t>This</w:t>
      </w:r>
      <w:r w:rsidRPr="002828A7">
        <w:rPr>
          <w:rFonts w:ascii="Arial" w:hAnsi="Arial" w:cs="Arial"/>
          <w:spacing w:val="-12"/>
          <w:sz w:val="24"/>
          <w:szCs w:val="24"/>
        </w:rPr>
        <w:t xml:space="preserve"> </w:t>
      </w:r>
      <w:r w:rsidRPr="002828A7">
        <w:rPr>
          <w:rFonts w:ascii="Arial" w:hAnsi="Arial" w:cs="Arial"/>
          <w:sz w:val="24"/>
          <w:szCs w:val="24"/>
        </w:rPr>
        <w:t>is</w:t>
      </w:r>
      <w:r w:rsidRPr="002828A7">
        <w:rPr>
          <w:rFonts w:ascii="Arial" w:hAnsi="Arial" w:cs="Arial"/>
          <w:spacing w:val="-12"/>
          <w:sz w:val="24"/>
          <w:szCs w:val="24"/>
        </w:rPr>
        <w:t xml:space="preserve"> </w:t>
      </w:r>
      <w:r w:rsidRPr="002828A7">
        <w:rPr>
          <w:rFonts w:ascii="Arial" w:hAnsi="Arial" w:cs="Arial"/>
          <w:sz w:val="24"/>
          <w:szCs w:val="24"/>
        </w:rPr>
        <w:t>why</w:t>
      </w:r>
      <w:r w:rsidRPr="002828A7">
        <w:rPr>
          <w:rFonts w:ascii="Arial" w:hAnsi="Arial" w:cs="Arial"/>
          <w:spacing w:val="-13"/>
          <w:sz w:val="24"/>
          <w:szCs w:val="24"/>
        </w:rPr>
        <w:t xml:space="preserve"> </w:t>
      </w:r>
      <w:r w:rsidRPr="002828A7">
        <w:rPr>
          <w:rFonts w:ascii="Arial" w:hAnsi="Arial" w:cs="Arial"/>
          <w:sz w:val="24"/>
          <w:szCs w:val="24"/>
        </w:rPr>
        <w:t>we</w:t>
      </w:r>
      <w:r w:rsidRPr="002828A7">
        <w:rPr>
          <w:rFonts w:ascii="Arial" w:hAnsi="Arial" w:cs="Arial"/>
          <w:spacing w:val="-12"/>
          <w:sz w:val="24"/>
          <w:szCs w:val="24"/>
        </w:rPr>
        <w:t xml:space="preserve"> </w:t>
      </w:r>
      <w:r w:rsidRPr="002828A7">
        <w:rPr>
          <w:rFonts w:ascii="Arial" w:hAnsi="Arial" w:cs="Arial"/>
          <w:sz w:val="24"/>
          <w:szCs w:val="24"/>
        </w:rPr>
        <w:t>are</w:t>
      </w:r>
      <w:r w:rsidRPr="002828A7">
        <w:rPr>
          <w:rFonts w:ascii="Arial" w:hAnsi="Arial" w:cs="Arial"/>
          <w:spacing w:val="-12"/>
          <w:sz w:val="24"/>
          <w:szCs w:val="24"/>
        </w:rPr>
        <w:t xml:space="preserve"> </w:t>
      </w:r>
      <w:r w:rsidRPr="002828A7">
        <w:rPr>
          <w:rFonts w:ascii="Arial" w:hAnsi="Arial" w:cs="Arial"/>
          <w:sz w:val="24"/>
          <w:szCs w:val="24"/>
        </w:rPr>
        <w:t>rolling</w:t>
      </w:r>
      <w:r w:rsidRPr="002828A7">
        <w:rPr>
          <w:rFonts w:ascii="Arial" w:hAnsi="Arial" w:cs="Arial"/>
          <w:spacing w:val="-13"/>
          <w:sz w:val="24"/>
          <w:szCs w:val="24"/>
        </w:rPr>
        <w:t xml:space="preserve"> </w:t>
      </w:r>
      <w:r w:rsidRPr="002828A7">
        <w:rPr>
          <w:rFonts w:ascii="Arial" w:hAnsi="Arial" w:cs="Arial"/>
          <w:sz w:val="24"/>
          <w:szCs w:val="24"/>
        </w:rPr>
        <w:t>out the</w:t>
      </w:r>
      <w:r w:rsidRPr="002828A7">
        <w:rPr>
          <w:rFonts w:ascii="Arial" w:hAnsi="Arial" w:cs="Arial"/>
          <w:spacing w:val="-15"/>
          <w:sz w:val="24"/>
          <w:szCs w:val="24"/>
        </w:rPr>
        <w:t xml:space="preserve"> </w:t>
      </w:r>
      <w:r w:rsidRPr="002828A7">
        <w:rPr>
          <w:rFonts w:ascii="Arial" w:hAnsi="Arial" w:cs="Arial"/>
          <w:sz w:val="24"/>
          <w:szCs w:val="24"/>
        </w:rPr>
        <w:t>Navigator</w:t>
      </w:r>
      <w:r w:rsidRPr="002828A7">
        <w:rPr>
          <w:rFonts w:ascii="Arial" w:hAnsi="Arial" w:cs="Arial"/>
          <w:spacing w:val="-15"/>
          <w:sz w:val="24"/>
          <w:szCs w:val="24"/>
        </w:rPr>
        <w:t xml:space="preserve"> </w:t>
      </w:r>
      <w:r w:rsidRPr="002828A7">
        <w:rPr>
          <w:rFonts w:ascii="Arial" w:hAnsi="Arial" w:cs="Arial"/>
          <w:sz w:val="24"/>
          <w:szCs w:val="24"/>
        </w:rPr>
        <w:t>program</w:t>
      </w:r>
      <w:r w:rsidRPr="002828A7">
        <w:rPr>
          <w:rFonts w:ascii="Arial" w:hAnsi="Arial" w:cs="Arial"/>
          <w:spacing w:val="-14"/>
          <w:sz w:val="24"/>
          <w:szCs w:val="24"/>
        </w:rPr>
        <w:t xml:space="preserve"> </w:t>
      </w:r>
      <w:r w:rsidRPr="002828A7">
        <w:rPr>
          <w:rFonts w:ascii="Arial" w:hAnsi="Arial" w:cs="Arial"/>
          <w:sz w:val="24"/>
          <w:szCs w:val="24"/>
        </w:rPr>
        <w:t>statewide</w:t>
      </w:r>
      <w:r w:rsidRPr="002828A7">
        <w:rPr>
          <w:rFonts w:ascii="Arial" w:hAnsi="Arial" w:cs="Arial"/>
          <w:spacing w:val="-15"/>
          <w:sz w:val="24"/>
          <w:szCs w:val="24"/>
        </w:rPr>
        <w:t xml:space="preserve"> </w:t>
      </w:r>
      <w:r w:rsidRPr="002828A7">
        <w:rPr>
          <w:rFonts w:ascii="Arial" w:hAnsi="Arial" w:cs="Arial"/>
          <w:sz w:val="24"/>
          <w:szCs w:val="24"/>
        </w:rPr>
        <w:t>to</w:t>
      </w:r>
      <w:r w:rsidRPr="002828A7">
        <w:rPr>
          <w:rFonts w:ascii="Arial" w:hAnsi="Arial" w:cs="Arial"/>
          <w:spacing w:val="-14"/>
          <w:sz w:val="24"/>
          <w:szCs w:val="24"/>
        </w:rPr>
        <w:t xml:space="preserve"> </w:t>
      </w:r>
      <w:r w:rsidRPr="002828A7">
        <w:rPr>
          <w:rFonts w:ascii="Arial" w:hAnsi="Arial" w:cs="Arial"/>
          <w:sz w:val="24"/>
          <w:szCs w:val="24"/>
        </w:rPr>
        <w:t>re-engage</w:t>
      </w:r>
      <w:r w:rsidRPr="002828A7">
        <w:rPr>
          <w:rFonts w:ascii="Arial" w:hAnsi="Arial" w:cs="Arial"/>
          <w:spacing w:val="-15"/>
          <w:sz w:val="24"/>
          <w:szCs w:val="24"/>
        </w:rPr>
        <w:t xml:space="preserve"> </w:t>
      </w:r>
      <w:r w:rsidRPr="002828A7">
        <w:rPr>
          <w:rFonts w:ascii="Arial" w:hAnsi="Arial" w:cs="Arial"/>
          <w:sz w:val="24"/>
          <w:szCs w:val="24"/>
        </w:rPr>
        <w:t>students</w:t>
      </w:r>
      <w:r w:rsidRPr="002828A7">
        <w:rPr>
          <w:rFonts w:ascii="Arial" w:hAnsi="Arial" w:cs="Arial"/>
          <w:spacing w:val="-15"/>
          <w:sz w:val="24"/>
          <w:szCs w:val="24"/>
        </w:rPr>
        <w:t xml:space="preserve"> </w:t>
      </w:r>
      <w:r w:rsidRPr="002828A7">
        <w:rPr>
          <w:rFonts w:ascii="Arial" w:hAnsi="Arial" w:cs="Arial"/>
          <w:sz w:val="24"/>
          <w:szCs w:val="24"/>
        </w:rPr>
        <w:t>aged</w:t>
      </w:r>
      <w:r w:rsidRPr="002828A7">
        <w:rPr>
          <w:rFonts w:ascii="Arial" w:hAnsi="Arial" w:cs="Arial"/>
          <w:spacing w:val="-14"/>
          <w:sz w:val="24"/>
          <w:szCs w:val="24"/>
        </w:rPr>
        <w:t xml:space="preserve"> </w:t>
      </w:r>
      <w:r w:rsidRPr="002828A7">
        <w:rPr>
          <w:rFonts w:ascii="Arial" w:hAnsi="Arial" w:cs="Arial"/>
          <w:sz w:val="24"/>
          <w:szCs w:val="24"/>
        </w:rPr>
        <w:t>12</w:t>
      </w:r>
      <w:r w:rsidRPr="002828A7">
        <w:rPr>
          <w:rFonts w:ascii="Arial" w:hAnsi="Arial" w:cs="Arial"/>
          <w:spacing w:val="-15"/>
          <w:sz w:val="24"/>
          <w:szCs w:val="24"/>
        </w:rPr>
        <w:t xml:space="preserve"> </w:t>
      </w:r>
      <w:r w:rsidRPr="002828A7">
        <w:rPr>
          <w:rFonts w:ascii="Arial" w:hAnsi="Arial" w:cs="Arial"/>
          <w:sz w:val="24"/>
          <w:szCs w:val="24"/>
        </w:rPr>
        <w:t>to</w:t>
      </w:r>
      <w:r w:rsidRPr="002828A7">
        <w:rPr>
          <w:rFonts w:ascii="Arial" w:hAnsi="Arial" w:cs="Arial"/>
          <w:spacing w:val="-14"/>
          <w:sz w:val="24"/>
          <w:szCs w:val="24"/>
        </w:rPr>
        <w:t xml:space="preserve"> </w:t>
      </w:r>
      <w:r w:rsidRPr="002828A7">
        <w:rPr>
          <w:rFonts w:ascii="Arial" w:hAnsi="Arial" w:cs="Arial"/>
          <w:sz w:val="24"/>
          <w:szCs w:val="24"/>
        </w:rPr>
        <w:t>17</w:t>
      </w:r>
      <w:r w:rsidRPr="002828A7">
        <w:rPr>
          <w:rFonts w:ascii="Arial" w:hAnsi="Arial" w:cs="Arial"/>
          <w:spacing w:val="-15"/>
          <w:sz w:val="24"/>
          <w:szCs w:val="24"/>
        </w:rPr>
        <w:t xml:space="preserve"> </w:t>
      </w:r>
      <w:r w:rsidRPr="002828A7">
        <w:rPr>
          <w:rFonts w:ascii="Arial" w:hAnsi="Arial" w:cs="Arial"/>
          <w:sz w:val="24"/>
          <w:szCs w:val="24"/>
        </w:rPr>
        <w:t>who</w:t>
      </w:r>
      <w:r w:rsidRPr="002828A7">
        <w:rPr>
          <w:rFonts w:ascii="Arial" w:hAnsi="Arial" w:cs="Arial"/>
          <w:spacing w:val="-14"/>
          <w:sz w:val="24"/>
          <w:szCs w:val="24"/>
        </w:rPr>
        <w:t xml:space="preserve"> </w:t>
      </w:r>
      <w:r w:rsidRPr="002828A7">
        <w:rPr>
          <w:rFonts w:ascii="Arial" w:hAnsi="Arial" w:cs="Arial"/>
          <w:sz w:val="24"/>
          <w:szCs w:val="24"/>
        </w:rPr>
        <w:t>are</w:t>
      </w:r>
      <w:r w:rsidRPr="002828A7">
        <w:rPr>
          <w:rFonts w:ascii="Arial" w:hAnsi="Arial" w:cs="Arial"/>
          <w:spacing w:val="-15"/>
          <w:sz w:val="24"/>
          <w:szCs w:val="24"/>
        </w:rPr>
        <w:t xml:space="preserve"> </w:t>
      </w:r>
      <w:r w:rsidRPr="002828A7">
        <w:rPr>
          <w:rFonts w:ascii="Arial" w:hAnsi="Arial" w:cs="Arial"/>
          <w:sz w:val="24"/>
          <w:szCs w:val="24"/>
        </w:rPr>
        <w:t>at</w:t>
      </w:r>
      <w:r w:rsidRPr="002828A7">
        <w:rPr>
          <w:rFonts w:ascii="Arial" w:hAnsi="Arial" w:cs="Arial"/>
          <w:spacing w:val="-15"/>
          <w:sz w:val="24"/>
          <w:szCs w:val="24"/>
        </w:rPr>
        <w:t xml:space="preserve"> </w:t>
      </w:r>
      <w:r w:rsidRPr="002828A7">
        <w:rPr>
          <w:rFonts w:ascii="Arial" w:hAnsi="Arial" w:cs="Arial"/>
          <w:sz w:val="24"/>
          <w:szCs w:val="24"/>
        </w:rPr>
        <w:t>risk of disengaging from their</w:t>
      </w:r>
      <w:r w:rsidRPr="002828A7">
        <w:rPr>
          <w:rFonts w:ascii="Arial" w:hAnsi="Arial" w:cs="Arial"/>
          <w:spacing w:val="-11"/>
          <w:sz w:val="24"/>
          <w:szCs w:val="24"/>
        </w:rPr>
        <w:t xml:space="preserve"> </w:t>
      </w:r>
      <w:r w:rsidRPr="002828A7">
        <w:rPr>
          <w:rFonts w:ascii="Arial" w:hAnsi="Arial" w:cs="Arial"/>
          <w:sz w:val="24"/>
          <w:szCs w:val="24"/>
        </w:rPr>
        <w:t>education.</w:t>
      </w:r>
    </w:p>
    <w:p w14:paraId="557C46D0" w14:textId="77777777" w:rsidR="002828A7" w:rsidRPr="002828A7" w:rsidRDefault="002828A7" w:rsidP="002828A7">
      <w:pPr>
        <w:rPr>
          <w:rFonts w:ascii="Arial" w:hAnsi="Arial" w:cs="Arial"/>
          <w:sz w:val="24"/>
          <w:szCs w:val="24"/>
        </w:rPr>
      </w:pPr>
      <w:r w:rsidRPr="002828A7">
        <w:rPr>
          <w:rFonts w:ascii="Arial" w:hAnsi="Arial" w:cs="Arial"/>
          <w:sz w:val="24"/>
          <w:szCs w:val="24"/>
        </w:rPr>
        <w:t>Risk-taking</w:t>
      </w:r>
      <w:r w:rsidRPr="002828A7">
        <w:rPr>
          <w:rFonts w:ascii="Arial" w:hAnsi="Arial" w:cs="Arial"/>
          <w:spacing w:val="-16"/>
          <w:sz w:val="24"/>
          <w:szCs w:val="24"/>
        </w:rPr>
        <w:t xml:space="preserve"> </w:t>
      </w:r>
      <w:r w:rsidRPr="002828A7">
        <w:rPr>
          <w:rFonts w:ascii="Arial" w:hAnsi="Arial" w:cs="Arial"/>
          <w:sz w:val="24"/>
          <w:szCs w:val="24"/>
        </w:rPr>
        <w:t>behaviours,</w:t>
      </w:r>
      <w:r w:rsidRPr="002828A7">
        <w:rPr>
          <w:rFonts w:ascii="Arial" w:hAnsi="Arial" w:cs="Arial"/>
          <w:spacing w:val="-16"/>
          <w:sz w:val="24"/>
          <w:szCs w:val="24"/>
        </w:rPr>
        <w:t xml:space="preserve"> </w:t>
      </w:r>
      <w:r w:rsidRPr="002828A7">
        <w:rPr>
          <w:rFonts w:ascii="Arial" w:hAnsi="Arial" w:cs="Arial"/>
          <w:sz w:val="24"/>
          <w:szCs w:val="24"/>
        </w:rPr>
        <w:t>such</w:t>
      </w:r>
      <w:r w:rsidRPr="002828A7">
        <w:rPr>
          <w:rFonts w:ascii="Arial" w:hAnsi="Arial" w:cs="Arial"/>
          <w:spacing w:val="-16"/>
          <w:sz w:val="24"/>
          <w:szCs w:val="24"/>
        </w:rPr>
        <w:t xml:space="preserve"> </w:t>
      </w:r>
      <w:r w:rsidRPr="002828A7">
        <w:rPr>
          <w:rFonts w:ascii="Arial" w:hAnsi="Arial" w:cs="Arial"/>
          <w:sz w:val="24"/>
          <w:szCs w:val="24"/>
        </w:rPr>
        <w:t>as</w:t>
      </w:r>
      <w:r w:rsidRPr="002828A7">
        <w:rPr>
          <w:rFonts w:ascii="Arial" w:hAnsi="Arial" w:cs="Arial"/>
          <w:spacing w:val="-16"/>
          <w:sz w:val="24"/>
          <w:szCs w:val="24"/>
        </w:rPr>
        <w:t xml:space="preserve"> </w:t>
      </w:r>
      <w:r w:rsidRPr="002828A7">
        <w:rPr>
          <w:rFonts w:ascii="Arial" w:hAnsi="Arial" w:cs="Arial"/>
          <w:sz w:val="24"/>
          <w:szCs w:val="24"/>
        </w:rPr>
        <w:t>substance</w:t>
      </w:r>
      <w:r w:rsidRPr="002828A7">
        <w:rPr>
          <w:rFonts w:ascii="Arial" w:hAnsi="Arial" w:cs="Arial"/>
          <w:spacing w:val="-16"/>
          <w:sz w:val="24"/>
          <w:szCs w:val="24"/>
        </w:rPr>
        <w:t xml:space="preserve"> </w:t>
      </w:r>
      <w:r w:rsidRPr="002828A7">
        <w:rPr>
          <w:rFonts w:ascii="Arial" w:hAnsi="Arial" w:cs="Arial"/>
          <w:sz w:val="24"/>
          <w:szCs w:val="24"/>
        </w:rPr>
        <w:t>use,</w:t>
      </w:r>
      <w:r w:rsidRPr="002828A7">
        <w:rPr>
          <w:rFonts w:ascii="Arial" w:hAnsi="Arial" w:cs="Arial"/>
          <w:spacing w:val="-16"/>
          <w:sz w:val="24"/>
          <w:szCs w:val="24"/>
        </w:rPr>
        <w:t xml:space="preserve"> </w:t>
      </w:r>
      <w:r w:rsidRPr="002828A7">
        <w:rPr>
          <w:rFonts w:ascii="Arial" w:hAnsi="Arial" w:cs="Arial"/>
          <w:sz w:val="24"/>
          <w:szCs w:val="24"/>
        </w:rPr>
        <w:t>are</w:t>
      </w:r>
      <w:r w:rsidRPr="002828A7">
        <w:rPr>
          <w:rFonts w:ascii="Arial" w:hAnsi="Arial" w:cs="Arial"/>
          <w:spacing w:val="-16"/>
          <w:sz w:val="24"/>
          <w:szCs w:val="24"/>
        </w:rPr>
        <w:t xml:space="preserve"> </w:t>
      </w:r>
      <w:r w:rsidRPr="002828A7">
        <w:rPr>
          <w:rFonts w:ascii="Arial" w:hAnsi="Arial" w:cs="Arial"/>
          <w:sz w:val="24"/>
          <w:szCs w:val="24"/>
        </w:rPr>
        <w:t>decreasing</w:t>
      </w:r>
      <w:r w:rsidRPr="002828A7">
        <w:rPr>
          <w:rFonts w:ascii="Arial" w:hAnsi="Arial" w:cs="Arial"/>
          <w:spacing w:val="-16"/>
          <w:sz w:val="24"/>
          <w:szCs w:val="24"/>
        </w:rPr>
        <w:t xml:space="preserve"> </w:t>
      </w:r>
      <w:r w:rsidRPr="002828A7">
        <w:rPr>
          <w:rFonts w:ascii="Arial" w:hAnsi="Arial" w:cs="Arial"/>
          <w:sz w:val="24"/>
          <w:szCs w:val="24"/>
        </w:rPr>
        <w:t>among</w:t>
      </w:r>
      <w:r w:rsidRPr="002828A7">
        <w:rPr>
          <w:rFonts w:ascii="Arial" w:hAnsi="Arial" w:cs="Arial"/>
          <w:spacing w:val="-16"/>
          <w:sz w:val="24"/>
          <w:szCs w:val="24"/>
        </w:rPr>
        <w:t xml:space="preserve"> </w:t>
      </w:r>
      <w:r w:rsidRPr="002828A7">
        <w:rPr>
          <w:rFonts w:ascii="Arial" w:hAnsi="Arial" w:cs="Arial"/>
          <w:sz w:val="24"/>
          <w:szCs w:val="24"/>
        </w:rPr>
        <w:t>young</w:t>
      </w:r>
      <w:r w:rsidRPr="002828A7">
        <w:rPr>
          <w:rFonts w:ascii="Arial" w:hAnsi="Arial" w:cs="Arial"/>
          <w:spacing w:val="-16"/>
          <w:sz w:val="24"/>
          <w:szCs w:val="24"/>
        </w:rPr>
        <w:t xml:space="preserve"> </w:t>
      </w:r>
      <w:r w:rsidRPr="002828A7">
        <w:rPr>
          <w:rFonts w:ascii="Arial" w:hAnsi="Arial" w:cs="Arial"/>
          <w:sz w:val="24"/>
          <w:szCs w:val="24"/>
        </w:rPr>
        <w:t>people</w:t>
      </w:r>
      <w:r w:rsidRPr="002828A7">
        <w:rPr>
          <w:rFonts w:ascii="Arial" w:hAnsi="Arial" w:cs="Arial"/>
          <w:spacing w:val="-16"/>
          <w:sz w:val="24"/>
          <w:szCs w:val="24"/>
        </w:rPr>
        <w:t xml:space="preserve"> </w:t>
      </w:r>
      <w:r w:rsidRPr="002828A7">
        <w:rPr>
          <w:rFonts w:ascii="Arial" w:hAnsi="Arial" w:cs="Arial"/>
          <w:sz w:val="24"/>
          <w:szCs w:val="24"/>
        </w:rPr>
        <w:t>in Victoria.</w:t>
      </w:r>
      <w:r w:rsidRPr="002828A7">
        <w:rPr>
          <w:rFonts w:ascii="Arial" w:hAnsi="Arial" w:cs="Arial"/>
          <w:spacing w:val="-16"/>
          <w:sz w:val="24"/>
          <w:szCs w:val="24"/>
        </w:rPr>
        <w:t xml:space="preserve"> </w:t>
      </w:r>
      <w:r w:rsidRPr="002828A7">
        <w:rPr>
          <w:rFonts w:ascii="Arial" w:hAnsi="Arial" w:cs="Arial"/>
          <w:spacing w:val="-8"/>
          <w:sz w:val="24"/>
          <w:szCs w:val="24"/>
        </w:rPr>
        <w:t>Yet</w:t>
      </w:r>
      <w:r w:rsidRPr="002828A7">
        <w:rPr>
          <w:rFonts w:ascii="Arial" w:hAnsi="Arial" w:cs="Arial"/>
          <w:spacing w:val="-15"/>
          <w:sz w:val="24"/>
          <w:szCs w:val="24"/>
        </w:rPr>
        <w:t xml:space="preserve"> </w:t>
      </w:r>
      <w:r w:rsidRPr="002828A7">
        <w:rPr>
          <w:rFonts w:ascii="Arial" w:hAnsi="Arial" w:cs="Arial"/>
          <w:sz w:val="24"/>
          <w:szCs w:val="24"/>
        </w:rPr>
        <w:t>the</w:t>
      </w:r>
      <w:r w:rsidRPr="002828A7">
        <w:rPr>
          <w:rFonts w:ascii="Arial" w:hAnsi="Arial" w:cs="Arial"/>
          <w:spacing w:val="-16"/>
          <w:sz w:val="24"/>
          <w:szCs w:val="24"/>
        </w:rPr>
        <w:t xml:space="preserve"> </w:t>
      </w:r>
      <w:r w:rsidRPr="002828A7">
        <w:rPr>
          <w:rFonts w:ascii="Arial" w:hAnsi="Arial" w:cs="Arial"/>
          <w:sz w:val="24"/>
          <w:szCs w:val="24"/>
        </w:rPr>
        <w:t>report</w:t>
      </w:r>
      <w:r w:rsidRPr="002828A7">
        <w:rPr>
          <w:rFonts w:ascii="Arial" w:hAnsi="Arial" w:cs="Arial"/>
          <w:spacing w:val="-15"/>
          <w:sz w:val="24"/>
          <w:szCs w:val="24"/>
        </w:rPr>
        <w:t xml:space="preserve"> </w:t>
      </w:r>
      <w:r w:rsidRPr="002828A7">
        <w:rPr>
          <w:rFonts w:ascii="Arial" w:hAnsi="Arial" w:cs="Arial"/>
          <w:sz w:val="24"/>
          <w:szCs w:val="24"/>
        </w:rPr>
        <w:t>shows</w:t>
      </w:r>
      <w:r w:rsidRPr="002828A7">
        <w:rPr>
          <w:rFonts w:ascii="Arial" w:hAnsi="Arial" w:cs="Arial"/>
          <w:spacing w:val="-16"/>
          <w:sz w:val="24"/>
          <w:szCs w:val="24"/>
        </w:rPr>
        <w:t xml:space="preserve"> </w:t>
      </w:r>
      <w:r w:rsidRPr="002828A7">
        <w:rPr>
          <w:rFonts w:ascii="Arial" w:hAnsi="Arial" w:cs="Arial"/>
          <w:sz w:val="24"/>
          <w:szCs w:val="24"/>
        </w:rPr>
        <w:t>that</w:t>
      </w:r>
      <w:r w:rsidRPr="002828A7">
        <w:rPr>
          <w:rFonts w:ascii="Arial" w:hAnsi="Arial" w:cs="Arial"/>
          <w:spacing w:val="-15"/>
          <w:sz w:val="24"/>
          <w:szCs w:val="24"/>
        </w:rPr>
        <w:t xml:space="preserve"> </w:t>
      </w:r>
      <w:r w:rsidRPr="002828A7">
        <w:rPr>
          <w:rFonts w:ascii="Arial" w:hAnsi="Arial" w:cs="Arial"/>
          <w:sz w:val="24"/>
          <w:szCs w:val="24"/>
        </w:rPr>
        <w:t>cyberbullying</w:t>
      </w:r>
      <w:r w:rsidRPr="002828A7">
        <w:rPr>
          <w:rFonts w:ascii="Arial" w:hAnsi="Arial" w:cs="Arial"/>
          <w:spacing w:val="-16"/>
          <w:sz w:val="24"/>
          <w:szCs w:val="24"/>
        </w:rPr>
        <w:t xml:space="preserve"> </w:t>
      </w:r>
      <w:r w:rsidRPr="002828A7">
        <w:rPr>
          <w:rFonts w:ascii="Arial" w:hAnsi="Arial" w:cs="Arial"/>
          <w:sz w:val="24"/>
          <w:szCs w:val="24"/>
        </w:rPr>
        <w:t>is</w:t>
      </w:r>
      <w:r w:rsidRPr="002828A7">
        <w:rPr>
          <w:rFonts w:ascii="Arial" w:hAnsi="Arial" w:cs="Arial"/>
          <w:spacing w:val="-15"/>
          <w:sz w:val="24"/>
          <w:szCs w:val="24"/>
        </w:rPr>
        <w:t xml:space="preserve"> </w:t>
      </w:r>
      <w:r w:rsidRPr="002828A7">
        <w:rPr>
          <w:rFonts w:ascii="Arial" w:hAnsi="Arial" w:cs="Arial"/>
          <w:sz w:val="24"/>
          <w:szCs w:val="24"/>
        </w:rPr>
        <w:t>an</w:t>
      </w:r>
      <w:r w:rsidRPr="002828A7">
        <w:rPr>
          <w:rFonts w:ascii="Arial" w:hAnsi="Arial" w:cs="Arial"/>
          <w:spacing w:val="-16"/>
          <w:sz w:val="24"/>
          <w:szCs w:val="24"/>
        </w:rPr>
        <w:t xml:space="preserve"> </w:t>
      </w:r>
      <w:r w:rsidRPr="002828A7">
        <w:rPr>
          <w:rFonts w:ascii="Arial" w:hAnsi="Arial" w:cs="Arial"/>
          <w:sz w:val="24"/>
          <w:szCs w:val="24"/>
        </w:rPr>
        <w:t>ongoing</w:t>
      </w:r>
      <w:r w:rsidRPr="002828A7">
        <w:rPr>
          <w:rFonts w:ascii="Arial" w:hAnsi="Arial" w:cs="Arial"/>
          <w:spacing w:val="-15"/>
          <w:sz w:val="24"/>
          <w:szCs w:val="24"/>
        </w:rPr>
        <w:t xml:space="preserve"> </w:t>
      </w:r>
      <w:r w:rsidRPr="002828A7">
        <w:rPr>
          <w:rFonts w:ascii="Arial" w:hAnsi="Arial" w:cs="Arial"/>
          <w:sz w:val="24"/>
          <w:szCs w:val="24"/>
        </w:rPr>
        <w:t>concern,</w:t>
      </w:r>
      <w:r w:rsidRPr="002828A7">
        <w:rPr>
          <w:rFonts w:ascii="Arial" w:hAnsi="Arial" w:cs="Arial"/>
          <w:spacing w:val="-16"/>
          <w:sz w:val="24"/>
          <w:szCs w:val="24"/>
        </w:rPr>
        <w:t xml:space="preserve"> </w:t>
      </w:r>
      <w:r w:rsidRPr="002828A7">
        <w:rPr>
          <w:rFonts w:ascii="Arial" w:hAnsi="Arial" w:cs="Arial"/>
          <w:sz w:val="24"/>
          <w:szCs w:val="24"/>
        </w:rPr>
        <w:t>while</w:t>
      </w:r>
      <w:r w:rsidRPr="002828A7">
        <w:rPr>
          <w:rFonts w:ascii="Arial" w:hAnsi="Arial" w:cs="Arial"/>
          <w:spacing w:val="-15"/>
          <w:sz w:val="24"/>
          <w:szCs w:val="24"/>
        </w:rPr>
        <w:t xml:space="preserve"> </w:t>
      </w:r>
      <w:r w:rsidRPr="002828A7">
        <w:rPr>
          <w:rFonts w:ascii="Arial" w:hAnsi="Arial" w:cs="Arial"/>
          <w:sz w:val="24"/>
          <w:szCs w:val="24"/>
        </w:rPr>
        <w:t>adolescent mental</w:t>
      </w:r>
      <w:r w:rsidRPr="002828A7">
        <w:rPr>
          <w:rFonts w:ascii="Arial" w:hAnsi="Arial" w:cs="Arial"/>
          <w:spacing w:val="-16"/>
          <w:sz w:val="24"/>
          <w:szCs w:val="24"/>
        </w:rPr>
        <w:t xml:space="preserve"> </w:t>
      </w:r>
      <w:r w:rsidRPr="002828A7">
        <w:rPr>
          <w:rFonts w:ascii="Arial" w:hAnsi="Arial" w:cs="Arial"/>
          <w:sz w:val="24"/>
          <w:szCs w:val="24"/>
        </w:rPr>
        <w:t>health</w:t>
      </w:r>
      <w:r w:rsidRPr="002828A7">
        <w:rPr>
          <w:rFonts w:ascii="Arial" w:hAnsi="Arial" w:cs="Arial"/>
          <w:spacing w:val="-16"/>
          <w:sz w:val="24"/>
          <w:szCs w:val="24"/>
        </w:rPr>
        <w:t xml:space="preserve"> </w:t>
      </w:r>
      <w:r w:rsidRPr="002828A7">
        <w:rPr>
          <w:rFonts w:ascii="Arial" w:hAnsi="Arial" w:cs="Arial"/>
          <w:sz w:val="24"/>
          <w:szCs w:val="24"/>
        </w:rPr>
        <w:t>and</w:t>
      </w:r>
      <w:r w:rsidRPr="002828A7">
        <w:rPr>
          <w:rFonts w:ascii="Arial" w:hAnsi="Arial" w:cs="Arial"/>
          <w:spacing w:val="-16"/>
          <w:sz w:val="24"/>
          <w:szCs w:val="24"/>
        </w:rPr>
        <w:t xml:space="preserve"> </w:t>
      </w:r>
      <w:r w:rsidRPr="002828A7">
        <w:rPr>
          <w:rFonts w:ascii="Arial" w:hAnsi="Arial" w:cs="Arial"/>
          <w:sz w:val="24"/>
          <w:szCs w:val="24"/>
        </w:rPr>
        <w:t>resilience</w:t>
      </w:r>
      <w:r w:rsidRPr="002828A7">
        <w:rPr>
          <w:rFonts w:ascii="Arial" w:hAnsi="Arial" w:cs="Arial"/>
          <w:spacing w:val="-16"/>
          <w:sz w:val="24"/>
          <w:szCs w:val="24"/>
        </w:rPr>
        <w:t xml:space="preserve"> </w:t>
      </w:r>
      <w:r w:rsidRPr="002828A7">
        <w:rPr>
          <w:rFonts w:ascii="Arial" w:hAnsi="Arial" w:cs="Arial"/>
          <w:sz w:val="24"/>
          <w:szCs w:val="24"/>
        </w:rPr>
        <w:t>are</w:t>
      </w:r>
      <w:r w:rsidRPr="002828A7">
        <w:rPr>
          <w:rFonts w:ascii="Arial" w:hAnsi="Arial" w:cs="Arial"/>
          <w:spacing w:val="-16"/>
          <w:sz w:val="24"/>
          <w:szCs w:val="24"/>
        </w:rPr>
        <w:t xml:space="preserve"> </w:t>
      </w:r>
      <w:r w:rsidRPr="002828A7">
        <w:rPr>
          <w:rFonts w:ascii="Arial" w:hAnsi="Arial" w:cs="Arial"/>
          <w:sz w:val="24"/>
          <w:szCs w:val="24"/>
        </w:rPr>
        <w:t>declining,</w:t>
      </w:r>
      <w:r w:rsidRPr="002828A7">
        <w:rPr>
          <w:rFonts w:ascii="Arial" w:hAnsi="Arial" w:cs="Arial"/>
          <w:spacing w:val="-16"/>
          <w:sz w:val="24"/>
          <w:szCs w:val="24"/>
        </w:rPr>
        <w:t xml:space="preserve"> </w:t>
      </w:r>
      <w:r w:rsidRPr="002828A7">
        <w:rPr>
          <w:rFonts w:ascii="Arial" w:hAnsi="Arial" w:cs="Arial"/>
          <w:sz w:val="24"/>
          <w:szCs w:val="24"/>
        </w:rPr>
        <w:t>and</w:t>
      </w:r>
      <w:r w:rsidRPr="002828A7">
        <w:rPr>
          <w:rFonts w:ascii="Arial" w:hAnsi="Arial" w:cs="Arial"/>
          <w:spacing w:val="-16"/>
          <w:sz w:val="24"/>
          <w:szCs w:val="24"/>
        </w:rPr>
        <w:t xml:space="preserve"> </w:t>
      </w:r>
      <w:r w:rsidRPr="002828A7">
        <w:rPr>
          <w:rFonts w:ascii="Arial" w:hAnsi="Arial" w:cs="Arial"/>
          <w:sz w:val="24"/>
          <w:szCs w:val="24"/>
        </w:rPr>
        <w:t>a</w:t>
      </w:r>
      <w:r w:rsidRPr="002828A7">
        <w:rPr>
          <w:rFonts w:ascii="Arial" w:hAnsi="Arial" w:cs="Arial"/>
          <w:spacing w:val="-16"/>
          <w:sz w:val="24"/>
          <w:szCs w:val="24"/>
        </w:rPr>
        <w:t xml:space="preserve"> </w:t>
      </w:r>
      <w:r w:rsidRPr="002828A7">
        <w:rPr>
          <w:rFonts w:ascii="Arial" w:hAnsi="Arial" w:cs="Arial"/>
          <w:sz w:val="24"/>
          <w:szCs w:val="24"/>
        </w:rPr>
        <w:t>perception</w:t>
      </w:r>
      <w:r w:rsidRPr="002828A7">
        <w:rPr>
          <w:rFonts w:ascii="Arial" w:hAnsi="Arial" w:cs="Arial"/>
          <w:spacing w:val="-16"/>
          <w:sz w:val="24"/>
          <w:szCs w:val="24"/>
        </w:rPr>
        <w:t xml:space="preserve"> </w:t>
      </w:r>
      <w:r w:rsidRPr="002828A7">
        <w:rPr>
          <w:rFonts w:ascii="Arial" w:hAnsi="Arial" w:cs="Arial"/>
          <w:sz w:val="24"/>
          <w:szCs w:val="24"/>
        </w:rPr>
        <w:t>remains</w:t>
      </w:r>
      <w:r w:rsidRPr="002828A7">
        <w:rPr>
          <w:rFonts w:ascii="Arial" w:hAnsi="Arial" w:cs="Arial"/>
          <w:spacing w:val="-16"/>
          <w:sz w:val="24"/>
          <w:szCs w:val="24"/>
        </w:rPr>
        <w:t xml:space="preserve"> </w:t>
      </w:r>
      <w:r w:rsidRPr="002828A7">
        <w:rPr>
          <w:rFonts w:ascii="Arial" w:hAnsi="Arial" w:cs="Arial"/>
          <w:sz w:val="24"/>
          <w:szCs w:val="24"/>
        </w:rPr>
        <w:t>that</w:t>
      </w:r>
      <w:r w:rsidRPr="002828A7">
        <w:rPr>
          <w:rFonts w:ascii="Arial" w:hAnsi="Arial" w:cs="Arial"/>
          <w:spacing w:val="-16"/>
          <w:sz w:val="24"/>
          <w:szCs w:val="24"/>
        </w:rPr>
        <w:t xml:space="preserve"> </w:t>
      </w:r>
      <w:r w:rsidRPr="002828A7">
        <w:rPr>
          <w:rFonts w:ascii="Arial" w:hAnsi="Arial" w:cs="Arial"/>
          <w:sz w:val="24"/>
          <w:szCs w:val="24"/>
        </w:rPr>
        <w:t>mental</w:t>
      </w:r>
      <w:r w:rsidRPr="002828A7">
        <w:rPr>
          <w:rFonts w:ascii="Arial" w:hAnsi="Arial" w:cs="Arial"/>
          <w:spacing w:val="-16"/>
          <w:sz w:val="24"/>
          <w:szCs w:val="24"/>
        </w:rPr>
        <w:t xml:space="preserve"> </w:t>
      </w:r>
      <w:r w:rsidRPr="002828A7">
        <w:rPr>
          <w:rFonts w:ascii="Arial" w:hAnsi="Arial" w:cs="Arial"/>
          <w:sz w:val="24"/>
          <w:szCs w:val="24"/>
        </w:rPr>
        <w:t>health services aren’t</w:t>
      </w:r>
      <w:r w:rsidRPr="002828A7">
        <w:rPr>
          <w:rFonts w:ascii="Arial" w:hAnsi="Arial" w:cs="Arial"/>
          <w:spacing w:val="-5"/>
          <w:sz w:val="24"/>
          <w:szCs w:val="24"/>
        </w:rPr>
        <w:t xml:space="preserve"> </w:t>
      </w:r>
      <w:r w:rsidRPr="002828A7">
        <w:rPr>
          <w:rFonts w:ascii="Arial" w:hAnsi="Arial" w:cs="Arial"/>
          <w:sz w:val="24"/>
          <w:szCs w:val="24"/>
        </w:rPr>
        <w:t>accessible.</w:t>
      </w:r>
    </w:p>
    <w:p w14:paraId="1BB58264" w14:textId="77777777" w:rsidR="002828A7" w:rsidRPr="002828A7" w:rsidRDefault="002828A7" w:rsidP="002828A7">
      <w:pPr>
        <w:rPr>
          <w:rFonts w:ascii="Arial" w:hAnsi="Arial" w:cs="Arial"/>
          <w:sz w:val="24"/>
          <w:szCs w:val="24"/>
        </w:rPr>
      </w:pPr>
      <w:r w:rsidRPr="002828A7">
        <w:rPr>
          <w:rFonts w:ascii="Arial" w:hAnsi="Arial" w:cs="Arial"/>
          <w:sz w:val="24"/>
          <w:szCs w:val="24"/>
        </w:rPr>
        <w:t>This</w:t>
      </w:r>
      <w:r w:rsidRPr="002828A7">
        <w:rPr>
          <w:rFonts w:ascii="Arial" w:hAnsi="Arial" w:cs="Arial"/>
          <w:spacing w:val="-18"/>
          <w:sz w:val="24"/>
          <w:szCs w:val="24"/>
        </w:rPr>
        <w:t xml:space="preserve"> </w:t>
      </w:r>
      <w:r w:rsidRPr="002828A7">
        <w:rPr>
          <w:rFonts w:ascii="Arial" w:hAnsi="Arial" w:cs="Arial"/>
          <w:sz w:val="24"/>
          <w:szCs w:val="24"/>
        </w:rPr>
        <w:t>is</w:t>
      </w:r>
      <w:r w:rsidRPr="002828A7">
        <w:rPr>
          <w:rFonts w:ascii="Arial" w:hAnsi="Arial" w:cs="Arial"/>
          <w:spacing w:val="-17"/>
          <w:sz w:val="24"/>
          <w:szCs w:val="24"/>
        </w:rPr>
        <w:t xml:space="preserve"> </w:t>
      </w:r>
      <w:r w:rsidRPr="002828A7">
        <w:rPr>
          <w:rFonts w:ascii="Arial" w:hAnsi="Arial" w:cs="Arial"/>
          <w:sz w:val="24"/>
          <w:szCs w:val="24"/>
        </w:rPr>
        <w:t>why</w:t>
      </w:r>
      <w:r w:rsidRPr="002828A7">
        <w:rPr>
          <w:rFonts w:ascii="Arial" w:hAnsi="Arial" w:cs="Arial"/>
          <w:spacing w:val="-17"/>
          <w:sz w:val="24"/>
          <w:szCs w:val="24"/>
        </w:rPr>
        <w:t xml:space="preserve"> </w:t>
      </w:r>
      <w:r w:rsidRPr="002828A7">
        <w:rPr>
          <w:rFonts w:ascii="Arial" w:hAnsi="Arial" w:cs="Arial"/>
          <w:sz w:val="24"/>
          <w:szCs w:val="24"/>
        </w:rPr>
        <w:t>the</w:t>
      </w:r>
      <w:r w:rsidRPr="002828A7">
        <w:rPr>
          <w:rFonts w:ascii="Arial" w:hAnsi="Arial" w:cs="Arial"/>
          <w:spacing w:val="-17"/>
          <w:sz w:val="24"/>
          <w:szCs w:val="24"/>
        </w:rPr>
        <w:t xml:space="preserve"> </w:t>
      </w:r>
      <w:r w:rsidRPr="002828A7">
        <w:rPr>
          <w:rFonts w:ascii="Arial" w:hAnsi="Arial" w:cs="Arial"/>
          <w:sz w:val="24"/>
          <w:szCs w:val="24"/>
        </w:rPr>
        <w:t>Victorian</w:t>
      </w:r>
      <w:r w:rsidRPr="002828A7">
        <w:rPr>
          <w:rFonts w:ascii="Arial" w:hAnsi="Arial" w:cs="Arial"/>
          <w:spacing w:val="-17"/>
          <w:sz w:val="24"/>
          <w:szCs w:val="24"/>
        </w:rPr>
        <w:t xml:space="preserve"> </w:t>
      </w:r>
      <w:r w:rsidRPr="002828A7">
        <w:rPr>
          <w:rFonts w:ascii="Arial" w:hAnsi="Arial" w:cs="Arial"/>
          <w:sz w:val="24"/>
          <w:szCs w:val="24"/>
        </w:rPr>
        <w:t>Government</w:t>
      </w:r>
      <w:r w:rsidRPr="002828A7">
        <w:rPr>
          <w:rFonts w:ascii="Arial" w:hAnsi="Arial" w:cs="Arial"/>
          <w:spacing w:val="-17"/>
          <w:sz w:val="24"/>
          <w:szCs w:val="24"/>
        </w:rPr>
        <w:t xml:space="preserve"> </w:t>
      </w:r>
      <w:r w:rsidRPr="002828A7">
        <w:rPr>
          <w:rFonts w:ascii="Arial" w:hAnsi="Arial" w:cs="Arial"/>
          <w:sz w:val="24"/>
          <w:szCs w:val="24"/>
        </w:rPr>
        <w:t>is</w:t>
      </w:r>
      <w:r w:rsidRPr="002828A7">
        <w:rPr>
          <w:rFonts w:ascii="Arial" w:hAnsi="Arial" w:cs="Arial"/>
          <w:spacing w:val="-17"/>
          <w:sz w:val="24"/>
          <w:szCs w:val="24"/>
        </w:rPr>
        <w:t xml:space="preserve"> </w:t>
      </w:r>
      <w:r w:rsidRPr="002828A7">
        <w:rPr>
          <w:rFonts w:ascii="Arial" w:hAnsi="Arial" w:cs="Arial"/>
          <w:sz w:val="24"/>
          <w:szCs w:val="24"/>
        </w:rPr>
        <w:t>working</w:t>
      </w:r>
      <w:r w:rsidRPr="002828A7">
        <w:rPr>
          <w:rFonts w:ascii="Arial" w:hAnsi="Arial" w:cs="Arial"/>
          <w:spacing w:val="-17"/>
          <w:sz w:val="24"/>
          <w:szCs w:val="24"/>
        </w:rPr>
        <w:t xml:space="preserve"> </w:t>
      </w:r>
      <w:r w:rsidRPr="002828A7">
        <w:rPr>
          <w:rFonts w:ascii="Arial" w:hAnsi="Arial" w:cs="Arial"/>
          <w:sz w:val="24"/>
          <w:szCs w:val="24"/>
        </w:rPr>
        <w:t>proactively</w:t>
      </w:r>
      <w:r w:rsidRPr="002828A7">
        <w:rPr>
          <w:rFonts w:ascii="Arial" w:hAnsi="Arial" w:cs="Arial"/>
          <w:spacing w:val="-17"/>
          <w:sz w:val="24"/>
          <w:szCs w:val="24"/>
        </w:rPr>
        <w:t xml:space="preserve"> </w:t>
      </w:r>
      <w:r w:rsidRPr="002828A7">
        <w:rPr>
          <w:rFonts w:ascii="Arial" w:hAnsi="Arial" w:cs="Arial"/>
          <w:sz w:val="24"/>
          <w:szCs w:val="24"/>
        </w:rPr>
        <w:t>to</w:t>
      </w:r>
      <w:r w:rsidRPr="002828A7">
        <w:rPr>
          <w:rFonts w:ascii="Arial" w:hAnsi="Arial" w:cs="Arial"/>
          <w:spacing w:val="-17"/>
          <w:sz w:val="24"/>
          <w:szCs w:val="24"/>
        </w:rPr>
        <w:t xml:space="preserve"> </w:t>
      </w:r>
      <w:r w:rsidRPr="002828A7">
        <w:rPr>
          <w:rFonts w:ascii="Arial" w:hAnsi="Arial" w:cs="Arial"/>
          <w:sz w:val="24"/>
          <w:szCs w:val="24"/>
        </w:rPr>
        <w:t>improve</w:t>
      </w:r>
      <w:r w:rsidRPr="002828A7">
        <w:rPr>
          <w:rFonts w:ascii="Arial" w:hAnsi="Arial" w:cs="Arial"/>
          <w:spacing w:val="-17"/>
          <w:sz w:val="24"/>
          <w:szCs w:val="24"/>
        </w:rPr>
        <w:t xml:space="preserve"> </w:t>
      </w:r>
      <w:r w:rsidRPr="002828A7">
        <w:rPr>
          <w:rFonts w:ascii="Arial" w:hAnsi="Arial" w:cs="Arial"/>
          <w:sz w:val="24"/>
          <w:szCs w:val="24"/>
        </w:rPr>
        <w:t>the</w:t>
      </w:r>
      <w:r w:rsidRPr="002828A7">
        <w:rPr>
          <w:rFonts w:ascii="Arial" w:hAnsi="Arial" w:cs="Arial"/>
          <w:spacing w:val="-17"/>
          <w:sz w:val="24"/>
          <w:szCs w:val="24"/>
        </w:rPr>
        <w:t xml:space="preserve"> </w:t>
      </w:r>
      <w:r w:rsidRPr="002828A7">
        <w:rPr>
          <w:rFonts w:ascii="Arial" w:hAnsi="Arial" w:cs="Arial"/>
          <w:sz w:val="24"/>
          <w:szCs w:val="24"/>
        </w:rPr>
        <w:t>wellbeing of</w:t>
      </w:r>
      <w:r w:rsidRPr="002828A7">
        <w:rPr>
          <w:rFonts w:ascii="Arial" w:hAnsi="Arial" w:cs="Arial"/>
          <w:spacing w:val="-15"/>
          <w:sz w:val="24"/>
          <w:szCs w:val="24"/>
        </w:rPr>
        <w:t xml:space="preserve"> </w:t>
      </w:r>
      <w:r w:rsidRPr="002828A7">
        <w:rPr>
          <w:rFonts w:ascii="Arial" w:hAnsi="Arial" w:cs="Arial"/>
          <w:sz w:val="24"/>
          <w:szCs w:val="24"/>
        </w:rPr>
        <w:t>our</w:t>
      </w:r>
      <w:r w:rsidRPr="002828A7">
        <w:rPr>
          <w:rFonts w:ascii="Arial" w:hAnsi="Arial" w:cs="Arial"/>
          <w:spacing w:val="-14"/>
          <w:sz w:val="24"/>
          <w:szCs w:val="24"/>
        </w:rPr>
        <w:t xml:space="preserve"> </w:t>
      </w:r>
      <w:r w:rsidRPr="002828A7">
        <w:rPr>
          <w:rFonts w:ascii="Arial" w:hAnsi="Arial" w:cs="Arial"/>
          <w:sz w:val="24"/>
          <w:szCs w:val="24"/>
        </w:rPr>
        <w:t>young</w:t>
      </w:r>
      <w:r w:rsidRPr="002828A7">
        <w:rPr>
          <w:rFonts w:ascii="Arial" w:hAnsi="Arial" w:cs="Arial"/>
          <w:spacing w:val="-15"/>
          <w:sz w:val="24"/>
          <w:szCs w:val="24"/>
        </w:rPr>
        <w:t xml:space="preserve"> </w:t>
      </w:r>
      <w:r w:rsidRPr="002828A7">
        <w:rPr>
          <w:rFonts w:ascii="Arial" w:hAnsi="Arial" w:cs="Arial"/>
          <w:sz w:val="24"/>
          <w:szCs w:val="24"/>
        </w:rPr>
        <w:t>people,</w:t>
      </w:r>
      <w:r w:rsidRPr="002828A7">
        <w:rPr>
          <w:rFonts w:ascii="Arial" w:hAnsi="Arial" w:cs="Arial"/>
          <w:spacing w:val="-14"/>
          <w:sz w:val="24"/>
          <w:szCs w:val="24"/>
        </w:rPr>
        <w:t xml:space="preserve"> </w:t>
      </w:r>
      <w:r w:rsidRPr="002828A7">
        <w:rPr>
          <w:rFonts w:ascii="Arial" w:hAnsi="Arial" w:cs="Arial"/>
          <w:sz w:val="24"/>
          <w:szCs w:val="24"/>
        </w:rPr>
        <w:t>with</w:t>
      </w:r>
      <w:r w:rsidRPr="002828A7">
        <w:rPr>
          <w:rFonts w:ascii="Arial" w:hAnsi="Arial" w:cs="Arial"/>
          <w:spacing w:val="-15"/>
          <w:sz w:val="24"/>
          <w:szCs w:val="24"/>
        </w:rPr>
        <w:t xml:space="preserve"> </w:t>
      </w:r>
      <w:r w:rsidRPr="002828A7">
        <w:rPr>
          <w:rFonts w:ascii="Arial" w:hAnsi="Arial" w:cs="Arial"/>
          <w:sz w:val="24"/>
          <w:szCs w:val="24"/>
        </w:rPr>
        <w:t>a</w:t>
      </w:r>
      <w:r w:rsidRPr="002828A7">
        <w:rPr>
          <w:rFonts w:ascii="Arial" w:hAnsi="Arial" w:cs="Arial"/>
          <w:spacing w:val="-14"/>
          <w:sz w:val="24"/>
          <w:szCs w:val="24"/>
        </w:rPr>
        <w:t xml:space="preserve"> </w:t>
      </w:r>
      <w:r w:rsidRPr="002828A7">
        <w:rPr>
          <w:rFonts w:ascii="Arial" w:hAnsi="Arial" w:cs="Arial"/>
          <w:sz w:val="24"/>
          <w:szCs w:val="24"/>
        </w:rPr>
        <w:t>new</w:t>
      </w:r>
      <w:r w:rsidRPr="002828A7">
        <w:rPr>
          <w:rFonts w:ascii="Arial" w:hAnsi="Arial" w:cs="Arial"/>
          <w:spacing w:val="-15"/>
          <w:sz w:val="24"/>
          <w:szCs w:val="24"/>
        </w:rPr>
        <w:t xml:space="preserve"> </w:t>
      </w:r>
      <w:r w:rsidRPr="002828A7">
        <w:rPr>
          <w:rFonts w:ascii="Arial" w:hAnsi="Arial" w:cs="Arial"/>
          <w:sz w:val="24"/>
          <w:szCs w:val="24"/>
        </w:rPr>
        <w:t>program</w:t>
      </w:r>
      <w:r w:rsidRPr="002828A7">
        <w:rPr>
          <w:rFonts w:ascii="Arial" w:hAnsi="Arial" w:cs="Arial"/>
          <w:spacing w:val="-14"/>
          <w:sz w:val="24"/>
          <w:szCs w:val="24"/>
        </w:rPr>
        <w:t xml:space="preserve"> </w:t>
      </w:r>
      <w:r w:rsidRPr="002828A7">
        <w:rPr>
          <w:rFonts w:ascii="Arial" w:hAnsi="Arial" w:cs="Arial"/>
          <w:sz w:val="24"/>
          <w:szCs w:val="24"/>
        </w:rPr>
        <w:t>to</w:t>
      </w:r>
      <w:r w:rsidRPr="002828A7">
        <w:rPr>
          <w:rFonts w:ascii="Arial" w:hAnsi="Arial" w:cs="Arial"/>
          <w:spacing w:val="-15"/>
          <w:sz w:val="24"/>
          <w:szCs w:val="24"/>
        </w:rPr>
        <w:t xml:space="preserve"> </w:t>
      </w:r>
      <w:r w:rsidRPr="002828A7">
        <w:rPr>
          <w:rFonts w:ascii="Arial" w:hAnsi="Arial" w:cs="Arial"/>
          <w:sz w:val="24"/>
          <w:szCs w:val="24"/>
        </w:rPr>
        <w:t>employ</w:t>
      </w:r>
      <w:r w:rsidRPr="002828A7">
        <w:rPr>
          <w:rFonts w:ascii="Arial" w:hAnsi="Arial" w:cs="Arial"/>
          <w:spacing w:val="-14"/>
          <w:sz w:val="24"/>
          <w:szCs w:val="24"/>
        </w:rPr>
        <w:t xml:space="preserve"> </w:t>
      </w:r>
      <w:r w:rsidRPr="002828A7">
        <w:rPr>
          <w:rFonts w:ascii="Arial" w:hAnsi="Arial" w:cs="Arial"/>
          <w:sz w:val="24"/>
          <w:szCs w:val="24"/>
        </w:rPr>
        <w:t>mental</w:t>
      </w:r>
      <w:r w:rsidRPr="002828A7">
        <w:rPr>
          <w:rFonts w:ascii="Arial" w:hAnsi="Arial" w:cs="Arial"/>
          <w:spacing w:val="-15"/>
          <w:sz w:val="24"/>
          <w:szCs w:val="24"/>
        </w:rPr>
        <w:t xml:space="preserve"> </w:t>
      </w:r>
      <w:r w:rsidRPr="002828A7">
        <w:rPr>
          <w:rFonts w:ascii="Arial" w:hAnsi="Arial" w:cs="Arial"/>
          <w:sz w:val="24"/>
          <w:szCs w:val="24"/>
        </w:rPr>
        <w:t>health</w:t>
      </w:r>
      <w:r w:rsidRPr="002828A7">
        <w:rPr>
          <w:rFonts w:ascii="Arial" w:hAnsi="Arial" w:cs="Arial"/>
          <w:spacing w:val="-14"/>
          <w:sz w:val="24"/>
          <w:szCs w:val="24"/>
        </w:rPr>
        <w:t xml:space="preserve"> </w:t>
      </w:r>
      <w:r w:rsidRPr="002828A7">
        <w:rPr>
          <w:rFonts w:ascii="Arial" w:hAnsi="Arial" w:cs="Arial"/>
          <w:sz w:val="24"/>
          <w:szCs w:val="24"/>
        </w:rPr>
        <w:t>practitioners</w:t>
      </w:r>
      <w:r w:rsidRPr="002828A7">
        <w:rPr>
          <w:rFonts w:ascii="Arial" w:hAnsi="Arial" w:cs="Arial"/>
          <w:spacing w:val="-15"/>
          <w:sz w:val="24"/>
          <w:szCs w:val="24"/>
        </w:rPr>
        <w:t xml:space="preserve"> </w:t>
      </w:r>
      <w:r w:rsidRPr="002828A7">
        <w:rPr>
          <w:rFonts w:ascii="Arial" w:hAnsi="Arial" w:cs="Arial"/>
          <w:sz w:val="24"/>
          <w:szCs w:val="24"/>
        </w:rPr>
        <w:t>in</w:t>
      </w:r>
      <w:r w:rsidRPr="002828A7">
        <w:rPr>
          <w:rFonts w:ascii="Arial" w:hAnsi="Arial" w:cs="Arial"/>
          <w:spacing w:val="-14"/>
          <w:sz w:val="24"/>
          <w:szCs w:val="24"/>
        </w:rPr>
        <w:t xml:space="preserve"> </w:t>
      </w:r>
      <w:r w:rsidRPr="002828A7">
        <w:rPr>
          <w:rFonts w:ascii="Arial" w:hAnsi="Arial" w:cs="Arial"/>
          <w:sz w:val="24"/>
          <w:szCs w:val="24"/>
        </w:rPr>
        <w:t>all Victorian government secondary</w:t>
      </w:r>
      <w:r w:rsidRPr="002828A7">
        <w:rPr>
          <w:rFonts w:ascii="Arial" w:hAnsi="Arial" w:cs="Arial"/>
          <w:spacing w:val="-10"/>
          <w:sz w:val="24"/>
          <w:szCs w:val="24"/>
        </w:rPr>
        <w:t xml:space="preserve"> </w:t>
      </w:r>
      <w:r w:rsidRPr="002828A7">
        <w:rPr>
          <w:rFonts w:ascii="Arial" w:hAnsi="Arial" w:cs="Arial"/>
          <w:sz w:val="24"/>
          <w:szCs w:val="24"/>
        </w:rPr>
        <w:t>schools.</w:t>
      </w:r>
    </w:p>
    <w:p w14:paraId="1D57EE3A" w14:textId="77777777" w:rsidR="002828A7" w:rsidRPr="002828A7" w:rsidRDefault="002828A7" w:rsidP="002828A7">
      <w:pPr>
        <w:rPr>
          <w:rFonts w:ascii="Arial" w:hAnsi="Arial" w:cs="Arial"/>
          <w:sz w:val="24"/>
          <w:szCs w:val="24"/>
        </w:rPr>
      </w:pPr>
      <w:r w:rsidRPr="002828A7">
        <w:rPr>
          <w:rFonts w:ascii="Arial" w:hAnsi="Arial" w:cs="Arial"/>
          <w:sz w:val="24"/>
          <w:szCs w:val="24"/>
        </w:rPr>
        <w:t>As part of the Victorian Government’s work to make Victoria the Education State,</w:t>
      </w:r>
      <w:r>
        <w:rPr>
          <w:rFonts w:ascii="Arial" w:hAnsi="Arial" w:cs="Arial"/>
          <w:sz w:val="24"/>
          <w:szCs w:val="24"/>
        </w:rPr>
        <w:t xml:space="preserve"> </w:t>
      </w:r>
      <w:r w:rsidRPr="002828A7">
        <w:rPr>
          <w:rFonts w:ascii="Arial" w:hAnsi="Arial" w:cs="Arial"/>
          <w:sz w:val="24"/>
          <w:szCs w:val="24"/>
        </w:rPr>
        <w:t>we</w:t>
      </w:r>
      <w:r w:rsidRPr="002828A7">
        <w:rPr>
          <w:rFonts w:ascii="Arial" w:hAnsi="Arial" w:cs="Arial"/>
          <w:spacing w:val="-15"/>
          <w:sz w:val="24"/>
          <w:szCs w:val="24"/>
        </w:rPr>
        <w:t xml:space="preserve"> </w:t>
      </w:r>
      <w:r w:rsidRPr="002828A7">
        <w:rPr>
          <w:rFonts w:ascii="Arial" w:hAnsi="Arial" w:cs="Arial"/>
          <w:sz w:val="24"/>
          <w:szCs w:val="24"/>
        </w:rPr>
        <w:t>are</w:t>
      </w:r>
      <w:r w:rsidRPr="002828A7">
        <w:rPr>
          <w:rFonts w:ascii="Arial" w:hAnsi="Arial" w:cs="Arial"/>
          <w:spacing w:val="-15"/>
          <w:sz w:val="24"/>
          <w:szCs w:val="24"/>
        </w:rPr>
        <w:t xml:space="preserve"> </w:t>
      </w:r>
      <w:r w:rsidRPr="002828A7">
        <w:rPr>
          <w:rFonts w:ascii="Arial" w:hAnsi="Arial" w:cs="Arial"/>
          <w:sz w:val="24"/>
          <w:szCs w:val="24"/>
        </w:rPr>
        <w:t>going</w:t>
      </w:r>
      <w:r w:rsidRPr="002828A7">
        <w:rPr>
          <w:rFonts w:ascii="Arial" w:hAnsi="Arial" w:cs="Arial"/>
          <w:spacing w:val="-15"/>
          <w:sz w:val="24"/>
          <w:szCs w:val="24"/>
        </w:rPr>
        <w:t xml:space="preserve"> </w:t>
      </w:r>
      <w:r w:rsidRPr="002828A7">
        <w:rPr>
          <w:rFonts w:ascii="Arial" w:hAnsi="Arial" w:cs="Arial"/>
          <w:sz w:val="24"/>
          <w:szCs w:val="24"/>
        </w:rPr>
        <w:t>beyond</w:t>
      </w:r>
      <w:r w:rsidRPr="002828A7">
        <w:rPr>
          <w:rFonts w:ascii="Arial" w:hAnsi="Arial" w:cs="Arial"/>
          <w:spacing w:val="-15"/>
          <w:sz w:val="24"/>
          <w:szCs w:val="24"/>
        </w:rPr>
        <w:t xml:space="preserve"> </w:t>
      </w:r>
      <w:r w:rsidRPr="002828A7">
        <w:rPr>
          <w:rFonts w:ascii="Arial" w:hAnsi="Arial" w:cs="Arial"/>
          <w:sz w:val="24"/>
          <w:szCs w:val="24"/>
        </w:rPr>
        <w:t>literacy</w:t>
      </w:r>
      <w:r w:rsidRPr="002828A7">
        <w:rPr>
          <w:rFonts w:ascii="Arial" w:hAnsi="Arial" w:cs="Arial"/>
          <w:spacing w:val="-15"/>
          <w:sz w:val="24"/>
          <w:szCs w:val="24"/>
        </w:rPr>
        <w:t xml:space="preserve"> </w:t>
      </w:r>
      <w:r w:rsidRPr="002828A7">
        <w:rPr>
          <w:rFonts w:ascii="Arial" w:hAnsi="Arial" w:cs="Arial"/>
          <w:sz w:val="24"/>
          <w:szCs w:val="24"/>
        </w:rPr>
        <w:t>and</w:t>
      </w:r>
      <w:r w:rsidRPr="002828A7">
        <w:rPr>
          <w:rFonts w:ascii="Arial" w:hAnsi="Arial" w:cs="Arial"/>
          <w:spacing w:val="-15"/>
          <w:sz w:val="24"/>
          <w:szCs w:val="24"/>
        </w:rPr>
        <w:t xml:space="preserve"> </w:t>
      </w:r>
      <w:r w:rsidRPr="002828A7">
        <w:rPr>
          <w:rFonts w:ascii="Arial" w:hAnsi="Arial" w:cs="Arial"/>
          <w:sz w:val="24"/>
          <w:szCs w:val="24"/>
        </w:rPr>
        <w:t>numeracy</w:t>
      </w:r>
      <w:r w:rsidRPr="002828A7">
        <w:rPr>
          <w:rFonts w:ascii="Arial" w:hAnsi="Arial" w:cs="Arial"/>
          <w:spacing w:val="-15"/>
          <w:sz w:val="24"/>
          <w:szCs w:val="24"/>
        </w:rPr>
        <w:t xml:space="preserve"> </w:t>
      </w:r>
      <w:r w:rsidRPr="002828A7">
        <w:rPr>
          <w:rFonts w:ascii="Arial" w:hAnsi="Arial" w:cs="Arial"/>
          <w:sz w:val="24"/>
          <w:szCs w:val="24"/>
        </w:rPr>
        <w:t>to</w:t>
      </w:r>
      <w:r w:rsidRPr="002828A7">
        <w:rPr>
          <w:rFonts w:ascii="Arial" w:hAnsi="Arial" w:cs="Arial"/>
          <w:spacing w:val="-14"/>
          <w:sz w:val="24"/>
          <w:szCs w:val="24"/>
        </w:rPr>
        <w:t xml:space="preserve"> </w:t>
      </w:r>
      <w:r w:rsidRPr="002828A7">
        <w:rPr>
          <w:rFonts w:ascii="Arial" w:hAnsi="Arial" w:cs="Arial"/>
          <w:sz w:val="24"/>
          <w:szCs w:val="24"/>
        </w:rPr>
        <w:t>give</w:t>
      </w:r>
      <w:r w:rsidRPr="002828A7">
        <w:rPr>
          <w:rFonts w:ascii="Arial" w:hAnsi="Arial" w:cs="Arial"/>
          <w:spacing w:val="-15"/>
          <w:sz w:val="24"/>
          <w:szCs w:val="24"/>
        </w:rPr>
        <w:t xml:space="preserve"> </w:t>
      </w:r>
      <w:r w:rsidRPr="002828A7">
        <w:rPr>
          <w:rFonts w:ascii="Arial" w:hAnsi="Arial" w:cs="Arial"/>
          <w:sz w:val="24"/>
          <w:szCs w:val="24"/>
        </w:rPr>
        <w:t>all</w:t>
      </w:r>
      <w:r w:rsidRPr="002828A7">
        <w:rPr>
          <w:rFonts w:ascii="Arial" w:hAnsi="Arial" w:cs="Arial"/>
          <w:spacing w:val="-15"/>
          <w:sz w:val="24"/>
          <w:szCs w:val="24"/>
        </w:rPr>
        <w:t xml:space="preserve"> </w:t>
      </w:r>
      <w:r w:rsidRPr="002828A7">
        <w:rPr>
          <w:rFonts w:ascii="Arial" w:hAnsi="Arial" w:cs="Arial"/>
          <w:sz w:val="24"/>
          <w:szCs w:val="24"/>
        </w:rPr>
        <w:t>young</w:t>
      </w:r>
      <w:r>
        <w:rPr>
          <w:rFonts w:ascii="Arial" w:hAnsi="Arial" w:cs="Arial"/>
          <w:sz w:val="24"/>
          <w:szCs w:val="24"/>
        </w:rPr>
        <w:t xml:space="preserve"> </w:t>
      </w:r>
      <w:r w:rsidRPr="002828A7">
        <w:rPr>
          <w:rFonts w:ascii="Arial" w:hAnsi="Arial" w:cs="Arial"/>
          <w:sz w:val="24"/>
          <w:szCs w:val="24"/>
        </w:rPr>
        <w:t>people</w:t>
      </w:r>
      <w:r w:rsidRPr="002828A7">
        <w:rPr>
          <w:rFonts w:ascii="Arial" w:hAnsi="Arial" w:cs="Arial"/>
          <w:spacing w:val="-15"/>
          <w:sz w:val="24"/>
          <w:szCs w:val="24"/>
        </w:rPr>
        <w:t xml:space="preserve"> </w:t>
      </w:r>
      <w:r w:rsidRPr="002828A7">
        <w:rPr>
          <w:rFonts w:ascii="Arial" w:hAnsi="Arial" w:cs="Arial"/>
          <w:sz w:val="24"/>
          <w:szCs w:val="24"/>
        </w:rPr>
        <w:t>the</w:t>
      </w:r>
      <w:r w:rsidRPr="002828A7">
        <w:rPr>
          <w:rFonts w:ascii="Arial" w:hAnsi="Arial" w:cs="Arial"/>
          <w:spacing w:val="-15"/>
          <w:sz w:val="24"/>
          <w:szCs w:val="24"/>
        </w:rPr>
        <w:t xml:space="preserve"> </w:t>
      </w:r>
      <w:r w:rsidRPr="002828A7">
        <w:rPr>
          <w:rFonts w:ascii="Arial" w:hAnsi="Arial" w:cs="Arial"/>
          <w:sz w:val="24"/>
          <w:szCs w:val="24"/>
        </w:rPr>
        <w:t>best</w:t>
      </w:r>
      <w:r w:rsidRPr="002828A7">
        <w:rPr>
          <w:rFonts w:ascii="Arial" w:hAnsi="Arial" w:cs="Arial"/>
          <w:spacing w:val="-15"/>
          <w:sz w:val="24"/>
          <w:szCs w:val="24"/>
        </w:rPr>
        <w:t xml:space="preserve"> </w:t>
      </w:r>
      <w:r w:rsidRPr="002828A7">
        <w:rPr>
          <w:rFonts w:ascii="Arial" w:hAnsi="Arial" w:cs="Arial"/>
          <w:sz w:val="24"/>
          <w:szCs w:val="24"/>
        </w:rPr>
        <w:t>chance to succeed in school and</w:t>
      </w:r>
      <w:r w:rsidRPr="002828A7">
        <w:rPr>
          <w:rFonts w:ascii="Arial" w:hAnsi="Arial" w:cs="Arial"/>
          <w:spacing w:val="-13"/>
          <w:sz w:val="24"/>
          <w:szCs w:val="24"/>
        </w:rPr>
        <w:t xml:space="preserve"> </w:t>
      </w:r>
      <w:r w:rsidRPr="002828A7">
        <w:rPr>
          <w:rFonts w:ascii="Arial" w:hAnsi="Arial" w:cs="Arial"/>
          <w:sz w:val="24"/>
          <w:szCs w:val="24"/>
        </w:rPr>
        <w:t>life.</w:t>
      </w:r>
    </w:p>
    <w:p w14:paraId="515AEDE0" w14:textId="77777777" w:rsidR="002828A7" w:rsidRPr="002828A7" w:rsidRDefault="002828A7" w:rsidP="002828A7">
      <w:pPr>
        <w:rPr>
          <w:rFonts w:ascii="Arial" w:hAnsi="Arial" w:cs="Arial"/>
          <w:sz w:val="24"/>
          <w:szCs w:val="24"/>
        </w:rPr>
      </w:pPr>
      <w:r w:rsidRPr="002828A7">
        <w:rPr>
          <w:rFonts w:ascii="Arial" w:hAnsi="Arial" w:cs="Arial"/>
          <w:sz w:val="24"/>
          <w:szCs w:val="24"/>
        </w:rPr>
        <w:t>This includes reducing the barriers of disadvantage, shaping happy, healthy and resilient young people and increasing physical activity.</w:t>
      </w:r>
    </w:p>
    <w:p w14:paraId="28649D2B" w14:textId="77777777" w:rsidR="002828A7" w:rsidRPr="000A55FB" w:rsidRDefault="002828A7" w:rsidP="002828A7">
      <w:pPr>
        <w:rPr>
          <w:rFonts w:ascii="Arial" w:hAnsi="Arial" w:cs="Arial"/>
          <w:sz w:val="24"/>
        </w:rPr>
      </w:pPr>
      <w:r w:rsidRPr="002828A7">
        <w:rPr>
          <w:rFonts w:ascii="Arial" w:hAnsi="Arial" w:cs="Arial"/>
          <w:sz w:val="24"/>
          <w:szCs w:val="24"/>
        </w:rPr>
        <w:lastRenderedPageBreak/>
        <w:t>The Victorian Government is expanding the School Breakfast Clubs program to an additional 500 schools, as</w:t>
      </w:r>
      <w:r w:rsidRPr="000A55FB">
        <w:rPr>
          <w:rFonts w:ascii="Arial" w:hAnsi="Arial" w:cs="Arial"/>
          <w:spacing w:val="-14"/>
          <w:sz w:val="24"/>
        </w:rPr>
        <w:t xml:space="preserve"> </w:t>
      </w:r>
      <w:r w:rsidRPr="000A55FB">
        <w:rPr>
          <w:rFonts w:ascii="Arial" w:hAnsi="Arial" w:cs="Arial"/>
          <w:sz w:val="24"/>
        </w:rPr>
        <w:t>well</w:t>
      </w:r>
      <w:r w:rsidRPr="000A55FB">
        <w:rPr>
          <w:rFonts w:ascii="Arial" w:hAnsi="Arial" w:cs="Arial"/>
          <w:spacing w:val="-15"/>
          <w:sz w:val="24"/>
        </w:rPr>
        <w:t xml:space="preserve"> </w:t>
      </w:r>
      <w:r w:rsidRPr="000A55FB">
        <w:rPr>
          <w:rFonts w:ascii="Arial" w:hAnsi="Arial" w:cs="Arial"/>
          <w:sz w:val="24"/>
        </w:rPr>
        <w:t>as</w:t>
      </w:r>
      <w:r w:rsidRPr="000A55FB">
        <w:rPr>
          <w:rFonts w:ascii="Arial" w:hAnsi="Arial" w:cs="Arial"/>
          <w:spacing w:val="-15"/>
          <w:sz w:val="24"/>
        </w:rPr>
        <w:t xml:space="preserve"> </w:t>
      </w:r>
      <w:r w:rsidRPr="000A55FB">
        <w:rPr>
          <w:rFonts w:ascii="Arial" w:hAnsi="Arial" w:cs="Arial"/>
          <w:sz w:val="24"/>
        </w:rPr>
        <w:t>providing</w:t>
      </w:r>
      <w:r w:rsidRPr="000A55FB">
        <w:rPr>
          <w:rFonts w:ascii="Arial" w:hAnsi="Arial" w:cs="Arial"/>
          <w:spacing w:val="-14"/>
          <w:sz w:val="24"/>
        </w:rPr>
        <w:t xml:space="preserve"> </w:t>
      </w:r>
      <w:r w:rsidRPr="000A55FB">
        <w:rPr>
          <w:rFonts w:ascii="Arial" w:hAnsi="Arial" w:cs="Arial"/>
          <w:sz w:val="24"/>
        </w:rPr>
        <w:t>lunch</w:t>
      </w:r>
      <w:r w:rsidRPr="000A55FB">
        <w:rPr>
          <w:rFonts w:ascii="Arial" w:hAnsi="Arial" w:cs="Arial"/>
          <w:spacing w:val="-15"/>
          <w:sz w:val="24"/>
        </w:rPr>
        <w:t xml:space="preserve"> </w:t>
      </w:r>
      <w:r w:rsidRPr="000A55FB">
        <w:rPr>
          <w:rFonts w:ascii="Arial" w:hAnsi="Arial" w:cs="Arial"/>
          <w:sz w:val="24"/>
        </w:rPr>
        <w:t>and</w:t>
      </w:r>
      <w:r w:rsidRPr="000A55FB">
        <w:rPr>
          <w:rFonts w:ascii="Arial" w:hAnsi="Arial" w:cs="Arial"/>
          <w:spacing w:val="-14"/>
          <w:sz w:val="24"/>
        </w:rPr>
        <w:t xml:space="preserve"> </w:t>
      </w:r>
      <w:r w:rsidRPr="000A55FB">
        <w:rPr>
          <w:rFonts w:ascii="Arial" w:hAnsi="Arial" w:cs="Arial"/>
          <w:sz w:val="24"/>
        </w:rPr>
        <w:t>school</w:t>
      </w:r>
      <w:r w:rsidRPr="000A55FB">
        <w:rPr>
          <w:rFonts w:ascii="Arial" w:hAnsi="Arial" w:cs="Arial"/>
          <w:spacing w:val="-15"/>
          <w:sz w:val="24"/>
        </w:rPr>
        <w:t xml:space="preserve"> </w:t>
      </w:r>
      <w:r w:rsidRPr="000A55FB">
        <w:rPr>
          <w:rFonts w:ascii="Arial" w:hAnsi="Arial" w:cs="Arial"/>
          <w:sz w:val="24"/>
        </w:rPr>
        <w:t>holiday</w:t>
      </w:r>
      <w:r w:rsidRPr="000A55FB">
        <w:rPr>
          <w:rFonts w:ascii="Arial" w:hAnsi="Arial" w:cs="Arial"/>
          <w:spacing w:val="-15"/>
          <w:sz w:val="24"/>
        </w:rPr>
        <w:t xml:space="preserve"> </w:t>
      </w:r>
      <w:r w:rsidRPr="000A55FB">
        <w:rPr>
          <w:rFonts w:ascii="Arial" w:hAnsi="Arial" w:cs="Arial"/>
          <w:sz w:val="24"/>
        </w:rPr>
        <w:t>supplies to eligible</w:t>
      </w:r>
      <w:r w:rsidRPr="000A55FB">
        <w:rPr>
          <w:rFonts w:ascii="Arial" w:hAnsi="Arial" w:cs="Arial"/>
          <w:spacing w:val="-5"/>
          <w:sz w:val="24"/>
        </w:rPr>
        <w:t xml:space="preserve"> </w:t>
      </w:r>
      <w:r w:rsidRPr="000A55FB">
        <w:rPr>
          <w:rFonts w:ascii="Arial" w:hAnsi="Arial" w:cs="Arial"/>
          <w:sz w:val="24"/>
        </w:rPr>
        <w:t>students.</w:t>
      </w:r>
    </w:p>
    <w:p w14:paraId="36EE3896" w14:textId="77777777" w:rsidR="002828A7" w:rsidRPr="002828A7" w:rsidRDefault="002828A7" w:rsidP="002828A7">
      <w:pPr>
        <w:rPr>
          <w:rFonts w:ascii="Arial" w:hAnsi="Arial" w:cs="Arial"/>
          <w:sz w:val="24"/>
          <w:szCs w:val="24"/>
        </w:rPr>
      </w:pPr>
      <w:r w:rsidRPr="002828A7">
        <w:rPr>
          <w:rFonts w:ascii="Arial" w:hAnsi="Arial" w:cs="Arial"/>
          <w:sz w:val="24"/>
          <w:szCs w:val="24"/>
        </w:rPr>
        <w:t>A small but growing number of children remain in care, while one in 10 people affected by family violence are adolescents. Importantly, Victoria is implementing the recommendations of Australia’s first Royal Commission into Family Violence to help keep children and young people safe.</w:t>
      </w:r>
    </w:p>
    <w:p w14:paraId="6BFDB4A5" w14:textId="77777777" w:rsidR="002828A7" w:rsidRPr="002828A7" w:rsidRDefault="002828A7" w:rsidP="002828A7">
      <w:pPr>
        <w:rPr>
          <w:rFonts w:ascii="Arial" w:hAnsi="Arial" w:cs="Arial"/>
          <w:sz w:val="24"/>
          <w:szCs w:val="24"/>
        </w:rPr>
      </w:pPr>
      <w:r w:rsidRPr="002828A7">
        <w:rPr>
          <w:rFonts w:ascii="Arial" w:hAnsi="Arial" w:cs="Arial"/>
          <w:sz w:val="24"/>
          <w:szCs w:val="24"/>
        </w:rPr>
        <w:t>We are pleased that the Victorian Department of Education and Training has undertaken this important work to assist government and the community sector in shaping policy and delivering services.</w:t>
      </w:r>
    </w:p>
    <w:p w14:paraId="7F081C31" w14:textId="77777777" w:rsidR="002828A7" w:rsidRDefault="002828A7" w:rsidP="002828A7">
      <w:pPr>
        <w:rPr>
          <w:rFonts w:ascii="Arial" w:hAnsi="Arial" w:cs="Arial"/>
          <w:sz w:val="24"/>
          <w:szCs w:val="24"/>
        </w:rPr>
      </w:pPr>
      <w:r w:rsidRPr="002828A7">
        <w:rPr>
          <w:rFonts w:ascii="Arial" w:hAnsi="Arial" w:cs="Arial"/>
          <w:sz w:val="24"/>
          <w:szCs w:val="24"/>
        </w:rPr>
        <w:t xml:space="preserve">The 2018 </w:t>
      </w:r>
      <w:r w:rsidRPr="002828A7">
        <w:rPr>
          <w:rFonts w:ascii="Arial" w:hAnsi="Arial" w:cs="Arial"/>
          <w:i/>
          <w:sz w:val="24"/>
          <w:szCs w:val="24"/>
        </w:rPr>
        <w:t>State of Victoria’s Children Report</w:t>
      </w:r>
      <w:r w:rsidRPr="002828A7">
        <w:rPr>
          <w:rFonts w:ascii="Arial" w:hAnsi="Arial" w:cs="Arial"/>
          <w:sz w:val="24"/>
          <w:szCs w:val="24"/>
        </w:rPr>
        <w:t xml:space="preserve"> will provide an important resource as we work together towards the common goal of helping adolescents in Victoria to reach their full potential in life.</w:t>
      </w:r>
    </w:p>
    <w:p w14:paraId="752E868C" w14:textId="77777777" w:rsidR="002828A7" w:rsidRDefault="002828A7" w:rsidP="002828A7">
      <w:pPr>
        <w:rPr>
          <w:rFonts w:ascii="Arial" w:hAnsi="Arial" w:cs="Arial"/>
          <w:sz w:val="24"/>
          <w:szCs w:val="24"/>
        </w:rPr>
      </w:pPr>
    </w:p>
    <w:p w14:paraId="14ECA7B7" w14:textId="77777777" w:rsidR="002828A7" w:rsidRDefault="002828A7" w:rsidP="002828A7">
      <w:pPr>
        <w:spacing w:before="89"/>
        <w:rPr>
          <w:rFonts w:ascii="Arial" w:hAnsi="Arial" w:cs="Arial"/>
          <w:sz w:val="24"/>
        </w:rPr>
      </w:pPr>
      <w:r w:rsidRPr="0085176D">
        <w:rPr>
          <w:rFonts w:ascii="Arial" w:hAnsi="Arial" w:cs="Arial"/>
          <w:sz w:val="24"/>
        </w:rPr>
        <w:t>The Hon James Merlino MP</w:t>
      </w:r>
    </w:p>
    <w:p w14:paraId="55EADEE3" w14:textId="77777777" w:rsidR="002828A7" w:rsidRDefault="002828A7" w:rsidP="002828A7">
      <w:pPr>
        <w:spacing w:before="89"/>
        <w:rPr>
          <w:rFonts w:ascii="Arial" w:hAnsi="Arial" w:cs="Arial"/>
          <w:sz w:val="24"/>
        </w:rPr>
      </w:pPr>
      <w:r w:rsidRPr="0085176D">
        <w:rPr>
          <w:rFonts w:ascii="Arial" w:hAnsi="Arial" w:cs="Arial"/>
          <w:sz w:val="24"/>
        </w:rPr>
        <w:t>Deputy Premier Minister for Education</w:t>
      </w:r>
    </w:p>
    <w:p w14:paraId="2E758847" w14:textId="77777777" w:rsidR="002828A7" w:rsidRDefault="002828A7" w:rsidP="002828A7">
      <w:pPr>
        <w:spacing w:before="89"/>
        <w:rPr>
          <w:rFonts w:ascii="Arial" w:hAnsi="Arial" w:cs="Arial"/>
          <w:sz w:val="24"/>
        </w:rPr>
      </w:pPr>
    </w:p>
    <w:p w14:paraId="6DF9CF27" w14:textId="77777777" w:rsidR="002828A7" w:rsidRPr="0085176D" w:rsidRDefault="002828A7" w:rsidP="002828A7">
      <w:pPr>
        <w:spacing w:before="89"/>
        <w:rPr>
          <w:rFonts w:ascii="Arial" w:hAnsi="Arial" w:cs="Arial"/>
          <w:sz w:val="24"/>
        </w:rPr>
      </w:pPr>
      <w:r w:rsidRPr="0085176D">
        <w:rPr>
          <w:rFonts w:ascii="Arial" w:hAnsi="Arial" w:cs="Arial"/>
          <w:sz w:val="24"/>
        </w:rPr>
        <w:t xml:space="preserve">The Hon Jenny Mikakos </w:t>
      </w:r>
      <w:r w:rsidRPr="0085176D">
        <w:rPr>
          <w:rFonts w:ascii="Arial" w:hAnsi="Arial" w:cs="Arial"/>
          <w:spacing w:val="-8"/>
          <w:sz w:val="24"/>
        </w:rPr>
        <w:t>MLC</w:t>
      </w:r>
    </w:p>
    <w:p w14:paraId="238CF053" w14:textId="77777777" w:rsidR="002828A7" w:rsidRDefault="002828A7" w:rsidP="002828A7">
      <w:pPr>
        <w:spacing w:before="37"/>
        <w:rPr>
          <w:rFonts w:ascii="Arial" w:hAnsi="Arial" w:cs="Arial"/>
          <w:sz w:val="24"/>
        </w:rPr>
      </w:pPr>
      <w:r w:rsidRPr="0085176D">
        <w:rPr>
          <w:rFonts w:ascii="Arial" w:hAnsi="Arial" w:cs="Arial"/>
          <w:sz w:val="24"/>
        </w:rPr>
        <w:t>Minister for Health</w:t>
      </w:r>
    </w:p>
    <w:p w14:paraId="70EC5C04" w14:textId="77777777" w:rsidR="002828A7" w:rsidRDefault="002828A7" w:rsidP="002828A7">
      <w:pPr>
        <w:spacing w:before="37"/>
        <w:rPr>
          <w:rFonts w:ascii="Arial" w:hAnsi="Arial" w:cs="Arial"/>
          <w:sz w:val="24"/>
        </w:rPr>
      </w:pPr>
    </w:p>
    <w:p w14:paraId="36930AAD" w14:textId="77777777" w:rsidR="002828A7" w:rsidRPr="0085176D" w:rsidRDefault="002828A7" w:rsidP="002828A7">
      <w:pPr>
        <w:spacing w:before="37"/>
        <w:rPr>
          <w:rFonts w:ascii="Arial" w:hAnsi="Arial" w:cs="Arial"/>
          <w:sz w:val="24"/>
        </w:rPr>
      </w:pPr>
      <w:r w:rsidRPr="0085176D">
        <w:rPr>
          <w:rFonts w:ascii="Arial" w:hAnsi="Arial" w:cs="Arial"/>
          <w:sz w:val="24"/>
        </w:rPr>
        <w:t>The Hon Luke Donnellan</w:t>
      </w:r>
      <w:r w:rsidRPr="0085176D">
        <w:rPr>
          <w:rFonts w:ascii="Arial" w:hAnsi="Arial" w:cs="Arial"/>
          <w:spacing w:val="-5"/>
          <w:sz w:val="24"/>
        </w:rPr>
        <w:t xml:space="preserve"> </w:t>
      </w:r>
      <w:r w:rsidRPr="0085176D">
        <w:rPr>
          <w:rFonts w:ascii="Arial" w:hAnsi="Arial" w:cs="Arial"/>
          <w:sz w:val="24"/>
        </w:rPr>
        <w:t>MP</w:t>
      </w:r>
    </w:p>
    <w:p w14:paraId="420D6730" w14:textId="77777777" w:rsidR="006375EA" w:rsidRDefault="002828A7">
      <w:pPr>
        <w:rPr>
          <w:rFonts w:ascii="Arial" w:hAnsi="Arial" w:cs="Arial"/>
          <w:sz w:val="24"/>
        </w:rPr>
      </w:pPr>
      <w:r w:rsidRPr="0085176D">
        <w:rPr>
          <w:rFonts w:ascii="Arial" w:hAnsi="Arial" w:cs="Arial"/>
          <w:sz w:val="24"/>
        </w:rPr>
        <w:t>Minister for Child</w:t>
      </w:r>
      <w:r w:rsidRPr="0085176D">
        <w:rPr>
          <w:rFonts w:ascii="Arial" w:hAnsi="Arial" w:cs="Arial"/>
          <w:spacing w:val="-13"/>
          <w:sz w:val="24"/>
        </w:rPr>
        <w:t xml:space="preserve"> </w:t>
      </w:r>
      <w:r w:rsidRPr="0085176D">
        <w:rPr>
          <w:rFonts w:ascii="Arial" w:hAnsi="Arial" w:cs="Arial"/>
          <w:sz w:val="24"/>
        </w:rPr>
        <w:t>Protection</w:t>
      </w:r>
    </w:p>
    <w:p w14:paraId="173C7C33" w14:textId="77777777" w:rsidR="006375EA" w:rsidRDefault="006375EA" w:rsidP="006375EA">
      <w:r>
        <w:br w:type="page"/>
      </w:r>
    </w:p>
    <w:p w14:paraId="06756940" w14:textId="77777777" w:rsidR="006375EA" w:rsidRDefault="006375EA" w:rsidP="006375EA">
      <w:pPr>
        <w:pStyle w:val="Heading1"/>
        <w:rPr>
          <w:rFonts w:ascii="Arial" w:hAnsi="Arial" w:cs="Arial"/>
        </w:rPr>
      </w:pPr>
      <w:bookmarkStart w:id="2" w:name="_Toc33527727"/>
      <w:r w:rsidRPr="0038265D">
        <w:rPr>
          <w:rFonts w:ascii="Arial" w:hAnsi="Arial" w:cs="Arial"/>
        </w:rPr>
        <w:lastRenderedPageBreak/>
        <w:t>EXECUTIVE SUMMARY</w:t>
      </w:r>
      <w:bookmarkEnd w:id="2"/>
    </w:p>
    <w:p w14:paraId="615382FB" w14:textId="77777777" w:rsidR="0038265D" w:rsidRPr="0038265D" w:rsidRDefault="0038265D" w:rsidP="0038265D">
      <w:pPr>
        <w:pStyle w:val="Heading2"/>
        <w:rPr>
          <w:rFonts w:ascii="Arial" w:hAnsi="Arial" w:cs="Arial"/>
        </w:rPr>
      </w:pPr>
      <w:bookmarkStart w:id="3" w:name="_Toc33527728"/>
      <w:r w:rsidRPr="0038265D">
        <w:rPr>
          <w:rFonts w:ascii="Arial" w:hAnsi="Arial" w:cs="Arial"/>
          <w:color w:val="auto"/>
        </w:rPr>
        <w:t>Strengths</w:t>
      </w:r>
      <w:bookmarkEnd w:id="3"/>
    </w:p>
    <w:p w14:paraId="5BD4C301" w14:textId="77777777" w:rsidR="0038265D" w:rsidRPr="00B467CD" w:rsidRDefault="0038265D">
      <w:pPr>
        <w:rPr>
          <w:rFonts w:ascii="Arial" w:hAnsi="Arial" w:cs="Arial"/>
          <w:sz w:val="24"/>
        </w:rPr>
      </w:pPr>
      <w:r w:rsidRPr="00B467CD">
        <w:rPr>
          <w:rFonts w:ascii="Arial" w:hAnsi="Arial" w:cs="Arial"/>
          <w:sz w:val="24"/>
        </w:rPr>
        <w:t>Most adolescents report good physical and mental health, and good access to health services, while substance use is declining.</w:t>
      </w:r>
    </w:p>
    <w:p w14:paraId="0C49E5D1" w14:textId="77777777" w:rsidR="0038265D" w:rsidRPr="00B467CD" w:rsidRDefault="0038265D">
      <w:pPr>
        <w:rPr>
          <w:rFonts w:ascii="Arial" w:hAnsi="Arial" w:cs="Arial"/>
          <w:b/>
          <w:sz w:val="24"/>
        </w:rPr>
      </w:pPr>
      <w:r w:rsidRPr="00B467CD">
        <w:rPr>
          <w:rFonts w:ascii="Arial" w:hAnsi="Arial" w:cs="Arial"/>
          <w:b/>
          <w:sz w:val="24"/>
        </w:rPr>
        <w:t>The proportion of Year 11 students who currently smoke, drink or take illicit drugs</w:t>
      </w:r>
    </w:p>
    <w:tbl>
      <w:tblPr>
        <w:tblStyle w:val="TableGrid"/>
        <w:tblW w:w="0" w:type="auto"/>
        <w:tblLook w:val="04A0" w:firstRow="1" w:lastRow="0" w:firstColumn="1" w:lastColumn="0" w:noHBand="0" w:noVBand="1"/>
        <w:tblDescription w:val="This table shows the proportion of Victorian Year 11 students who currently smoke, drink or take illicit drugs (2014 and 2018)"/>
      </w:tblPr>
      <w:tblGrid>
        <w:gridCol w:w="3016"/>
        <w:gridCol w:w="3000"/>
        <w:gridCol w:w="3000"/>
      </w:tblGrid>
      <w:tr w:rsidR="0038265D" w:rsidRPr="00B467CD" w14:paraId="4B36F91B" w14:textId="77777777" w:rsidTr="000226CB">
        <w:trPr>
          <w:tblHeader/>
        </w:trPr>
        <w:tc>
          <w:tcPr>
            <w:tcW w:w="3016" w:type="dxa"/>
          </w:tcPr>
          <w:p w14:paraId="0A023E59" w14:textId="77777777" w:rsidR="0038265D" w:rsidRPr="00B467CD" w:rsidRDefault="0038265D">
            <w:pPr>
              <w:rPr>
                <w:rFonts w:ascii="Arial" w:hAnsi="Arial" w:cs="Arial"/>
                <w:sz w:val="24"/>
              </w:rPr>
            </w:pPr>
          </w:p>
        </w:tc>
        <w:tc>
          <w:tcPr>
            <w:tcW w:w="3000" w:type="dxa"/>
          </w:tcPr>
          <w:p w14:paraId="131E9162" w14:textId="77777777" w:rsidR="0038265D" w:rsidRPr="00B467CD" w:rsidRDefault="0038265D">
            <w:pPr>
              <w:rPr>
                <w:rFonts w:ascii="Arial" w:hAnsi="Arial" w:cs="Arial"/>
                <w:sz w:val="24"/>
              </w:rPr>
            </w:pPr>
            <w:r w:rsidRPr="00B467CD">
              <w:rPr>
                <w:rFonts w:ascii="Arial" w:hAnsi="Arial" w:cs="Arial"/>
                <w:sz w:val="24"/>
              </w:rPr>
              <w:t>2014</w:t>
            </w:r>
          </w:p>
        </w:tc>
        <w:tc>
          <w:tcPr>
            <w:tcW w:w="3000" w:type="dxa"/>
          </w:tcPr>
          <w:p w14:paraId="16BC2728" w14:textId="77777777" w:rsidR="0038265D" w:rsidRPr="00B467CD" w:rsidRDefault="0038265D">
            <w:pPr>
              <w:rPr>
                <w:rFonts w:ascii="Arial" w:hAnsi="Arial" w:cs="Arial"/>
                <w:sz w:val="24"/>
              </w:rPr>
            </w:pPr>
            <w:r w:rsidRPr="00B467CD">
              <w:rPr>
                <w:rFonts w:ascii="Arial" w:hAnsi="Arial" w:cs="Arial"/>
                <w:sz w:val="24"/>
              </w:rPr>
              <w:t>2018</w:t>
            </w:r>
          </w:p>
        </w:tc>
      </w:tr>
      <w:tr w:rsidR="0038265D" w:rsidRPr="00B467CD" w14:paraId="21E606B5" w14:textId="77777777" w:rsidTr="000226CB">
        <w:tc>
          <w:tcPr>
            <w:tcW w:w="3016" w:type="dxa"/>
          </w:tcPr>
          <w:p w14:paraId="16FF56E7" w14:textId="77777777" w:rsidR="0038265D" w:rsidRPr="00B467CD" w:rsidRDefault="0038265D">
            <w:pPr>
              <w:rPr>
                <w:rFonts w:ascii="Arial" w:hAnsi="Arial" w:cs="Arial"/>
                <w:sz w:val="24"/>
              </w:rPr>
            </w:pPr>
            <w:r w:rsidRPr="00B467CD">
              <w:rPr>
                <w:rFonts w:ascii="Arial" w:hAnsi="Arial" w:cs="Arial"/>
                <w:sz w:val="24"/>
              </w:rPr>
              <w:t>Smoke cigarettes</w:t>
            </w:r>
          </w:p>
        </w:tc>
        <w:tc>
          <w:tcPr>
            <w:tcW w:w="3000" w:type="dxa"/>
          </w:tcPr>
          <w:p w14:paraId="5CB5AA71" w14:textId="77777777" w:rsidR="0038265D" w:rsidRPr="00B467CD" w:rsidRDefault="0038265D">
            <w:pPr>
              <w:rPr>
                <w:rFonts w:ascii="Arial" w:hAnsi="Arial" w:cs="Arial"/>
                <w:sz w:val="24"/>
              </w:rPr>
            </w:pPr>
            <w:r w:rsidRPr="00B467CD">
              <w:rPr>
                <w:rFonts w:ascii="Arial" w:hAnsi="Arial" w:cs="Arial"/>
                <w:sz w:val="24"/>
              </w:rPr>
              <w:t>20%</w:t>
            </w:r>
          </w:p>
        </w:tc>
        <w:tc>
          <w:tcPr>
            <w:tcW w:w="3000" w:type="dxa"/>
          </w:tcPr>
          <w:p w14:paraId="405898AD" w14:textId="77777777" w:rsidR="0038265D" w:rsidRPr="00B467CD" w:rsidRDefault="0038265D">
            <w:pPr>
              <w:rPr>
                <w:rFonts w:ascii="Arial" w:hAnsi="Arial" w:cs="Arial"/>
                <w:sz w:val="24"/>
              </w:rPr>
            </w:pPr>
            <w:r w:rsidRPr="00B467CD">
              <w:rPr>
                <w:rFonts w:ascii="Arial" w:hAnsi="Arial" w:cs="Arial"/>
                <w:sz w:val="24"/>
              </w:rPr>
              <w:t>13%</w:t>
            </w:r>
          </w:p>
        </w:tc>
      </w:tr>
      <w:tr w:rsidR="0038265D" w:rsidRPr="00B467CD" w14:paraId="49CC10DE" w14:textId="77777777" w:rsidTr="000226CB">
        <w:tc>
          <w:tcPr>
            <w:tcW w:w="3016" w:type="dxa"/>
          </w:tcPr>
          <w:p w14:paraId="109C09C6" w14:textId="77777777" w:rsidR="0038265D" w:rsidRPr="00B467CD" w:rsidRDefault="0038265D">
            <w:pPr>
              <w:rPr>
                <w:rFonts w:ascii="Arial" w:hAnsi="Arial" w:cs="Arial"/>
                <w:sz w:val="24"/>
              </w:rPr>
            </w:pPr>
            <w:r w:rsidRPr="00B467CD">
              <w:rPr>
                <w:rFonts w:ascii="Arial" w:hAnsi="Arial" w:cs="Arial"/>
                <w:sz w:val="24"/>
              </w:rPr>
              <w:t>Drink alcohol</w:t>
            </w:r>
          </w:p>
        </w:tc>
        <w:tc>
          <w:tcPr>
            <w:tcW w:w="3000" w:type="dxa"/>
          </w:tcPr>
          <w:p w14:paraId="4D2FB75D" w14:textId="77777777" w:rsidR="0038265D" w:rsidRPr="00B467CD" w:rsidRDefault="0038265D">
            <w:pPr>
              <w:rPr>
                <w:rFonts w:ascii="Arial" w:hAnsi="Arial" w:cs="Arial"/>
                <w:sz w:val="24"/>
              </w:rPr>
            </w:pPr>
            <w:r w:rsidRPr="00B467CD">
              <w:rPr>
                <w:rFonts w:ascii="Arial" w:hAnsi="Arial" w:cs="Arial"/>
                <w:sz w:val="24"/>
              </w:rPr>
              <w:t>38%</w:t>
            </w:r>
          </w:p>
        </w:tc>
        <w:tc>
          <w:tcPr>
            <w:tcW w:w="3000" w:type="dxa"/>
          </w:tcPr>
          <w:p w14:paraId="3A9A3ABC" w14:textId="77777777" w:rsidR="0038265D" w:rsidRPr="00B467CD" w:rsidRDefault="0038265D">
            <w:pPr>
              <w:rPr>
                <w:rFonts w:ascii="Arial" w:hAnsi="Arial" w:cs="Arial"/>
                <w:sz w:val="24"/>
              </w:rPr>
            </w:pPr>
            <w:r w:rsidRPr="00B467CD">
              <w:rPr>
                <w:rFonts w:ascii="Arial" w:hAnsi="Arial" w:cs="Arial"/>
                <w:sz w:val="24"/>
              </w:rPr>
              <w:t>31%</w:t>
            </w:r>
          </w:p>
        </w:tc>
      </w:tr>
      <w:tr w:rsidR="0038265D" w:rsidRPr="00B467CD" w14:paraId="58987D7A" w14:textId="77777777" w:rsidTr="000226CB">
        <w:tc>
          <w:tcPr>
            <w:tcW w:w="3016" w:type="dxa"/>
          </w:tcPr>
          <w:p w14:paraId="34AFF4EF" w14:textId="77777777" w:rsidR="0038265D" w:rsidRPr="00B467CD" w:rsidRDefault="0038265D">
            <w:pPr>
              <w:rPr>
                <w:rFonts w:ascii="Arial" w:hAnsi="Arial" w:cs="Arial"/>
                <w:sz w:val="24"/>
              </w:rPr>
            </w:pPr>
            <w:r w:rsidRPr="00B467CD">
              <w:rPr>
                <w:rFonts w:ascii="Arial" w:hAnsi="Arial" w:cs="Arial"/>
                <w:sz w:val="24"/>
              </w:rPr>
              <w:t>Take illicit drugs</w:t>
            </w:r>
          </w:p>
        </w:tc>
        <w:tc>
          <w:tcPr>
            <w:tcW w:w="3000" w:type="dxa"/>
          </w:tcPr>
          <w:p w14:paraId="5D5437F5" w14:textId="77777777" w:rsidR="0038265D" w:rsidRPr="00B467CD" w:rsidRDefault="0038265D">
            <w:pPr>
              <w:rPr>
                <w:rFonts w:ascii="Arial" w:hAnsi="Arial" w:cs="Arial"/>
                <w:sz w:val="24"/>
              </w:rPr>
            </w:pPr>
            <w:r w:rsidRPr="00B467CD">
              <w:rPr>
                <w:rFonts w:ascii="Arial" w:hAnsi="Arial" w:cs="Arial"/>
                <w:sz w:val="24"/>
              </w:rPr>
              <w:t>13%</w:t>
            </w:r>
          </w:p>
        </w:tc>
        <w:tc>
          <w:tcPr>
            <w:tcW w:w="3000" w:type="dxa"/>
          </w:tcPr>
          <w:p w14:paraId="02F3A89F" w14:textId="77777777" w:rsidR="0038265D" w:rsidRPr="00B467CD" w:rsidRDefault="0038265D">
            <w:pPr>
              <w:rPr>
                <w:rFonts w:ascii="Arial" w:hAnsi="Arial" w:cs="Arial"/>
                <w:sz w:val="24"/>
              </w:rPr>
            </w:pPr>
            <w:r w:rsidRPr="00B467CD">
              <w:rPr>
                <w:rFonts w:ascii="Arial" w:hAnsi="Arial" w:cs="Arial"/>
                <w:sz w:val="24"/>
              </w:rPr>
              <w:t>10%</w:t>
            </w:r>
          </w:p>
        </w:tc>
      </w:tr>
    </w:tbl>
    <w:p w14:paraId="6D12A77B" w14:textId="4883CFE2" w:rsidR="00702B66" w:rsidRPr="00B467CD" w:rsidRDefault="000226CB" w:rsidP="00702B66">
      <w:pPr>
        <w:rPr>
          <w:rFonts w:ascii="Arial" w:hAnsi="Arial" w:cs="Arial"/>
          <w:sz w:val="24"/>
        </w:rPr>
      </w:pPr>
      <w:r>
        <w:rPr>
          <w:rFonts w:ascii="VIC-LightItalic" w:hAnsi="VIC-LightItalic" w:cs="VIC-LightItalic"/>
          <w:i/>
          <w:iCs/>
          <w:color w:val="1F1645"/>
          <w:sz w:val="12"/>
          <w:szCs w:val="12"/>
        </w:rPr>
        <w:t>Source: Victorian Student Health and Wellbeing Survey 2014-2018</w:t>
      </w:r>
    </w:p>
    <w:p w14:paraId="7FB01BAE" w14:textId="77777777" w:rsidR="00702B66" w:rsidRPr="009374C0" w:rsidRDefault="00702B66" w:rsidP="00702B66">
      <w:pPr>
        <w:rPr>
          <w:rFonts w:ascii="Arial" w:hAnsi="Arial" w:cs="Arial"/>
          <w:b/>
          <w:i/>
          <w:sz w:val="24"/>
        </w:rPr>
      </w:pPr>
      <w:r w:rsidRPr="009374C0">
        <w:rPr>
          <w:rFonts w:ascii="Arial" w:hAnsi="Arial" w:cs="Arial"/>
          <w:b/>
          <w:i/>
          <w:sz w:val="24"/>
        </w:rPr>
        <w:t>Most young people are doing well at school, with NAPLAN performance and Year 12 attainment rates improving, setting them up for success.</w:t>
      </w:r>
    </w:p>
    <w:p w14:paraId="2222E81C" w14:textId="77777777" w:rsidR="00B467CD" w:rsidRPr="00222117" w:rsidRDefault="00B467CD" w:rsidP="00B467CD">
      <w:pPr>
        <w:pStyle w:val="ListParagraph"/>
        <w:numPr>
          <w:ilvl w:val="0"/>
          <w:numId w:val="26"/>
        </w:numPr>
        <w:rPr>
          <w:rFonts w:ascii="Arial" w:hAnsi="Arial" w:cs="Arial"/>
          <w:sz w:val="24"/>
        </w:rPr>
      </w:pPr>
      <w:r w:rsidRPr="00222117">
        <w:rPr>
          <w:rFonts w:ascii="Arial" w:hAnsi="Arial" w:cs="Arial"/>
          <w:sz w:val="24"/>
        </w:rPr>
        <w:t>Year 12 attainment rate 2008: 75%</w:t>
      </w:r>
    </w:p>
    <w:p w14:paraId="302F446D" w14:textId="77777777" w:rsidR="00B467CD" w:rsidRPr="00222117" w:rsidRDefault="00B467CD" w:rsidP="00B467CD">
      <w:pPr>
        <w:pStyle w:val="ListParagraph"/>
        <w:numPr>
          <w:ilvl w:val="0"/>
          <w:numId w:val="26"/>
        </w:numPr>
        <w:rPr>
          <w:rFonts w:ascii="Arial" w:hAnsi="Arial" w:cs="Arial"/>
          <w:sz w:val="24"/>
        </w:rPr>
      </w:pPr>
      <w:r w:rsidRPr="00222117">
        <w:rPr>
          <w:rFonts w:ascii="Arial" w:hAnsi="Arial" w:cs="Arial"/>
          <w:sz w:val="24"/>
        </w:rPr>
        <w:t>Year 12 attainment rate 2017: 81%</w:t>
      </w:r>
    </w:p>
    <w:p w14:paraId="2060E3AA" w14:textId="43218C61" w:rsidR="0062794A" w:rsidRPr="00316A0D" w:rsidRDefault="000226CB" w:rsidP="000226CB">
      <w:pPr>
        <w:ind w:firstLine="720"/>
        <w:rPr>
          <w:rFonts w:ascii="Arial" w:hAnsi="Arial" w:cs="Arial"/>
          <w:b/>
          <w:sz w:val="20"/>
          <w:szCs w:val="20"/>
        </w:rPr>
      </w:pPr>
      <w:r w:rsidRPr="00316A0D">
        <w:rPr>
          <w:rFonts w:ascii="VIC-LightItalic" w:hAnsi="VIC-LightItalic" w:cs="VIC-LightItalic"/>
          <w:i/>
          <w:iCs/>
          <w:color w:val="1F1645"/>
          <w:sz w:val="20"/>
          <w:szCs w:val="20"/>
        </w:rPr>
        <w:t>Source: Report on Government Services, 2018 (Productivity Commission, 2019)</w:t>
      </w:r>
    </w:p>
    <w:p w14:paraId="400AB0F9" w14:textId="512C6503" w:rsidR="003A2626" w:rsidRPr="009374C0" w:rsidRDefault="003A2626" w:rsidP="00702B66">
      <w:pPr>
        <w:rPr>
          <w:rFonts w:ascii="Arial" w:hAnsi="Arial" w:cs="Arial"/>
          <w:b/>
          <w:i/>
          <w:sz w:val="24"/>
        </w:rPr>
      </w:pPr>
      <w:r w:rsidRPr="009374C0">
        <w:rPr>
          <w:rFonts w:ascii="Arial" w:hAnsi="Arial" w:cs="Arial"/>
          <w:b/>
          <w:i/>
          <w:sz w:val="24"/>
        </w:rPr>
        <w:t>9-in-10 Year 8 and 11 students have positive peer relationships and live in safe, supportive environments.</w:t>
      </w:r>
      <w:r w:rsidR="000226CB">
        <w:rPr>
          <w:rFonts w:ascii="Arial" w:hAnsi="Arial" w:cs="Arial"/>
          <w:b/>
          <w:i/>
          <w:sz w:val="24"/>
        </w:rPr>
        <w:br/>
      </w:r>
      <w:r w:rsidR="000226CB" w:rsidRPr="00316A0D">
        <w:rPr>
          <w:rFonts w:ascii="VIC-LightItalic" w:hAnsi="VIC-LightItalic" w:cs="VIC-LightItalic"/>
          <w:i/>
          <w:iCs/>
          <w:color w:val="1F1645"/>
          <w:sz w:val="20"/>
          <w:szCs w:val="20"/>
        </w:rPr>
        <w:t>Source: Victorian Student Health and Wellbeing Survey 2014-2018</w:t>
      </w:r>
    </w:p>
    <w:p w14:paraId="75340D7B" w14:textId="27750768" w:rsidR="006222DC" w:rsidRPr="009374C0" w:rsidRDefault="003A2626" w:rsidP="003A2626">
      <w:pPr>
        <w:rPr>
          <w:rFonts w:ascii="Arial" w:hAnsi="Arial" w:cs="Arial"/>
          <w:b/>
          <w:i/>
          <w:sz w:val="24"/>
        </w:rPr>
      </w:pPr>
      <w:r w:rsidRPr="009374C0">
        <w:rPr>
          <w:rFonts w:ascii="Arial" w:hAnsi="Arial" w:cs="Arial"/>
          <w:b/>
          <w:i/>
          <w:sz w:val="24"/>
        </w:rPr>
        <w:t>4-in-5 Year 8 and 11 students live in healthy, well-functioning families.</w:t>
      </w:r>
      <w:r w:rsidR="000226CB">
        <w:rPr>
          <w:rFonts w:ascii="Arial" w:hAnsi="Arial" w:cs="Arial"/>
          <w:b/>
          <w:i/>
          <w:sz w:val="24"/>
        </w:rPr>
        <w:br/>
      </w:r>
      <w:r w:rsidR="000226CB" w:rsidRPr="00316A0D">
        <w:rPr>
          <w:rFonts w:ascii="VIC-LightItalic" w:hAnsi="VIC-LightItalic" w:cs="VIC-LightItalic"/>
          <w:i/>
          <w:iCs/>
          <w:color w:val="1F1645"/>
          <w:sz w:val="20"/>
          <w:szCs w:val="20"/>
        </w:rPr>
        <w:t>Source: Victorian Student Health and Wellbeing Survey 2014-2018</w:t>
      </w:r>
    </w:p>
    <w:p w14:paraId="68F61D65" w14:textId="77777777" w:rsidR="00A32463" w:rsidRPr="00222117" w:rsidRDefault="00CA0BB9" w:rsidP="00CA0BB9">
      <w:pPr>
        <w:pStyle w:val="Heading2"/>
        <w:rPr>
          <w:rFonts w:ascii="Arial" w:hAnsi="Arial" w:cs="Arial"/>
          <w:color w:val="auto"/>
        </w:rPr>
      </w:pPr>
      <w:bookmarkStart w:id="4" w:name="_Toc33527729"/>
      <w:r w:rsidRPr="00222117">
        <w:rPr>
          <w:rFonts w:ascii="Arial" w:hAnsi="Arial" w:cs="Arial"/>
          <w:color w:val="auto"/>
        </w:rPr>
        <w:t>Watchpoints</w:t>
      </w:r>
      <w:bookmarkEnd w:id="4"/>
    </w:p>
    <w:p w14:paraId="44D29351" w14:textId="77777777" w:rsidR="00A32463" w:rsidRPr="00222117" w:rsidRDefault="00A32463" w:rsidP="00A32463">
      <w:pPr>
        <w:rPr>
          <w:rFonts w:ascii="Arial" w:hAnsi="Arial" w:cs="Arial"/>
          <w:sz w:val="24"/>
        </w:rPr>
      </w:pPr>
      <w:r w:rsidRPr="00222117">
        <w:rPr>
          <w:rFonts w:ascii="Arial" w:hAnsi="Arial" w:cs="Arial"/>
          <w:sz w:val="24"/>
        </w:rPr>
        <w:t>Resilience, life satisfaction and mental health have declined significantly among adolescents, and although mental health service usage is increasing, concerns about access remain.</w:t>
      </w:r>
    </w:p>
    <w:p w14:paraId="5D6A6C48" w14:textId="006BBE9F" w:rsidR="00222117" w:rsidRPr="009374C0" w:rsidRDefault="00A32463" w:rsidP="00A32463">
      <w:pPr>
        <w:pStyle w:val="ListParagraph"/>
        <w:numPr>
          <w:ilvl w:val="0"/>
          <w:numId w:val="26"/>
        </w:numPr>
        <w:rPr>
          <w:rFonts w:ascii="Arial" w:hAnsi="Arial" w:cs="Arial"/>
          <w:b/>
          <w:i/>
          <w:sz w:val="24"/>
        </w:rPr>
      </w:pPr>
      <w:r w:rsidRPr="009374C0">
        <w:rPr>
          <w:rFonts w:ascii="Arial" w:hAnsi="Arial" w:cs="Arial"/>
          <w:b/>
          <w:i/>
          <w:sz w:val="24"/>
        </w:rPr>
        <w:t>The proportion of adolescents using mental health services has almost doubled since 2012</w:t>
      </w:r>
      <w:r w:rsidR="00222117" w:rsidRPr="009374C0">
        <w:rPr>
          <w:rFonts w:ascii="Arial" w:hAnsi="Arial" w:cs="Arial"/>
          <w:b/>
          <w:i/>
          <w:sz w:val="24"/>
        </w:rPr>
        <w:t>: mental health service usage was 7 per cent in 2012 and 12 per cent in 2018</w:t>
      </w:r>
      <w:r w:rsidR="000226CB">
        <w:rPr>
          <w:rFonts w:ascii="Arial" w:hAnsi="Arial" w:cs="Arial"/>
          <w:b/>
          <w:i/>
          <w:sz w:val="24"/>
        </w:rPr>
        <w:br/>
      </w:r>
      <w:r w:rsidR="000226CB" w:rsidRPr="00316A0D">
        <w:rPr>
          <w:rFonts w:ascii="VIC-LightItalic" w:eastAsiaTheme="minorHAnsi" w:hAnsi="VIC-LightItalic" w:cs="VIC-LightItalic"/>
          <w:i/>
          <w:iCs/>
          <w:color w:val="1F1645"/>
          <w:sz w:val="20"/>
          <w:szCs w:val="20"/>
          <w:lang w:val="en-AU" w:bidi="ar-SA"/>
        </w:rPr>
        <w:t>Source: Report on Government Services, 2018 (Productivity Commission, 2019)</w:t>
      </w:r>
    </w:p>
    <w:p w14:paraId="56C8E889" w14:textId="338AB314" w:rsidR="00222117" w:rsidRPr="00316A0D" w:rsidRDefault="00222117" w:rsidP="00222117">
      <w:pPr>
        <w:pStyle w:val="ListParagraph"/>
        <w:numPr>
          <w:ilvl w:val="0"/>
          <w:numId w:val="26"/>
        </w:numPr>
        <w:rPr>
          <w:rFonts w:ascii="VIC-LightItalic" w:eastAsiaTheme="minorHAnsi" w:hAnsi="VIC-LightItalic" w:cs="VIC-LightItalic"/>
          <w:i/>
          <w:iCs/>
          <w:color w:val="1F1645"/>
          <w:sz w:val="20"/>
          <w:szCs w:val="20"/>
          <w:lang w:val="en-AU" w:bidi="ar-SA"/>
        </w:rPr>
      </w:pPr>
      <w:r w:rsidRPr="009374C0">
        <w:rPr>
          <w:rFonts w:ascii="Arial" w:hAnsi="Arial" w:cs="Arial"/>
          <w:b/>
          <w:i/>
          <w:sz w:val="24"/>
        </w:rPr>
        <w:t>Only 2-in-5 (38 per cent) Year 8 and 11 students believe they can access mental health services when needed.</w:t>
      </w:r>
      <w:r w:rsidR="000226CB">
        <w:rPr>
          <w:rFonts w:ascii="Arial" w:hAnsi="Arial" w:cs="Arial"/>
          <w:b/>
          <w:i/>
          <w:sz w:val="24"/>
        </w:rPr>
        <w:br/>
      </w:r>
      <w:r w:rsidR="000226CB" w:rsidRPr="00316A0D">
        <w:rPr>
          <w:rFonts w:ascii="VIC-LightItalic" w:eastAsiaTheme="minorHAnsi" w:hAnsi="VIC-LightItalic" w:cs="VIC-LightItalic"/>
          <w:i/>
          <w:iCs/>
          <w:color w:val="1F1645"/>
          <w:sz w:val="20"/>
          <w:szCs w:val="20"/>
          <w:lang w:val="en-AU" w:bidi="ar-SA"/>
        </w:rPr>
        <w:t>Source: Victorian Student Health and Wellbeing Survey 2014-2018</w:t>
      </w:r>
    </w:p>
    <w:p w14:paraId="748DBC90" w14:textId="77777777" w:rsidR="005C739D" w:rsidRDefault="005C739D" w:rsidP="005C739D">
      <w:pPr>
        <w:rPr>
          <w:rFonts w:ascii="Arial" w:hAnsi="Arial" w:cs="Arial"/>
          <w:sz w:val="24"/>
        </w:rPr>
      </w:pPr>
    </w:p>
    <w:p w14:paraId="7C87D69F" w14:textId="77777777" w:rsidR="00222117" w:rsidRDefault="005C739D" w:rsidP="005C739D">
      <w:pPr>
        <w:rPr>
          <w:rFonts w:ascii="Arial" w:hAnsi="Arial" w:cs="Arial"/>
          <w:sz w:val="24"/>
        </w:rPr>
      </w:pPr>
      <w:r w:rsidRPr="005C739D">
        <w:rPr>
          <w:rFonts w:ascii="Arial" w:hAnsi="Arial" w:cs="Arial"/>
          <w:sz w:val="24"/>
        </w:rPr>
        <w:t>Most adolescents do not meet recommended guidelines for weight, diet, exercise, and screen time</w:t>
      </w:r>
      <w:r>
        <w:rPr>
          <w:rFonts w:ascii="Arial" w:hAnsi="Arial" w:cs="Arial"/>
          <w:sz w:val="24"/>
        </w:rPr>
        <w:t>.</w:t>
      </w:r>
    </w:p>
    <w:p w14:paraId="02418AC6" w14:textId="77777777" w:rsidR="005C739D" w:rsidRPr="005C739D" w:rsidRDefault="005C739D" w:rsidP="005C739D">
      <w:pPr>
        <w:pStyle w:val="ListParagraph"/>
        <w:numPr>
          <w:ilvl w:val="0"/>
          <w:numId w:val="26"/>
        </w:numPr>
        <w:rPr>
          <w:rFonts w:ascii="Arial" w:hAnsi="Arial" w:cs="Arial"/>
          <w:b/>
          <w:i/>
          <w:sz w:val="24"/>
        </w:rPr>
      </w:pPr>
      <w:r w:rsidRPr="005C739D">
        <w:rPr>
          <w:rFonts w:ascii="Arial" w:hAnsi="Arial" w:cs="Arial"/>
          <w:b/>
          <w:i/>
          <w:sz w:val="24"/>
        </w:rPr>
        <w:t>1-in-4 are overweight</w:t>
      </w:r>
    </w:p>
    <w:p w14:paraId="605BBEC0" w14:textId="64E44ED6" w:rsidR="000226CB" w:rsidRPr="000226CB" w:rsidRDefault="005C739D" w:rsidP="000226CB">
      <w:pPr>
        <w:pStyle w:val="ListParagraph"/>
        <w:numPr>
          <w:ilvl w:val="0"/>
          <w:numId w:val="26"/>
        </w:numPr>
        <w:rPr>
          <w:rFonts w:ascii="Arial" w:hAnsi="Arial" w:cs="Arial"/>
          <w:b/>
          <w:i/>
          <w:sz w:val="24"/>
        </w:rPr>
      </w:pPr>
      <w:r w:rsidRPr="005C739D">
        <w:rPr>
          <w:rFonts w:ascii="Arial" w:hAnsi="Arial" w:cs="Arial"/>
          <w:b/>
          <w:i/>
          <w:sz w:val="24"/>
        </w:rPr>
        <w:lastRenderedPageBreak/>
        <w:t>3-in-4 Year 8s and 11s exceed electronic media usage guidelines.</w:t>
      </w:r>
      <w:r w:rsidR="000226CB">
        <w:rPr>
          <w:rFonts w:ascii="Arial" w:hAnsi="Arial" w:cs="Arial"/>
          <w:b/>
          <w:i/>
          <w:sz w:val="24"/>
        </w:rPr>
        <w:t xml:space="preserve"> </w:t>
      </w:r>
    </w:p>
    <w:p w14:paraId="5F634390" w14:textId="042E6E6D" w:rsidR="000226CB" w:rsidRPr="00316A0D" w:rsidRDefault="000226CB" w:rsidP="00D07635">
      <w:pPr>
        <w:autoSpaceDE w:val="0"/>
        <w:autoSpaceDN w:val="0"/>
        <w:adjustRightInd w:val="0"/>
        <w:spacing w:after="0" w:line="240" w:lineRule="auto"/>
        <w:ind w:left="720"/>
        <w:rPr>
          <w:rFonts w:ascii="VIC-LightItalic" w:hAnsi="VIC-LightItalic" w:cs="VIC-LightItalic"/>
          <w:i/>
          <w:iCs/>
          <w:color w:val="1F1645"/>
          <w:sz w:val="20"/>
          <w:szCs w:val="20"/>
        </w:rPr>
      </w:pPr>
      <w:r w:rsidRPr="00316A0D">
        <w:rPr>
          <w:rFonts w:ascii="VIC-LightItalic" w:hAnsi="VIC-LightItalic" w:cs="VIC-LightItalic"/>
          <w:i/>
          <w:iCs/>
          <w:color w:val="1F1645"/>
          <w:sz w:val="20"/>
          <w:szCs w:val="20"/>
        </w:rPr>
        <w:t>Sources: Victorian Student Health and Wellbeing Survey 2014-2018 and National Health</w:t>
      </w:r>
      <w:r w:rsidR="00D07635">
        <w:rPr>
          <w:rFonts w:ascii="VIC-LightItalic" w:hAnsi="VIC-LightItalic" w:cs="VIC-LightItalic"/>
          <w:i/>
          <w:iCs/>
          <w:color w:val="1F1645"/>
          <w:sz w:val="20"/>
          <w:szCs w:val="20"/>
        </w:rPr>
        <w:t xml:space="preserve"> </w:t>
      </w:r>
      <w:r w:rsidRPr="00316A0D">
        <w:rPr>
          <w:rFonts w:ascii="VIC-LightItalic" w:hAnsi="VIC-LightItalic" w:cs="VIC-LightItalic"/>
          <w:i/>
          <w:iCs/>
          <w:color w:val="1F1645"/>
          <w:sz w:val="20"/>
          <w:szCs w:val="20"/>
        </w:rPr>
        <w:t>Survey, 2017-18, ABS</w:t>
      </w:r>
      <w:r w:rsidR="00316A0D">
        <w:rPr>
          <w:rFonts w:ascii="VIC-LightItalic" w:hAnsi="VIC-LightItalic" w:cs="VIC-LightItalic"/>
          <w:i/>
          <w:iCs/>
          <w:color w:val="1F1645"/>
          <w:sz w:val="20"/>
          <w:szCs w:val="20"/>
        </w:rPr>
        <w:br/>
      </w:r>
    </w:p>
    <w:p w14:paraId="2FBB7ADB" w14:textId="0AB86765" w:rsidR="005C739D" w:rsidRDefault="005C739D" w:rsidP="005C739D">
      <w:pPr>
        <w:rPr>
          <w:rFonts w:ascii="Arial" w:hAnsi="Arial" w:cs="Arial"/>
          <w:sz w:val="24"/>
        </w:rPr>
      </w:pPr>
      <w:r w:rsidRPr="005C739D">
        <w:rPr>
          <w:rFonts w:ascii="Arial" w:hAnsi="Arial" w:cs="Arial"/>
          <w:sz w:val="24"/>
        </w:rPr>
        <w:t>Bullying and disengagement continue to be significant educational issues for adolescents, increasing vulnerability to distress, absenteeism, early school drop-out, and poorer academic performance among these children.</w:t>
      </w:r>
    </w:p>
    <w:p w14:paraId="4664DF6D" w14:textId="77777777" w:rsidR="006D09F8" w:rsidRPr="006D09F8" w:rsidRDefault="006D09F8" w:rsidP="006D09F8">
      <w:pPr>
        <w:pStyle w:val="ListParagraph"/>
        <w:numPr>
          <w:ilvl w:val="0"/>
          <w:numId w:val="26"/>
        </w:numPr>
        <w:rPr>
          <w:lang w:bidi="ar-SA"/>
        </w:rPr>
      </w:pPr>
      <w:r w:rsidRPr="006D09F8">
        <w:rPr>
          <w:rFonts w:ascii="Arial" w:hAnsi="Arial" w:cs="Arial"/>
          <w:b/>
          <w:i/>
          <w:sz w:val="24"/>
        </w:rPr>
        <w:t>1-in-10 Year 8 and 11 students are bullied.</w:t>
      </w:r>
    </w:p>
    <w:p w14:paraId="26DC3775" w14:textId="5048010B" w:rsidR="006D09F8" w:rsidRPr="00316A0D" w:rsidRDefault="000226CB" w:rsidP="000226CB">
      <w:pPr>
        <w:ind w:firstLine="720"/>
        <w:rPr>
          <w:rFonts w:ascii="VIC-LightItalic" w:hAnsi="VIC-LightItalic" w:cs="VIC-LightItalic"/>
          <w:i/>
          <w:iCs/>
          <w:color w:val="1F1645"/>
          <w:sz w:val="20"/>
          <w:szCs w:val="20"/>
        </w:rPr>
      </w:pPr>
      <w:r w:rsidRPr="00316A0D">
        <w:rPr>
          <w:rFonts w:ascii="VIC-LightItalic" w:hAnsi="VIC-LightItalic" w:cs="VIC-LightItalic"/>
          <w:i/>
          <w:iCs/>
          <w:color w:val="1F1645"/>
          <w:sz w:val="20"/>
          <w:szCs w:val="20"/>
        </w:rPr>
        <w:t>Source: Victorian Student Health and Wellbeing Survey 2014-2018</w:t>
      </w:r>
    </w:p>
    <w:p w14:paraId="3896D054" w14:textId="47ED2ED2" w:rsidR="000226CB" w:rsidRDefault="000226CB" w:rsidP="00D07635">
      <w:pPr>
        <w:autoSpaceDE w:val="0"/>
        <w:autoSpaceDN w:val="0"/>
        <w:adjustRightInd w:val="0"/>
        <w:spacing w:after="0" w:line="240" w:lineRule="auto"/>
        <w:rPr>
          <w:rFonts w:ascii="Arial" w:hAnsi="Arial" w:cs="Arial"/>
          <w:sz w:val="24"/>
        </w:rPr>
      </w:pPr>
      <w:r w:rsidRPr="000226CB">
        <w:rPr>
          <w:rFonts w:ascii="Arial" w:hAnsi="Arial" w:cs="Arial"/>
          <w:sz w:val="24"/>
        </w:rPr>
        <w:t>Serious family conflict is an issue in about a third of adolescents’ homes. Conflict with family members is a normal part of adolescent development and escalates as a young person’s sense of self and desire for autonomy grows</w:t>
      </w:r>
      <w:r>
        <w:rPr>
          <w:rFonts w:ascii="Arial" w:hAnsi="Arial" w:cs="Arial"/>
          <w:sz w:val="24"/>
        </w:rPr>
        <w:t>.</w:t>
      </w:r>
      <w:r w:rsidR="00D07635">
        <w:rPr>
          <w:rFonts w:ascii="Arial" w:hAnsi="Arial" w:cs="Arial"/>
          <w:sz w:val="24"/>
        </w:rPr>
        <w:t xml:space="preserve"> </w:t>
      </w:r>
      <w:r w:rsidR="00D07635" w:rsidRPr="00D07635">
        <w:rPr>
          <w:rFonts w:ascii="Arial" w:hAnsi="Arial" w:cs="Arial"/>
          <w:sz w:val="24"/>
        </w:rPr>
        <w:t>When conflict becomes violent, girls are commonly</w:t>
      </w:r>
      <w:r w:rsidR="00D07635">
        <w:rPr>
          <w:rFonts w:ascii="Arial" w:hAnsi="Arial" w:cs="Arial"/>
          <w:sz w:val="24"/>
        </w:rPr>
        <w:t xml:space="preserve"> </w:t>
      </w:r>
      <w:r w:rsidR="00D07635" w:rsidRPr="00D07635">
        <w:rPr>
          <w:rFonts w:ascii="Arial" w:hAnsi="Arial" w:cs="Arial"/>
          <w:sz w:val="24"/>
        </w:rPr>
        <w:t>the victims.</w:t>
      </w:r>
      <w:r w:rsidR="00D07635">
        <w:rPr>
          <w:rFonts w:ascii="Arial" w:hAnsi="Arial" w:cs="Arial"/>
          <w:sz w:val="24"/>
        </w:rPr>
        <w:br/>
      </w:r>
    </w:p>
    <w:p w14:paraId="17F28D7D" w14:textId="2A026C5B" w:rsidR="00083D8A" w:rsidRDefault="000226CB" w:rsidP="00083D8A">
      <w:pPr>
        <w:pStyle w:val="ListParagraph"/>
        <w:numPr>
          <w:ilvl w:val="0"/>
          <w:numId w:val="26"/>
        </w:numPr>
        <w:rPr>
          <w:rFonts w:ascii="Arial" w:hAnsi="Arial" w:cs="Arial"/>
          <w:b/>
          <w:i/>
          <w:sz w:val="24"/>
        </w:rPr>
      </w:pPr>
      <w:r>
        <w:rPr>
          <w:rFonts w:ascii="Arial" w:hAnsi="Arial" w:cs="Arial"/>
          <w:b/>
          <w:i/>
          <w:sz w:val="24"/>
        </w:rPr>
        <w:t>1-in-3 Year 8s and 11s experience serious family conflict</w:t>
      </w:r>
      <w:r w:rsidRPr="000226CB">
        <w:rPr>
          <w:rFonts w:ascii="Arial" w:hAnsi="Arial" w:cs="Arial"/>
          <w:b/>
          <w:i/>
          <w:sz w:val="24"/>
        </w:rPr>
        <w:t>.</w:t>
      </w:r>
    </w:p>
    <w:p w14:paraId="754FE29B" w14:textId="15962D17" w:rsidR="00D07635" w:rsidRPr="00D07635" w:rsidRDefault="00D07635" w:rsidP="00083D8A">
      <w:pPr>
        <w:pStyle w:val="ListParagraph"/>
        <w:numPr>
          <w:ilvl w:val="0"/>
          <w:numId w:val="26"/>
        </w:numPr>
        <w:rPr>
          <w:rFonts w:ascii="VIC-LightItalic" w:hAnsi="VIC-LightItalic" w:cs="VIC-LightItalic"/>
          <w:i/>
          <w:iCs/>
          <w:color w:val="1F1645"/>
          <w:sz w:val="20"/>
          <w:szCs w:val="20"/>
        </w:rPr>
      </w:pPr>
      <w:r>
        <w:rPr>
          <w:rFonts w:ascii="Arial" w:hAnsi="Arial" w:cs="Arial"/>
          <w:b/>
          <w:i/>
          <w:sz w:val="24"/>
        </w:rPr>
        <w:t>2-in-3 adolescent victims of family violence are girls.</w:t>
      </w:r>
    </w:p>
    <w:p w14:paraId="443EF68E" w14:textId="302C688A" w:rsidR="00D07635" w:rsidRPr="00D07635" w:rsidRDefault="00D07635" w:rsidP="00D07635">
      <w:pPr>
        <w:pStyle w:val="ListParagraph"/>
        <w:ind w:left="720" w:firstLine="0"/>
        <w:rPr>
          <w:rFonts w:ascii="VIC-LightItalic" w:hAnsi="VIC-LightItalic" w:cs="VIC-LightItalic"/>
          <w:i/>
          <w:iCs/>
          <w:color w:val="1F1645"/>
          <w:sz w:val="20"/>
          <w:szCs w:val="20"/>
        </w:rPr>
      </w:pPr>
      <w:r>
        <w:rPr>
          <w:rFonts w:ascii="VIC-LightItalic" w:hAnsi="VIC-LightItalic" w:cs="VIC-LightItalic"/>
          <w:i/>
          <w:iCs/>
          <w:color w:val="1F1645"/>
          <w:sz w:val="20"/>
          <w:szCs w:val="20"/>
        </w:rPr>
        <w:t>S</w:t>
      </w:r>
      <w:r w:rsidRPr="00D07635">
        <w:rPr>
          <w:rFonts w:ascii="VIC-LightItalic" w:hAnsi="VIC-LightItalic" w:cs="VIC-LightItalic"/>
          <w:i/>
          <w:iCs/>
          <w:color w:val="1F1645"/>
          <w:sz w:val="20"/>
          <w:szCs w:val="20"/>
        </w:rPr>
        <w:t>ource</w:t>
      </w:r>
      <w:r>
        <w:rPr>
          <w:rFonts w:ascii="VIC-LightItalic" w:hAnsi="VIC-LightItalic" w:cs="VIC-LightItalic"/>
          <w:i/>
          <w:iCs/>
          <w:color w:val="1F1645"/>
          <w:sz w:val="20"/>
          <w:szCs w:val="20"/>
        </w:rPr>
        <w:t>s</w:t>
      </w:r>
      <w:r w:rsidRPr="00D07635">
        <w:rPr>
          <w:rFonts w:ascii="VIC-LightItalic" w:hAnsi="VIC-LightItalic" w:cs="VIC-LightItalic"/>
          <w:i/>
          <w:iCs/>
          <w:color w:val="1F1645"/>
          <w:sz w:val="20"/>
          <w:szCs w:val="20"/>
        </w:rPr>
        <w:t>: Victorian Student Health and Wellbeing Survey 2014-2018</w:t>
      </w:r>
      <w:r>
        <w:rPr>
          <w:rFonts w:ascii="VIC-LightItalic" w:hAnsi="VIC-LightItalic" w:cs="VIC-LightItalic"/>
          <w:i/>
          <w:iCs/>
          <w:color w:val="1F1645"/>
          <w:sz w:val="20"/>
          <w:szCs w:val="20"/>
        </w:rPr>
        <w:t xml:space="preserve">, and </w:t>
      </w:r>
      <w:r w:rsidRPr="00D07635">
        <w:rPr>
          <w:rFonts w:ascii="VIC-LightItalic" w:hAnsi="VIC-LightItalic" w:cs="VIC-LightItalic"/>
          <w:i/>
          <w:iCs/>
          <w:color w:val="1F1645"/>
          <w:sz w:val="20"/>
          <w:szCs w:val="20"/>
        </w:rPr>
        <w:t>Historical crime data, Family incidents, 2018, (Crime Statistics Agency, Victoria, 2018a)</w:t>
      </w:r>
    </w:p>
    <w:p w14:paraId="4F2AB55F" w14:textId="5DC68A24" w:rsidR="006375EA" w:rsidRDefault="006375EA" w:rsidP="00083D8A">
      <w:pPr>
        <w:pStyle w:val="ListParagraph"/>
        <w:numPr>
          <w:ilvl w:val="0"/>
          <w:numId w:val="26"/>
        </w:numPr>
      </w:pPr>
      <w:r w:rsidRPr="005C739D">
        <w:rPr>
          <w:highlight w:val="yellow"/>
        </w:rPr>
        <w:br w:type="page"/>
      </w:r>
    </w:p>
    <w:p w14:paraId="3724696D" w14:textId="77777777" w:rsidR="006375EA" w:rsidRDefault="006375EA" w:rsidP="006375EA">
      <w:pPr>
        <w:pStyle w:val="Heading1"/>
        <w:rPr>
          <w:rFonts w:ascii="Arial" w:hAnsi="Arial" w:cs="Arial"/>
        </w:rPr>
      </w:pPr>
      <w:bookmarkStart w:id="5" w:name="_Toc33527730"/>
      <w:r>
        <w:rPr>
          <w:rFonts w:ascii="Arial" w:hAnsi="Arial" w:cs="Arial"/>
        </w:rPr>
        <w:lastRenderedPageBreak/>
        <w:t>INTRODUCTION</w:t>
      </w:r>
      <w:bookmarkEnd w:id="5"/>
    </w:p>
    <w:p w14:paraId="0AED3F89" w14:textId="77777777" w:rsidR="006375EA" w:rsidRPr="006375EA" w:rsidRDefault="006375EA" w:rsidP="006375EA">
      <w:pPr>
        <w:rPr>
          <w:rFonts w:ascii="Arial" w:hAnsi="Arial" w:cs="Arial"/>
          <w:sz w:val="24"/>
        </w:rPr>
      </w:pPr>
      <w:r w:rsidRPr="006375EA">
        <w:rPr>
          <w:rFonts w:ascii="Arial" w:hAnsi="Arial" w:cs="Arial"/>
          <w:sz w:val="24"/>
        </w:rPr>
        <w:t>Adolescence is a period of transformation for young people. During this time, young people experience a range of biological, psychological, social and economic transitions, culminating in their entry into adult life, and the assumption of new social roles and responsibilities. By confronting the challenges of adolescence, young people develop new identities, embrace new and changing relationships with others, and take their first steps into the worlds of further education and work.</w:t>
      </w:r>
    </w:p>
    <w:p w14:paraId="4AAB2271" w14:textId="77777777" w:rsidR="006375EA" w:rsidRDefault="006375EA" w:rsidP="006375EA">
      <w:pPr>
        <w:rPr>
          <w:rFonts w:ascii="Arial" w:hAnsi="Arial" w:cs="Arial"/>
          <w:sz w:val="24"/>
        </w:rPr>
      </w:pPr>
      <w:r w:rsidRPr="006375EA">
        <w:rPr>
          <w:rFonts w:ascii="Arial" w:hAnsi="Arial" w:cs="Arial"/>
          <w:sz w:val="24"/>
        </w:rPr>
        <w:t>The effects of these changes on individuals can differ substantially. For example, in a time of accelerated cognitive and social development, some young people begin to excel at school, while others may begin to disengage or turn to risk-taking</w:t>
      </w:r>
      <w:r w:rsidRPr="006375EA">
        <w:rPr>
          <w:rFonts w:ascii="Arial" w:hAnsi="Arial" w:cs="Arial"/>
          <w:spacing w:val="-37"/>
          <w:sz w:val="24"/>
        </w:rPr>
        <w:t xml:space="preserve"> </w:t>
      </w:r>
      <w:r w:rsidRPr="006375EA">
        <w:rPr>
          <w:rFonts w:ascii="Arial" w:hAnsi="Arial" w:cs="Arial"/>
          <w:sz w:val="24"/>
        </w:rPr>
        <w:t xml:space="preserve">behaviours. Expanded responsibilities at school, at home and in the community can cultivate resilience in some young people, or produce new conflicts and challenges for others. In addition, the transition into the secondary school system is a major environmental change to the daily lives of young people, which can in turn impact on a range of achievement, engagement and wellbeing outcomes. The sheer variability of </w:t>
      </w:r>
      <w:r w:rsidRPr="006375EA">
        <w:rPr>
          <w:rFonts w:ascii="Arial" w:hAnsi="Arial" w:cs="Arial"/>
          <w:spacing w:val="-3"/>
          <w:sz w:val="24"/>
        </w:rPr>
        <w:t xml:space="preserve">outcomes </w:t>
      </w:r>
      <w:r w:rsidRPr="006375EA">
        <w:rPr>
          <w:rFonts w:ascii="Arial" w:hAnsi="Arial" w:cs="Arial"/>
          <w:sz w:val="24"/>
        </w:rPr>
        <w:t>for adolescent individuals means that reliable system-level reporting is a vital component of policy and program</w:t>
      </w:r>
      <w:r w:rsidRPr="006375EA">
        <w:rPr>
          <w:rFonts w:ascii="Arial" w:hAnsi="Arial" w:cs="Arial"/>
          <w:spacing w:val="-2"/>
          <w:sz w:val="24"/>
        </w:rPr>
        <w:t xml:space="preserve"> </w:t>
      </w:r>
      <w:r w:rsidRPr="006375EA">
        <w:rPr>
          <w:rFonts w:ascii="Arial" w:hAnsi="Arial" w:cs="Arial"/>
          <w:sz w:val="24"/>
        </w:rPr>
        <w:t>development.</w:t>
      </w:r>
    </w:p>
    <w:p w14:paraId="22552152" w14:textId="77777777" w:rsidR="006375EA" w:rsidRPr="006375EA" w:rsidRDefault="006375EA" w:rsidP="006375EA">
      <w:pPr>
        <w:rPr>
          <w:rFonts w:ascii="Arial" w:hAnsi="Arial" w:cs="Arial"/>
          <w:sz w:val="24"/>
        </w:rPr>
      </w:pPr>
      <w:r w:rsidRPr="006375EA">
        <w:rPr>
          <w:rFonts w:ascii="Arial" w:hAnsi="Arial" w:cs="Arial"/>
          <w:sz w:val="24"/>
        </w:rPr>
        <w:t xml:space="preserve">This year’s </w:t>
      </w:r>
      <w:r w:rsidRPr="006375EA">
        <w:rPr>
          <w:rFonts w:ascii="Arial" w:hAnsi="Arial" w:cs="Arial"/>
          <w:i/>
          <w:sz w:val="24"/>
        </w:rPr>
        <w:t xml:space="preserve">State of Victoria’s Children Report </w:t>
      </w:r>
      <w:r w:rsidRPr="006375EA">
        <w:rPr>
          <w:rFonts w:ascii="Arial" w:hAnsi="Arial" w:cs="Arial"/>
          <w:sz w:val="24"/>
        </w:rPr>
        <w:t>investigates the experience of adolescent Victorians, drawing on the latest system-level data and contemporary research to explore how young people are faring during a frequently turbulent period of personal growth and development. As recognised in the Victorian Government’s Youth Policy, it is important to give young people the opportunity to voice their views and engage in the development of the services, policies and programs that affect them. Where possible, this report draws on sources, including population-weighted data from the Victorian Student Health and Wellbeing Survey (VSHAWS), in which young Victorians provide information about their own experiences of life and the government services they access, including education and healthcare.</w:t>
      </w:r>
    </w:p>
    <w:p w14:paraId="36EBF937" w14:textId="77777777" w:rsidR="006375EA" w:rsidRPr="006375EA" w:rsidRDefault="006375EA" w:rsidP="006375EA">
      <w:pPr>
        <w:rPr>
          <w:rFonts w:ascii="Arial" w:hAnsi="Arial" w:cs="Arial"/>
          <w:sz w:val="24"/>
        </w:rPr>
      </w:pPr>
      <w:r w:rsidRPr="006375EA">
        <w:rPr>
          <w:rFonts w:ascii="Arial" w:hAnsi="Arial" w:cs="Arial"/>
          <w:sz w:val="24"/>
        </w:rPr>
        <w:t>The report is structured into five chapters:</w:t>
      </w:r>
    </w:p>
    <w:p w14:paraId="15C49630" w14:textId="77777777" w:rsidR="006375EA" w:rsidRPr="006375EA" w:rsidRDefault="006375EA" w:rsidP="006375EA">
      <w:pPr>
        <w:pStyle w:val="ListParagraph"/>
        <w:numPr>
          <w:ilvl w:val="0"/>
          <w:numId w:val="2"/>
        </w:numPr>
        <w:rPr>
          <w:rFonts w:ascii="Arial" w:hAnsi="Arial" w:cs="Arial"/>
          <w:sz w:val="24"/>
        </w:rPr>
      </w:pPr>
      <w:r w:rsidRPr="006375EA">
        <w:rPr>
          <w:rFonts w:ascii="Arial" w:hAnsi="Arial" w:cs="Arial"/>
          <w:sz w:val="24"/>
        </w:rPr>
        <w:t>Demographics</w:t>
      </w:r>
    </w:p>
    <w:p w14:paraId="31C275CC" w14:textId="77777777" w:rsidR="006375EA" w:rsidRPr="006375EA" w:rsidRDefault="006375EA" w:rsidP="006375EA">
      <w:pPr>
        <w:pStyle w:val="ListParagraph"/>
        <w:numPr>
          <w:ilvl w:val="0"/>
          <w:numId w:val="2"/>
        </w:numPr>
        <w:rPr>
          <w:rFonts w:ascii="Arial" w:hAnsi="Arial" w:cs="Arial"/>
          <w:sz w:val="24"/>
        </w:rPr>
      </w:pPr>
      <w:r w:rsidRPr="006375EA">
        <w:rPr>
          <w:rFonts w:ascii="Arial" w:hAnsi="Arial" w:cs="Arial"/>
          <w:sz w:val="24"/>
        </w:rPr>
        <w:t>Physical</w:t>
      </w:r>
      <w:r w:rsidRPr="006375EA">
        <w:rPr>
          <w:rFonts w:ascii="Arial" w:hAnsi="Arial" w:cs="Arial"/>
          <w:spacing w:val="-1"/>
          <w:sz w:val="24"/>
        </w:rPr>
        <w:t xml:space="preserve"> </w:t>
      </w:r>
      <w:r w:rsidRPr="006375EA">
        <w:rPr>
          <w:rFonts w:ascii="Arial" w:hAnsi="Arial" w:cs="Arial"/>
          <w:sz w:val="24"/>
        </w:rPr>
        <w:t>health</w:t>
      </w:r>
    </w:p>
    <w:p w14:paraId="0C2DDC18" w14:textId="77777777" w:rsidR="006375EA" w:rsidRPr="006375EA" w:rsidRDefault="006375EA" w:rsidP="006375EA">
      <w:pPr>
        <w:pStyle w:val="ListParagraph"/>
        <w:numPr>
          <w:ilvl w:val="0"/>
          <w:numId w:val="2"/>
        </w:numPr>
        <w:rPr>
          <w:rFonts w:ascii="Arial" w:hAnsi="Arial" w:cs="Arial"/>
          <w:sz w:val="24"/>
        </w:rPr>
      </w:pPr>
      <w:r w:rsidRPr="006375EA">
        <w:rPr>
          <w:rFonts w:ascii="Arial" w:hAnsi="Arial" w:cs="Arial"/>
          <w:sz w:val="24"/>
        </w:rPr>
        <w:t>Social and emotional</w:t>
      </w:r>
      <w:r w:rsidRPr="006375EA">
        <w:rPr>
          <w:rFonts w:ascii="Arial" w:hAnsi="Arial" w:cs="Arial"/>
          <w:spacing w:val="-1"/>
          <w:sz w:val="24"/>
        </w:rPr>
        <w:t xml:space="preserve"> </w:t>
      </w:r>
      <w:r w:rsidRPr="006375EA">
        <w:rPr>
          <w:rFonts w:ascii="Arial" w:hAnsi="Arial" w:cs="Arial"/>
          <w:sz w:val="24"/>
        </w:rPr>
        <w:t>wellbeing</w:t>
      </w:r>
    </w:p>
    <w:p w14:paraId="5661350C" w14:textId="77777777" w:rsidR="006375EA" w:rsidRPr="006375EA" w:rsidRDefault="006375EA" w:rsidP="006375EA">
      <w:pPr>
        <w:pStyle w:val="ListParagraph"/>
        <w:numPr>
          <w:ilvl w:val="0"/>
          <w:numId w:val="2"/>
        </w:numPr>
        <w:rPr>
          <w:rFonts w:ascii="Arial" w:hAnsi="Arial" w:cs="Arial"/>
          <w:sz w:val="24"/>
        </w:rPr>
      </w:pPr>
      <w:r w:rsidRPr="006375EA">
        <w:rPr>
          <w:rFonts w:ascii="Arial" w:hAnsi="Arial" w:cs="Arial"/>
          <w:sz w:val="24"/>
        </w:rPr>
        <w:t>Education</w:t>
      </w:r>
    </w:p>
    <w:p w14:paraId="6A3CED44" w14:textId="77777777" w:rsidR="006375EA" w:rsidRPr="006375EA" w:rsidRDefault="006375EA" w:rsidP="006375EA">
      <w:pPr>
        <w:pStyle w:val="ListParagraph"/>
        <w:numPr>
          <w:ilvl w:val="0"/>
          <w:numId w:val="2"/>
        </w:numPr>
        <w:rPr>
          <w:rFonts w:ascii="Arial" w:hAnsi="Arial" w:cs="Arial"/>
          <w:sz w:val="24"/>
        </w:rPr>
      </w:pPr>
      <w:r w:rsidRPr="006375EA">
        <w:rPr>
          <w:rFonts w:ascii="Arial" w:hAnsi="Arial" w:cs="Arial"/>
          <w:sz w:val="24"/>
        </w:rPr>
        <w:t>Family and community</w:t>
      </w:r>
      <w:r w:rsidRPr="006375EA">
        <w:rPr>
          <w:rFonts w:ascii="Arial" w:hAnsi="Arial" w:cs="Arial"/>
          <w:spacing w:val="-1"/>
          <w:sz w:val="24"/>
        </w:rPr>
        <w:t xml:space="preserve"> </w:t>
      </w:r>
      <w:r w:rsidRPr="006375EA">
        <w:rPr>
          <w:rFonts w:ascii="Arial" w:hAnsi="Arial" w:cs="Arial"/>
          <w:sz w:val="24"/>
        </w:rPr>
        <w:t>safety.</w:t>
      </w:r>
    </w:p>
    <w:p w14:paraId="3E6736B9" w14:textId="77777777" w:rsidR="006375EA" w:rsidRPr="006375EA" w:rsidRDefault="006375EA" w:rsidP="006375EA">
      <w:pPr>
        <w:rPr>
          <w:rFonts w:ascii="Arial" w:hAnsi="Arial" w:cs="Arial"/>
          <w:sz w:val="24"/>
        </w:rPr>
      </w:pPr>
    </w:p>
    <w:p w14:paraId="18AB3C10" w14:textId="77777777" w:rsidR="006375EA" w:rsidRPr="006375EA" w:rsidRDefault="006375EA" w:rsidP="006375EA">
      <w:pPr>
        <w:rPr>
          <w:rFonts w:ascii="Arial" w:hAnsi="Arial" w:cs="Arial"/>
          <w:sz w:val="24"/>
        </w:rPr>
      </w:pPr>
      <w:r w:rsidRPr="006375EA">
        <w:rPr>
          <w:rFonts w:ascii="Arial" w:hAnsi="Arial" w:cs="Arial"/>
          <w:sz w:val="24"/>
        </w:rPr>
        <w:t xml:space="preserve">Each chapter utilises data from government and non-government sources, including the Victorian Child and Adolescent Monitoring System data portal, data collected by the Victorian Department of Education and Training (DET), the Department of Health and Human Services (DHHS), the Department of Justice and Community Safety </w:t>
      </w:r>
      <w:r w:rsidRPr="006375EA">
        <w:rPr>
          <w:rFonts w:ascii="Arial" w:hAnsi="Arial" w:cs="Arial"/>
          <w:sz w:val="24"/>
        </w:rPr>
        <w:lastRenderedPageBreak/>
        <w:t>(DJCS), Victoria Police and the Australian Bureau of Statistics (ABS). The report also commissioned analysis from experts in areas of identified data gaps. Key trends pertaining to adolescent cohorts are explored through contemporary published research into the neurological, biological and psychosocial development of young people, indicating current and potential areas of focus for policy developers and decision-makers.</w:t>
      </w:r>
    </w:p>
    <w:p w14:paraId="7C2BF804" w14:textId="77777777" w:rsidR="006375EA" w:rsidRPr="006375EA" w:rsidRDefault="006375EA" w:rsidP="006375EA">
      <w:pPr>
        <w:rPr>
          <w:rFonts w:ascii="Arial" w:hAnsi="Arial" w:cs="Arial"/>
          <w:sz w:val="24"/>
        </w:rPr>
      </w:pPr>
      <w:r w:rsidRPr="006375EA">
        <w:rPr>
          <w:rFonts w:ascii="Arial" w:hAnsi="Arial" w:cs="Arial"/>
          <w:sz w:val="24"/>
        </w:rPr>
        <w:t>Throughout the report, the Victorian Government’s response to particular issues is highlighted, demonstrating policies and programs that are already making a difference to the lives of adolescents and their families.</w:t>
      </w:r>
    </w:p>
    <w:p w14:paraId="3DD6B939" w14:textId="77777777" w:rsidR="006375EA" w:rsidRPr="006375EA" w:rsidRDefault="006375EA" w:rsidP="006375EA">
      <w:pPr>
        <w:rPr>
          <w:rFonts w:ascii="Arial" w:hAnsi="Arial" w:cs="Arial"/>
          <w:b/>
          <w:sz w:val="24"/>
        </w:rPr>
      </w:pPr>
      <w:r w:rsidRPr="006375EA">
        <w:rPr>
          <w:rFonts w:ascii="Arial" w:hAnsi="Arial" w:cs="Arial"/>
          <w:b/>
          <w:sz w:val="24"/>
        </w:rPr>
        <w:t>Definitions of adolescence</w:t>
      </w:r>
    </w:p>
    <w:p w14:paraId="718C9EA3" w14:textId="77777777" w:rsidR="006375EA" w:rsidRPr="006375EA" w:rsidRDefault="006375EA" w:rsidP="006375EA">
      <w:pPr>
        <w:rPr>
          <w:rFonts w:ascii="Arial" w:hAnsi="Arial" w:cs="Arial"/>
          <w:sz w:val="24"/>
        </w:rPr>
      </w:pPr>
      <w:r w:rsidRPr="006375EA">
        <w:rPr>
          <w:rFonts w:ascii="Arial" w:hAnsi="Arial" w:cs="Arial"/>
          <w:sz w:val="24"/>
        </w:rPr>
        <w:t>Adolescence refers to the period of physical, psychological and social changes children go through before reaching the maturity of adulthood (Steinberg, 2017), the onset of which tends to occur before the age of 13, particularly in industrialised countries (Wang, Lin, Leung, &amp; Schooling, 2016). For the purposes of this report, the cohort of focus is Victorian secondary school students. Where data for secondary students is not available from the source data collection the most comparable age groupings are provided.</w:t>
      </w:r>
    </w:p>
    <w:p w14:paraId="3AAED8BD" w14:textId="77777777" w:rsidR="006375EA" w:rsidRPr="006375EA" w:rsidRDefault="006375EA" w:rsidP="006375EA">
      <w:pPr>
        <w:tabs>
          <w:tab w:val="left" w:pos="6620"/>
        </w:tabs>
        <w:rPr>
          <w:rFonts w:ascii="Arial" w:hAnsi="Arial" w:cs="Arial"/>
          <w:sz w:val="24"/>
        </w:rPr>
      </w:pPr>
      <w:r w:rsidRPr="006375EA">
        <w:rPr>
          <w:rFonts w:ascii="Arial" w:hAnsi="Arial" w:cs="Arial"/>
          <w:sz w:val="24"/>
        </w:rPr>
        <w:t>Adolescence is framed in different terms by different disciplines. In the biological sciences, adolescence is typically defined in terms of physical maturation and growth, with a focus on puberty. This process begins with the release of developmentally-timed hormonal signals in the brain, prompting the subsequent production and release of steroid hormones (testosterone and estradiol) from the gonads, which accelerate the development of bones, muscle, skin, hair and genitals. The process concludes with the individual’s arrival at sexual maturity.</w:t>
      </w:r>
    </w:p>
    <w:p w14:paraId="60BD9882" w14:textId="77777777" w:rsidR="006375EA" w:rsidRPr="006375EA" w:rsidRDefault="006375EA" w:rsidP="006375EA">
      <w:pPr>
        <w:rPr>
          <w:rFonts w:ascii="Arial" w:hAnsi="Arial" w:cs="Arial"/>
          <w:sz w:val="24"/>
        </w:rPr>
      </w:pPr>
      <w:r w:rsidRPr="006375EA">
        <w:rPr>
          <w:rFonts w:ascii="Arial" w:hAnsi="Arial" w:cs="Arial"/>
          <w:sz w:val="24"/>
        </w:rPr>
        <w:t xml:space="preserve">Psychological research also frames adolescence as a period of profound growth, with a more pronounced focus on identity and agency within the individual. </w:t>
      </w:r>
      <w:r w:rsidRPr="006375EA">
        <w:rPr>
          <w:rFonts w:ascii="Arial" w:hAnsi="Arial" w:cs="Arial"/>
          <w:spacing w:val="-4"/>
          <w:sz w:val="24"/>
        </w:rPr>
        <w:t xml:space="preserve">Key </w:t>
      </w:r>
      <w:r w:rsidRPr="006375EA">
        <w:rPr>
          <w:rFonts w:ascii="Arial" w:hAnsi="Arial" w:cs="Arial"/>
          <w:sz w:val="24"/>
        </w:rPr>
        <w:t xml:space="preserve">dimensions of this research include the foundational importance of relationships with peers, family and the school environment; risk-taking behaviour; and their experience with work and schooling. Changes in roles and responsibilities </w:t>
      </w:r>
      <w:r w:rsidRPr="006375EA">
        <w:rPr>
          <w:rFonts w:ascii="Arial" w:hAnsi="Arial" w:cs="Arial"/>
          <w:spacing w:val="-3"/>
          <w:sz w:val="24"/>
        </w:rPr>
        <w:t xml:space="preserve">resulting </w:t>
      </w:r>
      <w:r w:rsidRPr="006375EA">
        <w:rPr>
          <w:rFonts w:ascii="Arial" w:hAnsi="Arial" w:cs="Arial"/>
          <w:sz w:val="24"/>
        </w:rPr>
        <w:t>from the transition to adulthood are emphasised. This highlights the importance of emotional and psychological supports for adolescents, particularly in terms of cultivating strong mental health, resilience and</w:t>
      </w:r>
      <w:r w:rsidRPr="006375EA">
        <w:rPr>
          <w:rFonts w:ascii="Arial" w:hAnsi="Arial" w:cs="Arial"/>
          <w:spacing w:val="-2"/>
          <w:sz w:val="24"/>
        </w:rPr>
        <w:t xml:space="preserve"> </w:t>
      </w:r>
      <w:r w:rsidRPr="006375EA">
        <w:rPr>
          <w:rFonts w:ascii="Arial" w:hAnsi="Arial" w:cs="Arial"/>
          <w:sz w:val="24"/>
        </w:rPr>
        <w:t>wellbeing.</w:t>
      </w:r>
    </w:p>
    <w:p w14:paraId="6490A8DD" w14:textId="77777777" w:rsidR="006375EA" w:rsidRPr="006375EA" w:rsidRDefault="006375EA" w:rsidP="006375EA">
      <w:pPr>
        <w:rPr>
          <w:rFonts w:ascii="Arial" w:hAnsi="Arial" w:cs="Arial"/>
          <w:sz w:val="24"/>
        </w:rPr>
      </w:pPr>
      <w:r w:rsidRPr="006375EA">
        <w:rPr>
          <w:rFonts w:ascii="Arial" w:hAnsi="Arial" w:cs="Arial"/>
          <w:sz w:val="24"/>
        </w:rPr>
        <w:t xml:space="preserve">Educational research examines adolescence through the individual’s </w:t>
      </w:r>
      <w:r w:rsidRPr="006375EA">
        <w:rPr>
          <w:rFonts w:ascii="Arial" w:hAnsi="Arial" w:cs="Arial"/>
          <w:spacing w:val="-3"/>
          <w:sz w:val="24"/>
        </w:rPr>
        <w:t xml:space="preserve">interaction </w:t>
      </w:r>
      <w:r w:rsidRPr="006375EA">
        <w:rPr>
          <w:rFonts w:ascii="Arial" w:hAnsi="Arial" w:cs="Arial"/>
          <w:sz w:val="24"/>
        </w:rPr>
        <w:t xml:space="preserve">with the secondary school system, and considers the changes in achievement, engagement and wellbeing that occur as young people begin to navigate increasingly complex learning environments. This research focuses on the interrelations between student experience, teacher practice and the school environment, and investigates pedagogical and organisational strategies that best facilitate student growth and wellbeing. This research has clear value for educational </w:t>
      </w:r>
      <w:r w:rsidRPr="006375EA">
        <w:rPr>
          <w:rFonts w:ascii="Arial" w:hAnsi="Arial" w:cs="Arial"/>
          <w:sz w:val="24"/>
        </w:rPr>
        <w:lastRenderedPageBreak/>
        <w:t>policy developers, particularly when read in conjunction with system-level performance data and related reform</w:t>
      </w:r>
      <w:r w:rsidRPr="006375EA">
        <w:rPr>
          <w:rFonts w:ascii="Arial" w:hAnsi="Arial" w:cs="Arial"/>
          <w:spacing w:val="-5"/>
          <w:sz w:val="24"/>
        </w:rPr>
        <w:t xml:space="preserve"> </w:t>
      </w:r>
      <w:r w:rsidRPr="006375EA">
        <w:rPr>
          <w:rFonts w:ascii="Arial" w:hAnsi="Arial" w:cs="Arial"/>
          <w:sz w:val="24"/>
        </w:rPr>
        <w:t>goals.</w:t>
      </w:r>
    </w:p>
    <w:p w14:paraId="683351A8" w14:textId="0623071E" w:rsidR="006375EA" w:rsidRPr="00505C97" w:rsidRDefault="006375EA">
      <w:pPr>
        <w:rPr>
          <w:rFonts w:ascii="Arial" w:hAnsi="Arial" w:cs="Arial"/>
          <w:sz w:val="24"/>
        </w:rPr>
      </w:pPr>
      <w:r w:rsidRPr="006375EA">
        <w:rPr>
          <w:rFonts w:ascii="Arial" w:hAnsi="Arial" w:cs="Arial"/>
          <w:sz w:val="24"/>
        </w:rPr>
        <w:t>Finally, sociological research provides essential context for understanding the experience of adolescents ‘beyond the school gate’, particularly in relation to the home environment, family dynamics and the safety of young people. This research also enables holistic links to be drawn between the developmental and social factors considered above, through concepts such as cumulative risk and consideration of the interconnection of different systems (for example, the school system and the family).</w:t>
      </w:r>
      <w:r>
        <w:br w:type="page"/>
      </w:r>
    </w:p>
    <w:p w14:paraId="40D16E79" w14:textId="77777777" w:rsidR="004C5EA5" w:rsidRDefault="0022345D" w:rsidP="0022345D">
      <w:pPr>
        <w:pStyle w:val="Heading1"/>
        <w:rPr>
          <w:rFonts w:ascii="Arial" w:hAnsi="Arial" w:cs="Arial"/>
        </w:rPr>
      </w:pPr>
      <w:bookmarkStart w:id="6" w:name="_Toc33527731"/>
      <w:r w:rsidRPr="004C5EA5">
        <w:rPr>
          <w:rFonts w:ascii="Arial" w:hAnsi="Arial" w:cs="Arial"/>
        </w:rPr>
        <w:lastRenderedPageBreak/>
        <w:t>DEMOGRAPHICS OF VICTORIA’S YOUNG PEOPLE</w:t>
      </w:r>
      <w:bookmarkEnd w:id="6"/>
    </w:p>
    <w:p w14:paraId="3D880008" w14:textId="77777777" w:rsidR="00B31DC4" w:rsidRDefault="00B31DC4" w:rsidP="00B31DC4"/>
    <w:p w14:paraId="25761836" w14:textId="77777777" w:rsidR="004C5EA5" w:rsidRPr="00931428" w:rsidRDefault="004C5EA5" w:rsidP="00931428">
      <w:pPr>
        <w:pStyle w:val="ListParagraph"/>
        <w:numPr>
          <w:ilvl w:val="0"/>
          <w:numId w:val="32"/>
        </w:numPr>
        <w:rPr>
          <w:rFonts w:ascii="Arial" w:hAnsi="Arial" w:cs="Arial"/>
          <w:sz w:val="24"/>
          <w:szCs w:val="24"/>
        </w:rPr>
      </w:pPr>
      <w:r w:rsidRPr="00931428">
        <w:rPr>
          <w:rFonts w:ascii="Arial" w:hAnsi="Arial" w:cs="Arial"/>
          <w:sz w:val="24"/>
          <w:szCs w:val="24"/>
        </w:rPr>
        <w:t>6.46 million Victorians</w:t>
      </w:r>
    </w:p>
    <w:p w14:paraId="3E8B9946" w14:textId="77777777" w:rsidR="004C5EA5" w:rsidRPr="00931428" w:rsidRDefault="004C5EA5" w:rsidP="00931428">
      <w:pPr>
        <w:pStyle w:val="ListParagraph"/>
        <w:numPr>
          <w:ilvl w:val="0"/>
          <w:numId w:val="32"/>
        </w:numPr>
        <w:rPr>
          <w:rFonts w:ascii="Arial" w:hAnsi="Arial" w:cs="Arial"/>
          <w:sz w:val="24"/>
          <w:szCs w:val="24"/>
        </w:rPr>
      </w:pPr>
      <w:r w:rsidRPr="00931428">
        <w:rPr>
          <w:rFonts w:ascii="Arial" w:hAnsi="Arial" w:cs="Arial"/>
          <w:sz w:val="24"/>
          <w:szCs w:val="24"/>
        </w:rPr>
        <w:t>512,583 12 to 18 year olds</w:t>
      </w:r>
    </w:p>
    <w:p w14:paraId="0C83DB1D" w14:textId="77777777" w:rsidR="0022345D" w:rsidRPr="00931428" w:rsidRDefault="00931428" w:rsidP="00931428">
      <w:pPr>
        <w:pStyle w:val="ListParagraph"/>
        <w:numPr>
          <w:ilvl w:val="0"/>
          <w:numId w:val="32"/>
        </w:numPr>
        <w:rPr>
          <w:rFonts w:ascii="Arial" w:hAnsi="Arial" w:cs="Arial"/>
          <w:sz w:val="24"/>
          <w:szCs w:val="24"/>
        </w:rPr>
      </w:pPr>
      <w:r w:rsidRPr="00931428">
        <w:rPr>
          <w:rFonts w:ascii="Arial" w:hAnsi="Arial" w:cs="Arial"/>
          <w:sz w:val="24"/>
          <w:szCs w:val="24"/>
        </w:rPr>
        <w:t>Median age 37 years</w:t>
      </w:r>
    </w:p>
    <w:p w14:paraId="3979A25B" w14:textId="77777777" w:rsidR="00175805" w:rsidRDefault="00931428">
      <w:pPr>
        <w:rPr>
          <w:rFonts w:ascii="Arial" w:hAnsi="Arial" w:cs="Arial"/>
          <w:i/>
          <w:sz w:val="24"/>
        </w:rPr>
      </w:pPr>
      <w:r w:rsidRPr="00931428">
        <w:rPr>
          <w:rFonts w:ascii="Arial" w:hAnsi="Arial" w:cs="Arial"/>
          <w:i/>
          <w:sz w:val="24"/>
        </w:rPr>
        <w:t>Source: Australian Bureau of Statistics, 2019a</w:t>
      </w:r>
    </w:p>
    <w:p w14:paraId="0A564717" w14:textId="77777777" w:rsidR="00175805" w:rsidRPr="008E0E48" w:rsidRDefault="00175805">
      <w:pPr>
        <w:rPr>
          <w:rFonts w:ascii="Arial" w:hAnsi="Arial" w:cs="Arial"/>
          <w:b/>
          <w:sz w:val="24"/>
          <w:szCs w:val="24"/>
        </w:rPr>
      </w:pPr>
      <w:r w:rsidRPr="008E0E48">
        <w:rPr>
          <w:rFonts w:ascii="Arial" w:hAnsi="Arial" w:cs="Arial"/>
          <w:b/>
          <w:sz w:val="24"/>
          <w:szCs w:val="24"/>
        </w:rPr>
        <w:t>Adolescents as a proportion of the Victorian population</w:t>
      </w:r>
    </w:p>
    <w:p w14:paraId="2AF20284" w14:textId="77777777" w:rsidR="00175805" w:rsidRPr="00175805" w:rsidRDefault="00175805" w:rsidP="00175805">
      <w:pPr>
        <w:pStyle w:val="ListParagraph"/>
        <w:numPr>
          <w:ilvl w:val="0"/>
          <w:numId w:val="33"/>
        </w:numPr>
        <w:rPr>
          <w:rFonts w:ascii="Arial" w:hAnsi="Arial" w:cs="Arial"/>
          <w:sz w:val="24"/>
          <w:szCs w:val="24"/>
        </w:rPr>
      </w:pPr>
      <w:r w:rsidRPr="00175805">
        <w:rPr>
          <w:rFonts w:ascii="Arial" w:hAnsi="Arial" w:cs="Arial"/>
          <w:sz w:val="24"/>
          <w:szCs w:val="24"/>
        </w:rPr>
        <w:t>9.3 per cent (2006)</w:t>
      </w:r>
    </w:p>
    <w:p w14:paraId="21574E88" w14:textId="77777777" w:rsidR="00175805" w:rsidRPr="00175805" w:rsidRDefault="00175805" w:rsidP="00175805">
      <w:pPr>
        <w:pStyle w:val="ListParagraph"/>
        <w:numPr>
          <w:ilvl w:val="0"/>
          <w:numId w:val="33"/>
        </w:numPr>
        <w:rPr>
          <w:rFonts w:ascii="Arial" w:hAnsi="Arial" w:cs="Arial"/>
          <w:sz w:val="24"/>
          <w:szCs w:val="24"/>
        </w:rPr>
      </w:pPr>
      <w:r w:rsidRPr="00175805">
        <w:rPr>
          <w:rFonts w:ascii="Arial" w:hAnsi="Arial" w:cs="Arial"/>
          <w:sz w:val="24"/>
          <w:szCs w:val="24"/>
        </w:rPr>
        <w:t>8.7 per cent (2011)</w:t>
      </w:r>
    </w:p>
    <w:p w14:paraId="2D6C834F" w14:textId="77777777" w:rsidR="00175805" w:rsidRPr="00175805" w:rsidRDefault="00175805" w:rsidP="00175805">
      <w:pPr>
        <w:pStyle w:val="ListParagraph"/>
        <w:numPr>
          <w:ilvl w:val="0"/>
          <w:numId w:val="33"/>
        </w:numPr>
        <w:rPr>
          <w:rFonts w:ascii="Arial" w:hAnsi="Arial" w:cs="Arial"/>
          <w:sz w:val="24"/>
          <w:szCs w:val="24"/>
        </w:rPr>
      </w:pPr>
      <w:r w:rsidRPr="00175805">
        <w:rPr>
          <w:rFonts w:ascii="Arial" w:hAnsi="Arial" w:cs="Arial"/>
          <w:sz w:val="24"/>
          <w:szCs w:val="24"/>
        </w:rPr>
        <w:t>8.1 per cent (2016)</w:t>
      </w:r>
    </w:p>
    <w:p w14:paraId="36F6479D" w14:textId="77777777" w:rsidR="00175805" w:rsidRPr="00175805" w:rsidRDefault="00175805" w:rsidP="00175805">
      <w:pPr>
        <w:pStyle w:val="ListParagraph"/>
        <w:numPr>
          <w:ilvl w:val="0"/>
          <w:numId w:val="33"/>
        </w:numPr>
      </w:pPr>
      <w:r w:rsidRPr="00175805">
        <w:rPr>
          <w:rFonts w:ascii="Arial" w:hAnsi="Arial" w:cs="Arial"/>
          <w:sz w:val="24"/>
          <w:szCs w:val="24"/>
        </w:rPr>
        <w:t>7.9 per cent (2018)</w:t>
      </w:r>
    </w:p>
    <w:p w14:paraId="21262AAD" w14:textId="77777777" w:rsidR="00B31DC4" w:rsidRDefault="00B31DC4" w:rsidP="00175805"/>
    <w:p w14:paraId="5040041E" w14:textId="77777777" w:rsidR="00B31DC4" w:rsidRPr="00B31DC4" w:rsidRDefault="00B31DC4" w:rsidP="00175805">
      <w:pPr>
        <w:rPr>
          <w:rFonts w:ascii="Arial" w:hAnsi="Arial" w:cs="Arial"/>
          <w:sz w:val="24"/>
        </w:rPr>
      </w:pPr>
      <w:r w:rsidRPr="00B31DC4">
        <w:rPr>
          <w:rFonts w:ascii="Arial" w:hAnsi="Arial" w:cs="Arial"/>
          <w:sz w:val="24"/>
        </w:rPr>
        <w:t xml:space="preserve">Adolescent gender distribution </w:t>
      </w:r>
    </w:p>
    <w:p w14:paraId="42EAC180" w14:textId="77777777" w:rsidR="00B31DC4" w:rsidRPr="00B31DC4" w:rsidRDefault="00B31DC4" w:rsidP="00B31DC4">
      <w:pPr>
        <w:pStyle w:val="ListParagraph"/>
        <w:numPr>
          <w:ilvl w:val="0"/>
          <w:numId w:val="34"/>
        </w:numPr>
        <w:rPr>
          <w:rFonts w:ascii="Arial" w:hAnsi="Arial" w:cs="Arial"/>
          <w:sz w:val="24"/>
        </w:rPr>
      </w:pPr>
      <w:r w:rsidRPr="00B31DC4">
        <w:rPr>
          <w:rFonts w:ascii="Arial" w:hAnsi="Arial" w:cs="Arial"/>
          <w:sz w:val="24"/>
        </w:rPr>
        <w:t>49 per cent female</w:t>
      </w:r>
    </w:p>
    <w:p w14:paraId="430E13BB" w14:textId="77777777" w:rsidR="00CB05F2" w:rsidRPr="00CB05F2" w:rsidRDefault="00B31DC4" w:rsidP="00B31DC4">
      <w:pPr>
        <w:pStyle w:val="ListParagraph"/>
        <w:numPr>
          <w:ilvl w:val="0"/>
          <w:numId w:val="34"/>
        </w:numPr>
      </w:pPr>
      <w:r w:rsidRPr="00B31DC4">
        <w:rPr>
          <w:rFonts w:ascii="Arial" w:hAnsi="Arial" w:cs="Arial"/>
          <w:sz w:val="24"/>
        </w:rPr>
        <w:t>51 per cent male</w:t>
      </w:r>
    </w:p>
    <w:p w14:paraId="0E17CAAC" w14:textId="77777777" w:rsidR="00CB05F2" w:rsidRDefault="00CB05F2" w:rsidP="00CB05F2"/>
    <w:p w14:paraId="41C6E4E0" w14:textId="77777777" w:rsidR="00CB05F2" w:rsidRDefault="00CB05F2" w:rsidP="00CB05F2">
      <w:r w:rsidRPr="00CB05F2">
        <w:rPr>
          <w:rFonts w:ascii="Arial" w:hAnsi="Arial" w:cs="Arial"/>
          <w:sz w:val="24"/>
        </w:rPr>
        <w:t>Where do adolescents live?</w:t>
      </w:r>
    </w:p>
    <w:p w14:paraId="06474EA7" w14:textId="77777777" w:rsidR="00CB05F2" w:rsidRPr="00CB05F2" w:rsidRDefault="00CB05F2" w:rsidP="00CB05F2">
      <w:pPr>
        <w:pStyle w:val="ListParagraph"/>
        <w:numPr>
          <w:ilvl w:val="0"/>
          <w:numId w:val="33"/>
        </w:numPr>
        <w:rPr>
          <w:rFonts w:ascii="Arial" w:hAnsi="Arial" w:cs="Arial"/>
          <w:sz w:val="24"/>
          <w:szCs w:val="24"/>
        </w:rPr>
      </w:pPr>
      <w:r w:rsidRPr="00CB05F2">
        <w:rPr>
          <w:rFonts w:ascii="Arial" w:hAnsi="Arial" w:cs="Arial"/>
          <w:sz w:val="24"/>
          <w:szCs w:val="24"/>
        </w:rPr>
        <w:t>74 per cent Greater Melbourne</w:t>
      </w:r>
    </w:p>
    <w:p w14:paraId="78A11802" w14:textId="77777777" w:rsidR="00CB05F2" w:rsidRPr="00CB05F2" w:rsidRDefault="00CB05F2" w:rsidP="00CB05F2">
      <w:pPr>
        <w:pStyle w:val="ListParagraph"/>
        <w:numPr>
          <w:ilvl w:val="0"/>
          <w:numId w:val="33"/>
        </w:numPr>
      </w:pPr>
      <w:r w:rsidRPr="00CB05F2">
        <w:rPr>
          <w:rFonts w:ascii="Arial" w:hAnsi="Arial" w:cs="Arial"/>
          <w:sz w:val="24"/>
          <w:szCs w:val="24"/>
        </w:rPr>
        <w:t>26 per cent Outer Victoria</w:t>
      </w:r>
    </w:p>
    <w:p w14:paraId="5722FF88" w14:textId="77777777" w:rsidR="00CB05F2" w:rsidRDefault="00CB05F2" w:rsidP="00CB05F2"/>
    <w:p w14:paraId="74B1F984" w14:textId="77777777" w:rsidR="00C70EA8" w:rsidRPr="00C70EA8" w:rsidRDefault="00C70EA8" w:rsidP="00CB05F2">
      <w:pPr>
        <w:rPr>
          <w:rFonts w:ascii="Arial" w:hAnsi="Arial" w:cs="Arial"/>
          <w:sz w:val="24"/>
        </w:rPr>
      </w:pPr>
      <w:r w:rsidRPr="00C70EA8">
        <w:rPr>
          <w:rFonts w:ascii="Arial" w:hAnsi="Arial" w:cs="Arial"/>
          <w:sz w:val="24"/>
        </w:rPr>
        <w:t>The proportion of adolescents living outside of Melbourne is decreasing</w:t>
      </w:r>
    </w:p>
    <w:p w14:paraId="6ABE397B" w14:textId="77777777" w:rsidR="00C70EA8" w:rsidRPr="00C70EA8" w:rsidRDefault="00C70EA8" w:rsidP="00C70EA8">
      <w:pPr>
        <w:pStyle w:val="ListParagraph"/>
        <w:numPr>
          <w:ilvl w:val="0"/>
          <w:numId w:val="33"/>
        </w:numPr>
        <w:rPr>
          <w:rFonts w:ascii="Arial" w:hAnsi="Arial" w:cs="Arial"/>
          <w:sz w:val="24"/>
          <w:szCs w:val="24"/>
        </w:rPr>
      </w:pPr>
      <w:r w:rsidRPr="00C70EA8">
        <w:rPr>
          <w:rFonts w:ascii="Arial" w:hAnsi="Arial" w:cs="Arial"/>
          <w:sz w:val="24"/>
          <w:szCs w:val="24"/>
        </w:rPr>
        <w:t>30 per cent (2006)</w:t>
      </w:r>
    </w:p>
    <w:p w14:paraId="1EB01FB1" w14:textId="77777777" w:rsidR="00C70EA8" w:rsidRPr="00C70EA8" w:rsidRDefault="00C70EA8" w:rsidP="00C70EA8">
      <w:pPr>
        <w:pStyle w:val="ListParagraph"/>
        <w:numPr>
          <w:ilvl w:val="0"/>
          <w:numId w:val="33"/>
        </w:numPr>
        <w:rPr>
          <w:rFonts w:ascii="Arial" w:hAnsi="Arial" w:cs="Arial"/>
          <w:sz w:val="24"/>
          <w:szCs w:val="24"/>
        </w:rPr>
      </w:pPr>
      <w:r w:rsidRPr="00C70EA8">
        <w:rPr>
          <w:rFonts w:ascii="Arial" w:hAnsi="Arial" w:cs="Arial"/>
          <w:sz w:val="24"/>
          <w:szCs w:val="24"/>
        </w:rPr>
        <w:t>28 per cent (2011)</w:t>
      </w:r>
    </w:p>
    <w:p w14:paraId="65BC9461" w14:textId="77777777" w:rsidR="008E0E48" w:rsidRPr="008E0E48" w:rsidRDefault="00C70EA8" w:rsidP="00C70EA8">
      <w:pPr>
        <w:pStyle w:val="ListParagraph"/>
        <w:numPr>
          <w:ilvl w:val="0"/>
          <w:numId w:val="33"/>
        </w:numPr>
      </w:pPr>
      <w:r w:rsidRPr="00C70EA8">
        <w:rPr>
          <w:rFonts w:ascii="Arial" w:hAnsi="Arial" w:cs="Arial"/>
          <w:sz w:val="24"/>
          <w:szCs w:val="24"/>
        </w:rPr>
        <w:t>26 per cent (2016)</w:t>
      </w:r>
    </w:p>
    <w:p w14:paraId="0E95273B" w14:textId="77777777" w:rsidR="008E0E48" w:rsidRDefault="008E0E48" w:rsidP="008E0E48">
      <w:pPr>
        <w:rPr>
          <w:rFonts w:ascii="Arial" w:hAnsi="Arial" w:cs="Arial"/>
          <w:i/>
          <w:sz w:val="24"/>
        </w:rPr>
      </w:pPr>
      <w:r w:rsidRPr="008E0E48">
        <w:rPr>
          <w:rFonts w:ascii="Arial" w:hAnsi="Arial" w:cs="Arial"/>
          <w:i/>
          <w:sz w:val="24"/>
        </w:rPr>
        <w:t>Source: Australian Bureau of Statistics, 2008; 2013; 2019a; 2019b</w:t>
      </w:r>
    </w:p>
    <w:p w14:paraId="0B0EBBAF" w14:textId="77777777" w:rsidR="008E0E48" w:rsidRDefault="008E0E48" w:rsidP="008E0E48">
      <w:pPr>
        <w:rPr>
          <w:rFonts w:ascii="Arial" w:hAnsi="Arial" w:cs="Arial"/>
          <w:b/>
          <w:sz w:val="24"/>
        </w:rPr>
      </w:pPr>
      <w:r w:rsidRPr="008E0E48">
        <w:rPr>
          <w:rFonts w:ascii="Arial" w:hAnsi="Arial" w:cs="Arial"/>
          <w:b/>
          <w:sz w:val="24"/>
        </w:rPr>
        <w:t>Families</w:t>
      </w:r>
    </w:p>
    <w:p w14:paraId="4F42D35C" w14:textId="77777777" w:rsidR="008E0E48" w:rsidRPr="008E0E48" w:rsidRDefault="008E0E48" w:rsidP="008E0E48">
      <w:pPr>
        <w:pStyle w:val="ListParagraph"/>
        <w:numPr>
          <w:ilvl w:val="0"/>
          <w:numId w:val="33"/>
        </w:numPr>
        <w:rPr>
          <w:rFonts w:ascii="Arial" w:hAnsi="Arial" w:cs="Arial"/>
          <w:sz w:val="24"/>
          <w:szCs w:val="24"/>
        </w:rPr>
      </w:pPr>
      <w:r w:rsidRPr="008E0E48">
        <w:rPr>
          <w:rFonts w:ascii="Arial" w:hAnsi="Arial" w:cs="Arial"/>
          <w:sz w:val="24"/>
          <w:szCs w:val="24"/>
        </w:rPr>
        <w:t>478,295 families with children under 15 years</w:t>
      </w:r>
    </w:p>
    <w:p w14:paraId="51B33F65" w14:textId="77777777" w:rsidR="008E0E48" w:rsidRPr="008E0E48" w:rsidRDefault="008E0E48" w:rsidP="008E0E48">
      <w:pPr>
        <w:pStyle w:val="ListParagraph"/>
        <w:numPr>
          <w:ilvl w:val="0"/>
          <w:numId w:val="33"/>
        </w:numPr>
        <w:rPr>
          <w:rFonts w:ascii="Arial" w:hAnsi="Arial" w:cs="Arial"/>
          <w:sz w:val="24"/>
          <w:szCs w:val="24"/>
        </w:rPr>
      </w:pPr>
      <w:r w:rsidRPr="008E0E48">
        <w:rPr>
          <w:rFonts w:ascii="Arial" w:hAnsi="Arial" w:cs="Arial"/>
          <w:sz w:val="24"/>
          <w:szCs w:val="24"/>
        </w:rPr>
        <w:t>1-in-5 adolescents are from one-parent families</w:t>
      </w:r>
    </w:p>
    <w:p w14:paraId="6493F0C3" w14:textId="77777777" w:rsidR="0016524C" w:rsidRDefault="008E0E48" w:rsidP="008E0E48">
      <w:pPr>
        <w:rPr>
          <w:rFonts w:ascii="Arial" w:hAnsi="Arial" w:cs="Arial"/>
          <w:i/>
          <w:sz w:val="24"/>
        </w:rPr>
      </w:pPr>
      <w:r w:rsidRPr="008E0E48">
        <w:rPr>
          <w:rFonts w:ascii="Arial" w:hAnsi="Arial" w:cs="Arial"/>
          <w:i/>
          <w:sz w:val="24"/>
        </w:rPr>
        <w:t xml:space="preserve">Australian Bureau of Statistics, </w:t>
      </w:r>
      <w:r>
        <w:rPr>
          <w:rFonts w:ascii="Arial" w:hAnsi="Arial" w:cs="Arial"/>
          <w:i/>
          <w:sz w:val="24"/>
        </w:rPr>
        <w:t>2019a</w:t>
      </w:r>
    </w:p>
    <w:p w14:paraId="1A885856" w14:textId="77777777" w:rsidR="0016524C" w:rsidRDefault="0016524C" w:rsidP="008E0E48">
      <w:pPr>
        <w:rPr>
          <w:rFonts w:ascii="Arial" w:hAnsi="Arial" w:cs="Arial"/>
          <w:b/>
          <w:sz w:val="24"/>
        </w:rPr>
      </w:pPr>
      <w:r w:rsidRPr="0016524C">
        <w:rPr>
          <w:rFonts w:ascii="Arial" w:hAnsi="Arial" w:cs="Arial"/>
          <w:b/>
          <w:sz w:val="24"/>
        </w:rPr>
        <w:lastRenderedPageBreak/>
        <w:t>Aboriginal young people</w:t>
      </w:r>
    </w:p>
    <w:p w14:paraId="7BB19981" w14:textId="77777777" w:rsidR="00550A82" w:rsidRPr="00550A82" w:rsidRDefault="00550A82" w:rsidP="008E0E48">
      <w:pPr>
        <w:rPr>
          <w:rFonts w:ascii="Arial" w:hAnsi="Arial" w:cs="Arial"/>
          <w:sz w:val="24"/>
        </w:rPr>
      </w:pPr>
      <w:r w:rsidRPr="00550A82">
        <w:rPr>
          <w:rFonts w:ascii="Arial" w:hAnsi="Arial" w:cs="Arial"/>
          <w:sz w:val="24"/>
        </w:rPr>
        <w:t>There are 6,552 Aboriginal people aged 12 to 18 (1.4 per cent of all Victorian 12 to 18 year olds)</w:t>
      </w:r>
    </w:p>
    <w:p w14:paraId="675AE7E4" w14:textId="77777777" w:rsidR="00550A82" w:rsidRPr="00550A82" w:rsidRDefault="00550A82" w:rsidP="008E0E48">
      <w:pPr>
        <w:rPr>
          <w:rFonts w:ascii="Arial" w:hAnsi="Arial" w:cs="Arial"/>
          <w:sz w:val="24"/>
        </w:rPr>
      </w:pPr>
      <w:r w:rsidRPr="00550A82">
        <w:rPr>
          <w:rFonts w:ascii="Arial" w:hAnsi="Arial" w:cs="Arial"/>
          <w:sz w:val="24"/>
        </w:rPr>
        <w:t>Aboriginal adolescents have increased as a proportion of the Victorian adolescent population since 2006</w:t>
      </w:r>
    </w:p>
    <w:p w14:paraId="257F03C0" w14:textId="77777777" w:rsidR="00550A82" w:rsidRPr="00550A82" w:rsidRDefault="00550A82" w:rsidP="00550A82">
      <w:pPr>
        <w:pStyle w:val="ListParagraph"/>
        <w:numPr>
          <w:ilvl w:val="0"/>
          <w:numId w:val="33"/>
        </w:numPr>
        <w:rPr>
          <w:rFonts w:ascii="Arial" w:hAnsi="Arial" w:cs="Arial"/>
          <w:sz w:val="24"/>
          <w:szCs w:val="24"/>
        </w:rPr>
      </w:pPr>
      <w:r w:rsidRPr="00550A82">
        <w:rPr>
          <w:rFonts w:ascii="Arial" w:hAnsi="Arial" w:cs="Arial"/>
          <w:sz w:val="24"/>
          <w:szCs w:val="24"/>
        </w:rPr>
        <w:t>1.4 per cent (2016)</w:t>
      </w:r>
    </w:p>
    <w:p w14:paraId="14BFA223" w14:textId="77777777" w:rsidR="00550A82" w:rsidRPr="00550A82" w:rsidRDefault="00550A82" w:rsidP="00550A82">
      <w:pPr>
        <w:pStyle w:val="ListParagraph"/>
        <w:numPr>
          <w:ilvl w:val="0"/>
          <w:numId w:val="33"/>
        </w:numPr>
        <w:rPr>
          <w:rFonts w:ascii="Arial" w:hAnsi="Arial" w:cs="Arial"/>
          <w:sz w:val="24"/>
          <w:szCs w:val="24"/>
        </w:rPr>
      </w:pPr>
      <w:r w:rsidRPr="00550A82">
        <w:rPr>
          <w:rFonts w:ascii="Arial" w:hAnsi="Arial" w:cs="Arial"/>
          <w:sz w:val="24"/>
          <w:szCs w:val="24"/>
        </w:rPr>
        <w:t>1.3 per cent (2011)</w:t>
      </w:r>
    </w:p>
    <w:p w14:paraId="16BBD3D6" w14:textId="77777777" w:rsidR="00550A82" w:rsidRPr="00550A82" w:rsidRDefault="00550A82" w:rsidP="00550A82">
      <w:pPr>
        <w:pStyle w:val="ListParagraph"/>
        <w:numPr>
          <w:ilvl w:val="0"/>
          <w:numId w:val="33"/>
        </w:numPr>
      </w:pPr>
      <w:r w:rsidRPr="00550A82">
        <w:rPr>
          <w:rFonts w:ascii="Arial" w:hAnsi="Arial" w:cs="Arial"/>
          <w:sz w:val="24"/>
          <w:szCs w:val="24"/>
        </w:rPr>
        <w:t>1.1 per cent (2006)</w:t>
      </w:r>
    </w:p>
    <w:p w14:paraId="3EBA7848" w14:textId="77777777" w:rsidR="00550A82" w:rsidRDefault="00550A82" w:rsidP="00550A82">
      <w:r w:rsidRPr="008E0E48">
        <w:rPr>
          <w:rFonts w:ascii="Arial" w:hAnsi="Arial" w:cs="Arial"/>
          <w:i/>
          <w:sz w:val="24"/>
        </w:rPr>
        <w:t>Source: Australian Bureau of Statistics, 2008; 2013; 2019a</w:t>
      </w:r>
      <w:r>
        <w:t xml:space="preserve"> </w:t>
      </w:r>
    </w:p>
    <w:p w14:paraId="12A53D32" w14:textId="77777777" w:rsidR="00D3195A" w:rsidRDefault="00D3195A" w:rsidP="00550A82">
      <w:pPr>
        <w:rPr>
          <w:rFonts w:ascii="Arial" w:hAnsi="Arial" w:cs="Arial"/>
          <w:b/>
          <w:sz w:val="24"/>
        </w:rPr>
      </w:pPr>
      <w:r w:rsidRPr="00D3195A">
        <w:rPr>
          <w:rFonts w:ascii="Arial" w:hAnsi="Arial" w:cs="Arial"/>
          <w:b/>
          <w:sz w:val="24"/>
        </w:rPr>
        <w:t>Cultural diversity</w:t>
      </w:r>
    </w:p>
    <w:p w14:paraId="6829753D" w14:textId="77777777" w:rsidR="00C51F76" w:rsidRPr="00C51F76" w:rsidRDefault="00C51F76" w:rsidP="00550A82">
      <w:pPr>
        <w:rPr>
          <w:rFonts w:ascii="Arial" w:hAnsi="Arial" w:cs="Arial"/>
          <w:sz w:val="24"/>
        </w:rPr>
      </w:pPr>
      <w:r w:rsidRPr="00C51F76">
        <w:rPr>
          <w:rFonts w:ascii="Arial" w:hAnsi="Arial" w:cs="Arial"/>
          <w:sz w:val="24"/>
        </w:rPr>
        <w:t>In 2016, among adolescent Victorians:</w:t>
      </w:r>
    </w:p>
    <w:p w14:paraId="19838958" w14:textId="77777777" w:rsidR="00C51F76" w:rsidRPr="00C51F76" w:rsidRDefault="00C51F76" w:rsidP="00C51F76">
      <w:pPr>
        <w:pStyle w:val="ListParagraph"/>
        <w:numPr>
          <w:ilvl w:val="0"/>
          <w:numId w:val="33"/>
        </w:numPr>
        <w:rPr>
          <w:rFonts w:ascii="Arial" w:hAnsi="Arial" w:cs="Arial"/>
          <w:sz w:val="24"/>
          <w:szCs w:val="24"/>
        </w:rPr>
      </w:pPr>
      <w:r w:rsidRPr="00C51F76">
        <w:rPr>
          <w:rFonts w:ascii="Arial" w:hAnsi="Arial" w:cs="Arial"/>
          <w:sz w:val="24"/>
          <w:szCs w:val="24"/>
        </w:rPr>
        <w:t>41 per cent had one or both parents born overseas</w:t>
      </w:r>
    </w:p>
    <w:p w14:paraId="6638A2D3" w14:textId="77777777" w:rsidR="00C51F76" w:rsidRPr="00C51F76" w:rsidRDefault="00C51F76" w:rsidP="00C51F76">
      <w:pPr>
        <w:pStyle w:val="ListParagraph"/>
        <w:numPr>
          <w:ilvl w:val="0"/>
          <w:numId w:val="33"/>
        </w:numPr>
        <w:rPr>
          <w:rFonts w:ascii="Arial" w:hAnsi="Arial" w:cs="Arial"/>
          <w:sz w:val="24"/>
          <w:szCs w:val="24"/>
        </w:rPr>
      </w:pPr>
      <w:r w:rsidRPr="00C51F76">
        <w:rPr>
          <w:rFonts w:ascii="Arial" w:hAnsi="Arial" w:cs="Arial"/>
          <w:sz w:val="24"/>
          <w:szCs w:val="24"/>
        </w:rPr>
        <w:t>74 per cent spoke only English</w:t>
      </w:r>
    </w:p>
    <w:p w14:paraId="25CB58CA" w14:textId="77777777" w:rsidR="00C51F76" w:rsidRPr="00C51F76" w:rsidRDefault="00C51F76" w:rsidP="00C51F76">
      <w:pPr>
        <w:pStyle w:val="ListParagraph"/>
        <w:numPr>
          <w:ilvl w:val="0"/>
          <w:numId w:val="33"/>
        </w:numPr>
        <w:rPr>
          <w:rFonts w:ascii="Arial" w:hAnsi="Arial" w:cs="Arial"/>
          <w:sz w:val="24"/>
          <w:szCs w:val="24"/>
        </w:rPr>
      </w:pPr>
      <w:r w:rsidRPr="00C51F76">
        <w:rPr>
          <w:rFonts w:ascii="Arial" w:hAnsi="Arial" w:cs="Arial"/>
          <w:sz w:val="24"/>
          <w:szCs w:val="24"/>
        </w:rPr>
        <w:t>1 per cent did not speak English well or at all</w:t>
      </w:r>
    </w:p>
    <w:p w14:paraId="0519F296" w14:textId="77777777" w:rsidR="00C51F76" w:rsidRDefault="00C51F76" w:rsidP="00C51F76">
      <w:r w:rsidRPr="008E0E48">
        <w:rPr>
          <w:rFonts w:ascii="Arial" w:hAnsi="Arial" w:cs="Arial"/>
          <w:i/>
          <w:sz w:val="24"/>
        </w:rPr>
        <w:t>Source: Australian Bureau of Statistics, 2019a</w:t>
      </w:r>
      <w:r>
        <w:t xml:space="preserve"> </w:t>
      </w:r>
    </w:p>
    <w:p w14:paraId="4F7C169E" w14:textId="77777777" w:rsidR="004B3E2A" w:rsidRPr="004B3E2A" w:rsidRDefault="004B3E2A" w:rsidP="00550A82">
      <w:pPr>
        <w:rPr>
          <w:rFonts w:ascii="Arial" w:hAnsi="Arial" w:cs="Arial"/>
          <w:b/>
          <w:sz w:val="24"/>
        </w:rPr>
      </w:pPr>
      <w:r w:rsidRPr="004B3E2A">
        <w:rPr>
          <w:rFonts w:ascii="Arial" w:hAnsi="Arial" w:cs="Arial"/>
          <w:b/>
          <w:sz w:val="24"/>
        </w:rPr>
        <w:t>New arrivals</w:t>
      </w:r>
    </w:p>
    <w:p w14:paraId="667C9917" w14:textId="77777777" w:rsidR="004B3E2A" w:rsidRPr="004B3E2A" w:rsidRDefault="004B3E2A" w:rsidP="00550A82">
      <w:pPr>
        <w:rPr>
          <w:rFonts w:ascii="Arial" w:hAnsi="Arial" w:cs="Arial"/>
          <w:sz w:val="24"/>
        </w:rPr>
      </w:pPr>
      <w:r w:rsidRPr="004B3E2A">
        <w:rPr>
          <w:rFonts w:ascii="Arial" w:hAnsi="Arial" w:cs="Arial"/>
          <w:sz w:val="24"/>
        </w:rPr>
        <w:t>In 2016-17:</w:t>
      </w:r>
    </w:p>
    <w:p w14:paraId="550A048F" w14:textId="77777777" w:rsidR="004B3E2A" w:rsidRPr="004B3E2A" w:rsidRDefault="004B3E2A" w:rsidP="004B3E2A">
      <w:pPr>
        <w:pStyle w:val="ListParagraph"/>
        <w:numPr>
          <w:ilvl w:val="0"/>
          <w:numId w:val="33"/>
        </w:numPr>
        <w:rPr>
          <w:rFonts w:ascii="Arial" w:hAnsi="Arial" w:cs="Arial"/>
          <w:sz w:val="24"/>
          <w:szCs w:val="24"/>
        </w:rPr>
      </w:pPr>
      <w:r w:rsidRPr="004B3E2A">
        <w:rPr>
          <w:rFonts w:ascii="Arial" w:hAnsi="Arial" w:cs="Arial"/>
          <w:sz w:val="24"/>
          <w:szCs w:val="24"/>
        </w:rPr>
        <w:t>2,235 new arrivals were aged 12 to 17 (6.2 per cent of all new arrivals)</w:t>
      </w:r>
    </w:p>
    <w:p w14:paraId="7C5DCFCA" w14:textId="77777777" w:rsidR="004B3E2A" w:rsidRPr="004B3E2A" w:rsidRDefault="004B3E2A" w:rsidP="004B3E2A">
      <w:pPr>
        <w:pStyle w:val="ListParagraph"/>
        <w:numPr>
          <w:ilvl w:val="0"/>
          <w:numId w:val="33"/>
        </w:numPr>
      </w:pPr>
      <w:r w:rsidRPr="004B3E2A">
        <w:rPr>
          <w:rFonts w:ascii="Arial" w:hAnsi="Arial" w:cs="Arial"/>
          <w:sz w:val="24"/>
          <w:szCs w:val="24"/>
        </w:rPr>
        <w:t>Of these, 871 were humanitarian migrants (39 per cent of all new arrivals aged 12 to 17)</w:t>
      </w:r>
    </w:p>
    <w:p w14:paraId="35F98387" w14:textId="77777777" w:rsidR="009E21F8" w:rsidRDefault="004B3E2A" w:rsidP="004B3E2A">
      <w:pPr>
        <w:rPr>
          <w:rFonts w:ascii="Arial" w:hAnsi="Arial" w:cs="Arial"/>
          <w:i/>
          <w:sz w:val="24"/>
        </w:rPr>
      </w:pPr>
      <w:r>
        <w:rPr>
          <w:rFonts w:ascii="Arial" w:hAnsi="Arial" w:cs="Arial"/>
          <w:i/>
          <w:sz w:val="24"/>
        </w:rPr>
        <w:t>Source: C</w:t>
      </w:r>
      <w:r w:rsidRPr="004B3E2A">
        <w:rPr>
          <w:rFonts w:ascii="Arial" w:hAnsi="Arial" w:cs="Arial"/>
          <w:i/>
          <w:sz w:val="24"/>
        </w:rPr>
        <w:t>entre or Multicultural Youth, 2018</w:t>
      </w:r>
    </w:p>
    <w:p w14:paraId="4037915C" w14:textId="77777777" w:rsidR="009E21F8" w:rsidRPr="009E21F8" w:rsidRDefault="009E21F8" w:rsidP="004B3E2A">
      <w:pPr>
        <w:rPr>
          <w:rFonts w:ascii="Arial" w:hAnsi="Arial" w:cs="Arial"/>
          <w:b/>
          <w:sz w:val="24"/>
        </w:rPr>
      </w:pPr>
      <w:r w:rsidRPr="009E21F8">
        <w:rPr>
          <w:rFonts w:ascii="Arial" w:hAnsi="Arial" w:cs="Arial"/>
          <w:b/>
          <w:sz w:val="24"/>
        </w:rPr>
        <w:t>Disability</w:t>
      </w:r>
    </w:p>
    <w:p w14:paraId="2ED03C8E" w14:textId="77777777" w:rsidR="009E21F8" w:rsidRPr="009E21F8" w:rsidRDefault="009E21F8" w:rsidP="009E21F8">
      <w:pPr>
        <w:pStyle w:val="ListParagraph"/>
        <w:numPr>
          <w:ilvl w:val="0"/>
          <w:numId w:val="33"/>
        </w:numPr>
        <w:rPr>
          <w:rFonts w:ascii="Arial" w:hAnsi="Arial" w:cs="Arial"/>
          <w:sz w:val="24"/>
          <w:szCs w:val="24"/>
        </w:rPr>
      </w:pPr>
      <w:r w:rsidRPr="009E21F8">
        <w:rPr>
          <w:rFonts w:ascii="Arial" w:hAnsi="Arial" w:cs="Arial"/>
          <w:sz w:val="24"/>
          <w:szCs w:val="24"/>
        </w:rPr>
        <w:t>In 2016, 18,754 young Victorians aged 10 to 18 needed help with core activities</w:t>
      </w:r>
    </w:p>
    <w:p w14:paraId="05AFEE07" w14:textId="77777777" w:rsidR="009E21F8" w:rsidRPr="009E21F8" w:rsidRDefault="009E21F8" w:rsidP="009E21F8">
      <w:pPr>
        <w:pStyle w:val="ListParagraph"/>
        <w:numPr>
          <w:ilvl w:val="0"/>
          <w:numId w:val="33"/>
        </w:numPr>
      </w:pPr>
      <w:r w:rsidRPr="009E21F8">
        <w:rPr>
          <w:rFonts w:ascii="Arial" w:hAnsi="Arial" w:cs="Arial"/>
          <w:sz w:val="24"/>
          <w:szCs w:val="24"/>
        </w:rPr>
        <w:t>The proportion of adolescents with a disability increased between 2006 (1.7 per cent) and 2016 (3.0 per cent)</w:t>
      </w:r>
    </w:p>
    <w:p w14:paraId="494B3F3C" w14:textId="77777777" w:rsidR="00DA3E86" w:rsidRDefault="00DA3E86" w:rsidP="00DA3E86">
      <w:r w:rsidRPr="00DA3E86">
        <w:rPr>
          <w:rFonts w:ascii="Arial" w:hAnsi="Arial" w:cs="Arial"/>
          <w:i/>
          <w:sz w:val="24"/>
        </w:rPr>
        <w:t>Source: Australian Bureau of Statistics, 2013; 2019a</w:t>
      </w:r>
      <w:r>
        <w:t xml:space="preserve"> </w:t>
      </w:r>
    </w:p>
    <w:p w14:paraId="66C5BF94" w14:textId="77777777" w:rsidR="008C6F1C" w:rsidRPr="008C6F1C" w:rsidRDefault="008C6F1C" w:rsidP="008C6F1C">
      <w:pPr>
        <w:pStyle w:val="ListParagraph"/>
        <w:numPr>
          <w:ilvl w:val="0"/>
          <w:numId w:val="33"/>
        </w:numPr>
        <w:rPr>
          <w:rFonts w:ascii="Arial" w:hAnsi="Arial" w:cs="Arial"/>
          <w:sz w:val="24"/>
          <w:szCs w:val="24"/>
        </w:rPr>
      </w:pPr>
      <w:r w:rsidRPr="008C6F1C">
        <w:rPr>
          <w:rFonts w:ascii="Arial" w:hAnsi="Arial" w:cs="Arial"/>
          <w:sz w:val="24"/>
          <w:szCs w:val="24"/>
        </w:rPr>
        <w:t xml:space="preserve">In 2018, one-in-five Victorian Government school students aged 10 to 18 received an educational adjustment to assist with a disability </w:t>
      </w:r>
    </w:p>
    <w:p w14:paraId="4B53885A" w14:textId="77777777" w:rsidR="008C6F1C" w:rsidRPr="00B73694" w:rsidRDefault="008C6F1C" w:rsidP="00DA3E86">
      <w:pPr>
        <w:rPr>
          <w:rFonts w:ascii="Arial" w:hAnsi="Arial" w:cs="Arial"/>
          <w:i/>
          <w:sz w:val="24"/>
        </w:rPr>
      </w:pPr>
      <w:r w:rsidRPr="00B73694">
        <w:rPr>
          <w:rFonts w:ascii="Arial" w:hAnsi="Arial" w:cs="Arial"/>
          <w:i/>
          <w:sz w:val="24"/>
        </w:rPr>
        <w:t xml:space="preserve">(In Victorian government schools, students with disabilities can be identified by their need for educational adjustments. Adjustments enable education participation on the same basis as other students. The Nationally Consistent Collection of Data on School Students with Disability (NCCD) captures these data based on the professional judgement of teachers, in consultation with the student and/or their parents, guardians or carers. The collection is based on the broad definition of disability used in the Disability Discrimination Act 1992 and the Disability Standards for Education 2005. The collection is designed to collect information on the full range </w:t>
      </w:r>
      <w:r w:rsidRPr="00B73694">
        <w:rPr>
          <w:rFonts w:ascii="Arial" w:hAnsi="Arial" w:cs="Arial"/>
          <w:i/>
          <w:sz w:val="24"/>
        </w:rPr>
        <w:lastRenderedPageBreak/>
        <w:t xml:space="preserve">of students receiving adjustments to support their access and participation in learning because of disability, not just those who have a medical diagnosis. As a result, higher numbers of students are reported through the collection than in other data collections on students with disability. To find out more about the NCCD and the different levels of adjustments please visit </w:t>
      </w:r>
      <w:r w:rsidR="00785D88" w:rsidRPr="00AA5101">
        <w:rPr>
          <w:rFonts w:ascii="Arial" w:hAnsi="Arial" w:cs="Arial"/>
          <w:i/>
          <w:sz w:val="24"/>
        </w:rPr>
        <w:t>https://www.nccd.edu.au/</w:t>
      </w:r>
      <w:r w:rsidRPr="00B73694">
        <w:rPr>
          <w:rFonts w:ascii="Arial" w:hAnsi="Arial" w:cs="Arial"/>
          <w:i/>
          <w:sz w:val="24"/>
        </w:rPr>
        <w:t>)</w:t>
      </w:r>
    </w:p>
    <w:p w14:paraId="5EA2BAA3" w14:textId="77777777" w:rsidR="00785D88" w:rsidRPr="00B73694" w:rsidRDefault="00B73694" w:rsidP="00B73694">
      <w:pPr>
        <w:pStyle w:val="ListParagraph"/>
        <w:numPr>
          <w:ilvl w:val="0"/>
          <w:numId w:val="33"/>
        </w:numPr>
        <w:rPr>
          <w:rFonts w:ascii="Arial" w:hAnsi="Arial" w:cs="Arial"/>
          <w:sz w:val="24"/>
        </w:rPr>
      </w:pPr>
      <w:r w:rsidRPr="00B73694">
        <w:rPr>
          <w:rFonts w:ascii="Arial" w:hAnsi="Arial" w:cs="Arial"/>
          <w:sz w:val="24"/>
        </w:rPr>
        <w:t>19 per cent of students aged 10 to 18 received an adjustment</w:t>
      </w:r>
    </w:p>
    <w:p w14:paraId="23DEE62B" w14:textId="77777777" w:rsidR="00B73694" w:rsidRPr="00B73694" w:rsidRDefault="00B73694" w:rsidP="00B73694">
      <w:pPr>
        <w:pStyle w:val="ListParagraph"/>
        <w:numPr>
          <w:ilvl w:val="1"/>
          <w:numId w:val="33"/>
        </w:numPr>
        <w:rPr>
          <w:rFonts w:ascii="Arial" w:hAnsi="Arial" w:cs="Arial"/>
          <w:sz w:val="24"/>
        </w:rPr>
      </w:pPr>
      <w:r w:rsidRPr="00B73694">
        <w:rPr>
          <w:rFonts w:ascii="Arial" w:hAnsi="Arial" w:cs="Arial"/>
          <w:sz w:val="24"/>
        </w:rPr>
        <w:t>Of these, 15 per cent required extensive adjustments</w:t>
      </w:r>
    </w:p>
    <w:p w14:paraId="3930C920" w14:textId="77777777" w:rsidR="00B73694" w:rsidRPr="00B73694" w:rsidRDefault="00B73694" w:rsidP="00B73694">
      <w:pPr>
        <w:pStyle w:val="ListParagraph"/>
        <w:numPr>
          <w:ilvl w:val="1"/>
          <w:numId w:val="33"/>
        </w:numPr>
        <w:rPr>
          <w:rFonts w:ascii="Arial" w:hAnsi="Arial" w:cs="Arial"/>
          <w:sz w:val="24"/>
        </w:rPr>
      </w:pPr>
      <w:r w:rsidRPr="00B73694">
        <w:rPr>
          <w:rFonts w:ascii="Arial" w:hAnsi="Arial" w:cs="Arial"/>
          <w:sz w:val="24"/>
        </w:rPr>
        <w:t xml:space="preserve">17 per cent required substantial adjustments </w:t>
      </w:r>
    </w:p>
    <w:p w14:paraId="1FA0B1BC" w14:textId="77777777" w:rsidR="00B73694" w:rsidRPr="00B73694" w:rsidRDefault="00B73694" w:rsidP="00B73694">
      <w:pPr>
        <w:pStyle w:val="ListParagraph"/>
        <w:numPr>
          <w:ilvl w:val="1"/>
          <w:numId w:val="33"/>
        </w:numPr>
        <w:rPr>
          <w:rFonts w:ascii="Arial" w:hAnsi="Arial" w:cs="Arial"/>
          <w:sz w:val="24"/>
        </w:rPr>
      </w:pPr>
      <w:r w:rsidRPr="00B73694">
        <w:rPr>
          <w:rFonts w:ascii="Arial" w:hAnsi="Arial" w:cs="Arial"/>
          <w:sz w:val="24"/>
        </w:rPr>
        <w:t xml:space="preserve">30 per cent required supplementary adjustments </w:t>
      </w:r>
    </w:p>
    <w:p w14:paraId="72CF3C5B" w14:textId="77777777" w:rsidR="00B73694" w:rsidRPr="00B73694" w:rsidRDefault="00B73694" w:rsidP="00B73694">
      <w:pPr>
        <w:pStyle w:val="ListParagraph"/>
        <w:numPr>
          <w:ilvl w:val="1"/>
          <w:numId w:val="33"/>
        </w:numPr>
      </w:pPr>
      <w:r w:rsidRPr="00B73694">
        <w:rPr>
          <w:rFonts w:ascii="Arial" w:hAnsi="Arial" w:cs="Arial"/>
          <w:sz w:val="24"/>
        </w:rPr>
        <w:t>37 per cent required support within quality differentiated teaching practice</w:t>
      </w:r>
    </w:p>
    <w:p w14:paraId="134B5EB4" w14:textId="77777777" w:rsidR="00063959" w:rsidRDefault="00063959" w:rsidP="00B73694">
      <w:pPr>
        <w:rPr>
          <w:rFonts w:ascii="Arial" w:hAnsi="Arial" w:cs="Arial"/>
          <w:i/>
          <w:sz w:val="24"/>
        </w:rPr>
      </w:pPr>
      <w:r w:rsidRPr="00063959">
        <w:rPr>
          <w:rFonts w:ascii="Arial" w:hAnsi="Arial" w:cs="Arial"/>
          <w:i/>
          <w:sz w:val="24"/>
        </w:rPr>
        <w:t>Source: Australian Government Department of Education, 2018; Australian Bureau of Statistics, 2019c</w:t>
      </w:r>
    </w:p>
    <w:p w14:paraId="4D7CEBBE" w14:textId="77777777" w:rsidR="00452BD9" w:rsidRPr="00452BD9" w:rsidRDefault="00452BD9" w:rsidP="00B73694">
      <w:pPr>
        <w:rPr>
          <w:rFonts w:ascii="Arial" w:hAnsi="Arial" w:cs="Arial"/>
          <w:b/>
          <w:sz w:val="24"/>
        </w:rPr>
      </w:pPr>
      <w:r w:rsidRPr="00452BD9">
        <w:rPr>
          <w:rFonts w:ascii="Arial" w:hAnsi="Arial" w:cs="Arial"/>
          <w:b/>
          <w:sz w:val="24"/>
        </w:rPr>
        <w:t>Adolescents in care services</w:t>
      </w:r>
    </w:p>
    <w:p w14:paraId="4C6CB562" w14:textId="77777777" w:rsidR="00452BD9" w:rsidRPr="00452BD9" w:rsidRDefault="00452BD9" w:rsidP="00452BD9">
      <w:pPr>
        <w:pStyle w:val="ListParagraph"/>
        <w:numPr>
          <w:ilvl w:val="0"/>
          <w:numId w:val="33"/>
        </w:numPr>
      </w:pPr>
      <w:r w:rsidRPr="00452BD9">
        <w:rPr>
          <w:rFonts w:ascii="Arial" w:hAnsi="Arial" w:cs="Arial"/>
          <w:sz w:val="24"/>
        </w:rPr>
        <w:t>In 2018, 3,192 young Victorians aged 10 to 17 lived in care services. This is 5.4 per 1,000 population (3 per 1,000 population in 2008)</w:t>
      </w:r>
    </w:p>
    <w:tbl>
      <w:tblPr>
        <w:tblStyle w:val="TableGrid"/>
        <w:tblW w:w="0" w:type="auto"/>
        <w:tblLook w:val="04A0" w:firstRow="1" w:lastRow="0" w:firstColumn="1" w:lastColumn="0" w:noHBand="0" w:noVBand="1"/>
        <w:tblDescription w:val="This table shows the proportion of Victorian young people aged 10-17 in residential and home-based care, 2008 and 2018"/>
      </w:tblPr>
      <w:tblGrid>
        <w:gridCol w:w="1796"/>
        <w:gridCol w:w="1827"/>
        <w:gridCol w:w="1805"/>
        <w:gridCol w:w="1794"/>
        <w:gridCol w:w="1794"/>
      </w:tblGrid>
      <w:tr w:rsidR="00DD25D3" w:rsidRPr="00DD25D3" w14:paraId="77A9875B" w14:textId="77777777" w:rsidTr="00DD25D3">
        <w:trPr>
          <w:tblHeader/>
        </w:trPr>
        <w:tc>
          <w:tcPr>
            <w:tcW w:w="1848" w:type="dxa"/>
          </w:tcPr>
          <w:p w14:paraId="017756E2" w14:textId="77777777" w:rsidR="00DD25D3" w:rsidRPr="00DD25D3" w:rsidRDefault="00DD25D3" w:rsidP="00452BD9">
            <w:pPr>
              <w:rPr>
                <w:rFonts w:ascii="Arial" w:hAnsi="Arial" w:cs="Arial"/>
                <w:sz w:val="24"/>
              </w:rPr>
            </w:pPr>
          </w:p>
        </w:tc>
        <w:tc>
          <w:tcPr>
            <w:tcW w:w="1848" w:type="dxa"/>
          </w:tcPr>
          <w:p w14:paraId="5A4CCD41" w14:textId="77777777" w:rsidR="00DD25D3" w:rsidRPr="00DD25D3" w:rsidRDefault="00DD25D3" w:rsidP="00452BD9">
            <w:pPr>
              <w:rPr>
                <w:rFonts w:ascii="Arial" w:hAnsi="Arial" w:cs="Arial"/>
                <w:sz w:val="24"/>
              </w:rPr>
            </w:pPr>
            <w:r w:rsidRPr="00DD25D3">
              <w:rPr>
                <w:rFonts w:ascii="Arial" w:hAnsi="Arial" w:cs="Arial"/>
                <w:sz w:val="24"/>
              </w:rPr>
              <w:t>Residential care</w:t>
            </w:r>
          </w:p>
        </w:tc>
        <w:tc>
          <w:tcPr>
            <w:tcW w:w="1848" w:type="dxa"/>
          </w:tcPr>
          <w:p w14:paraId="4F6B1672" w14:textId="77777777" w:rsidR="00DD25D3" w:rsidRPr="00DD25D3" w:rsidRDefault="00DD25D3" w:rsidP="00452BD9">
            <w:pPr>
              <w:rPr>
                <w:rFonts w:ascii="Arial" w:hAnsi="Arial" w:cs="Arial"/>
                <w:sz w:val="24"/>
              </w:rPr>
            </w:pPr>
            <w:r w:rsidRPr="00DD25D3">
              <w:rPr>
                <w:rFonts w:ascii="Arial" w:hAnsi="Arial" w:cs="Arial"/>
                <w:sz w:val="24"/>
              </w:rPr>
              <w:t>Home-based care</w:t>
            </w:r>
          </w:p>
        </w:tc>
        <w:tc>
          <w:tcPr>
            <w:tcW w:w="1849" w:type="dxa"/>
          </w:tcPr>
          <w:p w14:paraId="5A4904EE" w14:textId="77777777" w:rsidR="00DD25D3" w:rsidRPr="00DD25D3" w:rsidRDefault="00DD25D3" w:rsidP="00452BD9">
            <w:pPr>
              <w:rPr>
                <w:rFonts w:ascii="Arial" w:hAnsi="Arial" w:cs="Arial"/>
                <w:sz w:val="24"/>
              </w:rPr>
            </w:pPr>
            <w:r w:rsidRPr="00DD25D3">
              <w:rPr>
                <w:rFonts w:ascii="Arial" w:hAnsi="Arial" w:cs="Arial"/>
                <w:sz w:val="24"/>
              </w:rPr>
              <w:t>10-14 year olds</w:t>
            </w:r>
          </w:p>
        </w:tc>
        <w:tc>
          <w:tcPr>
            <w:tcW w:w="1849" w:type="dxa"/>
          </w:tcPr>
          <w:p w14:paraId="3E4EFF6B" w14:textId="77777777" w:rsidR="00DD25D3" w:rsidRPr="00DD25D3" w:rsidRDefault="00DD25D3" w:rsidP="00452BD9">
            <w:pPr>
              <w:rPr>
                <w:rFonts w:ascii="Arial" w:hAnsi="Arial" w:cs="Arial"/>
                <w:sz w:val="24"/>
              </w:rPr>
            </w:pPr>
            <w:r w:rsidRPr="00DD25D3">
              <w:rPr>
                <w:rFonts w:ascii="Arial" w:hAnsi="Arial" w:cs="Arial"/>
                <w:sz w:val="24"/>
              </w:rPr>
              <w:t>15-17 year olds</w:t>
            </w:r>
          </w:p>
        </w:tc>
      </w:tr>
      <w:tr w:rsidR="00DD25D3" w:rsidRPr="00DD25D3" w14:paraId="2B5B7A6B" w14:textId="77777777" w:rsidTr="00DD25D3">
        <w:tc>
          <w:tcPr>
            <w:tcW w:w="1848" w:type="dxa"/>
          </w:tcPr>
          <w:p w14:paraId="3DBAA5F2" w14:textId="77777777" w:rsidR="00DD25D3" w:rsidRPr="00DD25D3" w:rsidRDefault="00DD25D3" w:rsidP="00452BD9">
            <w:pPr>
              <w:rPr>
                <w:rFonts w:ascii="Arial" w:hAnsi="Arial" w:cs="Arial"/>
                <w:sz w:val="24"/>
              </w:rPr>
            </w:pPr>
            <w:r w:rsidRPr="00DD25D3">
              <w:rPr>
                <w:rFonts w:ascii="Arial" w:hAnsi="Arial" w:cs="Arial"/>
                <w:sz w:val="24"/>
              </w:rPr>
              <w:t>2008</w:t>
            </w:r>
          </w:p>
        </w:tc>
        <w:tc>
          <w:tcPr>
            <w:tcW w:w="1848" w:type="dxa"/>
          </w:tcPr>
          <w:p w14:paraId="3C7D005E" w14:textId="77777777" w:rsidR="00DD25D3" w:rsidRPr="00DD25D3" w:rsidRDefault="00DD25D3" w:rsidP="00452BD9">
            <w:pPr>
              <w:rPr>
                <w:rFonts w:ascii="Arial" w:hAnsi="Arial" w:cs="Arial"/>
                <w:sz w:val="24"/>
              </w:rPr>
            </w:pPr>
            <w:r w:rsidRPr="00DD25D3">
              <w:rPr>
                <w:rFonts w:ascii="Arial" w:hAnsi="Arial" w:cs="Arial"/>
                <w:sz w:val="24"/>
              </w:rPr>
              <w:t>23%</w:t>
            </w:r>
          </w:p>
        </w:tc>
        <w:tc>
          <w:tcPr>
            <w:tcW w:w="1848" w:type="dxa"/>
          </w:tcPr>
          <w:p w14:paraId="2283EC9E" w14:textId="77777777" w:rsidR="00DD25D3" w:rsidRPr="00DD25D3" w:rsidRDefault="00DD25D3" w:rsidP="00452BD9">
            <w:pPr>
              <w:rPr>
                <w:rFonts w:ascii="Arial" w:hAnsi="Arial" w:cs="Arial"/>
                <w:sz w:val="24"/>
              </w:rPr>
            </w:pPr>
            <w:r w:rsidRPr="00DD25D3">
              <w:rPr>
                <w:rFonts w:ascii="Arial" w:hAnsi="Arial" w:cs="Arial"/>
                <w:sz w:val="24"/>
              </w:rPr>
              <w:t>77%</w:t>
            </w:r>
          </w:p>
        </w:tc>
        <w:tc>
          <w:tcPr>
            <w:tcW w:w="1849" w:type="dxa"/>
          </w:tcPr>
          <w:p w14:paraId="3A193467" w14:textId="77777777" w:rsidR="00DD25D3" w:rsidRPr="00DD25D3" w:rsidRDefault="00DD25D3" w:rsidP="00452BD9">
            <w:pPr>
              <w:rPr>
                <w:rFonts w:ascii="Arial" w:hAnsi="Arial" w:cs="Arial"/>
                <w:sz w:val="24"/>
              </w:rPr>
            </w:pPr>
            <w:r w:rsidRPr="00DD25D3">
              <w:rPr>
                <w:rFonts w:ascii="Arial" w:hAnsi="Arial" w:cs="Arial"/>
                <w:sz w:val="24"/>
              </w:rPr>
              <w:t>56%</w:t>
            </w:r>
          </w:p>
        </w:tc>
        <w:tc>
          <w:tcPr>
            <w:tcW w:w="1849" w:type="dxa"/>
          </w:tcPr>
          <w:p w14:paraId="73FC2670" w14:textId="77777777" w:rsidR="00DD25D3" w:rsidRPr="00DD25D3" w:rsidRDefault="00DD25D3" w:rsidP="00452BD9">
            <w:pPr>
              <w:rPr>
                <w:rFonts w:ascii="Arial" w:hAnsi="Arial" w:cs="Arial"/>
                <w:sz w:val="24"/>
              </w:rPr>
            </w:pPr>
            <w:r w:rsidRPr="00DD25D3">
              <w:rPr>
                <w:rFonts w:ascii="Arial" w:hAnsi="Arial" w:cs="Arial"/>
                <w:sz w:val="24"/>
              </w:rPr>
              <w:t>44%</w:t>
            </w:r>
          </w:p>
        </w:tc>
      </w:tr>
      <w:tr w:rsidR="00DD25D3" w:rsidRPr="00DD25D3" w14:paraId="0303AD22" w14:textId="77777777" w:rsidTr="00DD25D3">
        <w:tc>
          <w:tcPr>
            <w:tcW w:w="1848" w:type="dxa"/>
          </w:tcPr>
          <w:p w14:paraId="6F742BB7" w14:textId="77777777" w:rsidR="00DD25D3" w:rsidRPr="00DD25D3" w:rsidRDefault="00DD25D3" w:rsidP="00452BD9">
            <w:pPr>
              <w:rPr>
                <w:rFonts w:ascii="Arial" w:hAnsi="Arial" w:cs="Arial"/>
                <w:sz w:val="24"/>
              </w:rPr>
            </w:pPr>
            <w:r w:rsidRPr="00DD25D3">
              <w:rPr>
                <w:rFonts w:ascii="Arial" w:hAnsi="Arial" w:cs="Arial"/>
                <w:sz w:val="24"/>
              </w:rPr>
              <w:t>2018</w:t>
            </w:r>
          </w:p>
        </w:tc>
        <w:tc>
          <w:tcPr>
            <w:tcW w:w="1848" w:type="dxa"/>
          </w:tcPr>
          <w:p w14:paraId="56BE0B4F" w14:textId="77777777" w:rsidR="00DD25D3" w:rsidRPr="00DD25D3" w:rsidRDefault="00DD25D3" w:rsidP="00452BD9">
            <w:pPr>
              <w:rPr>
                <w:rFonts w:ascii="Arial" w:hAnsi="Arial" w:cs="Arial"/>
                <w:sz w:val="24"/>
              </w:rPr>
            </w:pPr>
            <w:r w:rsidRPr="00DD25D3">
              <w:rPr>
                <w:rFonts w:ascii="Arial" w:hAnsi="Arial" w:cs="Arial"/>
                <w:sz w:val="24"/>
              </w:rPr>
              <w:t>13%</w:t>
            </w:r>
          </w:p>
        </w:tc>
        <w:tc>
          <w:tcPr>
            <w:tcW w:w="1848" w:type="dxa"/>
          </w:tcPr>
          <w:p w14:paraId="53C4AB0B" w14:textId="77777777" w:rsidR="00DD25D3" w:rsidRPr="00DD25D3" w:rsidRDefault="00DD25D3" w:rsidP="00452BD9">
            <w:pPr>
              <w:rPr>
                <w:rFonts w:ascii="Arial" w:hAnsi="Arial" w:cs="Arial"/>
                <w:sz w:val="24"/>
              </w:rPr>
            </w:pPr>
            <w:r w:rsidRPr="00DD25D3">
              <w:rPr>
                <w:rFonts w:ascii="Arial" w:hAnsi="Arial" w:cs="Arial"/>
                <w:sz w:val="24"/>
              </w:rPr>
              <w:t>87%</w:t>
            </w:r>
          </w:p>
        </w:tc>
        <w:tc>
          <w:tcPr>
            <w:tcW w:w="1849" w:type="dxa"/>
          </w:tcPr>
          <w:p w14:paraId="3AE29A91" w14:textId="77777777" w:rsidR="00DD25D3" w:rsidRPr="00DD25D3" w:rsidRDefault="00DD25D3" w:rsidP="00452BD9">
            <w:pPr>
              <w:rPr>
                <w:rFonts w:ascii="Arial" w:hAnsi="Arial" w:cs="Arial"/>
                <w:sz w:val="24"/>
              </w:rPr>
            </w:pPr>
            <w:r w:rsidRPr="00DD25D3">
              <w:rPr>
                <w:rFonts w:ascii="Arial" w:hAnsi="Arial" w:cs="Arial"/>
                <w:sz w:val="24"/>
              </w:rPr>
              <w:t>62%</w:t>
            </w:r>
          </w:p>
        </w:tc>
        <w:tc>
          <w:tcPr>
            <w:tcW w:w="1849" w:type="dxa"/>
          </w:tcPr>
          <w:p w14:paraId="225070CA" w14:textId="77777777" w:rsidR="00DD25D3" w:rsidRPr="00DD25D3" w:rsidRDefault="00DD25D3" w:rsidP="00452BD9">
            <w:pPr>
              <w:rPr>
                <w:rFonts w:ascii="Arial" w:hAnsi="Arial" w:cs="Arial"/>
                <w:sz w:val="24"/>
              </w:rPr>
            </w:pPr>
            <w:r w:rsidRPr="00DD25D3">
              <w:rPr>
                <w:rFonts w:ascii="Arial" w:hAnsi="Arial" w:cs="Arial"/>
                <w:sz w:val="24"/>
              </w:rPr>
              <w:t>38%</w:t>
            </w:r>
          </w:p>
        </w:tc>
      </w:tr>
    </w:tbl>
    <w:p w14:paraId="3F15AA39" w14:textId="77777777" w:rsidR="00DD25D3" w:rsidRDefault="00DD25D3" w:rsidP="00452BD9">
      <w:pPr>
        <w:rPr>
          <w:rFonts w:ascii="Arial" w:hAnsi="Arial" w:cs="Arial"/>
          <w:i/>
          <w:sz w:val="24"/>
        </w:rPr>
      </w:pPr>
      <w:r w:rsidRPr="00DD25D3">
        <w:rPr>
          <w:rFonts w:ascii="Arial" w:hAnsi="Arial" w:cs="Arial"/>
          <w:i/>
          <w:sz w:val="24"/>
        </w:rPr>
        <w:t>Source: Department of Health and Human Services, internal analysis</w:t>
      </w:r>
    </w:p>
    <w:p w14:paraId="3D302161" w14:textId="77777777" w:rsidR="009B136F" w:rsidRPr="009B136F" w:rsidRDefault="009B136F" w:rsidP="00452BD9">
      <w:pPr>
        <w:rPr>
          <w:rFonts w:ascii="Arial" w:hAnsi="Arial" w:cs="Arial"/>
          <w:b/>
          <w:sz w:val="24"/>
        </w:rPr>
      </w:pPr>
      <w:r w:rsidRPr="009B136F">
        <w:rPr>
          <w:rFonts w:ascii="Arial" w:hAnsi="Arial" w:cs="Arial"/>
          <w:b/>
          <w:sz w:val="24"/>
        </w:rPr>
        <w:t>Youth Justice</w:t>
      </w:r>
    </w:p>
    <w:p w14:paraId="7A7D5A74" w14:textId="77777777" w:rsidR="009B136F" w:rsidRDefault="009B136F" w:rsidP="00452BD9">
      <w:pPr>
        <w:rPr>
          <w:rFonts w:ascii="Arial" w:hAnsi="Arial" w:cs="Arial"/>
          <w:sz w:val="24"/>
        </w:rPr>
      </w:pPr>
      <w:r>
        <w:rPr>
          <w:rFonts w:ascii="Arial" w:hAnsi="Arial" w:cs="Arial"/>
          <w:sz w:val="24"/>
        </w:rPr>
        <w:t>On an average day on 2017-18, there were 1,033 young Victorians aged 10 and over in the Youth Justice system</w:t>
      </w:r>
    </w:p>
    <w:p w14:paraId="36041AA3" w14:textId="77777777" w:rsidR="009B136F" w:rsidRPr="009B136F" w:rsidRDefault="009B136F" w:rsidP="009B136F">
      <w:pPr>
        <w:pStyle w:val="ListParagraph"/>
        <w:numPr>
          <w:ilvl w:val="0"/>
          <w:numId w:val="33"/>
        </w:numPr>
      </w:pPr>
      <w:r w:rsidRPr="009B136F">
        <w:rPr>
          <w:rFonts w:ascii="Arial" w:hAnsi="Arial" w:cs="Arial"/>
          <w:sz w:val="24"/>
        </w:rPr>
        <w:t>81 per cent on community supervision and 19 per cent in detention</w:t>
      </w:r>
    </w:p>
    <w:p w14:paraId="567EBADA" w14:textId="77777777" w:rsidR="009B136F" w:rsidRPr="009B136F" w:rsidRDefault="009B136F" w:rsidP="009B136F">
      <w:pPr>
        <w:pStyle w:val="ListParagraph"/>
        <w:numPr>
          <w:ilvl w:val="0"/>
          <w:numId w:val="33"/>
        </w:numPr>
      </w:pPr>
      <w:r>
        <w:rPr>
          <w:rFonts w:ascii="Arial" w:hAnsi="Arial" w:cs="Arial"/>
          <w:sz w:val="24"/>
        </w:rPr>
        <w:t>86 per cent male and 14 per cent female</w:t>
      </w:r>
    </w:p>
    <w:p w14:paraId="56D31CA7" w14:textId="77777777" w:rsidR="009B136F" w:rsidRPr="009B136F" w:rsidRDefault="009B136F" w:rsidP="009B136F">
      <w:pPr>
        <w:pStyle w:val="ListParagraph"/>
        <w:numPr>
          <w:ilvl w:val="0"/>
          <w:numId w:val="33"/>
        </w:numPr>
      </w:pPr>
      <w:r>
        <w:rPr>
          <w:rFonts w:ascii="Arial" w:hAnsi="Arial" w:cs="Arial"/>
          <w:sz w:val="24"/>
        </w:rPr>
        <w:t>84 per cent non-Aboriginal and 15 per cent Aboriginal</w:t>
      </w:r>
    </w:p>
    <w:p w14:paraId="7BFF1C3D" w14:textId="77777777" w:rsidR="009B136F" w:rsidRPr="009B136F" w:rsidRDefault="009B136F" w:rsidP="009B136F">
      <w:pPr>
        <w:rPr>
          <w:rFonts w:ascii="Arial" w:hAnsi="Arial" w:cs="Arial"/>
          <w:i/>
          <w:sz w:val="24"/>
        </w:rPr>
      </w:pPr>
      <w:r w:rsidRPr="009B136F">
        <w:rPr>
          <w:rFonts w:ascii="Arial" w:hAnsi="Arial" w:cs="Arial"/>
          <w:i/>
          <w:sz w:val="24"/>
        </w:rPr>
        <w:t>Note: some figures do not add up to 100 per cent due to rounding</w:t>
      </w:r>
    </w:p>
    <w:p w14:paraId="04EB4DBE" w14:textId="61A0435E" w:rsidR="0022345D" w:rsidRDefault="009B136F" w:rsidP="009B136F">
      <w:r w:rsidRPr="009B136F">
        <w:rPr>
          <w:rFonts w:ascii="Arial" w:hAnsi="Arial" w:cs="Arial"/>
          <w:i/>
          <w:sz w:val="24"/>
        </w:rPr>
        <w:t>Source: Australian Institute of Health and Welfare, 2019c</w:t>
      </w:r>
      <w:r w:rsidR="0022345D">
        <w:br w:type="page"/>
      </w:r>
    </w:p>
    <w:p w14:paraId="1FADD4B9" w14:textId="77777777" w:rsidR="0022345D" w:rsidRPr="0022345D" w:rsidRDefault="0022345D" w:rsidP="0022345D">
      <w:pPr>
        <w:pStyle w:val="Heading1"/>
        <w:rPr>
          <w:rFonts w:ascii="Arial" w:hAnsi="Arial" w:cs="Arial"/>
        </w:rPr>
      </w:pPr>
      <w:bookmarkStart w:id="7" w:name="_Toc33527732"/>
      <w:r w:rsidRPr="0022345D">
        <w:rPr>
          <w:rFonts w:ascii="Arial" w:hAnsi="Arial" w:cs="Arial"/>
        </w:rPr>
        <w:lastRenderedPageBreak/>
        <w:t>PHYSICAL HEALTH</w:t>
      </w:r>
      <w:bookmarkEnd w:id="7"/>
    </w:p>
    <w:p w14:paraId="6AC67E51" w14:textId="77777777" w:rsidR="0022345D" w:rsidRPr="009D7D8F" w:rsidRDefault="0022345D" w:rsidP="009D7D8F">
      <w:pPr>
        <w:pStyle w:val="Heading2"/>
        <w:rPr>
          <w:rFonts w:ascii="Arial" w:hAnsi="Arial" w:cs="Arial"/>
          <w:color w:val="auto"/>
        </w:rPr>
      </w:pPr>
      <w:bookmarkStart w:id="8" w:name="_Toc33527733"/>
      <w:r w:rsidRPr="009D7D8F">
        <w:rPr>
          <w:rFonts w:ascii="Arial" w:hAnsi="Arial" w:cs="Arial"/>
          <w:color w:val="auto"/>
        </w:rPr>
        <w:t>INFOGRAPHIC</w:t>
      </w:r>
      <w:r w:rsidR="009D7D8F" w:rsidRPr="009D7D8F">
        <w:rPr>
          <w:rFonts w:ascii="Arial" w:hAnsi="Arial" w:cs="Arial"/>
          <w:color w:val="auto"/>
        </w:rPr>
        <w:t xml:space="preserve"> </w:t>
      </w:r>
      <w:r w:rsidRPr="009D7D8F">
        <w:rPr>
          <w:rFonts w:ascii="Arial" w:hAnsi="Arial" w:cs="Arial"/>
          <w:color w:val="auto"/>
        </w:rPr>
        <w:t>S</w:t>
      </w:r>
      <w:r w:rsidR="009D7D8F" w:rsidRPr="009D7D8F">
        <w:rPr>
          <w:rFonts w:ascii="Arial" w:hAnsi="Arial" w:cs="Arial"/>
          <w:color w:val="auto"/>
        </w:rPr>
        <w:t>UMMARY</w:t>
      </w:r>
      <w:bookmarkEnd w:id="8"/>
    </w:p>
    <w:p w14:paraId="5BE8E3B5" w14:textId="77777777" w:rsidR="00CE1764" w:rsidRPr="00943FB0" w:rsidRDefault="00CE1764">
      <w:pPr>
        <w:rPr>
          <w:rFonts w:ascii="Arial" w:hAnsi="Arial" w:cs="Arial"/>
          <w:sz w:val="24"/>
        </w:rPr>
      </w:pPr>
      <w:r w:rsidRPr="00943FB0">
        <w:rPr>
          <w:rFonts w:ascii="Arial" w:hAnsi="Arial" w:cs="Arial"/>
          <w:sz w:val="24"/>
        </w:rPr>
        <w:t>Adolescence is a time of intense physiological change for young people.</w:t>
      </w:r>
    </w:p>
    <w:p w14:paraId="10748161" w14:textId="77777777" w:rsidR="00CE1764" w:rsidRPr="00943FB0" w:rsidRDefault="00CE1764">
      <w:pPr>
        <w:rPr>
          <w:rFonts w:ascii="Arial" w:hAnsi="Arial" w:cs="Arial"/>
          <w:b/>
          <w:sz w:val="24"/>
        </w:rPr>
      </w:pPr>
      <w:r w:rsidRPr="00943FB0">
        <w:rPr>
          <w:rFonts w:ascii="Arial" w:hAnsi="Arial" w:cs="Arial"/>
          <w:b/>
          <w:sz w:val="24"/>
        </w:rPr>
        <w:t>Health</w:t>
      </w:r>
    </w:p>
    <w:p w14:paraId="60942BEC" w14:textId="77777777" w:rsidR="00943FB0" w:rsidRPr="00943FB0" w:rsidRDefault="00CE1764" w:rsidP="00CE1764">
      <w:pPr>
        <w:rPr>
          <w:rFonts w:ascii="Arial" w:hAnsi="Arial" w:cs="Arial"/>
          <w:i/>
          <w:sz w:val="24"/>
        </w:rPr>
      </w:pPr>
      <w:r w:rsidRPr="00943FB0">
        <w:rPr>
          <w:rFonts w:ascii="Arial" w:hAnsi="Arial" w:cs="Arial"/>
          <w:i/>
          <w:sz w:val="24"/>
        </w:rPr>
        <w:t>Children who are happy, healthy and confident are better able to fully engage within their environment, helping them to fulfil their potential.</w:t>
      </w:r>
    </w:p>
    <w:p w14:paraId="2F65D3BA" w14:textId="77777777" w:rsidR="00943FB0" w:rsidRPr="00BB372B" w:rsidRDefault="00943FB0" w:rsidP="00BB372B">
      <w:pPr>
        <w:pStyle w:val="ListParagraph"/>
        <w:numPr>
          <w:ilvl w:val="0"/>
          <w:numId w:val="40"/>
        </w:numPr>
        <w:rPr>
          <w:rFonts w:ascii="Arial" w:hAnsi="Arial" w:cs="Arial"/>
          <w:sz w:val="24"/>
        </w:rPr>
      </w:pPr>
      <w:r w:rsidRPr="00BB372B">
        <w:rPr>
          <w:rFonts w:ascii="Arial" w:hAnsi="Arial" w:cs="Arial"/>
          <w:sz w:val="24"/>
        </w:rPr>
        <w:t>4 in 5 Year 8 and 11 students believe that they are in good health.</w:t>
      </w:r>
    </w:p>
    <w:tbl>
      <w:tblPr>
        <w:tblStyle w:val="TableGrid"/>
        <w:tblW w:w="0" w:type="auto"/>
        <w:tblLook w:val="04A0" w:firstRow="1" w:lastRow="0" w:firstColumn="1" w:lastColumn="0" w:noHBand="0" w:noVBand="1"/>
        <w:tblDescription w:val="This table shows the proportion of students reporting 'good health' or better"/>
      </w:tblPr>
      <w:tblGrid>
        <w:gridCol w:w="3006"/>
        <w:gridCol w:w="3005"/>
        <w:gridCol w:w="3005"/>
      </w:tblGrid>
      <w:tr w:rsidR="00943FB0" w:rsidRPr="00943FB0" w14:paraId="33D0898F" w14:textId="77777777" w:rsidTr="00943FB0">
        <w:trPr>
          <w:tblHeader/>
        </w:trPr>
        <w:tc>
          <w:tcPr>
            <w:tcW w:w="3080" w:type="dxa"/>
          </w:tcPr>
          <w:p w14:paraId="70785BFC" w14:textId="77777777" w:rsidR="00943FB0" w:rsidRPr="00943FB0" w:rsidRDefault="00943FB0" w:rsidP="00943FB0">
            <w:pPr>
              <w:rPr>
                <w:rFonts w:ascii="Arial" w:hAnsi="Arial" w:cs="Arial"/>
                <w:sz w:val="24"/>
              </w:rPr>
            </w:pPr>
          </w:p>
        </w:tc>
        <w:tc>
          <w:tcPr>
            <w:tcW w:w="3081" w:type="dxa"/>
          </w:tcPr>
          <w:p w14:paraId="546DD572" w14:textId="77777777" w:rsidR="00943FB0" w:rsidRPr="00943FB0" w:rsidRDefault="00943FB0" w:rsidP="00943FB0">
            <w:pPr>
              <w:rPr>
                <w:rFonts w:ascii="Arial" w:hAnsi="Arial" w:cs="Arial"/>
                <w:sz w:val="24"/>
              </w:rPr>
            </w:pPr>
            <w:r w:rsidRPr="00943FB0">
              <w:rPr>
                <w:rFonts w:ascii="Arial" w:hAnsi="Arial" w:cs="Arial"/>
                <w:sz w:val="24"/>
              </w:rPr>
              <w:t>Year 8</w:t>
            </w:r>
          </w:p>
        </w:tc>
        <w:tc>
          <w:tcPr>
            <w:tcW w:w="3081" w:type="dxa"/>
          </w:tcPr>
          <w:p w14:paraId="14A25CD8" w14:textId="77777777" w:rsidR="00943FB0" w:rsidRPr="00943FB0" w:rsidRDefault="00943FB0" w:rsidP="00943FB0">
            <w:pPr>
              <w:rPr>
                <w:rFonts w:ascii="Arial" w:hAnsi="Arial" w:cs="Arial"/>
                <w:sz w:val="24"/>
              </w:rPr>
            </w:pPr>
            <w:r w:rsidRPr="00943FB0">
              <w:rPr>
                <w:rFonts w:ascii="Arial" w:hAnsi="Arial" w:cs="Arial"/>
                <w:sz w:val="24"/>
              </w:rPr>
              <w:t>Year 11</w:t>
            </w:r>
          </w:p>
        </w:tc>
      </w:tr>
      <w:tr w:rsidR="00943FB0" w:rsidRPr="00943FB0" w14:paraId="3AD9E577" w14:textId="77777777" w:rsidTr="00943FB0">
        <w:tc>
          <w:tcPr>
            <w:tcW w:w="3080" w:type="dxa"/>
          </w:tcPr>
          <w:p w14:paraId="623A0A8A" w14:textId="77777777" w:rsidR="00943FB0" w:rsidRPr="00943FB0" w:rsidRDefault="00943FB0" w:rsidP="00943FB0">
            <w:pPr>
              <w:rPr>
                <w:rFonts w:ascii="Arial" w:hAnsi="Arial" w:cs="Arial"/>
                <w:sz w:val="24"/>
              </w:rPr>
            </w:pPr>
            <w:r w:rsidRPr="00943FB0">
              <w:rPr>
                <w:rFonts w:ascii="Arial" w:hAnsi="Arial" w:cs="Arial"/>
                <w:sz w:val="24"/>
              </w:rPr>
              <w:t>2014</w:t>
            </w:r>
          </w:p>
        </w:tc>
        <w:tc>
          <w:tcPr>
            <w:tcW w:w="3081" w:type="dxa"/>
          </w:tcPr>
          <w:p w14:paraId="67B336EF" w14:textId="77777777" w:rsidR="00943FB0" w:rsidRPr="00943FB0" w:rsidRDefault="00943FB0" w:rsidP="00943FB0">
            <w:pPr>
              <w:rPr>
                <w:rFonts w:ascii="Arial" w:hAnsi="Arial" w:cs="Arial"/>
                <w:sz w:val="24"/>
              </w:rPr>
            </w:pPr>
            <w:r w:rsidRPr="00943FB0">
              <w:rPr>
                <w:rFonts w:ascii="Arial" w:hAnsi="Arial" w:cs="Arial"/>
                <w:sz w:val="24"/>
              </w:rPr>
              <w:t>87%</w:t>
            </w:r>
          </w:p>
        </w:tc>
        <w:tc>
          <w:tcPr>
            <w:tcW w:w="3081" w:type="dxa"/>
          </w:tcPr>
          <w:p w14:paraId="614F50C1" w14:textId="77777777" w:rsidR="00943FB0" w:rsidRPr="00943FB0" w:rsidRDefault="00943FB0" w:rsidP="00943FB0">
            <w:pPr>
              <w:rPr>
                <w:rFonts w:ascii="Arial" w:hAnsi="Arial" w:cs="Arial"/>
                <w:sz w:val="24"/>
              </w:rPr>
            </w:pPr>
            <w:r w:rsidRPr="00943FB0">
              <w:rPr>
                <w:rFonts w:ascii="Arial" w:hAnsi="Arial" w:cs="Arial"/>
                <w:sz w:val="24"/>
              </w:rPr>
              <w:t>81%</w:t>
            </w:r>
          </w:p>
        </w:tc>
      </w:tr>
      <w:tr w:rsidR="00943FB0" w:rsidRPr="00943FB0" w14:paraId="45CF4C5C" w14:textId="77777777" w:rsidTr="00943FB0">
        <w:tc>
          <w:tcPr>
            <w:tcW w:w="3080" w:type="dxa"/>
          </w:tcPr>
          <w:p w14:paraId="5444C88B" w14:textId="77777777" w:rsidR="00943FB0" w:rsidRPr="00943FB0" w:rsidRDefault="00943FB0" w:rsidP="00943FB0">
            <w:pPr>
              <w:rPr>
                <w:rFonts w:ascii="Arial" w:hAnsi="Arial" w:cs="Arial"/>
                <w:sz w:val="24"/>
              </w:rPr>
            </w:pPr>
            <w:r w:rsidRPr="00943FB0">
              <w:rPr>
                <w:rFonts w:ascii="Arial" w:hAnsi="Arial" w:cs="Arial"/>
                <w:sz w:val="24"/>
              </w:rPr>
              <w:t>2016</w:t>
            </w:r>
          </w:p>
        </w:tc>
        <w:tc>
          <w:tcPr>
            <w:tcW w:w="3081" w:type="dxa"/>
          </w:tcPr>
          <w:p w14:paraId="6DCE4CD1" w14:textId="77777777" w:rsidR="00943FB0" w:rsidRPr="00943FB0" w:rsidRDefault="00943FB0" w:rsidP="00943FB0">
            <w:pPr>
              <w:rPr>
                <w:rFonts w:ascii="Arial" w:hAnsi="Arial" w:cs="Arial"/>
                <w:sz w:val="24"/>
              </w:rPr>
            </w:pPr>
            <w:r w:rsidRPr="00943FB0">
              <w:rPr>
                <w:rFonts w:ascii="Arial" w:hAnsi="Arial" w:cs="Arial"/>
                <w:sz w:val="24"/>
              </w:rPr>
              <w:t>87%</w:t>
            </w:r>
          </w:p>
        </w:tc>
        <w:tc>
          <w:tcPr>
            <w:tcW w:w="3081" w:type="dxa"/>
          </w:tcPr>
          <w:p w14:paraId="1E65E357" w14:textId="77777777" w:rsidR="00943FB0" w:rsidRPr="00943FB0" w:rsidRDefault="00943FB0" w:rsidP="00943FB0">
            <w:pPr>
              <w:rPr>
                <w:rFonts w:ascii="Arial" w:hAnsi="Arial" w:cs="Arial"/>
                <w:sz w:val="24"/>
              </w:rPr>
            </w:pPr>
            <w:r w:rsidRPr="00943FB0">
              <w:rPr>
                <w:rFonts w:ascii="Arial" w:hAnsi="Arial" w:cs="Arial"/>
                <w:sz w:val="24"/>
              </w:rPr>
              <w:t>83%</w:t>
            </w:r>
          </w:p>
        </w:tc>
      </w:tr>
      <w:tr w:rsidR="00943FB0" w:rsidRPr="00943FB0" w14:paraId="6522DA65" w14:textId="77777777" w:rsidTr="00943FB0">
        <w:tc>
          <w:tcPr>
            <w:tcW w:w="3080" w:type="dxa"/>
          </w:tcPr>
          <w:p w14:paraId="3CB13166" w14:textId="77777777" w:rsidR="00943FB0" w:rsidRPr="00943FB0" w:rsidRDefault="00943FB0" w:rsidP="00943FB0">
            <w:pPr>
              <w:rPr>
                <w:rFonts w:ascii="Arial" w:hAnsi="Arial" w:cs="Arial"/>
                <w:sz w:val="24"/>
              </w:rPr>
            </w:pPr>
            <w:r w:rsidRPr="00943FB0">
              <w:rPr>
                <w:rFonts w:ascii="Arial" w:hAnsi="Arial" w:cs="Arial"/>
                <w:sz w:val="24"/>
              </w:rPr>
              <w:t>2018</w:t>
            </w:r>
          </w:p>
        </w:tc>
        <w:tc>
          <w:tcPr>
            <w:tcW w:w="3081" w:type="dxa"/>
          </w:tcPr>
          <w:p w14:paraId="74C0F6EF" w14:textId="77777777" w:rsidR="00943FB0" w:rsidRPr="00943FB0" w:rsidRDefault="00943FB0" w:rsidP="00943FB0">
            <w:pPr>
              <w:rPr>
                <w:rFonts w:ascii="Arial" w:hAnsi="Arial" w:cs="Arial"/>
                <w:sz w:val="24"/>
              </w:rPr>
            </w:pPr>
            <w:r w:rsidRPr="00943FB0">
              <w:rPr>
                <w:rFonts w:ascii="Arial" w:hAnsi="Arial" w:cs="Arial"/>
                <w:sz w:val="24"/>
              </w:rPr>
              <w:t>85%</w:t>
            </w:r>
          </w:p>
        </w:tc>
        <w:tc>
          <w:tcPr>
            <w:tcW w:w="3081" w:type="dxa"/>
          </w:tcPr>
          <w:p w14:paraId="29CE29B5" w14:textId="77777777" w:rsidR="00943FB0" w:rsidRPr="00943FB0" w:rsidRDefault="00943FB0" w:rsidP="00943FB0">
            <w:pPr>
              <w:rPr>
                <w:rFonts w:ascii="Arial" w:hAnsi="Arial" w:cs="Arial"/>
                <w:sz w:val="24"/>
              </w:rPr>
            </w:pPr>
            <w:r w:rsidRPr="00943FB0">
              <w:rPr>
                <w:rFonts w:ascii="Arial" w:hAnsi="Arial" w:cs="Arial"/>
                <w:sz w:val="24"/>
              </w:rPr>
              <w:t>80%</w:t>
            </w:r>
          </w:p>
        </w:tc>
      </w:tr>
    </w:tbl>
    <w:p w14:paraId="05214623" w14:textId="77777777" w:rsidR="00101E4D" w:rsidRDefault="00B65C0F" w:rsidP="00943FB0">
      <w:pPr>
        <w:rPr>
          <w:rFonts w:ascii="Arial" w:hAnsi="Arial" w:cs="Arial"/>
          <w:i/>
          <w:sz w:val="24"/>
        </w:rPr>
      </w:pPr>
      <w:r w:rsidRPr="001A5888">
        <w:rPr>
          <w:rFonts w:ascii="Arial" w:hAnsi="Arial" w:cs="Arial"/>
          <w:i/>
          <w:sz w:val="24"/>
        </w:rPr>
        <w:t>Source: Victorian Student Health and Wellbeing Survey 2014-2018</w:t>
      </w:r>
    </w:p>
    <w:p w14:paraId="688C6057" w14:textId="77777777" w:rsidR="00101E4D" w:rsidRPr="00101E4D" w:rsidRDefault="00101E4D" w:rsidP="00943FB0">
      <w:pPr>
        <w:rPr>
          <w:rFonts w:ascii="Arial" w:hAnsi="Arial" w:cs="Arial"/>
          <w:b/>
          <w:sz w:val="24"/>
        </w:rPr>
      </w:pPr>
      <w:r w:rsidRPr="00101E4D">
        <w:rPr>
          <w:rFonts w:ascii="Arial" w:hAnsi="Arial" w:cs="Arial"/>
          <w:b/>
          <w:sz w:val="24"/>
        </w:rPr>
        <w:t>Physical activity</w:t>
      </w:r>
    </w:p>
    <w:p w14:paraId="6C58C936" w14:textId="77777777" w:rsidR="00101E4D" w:rsidRDefault="00101E4D" w:rsidP="00101E4D">
      <w:pPr>
        <w:rPr>
          <w:rFonts w:ascii="Arial" w:hAnsi="Arial" w:cs="Arial"/>
          <w:i/>
          <w:sz w:val="24"/>
        </w:rPr>
      </w:pPr>
      <w:r w:rsidRPr="00101E4D">
        <w:rPr>
          <w:rFonts w:ascii="Arial" w:hAnsi="Arial" w:cs="Arial"/>
          <w:i/>
          <w:sz w:val="24"/>
        </w:rPr>
        <w:t>Achieving recommended health and fitness goals, and avoiding excessive sedentary behaviour, can promote better health outcomes for young people.</w:t>
      </w:r>
    </w:p>
    <w:p w14:paraId="252C1421" w14:textId="77777777" w:rsidR="00101E4D" w:rsidRPr="00AF3E38" w:rsidRDefault="00AF3E38" w:rsidP="00AF3E38">
      <w:pPr>
        <w:pStyle w:val="ListParagraph"/>
        <w:numPr>
          <w:ilvl w:val="0"/>
          <w:numId w:val="35"/>
        </w:numPr>
        <w:rPr>
          <w:rFonts w:ascii="Arial" w:hAnsi="Arial" w:cs="Arial"/>
          <w:sz w:val="24"/>
        </w:rPr>
      </w:pPr>
      <w:r w:rsidRPr="00AF3E38">
        <w:rPr>
          <w:rFonts w:ascii="Arial" w:hAnsi="Arial" w:cs="Arial"/>
          <w:sz w:val="24"/>
        </w:rPr>
        <w:t>Fewer than 1 in 5 (17 per cent) Year 8 and 11 students are meeting national guidelines for 60 minutes of physical activity per day.</w:t>
      </w:r>
    </w:p>
    <w:p w14:paraId="270D050A" w14:textId="77777777" w:rsidR="00AF3E38" w:rsidRPr="00AF3E38" w:rsidRDefault="00AF3E38" w:rsidP="00AF3E38">
      <w:pPr>
        <w:pStyle w:val="ListParagraph"/>
        <w:numPr>
          <w:ilvl w:val="0"/>
          <w:numId w:val="35"/>
        </w:numPr>
        <w:rPr>
          <w:rFonts w:ascii="Arial" w:hAnsi="Arial" w:cs="Arial"/>
          <w:sz w:val="24"/>
        </w:rPr>
      </w:pPr>
      <w:r w:rsidRPr="00AF3E38">
        <w:rPr>
          <w:rFonts w:ascii="Arial" w:hAnsi="Arial" w:cs="Arial"/>
          <w:sz w:val="24"/>
        </w:rPr>
        <w:t>3 in 4 Victorian students (75 per cent) report that they are exceeding the recommended amount of two hours recreational screen time per day.</w:t>
      </w:r>
    </w:p>
    <w:p w14:paraId="39871C50" w14:textId="77777777" w:rsidR="008A13E2" w:rsidRPr="008A13E2" w:rsidRDefault="008A13E2" w:rsidP="008A13E2">
      <w:pPr>
        <w:rPr>
          <w:rFonts w:ascii="Arial" w:hAnsi="Arial" w:cs="Arial"/>
          <w:i/>
          <w:sz w:val="24"/>
        </w:rPr>
      </w:pPr>
      <w:r w:rsidRPr="008A13E2">
        <w:rPr>
          <w:rFonts w:ascii="Arial" w:hAnsi="Arial" w:cs="Arial"/>
          <w:i/>
          <w:sz w:val="24"/>
        </w:rPr>
        <w:t>Source: Victorian Student H</w:t>
      </w:r>
      <w:r>
        <w:rPr>
          <w:rFonts w:ascii="Arial" w:hAnsi="Arial" w:cs="Arial"/>
          <w:i/>
          <w:sz w:val="24"/>
        </w:rPr>
        <w:t xml:space="preserve">ealth and Wellbeing Survey </w:t>
      </w:r>
      <w:r w:rsidRPr="008A13E2">
        <w:rPr>
          <w:rFonts w:ascii="Arial" w:hAnsi="Arial" w:cs="Arial"/>
          <w:i/>
          <w:sz w:val="24"/>
        </w:rPr>
        <w:t>2018</w:t>
      </w:r>
    </w:p>
    <w:p w14:paraId="0F55EE13" w14:textId="77777777" w:rsidR="008A13E2" w:rsidRDefault="008A13E2" w:rsidP="00943FB0">
      <w:pPr>
        <w:rPr>
          <w:rFonts w:ascii="Arial" w:hAnsi="Arial" w:cs="Arial"/>
          <w:b/>
          <w:sz w:val="24"/>
        </w:rPr>
      </w:pPr>
    </w:p>
    <w:p w14:paraId="6E9B0D8A" w14:textId="77777777" w:rsidR="008A13E2" w:rsidRPr="008A13E2" w:rsidRDefault="008A13E2" w:rsidP="00943FB0">
      <w:pPr>
        <w:rPr>
          <w:rFonts w:ascii="Arial" w:hAnsi="Arial" w:cs="Arial"/>
          <w:b/>
          <w:sz w:val="24"/>
        </w:rPr>
      </w:pPr>
      <w:r w:rsidRPr="008A13E2">
        <w:rPr>
          <w:rFonts w:ascii="Arial" w:hAnsi="Arial" w:cs="Arial"/>
          <w:b/>
          <w:sz w:val="24"/>
        </w:rPr>
        <w:t>Diet</w:t>
      </w:r>
    </w:p>
    <w:p w14:paraId="4D6361A4" w14:textId="77777777" w:rsidR="008A13E2" w:rsidRPr="008A13E2" w:rsidRDefault="008A13E2" w:rsidP="008A13E2">
      <w:pPr>
        <w:rPr>
          <w:rFonts w:ascii="Arial" w:hAnsi="Arial" w:cs="Arial"/>
          <w:i/>
          <w:sz w:val="24"/>
        </w:rPr>
      </w:pPr>
      <w:r w:rsidRPr="008A13E2">
        <w:rPr>
          <w:rFonts w:ascii="Arial" w:hAnsi="Arial" w:cs="Arial"/>
          <w:i/>
          <w:sz w:val="24"/>
        </w:rPr>
        <w:t>Good nutrition supports body and brain development,</w:t>
      </w:r>
      <w:r>
        <w:rPr>
          <w:rFonts w:ascii="Arial" w:hAnsi="Arial" w:cs="Arial"/>
          <w:i/>
          <w:sz w:val="24"/>
        </w:rPr>
        <w:t xml:space="preserve"> </w:t>
      </w:r>
      <w:r w:rsidRPr="008A13E2">
        <w:rPr>
          <w:rFonts w:ascii="Arial" w:hAnsi="Arial" w:cs="Arial"/>
          <w:i/>
          <w:sz w:val="24"/>
        </w:rPr>
        <w:t>aids concentration at school, and reduces the risk of health problems.</w:t>
      </w:r>
    </w:p>
    <w:p w14:paraId="78A5A9D1" w14:textId="77777777" w:rsidR="008A13E2" w:rsidRPr="008A13E2" w:rsidRDefault="008A13E2" w:rsidP="008A13E2">
      <w:pPr>
        <w:pStyle w:val="ListParagraph"/>
        <w:numPr>
          <w:ilvl w:val="0"/>
          <w:numId w:val="35"/>
        </w:numPr>
        <w:rPr>
          <w:rFonts w:ascii="Arial" w:hAnsi="Arial" w:cs="Arial"/>
          <w:sz w:val="24"/>
        </w:rPr>
      </w:pPr>
      <w:r w:rsidRPr="008A13E2">
        <w:rPr>
          <w:rFonts w:ascii="Arial" w:hAnsi="Arial" w:cs="Arial"/>
          <w:sz w:val="24"/>
        </w:rPr>
        <w:t>Around 3 in 5 Year 8 and 11 students meet national guidelines for fruit intake.</w:t>
      </w:r>
    </w:p>
    <w:p w14:paraId="06709D95" w14:textId="77777777" w:rsidR="008A13E2" w:rsidRPr="008A13E2" w:rsidRDefault="008A13E2" w:rsidP="008A13E2">
      <w:pPr>
        <w:pStyle w:val="ListParagraph"/>
        <w:numPr>
          <w:ilvl w:val="0"/>
          <w:numId w:val="35"/>
        </w:numPr>
        <w:rPr>
          <w:rFonts w:ascii="Arial" w:hAnsi="Arial" w:cs="Arial"/>
          <w:i/>
        </w:rPr>
      </w:pPr>
      <w:r w:rsidRPr="008A13E2">
        <w:rPr>
          <w:rFonts w:ascii="Arial" w:hAnsi="Arial" w:cs="Arial"/>
          <w:sz w:val="24"/>
        </w:rPr>
        <w:t>Only 1 in 10 Year 8 and 11 students meet national guidelines for vegetable intake.</w:t>
      </w:r>
    </w:p>
    <w:p w14:paraId="295A0AE9" w14:textId="77777777" w:rsidR="008A13E2" w:rsidRDefault="008A13E2" w:rsidP="008A13E2">
      <w:pPr>
        <w:rPr>
          <w:rFonts w:ascii="Arial" w:hAnsi="Arial" w:cs="Arial"/>
          <w:i/>
          <w:sz w:val="24"/>
        </w:rPr>
      </w:pPr>
      <w:r w:rsidRPr="008A13E2">
        <w:rPr>
          <w:rFonts w:ascii="Arial" w:hAnsi="Arial" w:cs="Arial"/>
          <w:i/>
          <w:sz w:val="24"/>
        </w:rPr>
        <w:t>Source: Victorian Student H</w:t>
      </w:r>
      <w:r>
        <w:rPr>
          <w:rFonts w:ascii="Arial" w:hAnsi="Arial" w:cs="Arial"/>
          <w:i/>
          <w:sz w:val="24"/>
        </w:rPr>
        <w:t>ealth and Wellbeing Survey</w:t>
      </w:r>
      <w:r w:rsidRPr="008A13E2">
        <w:rPr>
          <w:rFonts w:ascii="Arial" w:hAnsi="Arial" w:cs="Arial"/>
          <w:i/>
          <w:sz w:val="24"/>
        </w:rPr>
        <w:t xml:space="preserve"> 2018</w:t>
      </w:r>
    </w:p>
    <w:p w14:paraId="7E6165CE" w14:textId="77777777" w:rsidR="008A13E2" w:rsidRDefault="008A13E2" w:rsidP="008A13E2">
      <w:pPr>
        <w:rPr>
          <w:rFonts w:ascii="Arial" w:hAnsi="Arial" w:cs="Arial"/>
          <w:i/>
          <w:sz w:val="24"/>
        </w:rPr>
      </w:pPr>
    </w:p>
    <w:p w14:paraId="798B95E1" w14:textId="77777777" w:rsidR="008A13E2" w:rsidRPr="008A13E2" w:rsidRDefault="008A13E2" w:rsidP="008A13E2">
      <w:pPr>
        <w:rPr>
          <w:rFonts w:ascii="Arial" w:hAnsi="Arial" w:cs="Arial"/>
          <w:b/>
          <w:sz w:val="24"/>
        </w:rPr>
      </w:pPr>
      <w:r w:rsidRPr="008A13E2">
        <w:rPr>
          <w:rFonts w:ascii="Arial" w:hAnsi="Arial" w:cs="Arial"/>
          <w:b/>
          <w:sz w:val="24"/>
        </w:rPr>
        <w:t>Sleep</w:t>
      </w:r>
    </w:p>
    <w:p w14:paraId="7B01D74A" w14:textId="77777777" w:rsidR="008A13E2" w:rsidRDefault="008A13E2" w:rsidP="008A13E2">
      <w:pPr>
        <w:rPr>
          <w:rFonts w:ascii="Arial" w:hAnsi="Arial" w:cs="Arial"/>
          <w:i/>
          <w:sz w:val="24"/>
        </w:rPr>
      </w:pPr>
      <w:r w:rsidRPr="008A13E2">
        <w:rPr>
          <w:rFonts w:ascii="Arial" w:hAnsi="Arial" w:cs="Arial"/>
          <w:i/>
          <w:sz w:val="24"/>
        </w:rPr>
        <w:t>Sleep is an important protective factor during adolescence,</w:t>
      </w:r>
      <w:r>
        <w:rPr>
          <w:rFonts w:ascii="Arial" w:hAnsi="Arial" w:cs="Arial"/>
          <w:i/>
          <w:sz w:val="24"/>
        </w:rPr>
        <w:t xml:space="preserve"> </w:t>
      </w:r>
      <w:r w:rsidRPr="008A13E2">
        <w:rPr>
          <w:rFonts w:ascii="Arial" w:hAnsi="Arial" w:cs="Arial"/>
          <w:i/>
          <w:sz w:val="24"/>
        </w:rPr>
        <w:t>influencing young people’s wellbeing and academic performance.</w:t>
      </w:r>
    </w:p>
    <w:p w14:paraId="10AD2A25" w14:textId="77777777" w:rsidR="008A13E2" w:rsidRPr="008A13E2" w:rsidRDefault="008A13E2" w:rsidP="008A13E2">
      <w:pPr>
        <w:pStyle w:val="ListParagraph"/>
        <w:numPr>
          <w:ilvl w:val="0"/>
          <w:numId w:val="35"/>
        </w:numPr>
        <w:rPr>
          <w:rFonts w:ascii="Arial" w:hAnsi="Arial" w:cs="Arial"/>
          <w:sz w:val="24"/>
        </w:rPr>
      </w:pPr>
      <w:r w:rsidRPr="008A13E2">
        <w:rPr>
          <w:rFonts w:ascii="Arial" w:hAnsi="Arial" w:cs="Arial"/>
          <w:sz w:val="24"/>
        </w:rPr>
        <w:t xml:space="preserve">Of the students who rate their academic ability as ‘good’ or better, fewer </w:t>
      </w:r>
      <w:r w:rsidRPr="008A13E2">
        <w:rPr>
          <w:rFonts w:ascii="Arial" w:hAnsi="Arial" w:cs="Arial"/>
          <w:sz w:val="24"/>
        </w:rPr>
        <w:lastRenderedPageBreak/>
        <w:t>report sleep problems: 56 per cent - no sleep problems; 46 per cent –sleep is a little bit of a problem; 38 per cent – sleep is a lot of a problem</w:t>
      </w:r>
    </w:p>
    <w:p w14:paraId="5E369572" w14:textId="77777777" w:rsidR="008A13E2" w:rsidRPr="008A13E2" w:rsidRDefault="008A13E2" w:rsidP="008A13E2">
      <w:pPr>
        <w:pStyle w:val="ListParagraph"/>
        <w:numPr>
          <w:ilvl w:val="0"/>
          <w:numId w:val="35"/>
        </w:numPr>
        <w:rPr>
          <w:rFonts w:ascii="Arial" w:hAnsi="Arial" w:cs="Arial"/>
          <w:sz w:val="24"/>
        </w:rPr>
      </w:pPr>
      <w:r w:rsidRPr="008A13E2">
        <w:rPr>
          <w:rFonts w:ascii="Arial" w:hAnsi="Arial" w:cs="Arial"/>
          <w:sz w:val="24"/>
        </w:rPr>
        <w:t>Of students with depressive symptoms, many report sleep problems: 11 per cent – no sleep problems; 40 per cent – sleep problems</w:t>
      </w:r>
    </w:p>
    <w:p w14:paraId="6F10259B" w14:textId="77777777" w:rsidR="008A13E2" w:rsidRDefault="008A13E2" w:rsidP="008A13E2">
      <w:pPr>
        <w:rPr>
          <w:rFonts w:ascii="Arial" w:hAnsi="Arial" w:cs="Arial"/>
          <w:i/>
          <w:sz w:val="24"/>
        </w:rPr>
      </w:pPr>
      <w:r w:rsidRPr="008A13E2">
        <w:rPr>
          <w:rFonts w:ascii="Arial" w:hAnsi="Arial" w:cs="Arial"/>
          <w:i/>
          <w:sz w:val="24"/>
        </w:rPr>
        <w:t>Source: Victorian Student Health and Wellbeing Survey 2018</w:t>
      </w:r>
    </w:p>
    <w:p w14:paraId="597F9A6D" w14:textId="77777777" w:rsidR="00F5117F" w:rsidRDefault="00F5117F" w:rsidP="008A13E2">
      <w:pPr>
        <w:rPr>
          <w:rFonts w:ascii="Arial" w:hAnsi="Arial" w:cs="Arial"/>
          <w:i/>
          <w:sz w:val="24"/>
        </w:rPr>
      </w:pPr>
    </w:p>
    <w:p w14:paraId="0F542FD4" w14:textId="77777777" w:rsidR="00F5117F" w:rsidRPr="00F5117F" w:rsidRDefault="00F5117F" w:rsidP="00F5117F">
      <w:pPr>
        <w:rPr>
          <w:rFonts w:ascii="Arial" w:hAnsi="Arial" w:cs="Arial"/>
          <w:b/>
          <w:sz w:val="24"/>
        </w:rPr>
      </w:pPr>
      <w:r w:rsidRPr="00F5117F">
        <w:rPr>
          <w:rFonts w:ascii="Arial" w:hAnsi="Arial" w:cs="Arial"/>
          <w:b/>
          <w:sz w:val="24"/>
        </w:rPr>
        <w:t>Access</w:t>
      </w:r>
    </w:p>
    <w:p w14:paraId="2BBB7E88" w14:textId="77777777" w:rsidR="00F5117F" w:rsidRDefault="00F5117F" w:rsidP="00F5117F">
      <w:pPr>
        <w:rPr>
          <w:rFonts w:ascii="Arial" w:hAnsi="Arial" w:cs="Arial"/>
          <w:i/>
          <w:sz w:val="24"/>
        </w:rPr>
      </w:pPr>
      <w:r w:rsidRPr="00F5117F">
        <w:rPr>
          <w:rFonts w:ascii="Arial" w:hAnsi="Arial" w:cs="Arial"/>
          <w:i/>
          <w:sz w:val="24"/>
        </w:rPr>
        <w:t>Access to health care services is important for promoting and maintaining</w:t>
      </w:r>
      <w:r>
        <w:rPr>
          <w:rFonts w:ascii="Arial" w:hAnsi="Arial" w:cs="Arial"/>
          <w:i/>
          <w:sz w:val="24"/>
        </w:rPr>
        <w:t xml:space="preserve"> </w:t>
      </w:r>
      <w:r w:rsidRPr="00F5117F">
        <w:rPr>
          <w:rFonts w:ascii="Arial" w:hAnsi="Arial" w:cs="Arial"/>
          <w:i/>
          <w:sz w:val="24"/>
        </w:rPr>
        <w:t>health, preventing and managing illness, reducing unnecessary disability and</w:t>
      </w:r>
      <w:r>
        <w:rPr>
          <w:rFonts w:ascii="Arial" w:hAnsi="Arial" w:cs="Arial"/>
          <w:i/>
          <w:sz w:val="24"/>
        </w:rPr>
        <w:t xml:space="preserve"> </w:t>
      </w:r>
      <w:r w:rsidRPr="00F5117F">
        <w:rPr>
          <w:rFonts w:ascii="Arial" w:hAnsi="Arial" w:cs="Arial"/>
          <w:i/>
          <w:sz w:val="24"/>
        </w:rPr>
        <w:t>premature death, and achieving health equity for Victorian adolescents.</w:t>
      </w:r>
    </w:p>
    <w:p w14:paraId="52F1E8D1" w14:textId="77777777" w:rsidR="00F5117F" w:rsidRPr="00F5117F" w:rsidRDefault="00F5117F" w:rsidP="00F5117F">
      <w:pPr>
        <w:pStyle w:val="ListParagraph"/>
        <w:numPr>
          <w:ilvl w:val="0"/>
          <w:numId w:val="36"/>
        </w:numPr>
        <w:rPr>
          <w:rFonts w:ascii="Arial" w:hAnsi="Arial" w:cs="Arial"/>
          <w:sz w:val="24"/>
        </w:rPr>
      </w:pPr>
      <w:r w:rsidRPr="00F5117F">
        <w:rPr>
          <w:rFonts w:ascii="Arial" w:hAnsi="Arial" w:cs="Arial"/>
          <w:sz w:val="24"/>
        </w:rPr>
        <w:t>4 in 5 Year 8 and 11 students believe that they can access physical and dental health services when needed.</w:t>
      </w:r>
    </w:p>
    <w:p w14:paraId="257D89B9" w14:textId="77777777" w:rsidR="008A13E2" w:rsidRDefault="00F5117F" w:rsidP="008A13E2">
      <w:pPr>
        <w:rPr>
          <w:rFonts w:ascii="Arial" w:hAnsi="Arial" w:cs="Arial"/>
          <w:i/>
          <w:sz w:val="24"/>
        </w:rPr>
      </w:pPr>
      <w:r w:rsidRPr="00F5117F">
        <w:rPr>
          <w:rFonts w:ascii="Arial" w:hAnsi="Arial" w:cs="Arial"/>
          <w:i/>
          <w:sz w:val="24"/>
        </w:rPr>
        <w:t>Source: Victorian Student Health and Wellbeing Survey 2018</w:t>
      </w:r>
    </w:p>
    <w:p w14:paraId="5C1931FB" w14:textId="77777777" w:rsidR="00F5117F" w:rsidRDefault="00F5117F" w:rsidP="008A13E2">
      <w:pPr>
        <w:rPr>
          <w:rFonts w:ascii="Arial" w:hAnsi="Arial" w:cs="Arial"/>
          <w:i/>
          <w:sz w:val="24"/>
        </w:rPr>
      </w:pPr>
    </w:p>
    <w:p w14:paraId="4D9F57BA" w14:textId="77777777" w:rsidR="002A1CF9" w:rsidRPr="002A1CF9" w:rsidRDefault="002A1CF9" w:rsidP="008A13E2">
      <w:pPr>
        <w:rPr>
          <w:rFonts w:ascii="Arial" w:hAnsi="Arial" w:cs="Arial"/>
          <w:b/>
          <w:sz w:val="24"/>
        </w:rPr>
      </w:pPr>
      <w:r w:rsidRPr="002A1CF9">
        <w:rPr>
          <w:rFonts w:ascii="Arial" w:hAnsi="Arial" w:cs="Arial"/>
          <w:b/>
          <w:sz w:val="24"/>
        </w:rPr>
        <w:t>Risky behaviours</w:t>
      </w:r>
    </w:p>
    <w:p w14:paraId="74F569D6" w14:textId="77777777" w:rsidR="002A1CF9" w:rsidRPr="002A1CF9" w:rsidRDefault="002A1CF9" w:rsidP="002A1CF9">
      <w:pPr>
        <w:rPr>
          <w:rFonts w:ascii="Arial" w:hAnsi="Arial" w:cs="Arial"/>
          <w:i/>
          <w:sz w:val="24"/>
        </w:rPr>
      </w:pPr>
      <w:r w:rsidRPr="002A1CF9">
        <w:rPr>
          <w:rFonts w:ascii="Arial" w:hAnsi="Arial" w:cs="Arial"/>
          <w:i/>
          <w:sz w:val="24"/>
        </w:rPr>
        <w:t>The use of alcohol, tobacco or illicit drugs can have lasting</w:t>
      </w:r>
      <w:r>
        <w:rPr>
          <w:rFonts w:ascii="Arial" w:hAnsi="Arial" w:cs="Arial"/>
          <w:i/>
          <w:sz w:val="24"/>
        </w:rPr>
        <w:t xml:space="preserve"> </w:t>
      </w:r>
      <w:r w:rsidRPr="002A1CF9">
        <w:rPr>
          <w:rFonts w:ascii="Arial" w:hAnsi="Arial" w:cs="Arial"/>
          <w:i/>
          <w:sz w:val="24"/>
        </w:rPr>
        <w:t>consequences for a young person’s health, wellbeing and life outcomes.</w:t>
      </w:r>
    </w:p>
    <w:p w14:paraId="05EA2CD5" w14:textId="77777777" w:rsidR="00F5117F" w:rsidRPr="00BB372B" w:rsidRDefault="002A1CF9" w:rsidP="00BB372B">
      <w:pPr>
        <w:pStyle w:val="ListParagraph"/>
        <w:numPr>
          <w:ilvl w:val="0"/>
          <w:numId w:val="36"/>
        </w:numPr>
        <w:rPr>
          <w:rFonts w:ascii="Arial" w:hAnsi="Arial" w:cs="Arial"/>
          <w:sz w:val="24"/>
        </w:rPr>
      </w:pPr>
      <w:r w:rsidRPr="00BB372B">
        <w:rPr>
          <w:rFonts w:ascii="Arial" w:hAnsi="Arial" w:cs="Arial"/>
          <w:sz w:val="24"/>
        </w:rPr>
        <w:t>The proportion of adolescent students who report recent regular consumption</w:t>
      </w:r>
      <w:r w:rsidR="00E576D5" w:rsidRPr="00BB372B">
        <w:rPr>
          <w:rFonts w:ascii="Arial" w:hAnsi="Arial" w:cs="Arial"/>
          <w:sz w:val="24"/>
        </w:rPr>
        <w:t xml:space="preserve"> </w:t>
      </w:r>
      <w:r w:rsidRPr="00BB372B">
        <w:rPr>
          <w:rFonts w:ascii="Arial" w:hAnsi="Arial" w:cs="Arial"/>
          <w:sz w:val="24"/>
        </w:rPr>
        <w:t>of an illicit drug, tobacco or alcohol has declined over the past five years.</w:t>
      </w:r>
    </w:p>
    <w:tbl>
      <w:tblPr>
        <w:tblStyle w:val="TableGrid"/>
        <w:tblW w:w="0" w:type="auto"/>
        <w:tblLook w:val="04A0" w:firstRow="1" w:lastRow="0" w:firstColumn="1" w:lastColumn="0" w:noHBand="0" w:noVBand="1"/>
        <w:tblDescription w:val="This table shows the proportion of Victorian students in Years 8 and 11 who currently undertake risky behaviours, 2014, 2016 and 2018"/>
      </w:tblPr>
      <w:tblGrid>
        <w:gridCol w:w="2267"/>
        <w:gridCol w:w="2249"/>
        <w:gridCol w:w="2250"/>
        <w:gridCol w:w="2250"/>
      </w:tblGrid>
      <w:tr w:rsidR="00E576D5" w14:paraId="741C228B" w14:textId="77777777" w:rsidTr="007005E8">
        <w:trPr>
          <w:tblHeader/>
        </w:trPr>
        <w:tc>
          <w:tcPr>
            <w:tcW w:w="2310" w:type="dxa"/>
          </w:tcPr>
          <w:p w14:paraId="03C6A50D" w14:textId="77777777" w:rsidR="00E576D5" w:rsidRDefault="00E576D5" w:rsidP="002A1CF9">
            <w:pPr>
              <w:rPr>
                <w:rFonts w:ascii="Arial" w:hAnsi="Arial" w:cs="Arial"/>
                <w:sz w:val="24"/>
              </w:rPr>
            </w:pPr>
          </w:p>
        </w:tc>
        <w:tc>
          <w:tcPr>
            <w:tcW w:w="2310" w:type="dxa"/>
          </w:tcPr>
          <w:p w14:paraId="76B683A4" w14:textId="77777777" w:rsidR="00E576D5" w:rsidRDefault="00E576D5" w:rsidP="002A1CF9">
            <w:pPr>
              <w:rPr>
                <w:rFonts w:ascii="Arial" w:hAnsi="Arial" w:cs="Arial"/>
                <w:sz w:val="24"/>
              </w:rPr>
            </w:pPr>
            <w:r>
              <w:rPr>
                <w:rFonts w:ascii="Arial" w:hAnsi="Arial" w:cs="Arial"/>
                <w:sz w:val="24"/>
              </w:rPr>
              <w:t>2014</w:t>
            </w:r>
          </w:p>
        </w:tc>
        <w:tc>
          <w:tcPr>
            <w:tcW w:w="2311" w:type="dxa"/>
          </w:tcPr>
          <w:p w14:paraId="52E512F4" w14:textId="77777777" w:rsidR="00E576D5" w:rsidRDefault="00E576D5" w:rsidP="002A1CF9">
            <w:pPr>
              <w:rPr>
                <w:rFonts w:ascii="Arial" w:hAnsi="Arial" w:cs="Arial"/>
                <w:sz w:val="24"/>
              </w:rPr>
            </w:pPr>
            <w:r>
              <w:rPr>
                <w:rFonts w:ascii="Arial" w:hAnsi="Arial" w:cs="Arial"/>
                <w:sz w:val="24"/>
              </w:rPr>
              <w:t>2016</w:t>
            </w:r>
          </w:p>
        </w:tc>
        <w:tc>
          <w:tcPr>
            <w:tcW w:w="2311" w:type="dxa"/>
          </w:tcPr>
          <w:p w14:paraId="3914F588" w14:textId="77777777" w:rsidR="00E576D5" w:rsidRDefault="00E576D5" w:rsidP="002A1CF9">
            <w:pPr>
              <w:rPr>
                <w:rFonts w:ascii="Arial" w:hAnsi="Arial" w:cs="Arial"/>
                <w:sz w:val="24"/>
              </w:rPr>
            </w:pPr>
            <w:r>
              <w:rPr>
                <w:rFonts w:ascii="Arial" w:hAnsi="Arial" w:cs="Arial"/>
                <w:sz w:val="24"/>
              </w:rPr>
              <w:t>2018</w:t>
            </w:r>
          </w:p>
        </w:tc>
      </w:tr>
      <w:tr w:rsidR="00E576D5" w14:paraId="7A1F1483" w14:textId="77777777" w:rsidTr="00E576D5">
        <w:tc>
          <w:tcPr>
            <w:tcW w:w="2310" w:type="dxa"/>
          </w:tcPr>
          <w:p w14:paraId="76661AEA" w14:textId="77777777" w:rsidR="00E576D5" w:rsidRDefault="00E576D5" w:rsidP="002A1CF9">
            <w:pPr>
              <w:rPr>
                <w:rFonts w:ascii="Arial" w:hAnsi="Arial" w:cs="Arial"/>
                <w:sz w:val="24"/>
              </w:rPr>
            </w:pPr>
            <w:r>
              <w:rPr>
                <w:rFonts w:ascii="Arial" w:hAnsi="Arial" w:cs="Arial"/>
                <w:sz w:val="24"/>
              </w:rPr>
              <w:t>Year 8 – take illicit drugs</w:t>
            </w:r>
          </w:p>
        </w:tc>
        <w:tc>
          <w:tcPr>
            <w:tcW w:w="2310" w:type="dxa"/>
          </w:tcPr>
          <w:p w14:paraId="46237CEB" w14:textId="77777777" w:rsidR="00E576D5" w:rsidRDefault="00E576D5" w:rsidP="002A1CF9">
            <w:pPr>
              <w:rPr>
                <w:rFonts w:ascii="Arial" w:hAnsi="Arial" w:cs="Arial"/>
                <w:sz w:val="24"/>
              </w:rPr>
            </w:pPr>
            <w:r>
              <w:rPr>
                <w:rFonts w:ascii="Arial" w:hAnsi="Arial" w:cs="Arial"/>
                <w:sz w:val="24"/>
              </w:rPr>
              <w:t>4%</w:t>
            </w:r>
          </w:p>
        </w:tc>
        <w:tc>
          <w:tcPr>
            <w:tcW w:w="2311" w:type="dxa"/>
          </w:tcPr>
          <w:p w14:paraId="5A7C0B3A" w14:textId="77777777" w:rsidR="00E576D5" w:rsidRDefault="00E576D5" w:rsidP="002A1CF9">
            <w:pPr>
              <w:rPr>
                <w:rFonts w:ascii="Arial" w:hAnsi="Arial" w:cs="Arial"/>
                <w:sz w:val="24"/>
              </w:rPr>
            </w:pPr>
            <w:r>
              <w:rPr>
                <w:rFonts w:ascii="Arial" w:hAnsi="Arial" w:cs="Arial"/>
                <w:sz w:val="24"/>
              </w:rPr>
              <w:t>5%</w:t>
            </w:r>
          </w:p>
        </w:tc>
        <w:tc>
          <w:tcPr>
            <w:tcW w:w="2311" w:type="dxa"/>
          </w:tcPr>
          <w:p w14:paraId="63C79153" w14:textId="77777777" w:rsidR="00E576D5" w:rsidRDefault="00E576D5" w:rsidP="002A1CF9">
            <w:pPr>
              <w:rPr>
                <w:rFonts w:ascii="Arial" w:hAnsi="Arial" w:cs="Arial"/>
                <w:sz w:val="24"/>
              </w:rPr>
            </w:pPr>
            <w:r>
              <w:rPr>
                <w:rFonts w:ascii="Arial" w:hAnsi="Arial" w:cs="Arial"/>
                <w:sz w:val="24"/>
              </w:rPr>
              <w:t>4%</w:t>
            </w:r>
          </w:p>
        </w:tc>
      </w:tr>
      <w:tr w:rsidR="00E576D5" w14:paraId="75701F5D" w14:textId="77777777" w:rsidTr="00E576D5">
        <w:tc>
          <w:tcPr>
            <w:tcW w:w="2310" w:type="dxa"/>
          </w:tcPr>
          <w:p w14:paraId="1562CCFE" w14:textId="77777777" w:rsidR="00E576D5" w:rsidRDefault="00E576D5" w:rsidP="00E576D5">
            <w:pPr>
              <w:rPr>
                <w:rFonts w:ascii="Arial" w:hAnsi="Arial" w:cs="Arial"/>
                <w:sz w:val="24"/>
              </w:rPr>
            </w:pPr>
            <w:r>
              <w:rPr>
                <w:rFonts w:ascii="Arial" w:hAnsi="Arial" w:cs="Arial"/>
                <w:sz w:val="24"/>
              </w:rPr>
              <w:t>Year 8 – consume tobacco</w:t>
            </w:r>
          </w:p>
        </w:tc>
        <w:tc>
          <w:tcPr>
            <w:tcW w:w="2310" w:type="dxa"/>
          </w:tcPr>
          <w:p w14:paraId="0A5EF93A" w14:textId="77777777" w:rsidR="00E576D5" w:rsidRDefault="00E576D5" w:rsidP="002A1CF9">
            <w:pPr>
              <w:rPr>
                <w:rFonts w:ascii="Arial" w:hAnsi="Arial" w:cs="Arial"/>
                <w:sz w:val="24"/>
              </w:rPr>
            </w:pPr>
            <w:r>
              <w:rPr>
                <w:rFonts w:ascii="Arial" w:hAnsi="Arial" w:cs="Arial"/>
                <w:sz w:val="24"/>
              </w:rPr>
              <w:t>4%</w:t>
            </w:r>
          </w:p>
        </w:tc>
        <w:tc>
          <w:tcPr>
            <w:tcW w:w="2311" w:type="dxa"/>
          </w:tcPr>
          <w:p w14:paraId="788BEE73" w14:textId="77777777" w:rsidR="00E576D5" w:rsidRDefault="00E576D5" w:rsidP="002A1CF9">
            <w:pPr>
              <w:rPr>
                <w:rFonts w:ascii="Arial" w:hAnsi="Arial" w:cs="Arial"/>
                <w:sz w:val="24"/>
              </w:rPr>
            </w:pPr>
            <w:r>
              <w:rPr>
                <w:rFonts w:ascii="Arial" w:hAnsi="Arial" w:cs="Arial"/>
                <w:sz w:val="24"/>
              </w:rPr>
              <w:t>3%</w:t>
            </w:r>
          </w:p>
        </w:tc>
        <w:tc>
          <w:tcPr>
            <w:tcW w:w="2311" w:type="dxa"/>
          </w:tcPr>
          <w:p w14:paraId="2B479D73" w14:textId="77777777" w:rsidR="00E576D5" w:rsidRDefault="00E576D5" w:rsidP="002A1CF9">
            <w:pPr>
              <w:rPr>
                <w:rFonts w:ascii="Arial" w:hAnsi="Arial" w:cs="Arial"/>
                <w:sz w:val="24"/>
              </w:rPr>
            </w:pPr>
            <w:r>
              <w:rPr>
                <w:rFonts w:ascii="Arial" w:hAnsi="Arial" w:cs="Arial"/>
                <w:sz w:val="24"/>
              </w:rPr>
              <w:t>3%</w:t>
            </w:r>
          </w:p>
        </w:tc>
      </w:tr>
      <w:tr w:rsidR="00E576D5" w14:paraId="2E06F26B" w14:textId="77777777" w:rsidTr="00E576D5">
        <w:tc>
          <w:tcPr>
            <w:tcW w:w="2310" w:type="dxa"/>
          </w:tcPr>
          <w:p w14:paraId="697023C6" w14:textId="77777777" w:rsidR="00E576D5" w:rsidRDefault="00E576D5" w:rsidP="002A1CF9">
            <w:pPr>
              <w:rPr>
                <w:rFonts w:ascii="Arial" w:hAnsi="Arial" w:cs="Arial"/>
                <w:sz w:val="24"/>
              </w:rPr>
            </w:pPr>
            <w:r>
              <w:rPr>
                <w:rFonts w:ascii="Arial" w:hAnsi="Arial" w:cs="Arial"/>
                <w:sz w:val="24"/>
              </w:rPr>
              <w:t>Year 8 – drink alcohol</w:t>
            </w:r>
          </w:p>
        </w:tc>
        <w:tc>
          <w:tcPr>
            <w:tcW w:w="2310" w:type="dxa"/>
          </w:tcPr>
          <w:p w14:paraId="0E195FD7" w14:textId="77777777" w:rsidR="00E576D5" w:rsidRDefault="00E576D5" w:rsidP="002A1CF9">
            <w:pPr>
              <w:rPr>
                <w:rFonts w:ascii="Arial" w:hAnsi="Arial" w:cs="Arial"/>
                <w:sz w:val="24"/>
              </w:rPr>
            </w:pPr>
            <w:r>
              <w:rPr>
                <w:rFonts w:ascii="Arial" w:hAnsi="Arial" w:cs="Arial"/>
                <w:sz w:val="24"/>
              </w:rPr>
              <w:t>9%</w:t>
            </w:r>
          </w:p>
        </w:tc>
        <w:tc>
          <w:tcPr>
            <w:tcW w:w="2311" w:type="dxa"/>
          </w:tcPr>
          <w:p w14:paraId="7E7E66B6" w14:textId="77777777" w:rsidR="00E576D5" w:rsidRDefault="00E576D5" w:rsidP="002A1CF9">
            <w:pPr>
              <w:rPr>
                <w:rFonts w:ascii="Arial" w:hAnsi="Arial" w:cs="Arial"/>
                <w:sz w:val="24"/>
              </w:rPr>
            </w:pPr>
            <w:r>
              <w:rPr>
                <w:rFonts w:ascii="Arial" w:hAnsi="Arial" w:cs="Arial"/>
                <w:sz w:val="24"/>
              </w:rPr>
              <w:t>8%</w:t>
            </w:r>
          </w:p>
        </w:tc>
        <w:tc>
          <w:tcPr>
            <w:tcW w:w="2311" w:type="dxa"/>
          </w:tcPr>
          <w:p w14:paraId="52374961" w14:textId="77777777" w:rsidR="00E576D5" w:rsidRDefault="00E576D5" w:rsidP="002A1CF9">
            <w:pPr>
              <w:rPr>
                <w:rFonts w:ascii="Arial" w:hAnsi="Arial" w:cs="Arial"/>
                <w:sz w:val="24"/>
              </w:rPr>
            </w:pPr>
            <w:r>
              <w:rPr>
                <w:rFonts w:ascii="Arial" w:hAnsi="Arial" w:cs="Arial"/>
                <w:sz w:val="24"/>
              </w:rPr>
              <w:t>8%</w:t>
            </w:r>
          </w:p>
        </w:tc>
      </w:tr>
      <w:tr w:rsidR="00E576D5" w14:paraId="64E7909B" w14:textId="77777777" w:rsidTr="00E576D5">
        <w:tc>
          <w:tcPr>
            <w:tcW w:w="2310" w:type="dxa"/>
          </w:tcPr>
          <w:p w14:paraId="5B8EC717" w14:textId="77777777" w:rsidR="00E576D5" w:rsidRDefault="00E576D5" w:rsidP="00467486">
            <w:pPr>
              <w:rPr>
                <w:rFonts w:ascii="Arial" w:hAnsi="Arial" w:cs="Arial"/>
                <w:sz w:val="24"/>
              </w:rPr>
            </w:pPr>
            <w:r>
              <w:rPr>
                <w:rFonts w:ascii="Arial" w:hAnsi="Arial" w:cs="Arial"/>
                <w:sz w:val="24"/>
              </w:rPr>
              <w:t>Year 11 – take illicit drugs</w:t>
            </w:r>
          </w:p>
        </w:tc>
        <w:tc>
          <w:tcPr>
            <w:tcW w:w="2310" w:type="dxa"/>
          </w:tcPr>
          <w:p w14:paraId="0F789D7E" w14:textId="77777777" w:rsidR="00E576D5" w:rsidRDefault="00E576D5" w:rsidP="002A1CF9">
            <w:pPr>
              <w:rPr>
                <w:rFonts w:ascii="Arial" w:hAnsi="Arial" w:cs="Arial"/>
                <w:sz w:val="24"/>
              </w:rPr>
            </w:pPr>
            <w:r>
              <w:rPr>
                <w:rFonts w:ascii="Arial" w:hAnsi="Arial" w:cs="Arial"/>
                <w:sz w:val="24"/>
              </w:rPr>
              <w:t>13%</w:t>
            </w:r>
          </w:p>
        </w:tc>
        <w:tc>
          <w:tcPr>
            <w:tcW w:w="2311" w:type="dxa"/>
          </w:tcPr>
          <w:p w14:paraId="213E9FFA" w14:textId="77777777" w:rsidR="00E576D5" w:rsidRDefault="00E576D5" w:rsidP="002A1CF9">
            <w:pPr>
              <w:rPr>
                <w:rFonts w:ascii="Arial" w:hAnsi="Arial" w:cs="Arial"/>
                <w:sz w:val="24"/>
              </w:rPr>
            </w:pPr>
            <w:r>
              <w:rPr>
                <w:rFonts w:ascii="Arial" w:hAnsi="Arial" w:cs="Arial"/>
                <w:sz w:val="24"/>
              </w:rPr>
              <w:t>13%</w:t>
            </w:r>
          </w:p>
        </w:tc>
        <w:tc>
          <w:tcPr>
            <w:tcW w:w="2311" w:type="dxa"/>
          </w:tcPr>
          <w:p w14:paraId="7A8BEBF2" w14:textId="77777777" w:rsidR="00E576D5" w:rsidRDefault="00E576D5" w:rsidP="002A1CF9">
            <w:pPr>
              <w:rPr>
                <w:rFonts w:ascii="Arial" w:hAnsi="Arial" w:cs="Arial"/>
                <w:sz w:val="24"/>
              </w:rPr>
            </w:pPr>
            <w:r>
              <w:rPr>
                <w:rFonts w:ascii="Arial" w:hAnsi="Arial" w:cs="Arial"/>
                <w:sz w:val="24"/>
              </w:rPr>
              <w:t>10%</w:t>
            </w:r>
          </w:p>
        </w:tc>
      </w:tr>
      <w:tr w:rsidR="00E576D5" w14:paraId="055451D6" w14:textId="77777777" w:rsidTr="00E576D5">
        <w:tc>
          <w:tcPr>
            <w:tcW w:w="2310" w:type="dxa"/>
          </w:tcPr>
          <w:p w14:paraId="22A38784" w14:textId="77777777" w:rsidR="00E576D5" w:rsidRDefault="00E576D5" w:rsidP="00467486">
            <w:pPr>
              <w:rPr>
                <w:rFonts w:ascii="Arial" w:hAnsi="Arial" w:cs="Arial"/>
                <w:sz w:val="24"/>
              </w:rPr>
            </w:pPr>
            <w:r>
              <w:rPr>
                <w:rFonts w:ascii="Arial" w:hAnsi="Arial" w:cs="Arial"/>
                <w:sz w:val="24"/>
              </w:rPr>
              <w:t>Year 11 – consume tobacco</w:t>
            </w:r>
          </w:p>
        </w:tc>
        <w:tc>
          <w:tcPr>
            <w:tcW w:w="2310" w:type="dxa"/>
          </w:tcPr>
          <w:p w14:paraId="76929A6F" w14:textId="77777777" w:rsidR="00E576D5" w:rsidRDefault="00E576D5" w:rsidP="002A1CF9">
            <w:pPr>
              <w:rPr>
                <w:rFonts w:ascii="Arial" w:hAnsi="Arial" w:cs="Arial"/>
                <w:sz w:val="24"/>
              </w:rPr>
            </w:pPr>
            <w:r>
              <w:rPr>
                <w:rFonts w:ascii="Arial" w:hAnsi="Arial" w:cs="Arial"/>
                <w:sz w:val="24"/>
              </w:rPr>
              <w:t>20%</w:t>
            </w:r>
          </w:p>
        </w:tc>
        <w:tc>
          <w:tcPr>
            <w:tcW w:w="2311" w:type="dxa"/>
          </w:tcPr>
          <w:p w14:paraId="713B791A" w14:textId="77777777" w:rsidR="00E576D5" w:rsidRDefault="00E576D5" w:rsidP="002A1CF9">
            <w:pPr>
              <w:rPr>
                <w:rFonts w:ascii="Arial" w:hAnsi="Arial" w:cs="Arial"/>
                <w:sz w:val="24"/>
              </w:rPr>
            </w:pPr>
            <w:r>
              <w:rPr>
                <w:rFonts w:ascii="Arial" w:hAnsi="Arial" w:cs="Arial"/>
                <w:sz w:val="24"/>
              </w:rPr>
              <w:t>15%</w:t>
            </w:r>
          </w:p>
        </w:tc>
        <w:tc>
          <w:tcPr>
            <w:tcW w:w="2311" w:type="dxa"/>
          </w:tcPr>
          <w:p w14:paraId="11A1C020" w14:textId="77777777" w:rsidR="00E576D5" w:rsidRDefault="00E576D5" w:rsidP="002A1CF9">
            <w:pPr>
              <w:rPr>
                <w:rFonts w:ascii="Arial" w:hAnsi="Arial" w:cs="Arial"/>
                <w:sz w:val="24"/>
              </w:rPr>
            </w:pPr>
            <w:r>
              <w:rPr>
                <w:rFonts w:ascii="Arial" w:hAnsi="Arial" w:cs="Arial"/>
                <w:sz w:val="24"/>
              </w:rPr>
              <w:t>13%</w:t>
            </w:r>
          </w:p>
        </w:tc>
      </w:tr>
      <w:tr w:rsidR="00E576D5" w14:paraId="5C408E6D" w14:textId="77777777" w:rsidTr="00E576D5">
        <w:tc>
          <w:tcPr>
            <w:tcW w:w="2310" w:type="dxa"/>
          </w:tcPr>
          <w:p w14:paraId="0ED439CA" w14:textId="77777777" w:rsidR="00E576D5" w:rsidRDefault="00E576D5" w:rsidP="00467486">
            <w:pPr>
              <w:rPr>
                <w:rFonts w:ascii="Arial" w:hAnsi="Arial" w:cs="Arial"/>
                <w:sz w:val="24"/>
              </w:rPr>
            </w:pPr>
            <w:r>
              <w:rPr>
                <w:rFonts w:ascii="Arial" w:hAnsi="Arial" w:cs="Arial"/>
                <w:sz w:val="24"/>
              </w:rPr>
              <w:t>Year 11 – drink alcohol</w:t>
            </w:r>
          </w:p>
        </w:tc>
        <w:tc>
          <w:tcPr>
            <w:tcW w:w="2310" w:type="dxa"/>
          </w:tcPr>
          <w:p w14:paraId="7EB9B2F3" w14:textId="77777777" w:rsidR="00E576D5" w:rsidRDefault="00E576D5" w:rsidP="002A1CF9">
            <w:pPr>
              <w:rPr>
                <w:rFonts w:ascii="Arial" w:hAnsi="Arial" w:cs="Arial"/>
                <w:sz w:val="24"/>
              </w:rPr>
            </w:pPr>
            <w:r>
              <w:rPr>
                <w:rFonts w:ascii="Arial" w:hAnsi="Arial" w:cs="Arial"/>
                <w:sz w:val="24"/>
              </w:rPr>
              <w:t>38%</w:t>
            </w:r>
          </w:p>
        </w:tc>
        <w:tc>
          <w:tcPr>
            <w:tcW w:w="2311" w:type="dxa"/>
          </w:tcPr>
          <w:p w14:paraId="351319CD" w14:textId="77777777" w:rsidR="00E576D5" w:rsidRDefault="00E576D5" w:rsidP="002A1CF9">
            <w:pPr>
              <w:rPr>
                <w:rFonts w:ascii="Arial" w:hAnsi="Arial" w:cs="Arial"/>
                <w:sz w:val="24"/>
              </w:rPr>
            </w:pPr>
            <w:r>
              <w:rPr>
                <w:rFonts w:ascii="Arial" w:hAnsi="Arial" w:cs="Arial"/>
                <w:sz w:val="24"/>
              </w:rPr>
              <w:t>36%</w:t>
            </w:r>
          </w:p>
        </w:tc>
        <w:tc>
          <w:tcPr>
            <w:tcW w:w="2311" w:type="dxa"/>
          </w:tcPr>
          <w:p w14:paraId="38D19B53" w14:textId="77777777" w:rsidR="00E576D5" w:rsidRDefault="00E576D5" w:rsidP="002A1CF9">
            <w:pPr>
              <w:rPr>
                <w:rFonts w:ascii="Arial" w:hAnsi="Arial" w:cs="Arial"/>
                <w:sz w:val="24"/>
              </w:rPr>
            </w:pPr>
            <w:r>
              <w:rPr>
                <w:rFonts w:ascii="Arial" w:hAnsi="Arial" w:cs="Arial"/>
                <w:sz w:val="24"/>
              </w:rPr>
              <w:t>31%</w:t>
            </w:r>
          </w:p>
        </w:tc>
      </w:tr>
    </w:tbl>
    <w:p w14:paraId="33A4CC2E" w14:textId="77777777" w:rsidR="00E576D5" w:rsidRDefault="00E576D5" w:rsidP="00E576D5">
      <w:pPr>
        <w:rPr>
          <w:rFonts w:ascii="Arial" w:hAnsi="Arial" w:cs="Arial"/>
          <w:i/>
          <w:sz w:val="24"/>
        </w:rPr>
      </w:pPr>
      <w:r w:rsidRPr="00F5117F">
        <w:rPr>
          <w:rFonts w:ascii="Arial" w:hAnsi="Arial" w:cs="Arial"/>
          <w:i/>
          <w:sz w:val="24"/>
        </w:rPr>
        <w:t>Source: Victorian Student Health and Wellbeing Survey 2018</w:t>
      </w:r>
    </w:p>
    <w:p w14:paraId="5439DFB8" w14:textId="77777777" w:rsidR="00E576D5" w:rsidRPr="00E576D5" w:rsidRDefault="00E576D5" w:rsidP="002A1CF9">
      <w:pPr>
        <w:rPr>
          <w:rFonts w:ascii="Arial" w:hAnsi="Arial" w:cs="Arial"/>
          <w:sz w:val="24"/>
        </w:rPr>
      </w:pPr>
    </w:p>
    <w:p w14:paraId="4B487BF8" w14:textId="77777777" w:rsidR="0022345D" w:rsidRPr="008A13E2" w:rsidRDefault="0022345D" w:rsidP="008A13E2">
      <w:pPr>
        <w:rPr>
          <w:rFonts w:ascii="Arial" w:hAnsi="Arial" w:cs="Arial"/>
          <w:i/>
        </w:rPr>
      </w:pPr>
      <w:r w:rsidRPr="008A13E2">
        <w:rPr>
          <w:rFonts w:ascii="Arial" w:hAnsi="Arial" w:cs="Arial"/>
          <w:i/>
        </w:rPr>
        <w:br w:type="page"/>
      </w:r>
    </w:p>
    <w:p w14:paraId="36C8C90A" w14:textId="77777777" w:rsidR="0022345D" w:rsidRDefault="0022345D" w:rsidP="0022345D">
      <w:pPr>
        <w:pStyle w:val="Heading2"/>
        <w:rPr>
          <w:rFonts w:ascii="Arial" w:hAnsi="Arial" w:cs="Arial"/>
          <w:color w:val="auto"/>
        </w:rPr>
      </w:pPr>
      <w:bookmarkStart w:id="9" w:name="_Toc33527734"/>
      <w:r w:rsidRPr="0022345D">
        <w:rPr>
          <w:rFonts w:ascii="Arial" w:hAnsi="Arial" w:cs="Arial"/>
          <w:color w:val="auto"/>
        </w:rPr>
        <w:lastRenderedPageBreak/>
        <w:t>INTRODUCTION</w:t>
      </w:r>
      <w:bookmarkEnd w:id="9"/>
    </w:p>
    <w:p w14:paraId="4FD54658" w14:textId="77777777" w:rsidR="0022345D" w:rsidRPr="0022345D" w:rsidRDefault="0022345D" w:rsidP="0022345D">
      <w:pPr>
        <w:rPr>
          <w:rFonts w:ascii="Arial" w:hAnsi="Arial" w:cs="Arial"/>
          <w:sz w:val="24"/>
        </w:rPr>
      </w:pPr>
      <w:r w:rsidRPr="0022345D">
        <w:rPr>
          <w:rFonts w:ascii="Arial" w:hAnsi="Arial" w:cs="Arial"/>
          <w:sz w:val="24"/>
        </w:rPr>
        <w:t>The physical aspect of adolescence – the arrival at reproductive maturity through puberty – can be understood as the product of recurring interactions between steroid hormones and the adolescent nervous system (Steinberg, 2017). This process is</w:t>
      </w:r>
      <w:r>
        <w:rPr>
          <w:rFonts w:ascii="Arial" w:hAnsi="Arial" w:cs="Arial"/>
          <w:sz w:val="24"/>
        </w:rPr>
        <w:t xml:space="preserve"> </w:t>
      </w:r>
      <w:r w:rsidRPr="0022345D">
        <w:rPr>
          <w:rFonts w:ascii="Arial" w:hAnsi="Arial" w:cs="Arial"/>
          <w:sz w:val="24"/>
        </w:rPr>
        <w:t>a complex feedback loop between different biological and neurological systems, which works to propel the young individual towards growth and physical maturity.</w:t>
      </w:r>
    </w:p>
    <w:p w14:paraId="43F88346" w14:textId="77777777" w:rsidR="0022345D" w:rsidRDefault="0022345D" w:rsidP="0022345D">
      <w:pPr>
        <w:rPr>
          <w:rFonts w:ascii="Arial" w:hAnsi="Arial" w:cs="Arial"/>
          <w:sz w:val="24"/>
        </w:rPr>
      </w:pPr>
      <w:r w:rsidRPr="0022345D">
        <w:rPr>
          <w:rFonts w:ascii="Arial" w:hAnsi="Arial" w:cs="Arial"/>
          <w:sz w:val="24"/>
        </w:rPr>
        <w:t>Healthy eating, healthy weight and physical activity levels are all key to a young person’s development, with the potential for both positive and negative impacts for general health, social</w:t>
      </w:r>
      <w:r>
        <w:rPr>
          <w:rFonts w:ascii="Arial" w:hAnsi="Arial" w:cs="Arial"/>
          <w:sz w:val="24"/>
        </w:rPr>
        <w:t xml:space="preserve"> </w:t>
      </w:r>
      <w:r w:rsidRPr="0022345D">
        <w:rPr>
          <w:rFonts w:ascii="Arial" w:hAnsi="Arial" w:cs="Arial"/>
          <w:sz w:val="24"/>
        </w:rPr>
        <w:t>interactions, mental health and educational achievement (Patton, et al., 2018). The following sections detail physical changes that affect adolescent development.</w:t>
      </w:r>
    </w:p>
    <w:p w14:paraId="2FD0DE16" w14:textId="77777777" w:rsidR="0022345D" w:rsidRPr="0022345D" w:rsidRDefault="0022345D" w:rsidP="0022345D">
      <w:pPr>
        <w:pStyle w:val="Heading3"/>
        <w:rPr>
          <w:rFonts w:ascii="Arial" w:hAnsi="Arial" w:cs="Arial"/>
          <w:color w:val="auto"/>
          <w:sz w:val="24"/>
        </w:rPr>
      </w:pPr>
      <w:bookmarkStart w:id="10" w:name="_Toc33527735"/>
      <w:r w:rsidRPr="0022345D">
        <w:rPr>
          <w:rFonts w:ascii="Arial" w:hAnsi="Arial" w:cs="Arial"/>
          <w:color w:val="auto"/>
          <w:sz w:val="24"/>
        </w:rPr>
        <w:t>2.1</w:t>
      </w:r>
      <w:r w:rsidRPr="0022345D">
        <w:rPr>
          <w:rFonts w:ascii="Arial" w:hAnsi="Arial" w:cs="Arial"/>
          <w:color w:val="auto"/>
          <w:sz w:val="24"/>
        </w:rPr>
        <w:tab/>
      </w:r>
      <w:r w:rsidRPr="00B540DC">
        <w:rPr>
          <w:rFonts w:ascii="Arial" w:hAnsi="Arial" w:cs="Arial"/>
          <w:color w:val="auto"/>
          <w:sz w:val="24"/>
        </w:rPr>
        <w:t>Most adolescents report good health</w:t>
      </w:r>
      <w:bookmarkEnd w:id="10"/>
    </w:p>
    <w:p w14:paraId="7AE4BAAB" w14:textId="77777777" w:rsidR="0022345D" w:rsidRDefault="0022345D" w:rsidP="0022345D">
      <w:pPr>
        <w:rPr>
          <w:rFonts w:ascii="Arial" w:hAnsi="Arial" w:cs="Arial"/>
          <w:sz w:val="24"/>
        </w:rPr>
      </w:pPr>
      <w:r w:rsidRPr="0022345D">
        <w:rPr>
          <w:rFonts w:ascii="Arial" w:hAnsi="Arial" w:cs="Arial"/>
          <w:sz w:val="24"/>
        </w:rPr>
        <w:t>In 2018, four in five secondary school students (Year 8 and 11) believed themselves to be in ‘good health’ or better (83 per cent), according to VSHAWS estimates. However, the proportion of Year 8 students believing themselves in 'good health or better' has declined slightly since 2014.</w:t>
      </w:r>
    </w:p>
    <w:p w14:paraId="33DA39AB" w14:textId="77777777" w:rsidR="00EE76A3" w:rsidRPr="006A299D" w:rsidRDefault="00EE76A3" w:rsidP="0022345D">
      <w:pPr>
        <w:rPr>
          <w:rFonts w:ascii="Arial" w:hAnsi="Arial" w:cs="Arial"/>
          <w:b/>
          <w:sz w:val="24"/>
        </w:rPr>
      </w:pPr>
      <w:r w:rsidRPr="006A299D">
        <w:rPr>
          <w:rFonts w:ascii="Arial" w:hAnsi="Arial" w:cs="Arial"/>
          <w:b/>
          <w:sz w:val="24"/>
        </w:rPr>
        <w:t>Figure 1</w:t>
      </w:r>
      <w:r w:rsidR="006A299D" w:rsidRPr="006A299D">
        <w:rPr>
          <w:rFonts w:ascii="Arial" w:hAnsi="Arial" w:cs="Arial"/>
          <w:b/>
          <w:sz w:val="24"/>
        </w:rPr>
        <w:t>. Proportion of Victorian students (Years 8 &amp; 11) who report 'good health' or better, 2014–2018</w:t>
      </w:r>
    </w:p>
    <w:tbl>
      <w:tblPr>
        <w:tblStyle w:val="TableGrid"/>
        <w:tblW w:w="0" w:type="auto"/>
        <w:tblLook w:val="04A0" w:firstRow="1" w:lastRow="0" w:firstColumn="1" w:lastColumn="0" w:noHBand="0" w:noVBand="1"/>
        <w:tblDescription w:val="This table provides information on the proportion of Victorian students (Years 8 &amp; 11) who report 'good health' or better, 2014–2018"/>
      </w:tblPr>
      <w:tblGrid>
        <w:gridCol w:w="3006"/>
        <w:gridCol w:w="3005"/>
        <w:gridCol w:w="3005"/>
      </w:tblGrid>
      <w:tr w:rsidR="0022345D" w14:paraId="08758BD4" w14:textId="77777777" w:rsidTr="0022345D">
        <w:trPr>
          <w:tblHeader/>
        </w:trPr>
        <w:tc>
          <w:tcPr>
            <w:tcW w:w="3080" w:type="dxa"/>
          </w:tcPr>
          <w:p w14:paraId="55E31F39" w14:textId="77777777" w:rsidR="0022345D" w:rsidRDefault="0022345D" w:rsidP="0022345D">
            <w:pPr>
              <w:rPr>
                <w:rFonts w:ascii="Arial" w:hAnsi="Arial" w:cs="Arial"/>
                <w:sz w:val="24"/>
              </w:rPr>
            </w:pPr>
          </w:p>
        </w:tc>
        <w:tc>
          <w:tcPr>
            <w:tcW w:w="3081" w:type="dxa"/>
          </w:tcPr>
          <w:p w14:paraId="0531C034" w14:textId="77777777" w:rsidR="0022345D" w:rsidRDefault="002C0C18" w:rsidP="0022345D">
            <w:pPr>
              <w:rPr>
                <w:rFonts w:ascii="Arial" w:hAnsi="Arial" w:cs="Arial"/>
                <w:sz w:val="24"/>
              </w:rPr>
            </w:pPr>
            <w:r>
              <w:rPr>
                <w:rFonts w:ascii="Arial" w:hAnsi="Arial" w:cs="Arial"/>
                <w:sz w:val="24"/>
              </w:rPr>
              <w:t>Year 8</w:t>
            </w:r>
          </w:p>
        </w:tc>
        <w:tc>
          <w:tcPr>
            <w:tcW w:w="3081" w:type="dxa"/>
          </w:tcPr>
          <w:p w14:paraId="60A72CFB" w14:textId="77777777" w:rsidR="0022345D" w:rsidRDefault="002C0C18" w:rsidP="0022345D">
            <w:pPr>
              <w:rPr>
                <w:rFonts w:ascii="Arial" w:hAnsi="Arial" w:cs="Arial"/>
                <w:sz w:val="24"/>
              </w:rPr>
            </w:pPr>
            <w:r>
              <w:rPr>
                <w:rFonts w:ascii="Arial" w:hAnsi="Arial" w:cs="Arial"/>
                <w:sz w:val="24"/>
              </w:rPr>
              <w:t>Year 11</w:t>
            </w:r>
          </w:p>
        </w:tc>
      </w:tr>
      <w:tr w:rsidR="0022345D" w14:paraId="4F3517BC" w14:textId="77777777" w:rsidTr="0022345D">
        <w:tc>
          <w:tcPr>
            <w:tcW w:w="3080" w:type="dxa"/>
          </w:tcPr>
          <w:p w14:paraId="2081F40C" w14:textId="77777777" w:rsidR="0022345D" w:rsidRDefault="002C0C18" w:rsidP="0022345D">
            <w:pPr>
              <w:rPr>
                <w:rFonts w:ascii="Arial" w:hAnsi="Arial" w:cs="Arial"/>
                <w:sz w:val="24"/>
              </w:rPr>
            </w:pPr>
            <w:r>
              <w:rPr>
                <w:rFonts w:ascii="Arial" w:hAnsi="Arial" w:cs="Arial"/>
                <w:sz w:val="24"/>
              </w:rPr>
              <w:t>2014</w:t>
            </w:r>
          </w:p>
        </w:tc>
        <w:tc>
          <w:tcPr>
            <w:tcW w:w="3081" w:type="dxa"/>
          </w:tcPr>
          <w:p w14:paraId="347C3465" w14:textId="77777777" w:rsidR="0022345D" w:rsidRDefault="002C0C18" w:rsidP="0022345D">
            <w:pPr>
              <w:rPr>
                <w:rFonts w:ascii="Arial" w:hAnsi="Arial" w:cs="Arial"/>
                <w:sz w:val="24"/>
              </w:rPr>
            </w:pPr>
            <w:r>
              <w:rPr>
                <w:rFonts w:ascii="Arial" w:hAnsi="Arial" w:cs="Arial"/>
                <w:sz w:val="24"/>
              </w:rPr>
              <w:t>87%</w:t>
            </w:r>
          </w:p>
        </w:tc>
        <w:tc>
          <w:tcPr>
            <w:tcW w:w="3081" w:type="dxa"/>
          </w:tcPr>
          <w:p w14:paraId="1BF2DDD6" w14:textId="77777777" w:rsidR="0022345D" w:rsidRDefault="002C0C18" w:rsidP="0022345D">
            <w:pPr>
              <w:rPr>
                <w:rFonts w:ascii="Arial" w:hAnsi="Arial" w:cs="Arial"/>
                <w:sz w:val="24"/>
              </w:rPr>
            </w:pPr>
            <w:r>
              <w:rPr>
                <w:rFonts w:ascii="Arial" w:hAnsi="Arial" w:cs="Arial"/>
                <w:sz w:val="24"/>
              </w:rPr>
              <w:t>81%</w:t>
            </w:r>
          </w:p>
        </w:tc>
      </w:tr>
      <w:tr w:rsidR="0022345D" w14:paraId="10284A48" w14:textId="77777777" w:rsidTr="0022345D">
        <w:tc>
          <w:tcPr>
            <w:tcW w:w="3080" w:type="dxa"/>
          </w:tcPr>
          <w:p w14:paraId="42DC5B97" w14:textId="77777777" w:rsidR="0022345D" w:rsidRDefault="002C0C18" w:rsidP="0022345D">
            <w:pPr>
              <w:rPr>
                <w:rFonts w:ascii="Arial" w:hAnsi="Arial" w:cs="Arial"/>
                <w:sz w:val="24"/>
              </w:rPr>
            </w:pPr>
            <w:r>
              <w:rPr>
                <w:rFonts w:ascii="Arial" w:hAnsi="Arial" w:cs="Arial"/>
                <w:sz w:val="24"/>
              </w:rPr>
              <w:t>2016</w:t>
            </w:r>
          </w:p>
        </w:tc>
        <w:tc>
          <w:tcPr>
            <w:tcW w:w="3081" w:type="dxa"/>
          </w:tcPr>
          <w:p w14:paraId="1AB296F6" w14:textId="77777777" w:rsidR="0022345D" w:rsidRDefault="002C0C18" w:rsidP="0022345D">
            <w:pPr>
              <w:rPr>
                <w:rFonts w:ascii="Arial" w:hAnsi="Arial" w:cs="Arial"/>
                <w:sz w:val="24"/>
              </w:rPr>
            </w:pPr>
            <w:r>
              <w:rPr>
                <w:rFonts w:ascii="Arial" w:hAnsi="Arial" w:cs="Arial"/>
                <w:sz w:val="24"/>
              </w:rPr>
              <w:t>87%</w:t>
            </w:r>
          </w:p>
        </w:tc>
        <w:tc>
          <w:tcPr>
            <w:tcW w:w="3081" w:type="dxa"/>
          </w:tcPr>
          <w:p w14:paraId="50560C72" w14:textId="77777777" w:rsidR="0022345D" w:rsidRDefault="002C0C18" w:rsidP="0022345D">
            <w:pPr>
              <w:rPr>
                <w:rFonts w:ascii="Arial" w:hAnsi="Arial" w:cs="Arial"/>
                <w:sz w:val="24"/>
              </w:rPr>
            </w:pPr>
            <w:r>
              <w:rPr>
                <w:rFonts w:ascii="Arial" w:hAnsi="Arial" w:cs="Arial"/>
                <w:sz w:val="24"/>
              </w:rPr>
              <w:t>83%</w:t>
            </w:r>
          </w:p>
        </w:tc>
      </w:tr>
      <w:tr w:rsidR="0022345D" w14:paraId="51F5F5F7" w14:textId="77777777" w:rsidTr="0022345D">
        <w:tc>
          <w:tcPr>
            <w:tcW w:w="3080" w:type="dxa"/>
          </w:tcPr>
          <w:p w14:paraId="74B66FF7" w14:textId="77777777" w:rsidR="0022345D" w:rsidRDefault="002C0C18" w:rsidP="0022345D">
            <w:pPr>
              <w:rPr>
                <w:rFonts w:ascii="Arial" w:hAnsi="Arial" w:cs="Arial"/>
                <w:sz w:val="24"/>
              </w:rPr>
            </w:pPr>
            <w:r>
              <w:rPr>
                <w:rFonts w:ascii="Arial" w:hAnsi="Arial" w:cs="Arial"/>
                <w:sz w:val="24"/>
              </w:rPr>
              <w:t>2018</w:t>
            </w:r>
          </w:p>
        </w:tc>
        <w:tc>
          <w:tcPr>
            <w:tcW w:w="3081" w:type="dxa"/>
          </w:tcPr>
          <w:p w14:paraId="15F23F55" w14:textId="77777777" w:rsidR="0022345D" w:rsidRDefault="002C0C18" w:rsidP="0022345D">
            <w:pPr>
              <w:rPr>
                <w:rFonts w:ascii="Arial" w:hAnsi="Arial" w:cs="Arial"/>
                <w:sz w:val="24"/>
              </w:rPr>
            </w:pPr>
            <w:r>
              <w:rPr>
                <w:rFonts w:ascii="Arial" w:hAnsi="Arial" w:cs="Arial"/>
                <w:sz w:val="24"/>
              </w:rPr>
              <w:t>85%</w:t>
            </w:r>
          </w:p>
        </w:tc>
        <w:tc>
          <w:tcPr>
            <w:tcW w:w="3081" w:type="dxa"/>
          </w:tcPr>
          <w:p w14:paraId="0974693D" w14:textId="77777777" w:rsidR="0022345D" w:rsidRDefault="002C0C18" w:rsidP="0022345D">
            <w:pPr>
              <w:rPr>
                <w:rFonts w:ascii="Arial" w:hAnsi="Arial" w:cs="Arial"/>
                <w:sz w:val="24"/>
              </w:rPr>
            </w:pPr>
            <w:r>
              <w:rPr>
                <w:rFonts w:ascii="Arial" w:hAnsi="Arial" w:cs="Arial"/>
                <w:sz w:val="24"/>
              </w:rPr>
              <w:t>80%</w:t>
            </w:r>
          </w:p>
        </w:tc>
      </w:tr>
    </w:tbl>
    <w:p w14:paraId="63E9F665" w14:textId="77777777" w:rsidR="0022345D" w:rsidRPr="002C0C18" w:rsidRDefault="0022345D" w:rsidP="0022345D">
      <w:pPr>
        <w:rPr>
          <w:rFonts w:ascii="Arial" w:hAnsi="Arial" w:cs="Arial"/>
          <w:i/>
          <w:sz w:val="24"/>
        </w:rPr>
      </w:pPr>
      <w:r w:rsidRPr="002C0C18">
        <w:rPr>
          <w:rFonts w:ascii="Arial" w:hAnsi="Arial" w:cs="Arial"/>
          <w:i/>
          <w:sz w:val="24"/>
        </w:rPr>
        <w:t>Source: VSHAWS, 2014, 2016 and 2018, (DET)</w:t>
      </w:r>
    </w:p>
    <w:p w14:paraId="219E6F96" w14:textId="77777777" w:rsidR="0022345D" w:rsidRPr="0092673E" w:rsidRDefault="0022345D" w:rsidP="0092673E">
      <w:pPr>
        <w:pBdr>
          <w:top w:val="single" w:sz="4" w:space="1" w:color="auto"/>
          <w:left w:val="single" w:sz="4" w:space="4" w:color="auto"/>
          <w:bottom w:val="single" w:sz="4" w:space="1" w:color="auto"/>
          <w:right w:val="single" w:sz="4" w:space="4" w:color="auto"/>
        </w:pBdr>
        <w:rPr>
          <w:rFonts w:ascii="Arial" w:hAnsi="Arial" w:cs="Arial"/>
          <w:b/>
          <w:sz w:val="24"/>
        </w:rPr>
      </w:pPr>
      <w:r w:rsidRPr="0092673E">
        <w:rPr>
          <w:rFonts w:ascii="Arial" w:hAnsi="Arial" w:cs="Arial"/>
          <w:b/>
          <w:sz w:val="24"/>
        </w:rPr>
        <w:t>Age of onset of puberty and the impact of adolescence</w:t>
      </w:r>
    </w:p>
    <w:p w14:paraId="562BA0BD" w14:textId="77777777" w:rsidR="0022345D" w:rsidRPr="0022345D" w:rsidRDefault="0022345D" w:rsidP="0092673E">
      <w:pPr>
        <w:pBdr>
          <w:top w:val="single" w:sz="4" w:space="1" w:color="auto"/>
          <w:left w:val="single" w:sz="4" w:space="4" w:color="auto"/>
          <w:bottom w:val="single" w:sz="4" w:space="1" w:color="auto"/>
          <w:right w:val="single" w:sz="4" w:space="4" w:color="auto"/>
        </w:pBdr>
        <w:rPr>
          <w:rFonts w:ascii="Arial" w:hAnsi="Arial" w:cs="Arial"/>
          <w:sz w:val="24"/>
        </w:rPr>
      </w:pPr>
      <w:r w:rsidRPr="0022345D">
        <w:rPr>
          <w:rFonts w:ascii="Arial" w:hAnsi="Arial" w:cs="Arial"/>
          <w:sz w:val="24"/>
        </w:rPr>
        <w:t>International research has suggested that ad</w:t>
      </w:r>
      <w:r w:rsidR="00C95029">
        <w:rPr>
          <w:rFonts w:ascii="Arial" w:hAnsi="Arial" w:cs="Arial"/>
          <w:sz w:val="24"/>
        </w:rPr>
        <w:t xml:space="preserve">olescence is occurring earlier. </w:t>
      </w:r>
      <w:r w:rsidRPr="0022345D">
        <w:rPr>
          <w:rFonts w:ascii="Arial" w:hAnsi="Arial" w:cs="Arial"/>
          <w:sz w:val="24"/>
        </w:rPr>
        <w:t>For many reasons, including improved living conditions, better nutrition and fewer infections, the age of onset of puberty has fallen in Western settings since the late 19th century, and is today falling steeply in the rest of the global population. Early maturation shortens the time available for children to acquire, assimilate, and strengthen adaptive and coping skills, putting early maturing adolescents at risk of adjustment difficulties (Wang, Lin, Leung, &amp; Schooling, 2016).</w:t>
      </w:r>
    </w:p>
    <w:p w14:paraId="62C244EE" w14:textId="77777777" w:rsidR="0022345D" w:rsidRPr="0022345D" w:rsidRDefault="0022345D" w:rsidP="0092673E">
      <w:pPr>
        <w:pBdr>
          <w:top w:val="single" w:sz="4" w:space="1" w:color="auto"/>
          <w:left w:val="single" w:sz="4" w:space="4" w:color="auto"/>
          <w:bottom w:val="single" w:sz="4" w:space="1" w:color="auto"/>
          <w:right w:val="single" w:sz="4" w:space="4" w:color="auto"/>
        </w:pBdr>
        <w:rPr>
          <w:rFonts w:ascii="Arial" w:hAnsi="Arial" w:cs="Arial"/>
          <w:sz w:val="24"/>
        </w:rPr>
      </w:pPr>
      <w:r w:rsidRPr="0022345D">
        <w:rPr>
          <w:rFonts w:ascii="Arial" w:hAnsi="Arial" w:cs="Arial"/>
          <w:sz w:val="24"/>
        </w:rPr>
        <w:t>Corroborating this, analysis of cohort data from the Longitudinal Study of Australian Children (LSAC) found that both boys and girls who entered puberty early were more likely to experience challenges with psychosocial adjustment (Mensah, et al.,2013). However, late maturation can also be a cause of concern for many young people. Recent research into the occurrence of growth disorders in adolescence suggests that the delayed onset of puberty can be a potential issue for males (Taylor-Miller &amp; Simm, 2017).</w:t>
      </w:r>
    </w:p>
    <w:p w14:paraId="51DB493C" w14:textId="77777777" w:rsidR="0092673E" w:rsidRPr="0092673E" w:rsidRDefault="0092673E" w:rsidP="0092673E">
      <w:pPr>
        <w:pStyle w:val="Heading3"/>
        <w:rPr>
          <w:rFonts w:ascii="Arial" w:hAnsi="Arial" w:cs="Arial"/>
          <w:color w:val="auto"/>
          <w:sz w:val="24"/>
        </w:rPr>
      </w:pPr>
      <w:bookmarkStart w:id="11" w:name="_Toc33527736"/>
      <w:r w:rsidRPr="0092673E">
        <w:rPr>
          <w:rFonts w:ascii="Arial" w:hAnsi="Arial" w:cs="Arial"/>
          <w:color w:val="auto"/>
          <w:sz w:val="24"/>
        </w:rPr>
        <w:lastRenderedPageBreak/>
        <w:t>2.2</w:t>
      </w:r>
      <w:r w:rsidRPr="0092673E">
        <w:rPr>
          <w:rFonts w:ascii="Arial" w:hAnsi="Arial" w:cs="Arial"/>
          <w:color w:val="auto"/>
          <w:sz w:val="24"/>
        </w:rPr>
        <w:tab/>
        <w:t>Most adolescents feel they can access physical and dental health services but not mental health services</w:t>
      </w:r>
      <w:bookmarkEnd w:id="11"/>
    </w:p>
    <w:p w14:paraId="6495566A" w14:textId="77777777" w:rsidR="0092673E" w:rsidRPr="0092673E" w:rsidRDefault="0092673E" w:rsidP="0092673E">
      <w:pPr>
        <w:rPr>
          <w:rFonts w:ascii="Arial" w:hAnsi="Arial" w:cs="Arial"/>
          <w:sz w:val="24"/>
        </w:rPr>
      </w:pPr>
      <w:r w:rsidRPr="0092673E">
        <w:rPr>
          <w:rFonts w:ascii="Arial" w:hAnsi="Arial" w:cs="Arial"/>
          <w:sz w:val="24"/>
        </w:rPr>
        <w:t>More than four in five adolescents believe they can access physical and dental health services. This declines markedly to less than two in five for mental health services.</w:t>
      </w:r>
    </w:p>
    <w:p w14:paraId="5021159F" w14:textId="77777777" w:rsidR="0092673E" w:rsidRDefault="0092673E" w:rsidP="0092673E">
      <w:pPr>
        <w:rPr>
          <w:rFonts w:ascii="Arial" w:hAnsi="Arial" w:cs="Arial"/>
          <w:sz w:val="24"/>
        </w:rPr>
      </w:pPr>
      <w:r w:rsidRPr="0092673E">
        <w:rPr>
          <w:rFonts w:ascii="Arial" w:hAnsi="Arial" w:cs="Arial"/>
          <w:sz w:val="24"/>
        </w:rPr>
        <w:t>Although these data are not necessarily indicative of actual levels of service access, young people’s perceptions can be reflective of relative levels of access to services, and/or indicative of a broader demand for increased services, particularly for mental health issues</w:t>
      </w:r>
      <w:r w:rsidR="00CF5B43">
        <w:rPr>
          <w:rFonts w:ascii="Arial" w:hAnsi="Arial" w:cs="Arial"/>
          <w:sz w:val="24"/>
        </w:rPr>
        <w:t>.</w:t>
      </w:r>
    </w:p>
    <w:p w14:paraId="20474AEE" w14:textId="77777777" w:rsidR="0092673E" w:rsidRDefault="0092673E" w:rsidP="0092673E">
      <w:pPr>
        <w:pStyle w:val="ListParagraph"/>
        <w:numPr>
          <w:ilvl w:val="0"/>
          <w:numId w:val="3"/>
        </w:numPr>
        <w:rPr>
          <w:rFonts w:ascii="Arial" w:hAnsi="Arial" w:cs="Arial"/>
          <w:sz w:val="24"/>
        </w:rPr>
      </w:pPr>
      <w:r w:rsidRPr="0092673E">
        <w:rPr>
          <w:rFonts w:ascii="Arial" w:hAnsi="Arial" w:cs="Arial"/>
          <w:sz w:val="24"/>
        </w:rPr>
        <w:t>83 per cent Years 8 and 11 students believe they can access physical health services when needed</w:t>
      </w:r>
    </w:p>
    <w:p w14:paraId="6A1261F4" w14:textId="77777777" w:rsidR="00C95029" w:rsidRDefault="00C95029" w:rsidP="00C95029">
      <w:pPr>
        <w:pStyle w:val="ListParagraph"/>
        <w:numPr>
          <w:ilvl w:val="0"/>
          <w:numId w:val="3"/>
        </w:numPr>
        <w:rPr>
          <w:rFonts w:ascii="Arial" w:hAnsi="Arial" w:cs="Arial"/>
          <w:sz w:val="24"/>
        </w:rPr>
      </w:pPr>
      <w:r>
        <w:rPr>
          <w:rFonts w:ascii="Arial" w:hAnsi="Arial" w:cs="Arial"/>
          <w:sz w:val="24"/>
        </w:rPr>
        <w:t>85 per cent Yea</w:t>
      </w:r>
      <w:r w:rsidRPr="00C95029">
        <w:rPr>
          <w:rFonts w:ascii="Arial" w:hAnsi="Arial" w:cs="Arial"/>
          <w:sz w:val="24"/>
        </w:rPr>
        <w:t>rs 8 and 11 students believe they can access dental health services when needed</w:t>
      </w:r>
    </w:p>
    <w:p w14:paraId="5E44B125" w14:textId="77777777" w:rsidR="00C95029" w:rsidRDefault="00C95029" w:rsidP="00C95029">
      <w:pPr>
        <w:pStyle w:val="ListParagraph"/>
        <w:numPr>
          <w:ilvl w:val="0"/>
          <w:numId w:val="3"/>
        </w:numPr>
        <w:rPr>
          <w:rFonts w:ascii="Arial" w:hAnsi="Arial" w:cs="Arial"/>
          <w:sz w:val="24"/>
        </w:rPr>
      </w:pPr>
      <w:r>
        <w:rPr>
          <w:rFonts w:ascii="Arial" w:hAnsi="Arial" w:cs="Arial"/>
          <w:sz w:val="24"/>
        </w:rPr>
        <w:t xml:space="preserve">38 per cent Years </w:t>
      </w:r>
      <w:r w:rsidRPr="00C95029">
        <w:rPr>
          <w:rFonts w:ascii="Arial" w:hAnsi="Arial" w:cs="Arial"/>
          <w:sz w:val="24"/>
        </w:rPr>
        <w:t>8 and 11 students believe they can access mental health services when needed</w:t>
      </w:r>
    </w:p>
    <w:p w14:paraId="0C4CBAAD" w14:textId="77777777" w:rsidR="00C95029" w:rsidRPr="00C95029" w:rsidRDefault="00C95029" w:rsidP="00C95029">
      <w:pPr>
        <w:rPr>
          <w:rFonts w:ascii="Arial" w:hAnsi="Arial" w:cs="Arial"/>
          <w:i/>
          <w:sz w:val="24"/>
        </w:rPr>
      </w:pPr>
      <w:r w:rsidRPr="00C95029">
        <w:rPr>
          <w:rFonts w:ascii="Arial" w:hAnsi="Arial" w:cs="Arial"/>
          <w:i/>
          <w:sz w:val="24"/>
        </w:rPr>
        <w:t>Source: VSHAWS, 2018, DET</w:t>
      </w:r>
    </w:p>
    <w:p w14:paraId="76A23757" w14:textId="77777777" w:rsidR="00C95029" w:rsidRPr="00C95029" w:rsidRDefault="00C95029" w:rsidP="00C95029">
      <w:pPr>
        <w:rPr>
          <w:rFonts w:ascii="Arial" w:hAnsi="Arial" w:cs="Arial"/>
          <w:sz w:val="24"/>
        </w:rPr>
      </w:pPr>
      <w:r w:rsidRPr="00C95029">
        <w:rPr>
          <w:rFonts w:ascii="Arial" w:hAnsi="Arial" w:cs="Arial"/>
          <w:sz w:val="24"/>
        </w:rPr>
        <w:t>Historically, research has found that while mental health issues were common among Australian adolescents, only a minority had received professional help and that those who did tended to have substantial mental health problems (Sawyer, et al., 2001). There is evidence, however, that adolescent awareness of mental health has increased significantly over recent years, with 43 per cent of those participating in the Mission Australia Youth Survey identifying mental health as a key issue facing</w:t>
      </w:r>
      <w:r>
        <w:rPr>
          <w:rFonts w:ascii="Arial" w:hAnsi="Arial" w:cs="Arial"/>
          <w:sz w:val="24"/>
        </w:rPr>
        <w:t xml:space="preserve"> </w:t>
      </w:r>
      <w:r w:rsidRPr="00C95029">
        <w:rPr>
          <w:rFonts w:ascii="Arial" w:hAnsi="Arial" w:cs="Arial"/>
          <w:sz w:val="24"/>
        </w:rPr>
        <w:t>Australia, as compared to 21 per cent in 2016 (Carlisle, et al., 2018). Findings from recent Victorian research also suggest that an increasing number of adolescents</w:t>
      </w:r>
      <w:r>
        <w:rPr>
          <w:rFonts w:ascii="Arial" w:hAnsi="Arial" w:cs="Arial"/>
          <w:sz w:val="24"/>
        </w:rPr>
        <w:t xml:space="preserve"> </w:t>
      </w:r>
      <w:r w:rsidRPr="00C95029">
        <w:rPr>
          <w:rFonts w:ascii="Arial" w:hAnsi="Arial" w:cs="Arial"/>
          <w:sz w:val="24"/>
        </w:rPr>
        <w:t>are seeking professional help for mental health problems, despite many experiencing a reluctance to do so (Lubman, et al., 2017).</w:t>
      </w:r>
    </w:p>
    <w:p w14:paraId="48320329" w14:textId="77777777" w:rsidR="00C95029" w:rsidRDefault="00C95029" w:rsidP="00C95029">
      <w:pPr>
        <w:rPr>
          <w:rFonts w:ascii="Arial" w:hAnsi="Arial" w:cs="Arial"/>
          <w:sz w:val="24"/>
        </w:rPr>
      </w:pPr>
      <w:r w:rsidRPr="00C95029">
        <w:rPr>
          <w:rFonts w:ascii="Arial" w:hAnsi="Arial" w:cs="Arial"/>
          <w:sz w:val="24"/>
        </w:rPr>
        <w:t>According to the reports of Victorian parents, a key barrier to services access is the fact that many children and adolescents with mental health issues do not want professional help (Iskra, Deane, Wahlin, &amp; Davis, 2018). However, it was also reported</w:t>
      </w:r>
      <w:r>
        <w:rPr>
          <w:rFonts w:ascii="Arial" w:hAnsi="Arial" w:cs="Arial"/>
          <w:sz w:val="24"/>
        </w:rPr>
        <w:t xml:space="preserve"> </w:t>
      </w:r>
      <w:r w:rsidRPr="00C95029">
        <w:rPr>
          <w:rFonts w:ascii="Arial" w:hAnsi="Arial" w:cs="Arial"/>
          <w:sz w:val="24"/>
        </w:rPr>
        <w:t>that significant barriers were presented by long wait times, referrals between services, and costs, including those associated with taking time off work to take their child</w:t>
      </w:r>
      <w:r>
        <w:rPr>
          <w:rFonts w:ascii="Arial" w:hAnsi="Arial" w:cs="Arial"/>
          <w:sz w:val="24"/>
        </w:rPr>
        <w:t xml:space="preserve"> </w:t>
      </w:r>
      <w:r w:rsidRPr="00C95029">
        <w:rPr>
          <w:rFonts w:ascii="Arial" w:hAnsi="Arial" w:cs="Arial"/>
          <w:sz w:val="24"/>
        </w:rPr>
        <w:t>to a service. Adolescents in rural areas in particular have been identified as facing significant social barriers relating to the lack of privacy in smaller communities and a culture that values individuals taking care of themselves (Francis, Boyd, Aisbett, Newnham &amp; Newnham, 2006).</w:t>
      </w:r>
    </w:p>
    <w:p w14:paraId="41B00DCB" w14:textId="77777777" w:rsidR="00314F94" w:rsidRPr="00314F94" w:rsidRDefault="00314F94" w:rsidP="00314F94">
      <w:pPr>
        <w:rPr>
          <w:rFonts w:ascii="Arial" w:hAnsi="Arial" w:cs="Arial"/>
          <w:sz w:val="24"/>
        </w:rPr>
      </w:pPr>
      <w:r>
        <w:rPr>
          <w:rFonts w:ascii="Arial" w:hAnsi="Arial" w:cs="Arial"/>
          <w:sz w:val="24"/>
        </w:rPr>
        <w:t>M</w:t>
      </w:r>
      <w:r w:rsidRPr="00314F94">
        <w:rPr>
          <w:rFonts w:ascii="Arial" w:hAnsi="Arial" w:cs="Arial"/>
          <w:sz w:val="24"/>
        </w:rPr>
        <w:t>igrant and refugee adolescents may also face additional difficulties in accessing mental health services and navigating the healthcare system in general. These difficulties can relate to cultural stigma, language barriers and lack of system knowledge (Robards, Kang, Usherwood, &amp; Sanci, 2018; Valibhoy, Szwarc, &amp; Kaplan, 2017), as well as the complex immigration policy environment in which eligibility to access Medicare is determined by visa categories (Taylor &amp; Haintz, 2018).</w:t>
      </w:r>
    </w:p>
    <w:p w14:paraId="1A0DECAE" w14:textId="77777777" w:rsidR="00314F94" w:rsidRPr="00F049FB" w:rsidRDefault="00314F94" w:rsidP="00F049FB">
      <w:pPr>
        <w:pStyle w:val="Heading3"/>
        <w:rPr>
          <w:rFonts w:ascii="Arial" w:hAnsi="Arial" w:cs="Arial"/>
          <w:color w:val="auto"/>
          <w:sz w:val="24"/>
        </w:rPr>
      </w:pPr>
      <w:bookmarkStart w:id="12" w:name="_Toc33527737"/>
      <w:r w:rsidRPr="00F049FB">
        <w:rPr>
          <w:rFonts w:ascii="Arial" w:hAnsi="Arial" w:cs="Arial"/>
          <w:color w:val="auto"/>
          <w:sz w:val="24"/>
        </w:rPr>
        <w:lastRenderedPageBreak/>
        <w:t>2.3</w:t>
      </w:r>
      <w:r w:rsidRPr="00F049FB">
        <w:rPr>
          <w:rFonts w:ascii="Arial" w:hAnsi="Arial" w:cs="Arial"/>
          <w:color w:val="auto"/>
          <w:sz w:val="24"/>
        </w:rPr>
        <w:tab/>
        <w:t>Many adolescents do not meet daily dietary guidelines</w:t>
      </w:r>
      <w:bookmarkEnd w:id="12"/>
    </w:p>
    <w:p w14:paraId="233D9113" w14:textId="77777777" w:rsidR="00314F94" w:rsidRPr="00314F94" w:rsidRDefault="00314F94" w:rsidP="00314F94">
      <w:pPr>
        <w:rPr>
          <w:rFonts w:ascii="Arial" w:hAnsi="Arial" w:cs="Arial"/>
          <w:sz w:val="24"/>
        </w:rPr>
      </w:pPr>
      <w:r w:rsidRPr="00314F94">
        <w:rPr>
          <w:rFonts w:ascii="Arial" w:hAnsi="Arial" w:cs="Arial"/>
          <w:sz w:val="24"/>
        </w:rPr>
        <w:t>A fundamental component of a healthy lifestyle is a healthy diet. Good nutrition supports body and brain development, aids concentration at school, and reduces the risk of short- and long-term health problems later in life. Australian research has also found that adolescent mental health is associated with diet quality (Jacka, et al., 2011), highlighting the importance of healthy eating patterns as a protective factor against the development of emotional and behavioural problems in childhood and adolescence (O’Neil, et al., 2014).</w:t>
      </w:r>
    </w:p>
    <w:p w14:paraId="0BF352C8" w14:textId="77777777" w:rsidR="00314F94" w:rsidRPr="00314F94" w:rsidRDefault="00314F94" w:rsidP="00314F94">
      <w:pPr>
        <w:rPr>
          <w:rFonts w:ascii="Arial" w:hAnsi="Arial" w:cs="Arial"/>
          <w:sz w:val="24"/>
        </w:rPr>
      </w:pPr>
      <w:r w:rsidRPr="00314F94">
        <w:rPr>
          <w:rFonts w:ascii="Arial" w:hAnsi="Arial" w:cs="Arial"/>
          <w:sz w:val="24"/>
        </w:rPr>
        <w:t>During adolescence and early adulthood, poor diet contributes to immediate health risks, such as weight gain, poor bone formation, and poor academic performance. In addition, poor diets developed in childhood frequently persist into adulthood, influencing the risk of chronic disease in later life including diabetes, cardiovascular disease and certain cancers. Research suggests the period of late adolescence to</w:t>
      </w:r>
      <w:r>
        <w:rPr>
          <w:rFonts w:ascii="Arial" w:hAnsi="Arial" w:cs="Arial"/>
          <w:sz w:val="24"/>
        </w:rPr>
        <w:t xml:space="preserve"> </w:t>
      </w:r>
      <w:r w:rsidRPr="00314F94">
        <w:rPr>
          <w:rFonts w:ascii="Arial" w:hAnsi="Arial" w:cs="Arial"/>
          <w:sz w:val="24"/>
        </w:rPr>
        <w:t>early adulthood can be an important but often overlooked age for the establishment of long-term healthy behaviour patterns (Winpenny, et al., 2018).</w:t>
      </w:r>
    </w:p>
    <w:p w14:paraId="10BB8412" w14:textId="77777777" w:rsidR="00314F94" w:rsidRPr="00314F94" w:rsidRDefault="00314F94" w:rsidP="00314F94">
      <w:pPr>
        <w:rPr>
          <w:rFonts w:ascii="Arial" w:hAnsi="Arial" w:cs="Arial"/>
          <w:sz w:val="24"/>
        </w:rPr>
      </w:pPr>
      <w:r w:rsidRPr="00314F94">
        <w:rPr>
          <w:rFonts w:ascii="Arial" w:hAnsi="Arial" w:cs="Arial"/>
          <w:sz w:val="24"/>
        </w:rPr>
        <w:t>As a period of increased autonomy, adolescence is associated with changes in the individual's decision-making around food consumption and nutrition. These changes include more freedom to prepare and source food independently, exposure to digital fast food advertising, availability of discretionary food options at schools and sports events and changes to intake requirements due to physical growth patterns during this period.</w:t>
      </w:r>
    </w:p>
    <w:p w14:paraId="04C66FF9" w14:textId="77777777" w:rsidR="00314F94" w:rsidRDefault="00314F94" w:rsidP="00314F94">
      <w:pPr>
        <w:rPr>
          <w:rFonts w:ascii="Arial" w:hAnsi="Arial" w:cs="Arial"/>
          <w:sz w:val="24"/>
        </w:rPr>
      </w:pPr>
      <w:r w:rsidRPr="00314F94">
        <w:rPr>
          <w:rFonts w:ascii="Arial" w:hAnsi="Arial" w:cs="Arial"/>
          <w:sz w:val="24"/>
        </w:rPr>
        <w:t>The Australian Dietary Guidelines recommend that adolescents aged 12 to 18 consume</w:t>
      </w:r>
      <w:r w:rsidR="009035AC">
        <w:rPr>
          <w:rFonts w:ascii="Arial" w:hAnsi="Arial" w:cs="Arial"/>
          <w:sz w:val="24"/>
        </w:rPr>
        <w:t xml:space="preserve"> two servings of fruit per day, </w:t>
      </w:r>
      <w:r w:rsidRPr="00314F94">
        <w:rPr>
          <w:rFonts w:ascii="Arial" w:hAnsi="Arial" w:cs="Arial"/>
          <w:sz w:val="24"/>
        </w:rPr>
        <w:t>that girls eat five servings of vegetables per day and boys</w:t>
      </w:r>
      <w:r>
        <w:rPr>
          <w:rFonts w:ascii="Arial" w:hAnsi="Arial" w:cs="Arial"/>
          <w:sz w:val="24"/>
        </w:rPr>
        <w:t xml:space="preserve"> </w:t>
      </w:r>
      <w:r w:rsidRPr="00314F94">
        <w:rPr>
          <w:rFonts w:ascii="Arial" w:hAnsi="Arial" w:cs="Arial"/>
          <w:sz w:val="24"/>
        </w:rPr>
        <w:t>5.5 servings (National Health and Medical Research Council, 2013). In 2018:</w:t>
      </w:r>
    </w:p>
    <w:p w14:paraId="4BC2573B" w14:textId="77777777" w:rsidR="00314F94" w:rsidRPr="00314F94" w:rsidRDefault="00314F94" w:rsidP="00314F94">
      <w:pPr>
        <w:pStyle w:val="ListParagraph"/>
        <w:numPr>
          <w:ilvl w:val="0"/>
          <w:numId w:val="4"/>
        </w:numPr>
        <w:rPr>
          <w:rFonts w:ascii="Arial" w:hAnsi="Arial" w:cs="Arial"/>
          <w:sz w:val="24"/>
        </w:rPr>
      </w:pPr>
      <w:r w:rsidRPr="00314F94">
        <w:rPr>
          <w:rFonts w:ascii="Arial" w:hAnsi="Arial" w:cs="Arial"/>
          <w:sz w:val="24"/>
        </w:rPr>
        <w:t>three in five Victorian Year 8 and 11 students (61 per cent) reported meeting fruit guidelines (consuming at least two servings of fruit per day)</w:t>
      </w:r>
    </w:p>
    <w:p w14:paraId="79995FFA" w14:textId="77777777" w:rsidR="00314F94" w:rsidRPr="00314F94" w:rsidRDefault="00314F94" w:rsidP="00314F94">
      <w:pPr>
        <w:pStyle w:val="ListParagraph"/>
        <w:numPr>
          <w:ilvl w:val="0"/>
          <w:numId w:val="4"/>
        </w:numPr>
        <w:rPr>
          <w:rFonts w:ascii="Arial" w:hAnsi="Arial" w:cs="Arial"/>
          <w:sz w:val="24"/>
        </w:rPr>
      </w:pPr>
      <w:r w:rsidRPr="00314F94">
        <w:rPr>
          <w:rFonts w:ascii="Arial" w:hAnsi="Arial" w:cs="Arial"/>
          <w:sz w:val="24"/>
        </w:rPr>
        <w:t>more Year 8 students met the guidelines (64 per cent) than Year 11 students (56 per cent)</w:t>
      </w:r>
    </w:p>
    <w:p w14:paraId="0C03E918" w14:textId="77777777" w:rsidR="00314F94" w:rsidRPr="00314F94" w:rsidRDefault="00314F94" w:rsidP="00314F94">
      <w:pPr>
        <w:pStyle w:val="ListParagraph"/>
        <w:numPr>
          <w:ilvl w:val="0"/>
          <w:numId w:val="4"/>
        </w:numPr>
        <w:rPr>
          <w:rFonts w:ascii="Arial" w:hAnsi="Arial" w:cs="Arial"/>
          <w:sz w:val="24"/>
        </w:rPr>
      </w:pPr>
      <w:r w:rsidRPr="00314F94">
        <w:rPr>
          <w:rFonts w:ascii="Arial" w:hAnsi="Arial" w:cs="Arial"/>
          <w:sz w:val="24"/>
        </w:rPr>
        <w:t>female students (64 per cent) were more likely to meet guidelines than male students (57 per cent)</w:t>
      </w:r>
    </w:p>
    <w:p w14:paraId="0D11E728" w14:textId="77777777" w:rsidR="00314F94" w:rsidRPr="00314F94" w:rsidRDefault="00314F94" w:rsidP="00314F94">
      <w:pPr>
        <w:pStyle w:val="ListParagraph"/>
        <w:numPr>
          <w:ilvl w:val="0"/>
          <w:numId w:val="4"/>
        </w:numPr>
        <w:rPr>
          <w:rFonts w:ascii="Arial" w:hAnsi="Arial" w:cs="Arial"/>
          <w:sz w:val="24"/>
        </w:rPr>
      </w:pPr>
      <w:r w:rsidRPr="00314F94">
        <w:rPr>
          <w:rFonts w:ascii="Arial" w:hAnsi="Arial" w:cs="Arial"/>
          <w:sz w:val="24"/>
        </w:rPr>
        <w:t>adolescents from one-parent families were less likely to report meeting this guideline than their peers in two-parent households (56 per cent and 63 per cent respectively).</w:t>
      </w:r>
    </w:p>
    <w:p w14:paraId="02DDAE2B" w14:textId="77777777" w:rsidR="00314F94" w:rsidRPr="00314F94" w:rsidRDefault="00314F94" w:rsidP="00314F94">
      <w:pPr>
        <w:pStyle w:val="ListParagraph"/>
        <w:numPr>
          <w:ilvl w:val="0"/>
          <w:numId w:val="4"/>
        </w:numPr>
        <w:rPr>
          <w:rFonts w:ascii="Arial" w:hAnsi="Arial" w:cs="Arial"/>
          <w:sz w:val="24"/>
        </w:rPr>
      </w:pPr>
      <w:r w:rsidRPr="00314F94">
        <w:rPr>
          <w:rFonts w:ascii="Arial" w:hAnsi="Arial" w:cs="Arial"/>
          <w:sz w:val="24"/>
        </w:rPr>
        <w:t>one in 10 Victorian Year 8 and 11 students (10 per cent) reported meeting vegetable guidelines (consuming at least 5-5.5 servings of vegetables per day)</w:t>
      </w:r>
    </w:p>
    <w:p w14:paraId="0D6F69C9" w14:textId="77777777" w:rsidR="00314F94" w:rsidRPr="00314F94" w:rsidRDefault="00314F94" w:rsidP="00314F94">
      <w:pPr>
        <w:pStyle w:val="ListParagraph"/>
        <w:numPr>
          <w:ilvl w:val="0"/>
          <w:numId w:val="4"/>
        </w:numPr>
        <w:rPr>
          <w:rFonts w:ascii="Arial" w:hAnsi="Arial" w:cs="Arial"/>
          <w:sz w:val="24"/>
        </w:rPr>
      </w:pPr>
      <w:r w:rsidRPr="00314F94">
        <w:rPr>
          <w:rFonts w:ascii="Arial" w:hAnsi="Arial" w:cs="Arial"/>
          <w:sz w:val="24"/>
        </w:rPr>
        <w:t>male students (12 per cent) were slightly more likely</w:t>
      </w:r>
      <w:r>
        <w:rPr>
          <w:rFonts w:ascii="Arial" w:hAnsi="Arial" w:cs="Arial"/>
          <w:sz w:val="24"/>
        </w:rPr>
        <w:t xml:space="preserve"> </w:t>
      </w:r>
      <w:r w:rsidRPr="00314F94">
        <w:rPr>
          <w:rFonts w:ascii="Arial" w:hAnsi="Arial" w:cs="Arial"/>
          <w:sz w:val="24"/>
        </w:rPr>
        <w:t>to meet guidelines than female students (nine per cent)</w:t>
      </w:r>
    </w:p>
    <w:p w14:paraId="063A066A" w14:textId="77777777" w:rsidR="0022345D" w:rsidRDefault="00314F94" w:rsidP="00314F94">
      <w:pPr>
        <w:pStyle w:val="ListParagraph"/>
        <w:numPr>
          <w:ilvl w:val="0"/>
          <w:numId w:val="4"/>
        </w:numPr>
      </w:pPr>
      <w:r w:rsidRPr="00314F94">
        <w:rPr>
          <w:rFonts w:ascii="Arial" w:hAnsi="Arial" w:cs="Arial"/>
          <w:sz w:val="24"/>
        </w:rPr>
        <w:t>Year 8 students (12 per cent) were more likely to meet guidelines than students in Year 11 (nine per cent).</w:t>
      </w:r>
      <w:r w:rsidR="0022345D">
        <w:br w:type="page"/>
      </w:r>
    </w:p>
    <w:p w14:paraId="7B14B213" w14:textId="77777777" w:rsidR="0086408B" w:rsidRPr="0086408B" w:rsidRDefault="0086408B" w:rsidP="0086408B">
      <w:pPr>
        <w:rPr>
          <w:rFonts w:ascii="Arial" w:hAnsi="Arial" w:cs="Arial"/>
          <w:i/>
          <w:sz w:val="24"/>
        </w:rPr>
      </w:pPr>
      <w:r w:rsidRPr="0086408B">
        <w:rPr>
          <w:rFonts w:ascii="Arial" w:hAnsi="Arial" w:cs="Arial"/>
          <w:i/>
          <w:sz w:val="24"/>
        </w:rPr>
        <w:lastRenderedPageBreak/>
        <w:t>Source: VSHAWS, 2018, DET</w:t>
      </w:r>
    </w:p>
    <w:p w14:paraId="64006B20" w14:textId="77777777" w:rsidR="0022345D" w:rsidRDefault="0086408B" w:rsidP="0086408B">
      <w:pPr>
        <w:rPr>
          <w:rFonts w:ascii="Arial" w:hAnsi="Arial" w:cs="Arial"/>
          <w:sz w:val="24"/>
        </w:rPr>
      </w:pPr>
      <w:r w:rsidRPr="0086408B">
        <w:rPr>
          <w:rFonts w:ascii="Arial" w:hAnsi="Arial" w:cs="Arial"/>
          <w:sz w:val="24"/>
        </w:rPr>
        <w:t>International research has found strong associations between familial and peer dietary attitudes and behaviours and the reported diet quality of adolescents. Mothers in particular influence their children’s diet through their role in family food choices (Vanhelst, Béghin, Drumez, &amp; Duhamel, 2018). During adolescence and early adulthood, individuals also experience major social changes associated with diet and eating behaviours, including moving from family dependence towards stronger peer networks</w:t>
      </w:r>
      <w:r>
        <w:rPr>
          <w:rFonts w:ascii="Arial" w:hAnsi="Arial" w:cs="Arial"/>
          <w:sz w:val="24"/>
        </w:rPr>
        <w:t xml:space="preserve"> </w:t>
      </w:r>
      <w:r w:rsidRPr="0086408B">
        <w:rPr>
          <w:rFonts w:ascii="Arial" w:hAnsi="Arial" w:cs="Arial"/>
          <w:sz w:val="24"/>
        </w:rPr>
        <w:t>and intimate partner relationships, moving out of the family home to live independently, and changes in educational and employment status (Winpenny, et al., 2018).</w:t>
      </w:r>
    </w:p>
    <w:p w14:paraId="3B29EEEF" w14:textId="77777777" w:rsidR="009035AC" w:rsidRDefault="009035AC" w:rsidP="009035AC">
      <w:pPr>
        <w:spacing w:before="31" w:line="204" w:lineRule="exact"/>
        <w:ind w:right="1245"/>
        <w:rPr>
          <w:rFonts w:ascii="Arial" w:hAnsi="Arial" w:cs="Arial"/>
          <w:sz w:val="24"/>
        </w:rPr>
      </w:pPr>
    </w:p>
    <w:p w14:paraId="52C00C48" w14:textId="77777777" w:rsidR="00B0426D" w:rsidRPr="00B0426D" w:rsidRDefault="009035AC" w:rsidP="00F43698">
      <w:pPr>
        <w:pBdr>
          <w:top w:val="single" w:sz="4" w:space="1" w:color="auto"/>
          <w:left w:val="single" w:sz="4" w:space="4" w:color="auto"/>
          <w:bottom w:val="single" w:sz="4" w:space="1" w:color="auto"/>
          <w:right w:val="single" w:sz="4" w:space="4" w:color="auto"/>
        </w:pBdr>
        <w:rPr>
          <w:rFonts w:ascii="Arial" w:hAnsi="Arial" w:cs="Arial"/>
          <w:b/>
          <w:sz w:val="24"/>
        </w:rPr>
      </w:pPr>
      <w:r w:rsidRPr="00B0426D">
        <w:rPr>
          <w:rFonts w:ascii="Arial" w:hAnsi="Arial" w:cs="Arial"/>
          <w:b/>
          <w:sz w:val="24"/>
        </w:rPr>
        <w:t>Promoting healthy eating in Victorian schools</w:t>
      </w:r>
    </w:p>
    <w:p w14:paraId="2CA40E9C" w14:textId="77777777" w:rsidR="009035AC" w:rsidRPr="00B0426D" w:rsidRDefault="009035AC" w:rsidP="00F43698">
      <w:pPr>
        <w:pBdr>
          <w:top w:val="single" w:sz="4" w:space="1" w:color="auto"/>
          <w:left w:val="single" w:sz="4" w:space="4" w:color="auto"/>
          <w:bottom w:val="single" w:sz="4" w:space="1" w:color="auto"/>
          <w:right w:val="single" w:sz="4" w:space="4" w:color="auto"/>
        </w:pBdr>
        <w:rPr>
          <w:rFonts w:ascii="Arial" w:hAnsi="Arial" w:cs="Arial"/>
          <w:sz w:val="24"/>
        </w:rPr>
      </w:pPr>
      <w:r w:rsidRPr="009035AC">
        <w:rPr>
          <w:rFonts w:ascii="Arial" w:hAnsi="Arial" w:cs="Arial"/>
          <w:sz w:val="24"/>
        </w:rPr>
        <w:t>Fuelling children with the appropriate foods helps support their growth and development. There is a growing body of research showing that what children eat can affect not only their physical health but also their mood, mental health and learning. The research suggests that eating a healthy and nutritious diet can improve mental health, enhance cognitive skills like concentration and memory and improve academic performance.</w:t>
      </w:r>
    </w:p>
    <w:p w14:paraId="2CD13217" w14:textId="77777777" w:rsidR="009035AC" w:rsidRPr="009035AC" w:rsidRDefault="009035AC" w:rsidP="00F43698">
      <w:pPr>
        <w:pBdr>
          <w:top w:val="single" w:sz="4" w:space="1" w:color="auto"/>
          <w:left w:val="single" w:sz="4" w:space="4" w:color="auto"/>
          <w:bottom w:val="single" w:sz="4" w:space="1" w:color="auto"/>
          <w:right w:val="single" w:sz="4" w:space="4" w:color="auto"/>
        </w:pBdr>
        <w:rPr>
          <w:rFonts w:ascii="Arial" w:hAnsi="Arial" w:cs="Arial"/>
          <w:sz w:val="24"/>
        </w:rPr>
      </w:pPr>
      <w:r w:rsidRPr="009035AC">
        <w:rPr>
          <w:rFonts w:ascii="Arial" w:hAnsi="Arial" w:cs="Arial"/>
          <w:sz w:val="24"/>
        </w:rPr>
        <w:t>The Victorian Government is committed to tackling weight and obesity in children,</w:t>
      </w:r>
      <w:r>
        <w:rPr>
          <w:rFonts w:ascii="Arial" w:hAnsi="Arial" w:cs="Arial"/>
          <w:sz w:val="24"/>
        </w:rPr>
        <w:t xml:space="preserve"> </w:t>
      </w:r>
      <w:r w:rsidRPr="009035AC">
        <w:rPr>
          <w:rFonts w:ascii="Arial" w:hAnsi="Arial" w:cs="Arial"/>
          <w:sz w:val="24"/>
        </w:rPr>
        <w:t>with efforts directed to public settings where children spend their time. It has developed nutrition policies for schools, the School Canteens and Other Food Services Policy;</w:t>
      </w:r>
      <w:r>
        <w:rPr>
          <w:rFonts w:ascii="Arial" w:hAnsi="Arial" w:cs="Arial"/>
          <w:sz w:val="24"/>
        </w:rPr>
        <w:t xml:space="preserve"> </w:t>
      </w:r>
      <w:r w:rsidRPr="009035AC">
        <w:rPr>
          <w:rFonts w:ascii="Arial" w:hAnsi="Arial" w:cs="Arial"/>
          <w:sz w:val="24"/>
        </w:rPr>
        <w:t>as well as Healthy Choices: food and drink guidelines for sport and recreation facilities and parks.</w:t>
      </w:r>
    </w:p>
    <w:p w14:paraId="707B77C4" w14:textId="77777777" w:rsidR="009035AC" w:rsidRPr="009035AC" w:rsidRDefault="009035AC" w:rsidP="00F43698">
      <w:pPr>
        <w:pBdr>
          <w:top w:val="single" w:sz="4" w:space="1" w:color="auto"/>
          <w:left w:val="single" w:sz="4" w:space="4" w:color="auto"/>
          <w:bottom w:val="single" w:sz="4" w:space="1" w:color="auto"/>
          <w:right w:val="single" w:sz="4" w:space="4" w:color="auto"/>
        </w:pBdr>
        <w:rPr>
          <w:rFonts w:ascii="Arial" w:hAnsi="Arial" w:cs="Arial"/>
          <w:sz w:val="24"/>
        </w:rPr>
      </w:pPr>
      <w:r w:rsidRPr="009035AC">
        <w:rPr>
          <w:rFonts w:ascii="Arial" w:hAnsi="Arial" w:cs="Arial"/>
          <w:sz w:val="24"/>
        </w:rPr>
        <w:t>Implementation support for these policies is provided by:</w:t>
      </w:r>
    </w:p>
    <w:p w14:paraId="4BAE8B1F" w14:textId="77777777" w:rsidR="009035AC" w:rsidRPr="00F43698" w:rsidRDefault="00F43698" w:rsidP="00F43698">
      <w:pPr>
        <w:pBdr>
          <w:top w:val="single" w:sz="4" w:space="1" w:color="auto"/>
          <w:left w:val="single" w:sz="4" w:space="4" w:color="auto"/>
          <w:bottom w:val="single" w:sz="4" w:space="1" w:color="auto"/>
          <w:right w:val="single" w:sz="4" w:space="4" w:color="auto"/>
        </w:pBdr>
        <w:rPr>
          <w:rFonts w:ascii="Arial" w:hAnsi="Arial" w:cs="Arial"/>
          <w:sz w:val="24"/>
        </w:rPr>
      </w:pPr>
      <w:r>
        <w:rPr>
          <w:rFonts w:ascii="Arial" w:hAnsi="Arial" w:cs="Arial"/>
          <w:sz w:val="24"/>
        </w:rPr>
        <w:t xml:space="preserve">• </w:t>
      </w:r>
      <w:r w:rsidR="009035AC" w:rsidRPr="00F43698">
        <w:rPr>
          <w:rFonts w:ascii="Arial" w:hAnsi="Arial" w:cs="Arial"/>
          <w:sz w:val="24"/>
        </w:rPr>
        <w:t>The Healthy Eating Advisory Service: a government-funded, free statewide support available to schools to help them improve their supply and promotion of healthy food and drinks, and reduce the dominance of unhealthy options in retail food outlets, vending and food services. Support provided includes: an online menu/product/recipe self-assessment tool, FoodChecker; online and face-to-face training; an infoline; and a mentorship program.</w:t>
      </w:r>
    </w:p>
    <w:p w14:paraId="021BF3EA" w14:textId="77777777" w:rsidR="00E066EB" w:rsidRPr="00F43698" w:rsidRDefault="00F43698" w:rsidP="00F43698">
      <w:pPr>
        <w:pBdr>
          <w:top w:val="single" w:sz="4" w:space="1" w:color="auto"/>
          <w:left w:val="single" w:sz="4" w:space="4" w:color="auto"/>
          <w:bottom w:val="single" w:sz="4" w:space="1" w:color="auto"/>
          <w:right w:val="single" w:sz="4" w:space="4" w:color="auto"/>
        </w:pBdr>
        <w:rPr>
          <w:rFonts w:ascii="Arial" w:hAnsi="Arial" w:cs="Arial"/>
          <w:sz w:val="24"/>
        </w:rPr>
      </w:pPr>
      <w:r>
        <w:rPr>
          <w:rFonts w:ascii="Arial" w:hAnsi="Arial" w:cs="Arial"/>
          <w:sz w:val="24"/>
        </w:rPr>
        <w:t xml:space="preserve">•  </w:t>
      </w:r>
      <w:r w:rsidR="009035AC" w:rsidRPr="00F43698">
        <w:rPr>
          <w:rFonts w:ascii="Arial" w:hAnsi="Arial" w:cs="Arial"/>
          <w:sz w:val="24"/>
        </w:rPr>
        <w:t>The Healthy Schools Achievement Program: a government-funded, free statewide support available to schools that provides a whole-of-school approach to promoting healthy eating and sets Healthy Eating and Oral Health benchmarks for schools.</w:t>
      </w:r>
    </w:p>
    <w:p w14:paraId="05690EB6" w14:textId="77777777" w:rsidR="00E14070" w:rsidRDefault="009035AC" w:rsidP="00F43698">
      <w:pPr>
        <w:pBdr>
          <w:top w:val="single" w:sz="4" w:space="1" w:color="auto"/>
          <w:left w:val="single" w:sz="4" w:space="4" w:color="auto"/>
          <w:bottom w:val="single" w:sz="4" w:space="1" w:color="auto"/>
          <w:right w:val="single" w:sz="4" w:space="4" w:color="auto"/>
        </w:pBdr>
        <w:rPr>
          <w:rFonts w:ascii="Arial" w:hAnsi="Arial" w:cs="Arial"/>
          <w:sz w:val="24"/>
        </w:rPr>
      </w:pPr>
      <w:r w:rsidRPr="009035AC">
        <w:rPr>
          <w:rFonts w:ascii="Arial" w:hAnsi="Arial" w:cs="Arial"/>
          <w:sz w:val="24"/>
        </w:rPr>
        <w:t>The Victorian Government also funds the School Breakfast Clubs Program, expanding the provision of breakfasts for 500 of the most disadvantaged government primary schools to an extra 500 schools, as well as providing lunch and school holiday supplies to eligible students.</w:t>
      </w:r>
    </w:p>
    <w:p w14:paraId="2A660029" w14:textId="77777777" w:rsidR="00E066EB" w:rsidRPr="00F049FB" w:rsidRDefault="00E066EB" w:rsidP="00F049FB">
      <w:pPr>
        <w:pStyle w:val="Heading3"/>
        <w:rPr>
          <w:rFonts w:ascii="Arial" w:hAnsi="Arial" w:cs="Arial"/>
          <w:color w:val="auto"/>
          <w:sz w:val="24"/>
        </w:rPr>
      </w:pPr>
      <w:bookmarkStart w:id="13" w:name="_Toc33527738"/>
      <w:r w:rsidRPr="00F049FB">
        <w:rPr>
          <w:rFonts w:ascii="Arial" w:hAnsi="Arial" w:cs="Arial"/>
          <w:color w:val="auto"/>
          <w:sz w:val="24"/>
        </w:rPr>
        <w:lastRenderedPageBreak/>
        <w:t>2.4</w:t>
      </w:r>
      <w:r w:rsidRPr="00F049FB">
        <w:rPr>
          <w:rFonts w:ascii="Arial" w:hAnsi="Arial" w:cs="Arial"/>
          <w:color w:val="auto"/>
          <w:sz w:val="24"/>
        </w:rPr>
        <w:tab/>
        <w:t>Around one in four adolescents are overweight</w:t>
      </w:r>
      <w:bookmarkEnd w:id="13"/>
    </w:p>
    <w:p w14:paraId="2620FD87" w14:textId="77777777" w:rsidR="00E066EB" w:rsidRPr="00E066EB" w:rsidRDefault="00E066EB" w:rsidP="00E066EB">
      <w:pPr>
        <w:rPr>
          <w:rFonts w:ascii="Arial" w:hAnsi="Arial" w:cs="Arial"/>
          <w:sz w:val="24"/>
        </w:rPr>
      </w:pPr>
      <w:r w:rsidRPr="00E066EB">
        <w:rPr>
          <w:rFonts w:ascii="Arial" w:hAnsi="Arial" w:cs="Arial"/>
          <w:sz w:val="24"/>
        </w:rPr>
        <w:t>Being overweight or obese in childhood and adolescence can lead to premature mortality and physical morbidity in adulthood, and intervention at this early age is needed to reduce negative health impacts later in life. Notably, adolescents who are overweight or obese are at increased risk of diabetes, hypertension, ischaemic heart diseases and stroke in adulthood (Reilly &amp; Kelly, 2010).</w:t>
      </w:r>
    </w:p>
    <w:p w14:paraId="5AAAEA10" w14:textId="77777777" w:rsidR="00E066EB" w:rsidRPr="00E066EB" w:rsidRDefault="00E066EB" w:rsidP="00E066EB">
      <w:pPr>
        <w:rPr>
          <w:rFonts w:ascii="Arial" w:hAnsi="Arial" w:cs="Arial"/>
          <w:sz w:val="24"/>
        </w:rPr>
      </w:pPr>
      <w:r w:rsidRPr="00E066EB">
        <w:rPr>
          <w:rFonts w:ascii="Arial" w:hAnsi="Arial" w:cs="Arial"/>
          <w:sz w:val="24"/>
        </w:rPr>
        <w:t>Australia has one of the highest rates of obesity in the world, a problem that has grown faster than in most developed countries since 1980. According to recent analysis, the prevalence of obesity in Australia is expected to increase further over the next ten years, with a predicted 7.2 million obese adults (comprising 34 per cent of the projected Australian population) by 2025 (PricewaterhouseCoopers, 2015).</w:t>
      </w:r>
    </w:p>
    <w:p w14:paraId="69E24AFA" w14:textId="77777777" w:rsidR="00E066EB" w:rsidRDefault="00E066EB" w:rsidP="00E066EB">
      <w:pPr>
        <w:rPr>
          <w:rFonts w:ascii="Arial" w:hAnsi="Arial" w:cs="Arial"/>
          <w:sz w:val="24"/>
        </w:rPr>
      </w:pPr>
      <w:r w:rsidRPr="00E066EB">
        <w:rPr>
          <w:rFonts w:ascii="Arial" w:hAnsi="Arial" w:cs="Arial"/>
          <w:sz w:val="24"/>
        </w:rPr>
        <w:t>Body Mass Index (BMI) estimates from the last three National Health Surveys (2011-12, 2014-15, 2017–2018) show that around one in four Victorian adolescents aged 12–17 are overweight or obese (ABS, 2012; 2015; 2018a). According to the ABS, the proportion of overweight or obese young people remains relatively stable throughout the school years, then accelerates sharply from the late teens onwards. Half (50 per cent) of young adults (18-to-24) in Australia are now overweight or obese (ABS, 2018a).</w:t>
      </w:r>
    </w:p>
    <w:p w14:paraId="29635534" w14:textId="77777777" w:rsidR="00E066EB" w:rsidRDefault="00E066EB" w:rsidP="00E066EB">
      <w:pPr>
        <w:rPr>
          <w:rFonts w:ascii="Arial" w:hAnsi="Arial" w:cs="Arial"/>
          <w:b/>
          <w:sz w:val="24"/>
        </w:rPr>
      </w:pPr>
      <w:r w:rsidRPr="00744BE2">
        <w:rPr>
          <w:rFonts w:ascii="Arial" w:hAnsi="Arial" w:cs="Arial"/>
          <w:b/>
          <w:sz w:val="24"/>
        </w:rPr>
        <w:t>Figure 2</w:t>
      </w:r>
      <w:r w:rsidR="00744BE2" w:rsidRPr="00744BE2">
        <w:rPr>
          <w:rFonts w:ascii="Arial" w:hAnsi="Arial" w:cs="Arial"/>
          <w:b/>
          <w:sz w:val="24"/>
        </w:rPr>
        <w:t>.</w:t>
      </w:r>
      <w:r w:rsidRPr="00744BE2">
        <w:rPr>
          <w:rFonts w:ascii="Arial" w:hAnsi="Arial" w:cs="Arial"/>
          <w:b/>
          <w:sz w:val="24"/>
        </w:rPr>
        <w:t xml:space="preserve"> Proportion of adolescents who are overweight or obese by age group, Victoria, 2017-18</w:t>
      </w:r>
    </w:p>
    <w:tbl>
      <w:tblPr>
        <w:tblStyle w:val="TableGrid"/>
        <w:tblW w:w="0" w:type="auto"/>
        <w:tblLook w:val="04A0" w:firstRow="1" w:lastRow="0" w:firstColumn="1" w:lastColumn="0" w:noHBand="0" w:noVBand="1"/>
        <w:tblDescription w:val="This table provides information on the proportion of adolescents who are overweight or obese by age group, Victoria, 2017-18"/>
      </w:tblPr>
      <w:tblGrid>
        <w:gridCol w:w="3006"/>
        <w:gridCol w:w="3005"/>
        <w:gridCol w:w="3005"/>
      </w:tblGrid>
      <w:tr w:rsidR="00EE76A3" w14:paraId="44F67EC7" w14:textId="77777777" w:rsidTr="007E21F5">
        <w:trPr>
          <w:tblHeader/>
        </w:trPr>
        <w:tc>
          <w:tcPr>
            <w:tcW w:w="3080" w:type="dxa"/>
          </w:tcPr>
          <w:p w14:paraId="62C87372" w14:textId="77777777" w:rsidR="00EE76A3" w:rsidRDefault="00EE76A3" w:rsidP="007E21F5">
            <w:pPr>
              <w:rPr>
                <w:rFonts w:ascii="Arial" w:hAnsi="Arial" w:cs="Arial"/>
                <w:sz w:val="24"/>
              </w:rPr>
            </w:pPr>
          </w:p>
        </w:tc>
        <w:tc>
          <w:tcPr>
            <w:tcW w:w="3081" w:type="dxa"/>
          </w:tcPr>
          <w:p w14:paraId="3F01C829" w14:textId="77777777" w:rsidR="00EE76A3" w:rsidRDefault="00744BE2" w:rsidP="007E21F5">
            <w:pPr>
              <w:rPr>
                <w:rFonts w:ascii="Arial" w:hAnsi="Arial" w:cs="Arial"/>
                <w:sz w:val="24"/>
              </w:rPr>
            </w:pPr>
            <w:r>
              <w:rPr>
                <w:rFonts w:ascii="Arial" w:hAnsi="Arial" w:cs="Arial"/>
                <w:sz w:val="24"/>
              </w:rPr>
              <w:t>12-15 years</w:t>
            </w:r>
          </w:p>
        </w:tc>
        <w:tc>
          <w:tcPr>
            <w:tcW w:w="3081" w:type="dxa"/>
          </w:tcPr>
          <w:p w14:paraId="4268AE60" w14:textId="77777777" w:rsidR="00EE76A3" w:rsidRDefault="00744BE2" w:rsidP="007E21F5">
            <w:pPr>
              <w:rPr>
                <w:rFonts w:ascii="Arial" w:hAnsi="Arial" w:cs="Arial"/>
                <w:sz w:val="24"/>
              </w:rPr>
            </w:pPr>
            <w:r>
              <w:rPr>
                <w:rFonts w:ascii="Arial" w:hAnsi="Arial" w:cs="Arial"/>
                <w:sz w:val="24"/>
              </w:rPr>
              <w:t>16-17 years</w:t>
            </w:r>
          </w:p>
        </w:tc>
      </w:tr>
      <w:tr w:rsidR="00EE76A3" w14:paraId="1B370996" w14:textId="77777777" w:rsidTr="007E21F5">
        <w:tc>
          <w:tcPr>
            <w:tcW w:w="3080" w:type="dxa"/>
          </w:tcPr>
          <w:p w14:paraId="3F6A7355" w14:textId="77777777" w:rsidR="00EE76A3" w:rsidRDefault="00744BE2" w:rsidP="007E21F5">
            <w:pPr>
              <w:rPr>
                <w:rFonts w:ascii="Arial" w:hAnsi="Arial" w:cs="Arial"/>
                <w:sz w:val="24"/>
              </w:rPr>
            </w:pPr>
            <w:r>
              <w:rPr>
                <w:rFonts w:ascii="Arial" w:hAnsi="Arial" w:cs="Arial"/>
                <w:sz w:val="24"/>
              </w:rPr>
              <w:t>2017-18</w:t>
            </w:r>
          </w:p>
        </w:tc>
        <w:tc>
          <w:tcPr>
            <w:tcW w:w="3081" w:type="dxa"/>
          </w:tcPr>
          <w:p w14:paraId="71D751F4" w14:textId="77777777" w:rsidR="00EE76A3" w:rsidRDefault="00744BE2" w:rsidP="007E21F5">
            <w:pPr>
              <w:rPr>
                <w:rFonts w:ascii="Arial" w:hAnsi="Arial" w:cs="Arial"/>
                <w:sz w:val="24"/>
              </w:rPr>
            </w:pPr>
            <w:r>
              <w:rPr>
                <w:rFonts w:ascii="Arial" w:hAnsi="Arial" w:cs="Arial"/>
                <w:sz w:val="24"/>
              </w:rPr>
              <w:t>23%</w:t>
            </w:r>
          </w:p>
        </w:tc>
        <w:tc>
          <w:tcPr>
            <w:tcW w:w="3081" w:type="dxa"/>
          </w:tcPr>
          <w:p w14:paraId="6C6FE1D1" w14:textId="77777777" w:rsidR="00EE76A3" w:rsidRDefault="00744BE2" w:rsidP="007E21F5">
            <w:pPr>
              <w:rPr>
                <w:rFonts w:ascii="Arial" w:hAnsi="Arial" w:cs="Arial"/>
                <w:sz w:val="24"/>
              </w:rPr>
            </w:pPr>
            <w:r>
              <w:rPr>
                <w:rFonts w:ascii="Arial" w:hAnsi="Arial" w:cs="Arial"/>
                <w:sz w:val="24"/>
              </w:rPr>
              <w:t>26%</w:t>
            </w:r>
          </w:p>
        </w:tc>
      </w:tr>
    </w:tbl>
    <w:p w14:paraId="2977804F" w14:textId="77777777" w:rsidR="00EE76A3" w:rsidRPr="00EE76A3" w:rsidRDefault="00EE76A3" w:rsidP="00EE76A3">
      <w:pPr>
        <w:rPr>
          <w:rFonts w:ascii="Arial" w:hAnsi="Arial" w:cs="Arial"/>
          <w:i/>
          <w:sz w:val="24"/>
        </w:rPr>
      </w:pPr>
      <w:r w:rsidRPr="00EE76A3">
        <w:rPr>
          <w:rFonts w:ascii="Arial" w:hAnsi="Arial" w:cs="Arial"/>
          <w:i/>
          <w:sz w:val="24"/>
        </w:rPr>
        <w:t>Source: National Health Survey, 2011-12, 2014-15, and 2017-18, ABS</w:t>
      </w:r>
    </w:p>
    <w:p w14:paraId="68820EBE" w14:textId="77777777" w:rsidR="00EE76A3" w:rsidRPr="00EE76A3" w:rsidRDefault="00EE76A3" w:rsidP="00EE76A3">
      <w:pPr>
        <w:rPr>
          <w:rFonts w:ascii="Arial" w:hAnsi="Arial" w:cs="Arial"/>
          <w:i/>
          <w:sz w:val="24"/>
        </w:rPr>
      </w:pPr>
      <w:r w:rsidRPr="00EE76A3">
        <w:rPr>
          <w:rFonts w:ascii="Arial" w:hAnsi="Arial" w:cs="Arial"/>
          <w:i/>
          <w:sz w:val="24"/>
        </w:rPr>
        <w:t>Note: Data averaged over last three NHS surveys to account for fluctuations due to small sample sizes per age group.</w:t>
      </w:r>
    </w:p>
    <w:p w14:paraId="607C8A21" w14:textId="77777777" w:rsidR="00E066EB" w:rsidRPr="00EE76A3" w:rsidRDefault="00EE76A3" w:rsidP="00EE76A3">
      <w:pPr>
        <w:rPr>
          <w:rFonts w:ascii="Arial" w:hAnsi="Arial" w:cs="Arial"/>
          <w:sz w:val="24"/>
        </w:rPr>
      </w:pPr>
      <w:r w:rsidRPr="00EE76A3">
        <w:rPr>
          <w:rFonts w:ascii="Arial" w:hAnsi="Arial" w:cs="Arial"/>
          <w:sz w:val="24"/>
        </w:rPr>
        <w:t>Being overweight is co-morbid with mental health problems among young people. For instance, recent research indicates that major depressive disorder (MDD) and obesity are mutually predictive factors in adolescen</w:t>
      </w:r>
      <w:r>
        <w:rPr>
          <w:rFonts w:ascii="Arial" w:hAnsi="Arial" w:cs="Arial"/>
          <w:sz w:val="24"/>
        </w:rPr>
        <w:t xml:space="preserve">ce. According to this research, </w:t>
      </w:r>
      <w:r w:rsidRPr="00EE76A3">
        <w:rPr>
          <w:rFonts w:ascii="Arial" w:hAnsi="Arial" w:cs="Arial"/>
          <w:sz w:val="24"/>
        </w:rPr>
        <w:t>MDD occurring by early adolescence predicted the development of obesity in late adolescence among women. Conversely, obesity with an onset during late adolescence predicted the onset of MDD in early adulthood among women (Marmorstein, Iacono, &amp; Legrand, 2014).</w:t>
      </w:r>
    </w:p>
    <w:p w14:paraId="24CBFE8A" w14:textId="77777777" w:rsidR="005C71B5" w:rsidRPr="005C71B5" w:rsidRDefault="005C71B5" w:rsidP="005C71B5">
      <w:pPr>
        <w:pBdr>
          <w:top w:val="single" w:sz="4" w:space="1" w:color="auto"/>
          <w:left w:val="single" w:sz="4" w:space="4" w:color="auto"/>
          <w:bottom w:val="single" w:sz="4" w:space="1" w:color="auto"/>
          <w:right w:val="single" w:sz="4" w:space="4" w:color="auto"/>
        </w:pBdr>
        <w:rPr>
          <w:rFonts w:ascii="Arial" w:hAnsi="Arial" w:cs="Arial"/>
          <w:b/>
          <w:noProof/>
          <w:sz w:val="24"/>
          <w:lang w:eastAsia="en-AU"/>
        </w:rPr>
      </w:pPr>
      <w:r w:rsidRPr="005C71B5">
        <w:rPr>
          <w:rFonts w:ascii="Arial" w:hAnsi="Arial" w:cs="Arial"/>
          <w:b/>
          <w:noProof/>
          <w:sz w:val="24"/>
          <w:lang w:eastAsia="en-AU"/>
        </w:rPr>
        <w:t>Adolescence can be a time when eating disorders emerge</w:t>
      </w:r>
    </w:p>
    <w:p w14:paraId="40F0B2D9" w14:textId="77777777" w:rsidR="005C71B5" w:rsidRPr="005C71B5" w:rsidRDefault="005C71B5" w:rsidP="005C71B5">
      <w:pPr>
        <w:pBdr>
          <w:top w:val="single" w:sz="4" w:space="1" w:color="auto"/>
          <w:left w:val="single" w:sz="4" w:space="4" w:color="auto"/>
          <w:bottom w:val="single" w:sz="4" w:space="1" w:color="auto"/>
          <w:right w:val="single" w:sz="4" w:space="4" w:color="auto"/>
        </w:pBdr>
        <w:rPr>
          <w:rFonts w:ascii="Arial" w:hAnsi="Arial" w:cs="Arial"/>
          <w:noProof/>
          <w:sz w:val="24"/>
          <w:lang w:eastAsia="en-AU"/>
        </w:rPr>
      </w:pPr>
      <w:r w:rsidRPr="005C71B5">
        <w:rPr>
          <w:rFonts w:ascii="Arial" w:hAnsi="Arial" w:cs="Arial"/>
          <w:noProof/>
          <w:sz w:val="24"/>
          <w:lang w:eastAsia="en-AU"/>
        </w:rPr>
        <w:t>While maintaining a healthy diet is important for adolescent development, concerns about weight, often informed by normative standards of the ‘ideal weight’ and related social anxieties, can motivate young people to experiment with excessive dieting behaviours. These behaviours can be a precursor to a range of health concerns, including the development of eating disorders, particularly anorexia nervosa and bulimia nervosa (Eating Disorders Victoria, 2019).</w:t>
      </w:r>
    </w:p>
    <w:p w14:paraId="6D0A09F1" w14:textId="77777777" w:rsidR="005C71B5" w:rsidRPr="005C71B5" w:rsidRDefault="005C71B5" w:rsidP="005C71B5">
      <w:pPr>
        <w:pBdr>
          <w:top w:val="single" w:sz="4" w:space="1" w:color="auto"/>
          <w:left w:val="single" w:sz="4" w:space="4" w:color="auto"/>
          <w:bottom w:val="single" w:sz="4" w:space="1" w:color="auto"/>
          <w:right w:val="single" w:sz="4" w:space="4" w:color="auto"/>
        </w:pBdr>
        <w:rPr>
          <w:rFonts w:ascii="Arial" w:hAnsi="Arial" w:cs="Arial"/>
          <w:noProof/>
          <w:sz w:val="24"/>
          <w:lang w:eastAsia="en-AU"/>
        </w:rPr>
      </w:pPr>
      <w:r w:rsidRPr="005C71B5">
        <w:rPr>
          <w:rFonts w:ascii="Arial" w:hAnsi="Arial" w:cs="Arial"/>
          <w:noProof/>
          <w:sz w:val="24"/>
          <w:lang w:eastAsia="en-AU"/>
        </w:rPr>
        <w:lastRenderedPageBreak/>
        <w:t>According to recent LSAC data, one in four girls and one in 10 boys in Australia report consciously restricting their food intake to control their weight (Warren &amp; Daraganova, 2018). Nationally, 10 per cent of girls and six per cent of boys aged 14 and 15 reported having gone all day without eating at least once in the last four weeks. However, most teens did not do this frequently, with 32 per cent of girls and 17 per cent of boys who reported having gone all day without eating (less than one per cent of all 14 and 15 year olds) doing so on two or more days per week. Among the 14 and 15 year olds who engaged in some form of dieting, around two-thirds of girls and almost half of boys were in the normal weight range.</w:t>
      </w:r>
    </w:p>
    <w:p w14:paraId="352C5DF5" w14:textId="77777777" w:rsidR="00E14070" w:rsidRPr="005C71B5" w:rsidRDefault="005C71B5" w:rsidP="005C71B5">
      <w:pPr>
        <w:pBdr>
          <w:top w:val="single" w:sz="4" w:space="1" w:color="auto"/>
          <w:left w:val="single" w:sz="4" w:space="4" w:color="auto"/>
          <w:bottom w:val="single" w:sz="4" w:space="1" w:color="auto"/>
          <w:right w:val="single" w:sz="4" w:space="4" w:color="auto"/>
        </w:pBdr>
        <w:rPr>
          <w:rFonts w:ascii="Arial" w:hAnsi="Arial" w:cs="Arial"/>
          <w:noProof/>
          <w:sz w:val="24"/>
          <w:lang w:eastAsia="en-AU"/>
        </w:rPr>
      </w:pPr>
      <w:r w:rsidRPr="005C71B5">
        <w:rPr>
          <w:rFonts w:ascii="Arial" w:hAnsi="Arial" w:cs="Arial"/>
          <w:noProof/>
          <w:sz w:val="24"/>
          <w:lang w:eastAsia="en-AU"/>
        </w:rPr>
        <w:t>The same study found that adolescents who engaged in excessive dieting behaviours, such as skipping meals or going without food, exhibited a higher prevalence of mental health concerns. Among girls who were dieting at age 14 and 15, 58 per cent had elevated depressive symptoms and 47 per cent had elevated symptoms of anxiety, as compared to 27 per cent and 19 per cent of those not dieting. Of boys who were dieting, 32 per cent had symptoms of depression and 16 per cent had symptoms of anxiety, as compared to 17 per cent and six per cent of those not dieting.</w:t>
      </w:r>
    </w:p>
    <w:p w14:paraId="021D6024" w14:textId="77777777" w:rsidR="005C71B5" w:rsidRPr="002F3BD4" w:rsidRDefault="005C71B5" w:rsidP="002F3BD4">
      <w:pPr>
        <w:pStyle w:val="Heading3"/>
        <w:rPr>
          <w:rFonts w:ascii="Arial" w:hAnsi="Arial" w:cs="Arial"/>
          <w:color w:val="auto"/>
          <w:sz w:val="24"/>
        </w:rPr>
      </w:pPr>
      <w:bookmarkStart w:id="14" w:name="_Toc33527739"/>
      <w:r w:rsidRPr="002F3BD4">
        <w:rPr>
          <w:rFonts w:ascii="Arial" w:hAnsi="Arial" w:cs="Arial"/>
          <w:color w:val="auto"/>
          <w:sz w:val="24"/>
        </w:rPr>
        <w:t>2.5</w:t>
      </w:r>
      <w:r w:rsidRPr="002F3BD4">
        <w:rPr>
          <w:rFonts w:ascii="Arial" w:hAnsi="Arial" w:cs="Arial"/>
          <w:color w:val="auto"/>
          <w:sz w:val="24"/>
        </w:rPr>
        <w:tab/>
        <w:t>Fewer than one in five students meet guidelines for daily physical activity</w:t>
      </w:r>
      <w:bookmarkEnd w:id="14"/>
    </w:p>
    <w:p w14:paraId="3BFDFA47" w14:textId="77777777" w:rsidR="005C71B5" w:rsidRPr="005C71B5" w:rsidRDefault="005C71B5" w:rsidP="005C71B5">
      <w:pPr>
        <w:rPr>
          <w:rFonts w:ascii="Arial" w:hAnsi="Arial" w:cs="Arial"/>
          <w:noProof/>
          <w:sz w:val="24"/>
          <w:lang w:eastAsia="en-AU"/>
        </w:rPr>
      </w:pPr>
      <w:r w:rsidRPr="005C71B5">
        <w:rPr>
          <w:rFonts w:ascii="Arial" w:hAnsi="Arial" w:cs="Arial"/>
          <w:noProof/>
          <w:sz w:val="24"/>
          <w:lang w:eastAsia="en-AU"/>
        </w:rPr>
        <w:t>There are strong links between children’s physical health, wellbeing and cognitive development. In conjunction with related risk factors such as poor diet and insufficient sleep (Bridget, et al., 2016), low levels of physical activity and excessive sedentary behaviour are key contributors to poor child and adolescent health and obesity.</w:t>
      </w:r>
    </w:p>
    <w:p w14:paraId="19774E4A" w14:textId="77777777" w:rsidR="005C71B5" w:rsidRPr="005C71B5" w:rsidRDefault="005C71B5" w:rsidP="005C71B5">
      <w:pPr>
        <w:rPr>
          <w:rFonts w:ascii="Arial" w:hAnsi="Arial" w:cs="Arial"/>
          <w:noProof/>
          <w:sz w:val="24"/>
          <w:lang w:eastAsia="en-AU"/>
        </w:rPr>
      </w:pPr>
      <w:r w:rsidRPr="005C71B5">
        <w:rPr>
          <w:rFonts w:ascii="Arial" w:hAnsi="Arial" w:cs="Arial"/>
          <w:noProof/>
          <w:sz w:val="24"/>
          <w:lang w:eastAsia="en-AU"/>
        </w:rPr>
        <w:t>National health guidelines recommend that young people undertake at least 60 minutes of moderate to vigorous physical activity per day (Australian Government Department of Health, 2017). Despite its importance as a protective factor for young people, average physical activity levels decline as children enter adolescence.</w:t>
      </w:r>
    </w:p>
    <w:p w14:paraId="110324DC" w14:textId="77777777" w:rsidR="00E14070" w:rsidRDefault="005C71B5" w:rsidP="005C71B5">
      <w:pPr>
        <w:rPr>
          <w:rFonts w:ascii="Arial" w:hAnsi="Arial" w:cs="Arial"/>
          <w:noProof/>
          <w:sz w:val="24"/>
          <w:lang w:eastAsia="en-AU"/>
        </w:rPr>
      </w:pPr>
      <w:r w:rsidRPr="005C71B5">
        <w:rPr>
          <w:rFonts w:ascii="Arial" w:hAnsi="Arial" w:cs="Arial"/>
          <w:noProof/>
          <w:sz w:val="24"/>
          <w:lang w:eastAsia="en-AU"/>
        </w:rPr>
        <w:t>In 2018, according to VSHAWS estimates, only 17 per cent of Years 8 and 11 students met the recommended amount of daily physical activity. This is consistent with results since 2014. Male students (24 per cent) were more than twice as likely as female students (11 per cent) to meet the recommended amount of physical activity.</w:t>
      </w:r>
    </w:p>
    <w:p w14:paraId="40A9B356" w14:textId="77777777" w:rsidR="00B05316" w:rsidRPr="00B05316" w:rsidRDefault="00B05316" w:rsidP="00B05316">
      <w:pPr>
        <w:pBdr>
          <w:top w:val="single" w:sz="4" w:space="1" w:color="auto"/>
          <w:left w:val="single" w:sz="4" w:space="4" w:color="auto"/>
          <w:bottom w:val="single" w:sz="4" w:space="1" w:color="auto"/>
          <w:right w:val="single" w:sz="4" w:space="4" w:color="auto"/>
        </w:pBdr>
        <w:rPr>
          <w:rFonts w:ascii="Arial" w:hAnsi="Arial" w:cs="Arial"/>
          <w:b/>
          <w:noProof/>
          <w:sz w:val="24"/>
          <w:lang w:eastAsia="en-AU"/>
        </w:rPr>
      </w:pPr>
      <w:r w:rsidRPr="00B05316">
        <w:rPr>
          <w:rFonts w:ascii="Arial" w:hAnsi="Arial" w:cs="Arial"/>
          <w:b/>
          <w:noProof/>
          <w:sz w:val="24"/>
          <w:lang w:eastAsia="en-AU"/>
        </w:rPr>
        <w:t>Promoting physical activity in Victorian schools</w:t>
      </w:r>
    </w:p>
    <w:p w14:paraId="4951B28C" w14:textId="77777777" w:rsidR="00B05316" w:rsidRPr="00B05316" w:rsidRDefault="00B05316" w:rsidP="00B05316">
      <w:pPr>
        <w:pBdr>
          <w:top w:val="single" w:sz="4" w:space="1" w:color="auto"/>
          <w:left w:val="single" w:sz="4" w:space="4" w:color="auto"/>
          <w:bottom w:val="single" w:sz="4" w:space="1" w:color="auto"/>
          <w:right w:val="single" w:sz="4" w:space="4" w:color="auto"/>
        </w:pBdr>
        <w:rPr>
          <w:rFonts w:ascii="Arial" w:hAnsi="Arial" w:cs="Arial"/>
          <w:noProof/>
          <w:sz w:val="24"/>
          <w:lang w:eastAsia="en-AU"/>
        </w:rPr>
      </w:pPr>
      <w:r w:rsidRPr="00B05316">
        <w:rPr>
          <w:rFonts w:ascii="Arial" w:hAnsi="Arial" w:cs="Arial"/>
          <w:noProof/>
          <w:sz w:val="24"/>
          <w:lang w:eastAsia="en-AU"/>
        </w:rPr>
        <w:t>Physical activity is vital for health and fitness, developing coordination and motor skills, and has a positive effect on general wellbeing including mental and social development.</w:t>
      </w:r>
    </w:p>
    <w:p w14:paraId="5E3B8990" w14:textId="77777777" w:rsidR="00B05316" w:rsidRPr="00B05316" w:rsidRDefault="00B05316" w:rsidP="00B05316">
      <w:pPr>
        <w:pBdr>
          <w:top w:val="single" w:sz="4" w:space="1" w:color="auto"/>
          <w:left w:val="single" w:sz="4" w:space="4" w:color="auto"/>
          <w:bottom w:val="single" w:sz="4" w:space="1" w:color="auto"/>
          <w:right w:val="single" w:sz="4" w:space="4" w:color="auto"/>
        </w:pBdr>
        <w:rPr>
          <w:rFonts w:ascii="Arial" w:hAnsi="Arial" w:cs="Arial"/>
          <w:noProof/>
          <w:sz w:val="24"/>
          <w:lang w:eastAsia="en-AU"/>
        </w:rPr>
      </w:pPr>
      <w:r w:rsidRPr="00B05316">
        <w:rPr>
          <w:rFonts w:ascii="Arial" w:hAnsi="Arial" w:cs="Arial"/>
          <w:noProof/>
          <w:sz w:val="24"/>
          <w:lang w:eastAsia="en-AU"/>
        </w:rPr>
        <w:t>Increasing physical activity levels among school children is a key aim of the Victorian Government.</w:t>
      </w:r>
    </w:p>
    <w:p w14:paraId="2D1937F3" w14:textId="77777777" w:rsidR="00B05316" w:rsidRPr="00B05316" w:rsidRDefault="00B05316" w:rsidP="00B05316">
      <w:pPr>
        <w:pBdr>
          <w:top w:val="single" w:sz="4" w:space="1" w:color="auto"/>
          <w:left w:val="single" w:sz="4" w:space="4" w:color="auto"/>
          <w:bottom w:val="single" w:sz="4" w:space="1" w:color="auto"/>
          <w:right w:val="single" w:sz="4" w:space="4" w:color="auto"/>
        </w:pBdr>
        <w:rPr>
          <w:rFonts w:ascii="Arial" w:hAnsi="Arial" w:cs="Arial"/>
          <w:noProof/>
          <w:sz w:val="24"/>
          <w:lang w:eastAsia="en-AU"/>
        </w:rPr>
      </w:pPr>
      <w:r w:rsidRPr="00B05316">
        <w:rPr>
          <w:rFonts w:ascii="Arial" w:hAnsi="Arial" w:cs="Arial"/>
          <w:noProof/>
          <w:sz w:val="24"/>
          <w:lang w:eastAsia="en-AU"/>
        </w:rPr>
        <w:lastRenderedPageBreak/>
        <w:t>The Victorian Curriculum F-10 for Health and Physical Education is informed by a strengths-based approach which focuses on developing movement skills required to participate in physical activities with competence and confidence.</w:t>
      </w:r>
    </w:p>
    <w:p w14:paraId="3B842890" w14:textId="77777777" w:rsidR="00B05316" w:rsidRPr="00B05316" w:rsidRDefault="00B05316" w:rsidP="00B05316">
      <w:pPr>
        <w:pBdr>
          <w:top w:val="single" w:sz="4" w:space="1" w:color="auto"/>
          <w:left w:val="single" w:sz="4" w:space="4" w:color="auto"/>
          <w:bottom w:val="single" w:sz="4" w:space="1" w:color="auto"/>
          <w:right w:val="single" w:sz="4" w:space="4" w:color="auto"/>
        </w:pBdr>
        <w:rPr>
          <w:rFonts w:ascii="Arial" w:hAnsi="Arial" w:cs="Arial"/>
          <w:noProof/>
          <w:sz w:val="24"/>
          <w:lang w:eastAsia="en-AU"/>
        </w:rPr>
      </w:pPr>
      <w:r w:rsidRPr="00B05316">
        <w:rPr>
          <w:rFonts w:ascii="Arial" w:hAnsi="Arial" w:cs="Arial"/>
          <w:noProof/>
          <w:sz w:val="24"/>
          <w:lang w:eastAsia="en-AU"/>
        </w:rPr>
        <w:t>The knowledge and skills students develop through Health and Physical Education curriculum encourage ongoing participation across their lifespan, in turn leading to positive health outcomes.</w:t>
      </w:r>
    </w:p>
    <w:p w14:paraId="5814FA7F" w14:textId="77777777" w:rsidR="00B05316" w:rsidRPr="00B05316" w:rsidRDefault="00B05316" w:rsidP="00B05316">
      <w:pPr>
        <w:pBdr>
          <w:top w:val="single" w:sz="4" w:space="1" w:color="auto"/>
          <w:left w:val="single" w:sz="4" w:space="4" w:color="auto"/>
          <w:bottom w:val="single" w:sz="4" w:space="1" w:color="auto"/>
          <w:right w:val="single" w:sz="4" w:space="4" w:color="auto"/>
        </w:pBdr>
        <w:rPr>
          <w:rFonts w:ascii="Arial" w:hAnsi="Arial" w:cs="Arial"/>
          <w:noProof/>
          <w:sz w:val="24"/>
          <w:lang w:eastAsia="en-AU"/>
        </w:rPr>
      </w:pPr>
      <w:r w:rsidRPr="00B05316">
        <w:rPr>
          <w:rFonts w:ascii="Arial" w:hAnsi="Arial" w:cs="Arial"/>
          <w:noProof/>
          <w:sz w:val="24"/>
          <w:lang w:eastAsia="en-AU"/>
        </w:rPr>
        <w:t>In addition, the 2018-19 Budget allocated $1.1 million to increase student participation in interschool sport through the DET Active Kids program. Funding will be provided to up to 300 disadvantaged Victorian government schools that experience significant financial barriers to greater participation in interschool sport.</w:t>
      </w:r>
    </w:p>
    <w:p w14:paraId="37DAC057" w14:textId="77777777" w:rsidR="005C71B5" w:rsidRPr="005C71B5" w:rsidRDefault="00B05316" w:rsidP="00B05316">
      <w:pPr>
        <w:pBdr>
          <w:top w:val="single" w:sz="4" w:space="1" w:color="auto"/>
          <w:left w:val="single" w:sz="4" w:space="4" w:color="auto"/>
          <w:bottom w:val="single" w:sz="4" w:space="1" w:color="auto"/>
          <w:right w:val="single" w:sz="4" w:space="4" w:color="auto"/>
        </w:pBdr>
        <w:rPr>
          <w:rFonts w:ascii="Arial" w:hAnsi="Arial" w:cs="Arial"/>
          <w:noProof/>
          <w:sz w:val="24"/>
          <w:lang w:eastAsia="en-AU"/>
        </w:rPr>
      </w:pPr>
      <w:r w:rsidRPr="00B05316">
        <w:rPr>
          <w:rFonts w:ascii="Arial" w:hAnsi="Arial" w:cs="Arial"/>
          <w:noProof/>
          <w:sz w:val="24"/>
          <w:lang w:eastAsia="en-AU"/>
        </w:rPr>
        <w:t>The Healthy Schools Achievement Program provides a whole-of-school approach</w:t>
      </w:r>
      <w:r>
        <w:rPr>
          <w:rFonts w:ascii="Arial" w:hAnsi="Arial" w:cs="Arial"/>
          <w:noProof/>
          <w:sz w:val="24"/>
          <w:lang w:eastAsia="en-AU"/>
        </w:rPr>
        <w:t xml:space="preserve"> </w:t>
      </w:r>
      <w:r w:rsidRPr="00B05316">
        <w:rPr>
          <w:rFonts w:ascii="Arial" w:hAnsi="Arial" w:cs="Arial"/>
          <w:noProof/>
          <w:sz w:val="24"/>
          <w:lang w:eastAsia="en-AU"/>
        </w:rPr>
        <w:t>to promoting physical activity and sets Physical Activity and Movement benchmarks for schools.</w:t>
      </w:r>
    </w:p>
    <w:p w14:paraId="5E119A27" w14:textId="77777777" w:rsidR="00712419" w:rsidRPr="002F3BD4" w:rsidRDefault="00712419" w:rsidP="002F3BD4">
      <w:pPr>
        <w:pStyle w:val="Heading3"/>
        <w:rPr>
          <w:rFonts w:ascii="Arial" w:hAnsi="Arial" w:cs="Arial"/>
          <w:color w:val="auto"/>
          <w:sz w:val="24"/>
        </w:rPr>
      </w:pPr>
      <w:bookmarkStart w:id="15" w:name="_Toc33527740"/>
      <w:r w:rsidRPr="002F3BD4">
        <w:rPr>
          <w:rFonts w:ascii="Arial" w:hAnsi="Arial" w:cs="Arial"/>
          <w:color w:val="auto"/>
          <w:sz w:val="24"/>
        </w:rPr>
        <w:t>2.6</w:t>
      </w:r>
      <w:r w:rsidRPr="002F3BD4">
        <w:rPr>
          <w:rFonts w:ascii="Arial" w:hAnsi="Arial" w:cs="Arial"/>
          <w:color w:val="auto"/>
          <w:sz w:val="24"/>
        </w:rPr>
        <w:tab/>
        <w:t>A higher rate of adolescents are being hospitalised for severe allergic reactions</w:t>
      </w:r>
      <w:bookmarkEnd w:id="15"/>
    </w:p>
    <w:p w14:paraId="6453AE1F" w14:textId="77777777" w:rsidR="00712419" w:rsidRPr="00712419" w:rsidRDefault="00712419" w:rsidP="00712419">
      <w:pPr>
        <w:rPr>
          <w:rFonts w:ascii="Arial" w:hAnsi="Arial" w:cs="Arial"/>
          <w:noProof/>
          <w:sz w:val="24"/>
          <w:lang w:eastAsia="en-AU"/>
        </w:rPr>
      </w:pPr>
      <w:r w:rsidRPr="00712419">
        <w:rPr>
          <w:rFonts w:ascii="Arial" w:hAnsi="Arial" w:cs="Arial"/>
          <w:noProof/>
          <w:sz w:val="24"/>
          <w:lang w:eastAsia="en-AU"/>
        </w:rPr>
        <w:t>Anaphylaxis is a severe and sudden allergic reaction that can cause death; although death is rare. Presentations and hospital admissions for anaphylactic reactions are increasing among Victorians, particularly children and adolescents. In 2017-18 there were approximately 57 admissions per 100,000 10-to-17-year-olds, representing a rate 3.5 times higher than 2008-09 levels. Older adolescents are much more likely to present with this condition than younger adolescents, with rates more than 50 per</w:t>
      </w:r>
      <w:r>
        <w:rPr>
          <w:rFonts w:ascii="Arial" w:hAnsi="Arial" w:cs="Arial"/>
          <w:noProof/>
          <w:sz w:val="24"/>
          <w:lang w:eastAsia="en-AU"/>
        </w:rPr>
        <w:t xml:space="preserve"> </w:t>
      </w:r>
      <w:r w:rsidRPr="00712419">
        <w:rPr>
          <w:rFonts w:ascii="Arial" w:hAnsi="Arial" w:cs="Arial"/>
          <w:noProof/>
          <w:sz w:val="24"/>
          <w:lang w:eastAsia="en-AU"/>
        </w:rPr>
        <w:t>cent higher among 15-to-17-year-olds (72 per 100,000) compared to 10-to-14-year-olds (47 per 100,000).</w:t>
      </w:r>
    </w:p>
    <w:p w14:paraId="794BC0F0" w14:textId="77777777" w:rsidR="00712419" w:rsidRPr="00712419" w:rsidRDefault="00712419" w:rsidP="00712419">
      <w:pPr>
        <w:rPr>
          <w:rFonts w:ascii="Arial" w:hAnsi="Arial" w:cs="Arial"/>
          <w:noProof/>
          <w:sz w:val="24"/>
          <w:lang w:eastAsia="en-AU"/>
        </w:rPr>
      </w:pPr>
      <w:r w:rsidRPr="00712419">
        <w:rPr>
          <w:rFonts w:ascii="Arial" w:hAnsi="Arial" w:cs="Arial"/>
          <w:noProof/>
          <w:sz w:val="24"/>
          <w:lang w:eastAsia="en-AU"/>
        </w:rPr>
        <w:t>Food allergy is the most common known trigger for anaphylaxis among children and adolescents in Australia. It is also the most common cause of anaphylaxis fatalities among younger adolescents, whereas drug allergies are the most common cause among older adolescents (Liew, Williamson, &amp; Tang, 2009).</w:t>
      </w:r>
    </w:p>
    <w:p w14:paraId="6A35A3AE" w14:textId="77777777" w:rsidR="00E14070" w:rsidRDefault="00712419" w:rsidP="00712419">
      <w:pPr>
        <w:rPr>
          <w:rFonts w:ascii="Arial" w:hAnsi="Arial" w:cs="Arial"/>
          <w:noProof/>
          <w:sz w:val="24"/>
          <w:lang w:eastAsia="en-AU"/>
        </w:rPr>
      </w:pPr>
      <w:r w:rsidRPr="00712419">
        <w:rPr>
          <w:rFonts w:ascii="Arial" w:hAnsi="Arial" w:cs="Arial"/>
          <w:noProof/>
          <w:sz w:val="24"/>
          <w:lang w:eastAsia="en-AU"/>
        </w:rPr>
        <w:t>Long-term management is important to minimise ongoing risk. This includes: referral to an allergy specialist; identification of the trigger; allergen avoidance; consideration of an adrenaline auto-injector; provision of an emergency action plan with accompanying education; and regular annual follow up (Laemmle-Ruff, O’Hehir, Ackland, &amp; Tang, 2013).</w:t>
      </w:r>
    </w:p>
    <w:p w14:paraId="26D54B04" w14:textId="77777777" w:rsidR="007814DE" w:rsidRDefault="00B653BE" w:rsidP="00712419">
      <w:pPr>
        <w:rPr>
          <w:rFonts w:ascii="Arial" w:hAnsi="Arial" w:cs="Arial"/>
          <w:b/>
          <w:noProof/>
          <w:sz w:val="24"/>
          <w:lang w:eastAsia="en-AU"/>
        </w:rPr>
      </w:pPr>
      <w:r w:rsidRPr="00980CB2">
        <w:rPr>
          <w:rFonts w:ascii="Arial" w:hAnsi="Arial" w:cs="Arial"/>
          <w:b/>
          <w:noProof/>
          <w:sz w:val="24"/>
          <w:lang w:eastAsia="en-AU"/>
        </w:rPr>
        <w:t>Figure 3. Rate (per 100,000 population) of anaphylaxis hospitalisations among 10-to-17-year-olds, Victoria, 2008-09—2017-18</w:t>
      </w:r>
    </w:p>
    <w:tbl>
      <w:tblPr>
        <w:tblStyle w:val="TableGrid"/>
        <w:tblW w:w="0" w:type="auto"/>
        <w:tblLook w:val="04A0" w:firstRow="1" w:lastRow="0" w:firstColumn="1" w:lastColumn="0" w:noHBand="0" w:noVBand="1"/>
        <w:tblDescription w:val="This table provides information on the rate (per 100,000 population) of anaphylaxis hospitalisations among 10-to-17-year-olds, Victoria, 2008-09—2017-18"/>
      </w:tblPr>
      <w:tblGrid>
        <w:gridCol w:w="2380"/>
        <w:gridCol w:w="2212"/>
        <w:gridCol w:w="2212"/>
        <w:gridCol w:w="2212"/>
      </w:tblGrid>
      <w:tr w:rsidR="00744BE2" w14:paraId="34B5C864" w14:textId="77777777" w:rsidTr="00744BE2">
        <w:trPr>
          <w:tblHeader/>
        </w:trPr>
        <w:tc>
          <w:tcPr>
            <w:tcW w:w="2441" w:type="dxa"/>
          </w:tcPr>
          <w:p w14:paraId="5FAB9525" w14:textId="77777777" w:rsidR="00744BE2" w:rsidRDefault="00744BE2" w:rsidP="007E21F5">
            <w:pPr>
              <w:rPr>
                <w:rFonts w:ascii="Arial" w:hAnsi="Arial" w:cs="Arial"/>
                <w:sz w:val="24"/>
              </w:rPr>
            </w:pPr>
          </w:p>
        </w:tc>
        <w:tc>
          <w:tcPr>
            <w:tcW w:w="2267" w:type="dxa"/>
          </w:tcPr>
          <w:p w14:paraId="54858B3A" w14:textId="77777777" w:rsidR="00744BE2" w:rsidRDefault="00744BE2" w:rsidP="007E21F5">
            <w:pPr>
              <w:rPr>
                <w:rFonts w:ascii="Arial" w:hAnsi="Arial" w:cs="Arial"/>
                <w:sz w:val="24"/>
              </w:rPr>
            </w:pPr>
            <w:r>
              <w:rPr>
                <w:rFonts w:ascii="Arial" w:hAnsi="Arial" w:cs="Arial"/>
                <w:sz w:val="24"/>
              </w:rPr>
              <w:t>10-14 years</w:t>
            </w:r>
          </w:p>
        </w:tc>
        <w:tc>
          <w:tcPr>
            <w:tcW w:w="2267" w:type="dxa"/>
          </w:tcPr>
          <w:p w14:paraId="223B014B" w14:textId="77777777" w:rsidR="00744BE2" w:rsidRDefault="00744BE2" w:rsidP="007E21F5">
            <w:pPr>
              <w:rPr>
                <w:rFonts w:ascii="Arial" w:hAnsi="Arial" w:cs="Arial"/>
                <w:sz w:val="24"/>
              </w:rPr>
            </w:pPr>
            <w:r>
              <w:rPr>
                <w:rFonts w:ascii="Arial" w:hAnsi="Arial" w:cs="Arial"/>
                <w:sz w:val="24"/>
              </w:rPr>
              <w:t>15-17 years</w:t>
            </w:r>
          </w:p>
        </w:tc>
        <w:tc>
          <w:tcPr>
            <w:tcW w:w="2267" w:type="dxa"/>
          </w:tcPr>
          <w:p w14:paraId="4CAD7030" w14:textId="77777777" w:rsidR="00744BE2" w:rsidRDefault="00744BE2" w:rsidP="007E21F5">
            <w:pPr>
              <w:rPr>
                <w:rFonts w:ascii="Arial" w:hAnsi="Arial" w:cs="Arial"/>
                <w:sz w:val="24"/>
              </w:rPr>
            </w:pPr>
            <w:r>
              <w:rPr>
                <w:rFonts w:ascii="Arial" w:hAnsi="Arial" w:cs="Arial"/>
                <w:sz w:val="24"/>
              </w:rPr>
              <w:t>10-17 years</w:t>
            </w:r>
          </w:p>
        </w:tc>
      </w:tr>
      <w:tr w:rsidR="00980CB2" w14:paraId="6E4C365C" w14:textId="77777777" w:rsidTr="00467486">
        <w:tc>
          <w:tcPr>
            <w:tcW w:w="2441" w:type="dxa"/>
          </w:tcPr>
          <w:p w14:paraId="3CD56DD5" w14:textId="77777777" w:rsidR="00980CB2" w:rsidRDefault="00980CB2" w:rsidP="007E21F5">
            <w:pPr>
              <w:rPr>
                <w:rFonts w:ascii="Arial" w:hAnsi="Arial" w:cs="Arial"/>
                <w:sz w:val="24"/>
              </w:rPr>
            </w:pPr>
            <w:r>
              <w:rPr>
                <w:rFonts w:ascii="Arial" w:hAnsi="Arial" w:cs="Arial"/>
                <w:sz w:val="24"/>
              </w:rPr>
              <w:t>2008-09</w:t>
            </w:r>
          </w:p>
        </w:tc>
        <w:tc>
          <w:tcPr>
            <w:tcW w:w="2267" w:type="dxa"/>
            <w:vAlign w:val="bottom"/>
          </w:tcPr>
          <w:p w14:paraId="62E3657C" w14:textId="77777777" w:rsidR="00980CB2" w:rsidRPr="00980CB2" w:rsidRDefault="00980CB2" w:rsidP="00980CB2">
            <w:pPr>
              <w:rPr>
                <w:rFonts w:ascii="Arial" w:hAnsi="Arial" w:cs="Arial"/>
                <w:color w:val="000000"/>
                <w:sz w:val="24"/>
              </w:rPr>
            </w:pPr>
            <w:r w:rsidRPr="00980CB2">
              <w:rPr>
                <w:rFonts w:ascii="Arial" w:hAnsi="Arial" w:cs="Arial"/>
                <w:color w:val="000000"/>
                <w:sz w:val="24"/>
              </w:rPr>
              <w:t>12</w:t>
            </w:r>
          </w:p>
        </w:tc>
        <w:tc>
          <w:tcPr>
            <w:tcW w:w="2267" w:type="dxa"/>
            <w:vAlign w:val="bottom"/>
          </w:tcPr>
          <w:p w14:paraId="48B92F79" w14:textId="77777777" w:rsidR="00980CB2" w:rsidRPr="00980CB2" w:rsidRDefault="00980CB2" w:rsidP="00980CB2">
            <w:pPr>
              <w:rPr>
                <w:rFonts w:ascii="Arial" w:hAnsi="Arial" w:cs="Arial"/>
                <w:color w:val="000000"/>
                <w:sz w:val="24"/>
              </w:rPr>
            </w:pPr>
            <w:r w:rsidRPr="00980CB2">
              <w:rPr>
                <w:rFonts w:ascii="Arial" w:hAnsi="Arial" w:cs="Arial"/>
                <w:color w:val="000000"/>
                <w:sz w:val="24"/>
              </w:rPr>
              <w:t>22</w:t>
            </w:r>
          </w:p>
        </w:tc>
        <w:tc>
          <w:tcPr>
            <w:tcW w:w="2267" w:type="dxa"/>
            <w:vAlign w:val="bottom"/>
          </w:tcPr>
          <w:p w14:paraId="035EFE3E" w14:textId="77777777" w:rsidR="00980CB2" w:rsidRPr="00980CB2" w:rsidRDefault="00980CB2" w:rsidP="00980CB2">
            <w:pPr>
              <w:rPr>
                <w:rFonts w:ascii="Arial" w:hAnsi="Arial" w:cs="Arial"/>
                <w:color w:val="000000"/>
                <w:sz w:val="24"/>
              </w:rPr>
            </w:pPr>
            <w:r w:rsidRPr="00980CB2">
              <w:rPr>
                <w:rFonts w:ascii="Arial" w:hAnsi="Arial" w:cs="Arial"/>
                <w:color w:val="000000"/>
                <w:sz w:val="24"/>
              </w:rPr>
              <w:t>16</w:t>
            </w:r>
          </w:p>
        </w:tc>
      </w:tr>
      <w:tr w:rsidR="00980CB2" w14:paraId="2979C1ED" w14:textId="77777777" w:rsidTr="00467486">
        <w:tc>
          <w:tcPr>
            <w:tcW w:w="2441" w:type="dxa"/>
          </w:tcPr>
          <w:p w14:paraId="7CCE5D35" w14:textId="77777777" w:rsidR="00980CB2" w:rsidRDefault="00980CB2" w:rsidP="007E21F5">
            <w:pPr>
              <w:rPr>
                <w:rFonts w:ascii="Arial" w:hAnsi="Arial" w:cs="Arial"/>
                <w:sz w:val="24"/>
              </w:rPr>
            </w:pPr>
            <w:r>
              <w:rPr>
                <w:rFonts w:ascii="Arial" w:hAnsi="Arial" w:cs="Arial"/>
                <w:sz w:val="24"/>
              </w:rPr>
              <w:t>2009-10</w:t>
            </w:r>
          </w:p>
        </w:tc>
        <w:tc>
          <w:tcPr>
            <w:tcW w:w="2267" w:type="dxa"/>
            <w:vAlign w:val="bottom"/>
          </w:tcPr>
          <w:p w14:paraId="13DAA8C7" w14:textId="77777777" w:rsidR="00980CB2" w:rsidRPr="00980CB2" w:rsidRDefault="00980CB2" w:rsidP="00980CB2">
            <w:pPr>
              <w:rPr>
                <w:rFonts w:ascii="Arial" w:hAnsi="Arial" w:cs="Arial"/>
                <w:color w:val="000000"/>
                <w:sz w:val="24"/>
              </w:rPr>
            </w:pPr>
            <w:r w:rsidRPr="00980CB2">
              <w:rPr>
                <w:rFonts w:ascii="Arial" w:hAnsi="Arial" w:cs="Arial"/>
                <w:color w:val="000000"/>
                <w:sz w:val="24"/>
              </w:rPr>
              <w:t>14</w:t>
            </w:r>
          </w:p>
        </w:tc>
        <w:tc>
          <w:tcPr>
            <w:tcW w:w="2267" w:type="dxa"/>
            <w:vAlign w:val="bottom"/>
          </w:tcPr>
          <w:p w14:paraId="46898AC6" w14:textId="77777777" w:rsidR="00980CB2" w:rsidRPr="00980CB2" w:rsidRDefault="00980CB2" w:rsidP="00980CB2">
            <w:pPr>
              <w:rPr>
                <w:rFonts w:ascii="Arial" w:hAnsi="Arial" w:cs="Arial"/>
                <w:color w:val="000000"/>
                <w:sz w:val="24"/>
              </w:rPr>
            </w:pPr>
            <w:r w:rsidRPr="00980CB2">
              <w:rPr>
                <w:rFonts w:ascii="Arial" w:hAnsi="Arial" w:cs="Arial"/>
                <w:color w:val="000000"/>
                <w:sz w:val="24"/>
              </w:rPr>
              <w:t>21</w:t>
            </w:r>
          </w:p>
        </w:tc>
        <w:tc>
          <w:tcPr>
            <w:tcW w:w="2267" w:type="dxa"/>
            <w:vAlign w:val="bottom"/>
          </w:tcPr>
          <w:p w14:paraId="259D956A" w14:textId="77777777" w:rsidR="00980CB2" w:rsidRPr="00980CB2" w:rsidRDefault="00980CB2" w:rsidP="00980CB2">
            <w:pPr>
              <w:rPr>
                <w:rFonts w:ascii="Arial" w:hAnsi="Arial" w:cs="Arial"/>
                <w:color w:val="000000"/>
                <w:sz w:val="24"/>
              </w:rPr>
            </w:pPr>
            <w:r w:rsidRPr="00980CB2">
              <w:rPr>
                <w:rFonts w:ascii="Arial" w:hAnsi="Arial" w:cs="Arial"/>
                <w:color w:val="000000"/>
                <w:sz w:val="24"/>
              </w:rPr>
              <w:t>16</w:t>
            </w:r>
          </w:p>
        </w:tc>
      </w:tr>
      <w:tr w:rsidR="00980CB2" w14:paraId="4B0594A4" w14:textId="77777777" w:rsidTr="00467486">
        <w:tc>
          <w:tcPr>
            <w:tcW w:w="2441" w:type="dxa"/>
          </w:tcPr>
          <w:p w14:paraId="3F116056" w14:textId="77777777" w:rsidR="00980CB2" w:rsidRDefault="00980CB2" w:rsidP="007E21F5">
            <w:pPr>
              <w:rPr>
                <w:rFonts w:ascii="Arial" w:hAnsi="Arial" w:cs="Arial"/>
                <w:sz w:val="24"/>
              </w:rPr>
            </w:pPr>
            <w:r>
              <w:rPr>
                <w:rFonts w:ascii="Arial" w:hAnsi="Arial" w:cs="Arial"/>
                <w:sz w:val="24"/>
              </w:rPr>
              <w:t>2010-11</w:t>
            </w:r>
          </w:p>
        </w:tc>
        <w:tc>
          <w:tcPr>
            <w:tcW w:w="2267" w:type="dxa"/>
            <w:vAlign w:val="bottom"/>
          </w:tcPr>
          <w:p w14:paraId="18A9A8C6" w14:textId="77777777" w:rsidR="00980CB2" w:rsidRPr="00980CB2" w:rsidRDefault="00980CB2" w:rsidP="00980CB2">
            <w:pPr>
              <w:rPr>
                <w:rFonts w:ascii="Arial" w:hAnsi="Arial" w:cs="Arial"/>
                <w:color w:val="000000"/>
                <w:sz w:val="24"/>
              </w:rPr>
            </w:pPr>
            <w:r w:rsidRPr="00980CB2">
              <w:rPr>
                <w:rFonts w:ascii="Arial" w:hAnsi="Arial" w:cs="Arial"/>
                <w:color w:val="000000"/>
                <w:sz w:val="24"/>
              </w:rPr>
              <w:t>16</w:t>
            </w:r>
          </w:p>
        </w:tc>
        <w:tc>
          <w:tcPr>
            <w:tcW w:w="2267" w:type="dxa"/>
            <w:vAlign w:val="bottom"/>
          </w:tcPr>
          <w:p w14:paraId="3FBC6C20" w14:textId="77777777" w:rsidR="00980CB2" w:rsidRPr="00980CB2" w:rsidRDefault="00980CB2" w:rsidP="00980CB2">
            <w:pPr>
              <w:rPr>
                <w:rFonts w:ascii="Arial" w:hAnsi="Arial" w:cs="Arial"/>
                <w:color w:val="000000"/>
                <w:sz w:val="24"/>
              </w:rPr>
            </w:pPr>
            <w:r w:rsidRPr="00980CB2">
              <w:rPr>
                <w:rFonts w:ascii="Arial" w:hAnsi="Arial" w:cs="Arial"/>
                <w:color w:val="000000"/>
                <w:sz w:val="24"/>
              </w:rPr>
              <w:t>18</w:t>
            </w:r>
          </w:p>
        </w:tc>
        <w:tc>
          <w:tcPr>
            <w:tcW w:w="2267" w:type="dxa"/>
            <w:vAlign w:val="bottom"/>
          </w:tcPr>
          <w:p w14:paraId="3A8CEA4E" w14:textId="77777777" w:rsidR="00980CB2" w:rsidRPr="00980CB2" w:rsidRDefault="00980CB2" w:rsidP="00980CB2">
            <w:pPr>
              <w:rPr>
                <w:rFonts w:ascii="Arial" w:hAnsi="Arial" w:cs="Arial"/>
                <w:color w:val="000000"/>
                <w:sz w:val="24"/>
              </w:rPr>
            </w:pPr>
            <w:r w:rsidRPr="00980CB2">
              <w:rPr>
                <w:rFonts w:ascii="Arial" w:hAnsi="Arial" w:cs="Arial"/>
                <w:color w:val="000000"/>
                <w:sz w:val="24"/>
              </w:rPr>
              <w:t>17</w:t>
            </w:r>
          </w:p>
        </w:tc>
      </w:tr>
      <w:tr w:rsidR="00980CB2" w14:paraId="0D2C2EF7" w14:textId="77777777" w:rsidTr="00467486">
        <w:tc>
          <w:tcPr>
            <w:tcW w:w="2441" w:type="dxa"/>
          </w:tcPr>
          <w:p w14:paraId="30243D68" w14:textId="77777777" w:rsidR="00980CB2" w:rsidRDefault="00980CB2" w:rsidP="007E21F5">
            <w:pPr>
              <w:rPr>
                <w:rFonts w:ascii="Arial" w:hAnsi="Arial" w:cs="Arial"/>
                <w:sz w:val="24"/>
              </w:rPr>
            </w:pPr>
            <w:r>
              <w:rPr>
                <w:rFonts w:ascii="Arial" w:hAnsi="Arial" w:cs="Arial"/>
                <w:sz w:val="24"/>
              </w:rPr>
              <w:t>2011-12</w:t>
            </w:r>
          </w:p>
        </w:tc>
        <w:tc>
          <w:tcPr>
            <w:tcW w:w="2267" w:type="dxa"/>
            <w:vAlign w:val="bottom"/>
          </w:tcPr>
          <w:p w14:paraId="795492D9" w14:textId="77777777" w:rsidR="00980CB2" w:rsidRPr="00980CB2" w:rsidRDefault="00980CB2" w:rsidP="00980CB2">
            <w:pPr>
              <w:rPr>
                <w:rFonts w:ascii="Arial" w:hAnsi="Arial" w:cs="Arial"/>
                <w:color w:val="000000"/>
                <w:sz w:val="24"/>
              </w:rPr>
            </w:pPr>
            <w:r w:rsidRPr="00980CB2">
              <w:rPr>
                <w:rFonts w:ascii="Arial" w:hAnsi="Arial" w:cs="Arial"/>
                <w:color w:val="000000"/>
                <w:sz w:val="24"/>
              </w:rPr>
              <w:t>13</w:t>
            </w:r>
          </w:p>
        </w:tc>
        <w:tc>
          <w:tcPr>
            <w:tcW w:w="2267" w:type="dxa"/>
            <w:vAlign w:val="bottom"/>
          </w:tcPr>
          <w:p w14:paraId="3C928764" w14:textId="77777777" w:rsidR="00980CB2" w:rsidRPr="00980CB2" w:rsidRDefault="00980CB2" w:rsidP="00980CB2">
            <w:pPr>
              <w:rPr>
                <w:rFonts w:ascii="Arial" w:hAnsi="Arial" w:cs="Arial"/>
                <w:color w:val="000000"/>
                <w:sz w:val="24"/>
              </w:rPr>
            </w:pPr>
            <w:r w:rsidRPr="00980CB2">
              <w:rPr>
                <w:rFonts w:ascii="Arial" w:hAnsi="Arial" w:cs="Arial"/>
                <w:color w:val="000000"/>
                <w:sz w:val="24"/>
              </w:rPr>
              <w:t>27</w:t>
            </w:r>
          </w:p>
        </w:tc>
        <w:tc>
          <w:tcPr>
            <w:tcW w:w="2267" w:type="dxa"/>
            <w:vAlign w:val="bottom"/>
          </w:tcPr>
          <w:p w14:paraId="5C60EB35" w14:textId="77777777" w:rsidR="00980CB2" w:rsidRPr="00980CB2" w:rsidRDefault="00980CB2" w:rsidP="00980CB2">
            <w:pPr>
              <w:rPr>
                <w:rFonts w:ascii="Arial" w:hAnsi="Arial" w:cs="Arial"/>
                <w:color w:val="000000"/>
                <w:sz w:val="24"/>
              </w:rPr>
            </w:pPr>
            <w:r w:rsidRPr="00980CB2">
              <w:rPr>
                <w:rFonts w:ascii="Arial" w:hAnsi="Arial" w:cs="Arial"/>
                <w:color w:val="000000"/>
                <w:sz w:val="24"/>
              </w:rPr>
              <w:t>18</w:t>
            </w:r>
          </w:p>
        </w:tc>
      </w:tr>
      <w:tr w:rsidR="00980CB2" w14:paraId="70FC5DEC" w14:textId="77777777" w:rsidTr="00467486">
        <w:tc>
          <w:tcPr>
            <w:tcW w:w="2441" w:type="dxa"/>
          </w:tcPr>
          <w:p w14:paraId="731283FB" w14:textId="77777777" w:rsidR="00980CB2" w:rsidRDefault="00980CB2" w:rsidP="007E21F5">
            <w:pPr>
              <w:rPr>
                <w:rFonts w:ascii="Arial" w:hAnsi="Arial" w:cs="Arial"/>
                <w:sz w:val="24"/>
              </w:rPr>
            </w:pPr>
            <w:r>
              <w:rPr>
                <w:rFonts w:ascii="Arial" w:hAnsi="Arial" w:cs="Arial"/>
                <w:sz w:val="24"/>
              </w:rPr>
              <w:lastRenderedPageBreak/>
              <w:t>2012-13</w:t>
            </w:r>
          </w:p>
        </w:tc>
        <w:tc>
          <w:tcPr>
            <w:tcW w:w="2267" w:type="dxa"/>
            <w:vAlign w:val="bottom"/>
          </w:tcPr>
          <w:p w14:paraId="285E349D" w14:textId="77777777" w:rsidR="00980CB2" w:rsidRPr="00980CB2" w:rsidRDefault="00980CB2" w:rsidP="00980CB2">
            <w:pPr>
              <w:rPr>
                <w:rFonts w:ascii="Arial" w:hAnsi="Arial" w:cs="Arial"/>
                <w:color w:val="000000"/>
                <w:sz w:val="24"/>
              </w:rPr>
            </w:pPr>
            <w:r w:rsidRPr="00980CB2">
              <w:rPr>
                <w:rFonts w:ascii="Arial" w:hAnsi="Arial" w:cs="Arial"/>
                <w:color w:val="000000"/>
                <w:sz w:val="24"/>
              </w:rPr>
              <w:t>13</w:t>
            </w:r>
          </w:p>
        </w:tc>
        <w:tc>
          <w:tcPr>
            <w:tcW w:w="2267" w:type="dxa"/>
            <w:vAlign w:val="bottom"/>
          </w:tcPr>
          <w:p w14:paraId="41152B66" w14:textId="77777777" w:rsidR="00980CB2" w:rsidRPr="00980CB2" w:rsidRDefault="00980CB2" w:rsidP="00980CB2">
            <w:pPr>
              <w:rPr>
                <w:rFonts w:ascii="Arial" w:hAnsi="Arial" w:cs="Arial"/>
                <w:color w:val="000000"/>
                <w:sz w:val="24"/>
              </w:rPr>
            </w:pPr>
            <w:r w:rsidRPr="00980CB2">
              <w:rPr>
                <w:rFonts w:ascii="Arial" w:hAnsi="Arial" w:cs="Arial"/>
                <w:color w:val="000000"/>
                <w:sz w:val="24"/>
              </w:rPr>
              <w:t>12</w:t>
            </w:r>
          </w:p>
        </w:tc>
        <w:tc>
          <w:tcPr>
            <w:tcW w:w="2267" w:type="dxa"/>
            <w:vAlign w:val="bottom"/>
          </w:tcPr>
          <w:p w14:paraId="642EC304" w14:textId="77777777" w:rsidR="00980CB2" w:rsidRPr="00980CB2" w:rsidRDefault="00980CB2" w:rsidP="00980CB2">
            <w:pPr>
              <w:rPr>
                <w:rFonts w:ascii="Arial" w:hAnsi="Arial" w:cs="Arial"/>
                <w:color w:val="000000"/>
                <w:sz w:val="24"/>
              </w:rPr>
            </w:pPr>
            <w:r w:rsidRPr="00980CB2">
              <w:rPr>
                <w:rFonts w:ascii="Arial" w:hAnsi="Arial" w:cs="Arial"/>
                <w:color w:val="000000"/>
                <w:sz w:val="24"/>
              </w:rPr>
              <w:t>13</w:t>
            </w:r>
          </w:p>
        </w:tc>
      </w:tr>
      <w:tr w:rsidR="00980CB2" w14:paraId="601E49ED" w14:textId="77777777" w:rsidTr="00467486">
        <w:tc>
          <w:tcPr>
            <w:tcW w:w="2441" w:type="dxa"/>
          </w:tcPr>
          <w:p w14:paraId="1CAC0F09" w14:textId="77777777" w:rsidR="00980CB2" w:rsidRDefault="00980CB2" w:rsidP="007E21F5">
            <w:pPr>
              <w:rPr>
                <w:rFonts w:ascii="Arial" w:hAnsi="Arial" w:cs="Arial"/>
                <w:sz w:val="24"/>
              </w:rPr>
            </w:pPr>
            <w:r>
              <w:rPr>
                <w:rFonts w:ascii="Arial" w:hAnsi="Arial" w:cs="Arial"/>
                <w:sz w:val="24"/>
              </w:rPr>
              <w:t>2013-14</w:t>
            </w:r>
          </w:p>
        </w:tc>
        <w:tc>
          <w:tcPr>
            <w:tcW w:w="2267" w:type="dxa"/>
            <w:vAlign w:val="bottom"/>
          </w:tcPr>
          <w:p w14:paraId="0FC9A01E" w14:textId="77777777" w:rsidR="00980CB2" w:rsidRPr="00980CB2" w:rsidRDefault="00980CB2" w:rsidP="00980CB2">
            <w:pPr>
              <w:rPr>
                <w:rFonts w:ascii="Arial" w:hAnsi="Arial" w:cs="Arial"/>
                <w:color w:val="000000"/>
                <w:sz w:val="24"/>
              </w:rPr>
            </w:pPr>
            <w:r w:rsidRPr="00980CB2">
              <w:rPr>
                <w:rFonts w:ascii="Arial" w:hAnsi="Arial" w:cs="Arial"/>
                <w:color w:val="000000"/>
                <w:sz w:val="24"/>
              </w:rPr>
              <w:t>20</w:t>
            </w:r>
          </w:p>
        </w:tc>
        <w:tc>
          <w:tcPr>
            <w:tcW w:w="2267" w:type="dxa"/>
            <w:vAlign w:val="bottom"/>
          </w:tcPr>
          <w:p w14:paraId="45105C31" w14:textId="77777777" w:rsidR="00980CB2" w:rsidRPr="00980CB2" w:rsidRDefault="00980CB2" w:rsidP="00980CB2">
            <w:pPr>
              <w:rPr>
                <w:rFonts w:ascii="Arial" w:hAnsi="Arial" w:cs="Arial"/>
                <w:color w:val="000000"/>
                <w:sz w:val="24"/>
              </w:rPr>
            </w:pPr>
            <w:r w:rsidRPr="00980CB2">
              <w:rPr>
                <w:rFonts w:ascii="Arial" w:hAnsi="Arial" w:cs="Arial"/>
                <w:color w:val="000000"/>
                <w:sz w:val="24"/>
              </w:rPr>
              <w:t>25</w:t>
            </w:r>
          </w:p>
        </w:tc>
        <w:tc>
          <w:tcPr>
            <w:tcW w:w="2267" w:type="dxa"/>
            <w:vAlign w:val="bottom"/>
          </w:tcPr>
          <w:p w14:paraId="1FAD8D9C" w14:textId="77777777" w:rsidR="00980CB2" w:rsidRPr="00980CB2" w:rsidRDefault="00980CB2" w:rsidP="00980CB2">
            <w:pPr>
              <w:rPr>
                <w:rFonts w:ascii="Arial" w:hAnsi="Arial" w:cs="Arial"/>
                <w:color w:val="000000"/>
                <w:sz w:val="24"/>
              </w:rPr>
            </w:pPr>
            <w:r w:rsidRPr="00980CB2">
              <w:rPr>
                <w:rFonts w:ascii="Arial" w:hAnsi="Arial" w:cs="Arial"/>
                <w:color w:val="000000"/>
                <w:sz w:val="24"/>
              </w:rPr>
              <w:t>22</w:t>
            </w:r>
          </w:p>
        </w:tc>
      </w:tr>
      <w:tr w:rsidR="00980CB2" w14:paraId="06BAEC15" w14:textId="77777777" w:rsidTr="00467486">
        <w:tc>
          <w:tcPr>
            <w:tcW w:w="2441" w:type="dxa"/>
          </w:tcPr>
          <w:p w14:paraId="0506E20B" w14:textId="77777777" w:rsidR="00980CB2" w:rsidRDefault="00980CB2" w:rsidP="007E21F5">
            <w:pPr>
              <w:rPr>
                <w:rFonts w:ascii="Arial" w:hAnsi="Arial" w:cs="Arial"/>
                <w:sz w:val="24"/>
              </w:rPr>
            </w:pPr>
            <w:r>
              <w:rPr>
                <w:rFonts w:ascii="Arial" w:hAnsi="Arial" w:cs="Arial"/>
                <w:sz w:val="24"/>
              </w:rPr>
              <w:t>2014-15</w:t>
            </w:r>
          </w:p>
        </w:tc>
        <w:tc>
          <w:tcPr>
            <w:tcW w:w="2267" w:type="dxa"/>
            <w:vAlign w:val="bottom"/>
          </w:tcPr>
          <w:p w14:paraId="741A6469" w14:textId="77777777" w:rsidR="00980CB2" w:rsidRPr="00980CB2" w:rsidRDefault="00980CB2" w:rsidP="00980CB2">
            <w:pPr>
              <w:rPr>
                <w:rFonts w:ascii="Arial" w:hAnsi="Arial" w:cs="Arial"/>
                <w:color w:val="000000"/>
                <w:sz w:val="24"/>
              </w:rPr>
            </w:pPr>
            <w:r w:rsidRPr="00980CB2">
              <w:rPr>
                <w:rFonts w:ascii="Arial" w:hAnsi="Arial" w:cs="Arial"/>
                <w:color w:val="000000"/>
                <w:sz w:val="24"/>
              </w:rPr>
              <w:t>27</w:t>
            </w:r>
          </w:p>
        </w:tc>
        <w:tc>
          <w:tcPr>
            <w:tcW w:w="2267" w:type="dxa"/>
            <w:vAlign w:val="bottom"/>
          </w:tcPr>
          <w:p w14:paraId="338AF4A0" w14:textId="77777777" w:rsidR="00980CB2" w:rsidRPr="00980CB2" w:rsidRDefault="00980CB2" w:rsidP="00980CB2">
            <w:pPr>
              <w:rPr>
                <w:rFonts w:ascii="Arial" w:hAnsi="Arial" w:cs="Arial"/>
                <w:color w:val="000000"/>
                <w:sz w:val="24"/>
              </w:rPr>
            </w:pPr>
            <w:r w:rsidRPr="00980CB2">
              <w:rPr>
                <w:rFonts w:ascii="Arial" w:hAnsi="Arial" w:cs="Arial"/>
                <w:color w:val="000000"/>
                <w:sz w:val="24"/>
              </w:rPr>
              <w:t>34</w:t>
            </w:r>
          </w:p>
        </w:tc>
        <w:tc>
          <w:tcPr>
            <w:tcW w:w="2267" w:type="dxa"/>
            <w:vAlign w:val="bottom"/>
          </w:tcPr>
          <w:p w14:paraId="74D767ED" w14:textId="77777777" w:rsidR="00980CB2" w:rsidRPr="00980CB2" w:rsidRDefault="00980CB2" w:rsidP="00980CB2">
            <w:pPr>
              <w:rPr>
                <w:rFonts w:ascii="Arial" w:hAnsi="Arial" w:cs="Arial"/>
                <w:color w:val="000000"/>
                <w:sz w:val="24"/>
              </w:rPr>
            </w:pPr>
            <w:r w:rsidRPr="00980CB2">
              <w:rPr>
                <w:rFonts w:ascii="Arial" w:hAnsi="Arial" w:cs="Arial"/>
                <w:color w:val="000000"/>
                <w:sz w:val="24"/>
              </w:rPr>
              <w:t>30</w:t>
            </w:r>
          </w:p>
        </w:tc>
      </w:tr>
      <w:tr w:rsidR="00980CB2" w14:paraId="6A50CE50" w14:textId="77777777" w:rsidTr="00467486">
        <w:tc>
          <w:tcPr>
            <w:tcW w:w="2441" w:type="dxa"/>
          </w:tcPr>
          <w:p w14:paraId="4BFF9435" w14:textId="77777777" w:rsidR="00980CB2" w:rsidRDefault="00980CB2" w:rsidP="007E21F5">
            <w:pPr>
              <w:rPr>
                <w:rFonts w:ascii="Arial" w:hAnsi="Arial" w:cs="Arial"/>
                <w:sz w:val="24"/>
              </w:rPr>
            </w:pPr>
            <w:r>
              <w:rPr>
                <w:rFonts w:ascii="Arial" w:hAnsi="Arial" w:cs="Arial"/>
                <w:sz w:val="24"/>
              </w:rPr>
              <w:t>2015-16</w:t>
            </w:r>
          </w:p>
        </w:tc>
        <w:tc>
          <w:tcPr>
            <w:tcW w:w="2267" w:type="dxa"/>
            <w:vAlign w:val="bottom"/>
          </w:tcPr>
          <w:p w14:paraId="26E58009" w14:textId="77777777" w:rsidR="00980CB2" w:rsidRPr="00980CB2" w:rsidRDefault="00980CB2" w:rsidP="00980CB2">
            <w:pPr>
              <w:rPr>
                <w:rFonts w:ascii="Arial" w:hAnsi="Arial" w:cs="Arial"/>
                <w:color w:val="000000"/>
                <w:sz w:val="24"/>
              </w:rPr>
            </w:pPr>
            <w:r w:rsidRPr="00980CB2">
              <w:rPr>
                <w:rFonts w:ascii="Arial" w:hAnsi="Arial" w:cs="Arial"/>
                <w:color w:val="000000"/>
                <w:sz w:val="24"/>
              </w:rPr>
              <w:t>37</w:t>
            </w:r>
          </w:p>
        </w:tc>
        <w:tc>
          <w:tcPr>
            <w:tcW w:w="2267" w:type="dxa"/>
            <w:vAlign w:val="bottom"/>
          </w:tcPr>
          <w:p w14:paraId="4D6D9762" w14:textId="77777777" w:rsidR="00980CB2" w:rsidRPr="00980CB2" w:rsidRDefault="00980CB2" w:rsidP="00980CB2">
            <w:pPr>
              <w:rPr>
                <w:rFonts w:ascii="Arial" w:hAnsi="Arial" w:cs="Arial"/>
                <w:color w:val="000000"/>
                <w:sz w:val="24"/>
              </w:rPr>
            </w:pPr>
            <w:r w:rsidRPr="00980CB2">
              <w:rPr>
                <w:rFonts w:ascii="Arial" w:hAnsi="Arial" w:cs="Arial"/>
                <w:color w:val="000000"/>
                <w:sz w:val="24"/>
              </w:rPr>
              <w:t>49</w:t>
            </w:r>
          </w:p>
        </w:tc>
        <w:tc>
          <w:tcPr>
            <w:tcW w:w="2267" w:type="dxa"/>
            <w:vAlign w:val="bottom"/>
          </w:tcPr>
          <w:p w14:paraId="00557AB3" w14:textId="77777777" w:rsidR="00980CB2" w:rsidRPr="00980CB2" w:rsidRDefault="00980CB2" w:rsidP="00980CB2">
            <w:pPr>
              <w:rPr>
                <w:rFonts w:ascii="Arial" w:hAnsi="Arial" w:cs="Arial"/>
                <w:color w:val="000000"/>
                <w:sz w:val="24"/>
              </w:rPr>
            </w:pPr>
            <w:r w:rsidRPr="00980CB2">
              <w:rPr>
                <w:rFonts w:ascii="Arial" w:hAnsi="Arial" w:cs="Arial"/>
                <w:color w:val="000000"/>
                <w:sz w:val="24"/>
              </w:rPr>
              <w:t>42</w:t>
            </w:r>
          </w:p>
        </w:tc>
      </w:tr>
      <w:tr w:rsidR="00980CB2" w14:paraId="14C9BC17" w14:textId="77777777" w:rsidTr="00467486">
        <w:tc>
          <w:tcPr>
            <w:tcW w:w="2441" w:type="dxa"/>
          </w:tcPr>
          <w:p w14:paraId="3907B020" w14:textId="77777777" w:rsidR="00980CB2" w:rsidRDefault="00980CB2" w:rsidP="007E21F5">
            <w:pPr>
              <w:rPr>
                <w:rFonts w:ascii="Arial" w:hAnsi="Arial" w:cs="Arial"/>
                <w:sz w:val="24"/>
              </w:rPr>
            </w:pPr>
            <w:r>
              <w:rPr>
                <w:rFonts w:ascii="Arial" w:hAnsi="Arial" w:cs="Arial"/>
                <w:sz w:val="24"/>
              </w:rPr>
              <w:t>2016-17</w:t>
            </w:r>
          </w:p>
        </w:tc>
        <w:tc>
          <w:tcPr>
            <w:tcW w:w="2267" w:type="dxa"/>
            <w:vAlign w:val="bottom"/>
          </w:tcPr>
          <w:p w14:paraId="76FC9469" w14:textId="77777777" w:rsidR="00980CB2" w:rsidRPr="00980CB2" w:rsidRDefault="00980CB2" w:rsidP="00980CB2">
            <w:pPr>
              <w:rPr>
                <w:rFonts w:ascii="Arial" w:hAnsi="Arial" w:cs="Arial"/>
                <w:color w:val="000000"/>
                <w:sz w:val="24"/>
              </w:rPr>
            </w:pPr>
            <w:r w:rsidRPr="00980CB2">
              <w:rPr>
                <w:rFonts w:ascii="Arial" w:hAnsi="Arial" w:cs="Arial"/>
                <w:color w:val="000000"/>
                <w:sz w:val="24"/>
              </w:rPr>
              <w:t>43</w:t>
            </w:r>
          </w:p>
        </w:tc>
        <w:tc>
          <w:tcPr>
            <w:tcW w:w="2267" w:type="dxa"/>
            <w:vAlign w:val="bottom"/>
          </w:tcPr>
          <w:p w14:paraId="52D689B6" w14:textId="77777777" w:rsidR="00980CB2" w:rsidRPr="00980CB2" w:rsidRDefault="00980CB2" w:rsidP="00980CB2">
            <w:pPr>
              <w:rPr>
                <w:rFonts w:ascii="Arial" w:hAnsi="Arial" w:cs="Arial"/>
                <w:color w:val="000000"/>
                <w:sz w:val="24"/>
              </w:rPr>
            </w:pPr>
            <w:r w:rsidRPr="00980CB2">
              <w:rPr>
                <w:rFonts w:ascii="Arial" w:hAnsi="Arial" w:cs="Arial"/>
                <w:color w:val="000000"/>
                <w:sz w:val="24"/>
              </w:rPr>
              <w:t>61</w:t>
            </w:r>
          </w:p>
        </w:tc>
        <w:tc>
          <w:tcPr>
            <w:tcW w:w="2267" w:type="dxa"/>
            <w:vAlign w:val="bottom"/>
          </w:tcPr>
          <w:p w14:paraId="0B6DF7D7" w14:textId="77777777" w:rsidR="00980CB2" w:rsidRPr="00980CB2" w:rsidRDefault="00980CB2" w:rsidP="00980CB2">
            <w:pPr>
              <w:rPr>
                <w:rFonts w:ascii="Arial" w:hAnsi="Arial" w:cs="Arial"/>
                <w:color w:val="000000"/>
                <w:sz w:val="24"/>
              </w:rPr>
            </w:pPr>
            <w:r w:rsidRPr="00980CB2">
              <w:rPr>
                <w:rFonts w:ascii="Arial" w:hAnsi="Arial" w:cs="Arial"/>
                <w:color w:val="000000"/>
                <w:sz w:val="24"/>
              </w:rPr>
              <w:t>50</w:t>
            </w:r>
          </w:p>
        </w:tc>
      </w:tr>
      <w:tr w:rsidR="00980CB2" w14:paraId="6B4B9B18" w14:textId="77777777" w:rsidTr="00467486">
        <w:tc>
          <w:tcPr>
            <w:tcW w:w="2441" w:type="dxa"/>
          </w:tcPr>
          <w:p w14:paraId="1A416EB0" w14:textId="77777777" w:rsidR="00980CB2" w:rsidRDefault="00980CB2" w:rsidP="007E21F5">
            <w:pPr>
              <w:rPr>
                <w:rFonts w:ascii="Arial" w:hAnsi="Arial" w:cs="Arial"/>
                <w:sz w:val="24"/>
              </w:rPr>
            </w:pPr>
            <w:r>
              <w:rPr>
                <w:rFonts w:ascii="Arial" w:hAnsi="Arial" w:cs="Arial"/>
                <w:sz w:val="24"/>
              </w:rPr>
              <w:t>2017-18</w:t>
            </w:r>
          </w:p>
        </w:tc>
        <w:tc>
          <w:tcPr>
            <w:tcW w:w="2267" w:type="dxa"/>
            <w:vAlign w:val="bottom"/>
          </w:tcPr>
          <w:p w14:paraId="5B400F7B" w14:textId="77777777" w:rsidR="00980CB2" w:rsidRPr="00980CB2" w:rsidRDefault="00980CB2" w:rsidP="00980CB2">
            <w:pPr>
              <w:rPr>
                <w:rFonts w:ascii="Arial" w:hAnsi="Arial" w:cs="Arial"/>
                <w:color w:val="000000"/>
                <w:sz w:val="24"/>
              </w:rPr>
            </w:pPr>
            <w:r w:rsidRPr="00980CB2">
              <w:rPr>
                <w:rFonts w:ascii="Arial" w:hAnsi="Arial" w:cs="Arial"/>
                <w:color w:val="000000"/>
                <w:sz w:val="24"/>
              </w:rPr>
              <w:t>47</w:t>
            </w:r>
          </w:p>
        </w:tc>
        <w:tc>
          <w:tcPr>
            <w:tcW w:w="2267" w:type="dxa"/>
            <w:vAlign w:val="bottom"/>
          </w:tcPr>
          <w:p w14:paraId="439ECEB4" w14:textId="77777777" w:rsidR="00980CB2" w:rsidRPr="00980CB2" w:rsidRDefault="00980CB2" w:rsidP="00980CB2">
            <w:pPr>
              <w:rPr>
                <w:rFonts w:ascii="Arial" w:hAnsi="Arial" w:cs="Arial"/>
                <w:color w:val="000000"/>
                <w:sz w:val="24"/>
              </w:rPr>
            </w:pPr>
            <w:r w:rsidRPr="00980CB2">
              <w:rPr>
                <w:rFonts w:ascii="Arial" w:hAnsi="Arial" w:cs="Arial"/>
                <w:color w:val="000000"/>
                <w:sz w:val="24"/>
              </w:rPr>
              <w:t>72</w:t>
            </w:r>
          </w:p>
        </w:tc>
        <w:tc>
          <w:tcPr>
            <w:tcW w:w="2267" w:type="dxa"/>
            <w:vAlign w:val="bottom"/>
          </w:tcPr>
          <w:p w14:paraId="3E6CB43F" w14:textId="77777777" w:rsidR="00980CB2" w:rsidRPr="00980CB2" w:rsidRDefault="00980CB2" w:rsidP="00980CB2">
            <w:pPr>
              <w:rPr>
                <w:rFonts w:ascii="Arial" w:hAnsi="Arial" w:cs="Arial"/>
                <w:color w:val="000000"/>
                <w:sz w:val="24"/>
              </w:rPr>
            </w:pPr>
            <w:r w:rsidRPr="00980CB2">
              <w:rPr>
                <w:rFonts w:ascii="Arial" w:hAnsi="Arial" w:cs="Arial"/>
                <w:color w:val="000000"/>
                <w:sz w:val="24"/>
              </w:rPr>
              <w:t>57</w:t>
            </w:r>
          </w:p>
        </w:tc>
      </w:tr>
    </w:tbl>
    <w:p w14:paraId="4E89C920" w14:textId="77777777" w:rsidR="00B653BE" w:rsidRPr="00B653BE" w:rsidRDefault="00B653BE" w:rsidP="00712419">
      <w:pPr>
        <w:rPr>
          <w:rFonts w:ascii="Arial" w:hAnsi="Arial" w:cs="Arial"/>
          <w:i/>
          <w:noProof/>
          <w:sz w:val="24"/>
          <w:lang w:eastAsia="en-AU"/>
        </w:rPr>
      </w:pPr>
      <w:r w:rsidRPr="00B653BE">
        <w:rPr>
          <w:rFonts w:ascii="Arial" w:hAnsi="Arial" w:cs="Arial"/>
          <w:i/>
          <w:noProof/>
          <w:sz w:val="24"/>
          <w:lang w:eastAsia="en-AU"/>
        </w:rPr>
        <w:t>Source: Victorian Admitted Episodes Dataset (VAED), 2008-09—2017-18, (DHHS, 2019b)</w:t>
      </w:r>
    </w:p>
    <w:p w14:paraId="16F5AF90" w14:textId="77777777" w:rsidR="00B653BE" w:rsidRPr="00B653BE" w:rsidRDefault="00B653BE" w:rsidP="00B653BE">
      <w:pPr>
        <w:pBdr>
          <w:top w:val="single" w:sz="4" w:space="1" w:color="auto"/>
          <w:left w:val="single" w:sz="4" w:space="4" w:color="auto"/>
          <w:bottom w:val="single" w:sz="4" w:space="1" w:color="auto"/>
          <w:right w:val="single" w:sz="4" w:space="4" w:color="auto"/>
        </w:pBdr>
        <w:rPr>
          <w:rFonts w:ascii="Arial" w:hAnsi="Arial" w:cs="Arial"/>
          <w:b/>
          <w:noProof/>
          <w:sz w:val="24"/>
          <w:lang w:eastAsia="en-AU"/>
        </w:rPr>
      </w:pPr>
      <w:r w:rsidRPr="00B653BE">
        <w:rPr>
          <w:rFonts w:ascii="Arial" w:hAnsi="Arial" w:cs="Arial"/>
          <w:b/>
          <w:noProof/>
          <w:sz w:val="24"/>
          <w:lang w:eastAsia="en-AU"/>
        </w:rPr>
        <w:t>Allergy-response training in schools</w:t>
      </w:r>
    </w:p>
    <w:p w14:paraId="6A5CE01B" w14:textId="77777777" w:rsidR="00B653BE" w:rsidRPr="00B653BE" w:rsidRDefault="00B653BE" w:rsidP="00B653BE">
      <w:pPr>
        <w:pBdr>
          <w:top w:val="single" w:sz="4" w:space="1" w:color="auto"/>
          <w:left w:val="single" w:sz="4" w:space="4" w:color="auto"/>
          <w:bottom w:val="single" w:sz="4" w:space="1" w:color="auto"/>
          <w:right w:val="single" w:sz="4" w:space="4" w:color="auto"/>
        </w:pBdr>
        <w:rPr>
          <w:rFonts w:ascii="Arial" w:hAnsi="Arial" w:cs="Arial"/>
          <w:noProof/>
          <w:sz w:val="24"/>
          <w:lang w:eastAsia="en-AU"/>
        </w:rPr>
      </w:pPr>
      <w:r w:rsidRPr="00B653BE">
        <w:rPr>
          <w:rFonts w:ascii="Arial" w:hAnsi="Arial" w:cs="Arial"/>
          <w:noProof/>
          <w:sz w:val="24"/>
          <w:lang w:eastAsia="en-AU"/>
        </w:rPr>
        <w:t>An online module for anaphylaxis training was deployed in 2016 to support Victorian schools to meet their training requirements and to improve schools’ capacity to provide safe learning environments for young people with severe allergies. A Ministerial Order requires all schools to have an anaphylaxis management policy in place and</w:t>
      </w:r>
      <w:r>
        <w:rPr>
          <w:rFonts w:ascii="Arial" w:hAnsi="Arial" w:cs="Arial"/>
          <w:noProof/>
          <w:sz w:val="24"/>
          <w:lang w:eastAsia="en-AU"/>
        </w:rPr>
        <w:t xml:space="preserve"> </w:t>
      </w:r>
      <w:r w:rsidRPr="00B653BE">
        <w:rPr>
          <w:rFonts w:ascii="Arial" w:hAnsi="Arial" w:cs="Arial"/>
          <w:noProof/>
          <w:sz w:val="24"/>
          <w:lang w:eastAsia="en-AU"/>
        </w:rPr>
        <w:t>to ensure that all teaching staff with students with known risk of anaphylaxis are trained in the prevention and management of anaphylaxis. All Victorian school staff are encouraged to undertake the Australasian Society of Clinical Immunology and Allergy e-training course.</w:t>
      </w:r>
    </w:p>
    <w:p w14:paraId="080E5FE0" w14:textId="77777777" w:rsidR="00763A77" w:rsidRPr="002F3BD4" w:rsidRDefault="00763A77" w:rsidP="002F3BD4">
      <w:pPr>
        <w:pStyle w:val="Heading3"/>
        <w:rPr>
          <w:rFonts w:ascii="Arial" w:hAnsi="Arial" w:cs="Arial"/>
          <w:color w:val="auto"/>
          <w:sz w:val="24"/>
        </w:rPr>
      </w:pPr>
      <w:bookmarkStart w:id="16" w:name="_Toc33527741"/>
      <w:r w:rsidRPr="002F3BD4">
        <w:rPr>
          <w:rFonts w:ascii="Arial" w:hAnsi="Arial" w:cs="Arial"/>
          <w:color w:val="auto"/>
          <w:sz w:val="24"/>
        </w:rPr>
        <w:t>2.7</w:t>
      </w:r>
      <w:r w:rsidRPr="002F3BD4">
        <w:rPr>
          <w:rFonts w:ascii="Arial" w:hAnsi="Arial" w:cs="Arial"/>
          <w:color w:val="auto"/>
          <w:sz w:val="24"/>
        </w:rPr>
        <w:tab/>
        <w:t>Most Victorian adolescents use screens for more than two hours a day</w:t>
      </w:r>
      <w:bookmarkEnd w:id="16"/>
    </w:p>
    <w:p w14:paraId="2A80D5B7" w14:textId="77777777" w:rsidR="00763A77" w:rsidRPr="00763A77" w:rsidRDefault="00763A77" w:rsidP="00763A77">
      <w:pPr>
        <w:rPr>
          <w:rFonts w:ascii="Arial" w:hAnsi="Arial" w:cs="Arial"/>
          <w:noProof/>
          <w:sz w:val="24"/>
          <w:lang w:eastAsia="en-AU"/>
        </w:rPr>
      </w:pPr>
      <w:r w:rsidRPr="00763A77">
        <w:rPr>
          <w:rFonts w:ascii="Arial" w:hAnsi="Arial" w:cs="Arial"/>
          <w:noProof/>
          <w:sz w:val="24"/>
          <w:lang w:eastAsia="en-AU"/>
        </w:rPr>
        <w:t>Excessive screen time is associated with a range of physical health concerns, including poorer physical health and development, as well as depression and negative emotional states. A systematic review of research on the health and wellbeing effects of screen time on children and adolescents determined that higher levels of screen time were associated with being overweight or obese, unhealthy diet, depressive symptoms and poorer quality of life (Stiglic &amp; Viner, 2019).</w:t>
      </w:r>
    </w:p>
    <w:p w14:paraId="2B938FF2" w14:textId="77777777" w:rsidR="00E14070" w:rsidRDefault="00763A77" w:rsidP="00763A77">
      <w:pPr>
        <w:rPr>
          <w:rFonts w:ascii="Arial" w:hAnsi="Arial" w:cs="Arial"/>
          <w:noProof/>
          <w:sz w:val="24"/>
          <w:lang w:eastAsia="en-AU"/>
        </w:rPr>
      </w:pPr>
      <w:r w:rsidRPr="00763A77">
        <w:rPr>
          <w:rFonts w:ascii="Arial" w:hAnsi="Arial" w:cs="Arial"/>
          <w:noProof/>
          <w:sz w:val="24"/>
          <w:lang w:eastAsia="en-AU"/>
        </w:rPr>
        <w:t>Importantly however, excessive sedentary behaviour does not automatically correlate with failure to achieve the recommended level of physical activity. It is possible to achieve the recommended daily level of physical activity, and still spend excessive time sitting or lying down, and engaging in screen-based entertainment. Importantly, children and adolescents can experience negative effects from excessive sedentary time and screen use, even when they are active at other times.</w:t>
      </w:r>
    </w:p>
    <w:p w14:paraId="5705EECF" w14:textId="77777777" w:rsidR="007E3915" w:rsidRPr="007E3915" w:rsidRDefault="007E3915" w:rsidP="007E3915">
      <w:pPr>
        <w:rPr>
          <w:rFonts w:ascii="Arial" w:hAnsi="Arial" w:cs="Arial"/>
          <w:noProof/>
          <w:sz w:val="24"/>
          <w:lang w:eastAsia="en-AU"/>
        </w:rPr>
      </w:pPr>
      <w:r w:rsidRPr="007E3915">
        <w:rPr>
          <w:rFonts w:ascii="Arial" w:hAnsi="Arial" w:cs="Arial"/>
          <w:noProof/>
          <w:sz w:val="24"/>
          <w:lang w:eastAsia="en-AU"/>
        </w:rPr>
        <w:t>Results from the 2018 VSHAWS show that three in four Victorian Year 8 and 11 students (75 per cent) exceeded the recommended two hours per day of electronic media use for entertainment, a moderate improvement from 2014 (79 per cent). This improvement has been led by reductions in excessive electronic media use by Year 8 students, which dropped from 78 per cent in 2014 to 72 per cent in 2018, while the</w:t>
      </w:r>
      <w:r>
        <w:rPr>
          <w:rFonts w:ascii="Arial" w:hAnsi="Arial" w:cs="Arial"/>
          <w:noProof/>
          <w:sz w:val="24"/>
          <w:lang w:eastAsia="en-AU"/>
        </w:rPr>
        <w:t xml:space="preserve"> </w:t>
      </w:r>
      <w:r w:rsidRPr="007E3915">
        <w:rPr>
          <w:rFonts w:ascii="Arial" w:hAnsi="Arial" w:cs="Arial"/>
          <w:noProof/>
          <w:sz w:val="24"/>
          <w:lang w:eastAsia="en-AU"/>
        </w:rPr>
        <w:t>proportion of Year 11 students remained higher (78 per cent). Both Year 8 and 11 students from one-parent families were more likely to exceed usage guidelines than their peers from two-parent households (82 per cent, compared with 76 per cent).</w:t>
      </w:r>
    </w:p>
    <w:p w14:paraId="19A7685F" w14:textId="77777777" w:rsidR="00763A77" w:rsidRDefault="007E3915" w:rsidP="007E3915">
      <w:pPr>
        <w:rPr>
          <w:rFonts w:ascii="Arial" w:hAnsi="Arial" w:cs="Arial"/>
          <w:noProof/>
          <w:sz w:val="24"/>
          <w:lang w:eastAsia="en-AU"/>
        </w:rPr>
      </w:pPr>
      <w:r w:rsidRPr="007E3915">
        <w:rPr>
          <w:rFonts w:ascii="Arial" w:hAnsi="Arial" w:cs="Arial"/>
          <w:noProof/>
          <w:sz w:val="24"/>
          <w:lang w:eastAsia="en-AU"/>
        </w:rPr>
        <w:lastRenderedPageBreak/>
        <w:t>Previous research has found that excessive media use places adolescents at greater risk of sleep problems, poorer academic performance, depressive symptoms, and physical inactivity (Chassiakos, Radesky, Christakis, Moreno, &amp; Cross, 2016). These findings are corrobora</w:t>
      </w:r>
      <w:r w:rsidR="007E4A16">
        <w:rPr>
          <w:rFonts w:ascii="Arial" w:hAnsi="Arial" w:cs="Arial"/>
          <w:noProof/>
          <w:sz w:val="24"/>
          <w:lang w:eastAsia="en-AU"/>
        </w:rPr>
        <w:t>ted by the V</w:t>
      </w:r>
      <w:r w:rsidRPr="007E3915">
        <w:rPr>
          <w:rFonts w:ascii="Arial" w:hAnsi="Arial" w:cs="Arial"/>
          <w:noProof/>
          <w:sz w:val="24"/>
          <w:lang w:eastAsia="en-AU"/>
        </w:rPr>
        <w:t>S</w:t>
      </w:r>
      <w:r w:rsidR="007E4A16">
        <w:rPr>
          <w:rFonts w:ascii="Arial" w:hAnsi="Arial" w:cs="Arial"/>
          <w:noProof/>
          <w:sz w:val="24"/>
          <w:lang w:eastAsia="en-AU"/>
        </w:rPr>
        <w:t>H</w:t>
      </w:r>
      <w:r w:rsidRPr="007E3915">
        <w:rPr>
          <w:rFonts w:ascii="Arial" w:hAnsi="Arial" w:cs="Arial"/>
          <w:noProof/>
          <w:sz w:val="24"/>
          <w:lang w:eastAsia="en-AU"/>
        </w:rPr>
        <w:t>AWS results which show that students who exceed the recommended electronic media use guidelines are more likely to report these issues.</w:t>
      </w:r>
    </w:p>
    <w:p w14:paraId="465BD0F0" w14:textId="77777777" w:rsidR="007E3915" w:rsidRDefault="007E3915" w:rsidP="007E3915">
      <w:pPr>
        <w:rPr>
          <w:rFonts w:ascii="Arial" w:hAnsi="Arial" w:cs="Arial"/>
          <w:b/>
          <w:noProof/>
          <w:sz w:val="24"/>
          <w:lang w:eastAsia="en-AU"/>
        </w:rPr>
      </w:pPr>
      <w:r w:rsidRPr="001138B1">
        <w:rPr>
          <w:rFonts w:ascii="Arial" w:hAnsi="Arial" w:cs="Arial"/>
          <w:b/>
          <w:noProof/>
          <w:sz w:val="24"/>
          <w:lang w:eastAsia="en-AU"/>
        </w:rPr>
        <w:t>Figure 4. Electronic media use among Victorian students (Years 8 &amp; 11) by wellbeing outcomes, 2018</w:t>
      </w:r>
    </w:p>
    <w:tbl>
      <w:tblPr>
        <w:tblStyle w:val="TableGrid"/>
        <w:tblW w:w="0" w:type="auto"/>
        <w:tblLook w:val="04A0" w:firstRow="1" w:lastRow="0" w:firstColumn="1" w:lastColumn="0" w:noHBand="0" w:noVBand="1"/>
        <w:tblDescription w:val="This table provides information on the electronic media use among Victorian students (Years 8 &amp; 11) by wellbeing outcomes, 2018"/>
      </w:tblPr>
      <w:tblGrid>
        <w:gridCol w:w="3788"/>
        <w:gridCol w:w="2475"/>
        <w:gridCol w:w="2753"/>
      </w:tblGrid>
      <w:tr w:rsidR="001138B1" w14:paraId="4D947533" w14:textId="77777777" w:rsidTr="001138B1">
        <w:trPr>
          <w:tblHeader/>
        </w:trPr>
        <w:tc>
          <w:tcPr>
            <w:tcW w:w="0" w:type="auto"/>
          </w:tcPr>
          <w:p w14:paraId="4B6B6B84" w14:textId="77777777" w:rsidR="001138B1" w:rsidRDefault="001138B1" w:rsidP="007E21F5">
            <w:pPr>
              <w:rPr>
                <w:rFonts w:ascii="Arial" w:hAnsi="Arial" w:cs="Arial"/>
                <w:sz w:val="24"/>
              </w:rPr>
            </w:pPr>
          </w:p>
        </w:tc>
        <w:tc>
          <w:tcPr>
            <w:tcW w:w="0" w:type="auto"/>
          </w:tcPr>
          <w:p w14:paraId="7308891B" w14:textId="77777777" w:rsidR="001138B1" w:rsidRDefault="001138B1" w:rsidP="007E21F5">
            <w:pPr>
              <w:rPr>
                <w:rFonts w:ascii="Arial" w:hAnsi="Arial" w:cs="Arial"/>
                <w:sz w:val="24"/>
              </w:rPr>
            </w:pPr>
            <w:r>
              <w:rPr>
                <w:rFonts w:ascii="Arial" w:hAnsi="Arial" w:cs="Arial"/>
                <w:sz w:val="24"/>
              </w:rPr>
              <w:t>Excessive electronic media use</w:t>
            </w:r>
          </w:p>
        </w:tc>
        <w:tc>
          <w:tcPr>
            <w:tcW w:w="0" w:type="auto"/>
          </w:tcPr>
          <w:p w14:paraId="2980CF11" w14:textId="77777777" w:rsidR="001138B1" w:rsidRDefault="001138B1" w:rsidP="001138B1">
            <w:pPr>
              <w:rPr>
                <w:rFonts w:ascii="Arial" w:hAnsi="Arial" w:cs="Arial"/>
                <w:sz w:val="24"/>
              </w:rPr>
            </w:pPr>
            <w:r>
              <w:rPr>
                <w:rFonts w:ascii="Arial" w:hAnsi="Arial" w:cs="Arial"/>
                <w:sz w:val="24"/>
              </w:rPr>
              <w:t>Non- excessive electronic media use</w:t>
            </w:r>
          </w:p>
        </w:tc>
      </w:tr>
      <w:tr w:rsidR="001138B1" w14:paraId="6263B495" w14:textId="77777777" w:rsidTr="001138B1">
        <w:tc>
          <w:tcPr>
            <w:tcW w:w="0" w:type="auto"/>
          </w:tcPr>
          <w:p w14:paraId="5360FDF1" w14:textId="77777777" w:rsidR="001138B1" w:rsidRDefault="001138B1" w:rsidP="007E21F5">
            <w:pPr>
              <w:rPr>
                <w:rFonts w:ascii="Arial" w:hAnsi="Arial" w:cs="Arial"/>
                <w:sz w:val="24"/>
              </w:rPr>
            </w:pPr>
            <w:r>
              <w:rPr>
                <w:rFonts w:ascii="Arial" w:hAnsi="Arial" w:cs="Arial"/>
                <w:sz w:val="24"/>
              </w:rPr>
              <w:t>Sleep problem</w:t>
            </w:r>
          </w:p>
        </w:tc>
        <w:tc>
          <w:tcPr>
            <w:tcW w:w="0" w:type="auto"/>
          </w:tcPr>
          <w:p w14:paraId="4AFAED47" w14:textId="77777777" w:rsidR="001138B1" w:rsidRDefault="001138B1" w:rsidP="007E21F5">
            <w:pPr>
              <w:rPr>
                <w:rFonts w:ascii="Arial" w:hAnsi="Arial" w:cs="Arial"/>
                <w:sz w:val="24"/>
              </w:rPr>
            </w:pPr>
            <w:r>
              <w:rPr>
                <w:rFonts w:ascii="Arial" w:hAnsi="Arial" w:cs="Arial"/>
                <w:sz w:val="24"/>
              </w:rPr>
              <w:t>56%</w:t>
            </w:r>
          </w:p>
        </w:tc>
        <w:tc>
          <w:tcPr>
            <w:tcW w:w="0" w:type="auto"/>
          </w:tcPr>
          <w:p w14:paraId="176D97C2" w14:textId="77777777" w:rsidR="001138B1" w:rsidRDefault="001138B1" w:rsidP="007E21F5">
            <w:pPr>
              <w:rPr>
                <w:rFonts w:ascii="Arial" w:hAnsi="Arial" w:cs="Arial"/>
                <w:sz w:val="24"/>
              </w:rPr>
            </w:pPr>
            <w:r>
              <w:rPr>
                <w:rFonts w:ascii="Arial" w:hAnsi="Arial" w:cs="Arial"/>
                <w:sz w:val="24"/>
              </w:rPr>
              <w:t>47%</w:t>
            </w:r>
          </w:p>
        </w:tc>
      </w:tr>
      <w:tr w:rsidR="001138B1" w14:paraId="4A894C94" w14:textId="77777777" w:rsidTr="001138B1">
        <w:tc>
          <w:tcPr>
            <w:tcW w:w="0" w:type="auto"/>
          </w:tcPr>
          <w:p w14:paraId="2613A06E" w14:textId="77777777" w:rsidR="001138B1" w:rsidRDefault="001138B1" w:rsidP="007E21F5">
            <w:pPr>
              <w:rPr>
                <w:rFonts w:ascii="Arial" w:hAnsi="Arial" w:cs="Arial"/>
                <w:sz w:val="24"/>
              </w:rPr>
            </w:pPr>
            <w:r>
              <w:rPr>
                <w:rFonts w:ascii="Arial" w:hAnsi="Arial" w:cs="Arial"/>
                <w:sz w:val="24"/>
              </w:rPr>
              <w:t>Distress</w:t>
            </w:r>
          </w:p>
        </w:tc>
        <w:tc>
          <w:tcPr>
            <w:tcW w:w="0" w:type="auto"/>
          </w:tcPr>
          <w:p w14:paraId="59FE6FCE" w14:textId="77777777" w:rsidR="001138B1" w:rsidRDefault="001138B1" w:rsidP="007E21F5">
            <w:pPr>
              <w:rPr>
                <w:rFonts w:ascii="Arial" w:hAnsi="Arial" w:cs="Arial"/>
                <w:sz w:val="24"/>
              </w:rPr>
            </w:pPr>
            <w:r>
              <w:rPr>
                <w:rFonts w:ascii="Arial" w:hAnsi="Arial" w:cs="Arial"/>
                <w:sz w:val="24"/>
              </w:rPr>
              <w:t>28%</w:t>
            </w:r>
          </w:p>
        </w:tc>
        <w:tc>
          <w:tcPr>
            <w:tcW w:w="0" w:type="auto"/>
          </w:tcPr>
          <w:p w14:paraId="1114157E" w14:textId="77777777" w:rsidR="001138B1" w:rsidRDefault="001138B1" w:rsidP="007E21F5">
            <w:pPr>
              <w:rPr>
                <w:rFonts w:ascii="Arial" w:hAnsi="Arial" w:cs="Arial"/>
                <w:sz w:val="24"/>
              </w:rPr>
            </w:pPr>
            <w:r>
              <w:rPr>
                <w:rFonts w:ascii="Arial" w:hAnsi="Arial" w:cs="Arial"/>
                <w:sz w:val="24"/>
              </w:rPr>
              <w:t>18%</w:t>
            </w:r>
          </w:p>
        </w:tc>
      </w:tr>
      <w:tr w:rsidR="001138B1" w14:paraId="4E680CE8" w14:textId="77777777" w:rsidTr="001138B1">
        <w:tc>
          <w:tcPr>
            <w:tcW w:w="0" w:type="auto"/>
          </w:tcPr>
          <w:p w14:paraId="104BA063" w14:textId="77777777" w:rsidR="001138B1" w:rsidRDefault="001138B1" w:rsidP="007E21F5">
            <w:pPr>
              <w:rPr>
                <w:rFonts w:ascii="Arial" w:hAnsi="Arial" w:cs="Arial"/>
                <w:sz w:val="24"/>
              </w:rPr>
            </w:pPr>
            <w:r>
              <w:rPr>
                <w:rFonts w:ascii="Arial" w:hAnsi="Arial" w:cs="Arial"/>
                <w:sz w:val="24"/>
              </w:rPr>
              <w:t>Inadequate physical activity</w:t>
            </w:r>
          </w:p>
        </w:tc>
        <w:tc>
          <w:tcPr>
            <w:tcW w:w="0" w:type="auto"/>
          </w:tcPr>
          <w:p w14:paraId="4054A88B" w14:textId="77777777" w:rsidR="001138B1" w:rsidRDefault="001138B1" w:rsidP="007E21F5">
            <w:pPr>
              <w:rPr>
                <w:rFonts w:ascii="Arial" w:hAnsi="Arial" w:cs="Arial"/>
                <w:sz w:val="24"/>
              </w:rPr>
            </w:pPr>
            <w:r>
              <w:rPr>
                <w:rFonts w:ascii="Arial" w:hAnsi="Arial" w:cs="Arial"/>
                <w:sz w:val="24"/>
              </w:rPr>
              <w:t>81%</w:t>
            </w:r>
          </w:p>
        </w:tc>
        <w:tc>
          <w:tcPr>
            <w:tcW w:w="0" w:type="auto"/>
          </w:tcPr>
          <w:p w14:paraId="0AD2A747" w14:textId="77777777" w:rsidR="001138B1" w:rsidRDefault="001138B1" w:rsidP="007E21F5">
            <w:pPr>
              <w:rPr>
                <w:rFonts w:ascii="Arial" w:hAnsi="Arial" w:cs="Arial"/>
                <w:sz w:val="24"/>
              </w:rPr>
            </w:pPr>
            <w:r>
              <w:rPr>
                <w:rFonts w:ascii="Arial" w:hAnsi="Arial" w:cs="Arial"/>
                <w:sz w:val="24"/>
              </w:rPr>
              <w:t>72%</w:t>
            </w:r>
          </w:p>
        </w:tc>
      </w:tr>
      <w:tr w:rsidR="001138B1" w14:paraId="0C7F626E" w14:textId="77777777" w:rsidTr="001138B1">
        <w:tc>
          <w:tcPr>
            <w:tcW w:w="0" w:type="auto"/>
          </w:tcPr>
          <w:p w14:paraId="08C41061" w14:textId="77777777" w:rsidR="001138B1" w:rsidRDefault="001138B1" w:rsidP="007E21F5">
            <w:pPr>
              <w:rPr>
                <w:rFonts w:ascii="Arial" w:hAnsi="Arial" w:cs="Arial"/>
                <w:sz w:val="24"/>
              </w:rPr>
            </w:pPr>
            <w:r>
              <w:rPr>
                <w:rFonts w:ascii="Arial" w:hAnsi="Arial" w:cs="Arial"/>
                <w:sz w:val="24"/>
              </w:rPr>
              <w:t>Below average self-assessed academic performance</w:t>
            </w:r>
          </w:p>
        </w:tc>
        <w:tc>
          <w:tcPr>
            <w:tcW w:w="0" w:type="auto"/>
          </w:tcPr>
          <w:p w14:paraId="64B50286" w14:textId="77777777" w:rsidR="001138B1" w:rsidRDefault="001138B1" w:rsidP="007E21F5">
            <w:pPr>
              <w:rPr>
                <w:rFonts w:ascii="Arial" w:hAnsi="Arial" w:cs="Arial"/>
                <w:sz w:val="24"/>
              </w:rPr>
            </w:pPr>
            <w:r>
              <w:rPr>
                <w:rFonts w:ascii="Arial" w:hAnsi="Arial" w:cs="Arial"/>
                <w:sz w:val="24"/>
              </w:rPr>
              <w:t>12%</w:t>
            </w:r>
          </w:p>
        </w:tc>
        <w:tc>
          <w:tcPr>
            <w:tcW w:w="0" w:type="auto"/>
          </w:tcPr>
          <w:p w14:paraId="0F2EABBE" w14:textId="77777777" w:rsidR="001138B1" w:rsidRDefault="001138B1" w:rsidP="007E21F5">
            <w:pPr>
              <w:rPr>
                <w:rFonts w:ascii="Arial" w:hAnsi="Arial" w:cs="Arial"/>
                <w:sz w:val="24"/>
              </w:rPr>
            </w:pPr>
            <w:r>
              <w:rPr>
                <w:rFonts w:ascii="Arial" w:hAnsi="Arial" w:cs="Arial"/>
                <w:sz w:val="24"/>
              </w:rPr>
              <w:t>8%</w:t>
            </w:r>
          </w:p>
        </w:tc>
      </w:tr>
    </w:tbl>
    <w:p w14:paraId="0DEFD79A" w14:textId="77777777" w:rsidR="007E3915" w:rsidRPr="007E3915" w:rsidRDefault="007E3915" w:rsidP="007E3915">
      <w:pPr>
        <w:rPr>
          <w:rFonts w:ascii="Arial" w:hAnsi="Arial" w:cs="Arial"/>
          <w:i/>
          <w:noProof/>
          <w:sz w:val="24"/>
          <w:lang w:eastAsia="en-AU"/>
        </w:rPr>
      </w:pPr>
      <w:r w:rsidRPr="007E3915">
        <w:rPr>
          <w:rFonts w:ascii="Arial" w:hAnsi="Arial" w:cs="Arial"/>
          <w:i/>
          <w:noProof/>
          <w:sz w:val="24"/>
          <w:lang w:eastAsia="en-AU"/>
        </w:rPr>
        <w:t>Source: 2018 VSHAWS, DET</w:t>
      </w:r>
    </w:p>
    <w:p w14:paraId="452EE6EB" w14:textId="77777777" w:rsidR="00E14070" w:rsidRDefault="007E3915" w:rsidP="007E3915">
      <w:pPr>
        <w:rPr>
          <w:rFonts w:ascii="Arial" w:hAnsi="Arial" w:cs="Arial"/>
          <w:noProof/>
          <w:sz w:val="24"/>
          <w:lang w:eastAsia="en-AU"/>
        </w:rPr>
      </w:pPr>
      <w:r w:rsidRPr="007E3915">
        <w:rPr>
          <w:rFonts w:ascii="Arial" w:hAnsi="Arial" w:cs="Arial"/>
          <w:noProof/>
          <w:sz w:val="24"/>
          <w:lang w:eastAsia="en-AU"/>
        </w:rPr>
        <w:t>In contrast to Australian born adolescents who have significant exposure to technology, some refugee and migrant adolescents may have low digital literacy, restricting their access to information and making them more vulnerable to online threats (VicHealth, 2017).</w:t>
      </w:r>
    </w:p>
    <w:p w14:paraId="335D9326" w14:textId="77777777" w:rsidR="007E3915" w:rsidRPr="007E3915" w:rsidRDefault="007E3915" w:rsidP="007E3915">
      <w:pPr>
        <w:pBdr>
          <w:top w:val="single" w:sz="4" w:space="1" w:color="auto"/>
          <w:left w:val="single" w:sz="4" w:space="4" w:color="auto"/>
          <w:bottom w:val="single" w:sz="4" w:space="1" w:color="auto"/>
          <w:right w:val="single" w:sz="4" w:space="4" w:color="auto"/>
        </w:pBdr>
        <w:rPr>
          <w:rFonts w:ascii="Arial" w:hAnsi="Arial" w:cs="Arial"/>
          <w:b/>
          <w:noProof/>
          <w:sz w:val="24"/>
          <w:lang w:eastAsia="en-AU"/>
        </w:rPr>
      </w:pPr>
      <w:r w:rsidRPr="007E3915">
        <w:rPr>
          <w:rFonts w:ascii="Arial" w:hAnsi="Arial" w:cs="Arial"/>
          <w:b/>
          <w:noProof/>
          <w:sz w:val="24"/>
          <w:lang w:eastAsia="en-AU"/>
        </w:rPr>
        <w:t>The impact of digital technology and media use</w:t>
      </w:r>
    </w:p>
    <w:p w14:paraId="27E2E11D" w14:textId="77777777" w:rsidR="007E3915" w:rsidRPr="007E3915" w:rsidRDefault="007E3915" w:rsidP="007E3915">
      <w:pPr>
        <w:pBdr>
          <w:top w:val="single" w:sz="4" w:space="1" w:color="auto"/>
          <w:left w:val="single" w:sz="4" w:space="4" w:color="auto"/>
          <w:bottom w:val="single" w:sz="4" w:space="1" w:color="auto"/>
          <w:right w:val="single" w:sz="4" w:space="4" w:color="auto"/>
        </w:pBdr>
        <w:rPr>
          <w:rFonts w:ascii="Arial" w:hAnsi="Arial" w:cs="Arial"/>
          <w:noProof/>
          <w:sz w:val="24"/>
          <w:lang w:eastAsia="en-AU"/>
        </w:rPr>
      </w:pPr>
      <w:r w:rsidRPr="007E3915">
        <w:rPr>
          <w:rFonts w:ascii="Arial" w:hAnsi="Arial" w:cs="Arial"/>
          <w:noProof/>
          <w:sz w:val="24"/>
          <w:lang w:eastAsia="en-AU"/>
        </w:rPr>
        <w:t>Digital technology and social media have been shown to dramatically alter the psychological and social environments that young people navigate during adolescence. A recent systematic review of research into the impact of digital technology on children and adolescents identified a range of benefits and risks. Benefits include: early learning; exposure to new ideas and knowledge; increased opportunities for social contact and support; and new opportunities to access health promotion messages and information. Risks include: negative effects on sleep; attention and learning; a higher incidence of obesity and depression; exposure to inaccurate, inappropriate, or unsafe content and contacts; and compromised privacy and confidentiality (Chassiakos, Radesky, Christakis, Moreno, &amp; Cross, 2016). These new environments also present an array of psychological and social challenges for adolescents, including the risk of cyberbullying (See Chapter 3).</w:t>
      </w:r>
    </w:p>
    <w:p w14:paraId="45E2D3E0" w14:textId="77777777" w:rsidR="000B3DED" w:rsidRDefault="000B3DED" w:rsidP="000B3DED">
      <w:pPr>
        <w:rPr>
          <w:rFonts w:ascii="Arial" w:hAnsi="Arial" w:cs="Arial"/>
          <w:b/>
          <w:sz w:val="24"/>
        </w:rPr>
      </w:pPr>
    </w:p>
    <w:p w14:paraId="29E71703" w14:textId="77777777" w:rsidR="000B3DED" w:rsidRPr="000B3DED" w:rsidRDefault="000B3DED" w:rsidP="00805253">
      <w:pPr>
        <w:pBdr>
          <w:top w:val="single" w:sz="4" w:space="1" w:color="auto"/>
          <w:left w:val="single" w:sz="4" w:space="4" w:color="auto"/>
          <w:bottom w:val="single" w:sz="4" w:space="1" w:color="auto"/>
          <w:right w:val="single" w:sz="4" w:space="4" w:color="auto"/>
        </w:pBdr>
        <w:rPr>
          <w:rFonts w:ascii="Arial" w:hAnsi="Arial" w:cs="Arial"/>
          <w:b/>
          <w:sz w:val="24"/>
        </w:rPr>
      </w:pPr>
      <w:r w:rsidRPr="000B3DED">
        <w:rPr>
          <w:rFonts w:ascii="Arial" w:hAnsi="Arial" w:cs="Arial"/>
          <w:b/>
          <w:sz w:val="24"/>
        </w:rPr>
        <w:t>Adolescents are increasingly exposed to gambling</w:t>
      </w:r>
    </w:p>
    <w:p w14:paraId="216A9161" w14:textId="77777777" w:rsidR="000B3DED" w:rsidRPr="000B3DED" w:rsidRDefault="000B3DED" w:rsidP="00805253">
      <w:pPr>
        <w:pBdr>
          <w:top w:val="single" w:sz="4" w:space="1" w:color="auto"/>
          <w:left w:val="single" w:sz="4" w:space="4" w:color="auto"/>
          <w:bottom w:val="single" w:sz="4" w:space="1" w:color="auto"/>
          <w:right w:val="single" w:sz="4" w:space="4" w:color="auto"/>
        </w:pBdr>
        <w:rPr>
          <w:rFonts w:ascii="Arial" w:hAnsi="Arial" w:cs="Arial"/>
          <w:sz w:val="24"/>
        </w:rPr>
      </w:pPr>
      <w:r w:rsidRPr="000B3DED">
        <w:rPr>
          <w:rFonts w:ascii="Arial" w:hAnsi="Arial" w:cs="Arial"/>
          <w:sz w:val="24"/>
        </w:rPr>
        <w:t xml:space="preserve">Adolescents are increasingly exposed to gambling marketing through social media, online advertising and sports coverage, alongside increased accessibility and opportunities to gamble with the rise of internet and smart phone access. Adolescent gambling has been associated with negative impacts on school performance and </w:t>
      </w:r>
      <w:r w:rsidRPr="000B3DED">
        <w:rPr>
          <w:rFonts w:ascii="Arial" w:hAnsi="Arial" w:cs="Arial"/>
          <w:sz w:val="24"/>
        </w:rPr>
        <w:lastRenderedPageBreak/>
        <w:t>family and peer relationships, depression, and is also correlated with engagement in other risk behaviours such as alcohol and other drug use (Freund, et al., 2019).</w:t>
      </w:r>
    </w:p>
    <w:p w14:paraId="1057EE10" w14:textId="77777777" w:rsidR="000B3DED" w:rsidRPr="000B3DED" w:rsidRDefault="000B3DED" w:rsidP="00805253">
      <w:pPr>
        <w:pBdr>
          <w:top w:val="single" w:sz="4" w:space="1" w:color="auto"/>
          <w:left w:val="single" w:sz="4" w:space="4" w:color="auto"/>
          <w:bottom w:val="single" w:sz="4" w:space="1" w:color="auto"/>
          <w:right w:val="single" w:sz="4" w:space="4" w:color="auto"/>
        </w:pBdr>
        <w:rPr>
          <w:rFonts w:ascii="Arial" w:hAnsi="Arial" w:cs="Arial"/>
          <w:sz w:val="24"/>
        </w:rPr>
      </w:pPr>
      <w:r w:rsidRPr="000B3DED">
        <w:rPr>
          <w:rFonts w:ascii="Arial" w:hAnsi="Arial" w:cs="Arial"/>
          <w:sz w:val="24"/>
        </w:rPr>
        <w:t>The 2017 Australian School Secondary Students Alcohol and Drug Survey of students aged 12–17 years attending Victorian secondary schools found that:</w:t>
      </w:r>
    </w:p>
    <w:p w14:paraId="18549BA7" w14:textId="77777777" w:rsidR="000B3DED" w:rsidRPr="000B3DED" w:rsidRDefault="00805253" w:rsidP="00805253">
      <w:pPr>
        <w:pBdr>
          <w:top w:val="single" w:sz="4" w:space="1" w:color="auto"/>
          <w:left w:val="single" w:sz="4" w:space="4" w:color="auto"/>
          <w:bottom w:val="single" w:sz="4" w:space="1" w:color="auto"/>
          <w:right w:val="single" w:sz="4" w:space="4" w:color="auto"/>
        </w:pBdr>
        <w:rPr>
          <w:rFonts w:ascii="Arial" w:hAnsi="Arial" w:cs="Arial"/>
          <w:sz w:val="24"/>
        </w:rPr>
      </w:pPr>
      <w:r>
        <w:rPr>
          <w:rFonts w:ascii="Arial" w:hAnsi="Arial" w:cs="Arial"/>
          <w:sz w:val="24"/>
        </w:rPr>
        <w:t xml:space="preserve">• </w:t>
      </w:r>
      <w:r w:rsidR="000B3DED" w:rsidRPr="000B3DED">
        <w:rPr>
          <w:rFonts w:ascii="Arial" w:hAnsi="Arial" w:cs="Arial"/>
          <w:sz w:val="24"/>
        </w:rPr>
        <w:t>almost one in three students had gambled using money at some point in their lives (31 per cent), with higher rates among males (36 per cent) compared to females (26 per cent)</w:t>
      </w:r>
    </w:p>
    <w:p w14:paraId="00E42638" w14:textId="77777777" w:rsidR="000B3DED" w:rsidRPr="000B3DED" w:rsidRDefault="00805253" w:rsidP="00805253">
      <w:pPr>
        <w:pBdr>
          <w:top w:val="single" w:sz="4" w:space="1" w:color="auto"/>
          <w:left w:val="single" w:sz="4" w:space="4" w:color="auto"/>
          <w:bottom w:val="single" w:sz="4" w:space="1" w:color="auto"/>
          <w:right w:val="single" w:sz="4" w:space="4" w:color="auto"/>
        </w:pBdr>
        <w:rPr>
          <w:rFonts w:ascii="Arial" w:hAnsi="Arial" w:cs="Arial"/>
          <w:sz w:val="24"/>
        </w:rPr>
      </w:pPr>
      <w:r>
        <w:rPr>
          <w:rFonts w:ascii="Arial" w:hAnsi="Arial" w:cs="Arial"/>
          <w:sz w:val="24"/>
        </w:rPr>
        <w:t xml:space="preserve">• </w:t>
      </w:r>
      <w:r w:rsidR="000B3DED" w:rsidRPr="000B3DED">
        <w:rPr>
          <w:rFonts w:ascii="Arial" w:hAnsi="Arial" w:cs="Arial"/>
          <w:sz w:val="24"/>
        </w:rPr>
        <w:t>six per cent of all students reported gambling in the last 30 days, of which 13 per cent were problem gamblers</w:t>
      </w:r>
    </w:p>
    <w:p w14:paraId="4B9AEFEF" w14:textId="77777777" w:rsidR="000B3DED" w:rsidRPr="000B3DED" w:rsidRDefault="00805253" w:rsidP="00805253">
      <w:pPr>
        <w:pBdr>
          <w:top w:val="single" w:sz="4" w:space="1" w:color="auto"/>
          <w:left w:val="single" w:sz="4" w:space="4" w:color="auto"/>
          <w:bottom w:val="single" w:sz="4" w:space="1" w:color="auto"/>
          <w:right w:val="single" w:sz="4" w:space="4" w:color="auto"/>
        </w:pBdr>
        <w:rPr>
          <w:rFonts w:ascii="Arial" w:hAnsi="Arial" w:cs="Arial"/>
          <w:sz w:val="24"/>
        </w:rPr>
      </w:pPr>
      <w:r>
        <w:rPr>
          <w:rFonts w:ascii="Arial" w:hAnsi="Arial" w:cs="Arial"/>
          <w:sz w:val="24"/>
        </w:rPr>
        <w:t xml:space="preserve">• </w:t>
      </w:r>
      <w:r w:rsidR="000B3DED" w:rsidRPr="000B3DED">
        <w:rPr>
          <w:rFonts w:ascii="Arial" w:hAnsi="Arial" w:cs="Arial"/>
          <w:sz w:val="24"/>
        </w:rPr>
        <w:t>among those who had ever gambled, they were most likely to have bet on horse or dog racing (54 per cent), purchased raffle tickets (51 per cent), bet on</w:t>
      </w:r>
      <w:r>
        <w:rPr>
          <w:rFonts w:ascii="Arial" w:hAnsi="Arial" w:cs="Arial"/>
          <w:sz w:val="24"/>
        </w:rPr>
        <w:t xml:space="preserve"> </w:t>
      </w:r>
      <w:r w:rsidR="000B3DED" w:rsidRPr="000B3DED">
        <w:rPr>
          <w:rFonts w:ascii="Arial" w:hAnsi="Arial" w:cs="Arial"/>
          <w:sz w:val="24"/>
        </w:rPr>
        <w:t>sports (38 per cent), or bought scratchie cards (37 per cent)</w:t>
      </w:r>
    </w:p>
    <w:p w14:paraId="11F38982" w14:textId="77777777" w:rsidR="000B3DED" w:rsidRPr="000B3DED" w:rsidRDefault="00805253" w:rsidP="00805253">
      <w:pPr>
        <w:pBdr>
          <w:top w:val="single" w:sz="4" w:space="1" w:color="auto"/>
          <w:left w:val="single" w:sz="4" w:space="4" w:color="auto"/>
          <w:bottom w:val="single" w:sz="4" w:space="1" w:color="auto"/>
          <w:right w:val="single" w:sz="4" w:space="4" w:color="auto"/>
        </w:pBdr>
        <w:rPr>
          <w:rFonts w:ascii="Arial" w:hAnsi="Arial" w:cs="Arial"/>
          <w:sz w:val="24"/>
        </w:rPr>
      </w:pPr>
      <w:r>
        <w:rPr>
          <w:rFonts w:ascii="Arial" w:hAnsi="Arial" w:cs="Arial"/>
          <w:sz w:val="24"/>
        </w:rPr>
        <w:t xml:space="preserve">• </w:t>
      </w:r>
      <w:r w:rsidR="000B3DED" w:rsidRPr="000B3DED">
        <w:rPr>
          <w:rFonts w:ascii="Arial" w:hAnsi="Arial" w:cs="Arial"/>
          <w:sz w:val="24"/>
        </w:rPr>
        <w:t>nearly one in five (18 per cent) of those who had gambled, had done so online.</w:t>
      </w:r>
    </w:p>
    <w:p w14:paraId="46EEEB76" w14:textId="77777777" w:rsidR="00E14070" w:rsidRPr="000B3DED" w:rsidRDefault="00805253" w:rsidP="00805253">
      <w:pPr>
        <w:pBdr>
          <w:top w:val="single" w:sz="4" w:space="1" w:color="auto"/>
          <w:left w:val="single" w:sz="4" w:space="4" w:color="auto"/>
          <w:bottom w:val="single" w:sz="4" w:space="1" w:color="auto"/>
          <w:right w:val="single" w:sz="4" w:space="4" w:color="auto"/>
        </w:pBdr>
        <w:rPr>
          <w:rFonts w:ascii="Arial" w:hAnsi="Arial" w:cs="Arial"/>
          <w:sz w:val="24"/>
        </w:rPr>
      </w:pPr>
      <w:r>
        <w:rPr>
          <w:rFonts w:ascii="Arial" w:hAnsi="Arial" w:cs="Arial"/>
          <w:sz w:val="24"/>
        </w:rPr>
        <w:t xml:space="preserve">• </w:t>
      </w:r>
      <w:r w:rsidR="000B3DED" w:rsidRPr="000B3DED">
        <w:rPr>
          <w:rFonts w:ascii="Arial" w:hAnsi="Arial" w:cs="Arial"/>
          <w:sz w:val="24"/>
        </w:rPr>
        <w:t>more than half (51 per cent) of those who had ever gambled, had gambled via a parent.</w:t>
      </w:r>
    </w:p>
    <w:p w14:paraId="56CBE04A" w14:textId="77777777" w:rsidR="002E53D8" w:rsidRPr="002F3BD4" w:rsidRDefault="002E53D8" w:rsidP="002F3BD4">
      <w:pPr>
        <w:pStyle w:val="Heading3"/>
        <w:rPr>
          <w:rFonts w:ascii="Arial" w:hAnsi="Arial" w:cs="Arial"/>
          <w:color w:val="auto"/>
          <w:sz w:val="24"/>
        </w:rPr>
      </w:pPr>
      <w:bookmarkStart w:id="17" w:name="_Toc33527742"/>
      <w:r w:rsidRPr="002F3BD4">
        <w:rPr>
          <w:rFonts w:ascii="Arial" w:hAnsi="Arial" w:cs="Arial"/>
          <w:color w:val="auto"/>
          <w:sz w:val="24"/>
        </w:rPr>
        <w:t>2.8</w:t>
      </w:r>
      <w:r w:rsidRPr="002F3BD4">
        <w:rPr>
          <w:rFonts w:ascii="Arial" w:hAnsi="Arial" w:cs="Arial"/>
          <w:color w:val="auto"/>
          <w:sz w:val="24"/>
        </w:rPr>
        <w:tab/>
        <w:t>A higher rate of adolescents experience sleeping problems than in the past</w:t>
      </w:r>
      <w:bookmarkEnd w:id="17"/>
    </w:p>
    <w:p w14:paraId="6668493A" w14:textId="77777777" w:rsidR="002E53D8" w:rsidRPr="002E53D8" w:rsidRDefault="002E53D8" w:rsidP="002E53D8">
      <w:pPr>
        <w:rPr>
          <w:rFonts w:ascii="Arial" w:hAnsi="Arial" w:cs="Arial"/>
          <w:sz w:val="24"/>
        </w:rPr>
      </w:pPr>
      <w:r w:rsidRPr="002E53D8">
        <w:rPr>
          <w:rFonts w:ascii="Arial" w:hAnsi="Arial" w:cs="Arial"/>
          <w:sz w:val="24"/>
        </w:rPr>
        <w:t>Sleep patterns change during adolescence, shifting towards later times for sleeping and waking. It is normal for teenagers to experience an inability to get to sleep before 11 pm and to have corresponding difficulty waking early in the morning (National Sleep Foundation, 2019). However, good sleep remains an important protective factor during adolescence, influencing physical and mental health, physical activity levels, attention capacity, academic performance and risk-taking behaviour (Shochat, Cohen-Zion,</w:t>
      </w:r>
      <w:r>
        <w:rPr>
          <w:rFonts w:ascii="Arial" w:hAnsi="Arial" w:cs="Arial"/>
          <w:sz w:val="24"/>
        </w:rPr>
        <w:t xml:space="preserve"> </w:t>
      </w:r>
      <w:r w:rsidRPr="002E53D8">
        <w:rPr>
          <w:rFonts w:ascii="Arial" w:hAnsi="Arial" w:cs="Arial"/>
          <w:sz w:val="24"/>
        </w:rPr>
        <w:t>&amp; Tzischiny, 2014). Environmental factors that contribute to inadequate sleep include growing academic workload, less parental influence on bed times and increased screen time, while individual factors predicting inadequate sleep included stress, depression, obesity, and the intake of caffeine, alcohol and nicotine.</w:t>
      </w:r>
    </w:p>
    <w:p w14:paraId="49CE27D0" w14:textId="77777777" w:rsidR="002E53D8" w:rsidRDefault="002E53D8" w:rsidP="002E53D8">
      <w:pPr>
        <w:rPr>
          <w:rFonts w:ascii="Arial" w:hAnsi="Arial" w:cs="Arial"/>
          <w:sz w:val="24"/>
        </w:rPr>
      </w:pPr>
      <w:r w:rsidRPr="002E53D8">
        <w:rPr>
          <w:rFonts w:ascii="Arial" w:hAnsi="Arial" w:cs="Arial"/>
          <w:sz w:val="24"/>
        </w:rPr>
        <w:t>Results from the VSHAWS suggest that the majority of Victorian secondary students experience problems with sleep, and that the proportion affected increased between 2014 and 2016. Older adolescents are more likely to report that sleep is a problem for them (Year 11s: 56 per cent in 2018 compared to Year 8s: 51 per cent), as are girls (59 per cent) compared to boys (46 per cent), and those living in one-parent families (61 per cent) compared to two-parent families (52 per cent).</w:t>
      </w:r>
    </w:p>
    <w:p w14:paraId="04DA2611" w14:textId="77777777" w:rsidR="00B04AA9" w:rsidRDefault="002E53D8" w:rsidP="002E53D8">
      <w:pPr>
        <w:rPr>
          <w:rFonts w:ascii="Arial" w:hAnsi="Arial" w:cs="Arial"/>
          <w:b/>
          <w:sz w:val="24"/>
        </w:rPr>
      </w:pPr>
      <w:r w:rsidRPr="00214EC7">
        <w:rPr>
          <w:rFonts w:ascii="Arial" w:hAnsi="Arial" w:cs="Arial"/>
          <w:b/>
          <w:sz w:val="24"/>
        </w:rPr>
        <w:t>Figure 5. Experiences of sleep problems among Victorian students by year level, 2014-2018</w:t>
      </w:r>
    </w:p>
    <w:tbl>
      <w:tblPr>
        <w:tblStyle w:val="TableGrid"/>
        <w:tblW w:w="5000" w:type="pct"/>
        <w:tblLook w:val="04A0" w:firstRow="1" w:lastRow="0" w:firstColumn="1" w:lastColumn="0" w:noHBand="0" w:noVBand="1"/>
        <w:tblDescription w:val="This table provides information on the experiences of sleep problems among Victorian students by year level, 2014-2018"/>
      </w:tblPr>
      <w:tblGrid>
        <w:gridCol w:w="2476"/>
        <w:gridCol w:w="3051"/>
        <w:gridCol w:w="3489"/>
      </w:tblGrid>
      <w:tr w:rsidR="002557F4" w14:paraId="359B2ADE" w14:textId="77777777" w:rsidTr="00214EC7">
        <w:trPr>
          <w:tblHeader/>
        </w:trPr>
        <w:tc>
          <w:tcPr>
            <w:tcW w:w="1373" w:type="pct"/>
          </w:tcPr>
          <w:p w14:paraId="3FF302F0" w14:textId="77777777" w:rsidR="002557F4" w:rsidRDefault="002557F4" w:rsidP="007E21F5">
            <w:pPr>
              <w:rPr>
                <w:rFonts w:ascii="Arial" w:hAnsi="Arial" w:cs="Arial"/>
                <w:sz w:val="24"/>
              </w:rPr>
            </w:pPr>
          </w:p>
        </w:tc>
        <w:tc>
          <w:tcPr>
            <w:tcW w:w="1692" w:type="pct"/>
          </w:tcPr>
          <w:p w14:paraId="68C483D5" w14:textId="77777777" w:rsidR="002557F4" w:rsidRDefault="00865AA4" w:rsidP="007E21F5">
            <w:pPr>
              <w:rPr>
                <w:rFonts w:ascii="Arial" w:hAnsi="Arial" w:cs="Arial"/>
                <w:sz w:val="24"/>
              </w:rPr>
            </w:pPr>
            <w:r>
              <w:rPr>
                <w:rFonts w:ascii="Arial" w:hAnsi="Arial" w:cs="Arial"/>
                <w:sz w:val="24"/>
              </w:rPr>
              <w:t>Year 8</w:t>
            </w:r>
          </w:p>
        </w:tc>
        <w:tc>
          <w:tcPr>
            <w:tcW w:w="1935" w:type="pct"/>
          </w:tcPr>
          <w:p w14:paraId="560269A1" w14:textId="77777777" w:rsidR="002557F4" w:rsidRDefault="00865AA4" w:rsidP="007E21F5">
            <w:pPr>
              <w:rPr>
                <w:rFonts w:ascii="Arial" w:hAnsi="Arial" w:cs="Arial"/>
                <w:sz w:val="24"/>
              </w:rPr>
            </w:pPr>
            <w:r>
              <w:rPr>
                <w:rFonts w:ascii="Arial" w:hAnsi="Arial" w:cs="Arial"/>
                <w:sz w:val="24"/>
              </w:rPr>
              <w:t>Year 11</w:t>
            </w:r>
          </w:p>
        </w:tc>
      </w:tr>
      <w:tr w:rsidR="002557F4" w14:paraId="3ED53D1A" w14:textId="77777777" w:rsidTr="00214EC7">
        <w:tc>
          <w:tcPr>
            <w:tcW w:w="1373" w:type="pct"/>
          </w:tcPr>
          <w:p w14:paraId="1CC85746" w14:textId="77777777" w:rsidR="002557F4" w:rsidRDefault="00865AA4" w:rsidP="007E21F5">
            <w:pPr>
              <w:rPr>
                <w:rFonts w:ascii="Arial" w:hAnsi="Arial" w:cs="Arial"/>
                <w:sz w:val="24"/>
              </w:rPr>
            </w:pPr>
            <w:r>
              <w:rPr>
                <w:rFonts w:ascii="Arial" w:hAnsi="Arial" w:cs="Arial"/>
                <w:sz w:val="24"/>
              </w:rPr>
              <w:t>2014</w:t>
            </w:r>
          </w:p>
        </w:tc>
        <w:tc>
          <w:tcPr>
            <w:tcW w:w="1692" w:type="pct"/>
          </w:tcPr>
          <w:p w14:paraId="4CC8DCFD" w14:textId="77777777" w:rsidR="002557F4" w:rsidRDefault="00214EC7" w:rsidP="00214EC7">
            <w:pPr>
              <w:rPr>
                <w:rFonts w:ascii="Arial" w:hAnsi="Arial" w:cs="Arial"/>
                <w:sz w:val="24"/>
              </w:rPr>
            </w:pPr>
            <w:r>
              <w:rPr>
                <w:rFonts w:ascii="Arial" w:hAnsi="Arial" w:cs="Arial"/>
                <w:sz w:val="24"/>
              </w:rPr>
              <w:t>47%</w:t>
            </w:r>
          </w:p>
        </w:tc>
        <w:tc>
          <w:tcPr>
            <w:tcW w:w="1935" w:type="pct"/>
          </w:tcPr>
          <w:p w14:paraId="50D2B777" w14:textId="77777777" w:rsidR="002557F4" w:rsidRDefault="00214EC7" w:rsidP="007E21F5">
            <w:pPr>
              <w:rPr>
                <w:rFonts w:ascii="Arial" w:hAnsi="Arial" w:cs="Arial"/>
                <w:sz w:val="24"/>
              </w:rPr>
            </w:pPr>
            <w:r>
              <w:rPr>
                <w:rFonts w:ascii="Arial" w:hAnsi="Arial" w:cs="Arial"/>
                <w:sz w:val="24"/>
              </w:rPr>
              <w:t>53%</w:t>
            </w:r>
          </w:p>
        </w:tc>
      </w:tr>
      <w:tr w:rsidR="002557F4" w14:paraId="3F1E951E" w14:textId="77777777" w:rsidTr="00214EC7">
        <w:tc>
          <w:tcPr>
            <w:tcW w:w="1373" w:type="pct"/>
          </w:tcPr>
          <w:p w14:paraId="1595E55D" w14:textId="77777777" w:rsidR="002557F4" w:rsidRDefault="00865AA4" w:rsidP="007E21F5">
            <w:pPr>
              <w:rPr>
                <w:rFonts w:ascii="Arial" w:hAnsi="Arial" w:cs="Arial"/>
                <w:sz w:val="24"/>
              </w:rPr>
            </w:pPr>
            <w:r>
              <w:rPr>
                <w:rFonts w:ascii="Arial" w:hAnsi="Arial" w:cs="Arial"/>
                <w:sz w:val="24"/>
              </w:rPr>
              <w:t>2016</w:t>
            </w:r>
          </w:p>
        </w:tc>
        <w:tc>
          <w:tcPr>
            <w:tcW w:w="1692" w:type="pct"/>
          </w:tcPr>
          <w:p w14:paraId="328CEF3C" w14:textId="77777777" w:rsidR="002557F4" w:rsidRDefault="00214EC7" w:rsidP="007E21F5">
            <w:pPr>
              <w:rPr>
                <w:rFonts w:ascii="Arial" w:hAnsi="Arial" w:cs="Arial"/>
                <w:sz w:val="24"/>
              </w:rPr>
            </w:pPr>
            <w:r>
              <w:rPr>
                <w:rFonts w:ascii="Arial" w:hAnsi="Arial" w:cs="Arial"/>
                <w:sz w:val="24"/>
              </w:rPr>
              <w:t>50%</w:t>
            </w:r>
          </w:p>
        </w:tc>
        <w:tc>
          <w:tcPr>
            <w:tcW w:w="1935" w:type="pct"/>
          </w:tcPr>
          <w:p w14:paraId="63C2B174" w14:textId="77777777" w:rsidR="002557F4" w:rsidRDefault="00214EC7" w:rsidP="007E21F5">
            <w:pPr>
              <w:rPr>
                <w:rFonts w:ascii="Arial" w:hAnsi="Arial" w:cs="Arial"/>
                <w:sz w:val="24"/>
              </w:rPr>
            </w:pPr>
            <w:r>
              <w:rPr>
                <w:rFonts w:ascii="Arial" w:hAnsi="Arial" w:cs="Arial"/>
                <w:sz w:val="24"/>
              </w:rPr>
              <w:t>56%</w:t>
            </w:r>
          </w:p>
        </w:tc>
      </w:tr>
      <w:tr w:rsidR="002557F4" w14:paraId="48076A65" w14:textId="77777777" w:rsidTr="00214EC7">
        <w:tc>
          <w:tcPr>
            <w:tcW w:w="1373" w:type="pct"/>
          </w:tcPr>
          <w:p w14:paraId="134B81E8" w14:textId="77777777" w:rsidR="002557F4" w:rsidRDefault="00865AA4" w:rsidP="007E21F5">
            <w:pPr>
              <w:rPr>
                <w:rFonts w:ascii="Arial" w:hAnsi="Arial" w:cs="Arial"/>
                <w:sz w:val="24"/>
              </w:rPr>
            </w:pPr>
            <w:r>
              <w:rPr>
                <w:rFonts w:ascii="Arial" w:hAnsi="Arial" w:cs="Arial"/>
                <w:sz w:val="24"/>
              </w:rPr>
              <w:t>2018</w:t>
            </w:r>
          </w:p>
        </w:tc>
        <w:tc>
          <w:tcPr>
            <w:tcW w:w="1692" w:type="pct"/>
          </w:tcPr>
          <w:p w14:paraId="52C36B3C" w14:textId="77777777" w:rsidR="002557F4" w:rsidRDefault="00214EC7" w:rsidP="007E21F5">
            <w:pPr>
              <w:rPr>
                <w:rFonts w:ascii="Arial" w:hAnsi="Arial" w:cs="Arial"/>
                <w:sz w:val="24"/>
              </w:rPr>
            </w:pPr>
            <w:r>
              <w:rPr>
                <w:rFonts w:ascii="Arial" w:hAnsi="Arial" w:cs="Arial"/>
                <w:sz w:val="24"/>
              </w:rPr>
              <w:t>51%</w:t>
            </w:r>
          </w:p>
        </w:tc>
        <w:tc>
          <w:tcPr>
            <w:tcW w:w="1935" w:type="pct"/>
          </w:tcPr>
          <w:p w14:paraId="2DF5C15A" w14:textId="77777777" w:rsidR="002557F4" w:rsidRDefault="00214EC7" w:rsidP="007E21F5">
            <w:pPr>
              <w:rPr>
                <w:rFonts w:ascii="Arial" w:hAnsi="Arial" w:cs="Arial"/>
                <w:sz w:val="24"/>
              </w:rPr>
            </w:pPr>
            <w:r>
              <w:rPr>
                <w:rFonts w:ascii="Arial" w:hAnsi="Arial" w:cs="Arial"/>
                <w:sz w:val="24"/>
              </w:rPr>
              <w:t>56%</w:t>
            </w:r>
          </w:p>
        </w:tc>
      </w:tr>
    </w:tbl>
    <w:p w14:paraId="5F897038" w14:textId="77777777" w:rsidR="00B04AA9" w:rsidRPr="00B04AA9" w:rsidRDefault="00B04AA9" w:rsidP="00B04AA9">
      <w:pPr>
        <w:rPr>
          <w:rFonts w:ascii="Arial" w:hAnsi="Arial" w:cs="Arial"/>
          <w:i/>
          <w:sz w:val="24"/>
        </w:rPr>
      </w:pPr>
      <w:r w:rsidRPr="00B04AA9">
        <w:rPr>
          <w:rFonts w:ascii="Arial" w:hAnsi="Arial" w:cs="Arial"/>
          <w:i/>
          <w:sz w:val="24"/>
        </w:rPr>
        <w:t>Source: VSHAWS, 2014, 2016, and 2018, DET</w:t>
      </w:r>
    </w:p>
    <w:p w14:paraId="36A2F1C8" w14:textId="77777777" w:rsidR="00B04AA9" w:rsidRDefault="00B04AA9" w:rsidP="00B04AA9">
      <w:pPr>
        <w:rPr>
          <w:rFonts w:ascii="Arial" w:hAnsi="Arial" w:cs="Arial"/>
          <w:sz w:val="24"/>
        </w:rPr>
      </w:pPr>
      <w:r w:rsidRPr="00B04AA9">
        <w:rPr>
          <w:rFonts w:ascii="Arial" w:hAnsi="Arial" w:cs="Arial"/>
          <w:sz w:val="24"/>
        </w:rPr>
        <w:t>Sleep problems are also associated with depressive symptoms. Two in five adolescents for whom sleep is a problem also report experiencing depressive symptoms, compared to one in ten students who do not experience sleep problems. Students for whom sleep is an issue are less likely to perceive their academic ability to be good or very good and more likely to see it as below average.</w:t>
      </w:r>
    </w:p>
    <w:p w14:paraId="24224C8A" w14:textId="77777777" w:rsidR="000149AD" w:rsidRDefault="000149AD" w:rsidP="00B04AA9">
      <w:pPr>
        <w:rPr>
          <w:rFonts w:ascii="Arial" w:hAnsi="Arial" w:cs="Arial"/>
          <w:b/>
          <w:sz w:val="24"/>
        </w:rPr>
      </w:pPr>
      <w:r w:rsidRPr="00875C5F">
        <w:rPr>
          <w:rFonts w:ascii="Arial" w:hAnsi="Arial" w:cs="Arial"/>
          <w:b/>
          <w:sz w:val="24"/>
        </w:rPr>
        <w:t>Figure 6. Proportion of Victorian students (Years 8 &amp; 11) with and without sleep problems who experience depressive symptoms, 2018</w:t>
      </w:r>
    </w:p>
    <w:tbl>
      <w:tblPr>
        <w:tblStyle w:val="TableGrid"/>
        <w:tblW w:w="5000" w:type="pct"/>
        <w:tblLook w:val="04A0" w:firstRow="1" w:lastRow="0" w:firstColumn="1" w:lastColumn="0" w:noHBand="0" w:noVBand="1"/>
        <w:tblDescription w:val="This table provides information on the proportion of Victorian students (Years 8 &amp; 11) with and without sleep problems who experience depressive symptoms, 2018"/>
      </w:tblPr>
      <w:tblGrid>
        <w:gridCol w:w="2476"/>
        <w:gridCol w:w="3051"/>
        <w:gridCol w:w="3489"/>
      </w:tblGrid>
      <w:tr w:rsidR="00875C5F" w14:paraId="7F3B8606" w14:textId="77777777" w:rsidTr="007E21F5">
        <w:trPr>
          <w:tblHeader/>
        </w:trPr>
        <w:tc>
          <w:tcPr>
            <w:tcW w:w="1373" w:type="pct"/>
          </w:tcPr>
          <w:p w14:paraId="52DF1D87" w14:textId="77777777" w:rsidR="00875C5F" w:rsidRDefault="00875C5F" w:rsidP="007E21F5">
            <w:pPr>
              <w:rPr>
                <w:rFonts w:ascii="Arial" w:hAnsi="Arial" w:cs="Arial"/>
                <w:sz w:val="24"/>
              </w:rPr>
            </w:pPr>
          </w:p>
        </w:tc>
        <w:tc>
          <w:tcPr>
            <w:tcW w:w="1692" w:type="pct"/>
          </w:tcPr>
          <w:p w14:paraId="547CA440" w14:textId="77777777" w:rsidR="00875C5F" w:rsidRDefault="00875C5F" w:rsidP="007E21F5">
            <w:pPr>
              <w:rPr>
                <w:rFonts w:ascii="Arial" w:hAnsi="Arial" w:cs="Arial"/>
                <w:sz w:val="24"/>
              </w:rPr>
            </w:pPr>
            <w:r>
              <w:rPr>
                <w:rFonts w:ascii="Arial" w:hAnsi="Arial" w:cs="Arial"/>
                <w:sz w:val="24"/>
              </w:rPr>
              <w:t>No sleep problems</w:t>
            </w:r>
          </w:p>
        </w:tc>
        <w:tc>
          <w:tcPr>
            <w:tcW w:w="1935" w:type="pct"/>
          </w:tcPr>
          <w:p w14:paraId="4CB60DC8" w14:textId="77777777" w:rsidR="00875C5F" w:rsidRDefault="00875C5F" w:rsidP="007E21F5">
            <w:pPr>
              <w:rPr>
                <w:rFonts w:ascii="Arial" w:hAnsi="Arial" w:cs="Arial"/>
                <w:sz w:val="24"/>
              </w:rPr>
            </w:pPr>
            <w:r>
              <w:rPr>
                <w:rFonts w:ascii="Arial" w:hAnsi="Arial" w:cs="Arial"/>
                <w:sz w:val="24"/>
              </w:rPr>
              <w:t>Sleep problems</w:t>
            </w:r>
          </w:p>
        </w:tc>
      </w:tr>
      <w:tr w:rsidR="00875C5F" w14:paraId="16DA4A57" w14:textId="77777777" w:rsidTr="007E21F5">
        <w:tc>
          <w:tcPr>
            <w:tcW w:w="1373" w:type="pct"/>
          </w:tcPr>
          <w:p w14:paraId="29918240" w14:textId="77777777" w:rsidR="00875C5F" w:rsidRDefault="00875C5F" w:rsidP="007E21F5">
            <w:pPr>
              <w:rPr>
                <w:rFonts w:ascii="Arial" w:hAnsi="Arial" w:cs="Arial"/>
                <w:sz w:val="24"/>
              </w:rPr>
            </w:pPr>
            <w:r>
              <w:rPr>
                <w:rFonts w:ascii="Arial" w:hAnsi="Arial" w:cs="Arial"/>
                <w:sz w:val="24"/>
              </w:rPr>
              <w:t>2018</w:t>
            </w:r>
          </w:p>
        </w:tc>
        <w:tc>
          <w:tcPr>
            <w:tcW w:w="1692" w:type="pct"/>
          </w:tcPr>
          <w:p w14:paraId="4E3EA4A5" w14:textId="77777777" w:rsidR="00875C5F" w:rsidRDefault="00875C5F" w:rsidP="007E21F5">
            <w:pPr>
              <w:rPr>
                <w:rFonts w:ascii="Arial" w:hAnsi="Arial" w:cs="Arial"/>
                <w:sz w:val="24"/>
              </w:rPr>
            </w:pPr>
            <w:r>
              <w:rPr>
                <w:rFonts w:ascii="Arial" w:hAnsi="Arial" w:cs="Arial"/>
                <w:sz w:val="24"/>
              </w:rPr>
              <w:t>11%</w:t>
            </w:r>
          </w:p>
        </w:tc>
        <w:tc>
          <w:tcPr>
            <w:tcW w:w="1935" w:type="pct"/>
          </w:tcPr>
          <w:p w14:paraId="543F2E26" w14:textId="77777777" w:rsidR="00875C5F" w:rsidRDefault="00875C5F" w:rsidP="007E21F5">
            <w:pPr>
              <w:rPr>
                <w:rFonts w:ascii="Arial" w:hAnsi="Arial" w:cs="Arial"/>
                <w:sz w:val="24"/>
              </w:rPr>
            </w:pPr>
            <w:r>
              <w:rPr>
                <w:rFonts w:ascii="Arial" w:hAnsi="Arial" w:cs="Arial"/>
                <w:sz w:val="24"/>
              </w:rPr>
              <w:t>40%</w:t>
            </w:r>
          </w:p>
        </w:tc>
      </w:tr>
    </w:tbl>
    <w:p w14:paraId="4F62999C" w14:textId="77777777" w:rsidR="00FF1CCC" w:rsidRDefault="00FF1CCC" w:rsidP="00B04AA9">
      <w:pPr>
        <w:rPr>
          <w:rFonts w:ascii="Arial" w:hAnsi="Arial" w:cs="Arial"/>
          <w:i/>
          <w:sz w:val="24"/>
        </w:rPr>
      </w:pPr>
      <w:r w:rsidRPr="00FF1CCC">
        <w:rPr>
          <w:rFonts w:ascii="Arial" w:hAnsi="Arial" w:cs="Arial"/>
          <w:i/>
          <w:sz w:val="24"/>
        </w:rPr>
        <w:t>Source: VSHAWS, 2018, DET</w:t>
      </w:r>
    </w:p>
    <w:p w14:paraId="14ABE3BF" w14:textId="77777777" w:rsidR="00FF1CCC" w:rsidRDefault="00FF1CCC" w:rsidP="00B04AA9">
      <w:pPr>
        <w:rPr>
          <w:rFonts w:ascii="Arial" w:hAnsi="Arial" w:cs="Arial"/>
          <w:b/>
          <w:sz w:val="24"/>
        </w:rPr>
      </w:pPr>
      <w:r w:rsidRPr="00875C5F">
        <w:rPr>
          <w:rFonts w:ascii="Arial" w:hAnsi="Arial" w:cs="Arial"/>
          <w:b/>
          <w:sz w:val="24"/>
        </w:rPr>
        <w:t>Figure 7. Proportion of Victorian students (Years 8 &amp; 11) who perceive their academic ability as good or very good, by level of sleeping problems, 2018</w:t>
      </w:r>
    </w:p>
    <w:tbl>
      <w:tblPr>
        <w:tblStyle w:val="TableGrid"/>
        <w:tblW w:w="5000" w:type="pct"/>
        <w:tblLook w:val="04A0" w:firstRow="1" w:lastRow="0" w:firstColumn="1" w:lastColumn="0" w:noHBand="0" w:noVBand="1"/>
        <w:tblDescription w:val="This table provides information on the proportion of Victorian students (Years 8 &amp; 11) who perceive their academic ability as good or very good, by level of sleeping problems, 2018"/>
      </w:tblPr>
      <w:tblGrid>
        <w:gridCol w:w="1786"/>
        <w:gridCol w:w="2200"/>
        <w:gridCol w:w="2515"/>
        <w:gridCol w:w="2515"/>
      </w:tblGrid>
      <w:tr w:rsidR="00875C5F" w14:paraId="56B3D605" w14:textId="77777777" w:rsidTr="00875C5F">
        <w:trPr>
          <w:tblHeader/>
        </w:trPr>
        <w:tc>
          <w:tcPr>
            <w:tcW w:w="990" w:type="pct"/>
          </w:tcPr>
          <w:p w14:paraId="214CC359" w14:textId="77777777" w:rsidR="00875C5F" w:rsidRDefault="00875C5F" w:rsidP="007E21F5">
            <w:pPr>
              <w:rPr>
                <w:rFonts w:ascii="Arial" w:hAnsi="Arial" w:cs="Arial"/>
                <w:sz w:val="24"/>
              </w:rPr>
            </w:pPr>
          </w:p>
        </w:tc>
        <w:tc>
          <w:tcPr>
            <w:tcW w:w="1220" w:type="pct"/>
          </w:tcPr>
          <w:p w14:paraId="18EEE036" w14:textId="77777777" w:rsidR="00875C5F" w:rsidRDefault="00875C5F" w:rsidP="007E21F5">
            <w:pPr>
              <w:rPr>
                <w:rFonts w:ascii="Arial" w:hAnsi="Arial" w:cs="Arial"/>
                <w:sz w:val="24"/>
              </w:rPr>
            </w:pPr>
            <w:r>
              <w:rPr>
                <w:rFonts w:ascii="Arial" w:hAnsi="Arial" w:cs="Arial"/>
                <w:sz w:val="24"/>
              </w:rPr>
              <w:t>No sleep problems</w:t>
            </w:r>
          </w:p>
        </w:tc>
        <w:tc>
          <w:tcPr>
            <w:tcW w:w="1395" w:type="pct"/>
          </w:tcPr>
          <w:p w14:paraId="1F1C37E8" w14:textId="77777777" w:rsidR="00875C5F" w:rsidRDefault="00875C5F" w:rsidP="007E21F5">
            <w:pPr>
              <w:rPr>
                <w:rFonts w:ascii="Arial" w:hAnsi="Arial" w:cs="Arial"/>
                <w:sz w:val="24"/>
              </w:rPr>
            </w:pPr>
            <w:r w:rsidRPr="00875C5F">
              <w:rPr>
                <w:rFonts w:ascii="Arial" w:hAnsi="Arial" w:cs="Arial"/>
                <w:sz w:val="24"/>
              </w:rPr>
              <w:t>Sleep is 'a little bit' of a problem</w:t>
            </w:r>
          </w:p>
        </w:tc>
        <w:tc>
          <w:tcPr>
            <w:tcW w:w="1395" w:type="pct"/>
          </w:tcPr>
          <w:p w14:paraId="18999347" w14:textId="77777777" w:rsidR="00875C5F" w:rsidRDefault="00875C5F" w:rsidP="007E21F5">
            <w:pPr>
              <w:rPr>
                <w:rFonts w:ascii="Arial" w:hAnsi="Arial" w:cs="Arial"/>
                <w:sz w:val="24"/>
              </w:rPr>
            </w:pPr>
            <w:r w:rsidRPr="00875C5F">
              <w:rPr>
                <w:rFonts w:ascii="Arial" w:hAnsi="Arial" w:cs="Arial"/>
                <w:sz w:val="24"/>
              </w:rPr>
              <w:t>Sleep is 'a lot' of a problem</w:t>
            </w:r>
          </w:p>
        </w:tc>
      </w:tr>
      <w:tr w:rsidR="00875C5F" w14:paraId="20078019" w14:textId="77777777" w:rsidTr="00875C5F">
        <w:tc>
          <w:tcPr>
            <w:tcW w:w="990" w:type="pct"/>
          </w:tcPr>
          <w:p w14:paraId="4C2665BE" w14:textId="77777777" w:rsidR="00875C5F" w:rsidRDefault="00875C5F" w:rsidP="007E21F5">
            <w:pPr>
              <w:rPr>
                <w:rFonts w:ascii="Arial" w:hAnsi="Arial" w:cs="Arial"/>
                <w:sz w:val="24"/>
              </w:rPr>
            </w:pPr>
            <w:r>
              <w:rPr>
                <w:rFonts w:ascii="Arial" w:hAnsi="Arial" w:cs="Arial"/>
                <w:sz w:val="24"/>
              </w:rPr>
              <w:t>2018</w:t>
            </w:r>
          </w:p>
        </w:tc>
        <w:tc>
          <w:tcPr>
            <w:tcW w:w="1220" w:type="pct"/>
          </w:tcPr>
          <w:p w14:paraId="781A0163" w14:textId="77777777" w:rsidR="00875C5F" w:rsidRDefault="00875C5F" w:rsidP="007E21F5">
            <w:pPr>
              <w:rPr>
                <w:rFonts w:ascii="Arial" w:hAnsi="Arial" w:cs="Arial"/>
                <w:sz w:val="24"/>
              </w:rPr>
            </w:pPr>
            <w:r>
              <w:rPr>
                <w:rFonts w:ascii="Arial" w:hAnsi="Arial" w:cs="Arial"/>
                <w:sz w:val="24"/>
              </w:rPr>
              <w:t>56%</w:t>
            </w:r>
          </w:p>
        </w:tc>
        <w:tc>
          <w:tcPr>
            <w:tcW w:w="1395" w:type="pct"/>
          </w:tcPr>
          <w:p w14:paraId="18B42B3A" w14:textId="77777777" w:rsidR="00875C5F" w:rsidRDefault="00875C5F" w:rsidP="007E21F5">
            <w:pPr>
              <w:rPr>
                <w:rFonts w:ascii="Arial" w:hAnsi="Arial" w:cs="Arial"/>
                <w:sz w:val="24"/>
              </w:rPr>
            </w:pPr>
            <w:r>
              <w:rPr>
                <w:rFonts w:ascii="Arial" w:hAnsi="Arial" w:cs="Arial"/>
                <w:sz w:val="24"/>
              </w:rPr>
              <w:t>46%</w:t>
            </w:r>
          </w:p>
        </w:tc>
        <w:tc>
          <w:tcPr>
            <w:tcW w:w="1395" w:type="pct"/>
          </w:tcPr>
          <w:p w14:paraId="52EB1813" w14:textId="77777777" w:rsidR="00875C5F" w:rsidRDefault="00875C5F" w:rsidP="00875C5F">
            <w:pPr>
              <w:rPr>
                <w:rFonts w:ascii="Arial" w:hAnsi="Arial" w:cs="Arial"/>
                <w:sz w:val="24"/>
              </w:rPr>
            </w:pPr>
            <w:r>
              <w:rPr>
                <w:rFonts w:ascii="Arial" w:hAnsi="Arial" w:cs="Arial"/>
                <w:sz w:val="24"/>
              </w:rPr>
              <w:t>38%</w:t>
            </w:r>
          </w:p>
        </w:tc>
      </w:tr>
    </w:tbl>
    <w:p w14:paraId="5ACA07D6" w14:textId="77777777" w:rsidR="00FF1CCC" w:rsidRDefault="00FF1CCC" w:rsidP="00FF1CCC">
      <w:pPr>
        <w:rPr>
          <w:rFonts w:ascii="Arial" w:hAnsi="Arial" w:cs="Arial"/>
          <w:i/>
          <w:sz w:val="24"/>
        </w:rPr>
      </w:pPr>
      <w:r w:rsidRPr="00FF1CCC">
        <w:rPr>
          <w:rFonts w:ascii="Arial" w:hAnsi="Arial" w:cs="Arial"/>
          <w:i/>
          <w:sz w:val="24"/>
        </w:rPr>
        <w:t>Source: VSHAWS, 2018, DET</w:t>
      </w:r>
    </w:p>
    <w:p w14:paraId="139B84E5" w14:textId="77777777" w:rsidR="00F3142B" w:rsidRPr="00F3142B" w:rsidRDefault="00F3142B" w:rsidP="00293A5F">
      <w:pPr>
        <w:pBdr>
          <w:top w:val="single" w:sz="4" w:space="1" w:color="auto"/>
          <w:left w:val="single" w:sz="4" w:space="1" w:color="auto"/>
          <w:bottom w:val="single" w:sz="4" w:space="1" w:color="auto"/>
          <w:right w:val="single" w:sz="4" w:space="1" w:color="auto"/>
        </w:pBdr>
        <w:rPr>
          <w:rFonts w:ascii="Arial" w:hAnsi="Arial" w:cs="Arial"/>
          <w:b/>
          <w:sz w:val="24"/>
        </w:rPr>
      </w:pPr>
      <w:r w:rsidRPr="00F3142B">
        <w:rPr>
          <w:rFonts w:ascii="Arial" w:hAnsi="Arial" w:cs="Arial"/>
          <w:b/>
          <w:sz w:val="24"/>
        </w:rPr>
        <w:t>Programs Supporting Physical Health in Victoria</w:t>
      </w:r>
    </w:p>
    <w:p w14:paraId="50460B19" w14:textId="77777777" w:rsidR="00F3142B" w:rsidRPr="00F3142B" w:rsidRDefault="00F3142B" w:rsidP="00293A5F">
      <w:pPr>
        <w:pBdr>
          <w:top w:val="single" w:sz="4" w:space="1" w:color="auto"/>
          <w:left w:val="single" w:sz="4" w:space="1" w:color="auto"/>
          <w:bottom w:val="single" w:sz="4" w:space="1" w:color="auto"/>
          <w:right w:val="single" w:sz="4" w:space="1" w:color="auto"/>
        </w:pBdr>
        <w:rPr>
          <w:rFonts w:ascii="Arial" w:hAnsi="Arial" w:cs="Arial"/>
          <w:sz w:val="24"/>
        </w:rPr>
      </w:pPr>
      <w:r w:rsidRPr="00F3142B">
        <w:rPr>
          <w:rFonts w:ascii="Arial" w:hAnsi="Arial" w:cs="Arial"/>
          <w:sz w:val="24"/>
        </w:rPr>
        <w:t>The DET Doctors in Secondary Schools program provides funding for general practitioners to attend up to 100 Victorian government secondary schools for up to one day a week. The GPs provide medical advice and health care to those students most in need.</w:t>
      </w:r>
    </w:p>
    <w:p w14:paraId="2A24A9FB" w14:textId="77777777" w:rsidR="00F3142B" w:rsidRPr="00F3142B" w:rsidRDefault="00F3142B" w:rsidP="00293A5F">
      <w:pPr>
        <w:pBdr>
          <w:top w:val="single" w:sz="4" w:space="1" w:color="auto"/>
          <w:left w:val="single" w:sz="4" w:space="1" w:color="auto"/>
          <w:bottom w:val="single" w:sz="4" w:space="1" w:color="auto"/>
          <w:right w:val="single" w:sz="4" w:space="1" w:color="auto"/>
        </w:pBdr>
        <w:rPr>
          <w:rFonts w:ascii="Arial" w:hAnsi="Arial" w:cs="Arial"/>
          <w:sz w:val="24"/>
        </w:rPr>
      </w:pPr>
      <w:r w:rsidRPr="00F3142B">
        <w:rPr>
          <w:rFonts w:ascii="Arial" w:hAnsi="Arial" w:cs="Arial"/>
          <w:sz w:val="24"/>
        </w:rPr>
        <w:t>Between April 2017 and December 2018 the program funded 15,549 visits.</w:t>
      </w:r>
      <w:r w:rsidR="00980CB2">
        <w:rPr>
          <w:rFonts w:ascii="Arial" w:hAnsi="Arial" w:cs="Arial"/>
          <w:sz w:val="24"/>
        </w:rPr>
        <w:t xml:space="preserve"> </w:t>
      </w:r>
      <w:r w:rsidRPr="00F3142B">
        <w:rPr>
          <w:rFonts w:ascii="Arial" w:hAnsi="Arial" w:cs="Arial"/>
          <w:sz w:val="24"/>
        </w:rPr>
        <w:t>Usage data shows that 40 per cent of these visits were for mental health reasons, compared to 46 per cent of visits for physical health.</w:t>
      </w:r>
    </w:p>
    <w:p w14:paraId="5B99CB3D" w14:textId="77777777" w:rsidR="00F3142B" w:rsidRPr="00F3142B" w:rsidRDefault="00F3142B" w:rsidP="00293A5F">
      <w:pPr>
        <w:pBdr>
          <w:top w:val="single" w:sz="4" w:space="1" w:color="auto"/>
          <w:left w:val="single" w:sz="4" w:space="1" w:color="auto"/>
          <w:bottom w:val="single" w:sz="4" w:space="1" w:color="auto"/>
          <w:right w:val="single" w:sz="4" w:space="1" w:color="auto"/>
        </w:pBdr>
        <w:rPr>
          <w:rFonts w:ascii="Arial" w:hAnsi="Arial" w:cs="Arial"/>
          <w:sz w:val="24"/>
        </w:rPr>
      </w:pPr>
      <w:r w:rsidRPr="00F3142B">
        <w:rPr>
          <w:rFonts w:ascii="Arial" w:hAnsi="Arial" w:cs="Arial"/>
          <w:sz w:val="24"/>
        </w:rPr>
        <w:t>The Secondary School Nursing Program (SSNP) aims to reduce health risks to young people and promote better health in the wider community. Approximately two-thirds of government secondary schools participate in the SSNP with the program targeted to Victoria’s most disadvantaged schools.</w:t>
      </w:r>
    </w:p>
    <w:p w14:paraId="3616C0D2" w14:textId="77777777" w:rsidR="00F3142B" w:rsidRPr="00F3142B" w:rsidRDefault="00F3142B" w:rsidP="00293A5F">
      <w:pPr>
        <w:pBdr>
          <w:top w:val="single" w:sz="4" w:space="1" w:color="auto"/>
          <w:left w:val="single" w:sz="4" w:space="1" w:color="auto"/>
          <w:bottom w:val="single" w:sz="4" w:space="1" w:color="auto"/>
          <w:right w:val="single" w:sz="4" w:space="1" w:color="auto"/>
        </w:pBdr>
        <w:rPr>
          <w:rFonts w:ascii="Arial" w:hAnsi="Arial" w:cs="Arial"/>
          <w:sz w:val="24"/>
        </w:rPr>
      </w:pPr>
      <w:r w:rsidRPr="00F3142B">
        <w:rPr>
          <w:rFonts w:ascii="Arial" w:hAnsi="Arial" w:cs="Arial"/>
          <w:sz w:val="24"/>
        </w:rPr>
        <w:t>The goals of the SSNP are to:</w:t>
      </w:r>
    </w:p>
    <w:p w14:paraId="21F01414" w14:textId="77777777" w:rsidR="00F3142B" w:rsidRPr="00F3142B" w:rsidRDefault="00F3142B" w:rsidP="00293A5F">
      <w:pPr>
        <w:pBdr>
          <w:top w:val="single" w:sz="4" w:space="1" w:color="auto"/>
          <w:left w:val="single" w:sz="4" w:space="1" w:color="auto"/>
          <w:bottom w:val="single" w:sz="4" w:space="1" w:color="auto"/>
          <w:right w:val="single" w:sz="4" w:space="1" w:color="auto"/>
        </w:pBdr>
        <w:rPr>
          <w:rFonts w:ascii="Arial" w:hAnsi="Arial" w:cs="Arial"/>
          <w:sz w:val="24"/>
        </w:rPr>
      </w:pPr>
      <w:r w:rsidRPr="00F3142B">
        <w:rPr>
          <w:rFonts w:ascii="Arial" w:hAnsi="Arial" w:cs="Arial"/>
          <w:sz w:val="24"/>
        </w:rPr>
        <w:t>• play a key role in reducing negative health outcomes and risk-taking behaviours among young people, including drug and alcohol abuse, tobacco smoking, eating disorders, obesity, depression, suicide and injuries</w:t>
      </w:r>
    </w:p>
    <w:p w14:paraId="123F0A4D" w14:textId="77777777" w:rsidR="00F3142B" w:rsidRPr="00F3142B" w:rsidRDefault="00F3142B" w:rsidP="00293A5F">
      <w:pPr>
        <w:pBdr>
          <w:top w:val="single" w:sz="4" w:space="1" w:color="auto"/>
          <w:left w:val="single" w:sz="4" w:space="1" w:color="auto"/>
          <w:bottom w:val="single" w:sz="4" w:space="1" w:color="auto"/>
          <w:right w:val="single" w:sz="4" w:space="1" w:color="auto"/>
        </w:pBdr>
        <w:rPr>
          <w:rFonts w:ascii="Arial" w:hAnsi="Arial" w:cs="Arial"/>
          <w:sz w:val="24"/>
        </w:rPr>
      </w:pPr>
      <w:r w:rsidRPr="00F3142B">
        <w:rPr>
          <w:rFonts w:ascii="Arial" w:hAnsi="Arial" w:cs="Arial"/>
          <w:sz w:val="24"/>
        </w:rPr>
        <w:lastRenderedPageBreak/>
        <w:t>• focus on prevention of ill health and problem behaviours by ensuring coordination between the school and community-based health and support services</w:t>
      </w:r>
    </w:p>
    <w:p w14:paraId="177AE6F2" w14:textId="77777777" w:rsidR="00F3142B" w:rsidRPr="00F3142B" w:rsidRDefault="00F3142B" w:rsidP="00293A5F">
      <w:pPr>
        <w:pBdr>
          <w:top w:val="single" w:sz="4" w:space="1" w:color="auto"/>
          <w:left w:val="single" w:sz="4" w:space="1" w:color="auto"/>
          <w:bottom w:val="single" w:sz="4" w:space="1" w:color="auto"/>
          <w:right w:val="single" w:sz="4" w:space="1" w:color="auto"/>
        </w:pBdr>
        <w:rPr>
          <w:rFonts w:ascii="Arial" w:hAnsi="Arial" w:cs="Arial"/>
          <w:sz w:val="24"/>
        </w:rPr>
      </w:pPr>
      <w:r w:rsidRPr="00F3142B">
        <w:rPr>
          <w:rFonts w:ascii="Arial" w:hAnsi="Arial" w:cs="Arial"/>
          <w:sz w:val="24"/>
        </w:rPr>
        <w:t>• support the school community in addressing contemporary health and social issues facing young people and their families</w:t>
      </w:r>
    </w:p>
    <w:p w14:paraId="60FA8384" w14:textId="77777777" w:rsidR="00F3142B" w:rsidRPr="00F3142B" w:rsidRDefault="00F3142B" w:rsidP="00293A5F">
      <w:pPr>
        <w:pBdr>
          <w:top w:val="single" w:sz="4" w:space="1" w:color="auto"/>
          <w:left w:val="single" w:sz="4" w:space="1" w:color="auto"/>
          <w:bottom w:val="single" w:sz="4" w:space="1" w:color="auto"/>
          <w:right w:val="single" w:sz="4" w:space="1" w:color="auto"/>
        </w:pBdr>
        <w:rPr>
          <w:rFonts w:ascii="Arial" w:hAnsi="Arial" w:cs="Arial"/>
          <w:sz w:val="24"/>
        </w:rPr>
      </w:pPr>
      <w:r w:rsidRPr="00F3142B">
        <w:rPr>
          <w:rFonts w:ascii="Arial" w:hAnsi="Arial" w:cs="Arial"/>
          <w:sz w:val="24"/>
        </w:rPr>
        <w:t>• provide appropriate primary health care through professional clinical nursing, including assessment, care, referral and support</w:t>
      </w:r>
    </w:p>
    <w:p w14:paraId="0594423D" w14:textId="77777777" w:rsidR="00293A5F" w:rsidRDefault="00F3142B" w:rsidP="00293A5F">
      <w:pPr>
        <w:pBdr>
          <w:top w:val="single" w:sz="4" w:space="1" w:color="auto"/>
          <w:left w:val="single" w:sz="4" w:space="1" w:color="auto"/>
          <w:bottom w:val="single" w:sz="4" w:space="1" w:color="auto"/>
          <w:right w:val="single" w:sz="4" w:space="1" w:color="auto"/>
        </w:pBdr>
        <w:rPr>
          <w:rFonts w:ascii="Arial" w:hAnsi="Arial" w:cs="Arial"/>
          <w:sz w:val="24"/>
        </w:rPr>
      </w:pPr>
      <w:r w:rsidRPr="00F3142B">
        <w:rPr>
          <w:rFonts w:ascii="Arial" w:hAnsi="Arial" w:cs="Arial"/>
          <w:sz w:val="24"/>
        </w:rPr>
        <w:t>• establish collaborative working relationships between primary and secondary school nurses to assist young people in their transition to secondary school. Secondary school nurses are employed through DET regional offices, with most nurses allocated to two secondary schools</w:t>
      </w:r>
      <w:r>
        <w:rPr>
          <w:rFonts w:ascii="Arial" w:hAnsi="Arial" w:cs="Arial"/>
          <w:sz w:val="24"/>
        </w:rPr>
        <w:t>.</w:t>
      </w:r>
    </w:p>
    <w:p w14:paraId="23BDC520" w14:textId="77777777" w:rsidR="00293A5F" w:rsidRPr="002F3BD4" w:rsidRDefault="00293A5F" w:rsidP="002F3BD4">
      <w:pPr>
        <w:pStyle w:val="Heading3"/>
        <w:rPr>
          <w:rFonts w:ascii="Arial" w:hAnsi="Arial" w:cs="Arial"/>
          <w:color w:val="auto"/>
          <w:sz w:val="24"/>
        </w:rPr>
      </w:pPr>
      <w:bookmarkStart w:id="18" w:name="_Toc33527743"/>
      <w:r w:rsidRPr="002F3BD4">
        <w:rPr>
          <w:rFonts w:ascii="Arial" w:hAnsi="Arial" w:cs="Arial"/>
          <w:color w:val="auto"/>
          <w:sz w:val="24"/>
        </w:rPr>
        <w:t>2.9</w:t>
      </w:r>
      <w:r w:rsidRPr="002F3BD4">
        <w:rPr>
          <w:rFonts w:ascii="Arial" w:hAnsi="Arial" w:cs="Arial"/>
          <w:color w:val="auto"/>
          <w:sz w:val="24"/>
        </w:rPr>
        <w:tab/>
        <w:t>Lower rates of adolescents are regularly smoking, drinking, and using drugs</w:t>
      </w:r>
      <w:bookmarkEnd w:id="18"/>
    </w:p>
    <w:p w14:paraId="4240217C" w14:textId="77777777" w:rsidR="00293A5F" w:rsidRDefault="00293A5F" w:rsidP="00293A5F">
      <w:pPr>
        <w:rPr>
          <w:rFonts w:ascii="Arial" w:hAnsi="Arial" w:cs="Arial"/>
          <w:sz w:val="24"/>
        </w:rPr>
      </w:pPr>
      <w:r w:rsidRPr="00293A5F">
        <w:rPr>
          <w:rFonts w:ascii="Arial" w:hAnsi="Arial" w:cs="Arial"/>
          <w:sz w:val="24"/>
        </w:rPr>
        <w:t>Late childhood and adolescence can also be a time when risk-taking and antisocial behaviours begin to emerge. Risky behaviours can have life-long consequences, and are associated with poorer health, social development and educational outcomes, particularly in situations where these behaviours lead to interactions with police and the youth justice system. Evidence explored in the following sections, however, shows that the rates of Victorian adolescents engaging in risky behaviours such as smoking, drinking, drug taking and unsafe sexual practices are trending down. At the same time, expressions of poor mental health, including reports of psychological distress and access to subsidised mental health services, are increasing.</w:t>
      </w:r>
    </w:p>
    <w:p w14:paraId="3151691D" w14:textId="77777777" w:rsidR="00293A5F" w:rsidRDefault="009C2A29" w:rsidP="00293A5F">
      <w:pPr>
        <w:rPr>
          <w:rFonts w:ascii="Arial" w:hAnsi="Arial" w:cs="Arial"/>
          <w:sz w:val="24"/>
        </w:rPr>
      </w:pPr>
      <w:r w:rsidRPr="009C2A29">
        <w:rPr>
          <w:rFonts w:ascii="Arial" w:hAnsi="Arial" w:cs="Arial"/>
          <w:sz w:val="24"/>
        </w:rPr>
        <w:t>Risk-taking behaviours such as smoking, alcohol and drug use have clear implications for future health outcomes, including risks of cancer, cardiovascular disease, and injury or death caused by accident (e.g. by a vehicle accident) or violence. These behaviours have a pronounced social dimension, with adolescents more likely to smoke or drink if their friends are also engaging in these activities.</w:t>
      </w:r>
    </w:p>
    <w:p w14:paraId="1B3A59ED" w14:textId="77777777" w:rsidR="00ED572C" w:rsidRPr="00ED572C" w:rsidRDefault="00ED572C" w:rsidP="00ED572C">
      <w:pPr>
        <w:pBdr>
          <w:top w:val="single" w:sz="4" w:space="1" w:color="auto"/>
          <w:left w:val="single" w:sz="4" w:space="4" w:color="auto"/>
          <w:bottom w:val="single" w:sz="4" w:space="1" w:color="auto"/>
          <w:right w:val="single" w:sz="4" w:space="4" w:color="auto"/>
        </w:pBdr>
        <w:rPr>
          <w:rFonts w:ascii="Arial" w:hAnsi="Arial" w:cs="Arial"/>
          <w:b/>
          <w:sz w:val="24"/>
        </w:rPr>
      </w:pPr>
      <w:r w:rsidRPr="00ED572C">
        <w:rPr>
          <w:rFonts w:ascii="Arial" w:hAnsi="Arial" w:cs="Arial"/>
          <w:b/>
          <w:sz w:val="24"/>
        </w:rPr>
        <w:t>Predictors of Risky Behaviours in Adolescence</w:t>
      </w:r>
    </w:p>
    <w:p w14:paraId="28988B27" w14:textId="77777777" w:rsidR="00ED572C" w:rsidRPr="00ED572C" w:rsidRDefault="00ED572C" w:rsidP="00ED572C">
      <w:pPr>
        <w:pBdr>
          <w:top w:val="single" w:sz="4" w:space="1" w:color="auto"/>
          <w:left w:val="single" w:sz="4" w:space="4" w:color="auto"/>
          <w:bottom w:val="single" w:sz="4" w:space="1" w:color="auto"/>
          <w:right w:val="single" w:sz="4" w:space="4" w:color="auto"/>
        </w:pBdr>
        <w:rPr>
          <w:rFonts w:ascii="Arial" w:hAnsi="Arial" w:cs="Arial"/>
          <w:sz w:val="24"/>
        </w:rPr>
      </w:pPr>
      <w:r w:rsidRPr="00ED572C">
        <w:rPr>
          <w:rFonts w:ascii="Arial" w:hAnsi="Arial" w:cs="Arial"/>
          <w:sz w:val="24"/>
        </w:rPr>
        <w:t>Cognitive and social factors motivate and reinforce young people’s tendency to experiment during adolescence with risk-taking behaviours, such as substance use and abuse. These psychological factors are embedded within an adolescent’s development, and are important because they explain much of the risk-taking behaviour that characterises some adolescent development patterns. Although risk-taking and health-compromising behaviour is not confined to adolescence, the onset of many behavioural patterns in the teenage years can, in some cases, be used to predict the progression of further problematic substance abuse and greater risk taking (Scriven &amp; Stevenson, 1998).</w:t>
      </w:r>
    </w:p>
    <w:p w14:paraId="7F1F1787" w14:textId="77777777" w:rsidR="009C2A29" w:rsidRDefault="00ED572C" w:rsidP="00ED572C">
      <w:pPr>
        <w:pBdr>
          <w:top w:val="single" w:sz="4" w:space="1" w:color="auto"/>
          <w:left w:val="single" w:sz="4" w:space="4" w:color="auto"/>
          <w:bottom w:val="single" w:sz="4" w:space="1" w:color="auto"/>
          <w:right w:val="single" w:sz="4" w:space="4" w:color="auto"/>
        </w:pBdr>
        <w:rPr>
          <w:rFonts w:ascii="Arial" w:hAnsi="Arial" w:cs="Arial"/>
          <w:sz w:val="24"/>
        </w:rPr>
      </w:pPr>
      <w:r w:rsidRPr="00ED572C">
        <w:rPr>
          <w:rFonts w:ascii="Arial" w:hAnsi="Arial" w:cs="Arial"/>
          <w:sz w:val="24"/>
        </w:rPr>
        <w:lastRenderedPageBreak/>
        <w:t>Common predisposing factors for substance use disorders include experiences of trauma (e.g. sexual or physical abuse or neglect), parental dysfunction (e.g. substance use, psychopathology, violent and aggressive parental relationships), and low socioeconomic backgrounds. These experiences often precede problem behaviours in adolescents, such as impulsivity, aggression, and risk-taking, and consequentially</w:t>
      </w:r>
      <w:r>
        <w:rPr>
          <w:rFonts w:ascii="Arial" w:hAnsi="Arial" w:cs="Arial"/>
          <w:sz w:val="24"/>
        </w:rPr>
        <w:t xml:space="preserve"> </w:t>
      </w:r>
      <w:r w:rsidRPr="00ED572C">
        <w:rPr>
          <w:rFonts w:ascii="Arial" w:hAnsi="Arial" w:cs="Arial"/>
          <w:sz w:val="24"/>
        </w:rPr>
        <w:t>need to be addressed through an appropriate therapeutic intervention. A multifaceted approach is required to support adolescents in mitigating the effect of the wide variety of factors that can influence substance-use disorders (Northam &amp; Magor-Blatch, 2016). However, it is important to note that not all people exposed to predisposing factors (such as trauma, parental dysfunction and low socioeconomic status) experience substance-use disorders and problematic behaviours.</w:t>
      </w:r>
    </w:p>
    <w:p w14:paraId="66D6975E" w14:textId="77777777" w:rsidR="00420AF4" w:rsidRPr="00B540DC" w:rsidRDefault="00420AF4" w:rsidP="00B540DC">
      <w:pPr>
        <w:pStyle w:val="Heading4"/>
        <w:rPr>
          <w:rFonts w:ascii="Arial" w:hAnsi="Arial" w:cs="Arial"/>
          <w:color w:val="auto"/>
          <w:sz w:val="24"/>
        </w:rPr>
      </w:pPr>
      <w:r w:rsidRPr="00B540DC">
        <w:rPr>
          <w:rFonts w:ascii="Arial" w:hAnsi="Arial" w:cs="Arial"/>
          <w:color w:val="auto"/>
          <w:sz w:val="24"/>
        </w:rPr>
        <w:t>2.9.1</w:t>
      </w:r>
      <w:r w:rsidRPr="00B540DC">
        <w:rPr>
          <w:rFonts w:ascii="Arial" w:hAnsi="Arial" w:cs="Arial"/>
          <w:color w:val="auto"/>
          <w:sz w:val="24"/>
        </w:rPr>
        <w:tab/>
        <w:t>A lower rate of adolescents smoke regularly</w:t>
      </w:r>
    </w:p>
    <w:p w14:paraId="5179DEC5" w14:textId="77777777" w:rsidR="00420AF4" w:rsidRPr="00420AF4" w:rsidRDefault="00420AF4" w:rsidP="00420AF4">
      <w:pPr>
        <w:rPr>
          <w:rFonts w:ascii="Arial" w:hAnsi="Arial" w:cs="Arial"/>
          <w:sz w:val="24"/>
        </w:rPr>
      </w:pPr>
      <w:r w:rsidRPr="00420AF4">
        <w:rPr>
          <w:rFonts w:ascii="Arial" w:hAnsi="Arial" w:cs="Arial"/>
          <w:sz w:val="24"/>
        </w:rPr>
        <w:t>People who begin smoking at a young age not only risk short-term health consequences, such as respiratory effects, addiction to nicotine and risk of other drug use, but are also more likely to create a habit that will continue into adulthood. Studies have found that adolescent smokers can show early signs of heart disease, have a resting heart rate two to three beats per minute faster than non-smokers and are at greater risk of lung cancer (World Health Organization, 2018).</w:t>
      </w:r>
    </w:p>
    <w:p w14:paraId="4B63FB71" w14:textId="77777777" w:rsidR="00420AF4" w:rsidRPr="00582A1F" w:rsidRDefault="00420AF4" w:rsidP="00420AF4">
      <w:pPr>
        <w:rPr>
          <w:rFonts w:ascii="Arial" w:hAnsi="Arial" w:cs="Arial"/>
          <w:sz w:val="24"/>
        </w:rPr>
      </w:pPr>
      <w:r w:rsidRPr="00420AF4">
        <w:rPr>
          <w:rFonts w:ascii="Arial" w:hAnsi="Arial" w:cs="Arial"/>
          <w:sz w:val="24"/>
        </w:rPr>
        <w:t>Results from VSHAWS 2018 show that the proportion of Victorian adolescents (Years 8 and 11) who report that they currently smoke tobacco has declined over the last five years. In 2018, 7 per cent of adolescents reported smoking in the last 30 days,</w:t>
      </w:r>
      <w:r>
        <w:rPr>
          <w:rFonts w:ascii="Arial" w:hAnsi="Arial" w:cs="Arial"/>
          <w:sz w:val="24"/>
        </w:rPr>
        <w:t xml:space="preserve"> </w:t>
      </w:r>
      <w:r w:rsidRPr="00420AF4">
        <w:rPr>
          <w:rFonts w:ascii="Arial" w:hAnsi="Arial" w:cs="Arial"/>
          <w:sz w:val="24"/>
        </w:rPr>
        <w:t xml:space="preserve">compared to 11 per cent in 2014. This reduction in smoking has been led by </w:t>
      </w:r>
      <w:r w:rsidRPr="00582A1F">
        <w:rPr>
          <w:rFonts w:ascii="Arial" w:hAnsi="Arial" w:cs="Arial"/>
          <w:sz w:val="24"/>
        </w:rPr>
        <w:t>the decline in Year 11s smoking, from 20 per cent in 2014 to 13 per cent in 2018.</w:t>
      </w:r>
    </w:p>
    <w:p w14:paraId="55B1E9A7" w14:textId="77777777" w:rsidR="00420AF4" w:rsidRDefault="00420AF4" w:rsidP="00420AF4">
      <w:pPr>
        <w:rPr>
          <w:rFonts w:ascii="Arial" w:hAnsi="Arial" w:cs="Arial"/>
          <w:b/>
          <w:sz w:val="24"/>
        </w:rPr>
      </w:pPr>
      <w:r w:rsidRPr="00582A1F">
        <w:rPr>
          <w:rFonts w:ascii="Arial" w:hAnsi="Arial" w:cs="Arial"/>
          <w:b/>
          <w:sz w:val="24"/>
        </w:rPr>
        <w:t>Figure 8. Proportion of Victorian students (Years 8 &amp; 11) who are current smokers by year level, 2014-2018</w:t>
      </w:r>
    </w:p>
    <w:tbl>
      <w:tblPr>
        <w:tblStyle w:val="TableGrid"/>
        <w:tblW w:w="5000" w:type="pct"/>
        <w:tblLook w:val="04A0" w:firstRow="1" w:lastRow="0" w:firstColumn="1" w:lastColumn="0" w:noHBand="0" w:noVBand="1"/>
        <w:tblDescription w:val="This table provides information on the proportion of Victorian students (Years 8 &amp; 11) who are current smokers by year level, 2014-2018"/>
      </w:tblPr>
      <w:tblGrid>
        <w:gridCol w:w="2476"/>
        <w:gridCol w:w="3051"/>
        <w:gridCol w:w="3489"/>
      </w:tblGrid>
      <w:tr w:rsidR="00582A1F" w14:paraId="147C93BB" w14:textId="77777777" w:rsidTr="00582A1F">
        <w:trPr>
          <w:tblHeader/>
        </w:trPr>
        <w:tc>
          <w:tcPr>
            <w:tcW w:w="1373" w:type="pct"/>
          </w:tcPr>
          <w:p w14:paraId="255D9013" w14:textId="77777777" w:rsidR="00582A1F" w:rsidRDefault="00582A1F" w:rsidP="007E21F5">
            <w:pPr>
              <w:rPr>
                <w:rFonts w:ascii="Arial" w:hAnsi="Arial" w:cs="Arial"/>
                <w:sz w:val="24"/>
              </w:rPr>
            </w:pPr>
          </w:p>
        </w:tc>
        <w:tc>
          <w:tcPr>
            <w:tcW w:w="1692" w:type="pct"/>
          </w:tcPr>
          <w:p w14:paraId="116CEBAB" w14:textId="77777777" w:rsidR="00582A1F" w:rsidRDefault="00582A1F" w:rsidP="007E21F5">
            <w:pPr>
              <w:rPr>
                <w:rFonts w:ascii="Arial" w:hAnsi="Arial" w:cs="Arial"/>
                <w:sz w:val="24"/>
              </w:rPr>
            </w:pPr>
            <w:r>
              <w:rPr>
                <w:rFonts w:ascii="Arial" w:hAnsi="Arial" w:cs="Arial"/>
                <w:sz w:val="24"/>
              </w:rPr>
              <w:t>Year 8</w:t>
            </w:r>
          </w:p>
        </w:tc>
        <w:tc>
          <w:tcPr>
            <w:tcW w:w="1935" w:type="pct"/>
          </w:tcPr>
          <w:p w14:paraId="1A99AC88" w14:textId="77777777" w:rsidR="00582A1F" w:rsidRDefault="00582A1F" w:rsidP="007E21F5">
            <w:pPr>
              <w:rPr>
                <w:rFonts w:ascii="Arial" w:hAnsi="Arial" w:cs="Arial"/>
                <w:sz w:val="24"/>
              </w:rPr>
            </w:pPr>
            <w:r>
              <w:rPr>
                <w:rFonts w:ascii="Arial" w:hAnsi="Arial" w:cs="Arial"/>
                <w:sz w:val="24"/>
              </w:rPr>
              <w:t>Year 11</w:t>
            </w:r>
          </w:p>
        </w:tc>
      </w:tr>
      <w:tr w:rsidR="00582A1F" w14:paraId="31717D3B" w14:textId="77777777" w:rsidTr="00582A1F">
        <w:tc>
          <w:tcPr>
            <w:tcW w:w="1373" w:type="pct"/>
          </w:tcPr>
          <w:p w14:paraId="0A3C3ADD" w14:textId="77777777" w:rsidR="00582A1F" w:rsidRDefault="00582A1F" w:rsidP="007E21F5">
            <w:pPr>
              <w:rPr>
                <w:rFonts w:ascii="Arial" w:hAnsi="Arial" w:cs="Arial"/>
                <w:sz w:val="24"/>
              </w:rPr>
            </w:pPr>
            <w:r>
              <w:rPr>
                <w:rFonts w:ascii="Arial" w:hAnsi="Arial" w:cs="Arial"/>
                <w:sz w:val="24"/>
              </w:rPr>
              <w:t>2014</w:t>
            </w:r>
          </w:p>
        </w:tc>
        <w:tc>
          <w:tcPr>
            <w:tcW w:w="1692" w:type="pct"/>
          </w:tcPr>
          <w:p w14:paraId="43AAE02A" w14:textId="77777777" w:rsidR="00582A1F" w:rsidRDefault="00582A1F" w:rsidP="007E21F5">
            <w:pPr>
              <w:rPr>
                <w:rFonts w:ascii="Arial" w:hAnsi="Arial" w:cs="Arial"/>
                <w:sz w:val="24"/>
              </w:rPr>
            </w:pPr>
            <w:r>
              <w:rPr>
                <w:rFonts w:ascii="Arial" w:hAnsi="Arial" w:cs="Arial"/>
                <w:sz w:val="24"/>
              </w:rPr>
              <w:t>4%</w:t>
            </w:r>
          </w:p>
        </w:tc>
        <w:tc>
          <w:tcPr>
            <w:tcW w:w="1935" w:type="pct"/>
          </w:tcPr>
          <w:p w14:paraId="0D6687B9" w14:textId="77777777" w:rsidR="00582A1F" w:rsidRDefault="00582A1F" w:rsidP="007E21F5">
            <w:pPr>
              <w:rPr>
                <w:rFonts w:ascii="Arial" w:hAnsi="Arial" w:cs="Arial"/>
                <w:sz w:val="24"/>
              </w:rPr>
            </w:pPr>
            <w:r>
              <w:rPr>
                <w:rFonts w:ascii="Arial" w:hAnsi="Arial" w:cs="Arial"/>
                <w:sz w:val="24"/>
              </w:rPr>
              <w:t>20%</w:t>
            </w:r>
          </w:p>
        </w:tc>
      </w:tr>
      <w:tr w:rsidR="00582A1F" w14:paraId="44FCAEE0" w14:textId="77777777" w:rsidTr="00582A1F">
        <w:tc>
          <w:tcPr>
            <w:tcW w:w="1373" w:type="pct"/>
          </w:tcPr>
          <w:p w14:paraId="69DDFCAC" w14:textId="77777777" w:rsidR="00582A1F" w:rsidRDefault="00582A1F" w:rsidP="007E21F5">
            <w:pPr>
              <w:rPr>
                <w:rFonts w:ascii="Arial" w:hAnsi="Arial" w:cs="Arial"/>
                <w:sz w:val="24"/>
              </w:rPr>
            </w:pPr>
            <w:r>
              <w:rPr>
                <w:rFonts w:ascii="Arial" w:hAnsi="Arial" w:cs="Arial"/>
                <w:sz w:val="24"/>
              </w:rPr>
              <w:t>2016</w:t>
            </w:r>
          </w:p>
        </w:tc>
        <w:tc>
          <w:tcPr>
            <w:tcW w:w="1692" w:type="pct"/>
          </w:tcPr>
          <w:p w14:paraId="04335430" w14:textId="77777777" w:rsidR="00582A1F" w:rsidRDefault="00582A1F" w:rsidP="007E21F5">
            <w:pPr>
              <w:rPr>
                <w:rFonts w:ascii="Arial" w:hAnsi="Arial" w:cs="Arial"/>
                <w:sz w:val="24"/>
              </w:rPr>
            </w:pPr>
            <w:r>
              <w:rPr>
                <w:rFonts w:ascii="Arial" w:hAnsi="Arial" w:cs="Arial"/>
                <w:sz w:val="24"/>
              </w:rPr>
              <w:t>3%</w:t>
            </w:r>
          </w:p>
        </w:tc>
        <w:tc>
          <w:tcPr>
            <w:tcW w:w="1935" w:type="pct"/>
          </w:tcPr>
          <w:p w14:paraId="40317906" w14:textId="77777777" w:rsidR="00582A1F" w:rsidRDefault="00582A1F" w:rsidP="007E21F5">
            <w:pPr>
              <w:rPr>
                <w:rFonts w:ascii="Arial" w:hAnsi="Arial" w:cs="Arial"/>
                <w:sz w:val="24"/>
              </w:rPr>
            </w:pPr>
            <w:r>
              <w:rPr>
                <w:rFonts w:ascii="Arial" w:hAnsi="Arial" w:cs="Arial"/>
                <w:sz w:val="24"/>
              </w:rPr>
              <w:t>16%</w:t>
            </w:r>
          </w:p>
        </w:tc>
      </w:tr>
      <w:tr w:rsidR="00582A1F" w14:paraId="1B141E86" w14:textId="77777777" w:rsidTr="00582A1F">
        <w:tc>
          <w:tcPr>
            <w:tcW w:w="1373" w:type="pct"/>
          </w:tcPr>
          <w:p w14:paraId="2CCD9D18" w14:textId="77777777" w:rsidR="00582A1F" w:rsidRDefault="00582A1F" w:rsidP="007E21F5">
            <w:pPr>
              <w:rPr>
                <w:rFonts w:ascii="Arial" w:hAnsi="Arial" w:cs="Arial"/>
                <w:sz w:val="24"/>
              </w:rPr>
            </w:pPr>
            <w:r>
              <w:rPr>
                <w:rFonts w:ascii="Arial" w:hAnsi="Arial" w:cs="Arial"/>
                <w:sz w:val="24"/>
              </w:rPr>
              <w:t>2018</w:t>
            </w:r>
          </w:p>
        </w:tc>
        <w:tc>
          <w:tcPr>
            <w:tcW w:w="1692" w:type="pct"/>
          </w:tcPr>
          <w:p w14:paraId="671073C3" w14:textId="77777777" w:rsidR="00582A1F" w:rsidRDefault="00582A1F" w:rsidP="007E21F5">
            <w:pPr>
              <w:rPr>
                <w:rFonts w:ascii="Arial" w:hAnsi="Arial" w:cs="Arial"/>
                <w:sz w:val="24"/>
              </w:rPr>
            </w:pPr>
            <w:r>
              <w:rPr>
                <w:rFonts w:ascii="Arial" w:hAnsi="Arial" w:cs="Arial"/>
                <w:sz w:val="24"/>
              </w:rPr>
              <w:t>3%</w:t>
            </w:r>
          </w:p>
        </w:tc>
        <w:tc>
          <w:tcPr>
            <w:tcW w:w="1935" w:type="pct"/>
          </w:tcPr>
          <w:p w14:paraId="7D35FC11" w14:textId="77777777" w:rsidR="00582A1F" w:rsidRDefault="00582A1F" w:rsidP="007E21F5">
            <w:pPr>
              <w:rPr>
                <w:rFonts w:ascii="Arial" w:hAnsi="Arial" w:cs="Arial"/>
                <w:sz w:val="24"/>
              </w:rPr>
            </w:pPr>
            <w:r>
              <w:rPr>
                <w:rFonts w:ascii="Arial" w:hAnsi="Arial" w:cs="Arial"/>
                <w:sz w:val="24"/>
              </w:rPr>
              <w:t>13%</w:t>
            </w:r>
          </w:p>
        </w:tc>
      </w:tr>
    </w:tbl>
    <w:p w14:paraId="6DE3C861" w14:textId="77777777" w:rsidR="00266EB0" w:rsidRPr="00266EB0" w:rsidRDefault="00266EB0" w:rsidP="00266EB0">
      <w:pPr>
        <w:rPr>
          <w:rFonts w:ascii="Arial" w:hAnsi="Arial" w:cs="Arial"/>
          <w:i/>
          <w:sz w:val="24"/>
        </w:rPr>
      </w:pPr>
      <w:r w:rsidRPr="00266EB0">
        <w:rPr>
          <w:rFonts w:ascii="Arial" w:hAnsi="Arial" w:cs="Arial"/>
          <w:i/>
          <w:sz w:val="24"/>
        </w:rPr>
        <w:t>Source: VSHAWS, 2014, 2016, and 2018, DET</w:t>
      </w:r>
    </w:p>
    <w:p w14:paraId="568B18F0" w14:textId="77777777" w:rsidR="00420AF4" w:rsidRDefault="00266EB0" w:rsidP="00266EB0">
      <w:pPr>
        <w:rPr>
          <w:rFonts w:ascii="Arial" w:hAnsi="Arial" w:cs="Arial"/>
          <w:sz w:val="24"/>
        </w:rPr>
      </w:pPr>
      <w:r w:rsidRPr="00266EB0">
        <w:rPr>
          <w:rFonts w:ascii="Arial" w:hAnsi="Arial" w:cs="Arial"/>
          <w:sz w:val="24"/>
        </w:rPr>
        <w:t>Across the secondary cohort, students in one-parent households were more likely to report smoking (11 per cent) than their peers in two-parent households (six per cent). As well, female students were more likely to report smoking (eight per cent) than their male peers (five per cent). This is a new result, since boys and girls had smoked at similar rates in previous VSHAWS years. Declines have been seen among girls and particularly boys since 2014.</w:t>
      </w:r>
    </w:p>
    <w:p w14:paraId="31489803" w14:textId="77777777" w:rsidR="00266EB0" w:rsidRPr="00D02179" w:rsidRDefault="00D02179" w:rsidP="00266EB0">
      <w:pPr>
        <w:rPr>
          <w:rFonts w:ascii="Arial" w:hAnsi="Arial" w:cs="Arial"/>
          <w:b/>
          <w:sz w:val="24"/>
        </w:rPr>
      </w:pPr>
      <w:r w:rsidRPr="00D02179">
        <w:rPr>
          <w:rFonts w:ascii="Arial" w:hAnsi="Arial" w:cs="Arial"/>
          <w:b/>
          <w:sz w:val="24"/>
        </w:rPr>
        <w:t>Figure 9. Proportion of Victorian students (Years 8 &amp; 11) who are current smokers by gender, 2014-2018</w:t>
      </w:r>
    </w:p>
    <w:tbl>
      <w:tblPr>
        <w:tblStyle w:val="TableGrid"/>
        <w:tblW w:w="5000" w:type="pct"/>
        <w:tblLook w:val="04A0" w:firstRow="1" w:lastRow="0" w:firstColumn="1" w:lastColumn="0" w:noHBand="0" w:noVBand="1"/>
        <w:tblDescription w:val="This table provides information on the proportion of Victorian students (Years 8 &amp; 11) who are current smokers by gender, 2014-2018"/>
      </w:tblPr>
      <w:tblGrid>
        <w:gridCol w:w="2476"/>
        <w:gridCol w:w="3051"/>
        <w:gridCol w:w="3489"/>
      </w:tblGrid>
      <w:tr w:rsidR="00582A1F" w:rsidRPr="00980CB2" w14:paraId="05B64037" w14:textId="77777777" w:rsidTr="007E21F5">
        <w:trPr>
          <w:tblHeader/>
        </w:trPr>
        <w:tc>
          <w:tcPr>
            <w:tcW w:w="1373" w:type="pct"/>
          </w:tcPr>
          <w:p w14:paraId="48FC8959" w14:textId="77777777" w:rsidR="00582A1F" w:rsidRDefault="00582A1F" w:rsidP="007E21F5">
            <w:pPr>
              <w:rPr>
                <w:rFonts w:ascii="Arial" w:hAnsi="Arial" w:cs="Arial"/>
                <w:sz w:val="24"/>
              </w:rPr>
            </w:pPr>
          </w:p>
        </w:tc>
        <w:tc>
          <w:tcPr>
            <w:tcW w:w="1692" w:type="pct"/>
          </w:tcPr>
          <w:p w14:paraId="1B2E0881" w14:textId="77777777" w:rsidR="00582A1F" w:rsidRPr="00980CB2" w:rsidRDefault="00582A1F" w:rsidP="007E21F5">
            <w:pPr>
              <w:rPr>
                <w:rFonts w:ascii="Arial" w:hAnsi="Arial" w:cs="Arial"/>
                <w:sz w:val="24"/>
              </w:rPr>
            </w:pPr>
            <w:r w:rsidRPr="00980CB2">
              <w:rPr>
                <w:rFonts w:ascii="Arial" w:hAnsi="Arial" w:cs="Arial"/>
                <w:sz w:val="24"/>
              </w:rPr>
              <w:t>Male</w:t>
            </w:r>
          </w:p>
        </w:tc>
        <w:tc>
          <w:tcPr>
            <w:tcW w:w="1935" w:type="pct"/>
          </w:tcPr>
          <w:p w14:paraId="5009094A" w14:textId="77777777" w:rsidR="00582A1F" w:rsidRPr="00980CB2" w:rsidRDefault="00582A1F" w:rsidP="007E21F5">
            <w:pPr>
              <w:rPr>
                <w:rFonts w:ascii="Arial" w:hAnsi="Arial" w:cs="Arial"/>
                <w:sz w:val="24"/>
              </w:rPr>
            </w:pPr>
            <w:r w:rsidRPr="00980CB2">
              <w:rPr>
                <w:rFonts w:ascii="Arial" w:hAnsi="Arial" w:cs="Arial"/>
                <w:sz w:val="24"/>
              </w:rPr>
              <w:t>Female</w:t>
            </w:r>
          </w:p>
        </w:tc>
      </w:tr>
      <w:tr w:rsidR="00582A1F" w:rsidRPr="00980CB2" w14:paraId="25496165" w14:textId="77777777" w:rsidTr="007E21F5">
        <w:tc>
          <w:tcPr>
            <w:tcW w:w="1373" w:type="pct"/>
          </w:tcPr>
          <w:p w14:paraId="3BCA39C6" w14:textId="77777777" w:rsidR="00582A1F" w:rsidRPr="00980CB2" w:rsidRDefault="00582A1F" w:rsidP="007E21F5">
            <w:pPr>
              <w:rPr>
                <w:rFonts w:ascii="Arial" w:hAnsi="Arial" w:cs="Arial"/>
                <w:sz w:val="24"/>
              </w:rPr>
            </w:pPr>
            <w:r w:rsidRPr="00980CB2">
              <w:rPr>
                <w:rFonts w:ascii="Arial" w:hAnsi="Arial" w:cs="Arial"/>
                <w:sz w:val="24"/>
              </w:rPr>
              <w:t>2014</w:t>
            </w:r>
          </w:p>
        </w:tc>
        <w:tc>
          <w:tcPr>
            <w:tcW w:w="1692" w:type="pct"/>
          </w:tcPr>
          <w:p w14:paraId="581738D2" w14:textId="77777777" w:rsidR="00582A1F" w:rsidRPr="00980CB2" w:rsidRDefault="003D1946" w:rsidP="007E21F5">
            <w:pPr>
              <w:rPr>
                <w:rFonts w:ascii="Arial" w:hAnsi="Arial" w:cs="Arial"/>
                <w:sz w:val="24"/>
              </w:rPr>
            </w:pPr>
            <w:r w:rsidRPr="00980CB2">
              <w:rPr>
                <w:rFonts w:ascii="Arial" w:hAnsi="Arial" w:cs="Arial"/>
                <w:sz w:val="24"/>
              </w:rPr>
              <w:t>10%</w:t>
            </w:r>
          </w:p>
        </w:tc>
        <w:tc>
          <w:tcPr>
            <w:tcW w:w="1935" w:type="pct"/>
          </w:tcPr>
          <w:p w14:paraId="0DEBAC9B" w14:textId="77777777" w:rsidR="00582A1F" w:rsidRPr="00980CB2" w:rsidRDefault="00582A1F" w:rsidP="007E21F5">
            <w:pPr>
              <w:rPr>
                <w:rFonts w:ascii="Arial" w:hAnsi="Arial" w:cs="Arial"/>
                <w:sz w:val="24"/>
              </w:rPr>
            </w:pPr>
            <w:r w:rsidRPr="00980CB2">
              <w:rPr>
                <w:rFonts w:ascii="Arial" w:hAnsi="Arial" w:cs="Arial"/>
                <w:sz w:val="24"/>
              </w:rPr>
              <w:t>11%</w:t>
            </w:r>
          </w:p>
        </w:tc>
      </w:tr>
      <w:tr w:rsidR="00582A1F" w:rsidRPr="00980CB2" w14:paraId="2A155178" w14:textId="77777777" w:rsidTr="007E21F5">
        <w:tc>
          <w:tcPr>
            <w:tcW w:w="1373" w:type="pct"/>
          </w:tcPr>
          <w:p w14:paraId="0B2A242E" w14:textId="77777777" w:rsidR="00582A1F" w:rsidRPr="00980CB2" w:rsidRDefault="00582A1F" w:rsidP="007E21F5">
            <w:pPr>
              <w:rPr>
                <w:rFonts w:ascii="Arial" w:hAnsi="Arial" w:cs="Arial"/>
                <w:sz w:val="24"/>
              </w:rPr>
            </w:pPr>
            <w:r w:rsidRPr="00980CB2">
              <w:rPr>
                <w:rFonts w:ascii="Arial" w:hAnsi="Arial" w:cs="Arial"/>
                <w:sz w:val="24"/>
              </w:rPr>
              <w:t>2016</w:t>
            </w:r>
          </w:p>
        </w:tc>
        <w:tc>
          <w:tcPr>
            <w:tcW w:w="1692" w:type="pct"/>
          </w:tcPr>
          <w:p w14:paraId="6ABAACEF" w14:textId="77777777" w:rsidR="00582A1F" w:rsidRPr="00980CB2" w:rsidRDefault="00980CB2" w:rsidP="007E21F5">
            <w:pPr>
              <w:rPr>
                <w:rFonts w:ascii="Arial" w:hAnsi="Arial" w:cs="Arial"/>
                <w:sz w:val="24"/>
              </w:rPr>
            </w:pPr>
            <w:r w:rsidRPr="00980CB2">
              <w:rPr>
                <w:rFonts w:ascii="Arial" w:hAnsi="Arial" w:cs="Arial"/>
                <w:sz w:val="24"/>
              </w:rPr>
              <w:t>8</w:t>
            </w:r>
            <w:r w:rsidR="00582A1F" w:rsidRPr="00980CB2">
              <w:rPr>
                <w:rFonts w:ascii="Arial" w:hAnsi="Arial" w:cs="Arial"/>
                <w:sz w:val="24"/>
              </w:rPr>
              <w:t>%</w:t>
            </w:r>
          </w:p>
        </w:tc>
        <w:tc>
          <w:tcPr>
            <w:tcW w:w="1935" w:type="pct"/>
          </w:tcPr>
          <w:p w14:paraId="16893DD2" w14:textId="77777777" w:rsidR="00582A1F" w:rsidRPr="00980CB2" w:rsidRDefault="00980CB2" w:rsidP="007E21F5">
            <w:pPr>
              <w:rPr>
                <w:rFonts w:ascii="Arial" w:hAnsi="Arial" w:cs="Arial"/>
                <w:sz w:val="24"/>
              </w:rPr>
            </w:pPr>
            <w:r w:rsidRPr="00980CB2">
              <w:rPr>
                <w:rFonts w:ascii="Arial" w:hAnsi="Arial" w:cs="Arial"/>
                <w:sz w:val="24"/>
              </w:rPr>
              <w:t>8</w:t>
            </w:r>
            <w:r w:rsidR="00582A1F" w:rsidRPr="00980CB2">
              <w:rPr>
                <w:rFonts w:ascii="Arial" w:hAnsi="Arial" w:cs="Arial"/>
                <w:sz w:val="24"/>
              </w:rPr>
              <w:t>%</w:t>
            </w:r>
          </w:p>
        </w:tc>
      </w:tr>
      <w:tr w:rsidR="00582A1F" w14:paraId="47B45A7A" w14:textId="77777777" w:rsidTr="007E21F5">
        <w:tc>
          <w:tcPr>
            <w:tcW w:w="1373" w:type="pct"/>
          </w:tcPr>
          <w:p w14:paraId="0EE33A92" w14:textId="77777777" w:rsidR="00582A1F" w:rsidRPr="00980CB2" w:rsidRDefault="00582A1F" w:rsidP="007E21F5">
            <w:pPr>
              <w:rPr>
                <w:rFonts w:ascii="Arial" w:hAnsi="Arial" w:cs="Arial"/>
                <w:sz w:val="24"/>
              </w:rPr>
            </w:pPr>
            <w:r w:rsidRPr="00980CB2">
              <w:rPr>
                <w:rFonts w:ascii="Arial" w:hAnsi="Arial" w:cs="Arial"/>
                <w:sz w:val="24"/>
              </w:rPr>
              <w:t>2018</w:t>
            </w:r>
          </w:p>
        </w:tc>
        <w:tc>
          <w:tcPr>
            <w:tcW w:w="1692" w:type="pct"/>
          </w:tcPr>
          <w:p w14:paraId="3E4A9B93" w14:textId="77777777" w:rsidR="00582A1F" w:rsidRPr="00980CB2" w:rsidRDefault="003D1946" w:rsidP="007E21F5">
            <w:pPr>
              <w:rPr>
                <w:rFonts w:ascii="Arial" w:hAnsi="Arial" w:cs="Arial"/>
                <w:sz w:val="24"/>
              </w:rPr>
            </w:pPr>
            <w:r w:rsidRPr="00980CB2">
              <w:rPr>
                <w:rFonts w:ascii="Arial" w:hAnsi="Arial" w:cs="Arial"/>
                <w:sz w:val="24"/>
              </w:rPr>
              <w:t>5</w:t>
            </w:r>
            <w:r w:rsidR="00582A1F" w:rsidRPr="00980CB2">
              <w:rPr>
                <w:rFonts w:ascii="Arial" w:hAnsi="Arial" w:cs="Arial"/>
                <w:sz w:val="24"/>
              </w:rPr>
              <w:t>%</w:t>
            </w:r>
          </w:p>
        </w:tc>
        <w:tc>
          <w:tcPr>
            <w:tcW w:w="1935" w:type="pct"/>
          </w:tcPr>
          <w:p w14:paraId="4F3F3A82" w14:textId="77777777" w:rsidR="00582A1F" w:rsidRDefault="00582A1F" w:rsidP="007E21F5">
            <w:pPr>
              <w:rPr>
                <w:rFonts w:ascii="Arial" w:hAnsi="Arial" w:cs="Arial"/>
                <w:sz w:val="24"/>
              </w:rPr>
            </w:pPr>
            <w:r w:rsidRPr="00980CB2">
              <w:rPr>
                <w:rFonts w:ascii="Arial" w:hAnsi="Arial" w:cs="Arial"/>
                <w:sz w:val="24"/>
              </w:rPr>
              <w:t>8%</w:t>
            </w:r>
          </w:p>
        </w:tc>
      </w:tr>
    </w:tbl>
    <w:p w14:paraId="6CFFDE92" w14:textId="77777777" w:rsidR="00D02179" w:rsidRPr="00266EB0" w:rsidRDefault="00D02179" w:rsidP="00D02179">
      <w:pPr>
        <w:rPr>
          <w:rFonts w:ascii="Arial" w:hAnsi="Arial" w:cs="Arial"/>
          <w:i/>
          <w:sz w:val="24"/>
        </w:rPr>
      </w:pPr>
      <w:r w:rsidRPr="00266EB0">
        <w:rPr>
          <w:rFonts w:ascii="Arial" w:hAnsi="Arial" w:cs="Arial"/>
          <w:i/>
          <w:sz w:val="24"/>
        </w:rPr>
        <w:t>Source: VSHAWS, 2014, 2016, and 2018, DET</w:t>
      </w:r>
    </w:p>
    <w:p w14:paraId="2F0A8897" w14:textId="77777777" w:rsidR="0022345D" w:rsidRDefault="00D929FC" w:rsidP="00D929FC">
      <w:pPr>
        <w:rPr>
          <w:rFonts w:ascii="Arial" w:hAnsi="Arial" w:cs="Arial"/>
          <w:sz w:val="24"/>
        </w:rPr>
      </w:pPr>
      <w:r w:rsidRPr="00D929FC">
        <w:rPr>
          <w:rFonts w:ascii="Arial" w:hAnsi="Arial" w:cs="Arial"/>
          <w:sz w:val="24"/>
        </w:rPr>
        <w:t>According to recent analysis, significant increases in tobacco tax, changes to tobacco packaging, smoke-free environments, public education campaigns and restrictions on adolescents’ access to tobacco are influencing the decline in adolescent smoking (Dessaix, Maag, McKenzie, &amp; Currow, 2016).</w:t>
      </w:r>
    </w:p>
    <w:p w14:paraId="6929D474" w14:textId="77777777" w:rsidR="008011A3" w:rsidRPr="00B540DC" w:rsidRDefault="008011A3" w:rsidP="00B540DC">
      <w:pPr>
        <w:pStyle w:val="Heading4"/>
        <w:rPr>
          <w:rFonts w:ascii="Arial" w:hAnsi="Arial" w:cs="Arial"/>
          <w:color w:val="auto"/>
          <w:sz w:val="24"/>
        </w:rPr>
      </w:pPr>
      <w:r w:rsidRPr="00B540DC">
        <w:rPr>
          <w:rFonts w:ascii="Arial" w:hAnsi="Arial" w:cs="Arial"/>
          <w:color w:val="auto"/>
          <w:sz w:val="24"/>
        </w:rPr>
        <w:t>2.9.2</w:t>
      </w:r>
      <w:r w:rsidRPr="00B540DC">
        <w:rPr>
          <w:rFonts w:ascii="Arial" w:hAnsi="Arial" w:cs="Arial"/>
          <w:color w:val="auto"/>
          <w:sz w:val="24"/>
        </w:rPr>
        <w:tab/>
        <w:t>A lower rate of adolescents regularly drink alcohol</w:t>
      </w:r>
    </w:p>
    <w:p w14:paraId="04C85D5B" w14:textId="77777777" w:rsidR="0022345D" w:rsidRDefault="008011A3" w:rsidP="008011A3">
      <w:pPr>
        <w:rPr>
          <w:rFonts w:ascii="Arial" w:hAnsi="Arial" w:cs="Arial"/>
          <w:sz w:val="24"/>
        </w:rPr>
      </w:pPr>
      <w:r w:rsidRPr="008011A3">
        <w:rPr>
          <w:rFonts w:ascii="Arial" w:hAnsi="Arial" w:cs="Arial"/>
          <w:sz w:val="24"/>
        </w:rPr>
        <w:t>In 2018, almost one in five Victorian Year 8 and 11 students surveyed through the VSHAWS (18 per cent) reported that they consumed alcohol at least once per month. The proportion of Year 11 students who report drinking has declined over the last five years, from 38 per cent in 2014 to 31 per cent in 2018. Year 8s and 11s in one-parent households were more likely to report monthly drinking (23 per cent) than their peers in two-parent households (17 per cent). Those in regional areas were more likely to report monthly drinking (27 per cent) than their peers in metropolitan areas (14 per cent).</w:t>
      </w:r>
    </w:p>
    <w:p w14:paraId="15B21F2A" w14:textId="77777777" w:rsidR="008011A3" w:rsidRPr="00054426" w:rsidRDefault="00912E88" w:rsidP="008011A3">
      <w:pPr>
        <w:rPr>
          <w:rFonts w:ascii="Arial" w:hAnsi="Arial" w:cs="Arial"/>
          <w:b/>
          <w:sz w:val="24"/>
        </w:rPr>
      </w:pPr>
      <w:r w:rsidRPr="00054426">
        <w:rPr>
          <w:rFonts w:ascii="Arial" w:hAnsi="Arial" w:cs="Arial"/>
          <w:b/>
          <w:sz w:val="24"/>
        </w:rPr>
        <w:t>Figure 10. Proportion of Victorian students (Years 8 &amp; 11) who reported monthly alcohol consumption, 2014-2018</w:t>
      </w:r>
    </w:p>
    <w:tbl>
      <w:tblPr>
        <w:tblStyle w:val="TableGrid"/>
        <w:tblW w:w="5000" w:type="pct"/>
        <w:tblLook w:val="04A0" w:firstRow="1" w:lastRow="0" w:firstColumn="1" w:lastColumn="0" w:noHBand="0" w:noVBand="1"/>
        <w:tblDescription w:val="This table provides information on the proportion of Victorian students (Years 8 &amp; 11) who reported monthly alcohol consumption, 2014-2018"/>
      </w:tblPr>
      <w:tblGrid>
        <w:gridCol w:w="2476"/>
        <w:gridCol w:w="3051"/>
        <w:gridCol w:w="3489"/>
      </w:tblGrid>
      <w:tr w:rsidR="000447A3" w:rsidRPr="00054426" w14:paraId="6DEBF7C6" w14:textId="77777777" w:rsidTr="007E21F5">
        <w:trPr>
          <w:tblHeader/>
        </w:trPr>
        <w:tc>
          <w:tcPr>
            <w:tcW w:w="1373" w:type="pct"/>
          </w:tcPr>
          <w:p w14:paraId="6D623D16" w14:textId="77777777" w:rsidR="000447A3" w:rsidRPr="00054426" w:rsidRDefault="000447A3" w:rsidP="007E21F5">
            <w:pPr>
              <w:rPr>
                <w:rFonts w:ascii="Arial" w:hAnsi="Arial" w:cs="Arial"/>
                <w:sz w:val="24"/>
              </w:rPr>
            </w:pPr>
          </w:p>
        </w:tc>
        <w:tc>
          <w:tcPr>
            <w:tcW w:w="1692" w:type="pct"/>
          </w:tcPr>
          <w:p w14:paraId="6CCE62FC" w14:textId="77777777" w:rsidR="000447A3" w:rsidRPr="00054426" w:rsidRDefault="00054426" w:rsidP="007E21F5">
            <w:pPr>
              <w:rPr>
                <w:rFonts w:ascii="Arial" w:hAnsi="Arial" w:cs="Arial"/>
                <w:sz w:val="24"/>
              </w:rPr>
            </w:pPr>
            <w:r w:rsidRPr="00054426">
              <w:rPr>
                <w:rFonts w:ascii="Arial" w:hAnsi="Arial" w:cs="Arial"/>
                <w:sz w:val="24"/>
              </w:rPr>
              <w:t>Year 8</w:t>
            </w:r>
          </w:p>
        </w:tc>
        <w:tc>
          <w:tcPr>
            <w:tcW w:w="1935" w:type="pct"/>
          </w:tcPr>
          <w:p w14:paraId="44B85043" w14:textId="77777777" w:rsidR="000447A3" w:rsidRPr="00054426" w:rsidRDefault="00054426" w:rsidP="007E21F5">
            <w:pPr>
              <w:rPr>
                <w:rFonts w:ascii="Arial" w:hAnsi="Arial" w:cs="Arial"/>
                <w:sz w:val="24"/>
              </w:rPr>
            </w:pPr>
            <w:r w:rsidRPr="00054426">
              <w:rPr>
                <w:rFonts w:ascii="Arial" w:hAnsi="Arial" w:cs="Arial"/>
                <w:sz w:val="24"/>
              </w:rPr>
              <w:t>Year 11</w:t>
            </w:r>
          </w:p>
        </w:tc>
      </w:tr>
      <w:tr w:rsidR="000447A3" w:rsidRPr="00054426" w14:paraId="54AA5FBF" w14:textId="77777777" w:rsidTr="007E21F5">
        <w:tc>
          <w:tcPr>
            <w:tcW w:w="1373" w:type="pct"/>
          </w:tcPr>
          <w:p w14:paraId="108D542E" w14:textId="77777777" w:rsidR="000447A3" w:rsidRPr="00054426" w:rsidRDefault="000447A3" w:rsidP="007E21F5">
            <w:pPr>
              <w:rPr>
                <w:rFonts w:ascii="Arial" w:hAnsi="Arial" w:cs="Arial"/>
                <w:sz w:val="24"/>
              </w:rPr>
            </w:pPr>
            <w:r w:rsidRPr="00054426">
              <w:rPr>
                <w:rFonts w:ascii="Arial" w:hAnsi="Arial" w:cs="Arial"/>
                <w:sz w:val="24"/>
              </w:rPr>
              <w:t>2014</w:t>
            </w:r>
          </w:p>
        </w:tc>
        <w:tc>
          <w:tcPr>
            <w:tcW w:w="1692" w:type="pct"/>
          </w:tcPr>
          <w:p w14:paraId="18E315E5" w14:textId="77777777" w:rsidR="000447A3" w:rsidRPr="00054426" w:rsidRDefault="00054426" w:rsidP="007E21F5">
            <w:pPr>
              <w:rPr>
                <w:rFonts w:ascii="Arial" w:hAnsi="Arial" w:cs="Arial"/>
                <w:sz w:val="24"/>
              </w:rPr>
            </w:pPr>
            <w:r w:rsidRPr="00054426">
              <w:rPr>
                <w:rFonts w:ascii="Arial" w:hAnsi="Arial" w:cs="Arial"/>
                <w:sz w:val="24"/>
              </w:rPr>
              <w:t>9</w:t>
            </w:r>
            <w:r w:rsidR="000447A3" w:rsidRPr="00054426">
              <w:rPr>
                <w:rFonts w:ascii="Arial" w:hAnsi="Arial" w:cs="Arial"/>
                <w:sz w:val="24"/>
              </w:rPr>
              <w:t>%</w:t>
            </w:r>
          </w:p>
        </w:tc>
        <w:tc>
          <w:tcPr>
            <w:tcW w:w="1935" w:type="pct"/>
          </w:tcPr>
          <w:p w14:paraId="5ACBB9F9" w14:textId="77777777" w:rsidR="000447A3" w:rsidRPr="00054426" w:rsidRDefault="00054426" w:rsidP="007E21F5">
            <w:pPr>
              <w:rPr>
                <w:rFonts w:ascii="Arial" w:hAnsi="Arial" w:cs="Arial"/>
                <w:sz w:val="24"/>
              </w:rPr>
            </w:pPr>
            <w:r w:rsidRPr="00054426">
              <w:rPr>
                <w:rFonts w:ascii="Arial" w:hAnsi="Arial" w:cs="Arial"/>
                <w:sz w:val="24"/>
              </w:rPr>
              <w:t>38</w:t>
            </w:r>
            <w:r w:rsidR="000447A3" w:rsidRPr="00054426">
              <w:rPr>
                <w:rFonts w:ascii="Arial" w:hAnsi="Arial" w:cs="Arial"/>
                <w:sz w:val="24"/>
              </w:rPr>
              <w:t>%</w:t>
            </w:r>
          </w:p>
        </w:tc>
      </w:tr>
      <w:tr w:rsidR="000447A3" w:rsidRPr="00054426" w14:paraId="2308BBF6" w14:textId="77777777" w:rsidTr="007E21F5">
        <w:tc>
          <w:tcPr>
            <w:tcW w:w="1373" w:type="pct"/>
          </w:tcPr>
          <w:p w14:paraId="2727F782" w14:textId="77777777" w:rsidR="000447A3" w:rsidRPr="00054426" w:rsidRDefault="000447A3" w:rsidP="007E21F5">
            <w:pPr>
              <w:rPr>
                <w:rFonts w:ascii="Arial" w:hAnsi="Arial" w:cs="Arial"/>
                <w:sz w:val="24"/>
              </w:rPr>
            </w:pPr>
            <w:r w:rsidRPr="00054426">
              <w:rPr>
                <w:rFonts w:ascii="Arial" w:hAnsi="Arial" w:cs="Arial"/>
                <w:sz w:val="24"/>
              </w:rPr>
              <w:t>2016</w:t>
            </w:r>
          </w:p>
        </w:tc>
        <w:tc>
          <w:tcPr>
            <w:tcW w:w="1692" w:type="pct"/>
          </w:tcPr>
          <w:p w14:paraId="434EF6E4" w14:textId="77777777" w:rsidR="000447A3" w:rsidRPr="00054426" w:rsidRDefault="00054426" w:rsidP="007E21F5">
            <w:pPr>
              <w:rPr>
                <w:rFonts w:ascii="Arial" w:hAnsi="Arial" w:cs="Arial"/>
                <w:sz w:val="24"/>
              </w:rPr>
            </w:pPr>
            <w:r w:rsidRPr="00054426">
              <w:rPr>
                <w:rFonts w:ascii="Arial" w:hAnsi="Arial" w:cs="Arial"/>
                <w:sz w:val="24"/>
              </w:rPr>
              <w:t>8</w:t>
            </w:r>
            <w:r w:rsidR="000447A3" w:rsidRPr="00054426">
              <w:rPr>
                <w:rFonts w:ascii="Arial" w:hAnsi="Arial" w:cs="Arial"/>
                <w:sz w:val="24"/>
              </w:rPr>
              <w:t>%</w:t>
            </w:r>
          </w:p>
        </w:tc>
        <w:tc>
          <w:tcPr>
            <w:tcW w:w="1935" w:type="pct"/>
          </w:tcPr>
          <w:p w14:paraId="4762594D" w14:textId="77777777" w:rsidR="000447A3" w:rsidRPr="00054426" w:rsidRDefault="00054426" w:rsidP="007E21F5">
            <w:pPr>
              <w:rPr>
                <w:rFonts w:ascii="Arial" w:hAnsi="Arial" w:cs="Arial"/>
                <w:sz w:val="24"/>
              </w:rPr>
            </w:pPr>
            <w:r w:rsidRPr="00054426">
              <w:rPr>
                <w:rFonts w:ascii="Arial" w:hAnsi="Arial" w:cs="Arial"/>
                <w:sz w:val="24"/>
              </w:rPr>
              <w:t>36</w:t>
            </w:r>
            <w:r w:rsidR="000447A3" w:rsidRPr="00054426">
              <w:rPr>
                <w:rFonts w:ascii="Arial" w:hAnsi="Arial" w:cs="Arial"/>
                <w:sz w:val="24"/>
              </w:rPr>
              <w:t>%</w:t>
            </w:r>
          </w:p>
        </w:tc>
      </w:tr>
      <w:tr w:rsidR="000447A3" w14:paraId="55323602" w14:textId="77777777" w:rsidTr="007E21F5">
        <w:tc>
          <w:tcPr>
            <w:tcW w:w="1373" w:type="pct"/>
          </w:tcPr>
          <w:p w14:paraId="211F8FCE" w14:textId="77777777" w:rsidR="000447A3" w:rsidRPr="00054426" w:rsidRDefault="000447A3" w:rsidP="007E21F5">
            <w:pPr>
              <w:rPr>
                <w:rFonts w:ascii="Arial" w:hAnsi="Arial" w:cs="Arial"/>
                <w:sz w:val="24"/>
              </w:rPr>
            </w:pPr>
            <w:r w:rsidRPr="00054426">
              <w:rPr>
                <w:rFonts w:ascii="Arial" w:hAnsi="Arial" w:cs="Arial"/>
                <w:sz w:val="24"/>
              </w:rPr>
              <w:t>2018</w:t>
            </w:r>
          </w:p>
        </w:tc>
        <w:tc>
          <w:tcPr>
            <w:tcW w:w="1692" w:type="pct"/>
          </w:tcPr>
          <w:p w14:paraId="52DC9798" w14:textId="77777777" w:rsidR="000447A3" w:rsidRPr="00054426" w:rsidRDefault="00054426" w:rsidP="007E21F5">
            <w:pPr>
              <w:rPr>
                <w:rFonts w:ascii="Arial" w:hAnsi="Arial" w:cs="Arial"/>
                <w:sz w:val="24"/>
              </w:rPr>
            </w:pPr>
            <w:r w:rsidRPr="00054426">
              <w:rPr>
                <w:rFonts w:ascii="Arial" w:hAnsi="Arial" w:cs="Arial"/>
                <w:sz w:val="24"/>
              </w:rPr>
              <w:t>8</w:t>
            </w:r>
            <w:r w:rsidR="000447A3" w:rsidRPr="00054426">
              <w:rPr>
                <w:rFonts w:ascii="Arial" w:hAnsi="Arial" w:cs="Arial"/>
                <w:sz w:val="24"/>
              </w:rPr>
              <w:t>%</w:t>
            </w:r>
          </w:p>
        </w:tc>
        <w:tc>
          <w:tcPr>
            <w:tcW w:w="1935" w:type="pct"/>
          </w:tcPr>
          <w:p w14:paraId="73B0802D" w14:textId="77777777" w:rsidR="000447A3" w:rsidRDefault="00054426" w:rsidP="007E21F5">
            <w:pPr>
              <w:rPr>
                <w:rFonts w:ascii="Arial" w:hAnsi="Arial" w:cs="Arial"/>
                <w:sz w:val="24"/>
              </w:rPr>
            </w:pPr>
            <w:r w:rsidRPr="00054426">
              <w:rPr>
                <w:rFonts w:ascii="Arial" w:hAnsi="Arial" w:cs="Arial"/>
                <w:sz w:val="24"/>
              </w:rPr>
              <w:t>31</w:t>
            </w:r>
            <w:r w:rsidR="000447A3" w:rsidRPr="00054426">
              <w:rPr>
                <w:rFonts w:ascii="Arial" w:hAnsi="Arial" w:cs="Arial"/>
                <w:sz w:val="24"/>
              </w:rPr>
              <w:t>%</w:t>
            </w:r>
          </w:p>
        </w:tc>
      </w:tr>
    </w:tbl>
    <w:p w14:paraId="024EC7B7" w14:textId="77777777" w:rsidR="00912E88" w:rsidRDefault="00002A6E" w:rsidP="008011A3">
      <w:pPr>
        <w:rPr>
          <w:rFonts w:ascii="Arial" w:hAnsi="Arial" w:cs="Arial"/>
          <w:i/>
          <w:sz w:val="24"/>
        </w:rPr>
      </w:pPr>
      <w:r w:rsidRPr="00002A6E">
        <w:rPr>
          <w:rFonts w:ascii="Arial" w:hAnsi="Arial" w:cs="Arial"/>
          <w:i/>
          <w:sz w:val="24"/>
        </w:rPr>
        <w:t>Source: VSHAWS, 2014, 2016, and 2018, DET</w:t>
      </w:r>
    </w:p>
    <w:p w14:paraId="23507AEB" w14:textId="77777777" w:rsidR="00346E08" w:rsidRPr="00346E08" w:rsidRDefault="00346E08" w:rsidP="00346E08">
      <w:pPr>
        <w:pBdr>
          <w:top w:val="single" w:sz="4" w:space="1" w:color="auto"/>
          <w:left w:val="single" w:sz="4" w:space="4" w:color="auto"/>
          <w:bottom w:val="single" w:sz="4" w:space="1" w:color="auto"/>
          <w:right w:val="single" w:sz="4" w:space="4" w:color="auto"/>
        </w:pBdr>
        <w:rPr>
          <w:rFonts w:ascii="Arial" w:hAnsi="Arial" w:cs="Arial"/>
          <w:b/>
          <w:sz w:val="24"/>
        </w:rPr>
      </w:pPr>
      <w:r w:rsidRPr="00346E08">
        <w:rPr>
          <w:rFonts w:ascii="Arial" w:hAnsi="Arial" w:cs="Arial"/>
          <w:b/>
          <w:sz w:val="24"/>
        </w:rPr>
        <w:t>The Effect of Heavy Episodic Drinking (HED) in Adolescence and Early Adulthood</w:t>
      </w:r>
    </w:p>
    <w:p w14:paraId="61884F21" w14:textId="77777777" w:rsidR="00346E08" w:rsidRPr="00346E08" w:rsidRDefault="00346E08" w:rsidP="00346E08">
      <w:pPr>
        <w:pBdr>
          <w:top w:val="single" w:sz="4" w:space="1" w:color="auto"/>
          <w:left w:val="single" w:sz="4" w:space="4" w:color="auto"/>
          <w:bottom w:val="single" w:sz="4" w:space="1" w:color="auto"/>
          <w:right w:val="single" w:sz="4" w:space="4" w:color="auto"/>
        </w:pBdr>
        <w:rPr>
          <w:rFonts w:ascii="Arial" w:hAnsi="Arial" w:cs="Arial"/>
          <w:sz w:val="24"/>
        </w:rPr>
      </w:pPr>
      <w:r w:rsidRPr="00346E08">
        <w:rPr>
          <w:rFonts w:ascii="Arial" w:hAnsi="Arial" w:cs="Arial"/>
          <w:sz w:val="24"/>
        </w:rPr>
        <w:t>Analysis of longitudinal data from the Australian Temperament Project suggests that HED in adolescence is predictive of ongoing heavy drinking in young adulthood. While the movement into early adulthood appears to coincide with reduced alcohol-related harms, substantial amounts of HED persist and emerge separately in early adulthood. Notably, among females, these patterns of HED are also accompanied by related harms, particularly in the school/work domain (Betts, et al., 2018).</w:t>
      </w:r>
    </w:p>
    <w:p w14:paraId="455099F4" w14:textId="77777777" w:rsidR="00002A6E" w:rsidRPr="00346E08" w:rsidRDefault="00346E08" w:rsidP="00346E08">
      <w:pPr>
        <w:pBdr>
          <w:top w:val="single" w:sz="4" w:space="1" w:color="auto"/>
          <w:left w:val="single" w:sz="4" w:space="4" w:color="auto"/>
          <w:bottom w:val="single" w:sz="4" w:space="1" w:color="auto"/>
          <w:right w:val="single" w:sz="4" w:space="4" w:color="auto"/>
        </w:pBdr>
        <w:rPr>
          <w:rFonts w:ascii="Arial" w:hAnsi="Arial" w:cs="Arial"/>
          <w:sz w:val="24"/>
        </w:rPr>
      </w:pPr>
      <w:r w:rsidRPr="00346E08">
        <w:rPr>
          <w:rFonts w:ascii="Arial" w:hAnsi="Arial" w:cs="Arial"/>
          <w:sz w:val="24"/>
        </w:rPr>
        <w:t>A study of Victorian Year 11 students found that the students who engaged in binge drinking or compulsive drinking were more than twice as likely to have had sex in the past 12 months. For those who were sexually active, reported compulsive drinking increased the likelihood of participants reporting sexual activity that they later regretted (Agius, Taft, Hemphill, Toumbourou, &amp; McMorris, 2013).</w:t>
      </w:r>
    </w:p>
    <w:p w14:paraId="402EEDDF" w14:textId="77777777" w:rsidR="00F00D3C" w:rsidRPr="00B540DC" w:rsidRDefault="00F00D3C" w:rsidP="00B540DC">
      <w:pPr>
        <w:pStyle w:val="Heading4"/>
        <w:rPr>
          <w:rFonts w:ascii="Arial" w:hAnsi="Arial" w:cs="Arial"/>
          <w:color w:val="auto"/>
          <w:sz w:val="24"/>
        </w:rPr>
      </w:pPr>
      <w:r w:rsidRPr="00B540DC">
        <w:rPr>
          <w:rFonts w:ascii="Arial" w:hAnsi="Arial" w:cs="Arial"/>
          <w:color w:val="auto"/>
          <w:sz w:val="24"/>
        </w:rPr>
        <w:lastRenderedPageBreak/>
        <w:t>2.9.3</w:t>
      </w:r>
      <w:r w:rsidRPr="00B540DC">
        <w:rPr>
          <w:rFonts w:ascii="Arial" w:hAnsi="Arial" w:cs="Arial"/>
          <w:color w:val="auto"/>
          <w:sz w:val="24"/>
        </w:rPr>
        <w:tab/>
        <w:t>A lower rate of adolescents regularly use illicit drugs</w:t>
      </w:r>
    </w:p>
    <w:p w14:paraId="636861BF" w14:textId="77777777" w:rsidR="00F00D3C" w:rsidRPr="00F00D3C" w:rsidRDefault="00F00D3C" w:rsidP="00F00D3C">
      <w:pPr>
        <w:rPr>
          <w:rFonts w:ascii="Arial" w:hAnsi="Arial" w:cs="Arial"/>
          <w:sz w:val="24"/>
        </w:rPr>
      </w:pPr>
      <w:r w:rsidRPr="00F00D3C">
        <w:rPr>
          <w:rFonts w:ascii="Arial" w:hAnsi="Arial" w:cs="Arial"/>
          <w:sz w:val="24"/>
        </w:rPr>
        <w:t>Illicit drug use can have immediate and long-term consequences for a young person’s health and wellbeing, and can establish harmful behaviour patterns that persist into later life. Adolescent drug use is associated with structural and functional changes in the brain, leading to deficits in attention, information processing, spatial skills, learning and memory, and complex behaviours such as planning and problem solving, even after 28 days of sustained abstinence (Bava &amp; Tapert, 2010). The use of drugs such as cannabis is also strongly associated with poorer educational engagement. Research finds that weekly or more frequent adolescent cannabis use is associated with a</w:t>
      </w:r>
      <w:r>
        <w:rPr>
          <w:rFonts w:ascii="Arial" w:hAnsi="Arial" w:cs="Arial"/>
          <w:sz w:val="24"/>
        </w:rPr>
        <w:t xml:space="preserve"> </w:t>
      </w:r>
      <w:r w:rsidRPr="00F00D3C">
        <w:rPr>
          <w:rFonts w:ascii="Arial" w:hAnsi="Arial" w:cs="Arial"/>
          <w:sz w:val="24"/>
        </w:rPr>
        <w:t>one-and-a-half to two-fold increase in the odds of secondary school non-completion, university non-enrolment, and degree non-attainment (Silins, et al., 2015).</w:t>
      </w:r>
    </w:p>
    <w:p w14:paraId="367ABF25" w14:textId="77777777" w:rsidR="00F00D3C" w:rsidRPr="00F00D3C" w:rsidRDefault="00F00D3C" w:rsidP="00F00D3C">
      <w:pPr>
        <w:rPr>
          <w:rFonts w:ascii="Arial" w:hAnsi="Arial" w:cs="Arial"/>
          <w:sz w:val="24"/>
        </w:rPr>
      </w:pPr>
      <w:r w:rsidRPr="00F00D3C">
        <w:rPr>
          <w:rFonts w:ascii="Arial" w:hAnsi="Arial" w:cs="Arial"/>
          <w:sz w:val="24"/>
        </w:rPr>
        <w:t>In 2018, four per cent of Year 8s and 10 per cent of Year 11s reported that they used an illegal drug in the past 30 days. For Year 11s, this is a significant decline on 2016 levels. Adolescents from one-parent households are nearly twice as likely to report using illicit drugs in the last month (10 per cent) than their peers in two-parent households (six per cent).</w:t>
      </w:r>
    </w:p>
    <w:p w14:paraId="1E03B15B" w14:textId="77777777" w:rsidR="00F00D3C" w:rsidRDefault="00F00D3C" w:rsidP="00F00D3C">
      <w:pPr>
        <w:rPr>
          <w:rFonts w:ascii="Arial" w:hAnsi="Arial" w:cs="Arial"/>
          <w:sz w:val="24"/>
        </w:rPr>
      </w:pPr>
      <w:r w:rsidRPr="00F00D3C">
        <w:rPr>
          <w:rFonts w:ascii="Arial" w:hAnsi="Arial" w:cs="Arial"/>
          <w:sz w:val="24"/>
        </w:rPr>
        <w:t>In Australia, the illicit substance most commonly used by adolescents is cannabis, with 17 per cent of secondary students aged 12 to 17 reporting having used it at some point in their lives (Guerin &amp; White, 2018). While research on the general Australian population has shown an increase in methamphetamine use and related treatment services (Degenhardt, et al., 2017), the proportion of adolescents using this drug appears to be low and stable at around two per cent (Guerin &amp; White, 2018).</w:t>
      </w:r>
    </w:p>
    <w:p w14:paraId="0EB7AB68" w14:textId="77777777" w:rsidR="00F00D3C" w:rsidRPr="00426F6D" w:rsidRDefault="00426F6D" w:rsidP="00F00D3C">
      <w:pPr>
        <w:rPr>
          <w:rFonts w:ascii="Arial" w:hAnsi="Arial" w:cs="Arial"/>
          <w:b/>
          <w:sz w:val="24"/>
        </w:rPr>
      </w:pPr>
      <w:r w:rsidRPr="00632FFF">
        <w:rPr>
          <w:rFonts w:ascii="Arial" w:hAnsi="Arial" w:cs="Arial"/>
          <w:b/>
          <w:sz w:val="24"/>
        </w:rPr>
        <w:t>Figure 11. Proportion of Victorian students (Years 8 &amp; 11) who have used an illegal drug in the past 30 days, by year level, 2014-2018</w:t>
      </w:r>
    </w:p>
    <w:tbl>
      <w:tblPr>
        <w:tblStyle w:val="TableGrid"/>
        <w:tblW w:w="5000" w:type="pct"/>
        <w:tblLook w:val="04A0" w:firstRow="1" w:lastRow="0" w:firstColumn="1" w:lastColumn="0" w:noHBand="0" w:noVBand="1"/>
        <w:tblDescription w:val="This table provides information on the proportion of Victorian students (Years 8 &amp; 11) who have used an illegal drug in the past 30 days, by year level, 2014-2018"/>
      </w:tblPr>
      <w:tblGrid>
        <w:gridCol w:w="2476"/>
        <w:gridCol w:w="3051"/>
        <w:gridCol w:w="3489"/>
      </w:tblGrid>
      <w:tr w:rsidR="00632FFF" w:rsidRPr="00054426" w14:paraId="4CA5464A" w14:textId="77777777" w:rsidTr="007E21F5">
        <w:trPr>
          <w:tblHeader/>
        </w:trPr>
        <w:tc>
          <w:tcPr>
            <w:tcW w:w="1373" w:type="pct"/>
          </w:tcPr>
          <w:p w14:paraId="373762DD" w14:textId="77777777" w:rsidR="00632FFF" w:rsidRPr="00054426" w:rsidRDefault="00632FFF" w:rsidP="007E21F5">
            <w:pPr>
              <w:rPr>
                <w:rFonts w:ascii="Arial" w:hAnsi="Arial" w:cs="Arial"/>
                <w:sz w:val="24"/>
              </w:rPr>
            </w:pPr>
          </w:p>
        </w:tc>
        <w:tc>
          <w:tcPr>
            <w:tcW w:w="1692" w:type="pct"/>
          </w:tcPr>
          <w:p w14:paraId="62D886F5" w14:textId="77777777" w:rsidR="00632FFF" w:rsidRPr="00054426" w:rsidRDefault="00632FFF" w:rsidP="007E21F5">
            <w:pPr>
              <w:rPr>
                <w:rFonts w:ascii="Arial" w:hAnsi="Arial" w:cs="Arial"/>
                <w:sz w:val="24"/>
              </w:rPr>
            </w:pPr>
            <w:r w:rsidRPr="00054426">
              <w:rPr>
                <w:rFonts w:ascii="Arial" w:hAnsi="Arial" w:cs="Arial"/>
                <w:sz w:val="24"/>
              </w:rPr>
              <w:t>Year 8</w:t>
            </w:r>
          </w:p>
        </w:tc>
        <w:tc>
          <w:tcPr>
            <w:tcW w:w="1935" w:type="pct"/>
          </w:tcPr>
          <w:p w14:paraId="27BE5A91" w14:textId="77777777" w:rsidR="00632FFF" w:rsidRPr="00054426" w:rsidRDefault="00632FFF" w:rsidP="007E21F5">
            <w:pPr>
              <w:rPr>
                <w:rFonts w:ascii="Arial" w:hAnsi="Arial" w:cs="Arial"/>
                <w:sz w:val="24"/>
              </w:rPr>
            </w:pPr>
            <w:r w:rsidRPr="00054426">
              <w:rPr>
                <w:rFonts w:ascii="Arial" w:hAnsi="Arial" w:cs="Arial"/>
                <w:sz w:val="24"/>
              </w:rPr>
              <w:t>Year 11</w:t>
            </w:r>
          </w:p>
        </w:tc>
      </w:tr>
      <w:tr w:rsidR="00632FFF" w:rsidRPr="00054426" w14:paraId="1145362D" w14:textId="77777777" w:rsidTr="007E21F5">
        <w:tc>
          <w:tcPr>
            <w:tcW w:w="1373" w:type="pct"/>
          </w:tcPr>
          <w:p w14:paraId="7B866802" w14:textId="77777777" w:rsidR="00632FFF" w:rsidRPr="00054426" w:rsidRDefault="00632FFF" w:rsidP="007E21F5">
            <w:pPr>
              <w:rPr>
                <w:rFonts w:ascii="Arial" w:hAnsi="Arial" w:cs="Arial"/>
                <w:sz w:val="24"/>
              </w:rPr>
            </w:pPr>
            <w:r w:rsidRPr="00054426">
              <w:rPr>
                <w:rFonts w:ascii="Arial" w:hAnsi="Arial" w:cs="Arial"/>
                <w:sz w:val="24"/>
              </w:rPr>
              <w:t>2014</w:t>
            </w:r>
          </w:p>
        </w:tc>
        <w:tc>
          <w:tcPr>
            <w:tcW w:w="1692" w:type="pct"/>
          </w:tcPr>
          <w:p w14:paraId="6E5120D7" w14:textId="77777777" w:rsidR="00632FFF" w:rsidRPr="00054426" w:rsidRDefault="00632FFF" w:rsidP="007E21F5">
            <w:pPr>
              <w:rPr>
                <w:rFonts w:ascii="Arial" w:hAnsi="Arial" w:cs="Arial"/>
                <w:sz w:val="24"/>
              </w:rPr>
            </w:pPr>
            <w:r>
              <w:rPr>
                <w:rFonts w:ascii="Arial" w:hAnsi="Arial" w:cs="Arial"/>
                <w:sz w:val="24"/>
              </w:rPr>
              <w:t>4</w:t>
            </w:r>
            <w:r w:rsidRPr="00054426">
              <w:rPr>
                <w:rFonts w:ascii="Arial" w:hAnsi="Arial" w:cs="Arial"/>
                <w:sz w:val="24"/>
              </w:rPr>
              <w:t>%</w:t>
            </w:r>
          </w:p>
        </w:tc>
        <w:tc>
          <w:tcPr>
            <w:tcW w:w="1935" w:type="pct"/>
          </w:tcPr>
          <w:p w14:paraId="3965CBB8" w14:textId="77777777" w:rsidR="00632FFF" w:rsidRPr="00054426" w:rsidRDefault="00632FFF" w:rsidP="007E21F5">
            <w:pPr>
              <w:rPr>
                <w:rFonts w:ascii="Arial" w:hAnsi="Arial" w:cs="Arial"/>
                <w:sz w:val="24"/>
              </w:rPr>
            </w:pPr>
            <w:r>
              <w:rPr>
                <w:rFonts w:ascii="Arial" w:hAnsi="Arial" w:cs="Arial"/>
                <w:sz w:val="24"/>
              </w:rPr>
              <w:t>13</w:t>
            </w:r>
            <w:r w:rsidRPr="00054426">
              <w:rPr>
                <w:rFonts w:ascii="Arial" w:hAnsi="Arial" w:cs="Arial"/>
                <w:sz w:val="24"/>
              </w:rPr>
              <w:t>%</w:t>
            </w:r>
          </w:p>
        </w:tc>
      </w:tr>
      <w:tr w:rsidR="00632FFF" w:rsidRPr="00054426" w14:paraId="63B6293A" w14:textId="77777777" w:rsidTr="007E21F5">
        <w:tc>
          <w:tcPr>
            <w:tcW w:w="1373" w:type="pct"/>
          </w:tcPr>
          <w:p w14:paraId="273C1824" w14:textId="77777777" w:rsidR="00632FFF" w:rsidRPr="00054426" w:rsidRDefault="00632FFF" w:rsidP="007E21F5">
            <w:pPr>
              <w:rPr>
                <w:rFonts w:ascii="Arial" w:hAnsi="Arial" w:cs="Arial"/>
                <w:sz w:val="24"/>
              </w:rPr>
            </w:pPr>
            <w:r w:rsidRPr="00054426">
              <w:rPr>
                <w:rFonts w:ascii="Arial" w:hAnsi="Arial" w:cs="Arial"/>
                <w:sz w:val="24"/>
              </w:rPr>
              <w:t>2016</w:t>
            </w:r>
          </w:p>
        </w:tc>
        <w:tc>
          <w:tcPr>
            <w:tcW w:w="1692" w:type="pct"/>
          </w:tcPr>
          <w:p w14:paraId="4776F4F8" w14:textId="77777777" w:rsidR="00632FFF" w:rsidRPr="00054426" w:rsidRDefault="00632FFF" w:rsidP="007E21F5">
            <w:pPr>
              <w:rPr>
                <w:rFonts w:ascii="Arial" w:hAnsi="Arial" w:cs="Arial"/>
                <w:sz w:val="24"/>
              </w:rPr>
            </w:pPr>
            <w:r>
              <w:rPr>
                <w:rFonts w:ascii="Arial" w:hAnsi="Arial" w:cs="Arial"/>
                <w:sz w:val="24"/>
              </w:rPr>
              <w:t>5</w:t>
            </w:r>
            <w:r w:rsidRPr="00054426">
              <w:rPr>
                <w:rFonts w:ascii="Arial" w:hAnsi="Arial" w:cs="Arial"/>
                <w:sz w:val="24"/>
              </w:rPr>
              <w:t>%</w:t>
            </w:r>
          </w:p>
        </w:tc>
        <w:tc>
          <w:tcPr>
            <w:tcW w:w="1935" w:type="pct"/>
          </w:tcPr>
          <w:p w14:paraId="39A0AA68" w14:textId="77777777" w:rsidR="00632FFF" w:rsidRPr="00054426" w:rsidRDefault="00632FFF" w:rsidP="007E21F5">
            <w:pPr>
              <w:rPr>
                <w:rFonts w:ascii="Arial" w:hAnsi="Arial" w:cs="Arial"/>
                <w:sz w:val="24"/>
              </w:rPr>
            </w:pPr>
            <w:r>
              <w:rPr>
                <w:rFonts w:ascii="Arial" w:hAnsi="Arial" w:cs="Arial"/>
                <w:sz w:val="24"/>
              </w:rPr>
              <w:t>13</w:t>
            </w:r>
            <w:r w:rsidRPr="00054426">
              <w:rPr>
                <w:rFonts w:ascii="Arial" w:hAnsi="Arial" w:cs="Arial"/>
                <w:sz w:val="24"/>
              </w:rPr>
              <w:t>%</w:t>
            </w:r>
          </w:p>
        </w:tc>
      </w:tr>
      <w:tr w:rsidR="00632FFF" w14:paraId="5B0B912D" w14:textId="77777777" w:rsidTr="007E21F5">
        <w:tc>
          <w:tcPr>
            <w:tcW w:w="1373" w:type="pct"/>
          </w:tcPr>
          <w:p w14:paraId="5E5880EB" w14:textId="77777777" w:rsidR="00632FFF" w:rsidRPr="00054426" w:rsidRDefault="00632FFF" w:rsidP="007E21F5">
            <w:pPr>
              <w:rPr>
                <w:rFonts w:ascii="Arial" w:hAnsi="Arial" w:cs="Arial"/>
                <w:sz w:val="24"/>
              </w:rPr>
            </w:pPr>
            <w:r w:rsidRPr="00054426">
              <w:rPr>
                <w:rFonts w:ascii="Arial" w:hAnsi="Arial" w:cs="Arial"/>
                <w:sz w:val="24"/>
              </w:rPr>
              <w:t>2018</w:t>
            </w:r>
          </w:p>
        </w:tc>
        <w:tc>
          <w:tcPr>
            <w:tcW w:w="1692" w:type="pct"/>
          </w:tcPr>
          <w:p w14:paraId="045691F7" w14:textId="77777777" w:rsidR="00632FFF" w:rsidRPr="00054426" w:rsidRDefault="00632FFF" w:rsidP="007E21F5">
            <w:pPr>
              <w:rPr>
                <w:rFonts w:ascii="Arial" w:hAnsi="Arial" w:cs="Arial"/>
                <w:sz w:val="24"/>
              </w:rPr>
            </w:pPr>
            <w:r>
              <w:rPr>
                <w:rFonts w:ascii="Arial" w:hAnsi="Arial" w:cs="Arial"/>
                <w:sz w:val="24"/>
              </w:rPr>
              <w:t>4</w:t>
            </w:r>
            <w:r w:rsidRPr="00054426">
              <w:rPr>
                <w:rFonts w:ascii="Arial" w:hAnsi="Arial" w:cs="Arial"/>
                <w:sz w:val="24"/>
              </w:rPr>
              <w:t>%</w:t>
            </w:r>
          </w:p>
        </w:tc>
        <w:tc>
          <w:tcPr>
            <w:tcW w:w="1935" w:type="pct"/>
          </w:tcPr>
          <w:p w14:paraId="082A5500" w14:textId="77777777" w:rsidR="00632FFF" w:rsidRDefault="00632FFF" w:rsidP="007E21F5">
            <w:pPr>
              <w:rPr>
                <w:rFonts w:ascii="Arial" w:hAnsi="Arial" w:cs="Arial"/>
                <w:sz w:val="24"/>
              </w:rPr>
            </w:pPr>
            <w:r>
              <w:rPr>
                <w:rFonts w:ascii="Arial" w:hAnsi="Arial" w:cs="Arial"/>
                <w:sz w:val="24"/>
              </w:rPr>
              <w:t>10</w:t>
            </w:r>
            <w:r w:rsidRPr="00054426">
              <w:rPr>
                <w:rFonts w:ascii="Arial" w:hAnsi="Arial" w:cs="Arial"/>
                <w:sz w:val="24"/>
              </w:rPr>
              <w:t>%</w:t>
            </w:r>
          </w:p>
        </w:tc>
      </w:tr>
    </w:tbl>
    <w:p w14:paraId="65CD63AE" w14:textId="77777777" w:rsidR="0022345D" w:rsidRDefault="00426F6D" w:rsidP="006375EA">
      <w:pPr>
        <w:rPr>
          <w:rFonts w:ascii="Arial" w:hAnsi="Arial" w:cs="Arial"/>
          <w:i/>
          <w:sz w:val="24"/>
        </w:rPr>
      </w:pPr>
      <w:r w:rsidRPr="00426F6D">
        <w:rPr>
          <w:rFonts w:ascii="Arial" w:hAnsi="Arial" w:cs="Arial"/>
          <w:i/>
          <w:sz w:val="24"/>
        </w:rPr>
        <w:t>Source: VSHAWS, 2014, 2016, and 2018, DET</w:t>
      </w:r>
    </w:p>
    <w:p w14:paraId="1375FF7A" w14:textId="77777777" w:rsidR="00CC2C48" w:rsidRPr="002F3BD4" w:rsidRDefault="00CC2C48" w:rsidP="002F3BD4">
      <w:pPr>
        <w:pStyle w:val="Heading3"/>
        <w:rPr>
          <w:rFonts w:ascii="Arial" w:hAnsi="Arial" w:cs="Arial"/>
          <w:color w:val="auto"/>
          <w:sz w:val="24"/>
        </w:rPr>
      </w:pPr>
      <w:bookmarkStart w:id="19" w:name="_Toc33527744"/>
      <w:r w:rsidRPr="002F3BD4">
        <w:rPr>
          <w:rFonts w:ascii="Arial" w:hAnsi="Arial" w:cs="Arial"/>
          <w:color w:val="auto"/>
          <w:sz w:val="24"/>
        </w:rPr>
        <w:t>2.10</w:t>
      </w:r>
      <w:r w:rsidRPr="002F3BD4">
        <w:rPr>
          <w:rFonts w:ascii="Arial" w:hAnsi="Arial" w:cs="Arial"/>
          <w:color w:val="auto"/>
          <w:sz w:val="24"/>
        </w:rPr>
        <w:tab/>
        <w:t>Adolescents are more likely to try alcohol or drugs if their parents or other adults in the family do</w:t>
      </w:r>
      <w:bookmarkEnd w:id="19"/>
    </w:p>
    <w:p w14:paraId="30D6A910" w14:textId="77777777" w:rsidR="00CC2C48" w:rsidRPr="00CC2C48" w:rsidRDefault="00CC2C48" w:rsidP="00CC2C48">
      <w:pPr>
        <w:rPr>
          <w:rFonts w:ascii="Arial" w:hAnsi="Arial" w:cs="Arial"/>
          <w:sz w:val="24"/>
        </w:rPr>
      </w:pPr>
      <w:r w:rsidRPr="00CC2C48">
        <w:rPr>
          <w:rFonts w:ascii="Arial" w:hAnsi="Arial" w:cs="Arial"/>
          <w:sz w:val="24"/>
        </w:rPr>
        <w:t>Adolescents copy many of the behaviours of familial adults, including their risk-taking behaviours. Studies have shown that children living in families where adults engage in substance use, alcohol abuse, or gamble problematically are up to 10 times more likely to present with the same problems when they reach adulthood (Armstrong, Yu, Thomas, &amp; Vassallo, 2016; Dowling, et al., 2016).</w:t>
      </w:r>
    </w:p>
    <w:p w14:paraId="36209811" w14:textId="77777777" w:rsidR="00CC2C48" w:rsidRPr="00CC2C48" w:rsidRDefault="00CC2C48" w:rsidP="00CC2C48">
      <w:pPr>
        <w:rPr>
          <w:rFonts w:ascii="Arial" w:hAnsi="Arial" w:cs="Arial"/>
          <w:sz w:val="24"/>
        </w:rPr>
      </w:pPr>
      <w:r w:rsidRPr="00CC2C48">
        <w:rPr>
          <w:rFonts w:ascii="Arial" w:hAnsi="Arial" w:cs="Arial"/>
          <w:sz w:val="24"/>
        </w:rPr>
        <w:t>Results from VSHAWS 2018 show that one in two Year 8 and 11 students (51 per cent) knew an adult personally who had been drunk in the past year, and one in five</w:t>
      </w:r>
      <w:r>
        <w:rPr>
          <w:rFonts w:ascii="Arial" w:hAnsi="Arial" w:cs="Arial"/>
          <w:sz w:val="24"/>
        </w:rPr>
        <w:t xml:space="preserve"> </w:t>
      </w:r>
      <w:r w:rsidRPr="00CC2C48">
        <w:rPr>
          <w:rFonts w:ascii="Arial" w:hAnsi="Arial" w:cs="Arial"/>
          <w:sz w:val="24"/>
        </w:rPr>
        <w:lastRenderedPageBreak/>
        <w:t>(19 per cent) knew an adult who had used illegal drugs.</w:t>
      </w:r>
      <w:r>
        <w:rPr>
          <w:rFonts w:ascii="Arial" w:hAnsi="Arial" w:cs="Arial"/>
          <w:sz w:val="24"/>
        </w:rPr>
        <w:t xml:space="preserve"> </w:t>
      </w:r>
      <w:r w:rsidRPr="00CC2C48">
        <w:rPr>
          <w:rFonts w:ascii="Arial" w:hAnsi="Arial" w:cs="Arial"/>
          <w:sz w:val="24"/>
        </w:rPr>
        <w:t>These students were much more likely to have tried alcohol or drugs themselves.</w:t>
      </w:r>
    </w:p>
    <w:p w14:paraId="1B768212" w14:textId="77777777" w:rsidR="00426F6D" w:rsidRDefault="00CC2C48" w:rsidP="00CC2C48">
      <w:pPr>
        <w:rPr>
          <w:rFonts w:ascii="Arial" w:hAnsi="Arial" w:cs="Arial"/>
          <w:sz w:val="24"/>
        </w:rPr>
      </w:pPr>
      <w:r w:rsidRPr="00CC2C48">
        <w:rPr>
          <w:rFonts w:ascii="Arial" w:hAnsi="Arial" w:cs="Arial"/>
          <w:sz w:val="24"/>
        </w:rPr>
        <w:t>Two-thirds of those who had ever tried alcohol knew an adult who had been drunk in the past year (67 per cent), compared to only 37 per cent of those who had never tried alcohol. Following the same pattern, almost two-thirds of students who had ever tried drugs knew an adult who had done so in the past year (61 per cent), compared to only fourteen per cent of those who had never tried drugs.</w:t>
      </w:r>
    </w:p>
    <w:p w14:paraId="2C68A15D" w14:textId="77777777" w:rsidR="00CC2C48" w:rsidRDefault="00A17FA8" w:rsidP="00CC2C48">
      <w:pPr>
        <w:rPr>
          <w:rFonts w:ascii="Arial" w:hAnsi="Arial" w:cs="Arial"/>
          <w:b/>
          <w:sz w:val="24"/>
        </w:rPr>
      </w:pPr>
      <w:r w:rsidRPr="00531510">
        <w:rPr>
          <w:rFonts w:ascii="Arial" w:hAnsi="Arial" w:cs="Arial"/>
          <w:b/>
          <w:sz w:val="24"/>
        </w:rPr>
        <w:t>Figure 12. Proportion of Victorian students (Years 8 &amp; 11) who have tried alcohol or drugs and who know adults who have been drunk or used drugs in the past year, 2018</w:t>
      </w:r>
    </w:p>
    <w:tbl>
      <w:tblPr>
        <w:tblStyle w:val="TableGrid"/>
        <w:tblW w:w="0" w:type="auto"/>
        <w:tblLook w:val="04A0" w:firstRow="1" w:lastRow="0" w:firstColumn="1" w:lastColumn="0" w:noHBand="0" w:noVBand="1"/>
        <w:tblDescription w:val="This table provides information on the proportion of Victorian students (Years 8 &amp; 11) who have tried alcohol or drugs and who know adults who have been drunk or used drugs in the past year, 2018"/>
      </w:tblPr>
      <w:tblGrid>
        <w:gridCol w:w="2239"/>
        <w:gridCol w:w="1741"/>
        <w:gridCol w:w="1674"/>
        <w:gridCol w:w="1715"/>
        <w:gridCol w:w="1647"/>
      </w:tblGrid>
      <w:tr w:rsidR="00531510" w:rsidRPr="00054426" w14:paraId="7D976B6A" w14:textId="77777777" w:rsidTr="00531510">
        <w:trPr>
          <w:tblHeader/>
        </w:trPr>
        <w:tc>
          <w:tcPr>
            <w:tcW w:w="0" w:type="auto"/>
          </w:tcPr>
          <w:p w14:paraId="450348CC" w14:textId="77777777" w:rsidR="00531510" w:rsidRPr="00054426" w:rsidRDefault="00531510" w:rsidP="007E21F5">
            <w:pPr>
              <w:rPr>
                <w:rFonts w:ascii="Arial" w:hAnsi="Arial" w:cs="Arial"/>
                <w:sz w:val="24"/>
              </w:rPr>
            </w:pPr>
          </w:p>
        </w:tc>
        <w:tc>
          <w:tcPr>
            <w:tcW w:w="0" w:type="auto"/>
          </w:tcPr>
          <w:p w14:paraId="2A0C960C" w14:textId="77777777" w:rsidR="00531510" w:rsidRPr="00054426" w:rsidRDefault="00531510" w:rsidP="007E21F5">
            <w:pPr>
              <w:rPr>
                <w:rFonts w:ascii="Arial" w:hAnsi="Arial" w:cs="Arial"/>
                <w:sz w:val="24"/>
              </w:rPr>
            </w:pPr>
            <w:r>
              <w:rPr>
                <w:rFonts w:ascii="Arial" w:hAnsi="Arial" w:cs="Arial"/>
                <w:sz w:val="24"/>
              </w:rPr>
              <w:t>Among students who have not tried alcohol</w:t>
            </w:r>
          </w:p>
        </w:tc>
        <w:tc>
          <w:tcPr>
            <w:tcW w:w="0" w:type="auto"/>
          </w:tcPr>
          <w:p w14:paraId="3FE51F54" w14:textId="77777777" w:rsidR="00531510" w:rsidRPr="00054426" w:rsidRDefault="00531510" w:rsidP="007E21F5">
            <w:pPr>
              <w:rPr>
                <w:rFonts w:ascii="Arial" w:hAnsi="Arial" w:cs="Arial"/>
                <w:sz w:val="24"/>
              </w:rPr>
            </w:pPr>
            <w:r>
              <w:rPr>
                <w:rFonts w:ascii="Arial" w:hAnsi="Arial" w:cs="Arial"/>
                <w:sz w:val="24"/>
              </w:rPr>
              <w:t>Among students who have tried alcohol</w:t>
            </w:r>
          </w:p>
        </w:tc>
        <w:tc>
          <w:tcPr>
            <w:tcW w:w="0" w:type="auto"/>
          </w:tcPr>
          <w:p w14:paraId="53EFB29B" w14:textId="77777777" w:rsidR="00531510" w:rsidRPr="00054426" w:rsidRDefault="00531510" w:rsidP="00531510">
            <w:pPr>
              <w:rPr>
                <w:rFonts w:ascii="Arial" w:hAnsi="Arial" w:cs="Arial"/>
                <w:sz w:val="24"/>
              </w:rPr>
            </w:pPr>
            <w:r>
              <w:rPr>
                <w:rFonts w:ascii="Arial" w:hAnsi="Arial" w:cs="Arial"/>
                <w:sz w:val="24"/>
              </w:rPr>
              <w:t>Among students who have not tried drugs</w:t>
            </w:r>
          </w:p>
        </w:tc>
        <w:tc>
          <w:tcPr>
            <w:tcW w:w="0" w:type="auto"/>
          </w:tcPr>
          <w:p w14:paraId="2DA3BD06" w14:textId="77777777" w:rsidR="00531510" w:rsidRPr="00054426" w:rsidRDefault="00531510" w:rsidP="00531510">
            <w:pPr>
              <w:rPr>
                <w:rFonts w:ascii="Arial" w:hAnsi="Arial" w:cs="Arial"/>
                <w:sz w:val="24"/>
              </w:rPr>
            </w:pPr>
            <w:r>
              <w:rPr>
                <w:rFonts w:ascii="Arial" w:hAnsi="Arial" w:cs="Arial"/>
                <w:sz w:val="24"/>
              </w:rPr>
              <w:t>Among students who have tried drugs</w:t>
            </w:r>
          </w:p>
        </w:tc>
      </w:tr>
      <w:tr w:rsidR="00531510" w14:paraId="4CEFE132" w14:textId="77777777" w:rsidTr="00531510">
        <w:tc>
          <w:tcPr>
            <w:tcW w:w="0" w:type="auto"/>
          </w:tcPr>
          <w:p w14:paraId="3500B25A" w14:textId="77777777" w:rsidR="00531510" w:rsidRPr="00054426" w:rsidRDefault="00531510" w:rsidP="007E21F5">
            <w:pPr>
              <w:rPr>
                <w:rFonts w:ascii="Arial" w:hAnsi="Arial" w:cs="Arial"/>
                <w:sz w:val="24"/>
              </w:rPr>
            </w:pPr>
            <w:r>
              <w:rPr>
                <w:rFonts w:ascii="Arial" w:hAnsi="Arial" w:cs="Arial"/>
                <w:sz w:val="24"/>
              </w:rPr>
              <w:t>Prefer not to answer</w:t>
            </w:r>
          </w:p>
        </w:tc>
        <w:tc>
          <w:tcPr>
            <w:tcW w:w="0" w:type="auto"/>
          </w:tcPr>
          <w:p w14:paraId="76C6EF73" w14:textId="77777777" w:rsidR="00531510" w:rsidRPr="00054426" w:rsidRDefault="00531510" w:rsidP="00531510">
            <w:pPr>
              <w:rPr>
                <w:rFonts w:ascii="Arial" w:hAnsi="Arial" w:cs="Arial"/>
                <w:sz w:val="24"/>
              </w:rPr>
            </w:pPr>
            <w:r>
              <w:rPr>
                <w:rFonts w:ascii="Arial" w:hAnsi="Arial" w:cs="Arial"/>
                <w:sz w:val="24"/>
              </w:rPr>
              <w:t>5%</w:t>
            </w:r>
          </w:p>
        </w:tc>
        <w:tc>
          <w:tcPr>
            <w:tcW w:w="0" w:type="auto"/>
          </w:tcPr>
          <w:p w14:paraId="48DCF6ED" w14:textId="77777777" w:rsidR="00531510" w:rsidRDefault="00531510" w:rsidP="007E21F5">
            <w:pPr>
              <w:rPr>
                <w:rFonts w:ascii="Arial" w:hAnsi="Arial" w:cs="Arial"/>
                <w:sz w:val="24"/>
              </w:rPr>
            </w:pPr>
            <w:r>
              <w:rPr>
                <w:rFonts w:ascii="Arial" w:hAnsi="Arial" w:cs="Arial"/>
                <w:sz w:val="24"/>
              </w:rPr>
              <w:t>5%</w:t>
            </w:r>
          </w:p>
        </w:tc>
        <w:tc>
          <w:tcPr>
            <w:tcW w:w="0" w:type="auto"/>
          </w:tcPr>
          <w:p w14:paraId="5FF9CE84" w14:textId="77777777" w:rsidR="00531510" w:rsidRDefault="00531510" w:rsidP="007E21F5">
            <w:pPr>
              <w:rPr>
                <w:rFonts w:ascii="Arial" w:hAnsi="Arial" w:cs="Arial"/>
                <w:sz w:val="24"/>
              </w:rPr>
            </w:pPr>
            <w:r>
              <w:rPr>
                <w:rFonts w:ascii="Arial" w:hAnsi="Arial" w:cs="Arial"/>
                <w:sz w:val="24"/>
              </w:rPr>
              <w:t>4%</w:t>
            </w:r>
          </w:p>
        </w:tc>
        <w:tc>
          <w:tcPr>
            <w:tcW w:w="0" w:type="auto"/>
          </w:tcPr>
          <w:p w14:paraId="0D7497CA" w14:textId="77777777" w:rsidR="00531510" w:rsidRDefault="00531510" w:rsidP="007E21F5">
            <w:pPr>
              <w:rPr>
                <w:rFonts w:ascii="Arial" w:hAnsi="Arial" w:cs="Arial"/>
                <w:sz w:val="24"/>
              </w:rPr>
            </w:pPr>
            <w:r>
              <w:rPr>
                <w:rFonts w:ascii="Arial" w:hAnsi="Arial" w:cs="Arial"/>
                <w:sz w:val="24"/>
              </w:rPr>
              <w:t>4%</w:t>
            </w:r>
          </w:p>
        </w:tc>
      </w:tr>
      <w:tr w:rsidR="00531510" w14:paraId="011DF419" w14:textId="77777777" w:rsidTr="00531510">
        <w:tc>
          <w:tcPr>
            <w:tcW w:w="0" w:type="auto"/>
          </w:tcPr>
          <w:p w14:paraId="299F1993" w14:textId="77777777" w:rsidR="00531510" w:rsidRPr="00054426" w:rsidRDefault="00531510" w:rsidP="007E21F5">
            <w:pPr>
              <w:rPr>
                <w:rFonts w:ascii="Arial" w:hAnsi="Arial" w:cs="Arial"/>
                <w:sz w:val="24"/>
              </w:rPr>
            </w:pPr>
            <w:r>
              <w:rPr>
                <w:rFonts w:ascii="Arial" w:hAnsi="Arial" w:cs="Arial"/>
                <w:sz w:val="24"/>
              </w:rPr>
              <w:t>Doesn’t know adult who got drunk/used drugs in past year</w:t>
            </w:r>
          </w:p>
        </w:tc>
        <w:tc>
          <w:tcPr>
            <w:tcW w:w="0" w:type="auto"/>
          </w:tcPr>
          <w:p w14:paraId="57A4F125" w14:textId="77777777" w:rsidR="00531510" w:rsidRDefault="00531510" w:rsidP="007E21F5">
            <w:pPr>
              <w:rPr>
                <w:rFonts w:ascii="Arial" w:hAnsi="Arial" w:cs="Arial"/>
                <w:sz w:val="24"/>
              </w:rPr>
            </w:pPr>
            <w:r>
              <w:rPr>
                <w:rFonts w:ascii="Arial" w:hAnsi="Arial" w:cs="Arial"/>
                <w:sz w:val="24"/>
              </w:rPr>
              <w:t>58%</w:t>
            </w:r>
          </w:p>
        </w:tc>
        <w:tc>
          <w:tcPr>
            <w:tcW w:w="0" w:type="auto"/>
          </w:tcPr>
          <w:p w14:paraId="6DC402FD" w14:textId="77777777" w:rsidR="00531510" w:rsidRDefault="00531510" w:rsidP="007E21F5">
            <w:pPr>
              <w:rPr>
                <w:rFonts w:ascii="Arial" w:hAnsi="Arial" w:cs="Arial"/>
                <w:sz w:val="24"/>
              </w:rPr>
            </w:pPr>
            <w:r>
              <w:rPr>
                <w:rFonts w:ascii="Arial" w:hAnsi="Arial" w:cs="Arial"/>
                <w:sz w:val="24"/>
              </w:rPr>
              <w:t>29%</w:t>
            </w:r>
          </w:p>
        </w:tc>
        <w:tc>
          <w:tcPr>
            <w:tcW w:w="0" w:type="auto"/>
          </w:tcPr>
          <w:p w14:paraId="13B388FE" w14:textId="77777777" w:rsidR="00531510" w:rsidRDefault="00531510" w:rsidP="007E21F5">
            <w:pPr>
              <w:rPr>
                <w:rFonts w:ascii="Arial" w:hAnsi="Arial" w:cs="Arial"/>
                <w:sz w:val="24"/>
              </w:rPr>
            </w:pPr>
            <w:r>
              <w:rPr>
                <w:rFonts w:ascii="Arial" w:hAnsi="Arial" w:cs="Arial"/>
                <w:sz w:val="24"/>
              </w:rPr>
              <w:t>81%</w:t>
            </w:r>
          </w:p>
        </w:tc>
        <w:tc>
          <w:tcPr>
            <w:tcW w:w="0" w:type="auto"/>
          </w:tcPr>
          <w:p w14:paraId="699B2D18" w14:textId="77777777" w:rsidR="00531510" w:rsidRDefault="00531510" w:rsidP="007E21F5">
            <w:pPr>
              <w:rPr>
                <w:rFonts w:ascii="Arial" w:hAnsi="Arial" w:cs="Arial"/>
                <w:sz w:val="24"/>
              </w:rPr>
            </w:pPr>
            <w:r>
              <w:rPr>
                <w:rFonts w:ascii="Arial" w:hAnsi="Arial" w:cs="Arial"/>
                <w:sz w:val="24"/>
              </w:rPr>
              <w:t>35%</w:t>
            </w:r>
          </w:p>
        </w:tc>
      </w:tr>
      <w:tr w:rsidR="00531510" w14:paraId="3773D5E4" w14:textId="77777777" w:rsidTr="00531510">
        <w:tc>
          <w:tcPr>
            <w:tcW w:w="0" w:type="auto"/>
          </w:tcPr>
          <w:p w14:paraId="752A18A7" w14:textId="77777777" w:rsidR="00531510" w:rsidRPr="00054426" w:rsidRDefault="00531510" w:rsidP="007E21F5">
            <w:pPr>
              <w:rPr>
                <w:rFonts w:ascii="Arial" w:hAnsi="Arial" w:cs="Arial"/>
                <w:sz w:val="24"/>
              </w:rPr>
            </w:pPr>
            <w:r>
              <w:rPr>
                <w:rFonts w:ascii="Arial" w:hAnsi="Arial" w:cs="Arial"/>
                <w:sz w:val="24"/>
              </w:rPr>
              <w:t>Does know adult who got drunk/used drugs in past year</w:t>
            </w:r>
          </w:p>
        </w:tc>
        <w:tc>
          <w:tcPr>
            <w:tcW w:w="0" w:type="auto"/>
          </w:tcPr>
          <w:p w14:paraId="6B00BA00" w14:textId="77777777" w:rsidR="00531510" w:rsidRDefault="00531510" w:rsidP="007E21F5">
            <w:pPr>
              <w:rPr>
                <w:rFonts w:ascii="Arial" w:hAnsi="Arial" w:cs="Arial"/>
                <w:sz w:val="24"/>
              </w:rPr>
            </w:pPr>
            <w:r>
              <w:rPr>
                <w:rFonts w:ascii="Arial" w:hAnsi="Arial" w:cs="Arial"/>
                <w:sz w:val="24"/>
              </w:rPr>
              <w:t>37%</w:t>
            </w:r>
          </w:p>
        </w:tc>
        <w:tc>
          <w:tcPr>
            <w:tcW w:w="0" w:type="auto"/>
          </w:tcPr>
          <w:p w14:paraId="15EC76A2" w14:textId="77777777" w:rsidR="00531510" w:rsidRDefault="00531510" w:rsidP="007E21F5">
            <w:pPr>
              <w:rPr>
                <w:rFonts w:ascii="Arial" w:hAnsi="Arial" w:cs="Arial"/>
                <w:sz w:val="24"/>
              </w:rPr>
            </w:pPr>
            <w:r>
              <w:rPr>
                <w:rFonts w:ascii="Arial" w:hAnsi="Arial" w:cs="Arial"/>
                <w:sz w:val="24"/>
              </w:rPr>
              <w:t>67%</w:t>
            </w:r>
          </w:p>
        </w:tc>
        <w:tc>
          <w:tcPr>
            <w:tcW w:w="0" w:type="auto"/>
          </w:tcPr>
          <w:p w14:paraId="2B8FD63B" w14:textId="77777777" w:rsidR="00531510" w:rsidRDefault="00531510" w:rsidP="007E21F5">
            <w:pPr>
              <w:rPr>
                <w:rFonts w:ascii="Arial" w:hAnsi="Arial" w:cs="Arial"/>
                <w:sz w:val="24"/>
              </w:rPr>
            </w:pPr>
            <w:r>
              <w:rPr>
                <w:rFonts w:ascii="Arial" w:hAnsi="Arial" w:cs="Arial"/>
                <w:sz w:val="24"/>
              </w:rPr>
              <w:t>14%</w:t>
            </w:r>
          </w:p>
        </w:tc>
        <w:tc>
          <w:tcPr>
            <w:tcW w:w="0" w:type="auto"/>
          </w:tcPr>
          <w:p w14:paraId="481A63CF" w14:textId="77777777" w:rsidR="00531510" w:rsidRDefault="00531510" w:rsidP="007E21F5">
            <w:pPr>
              <w:rPr>
                <w:rFonts w:ascii="Arial" w:hAnsi="Arial" w:cs="Arial"/>
                <w:sz w:val="24"/>
              </w:rPr>
            </w:pPr>
            <w:r>
              <w:rPr>
                <w:rFonts w:ascii="Arial" w:hAnsi="Arial" w:cs="Arial"/>
                <w:sz w:val="24"/>
              </w:rPr>
              <w:t>61%</w:t>
            </w:r>
          </w:p>
        </w:tc>
      </w:tr>
    </w:tbl>
    <w:p w14:paraId="71E14F90" w14:textId="77777777" w:rsidR="00A17FA8" w:rsidRDefault="00A17FA8" w:rsidP="00A17FA8">
      <w:pPr>
        <w:rPr>
          <w:rFonts w:ascii="Arial" w:hAnsi="Arial" w:cs="Arial"/>
          <w:i/>
          <w:sz w:val="24"/>
        </w:rPr>
      </w:pPr>
      <w:r>
        <w:rPr>
          <w:rFonts w:ascii="Arial" w:hAnsi="Arial" w:cs="Arial"/>
          <w:i/>
          <w:sz w:val="24"/>
        </w:rPr>
        <w:t xml:space="preserve">Source: VSHAWS, </w:t>
      </w:r>
      <w:r w:rsidRPr="00426F6D">
        <w:rPr>
          <w:rFonts w:ascii="Arial" w:hAnsi="Arial" w:cs="Arial"/>
          <w:i/>
          <w:sz w:val="24"/>
        </w:rPr>
        <w:t>2018, DET</w:t>
      </w:r>
    </w:p>
    <w:p w14:paraId="6BB628F1" w14:textId="77777777" w:rsidR="002B4D3A" w:rsidRPr="002B4D3A" w:rsidRDefault="002B4D3A" w:rsidP="002B4D3A">
      <w:pPr>
        <w:pBdr>
          <w:top w:val="single" w:sz="4" w:space="1" w:color="auto"/>
          <w:left w:val="single" w:sz="4" w:space="4" w:color="auto"/>
          <w:bottom w:val="single" w:sz="4" w:space="1" w:color="auto"/>
          <w:right w:val="single" w:sz="4" w:space="4" w:color="auto"/>
        </w:pBdr>
        <w:rPr>
          <w:rFonts w:ascii="Arial" w:hAnsi="Arial" w:cs="Arial"/>
          <w:b/>
          <w:sz w:val="24"/>
        </w:rPr>
      </w:pPr>
      <w:r w:rsidRPr="002B4D3A">
        <w:rPr>
          <w:rFonts w:ascii="Arial" w:hAnsi="Arial" w:cs="Arial"/>
          <w:b/>
          <w:sz w:val="24"/>
        </w:rPr>
        <w:t>Efforts to reduce the impact of alcohol and other drugs in Victorian communities</w:t>
      </w:r>
    </w:p>
    <w:p w14:paraId="464D9977" w14:textId="77777777" w:rsidR="002B4D3A" w:rsidRPr="002B4D3A" w:rsidRDefault="002B4D3A" w:rsidP="002B4D3A">
      <w:pPr>
        <w:pBdr>
          <w:top w:val="single" w:sz="4" w:space="1" w:color="auto"/>
          <w:left w:val="single" w:sz="4" w:space="4" w:color="auto"/>
          <w:bottom w:val="single" w:sz="4" w:space="1" w:color="auto"/>
          <w:right w:val="single" w:sz="4" w:space="4" w:color="auto"/>
        </w:pBdr>
        <w:rPr>
          <w:rFonts w:ascii="Arial" w:hAnsi="Arial" w:cs="Arial"/>
          <w:sz w:val="24"/>
        </w:rPr>
      </w:pPr>
      <w:r w:rsidRPr="002B4D3A">
        <w:rPr>
          <w:rFonts w:ascii="Arial" w:hAnsi="Arial" w:cs="Arial"/>
          <w:sz w:val="24"/>
        </w:rPr>
        <w:t>In 2019-20, the Victorian Government is increasing its investment in drug services and the continued roll out of the $184 million Ice Action Plan and $87 million Drug Rehabilitation Plan. These plans have:</w:t>
      </w:r>
    </w:p>
    <w:p w14:paraId="2A054412" w14:textId="77777777" w:rsidR="002B4D3A" w:rsidRPr="002B4D3A" w:rsidRDefault="002B4D3A" w:rsidP="002B4D3A">
      <w:pPr>
        <w:pBdr>
          <w:top w:val="single" w:sz="4" w:space="1" w:color="auto"/>
          <w:left w:val="single" w:sz="4" w:space="4" w:color="auto"/>
          <w:bottom w:val="single" w:sz="4" w:space="1" w:color="auto"/>
          <w:right w:val="single" w:sz="4" w:space="4" w:color="auto"/>
        </w:pBdr>
        <w:rPr>
          <w:rFonts w:ascii="Arial" w:hAnsi="Arial" w:cs="Arial"/>
          <w:sz w:val="24"/>
        </w:rPr>
      </w:pPr>
      <w:r w:rsidRPr="002B4D3A">
        <w:rPr>
          <w:rFonts w:ascii="Arial" w:hAnsi="Arial" w:cs="Arial"/>
          <w:sz w:val="24"/>
        </w:rPr>
        <w:t>• increased the supports available to Victorian young people, their families and communities, including community-based and residential treatment services</w:t>
      </w:r>
    </w:p>
    <w:p w14:paraId="27113836" w14:textId="77777777" w:rsidR="002B4D3A" w:rsidRPr="002B4D3A" w:rsidRDefault="002B4D3A" w:rsidP="002B4D3A">
      <w:pPr>
        <w:pBdr>
          <w:top w:val="single" w:sz="4" w:space="1" w:color="auto"/>
          <w:left w:val="single" w:sz="4" w:space="4" w:color="auto"/>
          <w:bottom w:val="single" w:sz="4" w:space="1" w:color="auto"/>
          <w:right w:val="single" w:sz="4" w:space="4" w:color="auto"/>
        </w:pBdr>
        <w:rPr>
          <w:rFonts w:ascii="Arial" w:hAnsi="Arial" w:cs="Arial"/>
          <w:sz w:val="24"/>
        </w:rPr>
      </w:pPr>
      <w:r w:rsidRPr="002B4D3A">
        <w:rPr>
          <w:rFonts w:ascii="Arial" w:hAnsi="Arial" w:cs="Arial"/>
          <w:sz w:val="24"/>
        </w:rPr>
        <w:t>• addressed other urgent issues, such as the protection of frontline workers, closing down manufacturers, and increasing penalties for trafficking ice and heroin.</w:t>
      </w:r>
    </w:p>
    <w:p w14:paraId="5AA64901" w14:textId="77777777" w:rsidR="00252D77" w:rsidRPr="002F3BD4" w:rsidRDefault="00252D77" w:rsidP="002F3BD4">
      <w:pPr>
        <w:pStyle w:val="Heading3"/>
        <w:rPr>
          <w:rFonts w:ascii="Arial" w:hAnsi="Arial" w:cs="Arial"/>
          <w:color w:val="auto"/>
          <w:sz w:val="24"/>
        </w:rPr>
      </w:pPr>
      <w:bookmarkStart w:id="20" w:name="_Toc33527745"/>
      <w:r w:rsidRPr="002F3BD4">
        <w:rPr>
          <w:rFonts w:ascii="Arial" w:hAnsi="Arial" w:cs="Arial"/>
          <w:color w:val="auto"/>
          <w:sz w:val="24"/>
        </w:rPr>
        <w:t>2.11</w:t>
      </w:r>
      <w:r w:rsidRPr="002F3BD4">
        <w:rPr>
          <w:rFonts w:ascii="Arial" w:hAnsi="Arial" w:cs="Arial"/>
          <w:color w:val="auto"/>
          <w:sz w:val="24"/>
        </w:rPr>
        <w:tab/>
        <w:t>Adolescents are more likely to drink, smoke or use cannabis if their parents have a relaxed attitude to the use of these substances</w:t>
      </w:r>
      <w:bookmarkEnd w:id="20"/>
    </w:p>
    <w:p w14:paraId="384B9FF4" w14:textId="77777777" w:rsidR="00A17FA8" w:rsidRDefault="00252D77" w:rsidP="00252D77">
      <w:pPr>
        <w:rPr>
          <w:rFonts w:ascii="Arial" w:hAnsi="Arial" w:cs="Arial"/>
          <w:sz w:val="24"/>
        </w:rPr>
      </w:pPr>
      <w:r w:rsidRPr="00252D77">
        <w:rPr>
          <w:rFonts w:ascii="Arial" w:hAnsi="Arial" w:cs="Arial"/>
          <w:sz w:val="24"/>
        </w:rPr>
        <w:t xml:space="preserve">Many Victorian adolescents in Years 8 and 11 report that their parents think it would be wrong or very wrong for adolescents to drink (66 per cent), use cannabis (70 per cent), or smoke cigarettes (88 per cent). These attitudes were associated with the adolescents’ behaviour, with usage rates up to five times lower in families where </w:t>
      </w:r>
      <w:r w:rsidRPr="00252D77">
        <w:rPr>
          <w:rFonts w:ascii="Arial" w:hAnsi="Arial" w:cs="Arial"/>
          <w:sz w:val="24"/>
        </w:rPr>
        <w:lastRenderedPageBreak/>
        <w:t>parents did not condone consumption. Only eight per cent of students had ever used marijuana in households where parents thought consumption was wrong or very wrong. Where parents thought it to be only a little bit wrong or not wrong at all, nearly half (44 per cent) had used it.</w:t>
      </w:r>
    </w:p>
    <w:p w14:paraId="48441F65" w14:textId="77777777" w:rsidR="00252D77" w:rsidRDefault="00580F95" w:rsidP="00252D77">
      <w:pPr>
        <w:rPr>
          <w:rFonts w:ascii="Arial" w:hAnsi="Arial" w:cs="Arial"/>
          <w:b/>
          <w:sz w:val="24"/>
        </w:rPr>
      </w:pPr>
      <w:r w:rsidRPr="00C043E4">
        <w:rPr>
          <w:rFonts w:ascii="Arial" w:hAnsi="Arial" w:cs="Arial"/>
          <w:b/>
          <w:sz w:val="24"/>
        </w:rPr>
        <w:t>Figure 13. Victorian students (Years 8 &amp; 11) consumption of cigarettes, alcohol, and cannabis, by parent attitudes towards substance use, 2018</w:t>
      </w:r>
    </w:p>
    <w:tbl>
      <w:tblPr>
        <w:tblStyle w:val="TableGrid"/>
        <w:tblW w:w="0" w:type="auto"/>
        <w:tblLook w:val="04A0" w:firstRow="1" w:lastRow="0" w:firstColumn="1" w:lastColumn="0" w:noHBand="0" w:noVBand="1"/>
        <w:tblDescription w:val="This table provides information on Victorian students' (Years 8 &amp; 11) consumption of cigarettes, alcohol, and cannabis, by parent attitudes towards substance use, 2018"/>
      </w:tblPr>
      <w:tblGrid>
        <w:gridCol w:w="3767"/>
        <w:gridCol w:w="2020"/>
        <w:gridCol w:w="1547"/>
        <w:gridCol w:w="1682"/>
      </w:tblGrid>
      <w:tr w:rsidR="007E21F5" w:rsidRPr="00054426" w14:paraId="3DA7AB5B" w14:textId="77777777" w:rsidTr="007E21F5">
        <w:trPr>
          <w:tblHeader/>
        </w:trPr>
        <w:tc>
          <w:tcPr>
            <w:tcW w:w="0" w:type="auto"/>
          </w:tcPr>
          <w:p w14:paraId="787531AA" w14:textId="77777777" w:rsidR="007E21F5" w:rsidRPr="00054426" w:rsidRDefault="007E21F5" w:rsidP="007E21F5">
            <w:pPr>
              <w:rPr>
                <w:rFonts w:ascii="Arial" w:hAnsi="Arial" w:cs="Arial"/>
                <w:sz w:val="24"/>
              </w:rPr>
            </w:pPr>
          </w:p>
        </w:tc>
        <w:tc>
          <w:tcPr>
            <w:tcW w:w="0" w:type="auto"/>
          </w:tcPr>
          <w:p w14:paraId="42FF4E01" w14:textId="77777777" w:rsidR="007E21F5" w:rsidRPr="00054426" w:rsidRDefault="007E21F5" w:rsidP="007E21F5">
            <w:pPr>
              <w:rPr>
                <w:rFonts w:ascii="Arial" w:hAnsi="Arial" w:cs="Arial"/>
                <w:sz w:val="24"/>
              </w:rPr>
            </w:pPr>
            <w:r>
              <w:rPr>
                <w:rFonts w:ascii="Arial" w:hAnsi="Arial" w:cs="Arial"/>
                <w:sz w:val="24"/>
              </w:rPr>
              <w:t>Smoked cigarettes</w:t>
            </w:r>
          </w:p>
        </w:tc>
        <w:tc>
          <w:tcPr>
            <w:tcW w:w="0" w:type="auto"/>
          </w:tcPr>
          <w:p w14:paraId="576050F5" w14:textId="77777777" w:rsidR="007E21F5" w:rsidRPr="00054426" w:rsidRDefault="007E21F5" w:rsidP="007E21F5">
            <w:pPr>
              <w:rPr>
                <w:rFonts w:ascii="Arial" w:hAnsi="Arial" w:cs="Arial"/>
                <w:sz w:val="24"/>
              </w:rPr>
            </w:pPr>
            <w:r>
              <w:rPr>
                <w:rFonts w:ascii="Arial" w:hAnsi="Arial" w:cs="Arial"/>
                <w:sz w:val="24"/>
              </w:rPr>
              <w:t>Drank alcohol</w:t>
            </w:r>
          </w:p>
        </w:tc>
        <w:tc>
          <w:tcPr>
            <w:tcW w:w="0" w:type="auto"/>
          </w:tcPr>
          <w:p w14:paraId="250EA39E" w14:textId="77777777" w:rsidR="007E21F5" w:rsidRPr="00054426" w:rsidRDefault="007E21F5" w:rsidP="007E21F5">
            <w:pPr>
              <w:rPr>
                <w:rFonts w:ascii="Arial" w:hAnsi="Arial" w:cs="Arial"/>
                <w:sz w:val="24"/>
              </w:rPr>
            </w:pPr>
            <w:r>
              <w:rPr>
                <w:rFonts w:ascii="Arial" w:hAnsi="Arial" w:cs="Arial"/>
                <w:sz w:val="24"/>
              </w:rPr>
              <w:t>Used cannabis</w:t>
            </w:r>
          </w:p>
        </w:tc>
      </w:tr>
      <w:tr w:rsidR="007E21F5" w14:paraId="2728030F" w14:textId="77777777" w:rsidTr="007E21F5">
        <w:tc>
          <w:tcPr>
            <w:tcW w:w="0" w:type="auto"/>
          </w:tcPr>
          <w:p w14:paraId="64659C6C" w14:textId="77777777" w:rsidR="007E21F5" w:rsidRPr="00054426" w:rsidRDefault="007E21F5" w:rsidP="007E21F5">
            <w:pPr>
              <w:rPr>
                <w:rFonts w:ascii="Arial" w:hAnsi="Arial" w:cs="Arial"/>
                <w:sz w:val="24"/>
              </w:rPr>
            </w:pPr>
            <w:r>
              <w:rPr>
                <w:rFonts w:ascii="Arial" w:hAnsi="Arial" w:cs="Arial"/>
                <w:sz w:val="24"/>
              </w:rPr>
              <w:t>Parent attitude – not wrong/a bit wrong</w:t>
            </w:r>
          </w:p>
        </w:tc>
        <w:tc>
          <w:tcPr>
            <w:tcW w:w="0" w:type="auto"/>
          </w:tcPr>
          <w:p w14:paraId="292EB753" w14:textId="77777777" w:rsidR="007E21F5" w:rsidRPr="00054426" w:rsidRDefault="00C043E4" w:rsidP="007E21F5">
            <w:pPr>
              <w:rPr>
                <w:rFonts w:ascii="Arial" w:hAnsi="Arial" w:cs="Arial"/>
                <w:sz w:val="24"/>
              </w:rPr>
            </w:pPr>
            <w:r>
              <w:rPr>
                <w:rFonts w:ascii="Arial" w:hAnsi="Arial" w:cs="Arial"/>
                <w:sz w:val="24"/>
              </w:rPr>
              <w:t>43</w:t>
            </w:r>
            <w:r w:rsidR="007E21F5">
              <w:rPr>
                <w:rFonts w:ascii="Arial" w:hAnsi="Arial" w:cs="Arial"/>
                <w:sz w:val="24"/>
              </w:rPr>
              <w:t>%</w:t>
            </w:r>
          </w:p>
        </w:tc>
        <w:tc>
          <w:tcPr>
            <w:tcW w:w="0" w:type="auto"/>
          </w:tcPr>
          <w:p w14:paraId="003BA7B3" w14:textId="77777777" w:rsidR="007E21F5" w:rsidRDefault="00C043E4" w:rsidP="007E21F5">
            <w:pPr>
              <w:rPr>
                <w:rFonts w:ascii="Arial" w:hAnsi="Arial" w:cs="Arial"/>
                <w:sz w:val="24"/>
              </w:rPr>
            </w:pPr>
            <w:r>
              <w:rPr>
                <w:rFonts w:ascii="Arial" w:hAnsi="Arial" w:cs="Arial"/>
                <w:sz w:val="24"/>
              </w:rPr>
              <w:t>78</w:t>
            </w:r>
            <w:r w:rsidR="007E21F5">
              <w:rPr>
                <w:rFonts w:ascii="Arial" w:hAnsi="Arial" w:cs="Arial"/>
                <w:sz w:val="24"/>
              </w:rPr>
              <w:t>%</w:t>
            </w:r>
          </w:p>
        </w:tc>
        <w:tc>
          <w:tcPr>
            <w:tcW w:w="0" w:type="auto"/>
          </w:tcPr>
          <w:p w14:paraId="0B9D2884" w14:textId="77777777" w:rsidR="007E21F5" w:rsidRDefault="00C043E4" w:rsidP="007E21F5">
            <w:pPr>
              <w:rPr>
                <w:rFonts w:ascii="Arial" w:hAnsi="Arial" w:cs="Arial"/>
                <w:sz w:val="24"/>
              </w:rPr>
            </w:pPr>
            <w:r>
              <w:rPr>
                <w:rFonts w:ascii="Arial" w:hAnsi="Arial" w:cs="Arial"/>
                <w:sz w:val="24"/>
              </w:rPr>
              <w:t>4</w:t>
            </w:r>
            <w:r w:rsidR="007E21F5">
              <w:rPr>
                <w:rFonts w:ascii="Arial" w:hAnsi="Arial" w:cs="Arial"/>
                <w:sz w:val="24"/>
              </w:rPr>
              <w:t>4%</w:t>
            </w:r>
          </w:p>
        </w:tc>
      </w:tr>
      <w:tr w:rsidR="007E21F5" w14:paraId="780AC647" w14:textId="77777777" w:rsidTr="007E21F5">
        <w:tc>
          <w:tcPr>
            <w:tcW w:w="0" w:type="auto"/>
          </w:tcPr>
          <w:p w14:paraId="450A13A8" w14:textId="77777777" w:rsidR="007E21F5" w:rsidRPr="00054426" w:rsidRDefault="007E21F5" w:rsidP="007E21F5">
            <w:pPr>
              <w:rPr>
                <w:rFonts w:ascii="Arial" w:hAnsi="Arial" w:cs="Arial"/>
                <w:sz w:val="24"/>
              </w:rPr>
            </w:pPr>
            <w:r>
              <w:rPr>
                <w:rFonts w:ascii="Arial" w:hAnsi="Arial" w:cs="Arial"/>
                <w:sz w:val="24"/>
              </w:rPr>
              <w:t>Parent attitude –wrong/very wrong</w:t>
            </w:r>
          </w:p>
        </w:tc>
        <w:tc>
          <w:tcPr>
            <w:tcW w:w="0" w:type="auto"/>
          </w:tcPr>
          <w:p w14:paraId="2EA0EDFC" w14:textId="77777777" w:rsidR="007E21F5" w:rsidRDefault="00C043E4" w:rsidP="007E21F5">
            <w:pPr>
              <w:rPr>
                <w:rFonts w:ascii="Arial" w:hAnsi="Arial" w:cs="Arial"/>
                <w:sz w:val="24"/>
              </w:rPr>
            </w:pPr>
            <w:r>
              <w:rPr>
                <w:rFonts w:ascii="Arial" w:hAnsi="Arial" w:cs="Arial"/>
                <w:sz w:val="24"/>
              </w:rPr>
              <w:t>11</w:t>
            </w:r>
            <w:r w:rsidR="007E21F5">
              <w:rPr>
                <w:rFonts w:ascii="Arial" w:hAnsi="Arial" w:cs="Arial"/>
                <w:sz w:val="24"/>
              </w:rPr>
              <w:t>%</w:t>
            </w:r>
          </w:p>
        </w:tc>
        <w:tc>
          <w:tcPr>
            <w:tcW w:w="0" w:type="auto"/>
          </w:tcPr>
          <w:p w14:paraId="6ED6A586" w14:textId="77777777" w:rsidR="007E21F5" w:rsidRDefault="00C043E4" w:rsidP="007E21F5">
            <w:pPr>
              <w:rPr>
                <w:rFonts w:ascii="Arial" w:hAnsi="Arial" w:cs="Arial"/>
                <w:sz w:val="24"/>
              </w:rPr>
            </w:pPr>
            <w:r>
              <w:rPr>
                <w:rFonts w:ascii="Arial" w:hAnsi="Arial" w:cs="Arial"/>
                <w:sz w:val="24"/>
              </w:rPr>
              <w:t>42</w:t>
            </w:r>
            <w:r w:rsidR="007E21F5">
              <w:rPr>
                <w:rFonts w:ascii="Arial" w:hAnsi="Arial" w:cs="Arial"/>
                <w:sz w:val="24"/>
              </w:rPr>
              <w:t>%</w:t>
            </w:r>
          </w:p>
        </w:tc>
        <w:tc>
          <w:tcPr>
            <w:tcW w:w="0" w:type="auto"/>
          </w:tcPr>
          <w:p w14:paraId="3B9902BC" w14:textId="77777777" w:rsidR="007E21F5" w:rsidRDefault="00C043E4" w:rsidP="007E21F5">
            <w:pPr>
              <w:rPr>
                <w:rFonts w:ascii="Arial" w:hAnsi="Arial" w:cs="Arial"/>
                <w:sz w:val="24"/>
              </w:rPr>
            </w:pPr>
            <w:r>
              <w:rPr>
                <w:rFonts w:ascii="Arial" w:hAnsi="Arial" w:cs="Arial"/>
                <w:sz w:val="24"/>
              </w:rPr>
              <w:t>8</w:t>
            </w:r>
            <w:r w:rsidR="007E21F5">
              <w:rPr>
                <w:rFonts w:ascii="Arial" w:hAnsi="Arial" w:cs="Arial"/>
                <w:sz w:val="24"/>
              </w:rPr>
              <w:t>%</w:t>
            </w:r>
          </w:p>
        </w:tc>
      </w:tr>
    </w:tbl>
    <w:p w14:paraId="506585C8" w14:textId="77777777" w:rsidR="00580F95" w:rsidRDefault="00F31D2C" w:rsidP="00252D77">
      <w:pPr>
        <w:rPr>
          <w:rFonts w:ascii="Arial" w:hAnsi="Arial" w:cs="Arial"/>
          <w:i/>
          <w:sz w:val="24"/>
        </w:rPr>
      </w:pPr>
      <w:r w:rsidRPr="00F31D2C">
        <w:rPr>
          <w:rFonts w:ascii="Arial" w:hAnsi="Arial" w:cs="Arial"/>
          <w:i/>
          <w:sz w:val="24"/>
        </w:rPr>
        <w:t>Source: VSHAWS, 2018, DET</w:t>
      </w:r>
    </w:p>
    <w:p w14:paraId="61CA2A63" w14:textId="77777777" w:rsidR="008332BC" w:rsidRPr="002F3BD4" w:rsidRDefault="008332BC" w:rsidP="002F3BD4">
      <w:pPr>
        <w:pStyle w:val="Heading3"/>
        <w:rPr>
          <w:rFonts w:ascii="Arial" w:hAnsi="Arial" w:cs="Arial"/>
          <w:color w:val="auto"/>
          <w:sz w:val="24"/>
        </w:rPr>
      </w:pPr>
      <w:bookmarkStart w:id="21" w:name="_Toc33527746"/>
      <w:r w:rsidRPr="002F3BD4">
        <w:rPr>
          <w:rFonts w:ascii="Arial" w:hAnsi="Arial" w:cs="Arial"/>
          <w:color w:val="auto"/>
          <w:sz w:val="24"/>
        </w:rPr>
        <w:t>2.12</w:t>
      </w:r>
      <w:r w:rsidRPr="002F3BD4">
        <w:rPr>
          <w:rFonts w:ascii="Arial" w:hAnsi="Arial" w:cs="Arial"/>
          <w:color w:val="auto"/>
          <w:sz w:val="24"/>
        </w:rPr>
        <w:tab/>
        <w:t>A lower rate of adolescents are sexually active</w:t>
      </w:r>
      <w:bookmarkEnd w:id="21"/>
    </w:p>
    <w:p w14:paraId="23C904EA" w14:textId="77777777" w:rsidR="008332BC" w:rsidRPr="008332BC" w:rsidRDefault="008332BC" w:rsidP="008332BC">
      <w:pPr>
        <w:rPr>
          <w:rFonts w:ascii="Arial" w:hAnsi="Arial" w:cs="Arial"/>
          <w:sz w:val="24"/>
        </w:rPr>
      </w:pPr>
      <w:r w:rsidRPr="008332BC">
        <w:rPr>
          <w:rFonts w:ascii="Arial" w:hAnsi="Arial" w:cs="Arial"/>
          <w:sz w:val="24"/>
        </w:rPr>
        <w:t>Sexual activity is a normal part of adolescence, which involves risks that can be minimised through education and safer sexual practices. Young people who</w:t>
      </w:r>
      <w:r>
        <w:rPr>
          <w:rFonts w:ascii="Arial" w:hAnsi="Arial" w:cs="Arial"/>
          <w:sz w:val="24"/>
        </w:rPr>
        <w:t xml:space="preserve"> </w:t>
      </w:r>
      <w:r w:rsidRPr="008332BC">
        <w:rPr>
          <w:rFonts w:ascii="Arial" w:hAnsi="Arial" w:cs="Arial"/>
          <w:sz w:val="24"/>
        </w:rPr>
        <w:t>engage in unsafe or unprotected sex can be exposed to health risks, such as sexually transmissible infection. Accordingly, young people need to know about safer sex, including information about contraception, prevention of STIs, sexual behaviours that increase risk, regular STI screening and treatment. Young people also need accurate information about sex and consent in order to negotiate sexual activity and relationships safely and responsibly.</w:t>
      </w:r>
    </w:p>
    <w:p w14:paraId="71CE3C87" w14:textId="77777777" w:rsidR="008332BC" w:rsidRPr="008332BC" w:rsidRDefault="008332BC" w:rsidP="008332BC">
      <w:pPr>
        <w:rPr>
          <w:rFonts w:ascii="Arial" w:hAnsi="Arial" w:cs="Arial"/>
          <w:sz w:val="24"/>
        </w:rPr>
      </w:pPr>
      <w:r w:rsidRPr="008332BC">
        <w:rPr>
          <w:rFonts w:ascii="Arial" w:hAnsi="Arial" w:cs="Arial"/>
          <w:sz w:val="24"/>
        </w:rPr>
        <w:t>In 2018:</w:t>
      </w:r>
    </w:p>
    <w:p w14:paraId="0FF4F7BD" w14:textId="77777777" w:rsidR="008332BC" w:rsidRPr="008332BC" w:rsidRDefault="008332BC" w:rsidP="008332BC">
      <w:pPr>
        <w:pStyle w:val="ListParagraph"/>
        <w:numPr>
          <w:ilvl w:val="0"/>
          <w:numId w:val="9"/>
        </w:numPr>
        <w:rPr>
          <w:rFonts w:ascii="Arial" w:hAnsi="Arial" w:cs="Arial"/>
          <w:sz w:val="24"/>
        </w:rPr>
      </w:pPr>
      <w:r w:rsidRPr="008332BC">
        <w:rPr>
          <w:rFonts w:ascii="Arial" w:hAnsi="Arial" w:cs="Arial"/>
          <w:sz w:val="24"/>
        </w:rPr>
        <w:t>around 15 per cent of Victorian Year 8 and 11 students reported having ever had sex, with boys and girls equally likely to report having had sex</w:t>
      </w:r>
    </w:p>
    <w:p w14:paraId="43D0C854" w14:textId="77777777" w:rsidR="008332BC" w:rsidRPr="008332BC" w:rsidRDefault="008332BC" w:rsidP="008332BC">
      <w:pPr>
        <w:pStyle w:val="ListParagraph"/>
        <w:numPr>
          <w:ilvl w:val="0"/>
          <w:numId w:val="9"/>
        </w:numPr>
        <w:rPr>
          <w:rFonts w:ascii="Arial" w:hAnsi="Arial" w:cs="Arial"/>
          <w:sz w:val="24"/>
        </w:rPr>
      </w:pPr>
      <w:r w:rsidRPr="008332BC">
        <w:rPr>
          <w:rFonts w:ascii="Arial" w:hAnsi="Arial" w:cs="Arial"/>
          <w:sz w:val="24"/>
        </w:rPr>
        <w:t>adolescents from regional areas were more likely to report having had sex (20 per cent) than their metropolitan peers (13 per cent), as were those in one-parent families (19 per cent) compared to those in two parent families (13 per cent)</w:t>
      </w:r>
    </w:p>
    <w:p w14:paraId="3BA220F9" w14:textId="77777777" w:rsidR="00F31D2C" w:rsidRDefault="008332BC" w:rsidP="008332BC">
      <w:pPr>
        <w:pStyle w:val="ListParagraph"/>
        <w:numPr>
          <w:ilvl w:val="0"/>
          <w:numId w:val="9"/>
        </w:numPr>
        <w:rPr>
          <w:rFonts w:ascii="Arial" w:hAnsi="Arial" w:cs="Arial"/>
          <w:sz w:val="24"/>
        </w:rPr>
      </w:pPr>
      <w:r w:rsidRPr="008332BC">
        <w:rPr>
          <w:rFonts w:ascii="Arial" w:hAnsi="Arial" w:cs="Arial"/>
          <w:sz w:val="24"/>
        </w:rPr>
        <w:t>the proportion of Year 11 students who reported having had sex (26 per cent) declined from 2014 (32 per cent).</w:t>
      </w:r>
    </w:p>
    <w:p w14:paraId="55D7BDDB" w14:textId="77777777" w:rsidR="00DB26B3" w:rsidRPr="007074CA" w:rsidRDefault="007074CA" w:rsidP="00DB26B3">
      <w:pPr>
        <w:rPr>
          <w:rFonts w:ascii="Arial" w:hAnsi="Arial" w:cs="Arial"/>
          <w:i/>
          <w:sz w:val="24"/>
        </w:rPr>
      </w:pPr>
      <w:r w:rsidRPr="007074CA">
        <w:rPr>
          <w:rFonts w:ascii="Arial" w:hAnsi="Arial" w:cs="Arial"/>
          <w:i/>
          <w:sz w:val="24"/>
        </w:rPr>
        <w:t xml:space="preserve">Note: </w:t>
      </w:r>
      <w:r w:rsidR="00DB26B3" w:rsidRPr="007074CA">
        <w:rPr>
          <w:rFonts w:ascii="Arial" w:hAnsi="Arial" w:cs="Arial"/>
          <w:i/>
          <w:sz w:val="24"/>
        </w:rPr>
        <w:t>VSHAWS does not provide a strict definition of sexual activity to participants. Other surveys, such as the National Survey of Australian Secondary Students and Sexual Health Survey, define ‘sexually active’ students as those who have ever engaged in anal and/or vaginal intercourse. This survey also collects data on a broader range of sexual activity, including masturbation, oral sex and genital touching, but does not include these behaviours under the definition of ‘sexually active’.</w:t>
      </w:r>
    </w:p>
    <w:p w14:paraId="509B6CC0" w14:textId="77777777" w:rsidR="00A17FA8" w:rsidRDefault="00CC616B" w:rsidP="00CC2C48">
      <w:pPr>
        <w:rPr>
          <w:rFonts w:ascii="Arial" w:hAnsi="Arial" w:cs="Arial"/>
          <w:b/>
          <w:sz w:val="24"/>
        </w:rPr>
      </w:pPr>
      <w:r w:rsidRPr="00C043E4">
        <w:rPr>
          <w:rFonts w:ascii="Arial" w:hAnsi="Arial" w:cs="Arial"/>
          <w:b/>
          <w:sz w:val="24"/>
        </w:rPr>
        <w:t>Figure 14. Proportion of Victorian students (Years 8 &amp; 11) who have ever had sex, 2014–2018</w:t>
      </w:r>
    </w:p>
    <w:tbl>
      <w:tblPr>
        <w:tblStyle w:val="TableGrid"/>
        <w:tblW w:w="5000" w:type="pct"/>
        <w:tblLook w:val="04A0" w:firstRow="1" w:lastRow="0" w:firstColumn="1" w:lastColumn="0" w:noHBand="0" w:noVBand="1"/>
        <w:tblDescription w:val="This table provides information on the proportion of Victorian students (Years 8 &amp; 11) who have ever had sex, 2014–2018"/>
      </w:tblPr>
      <w:tblGrid>
        <w:gridCol w:w="2476"/>
        <w:gridCol w:w="3051"/>
        <w:gridCol w:w="3489"/>
      </w:tblGrid>
      <w:tr w:rsidR="00531510" w:rsidRPr="00054426" w14:paraId="28106AA3" w14:textId="77777777" w:rsidTr="007E21F5">
        <w:trPr>
          <w:tblHeader/>
        </w:trPr>
        <w:tc>
          <w:tcPr>
            <w:tcW w:w="1373" w:type="pct"/>
          </w:tcPr>
          <w:p w14:paraId="75A7D4B1" w14:textId="77777777" w:rsidR="00531510" w:rsidRPr="00054426" w:rsidRDefault="00531510" w:rsidP="007E21F5">
            <w:pPr>
              <w:rPr>
                <w:rFonts w:ascii="Arial" w:hAnsi="Arial" w:cs="Arial"/>
                <w:sz w:val="24"/>
              </w:rPr>
            </w:pPr>
          </w:p>
        </w:tc>
        <w:tc>
          <w:tcPr>
            <w:tcW w:w="1692" w:type="pct"/>
          </w:tcPr>
          <w:p w14:paraId="42978D6D" w14:textId="77777777" w:rsidR="00531510" w:rsidRPr="00054426" w:rsidRDefault="00531510" w:rsidP="007E21F5">
            <w:pPr>
              <w:rPr>
                <w:rFonts w:ascii="Arial" w:hAnsi="Arial" w:cs="Arial"/>
                <w:sz w:val="24"/>
              </w:rPr>
            </w:pPr>
            <w:r w:rsidRPr="00054426">
              <w:rPr>
                <w:rFonts w:ascii="Arial" w:hAnsi="Arial" w:cs="Arial"/>
                <w:sz w:val="24"/>
              </w:rPr>
              <w:t>Year 8</w:t>
            </w:r>
          </w:p>
        </w:tc>
        <w:tc>
          <w:tcPr>
            <w:tcW w:w="1935" w:type="pct"/>
          </w:tcPr>
          <w:p w14:paraId="4B1963A4" w14:textId="77777777" w:rsidR="00531510" w:rsidRPr="00054426" w:rsidRDefault="00531510" w:rsidP="007E21F5">
            <w:pPr>
              <w:rPr>
                <w:rFonts w:ascii="Arial" w:hAnsi="Arial" w:cs="Arial"/>
                <w:sz w:val="24"/>
              </w:rPr>
            </w:pPr>
            <w:r w:rsidRPr="00054426">
              <w:rPr>
                <w:rFonts w:ascii="Arial" w:hAnsi="Arial" w:cs="Arial"/>
                <w:sz w:val="24"/>
              </w:rPr>
              <w:t>Year 11</w:t>
            </w:r>
          </w:p>
        </w:tc>
      </w:tr>
      <w:tr w:rsidR="00531510" w:rsidRPr="00054426" w14:paraId="5F232AAE" w14:textId="77777777" w:rsidTr="007E21F5">
        <w:tc>
          <w:tcPr>
            <w:tcW w:w="1373" w:type="pct"/>
          </w:tcPr>
          <w:p w14:paraId="18D7C3D0" w14:textId="77777777" w:rsidR="00531510" w:rsidRPr="00054426" w:rsidRDefault="00531510" w:rsidP="007E21F5">
            <w:pPr>
              <w:rPr>
                <w:rFonts w:ascii="Arial" w:hAnsi="Arial" w:cs="Arial"/>
                <w:sz w:val="24"/>
              </w:rPr>
            </w:pPr>
            <w:r w:rsidRPr="00054426">
              <w:rPr>
                <w:rFonts w:ascii="Arial" w:hAnsi="Arial" w:cs="Arial"/>
                <w:sz w:val="24"/>
              </w:rPr>
              <w:t>2014</w:t>
            </w:r>
          </w:p>
        </w:tc>
        <w:tc>
          <w:tcPr>
            <w:tcW w:w="1692" w:type="pct"/>
          </w:tcPr>
          <w:p w14:paraId="287FB8D0" w14:textId="77777777" w:rsidR="00531510" w:rsidRPr="00054426" w:rsidRDefault="00C043E4" w:rsidP="007E21F5">
            <w:pPr>
              <w:rPr>
                <w:rFonts w:ascii="Arial" w:hAnsi="Arial" w:cs="Arial"/>
                <w:sz w:val="24"/>
              </w:rPr>
            </w:pPr>
            <w:r>
              <w:rPr>
                <w:rFonts w:ascii="Arial" w:hAnsi="Arial" w:cs="Arial"/>
                <w:sz w:val="24"/>
              </w:rPr>
              <w:t>6</w:t>
            </w:r>
            <w:r w:rsidR="00531510" w:rsidRPr="00054426">
              <w:rPr>
                <w:rFonts w:ascii="Arial" w:hAnsi="Arial" w:cs="Arial"/>
                <w:sz w:val="24"/>
              </w:rPr>
              <w:t>%</w:t>
            </w:r>
          </w:p>
        </w:tc>
        <w:tc>
          <w:tcPr>
            <w:tcW w:w="1935" w:type="pct"/>
          </w:tcPr>
          <w:p w14:paraId="46E1CA85" w14:textId="77777777" w:rsidR="00531510" w:rsidRPr="00054426" w:rsidRDefault="00C043E4" w:rsidP="007E21F5">
            <w:pPr>
              <w:rPr>
                <w:rFonts w:ascii="Arial" w:hAnsi="Arial" w:cs="Arial"/>
                <w:sz w:val="24"/>
              </w:rPr>
            </w:pPr>
            <w:r>
              <w:rPr>
                <w:rFonts w:ascii="Arial" w:hAnsi="Arial" w:cs="Arial"/>
                <w:sz w:val="24"/>
              </w:rPr>
              <w:t>32</w:t>
            </w:r>
            <w:r w:rsidR="00531510" w:rsidRPr="00054426">
              <w:rPr>
                <w:rFonts w:ascii="Arial" w:hAnsi="Arial" w:cs="Arial"/>
                <w:sz w:val="24"/>
              </w:rPr>
              <w:t>%</w:t>
            </w:r>
          </w:p>
        </w:tc>
      </w:tr>
      <w:tr w:rsidR="00531510" w:rsidRPr="00054426" w14:paraId="3965B4F0" w14:textId="77777777" w:rsidTr="007E21F5">
        <w:tc>
          <w:tcPr>
            <w:tcW w:w="1373" w:type="pct"/>
          </w:tcPr>
          <w:p w14:paraId="6329314C" w14:textId="77777777" w:rsidR="00531510" w:rsidRPr="00054426" w:rsidRDefault="00531510" w:rsidP="007E21F5">
            <w:pPr>
              <w:rPr>
                <w:rFonts w:ascii="Arial" w:hAnsi="Arial" w:cs="Arial"/>
                <w:sz w:val="24"/>
              </w:rPr>
            </w:pPr>
            <w:r w:rsidRPr="00054426">
              <w:rPr>
                <w:rFonts w:ascii="Arial" w:hAnsi="Arial" w:cs="Arial"/>
                <w:sz w:val="24"/>
              </w:rPr>
              <w:t>2016</w:t>
            </w:r>
          </w:p>
        </w:tc>
        <w:tc>
          <w:tcPr>
            <w:tcW w:w="1692" w:type="pct"/>
          </w:tcPr>
          <w:p w14:paraId="3E551384" w14:textId="77777777" w:rsidR="00531510" w:rsidRPr="00054426" w:rsidRDefault="00C043E4" w:rsidP="007E21F5">
            <w:pPr>
              <w:rPr>
                <w:rFonts w:ascii="Arial" w:hAnsi="Arial" w:cs="Arial"/>
                <w:sz w:val="24"/>
              </w:rPr>
            </w:pPr>
            <w:r>
              <w:rPr>
                <w:rFonts w:ascii="Arial" w:hAnsi="Arial" w:cs="Arial"/>
                <w:sz w:val="24"/>
              </w:rPr>
              <w:t>6</w:t>
            </w:r>
            <w:r w:rsidR="00531510" w:rsidRPr="00054426">
              <w:rPr>
                <w:rFonts w:ascii="Arial" w:hAnsi="Arial" w:cs="Arial"/>
                <w:sz w:val="24"/>
              </w:rPr>
              <w:t>%</w:t>
            </w:r>
          </w:p>
        </w:tc>
        <w:tc>
          <w:tcPr>
            <w:tcW w:w="1935" w:type="pct"/>
          </w:tcPr>
          <w:p w14:paraId="60DA7FCD" w14:textId="77777777" w:rsidR="00531510" w:rsidRPr="00054426" w:rsidRDefault="00C043E4" w:rsidP="007E21F5">
            <w:pPr>
              <w:rPr>
                <w:rFonts w:ascii="Arial" w:hAnsi="Arial" w:cs="Arial"/>
                <w:sz w:val="24"/>
              </w:rPr>
            </w:pPr>
            <w:r>
              <w:rPr>
                <w:rFonts w:ascii="Arial" w:hAnsi="Arial" w:cs="Arial"/>
                <w:sz w:val="24"/>
              </w:rPr>
              <w:t>29</w:t>
            </w:r>
            <w:r w:rsidR="00531510" w:rsidRPr="00054426">
              <w:rPr>
                <w:rFonts w:ascii="Arial" w:hAnsi="Arial" w:cs="Arial"/>
                <w:sz w:val="24"/>
              </w:rPr>
              <w:t>%</w:t>
            </w:r>
          </w:p>
        </w:tc>
      </w:tr>
      <w:tr w:rsidR="00531510" w14:paraId="192C502B" w14:textId="77777777" w:rsidTr="007E21F5">
        <w:tc>
          <w:tcPr>
            <w:tcW w:w="1373" w:type="pct"/>
          </w:tcPr>
          <w:p w14:paraId="0DDB3062" w14:textId="77777777" w:rsidR="00531510" w:rsidRPr="00054426" w:rsidRDefault="00531510" w:rsidP="007E21F5">
            <w:pPr>
              <w:rPr>
                <w:rFonts w:ascii="Arial" w:hAnsi="Arial" w:cs="Arial"/>
                <w:sz w:val="24"/>
              </w:rPr>
            </w:pPr>
            <w:r w:rsidRPr="00054426">
              <w:rPr>
                <w:rFonts w:ascii="Arial" w:hAnsi="Arial" w:cs="Arial"/>
                <w:sz w:val="24"/>
              </w:rPr>
              <w:t>2018</w:t>
            </w:r>
          </w:p>
        </w:tc>
        <w:tc>
          <w:tcPr>
            <w:tcW w:w="1692" w:type="pct"/>
          </w:tcPr>
          <w:p w14:paraId="2CDBE73C" w14:textId="77777777" w:rsidR="00531510" w:rsidRPr="00054426" w:rsidRDefault="00C043E4" w:rsidP="007E21F5">
            <w:pPr>
              <w:rPr>
                <w:rFonts w:ascii="Arial" w:hAnsi="Arial" w:cs="Arial"/>
                <w:sz w:val="24"/>
              </w:rPr>
            </w:pPr>
            <w:r>
              <w:rPr>
                <w:rFonts w:ascii="Arial" w:hAnsi="Arial" w:cs="Arial"/>
                <w:sz w:val="24"/>
              </w:rPr>
              <w:t>5</w:t>
            </w:r>
            <w:r w:rsidR="00531510" w:rsidRPr="00054426">
              <w:rPr>
                <w:rFonts w:ascii="Arial" w:hAnsi="Arial" w:cs="Arial"/>
                <w:sz w:val="24"/>
              </w:rPr>
              <w:t>%</w:t>
            </w:r>
          </w:p>
        </w:tc>
        <w:tc>
          <w:tcPr>
            <w:tcW w:w="1935" w:type="pct"/>
          </w:tcPr>
          <w:p w14:paraId="0B42B527" w14:textId="77777777" w:rsidR="00531510" w:rsidRDefault="00C043E4" w:rsidP="007E21F5">
            <w:pPr>
              <w:rPr>
                <w:rFonts w:ascii="Arial" w:hAnsi="Arial" w:cs="Arial"/>
                <w:sz w:val="24"/>
              </w:rPr>
            </w:pPr>
            <w:r>
              <w:rPr>
                <w:rFonts w:ascii="Arial" w:hAnsi="Arial" w:cs="Arial"/>
                <w:sz w:val="24"/>
              </w:rPr>
              <w:t>26</w:t>
            </w:r>
            <w:r w:rsidR="00531510" w:rsidRPr="00054426">
              <w:rPr>
                <w:rFonts w:ascii="Arial" w:hAnsi="Arial" w:cs="Arial"/>
                <w:sz w:val="24"/>
              </w:rPr>
              <w:t>%</w:t>
            </w:r>
          </w:p>
        </w:tc>
      </w:tr>
    </w:tbl>
    <w:p w14:paraId="540C4189" w14:textId="77777777" w:rsidR="00CC616B" w:rsidRDefault="00E70962" w:rsidP="00CC2C48">
      <w:pPr>
        <w:rPr>
          <w:rFonts w:ascii="Arial" w:hAnsi="Arial" w:cs="Arial"/>
          <w:i/>
          <w:sz w:val="24"/>
        </w:rPr>
      </w:pPr>
      <w:r w:rsidRPr="00E70962">
        <w:rPr>
          <w:rFonts w:ascii="Arial" w:hAnsi="Arial" w:cs="Arial"/>
          <w:i/>
          <w:sz w:val="24"/>
        </w:rPr>
        <w:t>Source: VSHAWS, 2014, 2016, and 2018, DET</w:t>
      </w:r>
    </w:p>
    <w:p w14:paraId="753AFC48" w14:textId="77777777" w:rsidR="00E70962" w:rsidRDefault="00DB26B3" w:rsidP="00CC2C48">
      <w:pPr>
        <w:rPr>
          <w:rFonts w:ascii="Arial" w:hAnsi="Arial" w:cs="Arial"/>
          <w:sz w:val="24"/>
        </w:rPr>
      </w:pPr>
      <w:r w:rsidRPr="00DB26B3">
        <w:rPr>
          <w:rFonts w:ascii="Arial" w:hAnsi="Arial" w:cs="Arial"/>
          <w:sz w:val="24"/>
        </w:rPr>
        <w:t>Since 2014, one in four Victorian adolescents (25 per cent) who have had sex reported that they always use a condom during sexual intercourse. Year 11 students are twice as likely to report this as Year 8 students (30 per cent compared to 15 per cent). Adolescents in regional areas were more likely to report regular condom use (33 per cent) compared to their peers in metropolitan areas (22 per cent). Young women were more likely to report the regular use of a condom (30 per cent) than young men (24 per cent).</w:t>
      </w:r>
    </w:p>
    <w:p w14:paraId="72ED5C5A" w14:textId="77777777" w:rsidR="006B5499" w:rsidRPr="006B5499" w:rsidRDefault="006B5499" w:rsidP="006B5499">
      <w:pPr>
        <w:rPr>
          <w:rFonts w:ascii="Arial" w:hAnsi="Arial" w:cs="Arial"/>
          <w:sz w:val="24"/>
        </w:rPr>
      </w:pPr>
      <w:r w:rsidRPr="006B5499">
        <w:rPr>
          <w:rFonts w:ascii="Arial" w:hAnsi="Arial" w:cs="Arial"/>
          <w:sz w:val="24"/>
        </w:rPr>
        <w:t>The 6th National Survey of Secondary Students and Sexual Health (Fisher, et al., 2019) was conducted in 2018 and involved 6,327 students enrolled in Years 10 to 12 from both government and non-government schools across Australian states and territories.</w:t>
      </w:r>
    </w:p>
    <w:p w14:paraId="16FCCED3" w14:textId="77777777" w:rsidR="006B5499" w:rsidRPr="006B5499" w:rsidRDefault="006B5499" w:rsidP="006B5499">
      <w:pPr>
        <w:rPr>
          <w:rFonts w:ascii="Arial" w:hAnsi="Arial" w:cs="Arial"/>
          <w:sz w:val="24"/>
        </w:rPr>
      </w:pPr>
      <w:r w:rsidRPr="006B5499">
        <w:rPr>
          <w:rFonts w:ascii="Arial" w:hAnsi="Arial" w:cs="Arial"/>
          <w:sz w:val="24"/>
        </w:rPr>
        <w:t>According to the survey results:</w:t>
      </w:r>
    </w:p>
    <w:p w14:paraId="7B973E4E" w14:textId="77777777" w:rsidR="006B5499" w:rsidRPr="006B5499" w:rsidRDefault="006B5499" w:rsidP="006B5499">
      <w:pPr>
        <w:pStyle w:val="ListParagraph"/>
        <w:numPr>
          <w:ilvl w:val="0"/>
          <w:numId w:val="9"/>
        </w:numPr>
        <w:rPr>
          <w:rFonts w:ascii="Arial" w:hAnsi="Arial" w:cs="Arial"/>
          <w:sz w:val="24"/>
        </w:rPr>
      </w:pPr>
      <w:r w:rsidRPr="006B5499">
        <w:rPr>
          <w:rFonts w:ascii="Arial" w:hAnsi="Arial" w:cs="Arial"/>
          <w:sz w:val="24"/>
        </w:rPr>
        <w:t>about 47 per cent of young people in this age group were sexually active, and of these most were having sex in their homes (76 per cent) with a boyfriend or girlfriend (65 per cent) who was about the same age as them (86 per cent)</w:t>
      </w:r>
    </w:p>
    <w:p w14:paraId="743E2560" w14:textId="77777777" w:rsidR="006B5499" w:rsidRPr="006B5499" w:rsidRDefault="006B5499" w:rsidP="006B5499">
      <w:pPr>
        <w:pStyle w:val="ListParagraph"/>
        <w:numPr>
          <w:ilvl w:val="0"/>
          <w:numId w:val="9"/>
        </w:numPr>
        <w:rPr>
          <w:rFonts w:ascii="Arial" w:hAnsi="Arial" w:cs="Arial"/>
          <w:sz w:val="24"/>
        </w:rPr>
      </w:pPr>
      <w:r w:rsidRPr="006B5499">
        <w:rPr>
          <w:rFonts w:ascii="Arial" w:hAnsi="Arial" w:cs="Arial"/>
          <w:sz w:val="24"/>
        </w:rPr>
        <w:t>most participants reported discussing having sex (81 per cent) and protecting their sexual health (77 per cent), but fewer than half reported always using a condom (38 per cent) or often using a condom (24 per cent) when having sex during the last year</w:t>
      </w:r>
    </w:p>
    <w:p w14:paraId="0F2CDB93" w14:textId="77777777" w:rsidR="006B5499" w:rsidRPr="006B5499" w:rsidRDefault="006B5499" w:rsidP="006B5499">
      <w:pPr>
        <w:pStyle w:val="ListParagraph"/>
        <w:numPr>
          <w:ilvl w:val="0"/>
          <w:numId w:val="9"/>
        </w:numPr>
        <w:rPr>
          <w:rFonts w:ascii="Arial" w:hAnsi="Arial" w:cs="Arial"/>
          <w:sz w:val="24"/>
        </w:rPr>
      </w:pPr>
      <w:r w:rsidRPr="006B5499">
        <w:rPr>
          <w:rFonts w:ascii="Arial" w:hAnsi="Arial" w:cs="Arial"/>
          <w:sz w:val="24"/>
        </w:rPr>
        <w:t>fewer than half of all students engaged in sex-related behaviours used digital technology, commonly referred to as “sexting”, but for those who did, the most common experience was receiving a sexually-explicit written text message (51 per cent), with fewer students sending similar messages (40 per cent)</w:t>
      </w:r>
    </w:p>
    <w:p w14:paraId="46F04814" w14:textId="77777777" w:rsidR="006B5499" w:rsidRPr="006B5499" w:rsidRDefault="006B5499" w:rsidP="006B5499">
      <w:pPr>
        <w:pStyle w:val="ListParagraph"/>
        <w:numPr>
          <w:ilvl w:val="0"/>
          <w:numId w:val="9"/>
        </w:numPr>
        <w:rPr>
          <w:rFonts w:ascii="Arial" w:hAnsi="Arial" w:cs="Arial"/>
          <w:sz w:val="24"/>
        </w:rPr>
      </w:pPr>
      <w:r w:rsidRPr="006B5499">
        <w:rPr>
          <w:rFonts w:ascii="Arial" w:hAnsi="Arial" w:cs="Arial"/>
          <w:sz w:val="24"/>
        </w:rPr>
        <w:t>about 44 per cent of students reported receiving sexually explicit photos or videos, while only 32 per cent reported sending such materials of themselves.</w:t>
      </w:r>
    </w:p>
    <w:p w14:paraId="0B0A1184" w14:textId="77777777" w:rsidR="00AC0805" w:rsidRDefault="00AC0805" w:rsidP="006B5499">
      <w:pPr>
        <w:rPr>
          <w:rFonts w:ascii="Arial" w:eastAsiaTheme="majorEastAsia" w:hAnsi="Arial" w:cs="Arial"/>
          <w:b/>
          <w:bCs/>
          <w:sz w:val="24"/>
        </w:rPr>
      </w:pPr>
    </w:p>
    <w:p w14:paraId="1C4EBE29" w14:textId="77777777" w:rsidR="006B5499" w:rsidRPr="002F3BD4" w:rsidRDefault="006B5499" w:rsidP="002F3BD4">
      <w:pPr>
        <w:pStyle w:val="Heading3"/>
        <w:rPr>
          <w:rFonts w:ascii="Arial" w:hAnsi="Arial" w:cs="Arial"/>
          <w:color w:val="auto"/>
          <w:sz w:val="24"/>
        </w:rPr>
      </w:pPr>
      <w:bookmarkStart w:id="22" w:name="_Toc33527747"/>
      <w:r w:rsidRPr="002F3BD4">
        <w:rPr>
          <w:rFonts w:ascii="Arial" w:hAnsi="Arial" w:cs="Arial"/>
          <w:color w:val="auto"/>
          <w:sz w:val="24"/>
        </w:rPr>
        <w:t>2.13</w:t>
      </w:r>
      <w:r w:rsidRPr="002F3BD4">
        <w:rPr>
          <w:rFonts w:ascii="Arial" w:hAnsi="Arial" w:cs="Arial"/>
          <w:color w:val="auto"/>
          <w:sz w:val="24"/>
        </w:rPr>
        <w:tab/>
        <w:t>Rates of teenage pregnancy remain low</w:t>
      </w:r>
      <w:bookmarkEnd w:id="22"/>
    </w:p>
    <w:p w14:paraId="13E1F022" w14:textId="77777777" w:rsidR="006B5499" w:rsidRPr="006B5499" w:rsidRDefault="006B5499" w:rsidP="006B5499">
      <w:pPr>
        <w:rPr>
          <w:rFonts w:ascii="Arial" w:hAnsi="Arial" w:cs="Arial"/>
          <w:sz w:val="24"/>
        </w:rPr>
      </w:pPr>
      <w:r w:rsidRPr="006B5499">
        <w:rPr>
          <w:rFonts w:ascii="Arial" w:hAnsi="Arial" w:cs="Arial"/>
          <w:sz w:val="24"/>
        </w:rPr>
        <w:t>According to data from the Victorian Perinatal Data Collection (DHHS, 2019d), the rate of teenage pregnancy in Victoria almost halved between 2006 and 2016. In 2016, only</w:t>
      </w:r>
      <w:r>
        <w:rPr>
          <w:rFonts w:ascii="Arial" w:hAnsi="Arial" w:cs="Arial"/>
          <w:sz w:val="24"/>
        </w:rPr>
        <w:t xml:space="preserve"> </w:t>
      </w:r>
      <w:r w:rsidRPr="006B5499">
        <w:rPr>
          <w:rFonts w:ascii="Arial" w:hAnsi="Arial" w:cs="Arial"/>
          <w:sz w:val="24"/>
        </w:rPr>
        <w:t>1.5 per cent of new births in Victoria involved a mother under the age of 20, compared to 2.8 per cent of births in 2006.</w:t>
      </w:r>
    </w:p>
    <w:p w14:paraId="5DC5F588" w14:textId="77777777" w:rsidR="006B5499" w:rsidRDefault="006B5499" w:rsidP="006B5499">
      <w:pPr>
        <w:rPr>
          <w:rFonts w:ascii="Arial" w:hAnsi="Arial" w:cs="Arial"/>
          <w:sz w:val="24"/>
        </w:rPr>
      </w:pPr>
      <w:r w:rsidRPr="006B5499">
        <w:rPr>
          <w:rFonts w:ascii="Arial" w:hAnsi="Arial" w:cs="Arial"/>
          <w:sz w:val="24"/>
        </w:rPr>
        <w:t xml:space="preserve">Teenage pregnancy rates remain comparatively high for Aboriginal Victorians. In 2016, 11 per cent of births to Aboriginal mothers involved a mother under the age of 20, compared to 1.3 per cent of births to non-Aboriginal mothers. However, this </w:t>
      </w:r>
      <w:r w:rsidRPr="006B5499">
        <w:rPr>
          <w:rFonts w:ascii="Arial" w:hAnsi="Arial" w:cs="Arial"/>
          <w:sz w:val="24"/>
        </w:rPr>
        <w:lastRenderedPageBreak/>
        <w:t>proportion has declined substantially since 2006 when 18 per cent of births to Aboriginal mothers involved a mother under the age of 20.</w:t>
      </w:r>
    </w:p>
    <w:p w14:paraId="0E69508E" w14:textId="77777777" w:rsidR="00150CA5" w:rsidRPr="00150CA5" w:rsidRDefault="00150CA5" w:rsidP="00150CA5">
      <w:pPr>
        <w:pBdr>
          <w:top w:val="single" w:sz="4" w:space="1" w:color="auto"/>
          <w:left w:val="single" w:sz="4" w:space="4" w:color="auto"/>
          <w:bottom w:val="single" w:sz="4" w:space="1" w:color="auto"/>
          <w:right w:val="single" w:sz="4" w:space="4" w:color="auto"/>
        </w:pBdr>
        <w:rPr>
          <w:rFonts w:ascii="Arial" w:hAnsi="Arial" w:cs="Arial"/>
          <w:b/>
          <w:sz w:val="24"/>
        </w:rPr>
      </w:pPr>
      <w:r w:rsidRPr="00150CA5">
        <w:rPr>
          <w:rFonts w:ascii="Arial" w:hAnsi="Arial" w:cs="Arial"/>
          <w:b/>
          <w:sz w:val="24"/>
        </w:rPr>
        <w:t>The importance of accessible and culturally-safe health services</w:t>
      </w:r>
    </w:p>
    <w:p w14:paraId="79440B82" w14:textId="77777777" w:rsidR="00150CA5" w:rsidRPr="00150CA5" w:rsidRDefault="00150CA5" w:rsidP="00150CA5">
      <w:pPr>
        <w:pBdr>
          <w:top w:val="single" w:sz="4" w:space="1" w:color="auto"/>
          <w:left w:val="single" w:sz="4" w:space="4" w:color="auto"/>
          <w:bottom w:val="single" w:sz="4" w:space="1" w:color="auto"/>
          <w:right w:val="single" w:sz="4" w:space="4" w:color="auto"/>
        </w:pBdr>
        <w:rPr>
          <w:rFonts w:ascii="Arial" w:hAnsi="Arial" w:cs="Arial"/>
          <w:sz w:val="24"/>
        </w:rPr>
      </w:pPr>
      <w:r w:rsidRPr="00150CA5">
        <w:rPr>
          <w:rFonts w:ascii="Arial" w:hAnsi="Arial" w:cs="Arial"/>
          <w:sz w:val="24"/>
        </w:rPr>
        <w:t>Cultural safety is defined as an environment that is safe for Aboriginal and Torres Strait Islander people, where there is no challenge or denial of their identity and experience. In health and other government service settings, cultural safety is achieved through continuous learning and practice improvements, guided by ongoing consultation with Aboriginal and Torres Strait Islander peoples.</w:t>
      </w:r>
    </w:p>
    <w:p w14:paraId="427A75B5" w14:textId="77777777" w:rsidR="00150CA5" w:rsidRPr="00150CA5" w:rsidRDefault="00150CA5" w:rsidP="00150CA5">
      <w:pPr>
        <w:pBdr>
          <w:top w:val="single" w:sz="4" w:space="1" w:color="auto"/>
          <w:left w:val="single" w:sz="4" w:space="4" w:color="auto"/>
          <w:bottom w:val="single" w:sz="4" w:space="1" w:color="auto"/>
          <w:right w:val="single" w:sz="4" w:space="4" w:color="auto"/>
        </w:pBdr>
        <w:rPr>
          <w:rFonts w:ascii="Arial" w:hAnsi="Arial" w:cs="Arial"/>
          <w:sz w:val="24"/>
        </w:rPr>
      </w:pPr>
      <w:r w:rsidRPr="00150CA5">
        <w:rPr>
          <w:rFonts w:ascii="Arial" w:hAnsi="Arial" w:cs="Arial"/>
          <w:sz w:val="24"/>
        </w:rPr>
        <w:t>The Aboriginal and Torres Strait Islander Cultural Safety Framework (DHHS, 2019a) outlines key aspects of a culturally safe service:</w:t>
      </w:r>
    </w:p>
    <w:p w14:paraId="6F0287C7" w14:textId="77777777" w:rsidR="00150CA5" w:rsidRPr="00150CA5" w:rsidRDefault="00150CA5" w:rsidP="00150CA5">
      <w:pPr>
        <w:pBdr>
          <w:top w:val="single" w:sz="4" w:space="1" w:color="auto"/>
          <w:left w:val="single" w:sz="4" w:space="4" w:color="auto"/>
          <w:bottom w:val="single" w:sz="4" w:space="1" w:color="auto"/>
          <w:right w:val="single" w:sz="4" w:space="4" w:color="auto"/>
        </w:pBdr>
        <w:rPr>
          <w:rFonts w:ascii="Arial" w:hAnsi="Arial" w:cs="Arial"/>
          <w:sz w:val="24"/>
        </w:rPr>
      </w:pPr>
      <w:r>
        <w:rPr>
          <w:rFonts w:ascii="Arial" w:hAnsi="Arial" w:cs="Arial"/>
          <w:sz w:val="24"/>
        </w:rPr>
        <w:t xml:space="preserve">• </w:t>
      </w:r>
      <w:r w:rsidRPr="00150CA5">
        <w:rPr>
          <w:rFonts w:ascii="Arial" w:hAnsi="Arial" w:cs="Arial"/>
          <w:sz w:val="24"/>
        </w:rPr>
        <w:t>Knowledge and respect for self – awareness of how one's own cultural values, knowledge, skills and attitudes are formed and affect others, including a responsibility to address one’s unconscious bias, racism and discrimination</w:t>
      </w:r>
    </w:p>
    <w:p w14:paraId="4F1FD421" w14:textId="77777777" w:rsidR="00150CA5" w:rsidRPr="00150CA5" w:rsidRDefault="00150CA5" w:rsidP="00150CA5">
      <w:pPr>
        <w:pBdr>
          <w:top w:val="single" w:sz="4" w:space="1" w:color="auto"/>
          <w:left w:val="single" w:sz="4" w:space="4" w:color="auto"/>
          <w:bottom w:val="single" w:sz="4" w:space="1" w:color="auto"/>
          <w:right w:val="single" w:sz="4" w:space="4" w:color="auto"/>
        </w:pBdr>
        <w:rPr>
          <w:rFonts w:ascii="Arial" w:hAnsi="Arial" w:cs="Arial"/>
          <w:sz w:val="24"/>
        </w:rPr>
      </w:pPr>
      <w:r>
        <w:rPr>
          <w:rFonts w:ascii="Arial" w:hAnsi="Arial" w:cs="Arial"/>
          <w:sz w:val="24"/>
        </w:rPr>
        <w:t xml:space="preserve">• </w:t>
      </w:r>
      <w:r w:rsidRPr="00150CA5">
        <w:rPr>
          <w:rFonts w:ascii="Arial" w:hAnsi="Arial" w:cs="Arial"/>
          <w:sz w:val="24"/>
        </w:rPr>
        <w:t>Knowledge of and respect for Aboriginal people – knowledge of the diversity of Aboriginal peoples, communities and cultures, and the skills and attitudes to work effectively with them</w:t>
      </w:r>
    </w:p>
    <w:p w14:paraId="1319D321" w14:textId="77777777" w:rsidR="009F6AB8" w:rsidRDefault="00150CA5" w:rsidP="00150CA5">
      <w:pPr>
        <w:pBdr>
          <w:top w:val="single" w:sz="4" w:space="1" w:color="auto"/>
          <w:left w:val="single" w:sz="4" w:space="4" w:color="auto"/>
          <w:bottom w:val="single" w:sz="4" w:space="1" w:color="auto"/>
          <w:right w:val="single" w:sz="4" w:space="4" w:color="auto"/>
        </w:pBdr>
        <w:rPr>
          <w:rFonts w:ascii="Arial" w:hAnsi="Arial" w:cs="Arial"/>
          <w:sz w:val="24"/>
        </w:rPr>
      </w:pPr>
      <w:r>
        <w:rPr>
          <w:rFonts w:ascii="Arial" w:hAnsi="Arial" w:cs="Arial"/>
          <w:sz w:val="24"/>
        </w:rPr>
        <w:t xml:space="preserve">• </w:t>
      </w:r>
      <w:r w:rsidRPr="00150CA5">
        <w:rPr>
          <w:rFonts w:ascii="Arial" w:hAnsi="Arial" w:cs="Arial"/>
          <w:sz w:val="24"/>
        </w:rPr>
        <w:t>A commitment to redesigning organisations and systems to reduce racism and discrimination – strategic and institutional reform to remove barriers to optimal health, wellbeing and safety outcomes for Aboriginal people</w:t>
      </w:r>
      <w:r>
        <w:rPr>
          <w:rFonts w:ascii="Arial" w:hAnsi="Arial" w:cs="Arial"/>
          <w:sz w:val="24"/>
        </w:rPr>
        <w:t>.</w:t>
      </w:r>
    </w:p>
    <w:p w14:paraId="60C543FF" w14:textId="77777777" w:rsidR="00D17E83" w:rsidRPr="00B540DC" w:rsidRDefault="00D17E83" w:rsidP="002F3BD4">
      <w:pPr>
        <w:pStyle w:val="Heading3"/>
        <w:rPr>
          <w:rFonts w:ascii="Arial" w:hAnsi="Arial" w:cs="Arial"/>
          <w:b w:val="0"/>
          <w:bCs w:val="0"/>
          <w:sz w:val="24"/>
        </w:rPr>
      </w:pPr>
      <w:bookmarkStart w:id="23" w:name="_Toc33527748"/>
      <w:r w:rsidRPr="002F3BD4">
        <w:rPr>
          <w:rFonts w:ascii="Arial" w:hAnsi="Arial" w:cs="Arial"/>
          <w:color w:val="auto"/>
          <w:sz w:val="24"/>
        </w:rPr>
        <w:t>2.14</w:t>
      </w:r>
      <w:r w:rsidRPr="002F3BD4">
        <w:rPr>
          <w:rFonts w:ascii="Arial" w:hAnsi="Arial" w:cs="Arial"/>
          <w:color w:val="auto"/>
          <w:sz w:val="24"/>
        </w:rPr>
        <w:tab/>
        <w:t>Rates of sexually transmitted infection have declined</w:t>
      </w:r>
      <w:bookmarkEnd w:id="23"/>
    </w:p>
    <w:p w14:paraId="0ACE7185" w14:textId="77777777" w:rsidR="00D17E83" w:rsidRPr="00D17E83" w:rsidRDefault="00D17E83" w:rsidP="00D17E83">
      <w:pPr>
        <w:rPr>
          <w:rFonts w:ascii="Arial" w:hAnsi="Arial" w:cs="Arial"/>
          <w:sz w:val="24"/>
        </w:rPr>
      </w:pPr>
      <w:r w:rsidRPr="00D17E83">
        <w:rPr>
          <w:rFonts w:ascii="Arial" w:hAnsi="Arial" w:cs="Arial"/>
          <w:sz w:val="24"/>
        </w:rPr>
        <w:t>The Victorian Department of Health and Human Services is mandated to collect information on notifiable STIs under the Public Health and Wellbeing Act 2008. This report focusses on chlamydial infection, gonococcal infection, and syphilis. During the past five years in Victoria, rates of STIs have gradually declined in the 15 to 17 year age group. This decline has occurred equally among boys and girls,</w:t>
      </w:r>
      <w:r>
        <w:rPr>
          <w:rFonts w:ascii="Arial" w:hAnsi="Arial" w:cs="Arial"/>
          <w:sz w:val="24"/>
        </w:rPr>
        <w:t xml:space="preserve"> </w:t>
      </w:r>
      <w:r w:rsidRPr="00D17E83">
        <w:rPr>
          <w:rFonts w:ascii="Arial" w:hAnsi="Arial" w:cs="Arial"/>
          <w:sz w:val="24"/>
        </w:rPr>
        <w:t>with STI rates among females (660 notifications per 100,000 population) remaining three times higher than among males (181 per 100,000 population). The main decline has been in chlamydial infection notifications, which account for 90 per cent of</w:t>
      </w:r>
      <w:r>
        <w:rPr>
          <w:rFonts w:ascii="Arial" w:hAnsi="Arial" w:cs="Arial"/>
          <w:sz w:val="24"/>
        </w:rPr>
        <w:t xml:space="preserve"> </w:t>
      </w:r>
      <w:r w:rsidRPr="00D17E83">
        <w:rPr>
          <w:rFonts w:ascii="Arial" w:hAnsi="Arial" w:cs="Arial"/>
          <w:sz w:val="24"/>
        </w:rPr>
        <w:t>STI notifications in this age group.</w:t>
      </w:r>
    </w:p>
    <w:p w14:paraId="2CE5B3AA" w14:textId="77777777" w:rsidR="00150CA5" w:rsidRDefault="00D17E83" w:rsidP="00D17E83">
      <w:pPr>
        <w:rPr>
          <w:rFonts w:ascii="Arial" w:hAnsi="Arial" w:cs="Arial"/>
          <w:sz w:val="24"/>
        </w:rPr>
      </w:pPr>
      <w:r w:rsidRPr="00D17E83">
        <w:rPr>
          <w:rFonts w:ascii="Arial" w:hAnsi="Arial" w:cs="Arial"/>
          <w:sz w:val="24"/>
        </w:rPr>
        <w:t>By contrast, rates of gonococcal infection, which is the second most common infection, have increased over this period. For boys, gonococcal infection now accounts for two in ten STI notifications, compared to one in ten in 2014. For girls, it now accounts for six in every 100 notifications, compared to three in every 100 in 2014.</w:t>
      </w:r>
    </w:p>
    <w:p w14:paraId="032A4B04" w14:textId="77777777" w:rsidR="00D17E83" w:rsidRDefault="005A313C" w:rsidP="00D17E83">
      <w:pPr>
        <w:rPr>
          <w:rFonts w:ascii="Arial" w:hAnsi="Arial" w:cs="Arial"/>
          <w:b/>
          <w:sz w:val="24"/>
        </w:rPr>
      </w:pPr>
      <w:r w:rsidRPr="00E575A8">
        <w:rPr>
          <w:rFonts w:ascii="Arial" w:hAnsi="Arial" w:cs="Arial"/>
          <w:b/>
          <w:sz w:val="24"/>
        </w:rPr>
        <w:t>Figure 15. STI notification rates per 100,000 young people (aged 15-17), by gender, Victoria, 2006-2018</w:t>
      </w:r>
    </w:p>
    <w:tbl>
      <w:tblPr>
        <w:tblStyle w:val="TableGrid"/>
        <w:tblW w:w="5000" w:type="pct"/>
        <w:tblLook w:val="04A0" w:firstRow="1" w:lastRow="0" w:firstColumn="1" w:lastColumn="0" w:noHBand="0" w:noVBand="1"/>
        <w:tblDescription w:val="This table provides information on STI notification rates per 100,000 young people (aged 15-17), by gender, Victoria, 2006-2018"/>
      </w:tblPr>
      <w:tblGrid>
        <w:gridCol w:w="1786"/>
        <w:gridCol w:w="2200"/>
        <w:gridCol w:w="2515"/>
        <w:gridCol w:w="2515"/>
      </w:tblGrid>
      <w:tr w:rsidR="00A73020" w:rsidRPr="00054426" w14:paraId="30AA5F4B" w14:textId="77777777" w:rsidTr="00A73020">
        <w:trPr>
          <w:tblHeader/>
        </w:trPr>
        <w:tc>
          <w:tcPr>
            <w:tcW w:w="990" w:type="pct"/>
          </w:tcPr>
          <w:p w14:paraId="088C8C28" w14:textId="77777777" w:rsidR="00A73020" w:rsidRPr="00054426" w:rsidRDefault="00A73020" w:rsidP="0012306D">
            <w:pPr>
              <w:rPr>
                <w:rFonts w:ascii="Arial" w:hAnsi="Arial" w:cs="Arial"/>
                <w:sz w:val="24"/>
              </w:rPr>
            </w:pPr>
          </w:p>
        </w:tc>
        <w:tc>
          <w:tcPr>
            <w:tcW w:w="1220" w:type="pct"/>
          </w:tcPr>
          <w:p w14:paraId="12E99AC0" w14:textId="77777777" w:rsidR="00A73020" w:rsidRPr="00054426" w:rsidRDefault="004B48A3" w:rsidP="0012306D">
            <w:pPr>
              <w:rPr>
                <w:rFonts w:ascii="Arial" w:hAnsi="Arial" w:cs="Arial"/>
                <w:sz w:val="24"/>
              </w:rPr>
            </w:pPr>
            <w:r>
              <w:rPr>
                <w:rFonts w:ascii="Arial" w:hAnsi="Arial" w:cs="Arial"/>
                <w:sz w:val="24"/>
              </w:rPr>
              <w:t>All</w:t>
            </w:r>
          </w:p>
        </w:tc>
        <w:tc>
          <w:tcPr>
            <w:tcW w:w="1395" w:type="pct"/>
          </w:tcPr>
          <w:p w14:paraId="26E27569" w14:textId="77777777" w:rsidR="00A73020" w:rsidRPr="00054426" w:rsidRDefault="004B48A3" w:rsidP="0012306D">
            <w:pPr>
              <w:rPr>
                <w:rFonts w:ascii="Arial" w:hAnsi="Arial" w:cs="Arial"/>
                <w:sz w:val="24"/>
              </w:rPr>
            </w:pPr>
            <w:r>
              <w:rPr>
                <w:rFonts w:ascii="Arial" w:hAnsi="Arial" w:cs="Arial"/>
                <w:sz w:val="24"/>
              </w:rPr>
              <w:t>Male</w:t>
            </w:r>
          </w:p>
        </w:tc>
        <w:tc>
          <w:tcPr>
            <w:tcW w:w="1395" w:type="pct"/>
          </w:tcPr>
          <w:p w14:paraId="58BEF42E" w14:textId="77777777" w:rsidR="00A73020" w:rsidRDefault="004B48A3" w:rsidP="0012306D">
            <w:pPr>
              <w:rPr>
                <w:rFonts w:ascii="Arial" w:hAnsi="Arial" w:cs="Arial"/>
                <w:sz w:val="24"/>
              </w:rPr>
            </w:pPr>
            <w:r>
              <w:rPr>
                <w:rFonts w:ascii="Arial" w:hAnsi="Arial" w:cs="Arial"/>
                <w:sz w:val="24"/>
              </w:rPr>
              <w:t>Female</w:t>
            </w:r>
          </w:p>
        </w:tc>
      </w:tr>
      <w:tr w:rsidR="00A73020" w:rsidRPr="00054426" w14:paraId="039DF36E" w14:textId="77777777" w:rsidTr="00A73020">
        <w:tc>
          <w:tcPr>
            <w:tcW w:w="990" w:type="pct"/>
          </w:tcPr>
          <w:p w14:paraId="1316827C" w14:textId="77777777" w:rsidR="00A73020" w:rsidRPr="00054426" w:rsidRDefault="00A73020" w:rsidP="0012306D">
            <w:pPr>
              <w:rPr>
                <w:rFonts w:ascii="Arial" w:hAnsi="Arial" w:cs="Arial"/>
                <w:sz w:val="24"/>
              </w:rPr>
            </w:pPr>
            <w:r>
              <w:rPr>
                <w:rFonts w:ascii="Arial" w:hAnsi="Arial" w:cs="Arial"/>
                <w:sz w:val="24"/>
              </w:rPr>
              <w:t>2006</w:t>
            </w:r>
          </w:p>
        </w:tc>
        <w:tc>
          <w:tcPr>
            <w:tcW w:w="1220" w:type="pct"/>
          </w:tcPr>
          <w:p w14:paraId="61989866" w14:textId="77777777" w:rsidR="00A73020" w:rsidRPr="00054426" w:rsidRDefault="004B48A3" w:rsidP="0012306D">
            <w:pPr>
              <w:rPr>
                <w:rFonts w:ascii="Arial" w:hAnsi="Arial" w:cs="Arial"/>
                <w:sz w:val="24"/>
              </w:rPr>
            </w:pPr>
            <w:r>
              <w:rPr>
                <w:rFonts w:ascii="Arial" w:hAnsi="Arial" w:cs="Arial"/>
                <w:sz w:val="24"/>
              </w:rPr>
              <w:t>282</w:t>
            </w:r>
          </w:p>
        </w:tc>
        <w:tc>
          <w:tcPr>
            <w:tcW w:w="1395" w:type="pct"/>
          </w:tcPr>
          <w:p w14:paraId="361B7A97" w14:textId="77777777" w:rsidR="00A73020" w:rsidRPr="00054426" w:rsidRDefault="004B48A3" w:rsidP="0012306D">
            <w:pPr>
              <w:rPr>
                <w:rFonts w:ascii="Arial" w:hAnsi="Arial" w:cs="Arial"/>
                <w:sz w:val="24"/>
              </w:rPr>
            </w:pPr>
            <w:r>
              <w:rPr>
                <w:rFonts w:ascii="Arial" w:hAnsi="Arial" w:cs="Arial"/>
                <w:sz w:val="24"/>
              </w:rPr>
              <w:t>85</w:t>
            </w:r>
          </w:p>
        </w:tc>
        <w:tc>
          <w:tcPr>
            <w:tcW w:w="1395" w:type="pct"/>
          </w:tcPr>
          <w:p w14:paraId="573ABE28" w14:textId="77777777" w:rsidR="00A73020" w:rsidRDefault="004B48A3" w:rsidP="0012306D">
            <w:pPr>
              <w:rPr>
                <w:rFonts w:ascii="Arial" w:hAnsi="Arial" w:cs="Arial"/>
                <w:sz w:val="24"/>
              </w:rPr>
            </w:pPr>
            <w:r>
              <w:rPr>
                <w:rFonts w:ascii="Arial" w:hAnsi="Arial" w:cs="Arial"/>
                <w:sz w:val="24"/>
              </w:rPr>
              <w:t>484</w:t>
            </w:r>
          </w:p>
        </w:tc>
      </w:tr>
      <w:tr w:rsidR="00A73020" w:rsidRPr="00054426" w14:paraId="61A207A9" w14:textId="77777777" w:rsidTr="00A73020">
        <w:tc>
          <w:tcPr>
            <w:tcW w:w="990" w:type="pct"/>
          </w:tcPr>
          <w:p w14:paraId="5D906FD7" w14:textId="77777777" w:rsidR="00A73020" w:rsidRPr="00054426" w:rsidRDefault="00A73020" w:rsidP="0012306D">
            <w:pPr>
              <w:rPr>
                <w:rFonts w:ascii="Arial" w:hAnsi="Arial" w:cs="Arial"/>
                <w:sz w:val="24"/>
              </w:rPr>
            </w:pPr>
            <w:r>
              <w:rPr>
                <w:rFonts w:ascii="Arial" w:hAnsi="Arial" w:cs="Arial"/>
                <w:sz w:val="24"/>
              </w:rPr>
              <w:t>2007</w:t>
            </w:r>
          </w:p>
        </w:tc>
        <w:tc>
          <w:tcPr>
            <w:tcW w:w="1220" w:type="pct"/>
          </w:tcPr>
          <w:p w14:paraId="091F83BE" w14:textId="77777777" w:rsidR="00A73020" w:rsidRPr="00054426" w:rsidRDefault="004B48A3" w:rsidP="0012306D">
            <w:pPr>
              <w:rPr>
                <w:rFonts w:ascii="Arial" w:hAnsi="Arial" w:cs="Arial"/>
                <w:sz w:val="24"/>
              </w:rPr>
            </w:pPr>
            <w:r>
              <w:rPr>
                <w:rFonts w:ascii="Arial" w:hAnsi="Arial" w:cs="Arial"/>
                <w:sz w:val="24"/>
              </w:rPr>
              <w:t>331</w:t>
            </w:r>
          </w:p>
        </w:tc>
        <w:tc>
          <w:tcPr>
            <w:tcW w:w="1395" w:type="pct"/>
          </w:tcPr>
          <w:p w14:paraId="190DD470" w14:textId="77777777" w:rsidR="00A73020" w:rsidRPr="00054426" w:rsidRDefault="004B48A3" w:rsidP="0012306D">
            <w:pPr>
              <w:rPr>
                <w:rFonts w:ascii="Arial" w:hAnsi="Arial" w:cs="Arial"/>
                <w:sz w:val="24"/>
              </w:rPr>
            </w:pPr>
            <w:r>
              <w:rPr>
                <w:rFonts w:ascii="Arial" w:hAnsi="Arial" w:cs="Arial"/>
                <w:sz w:val="24"/>
              </w:rPr>
              <w:t>82</w:t>
            </w:r>
          </w:p>
        </w:tc>
        <w:tc>
          <w:tcPr>
            <w:tcW w:w="1395" w:type="pct"/>
          </w:tcPr>
          <w:p w14:paraId="429B79F2" w14:textId="77777777" w:rsidR="00A73020" w:rsidRDefault="004B48A3" w:rsidP="0012306D">
            <w:pPr>
              <w:rPr>
                <w:rFonts w:ascii="Arial" w:hAnsi="Arial" w:cs="Arial"/>
                <w:sz w:val="24"/>
              </w:rPr>
            </w:pPr>
            <w:r>
              <w:rPr>
                <w:rFonts w:ascii="Arial" w:hAnsi="Arial" w:cs="Arial"/>
                <w:sz w:val="24"/>
              </w:rPr>
              <w:t>588</w:t>
            </w:r>
          </w:p>
        </w:tc>
      </w:tr>
      <w:tr w:rsidR="00A73020" w14:paraId="2B3C5F9B" w14:textId="77777777" w:rsidTr="00A73020">
        <w:tc>
          <w:tcPr>
            <w:tcW w:w="990" w:type="pct"/>
          </w:tcPr>
          <w:p w14:paraId="200CDAED" w14:textId="77777777" w:rsidR="00A73020" w:rsidRPr="00054426" w:rsidRDefault="00A73020" w:rsidP="0012306D">
            <w:pPr>
              <w:rPr>
                <w:rFonts w:ascii="Arial" w:hAnsi="Arial" w:cs="Arial"/>
                <w:sz w:val="24"/>
              </w:rPr>
            </w:pPr>
            <w:r w:rsidRPr="00054426">
              <w:rPr>
                <w:rFonts w:ascii="Arial" w:hAnsi="Arial" w:cs="Arial"/>
                <w:sz w:val="24"/>
              </w:rPr>
              <w:t>20</w:t>
            </w:r>
            <w:r>
              <w:rPr>
                <w:rFonts w:ascii="Arial" w:hAnsi="Arial" w:cs="Arial"/>
                <w:sz w:val="24"/>
              </w:rPr>
              <w:t>08</w:t>
            </w:r>
          </w:p>
        </w:tc>
        <w:tc>
          <w:tcPr>
            <w:tcW w:w="1220" w:type="pct"/>
          </w:tcPr>
          <w:p w14:paraId="28378B98" w14:textId="77777777" w:rsidR="00A73020" w:rsidRPr="00054426" w:rsidRDefault="004B48A3" w:rsidP="0012306D">
            <w:pPr>
              <w:rPr>
                <w:rFonts w:ascii="Arial" w:hAnsi="Arial" w:cs="Arial"/>
                <w:sz w:val="24"/>
              </w:rPr>
            </w:pPr>
            <w:r>
              <w:rPr>
                <w:rFonts w:ascii="Arial" w:hAnsi="Arial" w:cs="Arial"/>
                <w:sz w:val="24"/>
              </w:rPr>
              <w:t>422</w:t>
            </w:r>
          </w:p>
        </w:tc>
        <w:tc>
          <w:tcPr>
            <w:tcW w:w="1395" w:type="pct"/>
          </w:tcPr>
          <w:p w14:paraId="75F3035B" w14:textId="77777777" w:rsidR="00A73020" w:rsidRDefault="004B48A3" w:rsidP="0012306D">
            <w:pPr>
              <w:rPr>
                <w:rFonts w:ascii="Arial" w:hAnsi="Arial" w:cs="Arial"/>
                <w:sz w:val="24"/>
              </w:rPr>
            </w:pPr>
            <w:r>
              <w:rPr>
                <w:rFonts w:ascii="Arial" w:hAnsi="Arial" w:cs="Arial"/>
                <w:sz w:val="24"/>
              </w:rPr>
              <w:t>127</w:t>
            </w:r>
          </w:p>
        </w:tc>
        <w:tc>
          <w:tcPr>
            <w:tcW w:w="1395" w:type="pct"/>
          </w:tcPr>
          <w:p w14:paraId="06D4C2A8" w14:textId="77777777" w:rsidR="00A73020" w:rsidRDefault="004B48A3" w:rsidP="0012306D">
            <w:pPr>
              <w:rPr>
                <w:rFonts w:ascii="Arial" w:hAnsi="Arial" w:cs="Arial"/>
                <w:sz w:val="24"/>
              </w:rPr>
            </w:pPr>
            <w:r>
              <w:rPr>
                <w:rFonts w:ascii="Arial" w:hAnsi="Arial" w:cs="Arial"/>
                <w:sz w:val="24"/>
              </w:rPr>
              <w:t>725</w:t>
            </w:r>
          </w:p>
        </w:tc>
      </w:tr>
      <w:tr w:rsidR="00A73020" w14:paraId="7838FCFE" w14:textId="77777777" w:rsidTr="00A73020">
        <w:tc>
          <w:tcPr>
            <w:tcW w:w="990" w:type="pct"/>
          </w:tcPr>
          <w:p w14:paraId="462C761B" w14:textId="77777777" w:rsidR="00A73020" w:rsidRPr="00054426" w:rsidRDefault="00A73020" w:rsidP="0012306D">
            <w:pPr>
              <w:rPr>
                <w:rFonts w:ascii="Arial" w:hAnsi="Arial" w:cs="Arial"/>
                <w:sz w:val="24"/>
              </w:rPr>
            </w:pPr>
            <w:r>
              <w:rPr>
                <w:rFonts w:ascii="Arial" w:hAnsi="Arial" w:cs="Arial"/>
                <w:sz w:val="24"/>
              </w:rPr>
              <w:t>2009</w:t>
            </w:r>
          </w:p>
        </w:tc>
        <w:tc>
          <w:tcPr>
            <w:tcW w:w="1220" w:type="pct"/>
          </w:tcPr>
          <w:p w14:paraId="32BBB783" w14:textId="77777777" w:rsidR="00A73020" w:rsidRDefault="004B48A3" w:rsidP="0012306D">
            <w:pPr>
              <w:rPr>
                <w:rFonts w:ascii="Arial" w:hAnsi="Arial" w:cs="Arial"/>
                <w:sz w:val="24"/>
              </w:rPr>
            </w:pPr>
            <w:r>
              <w:rPr>
                <w:rFonts w:ascii="Arial" w:hAnsi="Arial" w:cs="Arial"/>
                <w:sz w:val="24"/>
              </w:rPr>
              <w:t>461</w:t>
            </w:r>
          </w:p>
        </w:tc>
        <w:tc>
          <w:tcPr>
            <w:tcW w:w="1395" w:type="pct"/>
          </w:tcPr>
          <w:p w14:paraId="667BDDED" w14:textId="77777777" w:rsidR="00A73020" w:rsidRDefault="004B48A3" w:rsidP="0012306D">
            <w:pPr>
              <w:rPr>
                <w:rFonts w:ascii="Arial" w:hAnsi="Arial" w:cs="Arial"/>
                <w:sz w:val="24"/>
              </w:rPr>
            </w:pPr>
            <w:r>
              <w:rPr>
                <w:rFonts w:ascii="Arial" w:hAnsi="Arial" w:cs="Arial"/>
                <w:sz w:val="24"/>
              </w:rPr>
              <w:t>173</w:t>
            </w:r>
          </w:p>
        </w:tc>
        <w:tc>
          <w:tcPr>
            <w:tcW w:w="1395" w:type="pct"/>
          </w:tcPr>
          <w:p w14:paraId="38FDB5EC" w14:textId="77777777" w:rsidR="00A73020" w:rsidRDefault="004B48A3" w:rsidP="0012306D">
            <w:pPr>
              <w:rPr>
                <w:rFonts w:ascii="Arial" w:hAnsi="Arial" w:cs="Arial"/>
                <w:sz w:val="24"/>
              </w:rPr>
            </w:pPr>
            <w:r>
              <w:rPr>
                <w:rFonts w:ascii="Arial" w:hAnsi="Arial" w:cs="Arial"/>
                <w:sz w:val="24"/>
              </w:rPr>
              <w:t>765</w:t>
            </w:r>
          </w:p>
        </w:tc>
      </w:tr>
      <w:tr w:rsidR="00A73020" w14:paraId="7A6DC4C6" w14:textId="77777777" w:rsidTr="00A73020">
        <w:tc>
          <w:tcPr>
            <w:tcW w:w="990" w:type="pct"/>
          </w:tcPr>
          <w:p w14:paraId="3D4E8972" w14:textId="77777777" w:rsidR="00A73020" w:rsidRPr="00054426" w:rsidRDefault="00A73020" w:rsidP="0012306D">
            <w:pPr>
              <w:rPr>
                <w:rFonts w:ascii="Arial" w:hAnsi="Arial" w:cs="Arial"/>
                <w:sz w:val="24"/>
              </w:rPr>
            </w:pPr>
            <w:r>
              <w:rPr>
                <w:rFonts w:ascii="Arial" w:hAnsi="Arial" w:cs="Arial"/>
                <w:sz w:val="24"/>
              </w:rPr>
              <w:t>2010</w:t>
            </w:r>
          </w:p>
        </w:tc>
        <w:tc>
          <w:tcPr>
            <w:tcW w:w="1220" w:type="pct"/>
          </w:tcPr>
          <w:p w14:paraId="08FBA6EB" w14:textId="77777777" w:rsidR="00A73020" w:rsidRDefault="004B48A3" w:rsidP="0012306D">
            <w:pPr>
              <w:rPr>
                <w:rFonts w:ascii="Arial" w:hAnsi="Arial" w:cs="Arial"/>
                <w:sz w:val="24"/>
              </w:rPr>
            </w:pPr>
            <w:r>
              <w:rPr>
                <w:rFonts w:ascii="Arial" w:hAnsi="Arial" w:cs="Arial"/>
                <w:sz w:val="24"/>
              </w:rPr>
              <w:t>603</w:t>
            </w:r>
          </w:p>
        </w:tc>
        <w:tc>
          <w:tcPr>
            <w:tcW w:w="1395" w:type="pct"/>
          </w:tcPr>
          <w:p w14:paraId="393F4A4E" w14:textId="77777777" w:rsidR="00A73020" w:rsidRDefault="004B48A3" w:rsidP="0012306D">
            <w:pPr>
              <w:rPr>
                <w:rFonts w:ascii="Arial" w:hAnsi="Arial" w:cs="Arial"/>
                <w:sz w:val="24"/>
              </w:rPr>
            </w:pPr>
            <w:r>
              <w:rPr>
                <w:rFonts w:ascii="Arial" w:hAnsi="Arial" w:cs="Arial"/>
                <w:sz w:val="24"/>
              </w:rPr>
              <w:t>216</w:t>
            </w:r>
          </w:p>
        </w:tc>
        <w:tc>
          <w:tcPr>
            <w:tcW w:w="1395" w:type="pct"/>
          </w:tcPr>
          <w:p w14:paraId="4C12705F" w14:textId="77777777" w:rsidR="00A73020" w:rsidRDefault="004B48A3" w:rsidP="0012306D">
            <w:pPr>
              <w:rPr>
                <w:rFonts w:ascii="Arial" w:hAnsi="Arial" w:cs="Arial"/>
                <w:sz w:val="24"/>
              </w:rPr>
            </w:pPr>
            <w:r>
              <w:rPr>
                <w:rFonts w:ascii="Arial" w:hAnsi="Arial" w:cs="Arial"/>
                <w:sz w:val="24"/>
              </w:rPr>
              <w:t>1,002</w:t>
            </w:r>
          </w:p>
        </w:tc>
      </w:tr>
      <w:tr w:rsidR="00A73020" w14:paraId="10BB8192" w14:textId="77777777" w:rsidTr="00A73020">
        <w:tc>
          <w:tcPr>
            <w:tcW w:w="990" w:type="pct"/>
          </w:tcPr>
          <w:p w14:paraId="6022DF15" w14:textId="77777777" w:rsidR="00A73020" w:rsidRPr="00054426" w:rsidRDefault="00A73020" w:rsidP="0012306D">
            <w:pPr>
              <w:rPr>
                <w:rFonts w:ascii="Arial" w:hAnsi="Arial" w:cs="Arial"/>
                <w:sz w:val="24"/>
              </w:rPr>
            </w:pPr>
            <w:r>
              <w:rPr>
                <w:rFonts w:ascii="Arial" w:hAnsi="Arial" w:cs="Arial"/>
                <w:sz w:val="24"/>
              </w:rPr>
              <w:t>2011</w:t>
            </w:r>
          </w:p>
        </w:tc>
        <w:tc>
          <w:tcPr>
            <w:tcW w:w="1220" w:type="pct"/>
          </w:tcPr>
          <w:p w14:paraId="34D50BE9" w14:textId="77777777" w:rsidR="00A73020" w:rsidRDefault="004B48A3" w:rsidP="0012306D">
            <w:pPr>
              <w:rPr>
                <w:rFonts w:ascii="Arial" w:hAnsi="Arial" w:cs="Arial"/>
                <w:sz w:val="24"/>
              </w:rPr>
            </w:pPr>
            <w:r>
              <w:rPr>
                <w:rFonts w:ascii="Arial" w:hAnsi="Arial" w:cs="Arial"/>
                <w:sz w:val="24"/>
              </w:rPr>
              <w:t>741</w:t>
            </w:r>
          </w:p>
        </w:tc>
        <w:tc>
          <w:tcPr>
            <w:tcW w:w="1395" w:type="pct"/>
          </w:tcPr>
          <w:p w14:paraId="6C36B6F8" w14:textId="77777777" w:rsidR="00A73020" w:rsidRDefault="004B48A3" w:rsidP="0012306D">
            <w:pPr>
              <w:rPr>
                <w:rFonts w:ascii="Arial" w:hAnsi="Arial" w:cs="Arial"/>
                <w:sz w:val="24"/>
              </w:rPr>
            </w:pPr>
            <w:r>
              <w:rPr>
                <w:rFonts w:ascii="Arial" w:hAnsi="Arial" w:cs="Arial"/>
                <w:sz w:val="24"/>
              </w:rPr>
              <w:t>254</w:t>
            </w:r>
          </w:p>
        </w:tc>
        <w:tc>
          <w:tcPr>
            <w:tcW w:w="1395" w:type="pct"/>
          </w:tcPr>
          <w:p w14:paraId="0A163352" w14:textId="77777777" w:rsidR="00A73020" w:rsidRDefault="004B48A3" w:rsidP="0012306D">
            <w:pPr>
              <w:rPr>
                <w:rFonts w:ascii="Arial" w:hAnsi="Arial" w:cs="Arial"/>
                <w:sz w:val="24"/>
              </w:rPr>
            </w:pPr>
            <w:r>
              <w:rPr>
                <w:rFonts w:ascii="Arial" w:hAnsi="Arial" w:cs="Arial"/>
                <w:sz w:val="24"/>
              </w:rPr>
              <w:t>1,251</w:t>
            </w:r>
          </w:p>
        </w:tc>
      </w:tr>
      <w:tr w:rsidR="00A73020" w14:paraId="0BEDEF54" w14:textId="77777777" w:rsidTr="00A73020">
        <w:tc>
          <w:tcPr>
            <w:tcW w:w="990" w:type="pct"/>
          </w:tcPr>
          <w:p w14:paraId="04667B09" w14:textId="77777777" w:rsidR="00A73020" w:rsidRPr="00054426" w:rsidRDefault="00A73020" w:rsidP="0012306D">
            <w:pPr>
              <w:rPr>
                <w:rFonts w:ascii="Arial" w:hAnsi="Arial" w:cs="Arial"/>
                <w:sz w:val="24"/>
              </w:rPr>
            </w:pPr>
            <w:r>
              <w:rPr>
                <w:rFonts w:ascii="Arial" w:hAnsi="Arial" w:cs="Arial"/>
                <w:sz w:val="24"/>
              </w:rPr>
              <w:t>2012</w:t>
            </w:r>
          </w:p>
        </w:tc>
        <w:tc>
          <w:tcPr>
            <w:tcW w:w="1220" w:type="pct"/>
          </w:tcPr>
          <w:p w14:paraId="6A8AB633" w14:textId="77777777" w:rsidR="00A73020" w:rsidRDefault="004B48A3" w:rsidP="0012306D">
            <w:pPr>
              <w:rPr>
                <w:rFonts w:ascii="Arial" w:hAnsi="Arial" w:cs="Arial"/>
                <w:sz w:val="24"/>
              </w:rPr>
            </w:pPr>
            <w:r>
              <w:rPr>
                <w:rFonts w:ascii="Arial" w:hAnsi="Arial" w:cs="Arial"/>
                <w:sz w:val="24"/>
              </w:rPr>
              <w:t>744</w:t>
            </w:r>
          </w:p>
        </w:tc>
        <w:tc>
          <w:tcPr>
            <w:tcW w:w="1395" w:type="pct"/>
          </w:tcPr>
          <w:p w14:paraId="667CA9A0" w14:textId="77777777" w:rsidR="00A73020" w:rsidRDefault="004B48A3" w:rsidP="0012306D">
            <w:pPr>
              <w:rPr>
                <w:rFonts w:ascii="Arial" w:hAnsi="Arial" w:cs="Arial"/>
                <w:sz w:val="24"/>
              </w:rPr>
            </w:pPr>
            <w:r>
              <w:rPr>
                <w:rFonts w:ascii="Arial" w:hAnsi="Arial" w:cs="Arial"/>
                <w:sz w:val="24"/>
              </w:rPr>
              <w:t>269</w:t>
            </w:r>
          </w:p>
        </w:tc>
        <w:tc>
          <w:tcPr>
            <w:tcW w:w="1395" w:type="pct"/>
          </w:tcPr>
          <w:p w14:paraId="57845CEE" w14:textId="77777777" w:rsidR="00A73020" w:rsidRDefault="004B48A3" w:rsidP="0012306D">
            <w:pPr>
              <w:rPr>
                <w:rFonts w:ascii="Arial" w:hAnsi="Arial" w:cs="Arial"/>
                <w:sz w:val="24"/>
              </w:rPr>
            </w:pPr>
            <w:r>
              <w:rPr>
                <w:rFonts w:ascii="Arial" w:hAnsi="Arial" w:cs="Arial"/>
                <w:sz w:val="24"/>
              </w:rPr>
              <w:t>1,226</w:t>
            </w:r>
          </w:p>
        </w:tc>
      </w:tr>
      <w:tr w:rsidR="00A73020" w14:paraId="594092A8" w14:textId="77777777" w:rsidTr="00A73020">
        <w:tc>
          <w:tcPr>
            <w:tcW w:w="990" w:type="pct"/>
          </w:tcPr>
          <w:p w14:paraId="42032D53" w14:textId="77777777" w:rsidR="00A73020" w:rsidRPr="00054426" w:rsidRDefault="00A73020" w:rsidP="0012306D">
            <w:pPr>
              <w:rPr>
                <w:rFonts w:ascii="Arial" w:hAnsi="Arial" w:cs="Arial"/>
                <w:sz w:val="24"/>
              </w:rPr>
            </w:pPr>
            <w:r>
              <w:rPr>
                <w:rFonts w:ascii="Arial" w:hAnsi="Arial" w:cs="Arial"/>
                <w:sz w:val="24"/>
              </w:rPr>
              <w:t>2013</w:t>
            </w:r>
          </w:p>
        </w:tc>
        <w:tc>
          <w:tcPr>
            <w:tcW w:w="1220" w:type="pct"/>
          </w:tcPr>
          <w:p w14:paraId="0EEEB1C1" w14:textId="77777777" w:rsidR="00A73020" w:rsidRDefault="004B48A3" w:rsidP="0012306D">
            <w:pPr>
              <w:rPr>
                <w:rFonts w:ascii="Arial" w:hAnsi="Arial" w:cs="Arial"/>
                <w:sz w:val="24"/>
              </w:rPr>
            </w:pPr>
            <w:r>
              <w:rPr>
                <w:rFonts w:ascii="Arial" w:hAnsi="Arial" w:cs="Arial"/>
                <w:sz w:val="24"/>
              </w:rPr>
              <w:t>624</w:t>
            </w:r>
          </w:p>
        </w:tc>
        <w:tc>
          <w:tcPr>
            <w:tcW w:w="1395" w:type="pct"/>
          </w:tcPr>
          <w:p w14:paraId="76260277" w14:textId="77777777" w:rsidR="00A73020" w:rsidRDefault="004B48A3" w:rsidP="0012306D">
            <w:pPr>
              <w:rPr>
                <w:rFonts w:ascii="Arial" w:hAnsi="Arial" w:cs="Arial"/>
                <w:sz w:val="24"/>
              </w:rPr>
            </w:pPr>
            <w:r>
              <w:rPr>
                <w:rFonts w:ascii="Arial" w:hAnsi="Arial" w:cs="Arial"/>
                <w:sz w:val="24"/>
              </w:rPr>
              <w:t>236</w:t>
            </w:r>
          </w:p>
        </w:tc>
        <w:tc>
          <w:tcPr>
            <w:tcW w:w="1395" w:type="pct"/>
          </w:tcPr>
          <w:p w14:paraId="2B3988C4" w14:textId="77777777" w:rsidR="00A73020" w:rsidRDefault="004B48A3" w:rsidP="0012306D">
            <w:pPr>
              <w:rPr>
                <w:rFonts w:ascii="Arial" w:hAnsi="Arial" w:cs="Arial"/>
                <w:sz w:val="24"/>
              </w:rPr>
            </w:pPr>
            <w:r>
              <w:rPr>
                <w:rFonts w:ascii="Arial" w:hAnsi="Arial" w:cs="Arial"/>
                <w:sz w:val="24"/>
              </w:rPr>
              <w:t>1,019</w:t>
            </w:r>
          </w:p>
        </w:tc>
      </w:tr>
      <w:tr w:rsidR="00A73020" w14:paraId="683CF226" w14:textId="77777777" w:rsidTr="00A73020">
        <w:tc>
          <w:tcPr>
            <w:tcW w:w="990" w:type="pct"/>
          </w:tcPr>
          <w:p w14:paraId="1D470D80" w14:textId="77777777" w:rsidR="00A73020" w:rsidRPr="00054426" w:rsidRDefault="00A73020" w:rsidP="0012306D">
            <w:pPr>
              <w:rPr>
                <w:rFonts w:ascii="Arial" w:hAnsi="Arial" w:cs="Arial"/>
                <w:sz w:val="24"/>
              </w:rPr>
            </w:pPr>
            <w:r>
              <w:rPr>
                <w:rFonts w:ascii="Arial" w:hAnsi="Arial" w:cs="Arial"/>
                <w:sz w:val="24"/>
              </w:rPr>
              <w:t>2014</w:t>
            </w:r>
          </w:p>
        </w:tc>
        <w:tc>
          <w:tcPr>
            <w:tcW w:w="1220" w:type="pct"/>
          </w:tcPr>
          <w:p w14:paraId="49DDB281" w14:textId="77777777" w:rsidR="00A73020" w:rsidRDefault="004B48A3" w:rsidP="0012306D">
            <w:pPr>
              <w:rPr>
                <w:rFonts w:ascii="Arial" w:hAnsi="Arial" w:cs="Arial"/>
                <w:sz w:val="24"/>
              </w:rPr>
            </w:pPr>
            <w:r>
              <w:rPr>
                <w:rFonts w:ascii="Arial" w:hAnsi="Arial" w:cs="Arial"/>
                <w:sz w:val="24"/>
              </w:rPr>
              <w:t>566</w:t>
            </w:r>
          </w:p>
        </w:tc>
        <w:tc>
          <w:tcPr>
            <w:tcW w:w="1395" w:type="pct"/>
          </w:tcPr>
          <w:p w14:paraId="5915D1E2" w14:textId="77777777" w:rsidR="00A73020" w:rsidRDefault="004B48A3" w:rsidP="0012306D">
            <w:pPr>
              <w:rPr>
                <w:rFonts w:ascii="Arial" w:hAnsi="Arial" w:cs="Arial"/>
                <w:sz w:val="24"/>
              </w:rPr>
            </w:pPr>
            <w:r>
              <w:rPr>
                <w:rFonts w:ascii="Arial" w:hAnsi="Arial" w:cs="Arial"/>
                <w:sz w:val="24"/>
              </w:rPr>
              <w:t>214</w:t>
            </w:r>
          </w:p>
        </w:tc>
        <w:tc>
          <w:tcPr>
            <w:tcW w:w="1395" w:type="pct"/>
          </w:tcPr>
          <w:p w14:paraId="3521AED5" w14:textId="77777777" w:rsidR="00A73020" w:rsidRDefault="004B48A3" w:rsidP="0012306D">
            <w:pPr>
              <w:rPr>
                <w:rFonts w:ascii="Arial" w:hAnsi="Arial" w:cs="Arial"/>
                <w:sz w:val="24"/>
              </w:rPr>
            </w:pPr>
            <w:r>
              <w:rPr>
                <w:rFonts w:ascii="Arial" w:hAnsi="Arial" w:cs="Arial"/>
                <w:sz w:val="24"/>
              </w:rPr>
              <w:t>918</w:t>
            </w:r>
          </w:p>
        </w:tc>
      </w:tr>
      <w:tr w:rsidR="00A73020" w14:paraId="6608082B" w14:textId="77777777" w:rsidTr="00A73020">
        <w:tc>
          <w:tcPr>
            <w:tcW w:w="990" w:type="pct"/>
          </w:tcPr>
          <w:p w14:paraId="052294AB" w14:textId="77777777" w:rsidR="00A73020" w:rsidRDefault="00A73020" w:rsidP="0012306D">
            <w:pPr>
              <w:rPr>
                <w:rFonts w:ascii="Arial" w:hAnsi="Arial" w:cs="Arial"/>
                <w:sz w:val="24"/>
              </w:rPr>
            </w:pPr>
            <w:r>
              <w:rPr>
                <w:rFonts w:ascii="Arial" w:hAnsi="Arial" w:cs="Arial"/>
                <w:sz w:val="24"/>
              </w:rPr>
              <w:t>2015</w:t>
            </w:r>
          </w:p>
        </w:tc>
        <w:tc>
          <w:tcPr>
            <w:tcW w:w="1220" w:type="pct"/>
          </w:tcPr>
          <w:p w14:paraId="1AAE1713" w14:textId="77777777" w:rsidR="00A73020" w:rsidRDefault="004B48A3" w:rsidP="0012306D">
            <w:pPr>
              <w:rPr>
                <w:rFonts w:ascii="Arial" w:hAnsi="Arial" w:cs="Arial"/>
                <w:sz w:val="24"/>
              </w:rPr>
            </w:pPr>
            <w:r>
              <w:rPr>
                <w:rFonts w:ascii="Arial" w:hAnsi="Arial" w:cs="Arial"/>
                <w:sz w:val="24"/>
              </w:rPr>
              <w:t>482</w:t>
            </w:r>
          </w:p>
        </w:tc>
        <w:tc>
          <w:tcPr>
            <w:tcW w:w="1395" w:type="pct"/>
          </w:tcPr>
          <w:p w14:paraId="23B7FB29" w14:textId="77777777" w:rsidR="00A73020" w:rsidRDefault="004B48A3" w:rsidP="0012306D">
            <w:pPr>
              <w:rPr>
                <w:rFonts w:ascii="Arial" w:hAnsi="Arial" w:cs="Arial"/>
                <w:sz w:val="24"/>
              </w:rPr>
            </w:pPr>
            <w:r>
              <w:rPr>
                <w:rFonts w:ascii="Arial" w:hAnsi="Arial" w:cs="Arial"/>
                <w:sz w:val="24"/>
              </w:rPr>
              <w:t>209</w:t>
            </w:r>
          </w:p>
        </w:tc>
        <w:tc>
          <w:tcPr>
            <w:tcW w:w="1395" w:type="pct"/>
          </w:tcPr>
          <w:p w14:paraId="642B23C4" w14:textId="77777777" w:rsidR="00A73020" w:rsidRDefault="004B48A3" w:rsidP="0012306D">
            <w:pPr>
              <w:rPr>
                <w:rFonts w:ascii="Arial" w:hAnsi="Arial" w:cs="Arial"/>
                <w:sz w:val="24"/>
              </w:rPr>
            </w:pPr>
            <w:r>
              <w:rPr>
                <w:rFonts w:ascii="Arial" w:hAnsi="Arial" w:cs="Arial"/>
                <w:sz w:val="24"/>
              </w:rPr>
              <w:t>754</w:t>
            </w:r>
          </w:p>
        </w:tc>
      </w:tr>
      <w:tr w:rsidR="00A73020" w14:paraId="2A176B10" w14:textId="77777777" w:rsidTr="00A73020">
        <w:tc>
          <w:tcPr>
            <w:tcW w:w="990" w:type="pct"/>
          </w:tcPr>
          <w:p w14:paraId="5D2E3E06" w14:textId="77777777" w:rsidR="00A73020" w:rsidRDefault="00A73020" w:rsidP="0012306D">
            <w:pPr>
              <w:rPr>
                <w:rFonts w:ascii="Arial" w:hAnsi="Arial" w:cs="Arial"/>
                <w:sz w:val="24"/>
              </w:rPr>
            </w:pPr>
            <w:r>
              <w:rPr>
                <w:rFonts w:ascii="Arial" w:hAnsi="Arial" w:cs="Arial"/>
                <w:sz w:val="24"/>
              </w:rPr>
              <w:t>2016</w:t>
            </w:r>
          </w:p>
        </w:tc>
        <w:tc>
          <w:tcPr>
            <w:tcW w:w="1220" w:type="pct"/>
          </w:tcPr>
          <w:p w14:paraId="520E554E" w14:textId="77777777" w:rsidR="00A73020" w:rsidRDefault="004B48A3" w:rsidP="0012306D">
            <w:pPr>
              <w:rPr>
                <w:rFonts w:ascii="Arial" w:hAnsi="Arial" w:cs="Arial"/>
                <w:sz w:val="24"/>
              </w:rPr>
            </w:pPr>
            <w:r>
              <w:rPr>
                <w:rFonts w:ascii="Arial" w:hAnsi="Arial" w:cs="Arial"/>
                <w:sz w:val="24"/>
              </w:rPr>
              <w:t>453</w:t>
            </w:r>
          </w:p>
        </w:tc>
        <w:tc>
          <w:tcPr>
            <w:tcW w:w="1395" w:type="pct"/>
          </w:tcPr>
          <w:p w14:paraId="0AEB651C" w14:textId="77777777" w:rsidR="00A73020" w:rsidRDefault="004B48A3" w:rsidP="0012306D">
            <w:pPr>
              <w:rPr>
                <w:rFonts w:ascii="Arial" w:hAnsi="Arial" w:cs="Arial"/>
                <w:sz w:val="24"/>
              </w:rPr>
            </w:pPr>
            <w:r>
              <w:rPr>
                <w:rFonts w:ascii="Arial" w:hAnsi="Arial" w:cs="Arial"/>
                <w:sz w:val="24"/>
              </w:rPr>
              <w:t>200</w:t>
            </w:r>
          </w:p>
        </w:tc>
        <w:tc>
          <w:tcPr>
            <w:tcW w:w="1395" w:type="pct"/>
          </w:tcPr>
          <w:p w14:paraId="03929980" w14:textId="77777777" w:rsidR="00A73020" w:rsidRDefault="004B48A3" w:rsidP="0012306D">
            <w:pPr>
              <w:rPr>
                <w:rFonts w:ascii="Arial" w:hAnsi="Arial" w:cs="Arial"/>
                <w:sz w:val="24"/>
              </w:rPr>
            </w:pPr>
            <w:r>
              <w:rPr>
                <w:rFonts w:ascii="Arial" w:hAnsi="Arial" w:cs="Arial"/>
                <w:sz w:val="24"/>
              </w:rPr>
              <w:t>715</w:t>
            </w:r>
          </w:p>
        </w:tc>
      </w:tr>
      <w:tr w:rsidR="00A73020" w14:paraId="70DD2453" w14:textId="77777777" w:rsidTr="00A73020">
        <w:tc>
          <w:tcPr>
            <w:tcW w:w="990" w:type="pct"/>
          </w:tcPr>
          <w:p w14:paraId="5F731B0E" w14:textId="77777777" w:rsidR="00A73020" w:rsidRDefault="00A73020" w:rsidP="0012306D">
            <w:pPr>
              <w:rPr>
                <w:rFonts w:ascii="Arial" w:hAnsi="Arial" w:cs="Arial"/>
                <w:sz w:val="24"/>
              </w:rPr>
            </w:pPr>
            <w:r>
              <w:rPr>
                <w:rFonts w:ascii="Arial" w:hAnsi="Arial" w:cs="Arial"/>
                <w:sz w:val="24"/>
              </w:rPr>
              <w:t>2017</w:t>
            </w:r>
          </w:p>
        </w:tc>
        <w:tc>
          <w:tcPr>
            <w:tcW w:w="1220" w:type="pct"/>
          </w:tcPr>
          <w:p w14:paraId="5DE1C48C" w14:textId="77777777" w:rsidR="00A73020" w:rsidRDefault="004B48A3" w:rsidP="0012306D">
            <w:pPr>
              <w:rPr>
                <w:rFonts w:ascii="Arial" w:hAnsi="Arial" w:cs="Arial"/>
                <w:sz w:val="24"/>
              </w:rPr>
            </w:pPr>
            <w:r>
              <w:rPr>
                <w:rFonts w:ascii="Arial" w:hAnsi="Arial" w:cs="Arial"/>
                <w:sz w:val="24"/>
              </w:rPr>
              <w:t>430</w:t>
            </w:r>
          </w:p>
        </w:tc>
        <w:tc>
          <w:tcPr>
            <w:tcW w:w="1395" w:type="pct"/>
          </w:tcPr>
          <w:p w14:paraId="393E0E3E" w14:textId="77777777" w:rsidR="00A73020" w:rsidRDefault="004B48A3" w:rsidP="0012306D">
            <w:pPr>
              <w:rPr>
                <w:rFonts w:ascii="Arial" w:hAnsi="Arial" w:cs="Arial"/>
                <w:sz w:val="24"/>
              </w:rPr>
            </w:pPr>
            <w:r>
              <w:rPr>
                <w:rFonts w:ascii="Arial" w:hAnsi="Arial" w:cs="Arial"/>
                <w:sz w:val="24"/>
              </w:rPr>
              <w:t>200</w:t>
            </w:r>
          </w:p>
        </w:tc>
        <w:tc>
          <w:tcPr>
            <w:tcW w:w="1395" w:type="pct"/>
          </w:tcPr>
          <w:p w14:paraId="1CB54322" w14:textId="77777777" w:rsidR="00A73020" w:rsidRDefault="004B48A3" w:rsidP="0012306D">
            <w:pPr>
              <w:rPr>
                <w:rFonts w:ascii="Arial" w:hAnsi="Arial" w:cs="Arial"/>
                <w:sz w:val="24"/>
              </w:rPr>
            </w:pPr>
            <w:r>
              <w:rPr>
                <w:rFonts w:ascii="Arial" w:hAnsi="Arial" w:cs="Arial"/>
                <w:sz w:val="24"/>
              </w:rPr>
              <w:t>665</w:t>
            </w:r>
          </w:p>
        </w:tc>
      </w:tr>
      <w:tr w:rsidR="00A73020" w14:paraId="5CA00791" w14:textId="77777777" w:rsidTr="00A73020">
        <w:tc>
          <w:tcPr>
            <w:tcW w:w="990" w:type="pct"/>
          </w:tcPr>
          <w:p w14:paraId="6EC76E19" w14:textId="77777777" w:rsidR="00A73020" w:rsidRDefault="00A73020" w:rsidP="0012306D">
            <w:pPr>
              <w:rPr>
                <w:rFonts w:ascii="Arial" w:hAnsi="Arial" w:cs="Arial"/>
                <w:sz w:val="24"/>
              </w:rPr>
            </w:pPr>
            <w:r>
              <w:rPr>
                <w:rFonts w:ascii="Arial" w:hAnsi="Arial" w:cs="Arial"/>
                <w:sz w:val="24"/>
              </w:rPr>
              <w:t>2018</w:t>
            </w:r>
          </w:p>
        </w:tc>
        <w:tc>
          <w:tcPr>
            <w:tcW w:w="1220" w:type="pct"/>
          </w:tcPr>
          <w:p w14:paraId="73D7AF4A" w14:textId="77777777" w:rsidR="00A73020" w:rsidRDefault="004B48A3" w:rsidP="0012306D">
            <w:pPr>
              <w:rPr>
                <w:rFonts w:ascii="Arial" w:hAnsi="Arial" w:cs="Arial"/>
                <w:sz w:val="24"/>
              </w:rPr>
            </w:pPr>
            <w:r>
              <w:rPr>
                <w:rFonts w:ascii="Arial" w:hAnsi="Arial" w:cs="Arial"/>
                <w:sz w:val="24"/>
              </w:rPr>
              <w:t>416</w:t>
            </w:r>
          </w:p>
        </w:tc>
        <w:tc>
          <w:tcPr>
            <w:tcW w:w="1395" w:type="pct"/>
          </w:tcPr>
          <w:p w14:paraId="346C8D9D" w14:textId="77777777" w:rsidR="00A73020" w:rsidRDefault="004B48A3" w:rsidP="0012306D">
            <w:pPr>
              <w:rPr>
                <w:rFonts w:ascii="Arial" w:hAnsi="Arial" w:cs="Arial"/>
                <w:sz w:val="24"/>
              </w:rPr>
            </w:pPr>
            <w:r>
              <w:rPr>
                <w:rFonts w:ascii="Arial" w:hAnsi="Arial" w:cs="Arial"/>
                <w:sz w:val="24"/>
              </w:rPr>
              <w:t>181</w:t>
            </w:r>
          </w:p>
        </w:tc>
        <w:tc>
          <w:tcPr>
            <w:tcW w:w="1395" w:type="pct"/>
          </w:tcPr>
          <w:p w14:paraId="438190E2" w14:textId="77777777" w:rsidR="00A73020" w:rsidRDefault="004B48A3" w:rsidP="0012306D">
            <w:pPr>
              <w:rPr>
                <w:rFonts w:ascii="Arial" w:hAnsi="Arial" w:cs="Arial"/>
                <w:sz w:val="24"/>
              </w:rPr>
            </w:pPr>
            <w:r>
              <w:rPr>
                <w:rFonts w:ascii="Arial" w:hAnsi="Arial" w:cs="Arial"/>
                <w:sz w:val="24"/>
              </w:rPr>
              <w:t>660</w:t>
            </w:r>
          </w:p>
        </w:tc>
      </w:tr>
    </w:tbl>
    <w:p w14:paraId="024F1AE0" w14:textId="77777777" w:rsidR="00A07FE9" w:rsidRPr="00A07FE9" w:rsidRDefault="00A07FE9" w:rsidP="00A07FE9">
      <w:pPr>
        <w:rPr>
          <w:rFonts w:ascii="Arial" w:hAnsi="Arial" w:cs="Arial"/>
          <w:i/>
          <w:sz w:val="24"/>
        </w:rPr>
      </w:pPr>
      <w:r w:rsidRPr="00A07FE9">
        <w:rPr>
          <w:rFonts w:ascii="Arial" w:hAnsi="Arial" w:cs="Arial"/>
          <w:i/>
          <w:sz w:val="24"/>
        </w:rPr>
        <w:t>Source: STI notification data, 2006-2018, DHHS</w:t>
      </w:r>
    </w:p>
    <w:p w14:paraId="2FC6A4A5" w14:textId="77777777" w:rsidR="005A313C" w:rsidRDefault="00A07FE9" w:rsidP="00A07FE9">
      <w:pPr>
        <w:rPr>
          <w:rFonts w:ascii="Arial" w:hAnsi="Arial" w:cs="Arial"/>
          <w:sz w:val="24"/>
        </w:rPr>
      </w:pPr>
      <w:r w:rsidRPr="00A07FE9">
        <w:rPr>
          <w:rFonts w:ascii="Arial" w:hAnsi="Arial" w:cs="Arial"/>
          <w:sz w:val="24"/>
        </w:rPr>
        <w:t>The decline in STI notifications for the 15 to 17 year age group may be due to: changes in sexual behaviour; less testing; or the proportion of STIs that go undiagnosed, which is in turn related to access, stigma and likelihood of symptoms. This does not necessarily mean that there are fewer infections. It is important to note, however, that this apparent decline is in stark contrast to the Victorian adult population aged 18 and over, in which STI rates have increased significantly over the past decade.</w:t>
      </w:r>
    </w:p>
    <w:p w14:paraId="72A71A4B" w14:textId="77777777" w:rsidR="00393D34" w:rsidRPr="00B540DC" w:rsidRDefault="00393D34" w:rsidP="002F3BD4">
      <w:pPr>
        <w:pStyle w:val="Heading3"/>
        <w:rPr>
          <w:rFonts w:ascii="Arial" w:hAnsi="Arial" w:cs="Arial"/>
          <w:b w:val="0"/>
          <w:bCs w:val="0"/>
          <w:sz w:val="24"/>
        </w:rPr>
      </w:pPr>
      <w:bookmarkStart w:id="24" w:name="_Toc33527749"/>
      <w:r w:rsidRPr="002F3BD4">
        <w:rPr>
          <w:rFonts w:ascii="Arial" w:hAnsi="Arial" w:cs="Arial"/>
          <w:color w:val="auto"/>
          <w:sz w:val="24"/>
        </w:rPr>
        <w:t>2.15</w:t>
      </w:r>
      <w:r w:rsidRPr="002F3BD4">
        <w:rPr>
          <w:rFonts w:ascii="Arial" w:hAnsi="Arial" w:cs="Arial"/>
          <w:color w:val="auto"/>
          <w:sz w:val="24"/>
        </w:rPr>
        <w:tab/>
        <w:t>HPV immunisation rates have steadily increased</w:t>
      </w:r>
      <w:bookmarkEnd w:id="24"/>
    </w:p>
    <w:p w14:paraId="0FA8A39D" w14:textId="77777777" w:rsidR="00393D34" w:rsidRPr="00393D34" w:rsidRDefault="00393D34" w:rsidP="00393D34">
      <w:pPr>
        <w:rPr>
          <w:rFonts w:ascii="Arial" w:hAnsi="Arial" w:cs="Arial"/>
          <w:sz w:val="24"/>
        </w:rPr>
      </w:pPr>
      <w:r w:rsidRPr="00393D34">
        <w:rPr>
          <w:rFonts w:ascii="Arial" w:hAnsi="Arial" w:cs="Arial"/>
          <w:sz w:val="24"/>
        </w:rPr>
        <w:t>In 2007, Australia became the first country to roll out a national Human Papilloma Virus (HPV) vaccination program for girls. In 2013, boys were included in the program, too.</w:t>
      </w:r>
    </w:p>
    <w:p w14:paraId="539974F5" w14:textId="77777777" w:rsidR="00393D34" w:rsidRPr="00393D34" w:rsidRDefault="00393D34" w:rsidP="00393D34">
      <w:pPr>
        <w:rPr>
          <w:rFonts w:ascii="Arial" w:hAnsi="Arial" w:cs="Arial"/>
          <w:sz w:val="24"/>
        </w:rPr>
      </w:pPr>
      <w:r w:rsidRPr="00393D34">
        <w:rPr>
          <w:rFonts w:ascii="Arial" w:hAnsi="Arial" w:cs="Arial"/>
          <w:sz w:val="24"/>
        </w:rPr>
        <w:t>The program provides the HPV vaccine free of charge to eligible children to protect against the most common types of HPV infection that can lead to HPV-related cancer and disease. The vaccine is provided free of charge for:</w:t>
      </w:r>
    </w:p>
    <w:p w14:paraId="4128BA50" w14:textId="77777777" w:rsidR="00393D34" w:rsidRPr="00393D34" w:rsidRDefault="00393D34" w:rsidP="00393D34">
      <w:pPr>
        <w:pStyle w:val="ListParagraph"/>
        <w:numPr>
          <w:ilvl w:val="0"/>
          <w:numId w:val="9"/>
        </w:numPr>
        <w:rPr>
          <w:rFonts w:ascii="Arial" w:hAnsi="Arial" w:cs="Arial"/>
          <w:sz w:val="24"/>
        </w:rPr>
      </w:pPr>
      <w:r w:rsidRPr="00393D34">
        <w:rPr>
          <w:rFonts w:ascii="Arial" w:hAnsi="Arial" w:cs="Arial"/>
          <w:sz w:val="24"/>
        </w:rPr>
        <w:t>12 and 13 year old females and males through schools (Year 7 in Victoria) on an ongoing basis</w:t>
      </w:r>
    </w:p>
    <w:p w14:paraId="52806AB3" w14:textId="77777777" w:rsidR="00393D34" w:rsidRPr="00393D34" w:rsidRDefault="00393D34" w:rsidP="00393D34">
      <w:pPr>
        <w:pStyle w:val="ListParagraph"/>
        <w:numPr>
          <w:ilvl w:val="0"/>
          <w:numId w:val="9"/>
        </w:numPr>
        <w:rPr>
          <w:rFonts w:ascii="Arial" w:hAnsi="Arial" w:cs="Arial"/>
          <w:sz w:val="24"/>
        </w:rPr>
      </w:pPr>
      <w:r w:rsidRPr="00393D34">
        <w:rPr>
          <w:rFonts w:ascii="Arial" w:hAnsi="Arial" w:cs="Arial"/>
          <w:sz w:val="24"/>
        </w:rPr>
        <w:t>Young people up to the age of 19 through GPs and other immunisation providers as part of the National Immunisation Program’s catch-up program.</w:t>
      </w:r>
    </w:p>
    <w:p w14:paraId="238A347D" w14:textId="77777777" w:rsidR="00393D34" w:rsidRPr="00393D34" w:rsidRDefault="00393D34" w:rsidP="00393D34">
      <w:pPr>
        <w:rPr>
          <w:rFonts w:ascii="Arial" w:hAnsi="Arial" w:cs="Arial"/>
          <w:sz w:val="24"/>
        </w:rPr>
      </w:pPr>
      <w:r w:rsidRPr="00393D34">
        <w:rPr>
          <w:rFonts w:ascii="Arial" w:hAnsi="Arial" w:cs="Arial"/>
          <w:sz w:val="24"/>
        </w:rPr>
        <w:t>The initial vaccine, Gardasil protected against four strains of HPV, that cause about 70 per cent of cervical cancers, 90 per cent of genital warts, 70 per cent of vaginal cancer cases and up to 50 per cent of vulva cancer cases. In 2018 Gardasil 9 was introduced and protects against nine strains of HPV that cause 90 per cent of cervical cancers in Australia.</w:t>
      </w:r>
    </w:p>
    <w:p w14:paraId="080C62A0" w14:textId="77777777" w:rsidR="00393D34" w:rsidRPr="00393D34" w:rsidRDefault="00393D34" w:rsidP="00393D34">
      <w:pPr>
        <w:rPr>
          <w:rFonts w:ascii="Arial" w:hAnsi="Arial" w:cs="Arial"/>
          <w:sz w:val="24"/>
        </w:rPr>
      </w:pPr>
      <w:r w:rsidRPr="00393D34">
        <w:rPr>
          <w:rFonts w:ascii="Arial" w:hAnsi="Arial" w:cs="Arial"/>
          <w:sz w:val="24"/>
        </w:rPr>
        <w:t>Research studies have shown early signs of the vaccine's success including:</w:t>
      </w:r>
    </w:p>
    <w:p w14:paraId="5E3044FA" w14:textId="77777777" w:rsidR="00393D34" w:rsidRPr="00393D34" w:rsidRDefault="00393D34" w:rsidP="00393D34">
      <w:pPr>
        <w:pStyle w:val="ListParagraph"/>
        <w:numPr>
          <w:ilvl w:val="0"/>
          <w:numId w:val="9"/>
        </w:numPr>
        <w:rPr>
          <w:rFonts w:ascii="Arial" w:hAnsi="Arial" w:cs="Arial"/>
          <w:sz w:val="24"/>
        </w:rPr>
      </w:pPr>
      <w:r w:rsidRPr="00393D34">
        <w:rPr>
          <w:rFonts w:ascii="Arial" w:hAnsi="Arial" w:cs="Arial"/>
          <w:sz w:val="24"/>
        </w:rPr>
        <w:t>a 77 per cent reduction in HPV types responsible for almost 75 per cent of cervical cancer</w:t>
      </w:r>
    </w:p>
    <w:p w14:paraId="7CD31524" w14:textId="77777777" w:rsidR="00393D34" w:rsidRPr="00393D34" w:rsidRDefault="00393D34" w:rsidP="00393D34">
      <w:pPr>
        <w:pStyle w:val="ListParagraph"/>
        <w:numPr>
          <w:ilvl w:val="0"/>
          <w:numId w:val="9"/>
        </w:numPr>
        <w:rPr>
          <w:rFonts w:ascii="Arial" w:hAnsi="Arial" w:cs="Arial"/>
          <w:sz w:val="24"/>
        </w:rPr>
      </w:pPr>
      <w:r w:rsidRPr="00393D34">
        <w:rPr>
          <w:rFonts w:ascii="Arial" w:hAnsi="Arial" w:cs="Arial"/>
          <w:sz w:val="24"/>
        </w:rPr>
        <w:lastRenderedPageBreak/>
        <w:t>an almost 50 per cent reduction in the incidence of high-grade cervical abnormalities in Victorian girls under 18 years of age</w:t>
      </w:r>
    </w:p>
    <w:p w14:paraId="48DEFC9D" w14:textId="77777777" w:rsidR="00393D34" w:rsidRDefault="00393D34" w:rsidP="00393D34">
      <w:pPr>
        <w:pStyle w:val="ListParagraph"/>
        <w:numPr>
          <w:ilvl w:val="0"/>
          <w:numId w:val="9"/>
        </w:numPr>
        <w:rPr>
          <w:rFonts w:ascii="Arial" w:hAnsi="Arial" w:cs="Arial"/>
          <w:sz w:val="24"/>
        </w:rPr>
      </w:pPr>
      <w:r w:rsidRPr="00393D34">
        <w:rPr>
          <w:rFonts w:ascii="Arial" w:hAnsi="Arial" w:cs="Arial"/>
          <w:sz w:val="24"/>
        </w:rPr>
        <w:t>a 90 per cent reduction in genital warts in heterosexual men and women under 21 years of age.</w:t>
      </w:r>
    </w:p>
    <w:p w14:paraId="2D8DFAAA" w14:textId="77777777" w:rsidR="00E575A8" w:rsidRDefault="00E575A8" w:rsidP="00220C16">
      <w:pPr>
        <w:rPr>
          <w:rFonts w:ascii="Arial" w:hAnsi="Arial" w:cs="Arial"/>
          <w:b/>
          <w:sz w:val="24"/>
        </w:rPr>
      </w:pPr>
    </w:p>
    <w:p w14:paraId="3FE104A2" w14:textId="77777777" w:rsidR="00393D34" w:rsidRDefault="00137EA2" w:rsidP="00220C16">
      <w:pPr>
        <w:rPr>
          <w:rFonts w:ascii="Arial" w:hAnsi="Arial" w:cs="Arial"/>
          <w:b/>
          <w:sz w:val="24"/>
        </w:rPr>
      </w:pPr>
      <w:r w:rsidRPr="00220C16">
        <w:rPr>
          <w:rFonts w:ascii="Arial" w:hAnsi="Arial" w:cs="Arial"/>
          <w:b/>
          <w:sz w:val="24"/>
        </w:rPr>
        <w:t>Figure 16. HPV vaccination coverage for Victorian adolescents turning 15 years of age, 2014–2017</w:t>
      </w:r>
    </w:p>
    <w:tbl>
      <w:tblPr>
        <w:tblStyle w:val="TableGrid"/>
        <w:tblW w:w="5000" w:type="pct"/>
        <w:tblLook w:val="04A0" w:firstRow="1" w:lastRow="0" w:firstColumn="1" w:lastColumn="0" w:noHBand="0" w:noVBand="1"/>
        <w:tblDescription w:val="This table provides information on HPV vaccination coverage for Victorian adolescents turning 15 years of age, 2014–2017"/>
      </w:tblPr>
      <w:tblGrid>
        <w:gridCol w:w="2476"/>
        <w:gridCol w:w="3051"/>
        <w:gridCol w:w="3489"/>
      </w:tblGrid>
      <w:tr w:rsidR="000E3FDC" w:rsidRPr="00054426" w14:paraId="766F468A" w14:textId="77777777" w:rsidTr="000E3FDC">
        <w:trPr>
          <w:tblHeader/>
        </w:trPr>
        <w:tc>
          <w:tcPr>
            <w:tcW w:w="1373" w:type="pct"/>
          </w:tcPr>
          <w:p w14:paraId="367B8149" w14:textId="77777777" w:rsidR="000E3FDC" w:rsidRPr="00054426" w:rsidRDefault="000E3FDC" w:rsidP="0012306D">
            <w:pPr>
              <w:rPr>
                <w:rFonts w:ascii="Arial" w:hAnsi="Arial" w:cs="Arial"/>
                <w:sz w:val="24"/>
              </w:rPr>
            </w:pPr>
          </w:p>
        </w:tc>
        <w:tc>
          <w:tcPr>
            <w:tcW w:w="1692" w:type="pct"/>
          </w:tcPr>
          <w:p w14:paraId="3B1B9D78" w14:textId="77777777" w:rsidR="000E3FDC" w:rsidRPr="00054426" w:rsidRDefault="000E3FDC" w:rsidP="0012306D">
            <w:pPr>
              <w:rPr>
                <w:rFonts w:ascii="Arial" w:hAnsi="Arial" w:cs="Arial"/>
                <w:sz w:val="24"/>
              </w:rPr>
            </w:pPr>
            <w:r>
              <w:rPr>
                <w:rFonts w:ascii="Arial" w:hAnsi="Arial" w:cs="Arial"/>
                <w:sz w:val="24"/>
              </w:rPr>
              <w:t>Male</w:t>
            </w:r>
          </w:p>
        </w:tc>
        <w:tc>
          <w:tcPr>
            <w:tcW w:w="1935" w:type="pct"/>
          </w:tcPr>
          <w:p w14:paraId="2D74D72B" w14:textId="77777777" w:rsidR="000E3FDC" w:rsidRPr="00054426" w:rsidRDefault="000E3FDC" w:rsidP="0012306D">
            <w:pPr>
              <w:rPr>
                <w:rFonts w:ascii="Arial" w:hAnsi="Arial" w:cs="Arial"/>
                <w:sz w:val="24"/>
              </w:rPr>
            </w:pPr>
            <w:r>
              <w:rPr>
                <w:rFonts w:ascii="Arial" w:hAnsi="Arial" w:cs="Arial"/>
                <w:sz w:val="24"/>
              </w:rPr>
              <w:t>Female</w:t>
            </w:r>
          </w:p>
        </w:tc>
      </w:tr>
      <w:tr w:rsidR="000E3FDC" w14:paraId="359A0BD8" w14:textId="77777777" w:rsidTr="000E3FDC">
        <w:tc>
          <w:tcPr>
            <w:tcW w:w="1373" w:type="pct"/>
          </w:tcPr>
          <w:p w14:paraId="25F205A2" w14:textId="77777777" w:rsidR="000E3FDC" w:rsidRPr="00054426" w:rsidRDefault="000E3FDC" w:rsidP="0012306D">
            <w:pPr>
              <w:rPr>
                <w:rFonts w:ascii="Arial" w:hAnsi="Arial" w:cs="Arial"/>
                <w:sz w:val="24"/>
              </w:rPr>
            </w:pPr>
            <w:r>
              <w:rPr>
                <w:rFonts w:ascii="Arial" w:hAnsi="Arial" w:cs="Arial"/>
                <w:sz w:val="24"/>
              </w:rPr>
              <w:t>2014</w:t>
            </w:r>
          </w:p>
        </w:tc>
        <w:tc>
          <w:tcPr>
            <w:tcW w:w="1692" w:type="pct"/>
          </w:tcPr>
          <w:p w14:paraId="50CEE819" w14:textId="77777777" w:rsidR="000E3FDC" w:rsidRDefault="000E3FDC" w:rsidP="0012306D">
            <w:pPr>
              <w:rPr>
                <w:rFonts w:ascii="Arial" w:hAnsi="Arial" w:cs="Arial"/>
                <w:sz w:val="24"/>
              </w:rPr>
            </w:pPr>
            <w:r>
              <w:rPr>
                <w:rFonts w:ascii="Arial" w:hAnsi="Arial" w:cs="Arial"/>
                <w:sz w:val="24"/>
              </w:rPr>
              <w:t>68%</w:t>
            </w:r>
          </w:p>
        </w:tc>
        <w:tc>
          <w:tcPr>
            <w:tcW w:w="1935" w:type="pct"/>
          </w:tcPr>
          <w:p w14:paraId="2CAAF587" w14:textId="77777777" w:rsidR="000E3FDC" w:rsidRDefault="000E3FDC" w:rsidP="0012306D">
            <w:pPr>
              <w:rPr>
                <w:rFonts w:ascii="Arial" w:hAnsi="Arial" w:cs="Arial"/>
                <w:sz w:val="24"/>
              </w:rPr>
            </w:pPr>
            <w:r>
              <w:rPr>
                <w:rFonts w:ascii="Arial" w:hAnsi="Arial" w:cs="Arial"/>
                <w:sz w:val="24"/>
              </w:rPr>
              <w:t>78%</w:t>
            </w:r>
          </w:p>
        </w:tc>
      </w:tr>
      <w:tr w:rsidR="000E3FDC" w14:paraId="47003EA1" w14:textId="77777777" w:rsidTr="000E3FDC">
        <w:tc>
          <w:tcPr>
            <w:tcW w:w="1373" w:type="pct"/>
          </w:tcPr>
          <w:p w14:paraId="71C5221A" w14:textId="77777777" w:rsidR="000E3FDC" w:rsidRDefault="000E3FDC" w:rsidP="0012306D">
            <w:pPr>
              <w:rPr>
                <w:rFonts w:ascii="Arial" w:hAnsi="Arial" w:cs="Arial"/>
                <w:sz w:val="24"/>
              </w:rPr>
            </w:pPr>
            <w:r>
              <w:rPr>
                <w:rFonts w:ascii="Arial" w:hAnsi="Arial" w:cs="Arial"/>
                <w:sz w:val="24"/>
              </w:rPr>
              <w:t>2015</w:t>
            </w:r>
          </w:p>
        </w:tc>
        <w:tc>
          <w:tcPr>
            <w:tcW w:w="1692" w:type="pct"/>
          </w:tcPr>
          <w:p w14:paraId="32BA27F9" w14:textId="77777777" w:rsidR="000E3FDC" w:rsidRDefault="00831DDC" w:rsidP="0012306D">
            <w:pPr>
              <w:rPr>
                <w:rFonts w:ascii="Arial" w:hAnsi="Arial" w:cs="Arial"/>
                <w:sz w:val="24"/>
              </w:rPr>
            </w:pPr>
            <w:r>
              <w:rPr>
                <w:rFonts w:ascii="Arial" w:hAnsi="Arial" w:cs="Arial"/>
                <w:sz w:val="24"/>
              </w:rPr>
              <w:t>72%</w:t>
            </w:r>
          </w:p>
        </w:tc>
        <w:tc>
          <w:tcPr>
            <w:tcW w:w="1935" w:type="pct"/>
          </w:tcPr>
          <w:p w14:paraId="2A9C3DEC" w14:textId="77777777" w:rsidR="000E3FDC" w:rsidRDefault="00831DDC" w:rsidP="0012306D">
            <w:pPr>
              <w:rPr>
                <w:rFonts w:ascii="Arial" w:hAnsi="Arial" w:cs="Arial"/>
                <w:sz w:val="24"/>
              </w:rPr>
            </w:pPr>
            <w:r>
              <w:rPr>
                <w:rFonts w:ascii="Arial" w:hAnsi="Arial" w:cs="Arial"/>
                <w:sz w:val="24"/>
              </w:rPr>
              <w:t>79%</w:t>
            </w:r>
          </w:p>
        </w:tc>
      </w:tr>
      <w:tr w:rsidR="000E3FDC" w14:paraId="27C1318E" w14:textId="77777777" w:rsidTr="000E3FDC">
        <w:tc>
          <w:tcPr>
            <w:tcW w:w="1373" w:type="pct"/>
          </w:tcPr>
          <w:p w14:paraId="6F6F93A8" w14:textId="77777777" w:rsidR="000E3FDC" w:rsidRDefault="000E3FDC" w:rsidP="0012306D">
            <w:pPr>
              <w:rPr>
                <w:rFonts w:ascii="Arial" w:hAnsi="Arial" w:cs="Arial"/>
                <w:sz w:val="24"/>
              </w:rPr>
            </w:pPr>
            <w:r>
              <w:rPr>
                <w:rFonts w:ascii="Arial" w:hAnsi="Arial" w:cs="Arial"/>
                <w:sz w:val="24"/>
              </w:rPr>
              <w:t>2016</w:t>
            </w:r>
          </w:p>
        </w:tc>
        <w:tc>
          <w:tcPr>
            <w:tcW w:w="1692" w:type="pct"/>
          </w:tcPr>
          <w:p w14:paraId="268086D3" w14:textId="77777777" w:rsidR="000E3FDC" w:rsidRDefault="00831DDC" w:rsidP="0012306D">
            <w:pPr>
              <w:rPr>
                <w:rFonts w:ascii="Arial" w:hAnsi="Arial" w:cs="Arial"/>
                <w:sz w:val="24"/>
              </w:rPr>
            </w:pPr>
            <w:r>
              <w:rPr>
                <w:rFonts w:ascii="Arial" w:hAnsi="Arial" w:cs="Arial"/>
                <w:sz w:val="24"/>
              </w:rPr>
              <w:t>75%</w:t>
            </w:r>
          </w:p>
        </w:tc>
        <w:tc>
          <w:tcPr>
            <w:tcW w:w="1935" w:type="pct"/>
          </w:tcPr>
          <w:p w14:paraId="2BC10A9F" w14:textId="77777777" w:rsidR="000E3FDC" w:rsidRDefault="00831DDC" w:rsidP="0012306D">
            <w:pPr>
              <w:rPr>
                <w:rFonts w:ascii="Arial" w:hAnsi="Arial" w:cs="Arial"/>
                <w:sz w:val="24"/>
              </w:rPr>
            </w:pPr>
            <w:r>
              <w:rPr>
                <w:rFonts w:ascii="Arial" w:hAnsi="Arial" w:cs="Arial"/>
                <w:sz w:val="24"/>
              </w:rPr>
              <w:t>79%</w:t>
            </w:r>
          </w:p>
        </w:tc>
      </w:tr>
      <w:tr w:rsidR="000E3FDC" w14:paraId="2A7BE689" w14:textId="77777777" w:rsidTr="000E3FDC">
        <w:tc>
          <w:tcPr>
            <w:tcW w:w="1373" w:type="pct"/>
          </w:tcPr>
          <w:p w14:paraId="3996EC7A" w14:textId="77777777" w:rsidR="000E3FDC" w:rsidRDefault="000E3FDC" w:rsidP="0012306D">
            <w:pPr>
              <w:rPr>
                <w:rFonts w:ascii="Arial" w:hAnsi="Arial" w:cs="Arial"/>
                <w:sz w:val="24"/>
              </w:rPr>
            </w:pPr>
            <w:r>
              <w:rPr>
                <w:rFonts w:ascii="Arial" w:hAnsi="Arial" w:cs="Arial"/>
                <w:sz w:val="24"/>
              </w:rPr>
              <w:t>2017</w:t>
            </w:r>
          </w:p>
        </w:tc>
        <w:tc>
          <w:tcPr>
            <w:tcW w:w="1692" w:type="pct"/>
          </w:tcPr>
          <w:p w14:paraId="6DFAE0A1" w14:textId="77777777" w:rsidR="000E3FDC" w:rsidRDefault="000E3FDC" w:rsidP="0012306D">
            <w:pPr>
              <w:rPr>
                <w:rFonts w:ascii="Arial" w:hAnsi="Arial" w:cs="Arial"/>
                <w:sz w:val="24"/>
              </w:rPr>
            </w:pPr>
            <w:r>
              <w:rPr>
                <w:rFonts w:ascii="Arial" w:hAnsi="Arial" w:cs="Arial"/>
                <w:sz w:val="24"/>
              </w:rPr>
              <w:t>76%</w:t>
            </w:r>
          </w:p>
        </w:tc>
        <w:tc>
          <w:tcPr>
            <w:tcW w:w="1935" w:type="pct"/>
          </w:tcPr>
          <w:p w14:paraId="4C88784C" w14:textId="77777777" w:rsidR="000E3FDC" w:rsidRDefault="000E3FDC" w:rsidP="0012306D">
            <w:pPr>
              <w:rPr>
                <w:rFonts w:ascii="Arial" w:hAnsi="Arial" w:cs="Arial"/>
                <w:sz w:val="24"/>
              </w:rPr>
            </w:pPr>
            <w:r>
              <w:rPr>
                <w:rFonts w:ascii="Arial" w:hAnsi="Arial" w:cs="Arial"/>
                <w:sz w:val="24"/>
              </w:rPr>
              <w:t>80%</w:t>
            </w:r>
          </w:p>
        </w:tc>
      </w:tr>
    </w:tbl>
    <w:p w14:paraId="6E47D0F6" w14:textId="77777777" w:rsidR="00137EA2" w:rsidRDefault="00AD7155" w:rsidP="00A73020">
      <w:pPr>
        <w:rPr>
          <w:rFonts w:ascii="Arial" w:hAnsi="Arial" w:cs="Arial"/>
          <w:i/>
          <w:sz w:val="24"/>
        </w:rPr>
      </w:pPr>
      <w:r w:rsidRPr="00AD7155">
        <w:rPr>
          <w:rFonts w:ascii="Arial" w:hAnsi="Arial" w:cs="Arial"/>
          <w:i/>
          <w:sz w:val="24"/>
        </w:rPr>
        <w:t>Source: Australian Immunisation Register, Department of Human Services, Internal analysis</w:t>
      </w:r>
    </w:p>
    <w:p w14:paraId="54285A3D" w14:textId="77777777" w:rsidR="0080474C" w:rsidRPr="0080474C" w:rsidRDefault="0080474C" w:rsidP="000E3FDC">
      <w:pPr>
        <w:pBdr>
          <w:top w:val="single" w:sz="4" w:space="1" w:color="auto"/>
          <w:left w:val="single" w:sz="4" w:space="4" w:color="auto"/>
          <w:bottom w:val="single" w:sz="4" w:space="1" w:color="auto"/>
          <w:right w:val="single" w:sz="4" w:space="4" w:color="auto"/>
        </w:pBdr>
        <w:rPr>
          <w:rFonts w:ascii="Arial" w:hAnsi="Arial" w:cs="Arial"/>
          <w:b/>
          <w:sz w:val="24"/>
        </w:rPr>
      </w:pPr>
      <w:r w:rsidRPr="0080474C">
        <w:rPr>
          <w:rFonts w:ascii="Arial" w:hAnsi="Arial" w:cs="Arial"/>
          <w:b/>
          <w:sz w:val="24"/>
        </w:rPr>
        <w:t>Supporting the Victorian Secondary School Vaccine Program</w:t>
      </w:r>
    </w:p>
    <w:p w14:paraId="2B1AAD27" w14:textId="77777777" w:rsidR="0080474C" w:rsidRPr="0080474C" w:rsidRDefault="0080474C" w:rsidP="000E3FDC">
      <w:pPr>
        <w:pBdr>
          <w:top w:val="single" w:sz="4" w:space="1" w:color="auto"/>
          <w:left w:val="single" w:sz="4" w:space="4" w:color="auto"/>
          <w:bottom w:val="single" w:sz="4" w:space="1" w:color="auto"/>
          <w:right w:val="single" w:sz="4" w:space="4" w:color="auto"/>
        </w:pBdr>
        <w:rPr>
          <w:rFonts w:ascii="Arial" w:hAnsi="Arial" w:cs="Arial"/>
          <w:sz w:val="24"/>
        </w:rPr>
      </w:pPr>
      <w:r w:rsidRPr="0080474C">
        <w:rPr>
          <w:rFonts w:ascii="Arial" w:hAnsi="Arial" w:cs="Arial"/>
          <w:sz w:val="24"/>
        </w:rPr>
        <w:t>Secondary schools play an important role in supporting HPV immunisation by forming an effective relationship with their local council and ensuring effective facilitation of their school's vaccine program.</w:t>
      </w:r>
    </w:p>
    <w:p w14:paraId="39718696" w14:textId="77777777" w:rsidR="0080474C" w:rsidRPr="0080474C" w:rsidRDefault="0080474C" w:rsidP="000E3FDC">
      <w:pPr>
        <w:pBdr>
          <w:top w:val="single" w:sz="4" w:space="1" w:color="auto"/>
          <w:left w:val="single" w:sz="4" w:space="4" w:color="auto"/>
          <w:bottom w:val="single" w:sz="4" w:space="1" w:color="auto"/>
          <w:right w:val="single" w:sz="4" w:space="4" w:color="auto"/>
        </w:pBdr>
        <w:rPr>
          <w:rFonts w:ascii="Arial" w:hAnsi="Arial" w:cs="Arial"/>
          <w:sz w:val="24"/>
        </w:rPr>
      </w:pPr>
      <w:r w:rsidRPr="0080474C">
        <w:rPr>
          <w:rFonts w:ascii="Arial" w:hAnsi="Arial" w:cs="Arial"/>
          <w:sz w:val="24"/>
        </w:rPr>
        <w:t>In particular, schools are encouraged to:</w:t>
      </w:r>
    </w:p>
    <w:p w14:paraId="53450507" w14:textId="77777777" w:rsidR="0080474C" w:rsidRPr="0080474C" w:rsidRDefault="0080474C" w:rsidP="000E3FDC">
      <w:pPr>
        <w:pBdr>
          <w:top w:val="single" w:sz="4" w:space="1" w:color="auto"/>
          <w:left w:val="single" w:sz="4" w:space="4" w:color="auto"/>
          <w:bottom w:val="single" w:sz="4" w:space="1" w:color="auto"/>
          <w:right w:val="single" w:sz="4" w:space="4" w:color="auto"/>
        </w:pBdr>
        <w:rPr>
          <w:rFonts w:ascii="Arial" w:hAnsi="Arial" w:cs="Arial"/>
          <w:sz w:val="24"/>
        </w:rPr>
      </w:pPr>
      <w:r>
        <w:rPr>
          <w:rFonts w:ascii="Arial" w:hAnsi="Arial" w:cs="Arial"/>
          <w:sz w:val="24"/>
        </w:rPr>
        <w:t xml:space="preserve">• </w:t>
      </w:r>
      <w:r w:rsidRPr="0080474C">
        <w:rPr>
          <w:rFonts w:ascii="Arial" w:hAnsi="Arial" w:cs="Arial"/>
          <w:sz w:val="24"/>
        </w:rPr>
        <w:t>appoint a school immunisation coordinator to manage the school's vaccine program</w:t>
      </w:r>
    </w:p>
    <w:p w14:paraId="19DEC3E6" w14:textId="77777777" w:rsidR="0080474C" w:rsidRPr="0080474C" w:rsidRDefault="0080474C" w:rsidP="000E3FDC">
      <w:pPr>
        <w:pBdr>
          <w:top w:val="single" w:sz="4" w:space="1" w:color="auto"/>
          <w:left w:val="single" w:sz="4" w:space="4" w:color="auto"/>
          <w:bottom w:val="single" w:sz="4" w:space="1" w:color="auto"/>
          <w:right w:val="single" w:sz="4" w:space="4" w:color="auto"/>
        </w:pBdr>
        <w:rPr>
          <w:rFonts w:ascii="Arial" w:hAnsi="Arial" w:cs="Arial"/>
          <w:sz w:val="24"/>
        </w:rPr>
      </w:pPr>
      <w:r w:rsidRPr="0080474C">
        <w:rPr>
          <w:rFonts w:ascii="Arial" w:hAnsi="Arial" w:cs="Arial"/>
          <w:sz w:val="24"/>
        </w:rPr>
        <w:t>•</w:t>
      </w:r>
      <w:r>
        <w:rPr>
          <w:rFonts w:ascii="Arial" w:hAnsi="Arial" w:cs="Arial"/>
          <w:sz w:val="24"/>
        </w:rPr>
        <w:t xml:space="preserve"> </w:t>
      </w:r>
      <w:r w:rsidRPr="0080474C">
        <w:rPr>
          <w:rFonts w:ascii="Arial" w:hAnsi="Arial" w:cs="Arial"/>
          <w:sz w:val="24"/>
        </w:rPr>
        <w:t>ensure the school immunisation coordinator liaises with the local council immunisation officer in the local municipality</w:t>
      </w:r>
    </w:p>
    <w:p w14:paraId="120E06AE" w14:textId="77777777" w:rsidR="0080474C" w:rsidRPr="0080474C" w:rsidRDefault="0080474C" w:rsidP="000E3FDC">
      <w:pPr>
        <w:pBdr>
          <w:top w:val="single" w:sz="4" w:space="1" w:color="auto"/>
          <w:left w:val="single" w:sz="4" w:space="4" w:color="auto"/>
          <w:bottom w:val="single" w:sz="4" w:space="1" w:color="auto"/>
          <w:right w:val="single" w:sz="4" w:space="4" w:color="auto"/>
        </w:pBdr>
        <w:rPr>
          <w:rFonts w:ascii="Arial" w:hAnsi="Arial" w:cs="Arial"/>
          <w:sz w:val="24"/>
        </w:rPr>
      </w:pPr>
      <w:r w:rsidRPr="0080474C">
        <w:rPr>
          <w:rFonts w:ascii="Arial" w:hAnsi="Arial" w:cs="Arial"/>
          <w:sz w:val="24"/>
        </w:rPr>
        <w:t>•</w:t>
      </w:r>
      <w:r>
        <w:rPr>
          <w:rFonts w:ascii="Arial" w:hAnsi="Arial" w:cs="Arial"/>
          <w:sz w:val="24"/>
        </w:rPr>
        <w:t xml:space="preserve"> </w:t>
      </w:r>
      <w:r w:rsidRPr="0080474C">
        <w:rPr>
          <w:rFonts w:ascii="Arial" w:hAnsi="Arial" w:cs="Arial"/>
          <w:sz w:val="24"/>
        </w:rPr>
        <w:t>support the distribution and collection of all vaccine consent forms and obtain completed forms from parents and guardians</w:t>
      </w:r>
    </w:p>
    <w:p w14:paraId="3F22F68F" w14:textId="77777777" w:rsidR="0080474C" w:rsidRPr="0080474C" w:rsidRDefault="0080474C" w:rsidP="000E3FDC">
      <w:pPr>
        <w:pBdr>
          <w:top w:val="single" w:sz="4" w:space="1" w:color="auto"/>
          <w:left w:val="single" w:sz="4" w:space="4" w:color="auto"/>
          <w:bottom w:val="single" w:sz="4" w:space="1" w:color="auto"/>
          <w:right w:val="single" w:sz="4" w:space="4" w:color="auto"/>
        </w:pBdr>
        <w:rPr>
          <w:rFonts w:ascii="Arial" w:hAnsi="Arial" w:cs="Arial"/>
          <w:sz w:val="24"/>
        </w:rPr>
      </w:pPr>
      <w:r w:rsidRPr="0080474C">
        <w:rPr>
          <w:rFonts w:ascii="Arial" w:hAnsi="Arial" w:cs="Arial"/>
          <w:sz w:val="24"/>
        </w:rPr>
        <w:t>•</w:t>
      </w:r>
      <w:r>
        <w:rPr>
          <w:rFonts w:ascii="Arial" w:hAnsi="Arial" w:cs="Arial"/>
          <w:sz w:val="24"/>
        </w:rPr>
        <w:t xml:space="preserve"> </w:t>
      </w:r>
      <w:r w:rsidRPr="0080474C">
        <w:rPr>
          <w:rFonts w:ascii="Arial" w:hAnsi="Arial" w:cs="Arial"/>
          <w:sz w:val="24"/>
        </w:rPr>
        <w:t>ensure appropriate resources and environments are available for the program to run smoothly.</w:t>
      </w:r>
    </w:p>
    <w:p w14:paraId="3B59B260" w14:textId="77777777" w:rsidR="00AD7155" w:rsidRPr="0080474C" w:rsidRDefault="0080474C" w:rsidP="000E3FDC">
      <w:pPr>
        <w:pBdr>
          <w:top w:val="single" w:sz="4" w:space="1" w:color="auto"/>
          <w:left w:val="single" w:sz="4" w:space="4" w:color="auto"/>
          <w:bottom w:val="single" w:sz="4" w:space="1" w:color="auto"/>
          <w:right w:val="single" w:sz="4" w:space="4" w:color="auto"/>
        </w:pBdr>
        <w:rPr>
          <w:rFonts w:ascii="Arial" w:hAnsi="Arial" w:cs="Arial"/>
          <w:sz w:val="24"/>
        </w:rPr>
      </w:pPr>
      <w:r w:rsidRPr="0080474C">
        <w:rPr>
          <w:rFonts w:ascii="Arial" w:hAnsi="Arial" w:cs="Arial"/>
          <w:sz w:val="24"/>
        </w:rPr>
        <w:t>Immune Hero is an online information hub developed by the Victorian Government to provide credible information and resources regarding adolescent immunisation for secondary school administrators, school nurses, teachers, students and their parents/guardians. Immune Hero was developed in response to a need for accessible information to assist in the delivery and administration of vaccination in secondary schools by local councils in Victoria</w:t>
      </w:r>
      <w:r>
        <w:rPr>
          <w:rFonts w:ascii="Arial" w:hAnsi="Arial" w:cs="Arial"/>
          <w:sz w:val="24"/>
        </w:rPr>
        <w:t>.</w:t>
      </w:r>
    </w:p>
    <w:p w14:paraId="7B1CF253" w14:textId="77777777" w:rsidR="00AC0805" w:rsidRDefault="00AC0805">
      <w:pPr>
        <w:rPr>
          <w:rFonts w:ascii="Arial" w:hAnsi="Arial" w:cs="Arial"/>
          <w:sz w:val="24"/>
        </w:rPr>
      </w:pPr>
      <w:r>
        <w:rPr>
          <w:rFonts w:ascii="Arial" w:hAnsi="Arial" w:cs="Arial"/>
          <w:sz w:val="24"/>
        </w:rPr>
        <w:br w:type="page"/>
      </w:r>
    </w:p>
    <w:p w14:paraId="2089581C" w14:textId="77777777" w:rsidR="00595E88" w:rsidRPr="00F53576" w:rsidRDefault="00595E88" w:rsidP="00F53576">
      <w:pPr>
        <w:pStyle w:val="Heading1"/>
        <w:rPr>
          <w:rFonts w:ascii="Arial" w:hAnsi="Arial" w:cs="Arial"/>
        </w:rPr>
      </w:pPr>
      <w:bookmarkStart w:id="25" w:name="_Toc33527750"/>
      <w:r w:rsidRPr="00F53576">
        <w:rPr>
          <w:rFonts w:ascii="Arial" w:hAnsi="Arial" w:cs="Arial"/>
        </w:rPr>
        <w:lastRenderedPageBreak/>
        <w:t>SOCIAL &amp; EMOTIONAL WELLBEING</w:t>
      </w:r>
      <w:bookmarkEnd w:id="25"/>
    </w:p>
    <w:p w14:paraId="5005EAAF" w14:textId="77777777" w:rsidR="00595E88" w:rsidRPr="00F53576" w:rsidRDefault="00F53576" w:rsidP="00F53576">
      <w:pPr>
        <w:pStyle w:val="Heading2"/>
        <w:rPr>
          <w:rFonts w:ascii="Arial" w:hAnsi="Arial" w:cs="Arial"/>
          <w:color w:val="auto"/>
        </w:rPr>
      </w:pPr>
      <w:bookmarkStart w:id="26" w:name="_Toc33527751"/>
      <w:r w:rsidRPr="00F53576">
        <w:rPr>
          <w:rFonts w:ascii="Arial" w:hAnsi="Arial" w:cs="Arial"/>
          <w:color w:val="auto"/>
        </w:rPr>
        <w:t>INFOGRAPHIC SUMMARY</w:t>
      </w:r>
      <w:bookmarkEnd w:id="26"/>
    </w:p>
    <w:p w14:paraId="0E09247A" w14:textId="77777777" w:rsidR="00947C7D" w:rsidRDefault="00947C7D" w:rsidP="00947C7D">
      <w:pPr>
        <w:rPr>
          <w:rFonts w:ascii="Arial" w:hAnsi="Arial" w:cs="Arial"/>
          <w:sz w:val="24"/>
        </w:rPr>
      </w:pPr>
      <w:r w:rsidRPr="00947C7D">
        <w:rPr>
          <w:rFonts w:ascii="Arial" w:hAnsi="Arial" w:cs="Arial"/>
          <w:sz w:val="24"/>
        </w:rPr>
        <w:t>Adolescence is a crucial period of neurological and social development.</w:t>
      </w:r>
    </w:p>
    <w:p w14:paraId="0FC91B30" w14:textId="77777777" w:rsidR="00CE77CF" w:rsidRDefault="00CE77CF" w:rsidP="00947C7D">
      <w:pPr>
        <w:rPr>
          <w:rFonts w:ascii="Arial" w:hAnsi="Arial" w:cs="Arial"/>
          <w:b/>
        </w:rPr>
      </w:pPr>
      <w:r w:rsidRPr="00CE77CF">
        <w:rPr>
          <w:rFonts w:ascii="Arial" w:hAnsi="Arial" w:cs="Arial"/>
          <w:b/>
          <w:sz w:val="24"/>
        </w:rPr>
        <w:t>Connection and satisfaction</w:t>
      </w:r>
    </w:p>
    <w:p w14:paraId="3124C320" w14:textId="77777777" w:rsidR="00CE77CF" w:rsidRPr="00CE77CF" w:rsidRDefault="00CE77CF" w:rsidP="00CE77CF">
      <w:pPr>
        <w:rPr>
          <w:rFonts w:ascii="Arial" w:hAnsi="Arial" w:cs="Arial"/>
          <w:i/>
          <w:sz w:val="24"/>
        </w:rPr>
      </w:pPr>
      <w:r w:rsidRPr="00CE77CF">
        <w:rPr>
          <w:rFonts w:ascii="Arial" w:hAnsi="Arial" w:cs="Arial"/>
          <w:i/>
          <w:sz w:val="24"/>
        </w:rPr>
        <w:t>Connection to peers and life satisfaction are important contributors to adolescents’ wellbeing.</w:t>
      </w:r>
    </w:p>
    <w:p w14:paraId="6A5E6F6D" w14:textId="77777777" w:rsidR="00CE77CF" w:rsidRPr="00CE77CF" w:rsidRDefault="00CE77CF" w:rsidP="00CE77CF">
      <w:pPr>
        <w:pStyle w:val="ListParagraph"/>
        <w:numPr>
          <w:ilvl w:val="0"/>
          <w:numId w:val="37"/>
        </w:numPr>
        <w:rPr>
          <w:rFonts w:ascii="Arial" w:hAnsi="Arial" w:cs="Arial"/>
          <w:sz w:val="24"/>
        </w:rPr>
      </w:pPr>
      <w:r w:rsidRPr="00CE77CF">
        <w:rPr>
          <w:rFonts w:ascii="Arial" w:hAnsi="Arial" w:cs="Arial"/>
          <w:sz w:val="24"/>
        </w:rPr>
        <w:t>More than 9 in 10 Year 8 and 11 students (93 per cent) report feeling connected to their peers</w:t>
      </w:r>
    </w:p>
    <w:p w14:paraId="43E58968" w14:textId="77777777" w:rsidR="00CE77CF" w:rsidRPr="00CE77CF" w:rsidRDefault="00CE77CF" w:rsidP="00CE77CF">
      <w:pPr>
        <w:pStyle w:val="ListParagraph"/>
        <w:numPr>
          <w:ilvl w:val="0"/>
          <w:numId w:val="37"/>
        </w:numPr>
        <w:rPr>
          <w:rFonts w:ascii="Arial" w:hAnsi="Arial" w:cs="Arial"/>
          <w:sz w:val="24"/>
        </w:rPr>
      </w:pPr>
      <w:r w:rsidRPr="00CE77CF">
        <w:rPr>
          <w:rFonts w:ascii="Arial" w:hAnsi="Arial" w:cs="Arial"/>
          <w:sz w:val="24"/>
        </w:rPr>
        <w:t>Around 2 in 3 (68 per cent) are satisfied with their quality of life. This is a significant decline on 2014 levels.</w:t>
      </w:r>
    </w:p>
    <w:p w14:paraId="57D52855" w14:textId="77777777" w:rsidR="00CE77CF" w:rsidRDefault="00CE77CF" w:rsidP="00CE77CF">
      <w:pPr>
        <w:rPr>
          <w:rFonts w:ascii="Arial" w:hAnsi="Arial" w:cs="Arial"/>
          <w:i/>
          <w:sz w:val="24"/>
        </w:rPr>
      </w:pPr>
      <w:r w:rsidRPr="00CE77CF">
        <w:rPr>
          <w:rFonts w:ascii="Arial" w:hAnsi="Arial" w:cs="Arial"/>
          <w:i/>
          <w:sz w:val="24"/>
        </w:rPr>
        <w:t>Source: Victorian Student Health and Wellbeing Survey 2018</w:t>
      </w:r>
    </w:p>
    <w:p w14:paraId="27791EA5" w14:textId="77777777" w:rsidR="003F02BB" w:rsidRDefault="003F02BB" w:rsidP="00CE77CF">
      <w:pPr>
        <w:rPr>
          <w:rFonts w:ascii="Arial" w:hAnsi="Arial" w:cs="Arial"/>
          <w:b/>
        </w:rPr>
      </w:pPr>
      <w:r w:rsidRPr="003F02BB">
        <w:rPr>
          <w:rFonts w:ascii="Arial" w:hAnsi="Arial" w:cs="Arial"/>
          <w:b/>
          <w:sz w:val="24"/>
        </w:rPr>
        <w:t>Bullying</w:t>
      </w:r>
    </w:p>
    <w:p w14:paraId="6C996AA4" w14:textId="77777777" w:rsidR="00CB3C28" w:rsidRDefault="00CB3C28" w:rsidP="00CB3C28">
      <w:pPr>
        <w:rPr>
          <w:rFonts w:ascii="Arial" w:hAnsi="Arial" w:cs="Arial"/>
          <w:i/>
        </w:rPr>
      </w:pPr>
      <w:r w:rsidRPr="00CB3C28">
        <w:rPr>
          <w:rFonts w:ascii="Arial" w:hAnsi="Arial" w:cs="Arial"/>
          <w:i/>
          <w:sz w:val="24"/>
        </w:rPr>
        <w:t>Adolescents who have been bullied or cyberbullied are more likely to be absent from school, and more likely to experience negative mental health outcomes.</w:t>
      </w:r>
    </w:p>
    <w:p w14:paraId="549D1973" w14:textId="77777777" w:rsidR="00313A89" w:rsidRPr="00313A89" w:rsidRDefault="00313A89" w:rsidP="00313A89">
      <w:pPr>
        <w:pStyle w:val="ListParagraph"/>
        <w:numPr>
          <w:ilvl w:val="0"/>
          <w:numId w:val="38"/>
        </w:numPr>
        <w:rPr>
          <w:rFonts w:ascii="Arial" w:hAnsi="Arial" w:cs="Arial"/>
          <w:sz w:val="24"/>
        </w:rPr>
      </w:pPr>
      <w:r w:rsidRPr="00313A89">
        <w:rPr>
          <w:rFonts w:ascii="Arial" w:hAnsi="Arial" w:cs="Arial"/>
          <w:sz w:val="24"/>
        </w:rPr>
        <w:t>1 in 10 Victorian Year 8 and 11 students were bullied in the previous term.</w:t>
      </w:r>
    </w:p>
    <w:p w14:paraId="29E644FE" w14:textId="77777777" w:rsidR="00313A89" w:rsidRPr="00313A89" w:rsidRDefault="00313A89" w:rsidP="00313A89">
      <w:pPr>
        <w:pStyle w:val="ListParagraph"/>
        <w:numPr>
          <w:ilvl w:val="0"/>
          <w:numId w:val="38"/>
        </w:numPr>
        <w:rPr>
          <w:rFonts w:ascii="Arial" w:hAnsi="Arial" w:cs="Arial"/>
          <w:i/>
        </w:rPr>
      </w:pPr>
      <w:r w:rsidRPr="00313A89">
        <w:rPr>
          <w:rFonts w:ascii="Arial" w:hAnsi="Arial" w:cs="Arial"/>
          <w:sz w:val="24"/>
        </w:rPr>
        <w:t>1 in 10 students were cyberbullied in the past year.</w:t>
      </w:r>
    </w:p>
    <w:p w14:paraId="01F1938D" w14:textId="77777777" w:rsidR="00313A89" w:rsidRDefault="00313A89" w:rsidP="00313A89">
      <w:pPr>
        <w:rPr>
          <w:rFonts w:ascii="Arial" w:hAnsi="Arial" w:cs="Arial"/>
          <w:i/>
        </w:rPr>
      </w:pPr>
    </w:p>
    <w:tbl>
      <w:tblPr>
        <w:tblStyle w:val="TableGrid"/>
        <w:tblW w:w="5000" w:type="pct"/>
        <w:tblLook w:val="04A0" w:firstRow="1" w:lastRow="0" w:firstColumn="1" w:lastColumn="0" w:noHBand="0" w:noVBand="1"/>
        <w:tblDescription w:val="This table provides information on the proportion of Victorian students (Years 8 &amp; 11) who experienced unwelcome cyber behaviours, by gender, 2018"/>
      </w:tblPr>
      <w:tblGrid>
        <w:gridCol w:w="3005"/>
        <w:gridCol w:w="3007"/>
        <w:gridCol w:w="3004"/>
      </w:tblGrid>
      <w:tr w:rsidR="00833F15" w:rsidRPr="00054426" w14:paraId="542FE8A4" w14:textId="77777777" w:rsidTr="00467486">
        <w:trPr>
          <w:tblHeader/>
        </w:trPr>
        <w:tc>
          <w:tcPr>
            <w:tcW w:w="1666" w:type="pct"/>
          </w:tcPr>
          <w:p w14:paraId="2BB64272" w14:textId="77777777" w:rsidR="00833F15" w:rsidRDefault="00833F15" w:rsidP="00467486">
            <w:pPr>
              <w:rPr>
                <w:rFonts w:ascii="Arial" w:hAnsi="Arial" w:cs="Arial"/>
                <w:sz w:val="24"/>
              </w:rPr>
            </w:pPr>
          </w:p>
        </w:tc>
        <w:tc>
          <w:tcPr>
            <w:tcW w:w="1667" w:type="pct"/>
          </w:tcPr>
          <w:p w14:paraId="0A1FC811" w14:textId="77777777" w:rsidR="00833F15" w:rsidRPr="00054426" w:rsidRDefault="00833F15" w:rsidP="00467486">
            <w:pPr>
              <w:rPr>
                <w:rFonts w:ascii="Arial" w:hAnsi="Arial" w:cs="Arial"/>
                <w:sz w:val="24"/>
              </w:rPr>
            </w:pPr>
            <w:r>
              <w:rPr>
                <w:rFonts w:ascii="Arial" w:hAnsi="Arial" w:cs="Arial"/>
                <w:sz w:val="24"/>
              </w:rPr>
              <w:t>Male</w:t>
            </w:r>
          </w:p>
        </w:tc>
        <w:tc>
          <w:tcPr>
            <w:tcW w:w="1666" w:type="pct"/>
          </w:tcPr>
          <w:p w14:paraId="004AE495" w14:textId="77777777" w:rsidR="00833F15" w:rsidRDefault="00833F15" w:rsidP="00467486">
            <w:pPr>
              <w:rPr>
                <w:rFonts w:ascii="Arial" w:hAnsi="Arial" w:cs="Arial"/>
                <w:sz w:val="24"/>
              </w:rPr>
            </w:pPr>
            <w:r>
              <w:rPr>
                <w:rFonts w:ascii="Arial" w:hAnsi="Arial" w:cs="Arial"/>
                <w:sz w:val="24"/>
              </w:rPr>
              <w:t>Female</w:t>
            </w:r>
          </w:p>
        </w:tc>
      </w:tr>
      <w:tr w:rsidR="00833F15" w14:paraId="1BC3C275" w14:textId="77777777" w:rsidTr="00467486">
        <w:tc>
          <w:tcPr>
            <w:tcW w:w="1666" w:type="pct"/>
          </w:tcPr>
          <w:p w14:paraId="4CFCC47B" w14:textId="77777777" w:rsidR="00833F15" w:rsidRDefault="00833F15" w:rsidP="00467486">
            <w:pPr>
              <w:rPr>
                <w:rFonts w:ascii="Arial" w:hAnsi="Arial" w:cs="Arial"/>
                <w:sz w:val="24"/>
              </w:rPr>
            </w:pPr>
            <w:r>
              <w:rPr>
                <w:rFonts w:ascii="Arial" w:hAnsi="Arial" w:cs="Arial"/>
                <w:sz w:val="24"/>
              </w:rPr>
              <w:t>Overall</w:t>
            </w:r>
          </w:p>
        </w:tc>
        <w:tc>
          <w:tcPr>
            <w:tcW w:w="1667" w:type="pct"/>
          </w:tcPr>
          <w:p w14:paraId="180A6FF0" w14:textId="77777777" w:rsidR="00833F15" w:rsidRDefault="00833F15" w:rsidP="00467486">
            <w:pPr>
              <w:rPr>
                <w:rFonts w:ascii="Arial" w:hAnsi="Arial" w:cs="Arial"/>
                <w:sz w:val="24"/>
              </w:rPr>
            </w:pPr>
            <w:r>
              <w:rPr>
                <w:rFonts w:ascii="Arial" w:hAnsi="Arial" w:cs="Arial"/>
                <w:sz w:val="24"/>
              </w:rPr>
              <w:t>29%</w:t>
            </w:r>
          </w:p>
        </w:tc>
        <w:tc>
          <w:tcPr>
            <w:tcW w:w="1666" w:type="pct"/>
          </w:tcPr>
          <w:p w14:paraId="63750814" w14:textId="77777777" w:rsidR="00833F15" w:rsidRDefault="00833F15" w:rsidP="00467486">
            <w:pPr>
              <w:rPr>
                <w:rFonts w:ascii="Arial" w:hAnsi="Arial" w:cs="Arial"/>
                <w:sz w:val="24"/>
              </w:rPr>
            </w:pPr>
            <w:r>
              <w:rPr>
                <w:rFonts w:ascii="Arial" w:hAnsi="Arial" w:cs="Arial"/>
                <w:sz w:val="24"/>
              </w:rPr>
              <w:t>38%</w:t>
            </w:r>
          </w:p>
        </w:tc>
      </w:tr>
      <w:tr w:rsidR="00833F15" w14:paraId="3E05F763" w14:textId="77777777" w:rsidTr="00467486">
        <w:tc>
          <w:tcPr>
            <w:tcW w:w="1666" w:type="pct"/>
          </w:tcPr>
          <w:p w14:paraId="4007B827" w14:textId="77777777" w:rsidR="00833F15" w:rsidRDefault="00833F15" w:rsidP="00467486">
            <w:pPr>
              <w:rPr>
                <w:rFonts w:ascii="Arial" w:hAnsi="Arial" w:cs="Arial"/>
                <w:sz w:val="24"/>
              </w:rPr>
            </w:pPr>
            <w:r>
              <w:rPr>
                <w:rFonts w:ascii="Arial" w:hAnsi="Arial" w:cs="Arial"/>
                <w:sz w:val="24"/>
              </w:rPr>
              <w:t>Post of profile</w:t>
            </w:r>
          </w:p>
        </w:tc>
        <w:tc>
          <w:tcPr>
            <w:tcW w:w="1667" w:type="pct"/>
          </w:tcPr>
          <w:p w14:paraId="03308C1C" w14:textId="77777777" w:rsidR="00833F15" w:rsidRDefault="00833F15" w:rsidP="00467486">
            <w:pPr>
              <w:rPr>
                <w:rFonts w:ascii="Arial" w:hAnsi="Arial" w:cs="Arial"/>
                <w:sz w:val="24"/>
              </w:rPr>
            </w:pPr>
            <w:r>
              <w:rPr>
                <w:rFonts w:ascii="Arial" w:hAnsi="Arial" w:cs="Arial"/>
                <w:sz w:val="24"/>
              </w:rPr>
              <w:t>9%</w:t>
            </w:r>
          </w:p>
        </w:tc>
        <w:tc>
          <w:tcPr>
            <w:tcW w:w="1666" w:type="pct"/>
          </w:tcPr>
          <w:p w14:paraId="787BBCC6" w14:textId="77777777" w:rsidR="00833F15" w:rsidRDefault="00833F15" w:rsidP="00467486">
            <w:pPr>
              <w:rPr>
                <w:rFonts w:ascii="Arial" w:hAnsi="Arial" w:cs="Arial"/>
                <w:sz w:val="24"/>
              </w:rPr>
            </w:pPr>
            <w:r>
              <w:rPr>
                <w:rFonts w:ascii="Arial" w:hAnsi="Arial" w:cs="Arial"/>
                <w:sz w:val="24"/>
              </w:rPr>
              <w:t>13%</w:t>
            </w:r>
          </w:p>
        </w:tc>
      </w:tr>
      <w:tr w:rsidR="00833F15" w14:paraId="21855518" w14:textId="77777777" w:rsidTr="00467486">
        <w:tc>
          <w:tcPr>
            <w:tcW w:w="1666" w:type="pct"/>
          </w:tcPr>
          <w:p w14:paraId="05F05A53" w14:textId="77777777" w:rsidR="00833F15" w:rsidRDefault="00833F15" w:rsidP="00467486">
            <w:pPr>
              <w:rPr>
                <w:rFonts w:ascii="Arial" w:hAnsi="Arial" w:cs="Arial"/>
                <w:sz w:val="24"/>
              </w:rPr>
            </w:pPr>
            <w:r>
              <w:rPr>
                <w:rFonts w:ascii="Arial" w:hAnsi="Arial" w:cs="Arial"/>
                <w:sz w:val="24"/>
              </w:rPr>
              <w:t>Instant message</w:t>
            </w:r>
          </w:p>
        </w:tc>
        <w:tc>
          <w:tcPr>
            <w:tcW w:w="1667" w:type="pct"/>
          </w:tcPr>
          <w:p w14:paraId="70C5CEF5" w14:textId="77777777" w:rsidR="00833F15" w:rsidRDefault="00833F15" w:rsidP="00467486">
            <w:pPr>
              <w:rPr>
                <w:rFonts w:ascii="Arial" w:hAnsi="Arial" w:cs="Arial"/>
                <w:sz w:val="24"/>
              </w:rPr>
            </w:pPr>
            <w:r>
              <w:rPr>
                <w:rFonts w:ascii="Arial" w:hAnsi="Arial" w:cs="Arial"/>
                <w:sz w:val="24"/>
              </w:rPr>
              <w:t>11%</w:t>
            </w:r>
          </w:p>
        </w:tc>
        <w:tc>
          <w:tcPr>
            <w:tcW w:w="1666" w:type="pct"/>
          </w:tcPr>
          <w:p w14:paraId="6FA17EAB" w14:textId="77777777" w:rsidR="00833F15" w:rsidRDefault="00833F15" w:rsidP="00467486">
            <w:pPr>
              <w:rPr>
                <w:rFonts w:ascii="Arial" w:hAnsi="Arial" w:cs="Arial"/>
                <w:sz w:val="24"/>
              </w:rPr>
            </w:pPr>
            <w:r>
              <w:rPr>
                <w:rFonts w:ascii="Arial" w:hAnsi="Arial" w:cs="Arial"/>
                <w:sz w:val="24"/>
              </w:rPr>
              <w:t>23%</w:t>
            </w:r>
          </w:p>
        </w:tc>
      </w:tr>
      <w:tr w:rsidR="00833F15" w14:paraId="75130ECA" w14:textId="77777777" w:rsidTr="00467486">
        <w:tc>
          <w:tcPr>
            <w:tcW w:w="1666" w:type="pct"/>
          </w:tcPr>
          <w:p w14:paraId="131E2DA6" w14:textId="77777777" w:rsidR="00833F15" w:rsidRDefault="00833F15" w:rsidP="00467486">
            <w:pPr>
              <w:rPr>
                <w:rFonts w:ascii="Arial" w:hAnsi="Arial" w:cs="Arial"/>
                <w:sz w:val="24"/>
              </w:rPr>
            </w:pPr>
            <w:r>
              <w:rPr>
                <w:rFonts w:ascii="Arial" w:hAnsi="Arial" w:cs="Arial"/>
                <w:sz w:val="24"/>
              </w:rPr>
              <w:t>Public post</w:t>
            </w:r>
          </w:p>
        </w:tc>
        <w:tc>
          <w:tcPr>
            <w:tcW w:w="1667" w:type="pct"/>
          </w:tcPr>
          <w:p w14:paraId="07C9E810" w14:textId="77777777" w:rsidR="00833F15" w:rsidRDefault="00833F15" w:rsidP="00467486">
            <w:pPr>
              <w:rPr>
                <w:rFonts w:ascii="Arial" w:hAnsi="Arial" w:cs="Arial"/>
                <w:sz w:val="24"/>
              </w:rPr>
            </w:pPr>
            <w:r>
              <w:rPr>
                <w:rFonts w:ascii="Arial" w:hAnsi="Arial" w:cs="Arial"/>
                <w:sz w:val="24"/>
              </w:rPr>
              <w:t>7%</w:t>
            </w:r>
          </w:p>
        </w:tc>
        <w:tc>
          <w:tcPr>
            <w:tcW w:w="1666" w:type="pct"/>
          </w:tcPr>
          <w:p w14:paraId="67D86E79" w14:textId="77777777" w:rsidR="00833F15" w:rsidRDefault="00833F15" w:rsidP="00467486">
            <w:pPr>
              <w:rPr>
                <w:rFonts w:ascii="Arial" w:hAnsi="Arial" w:cs="Arial"/>
                <w:sz w:val="24"/>
              </w:rPr>
            </w:pPr>
            <w:r>
              <w:rPr>
                <w:rFonts w:ascii="Arial" w:hAnsi="Arial" w:cs="Arial"/>
                <w:sz w:val="24"/>
              </w:rPr>
              <w:t>11%</w:t>
            </w:r>
          </w:p>
        </w:tc>
      </w:tr>
      <w:tr w:rsidR="00833F15" w14:paraId="0703A7D0" w14:textId="77777777" w:rsidTr="00467486">
        <w:tc>
          <w:tcPr>
            <w:tcW w:w="1666" w:type="pct"/>
          </w:tcPr>
          <w:p w14:paraId="772B5EBB" w14:textId="77777777" w:rsidR="00833F15" w:rsidRDefault="00833F15" w:rsidP="00467486">
            <w:pPr>
              <w:rPr>
                <w:rFonts w:ascii="Arial" w:hAnsi="Arial" w:cs="Arial"/>
                <w:sz w:val="24"/>
              </w:rPr>
            </w:pPr>
            <w:r>
              <w:rPr>
                <w:rFonts w:ascii="Arial" w:hAnsi="Arial" w:cs="Arial"/>
                <w:sz w:val="24"/>
              </w:rPr>
              <w:t>Chat room</w:t>
            </w:r>
          </w:p>
        </w:tc>
        <w:tc>
          <w:tcPr>
            <w:tcW w:w="1667" w:type="pct"/>
          </w:tcPr>
          <w:p w14:paraId="55DE15CE" w14:textId="77777777" w:rsidR="00833F15" w:rsidRDefault="00833F15" w:rsidP="00467486">
            <w:pPr>
              <w:rPr>
                <w:rFonts w:ascii="Arial" w:hAnsi="Arial" w:cs="Arial"/>
                <w:sz w:val="24"/>
              </w:rPr>
            </w:pPr>
            <w:r>
              <w:rPr>
                <w:rFonts w:ascii="Arial" w:hAnsi="Arial" w:cs="Arial"/>
                <w:sz w:val="24"/>
              </w:rPr>
              <w:t>19%</w:t>
            </w:r>
          </w:p>
        </w:tc>
        <w:tc>
          <w:tcPr>
            <w:tcW w:w="1666" w:type="pct"/>
          </w:tcPr>
          <w:p w14:paraId="43F77300" w14:textId="77777777" w:rsidR="00833F15" w:rsidRDefault="00833F15" w:rsidP="00467486">
            <w:pPr>
              <w:rPr>
                <w:rFonts w:ascii="Arial" w:hAnsi="Arial" w:cs="Arial"/>
                <w:sz w:val="24"/>
              </w:rPr>
            </w:pPr>
            <w:r>
              <w:rPr>
                <w:rFonts w:ascii="Arial" w:hAnsi="Arial" w:cs="Arial"/>
                <w:sz w:val="24"/>
              </w:rPr>
              <w:t>15%</w:t>
            </w:r>
          </w:p>
        </w:tc>
      </w:tr>
    </w:tbl>
    <w:p w14:paraId="32497DC0" w14:textId="77777777" w:rsidR="00833F15" w:rsidRDefault="00833F15" w:rsidP="00313A89">
      <w:pPr>
        <w:rPr>
          <w:rFonts w:ascii="Arial" w:hAnsi="Arial" w:cs="Arial"/>
          <w:i/>
          <w:sz w:val="24"/>
        </w:rPr>
      </w:pPr>
      <w:r w:rsidRPr="00833F15">
        <w:rPr>
          <w:rFonts w:ascii="Arial" w:hAnsi="Arial" w:cs="Arial"/>
          <w:i/>
          <w:sz w:val="24"/>
        </w:rPr>
        <w:t>Source: Victorian Student Health and Wellbeing Survey 2018</w:t>
      </w:r>
    </w:p>
    <w:p w14:paraId="486A0884" w14:textId="77777777" w:rsidR="00DB2AF4" w:rsidRDefault="00DB2AF4" w:rsidP="00313A89">
      <w:pPr>
        <w:rPr>
          <w:rFonts w:ascii="Arial" w:hAnsi="Arial" w:cs="Arial"/>
          <w:b/>
          <w:sz w:val="24"/>
        </w:rPr>
      </w:pPr>
      <w:r w:rsidRPr="00DB2AF4">
        <w:rPr>
          <w:rFonts w:ascii="Arial" w:hAnsi="Arial" w:cs="Arial"/>
          <w:b/>
          <w:sz w:val="24"/>
        </w:rPr>
        <w:t>Resilience</w:t>
      </w:r>
    </w:p>
    <w:p w14:paraId="26D57AA9" w14:textId="77777777" w:rsidR="00DB2AF4" w:rsidRDefault="00DB2AF4" w:rsidP="00DB2AF4">
      <w:pPr>
        <w:rPr>
          <w:rFonts w:ascii="Arial" w:hAnsi="Arial" w:cs="Arial"/>
          <w:i/>
          <w:sz w:val="24"/>
        </w:rPr>
      </w:pPr>
      <w:r w:rsidRPr="00DB2AF4">
        <w:rPr>
          <w:rFonts w:ascii="Arial" w:hAnsi="Arial" w:cs="Arial"/>
          <w:i/>
          <w:sz w:val="24"/>
        </w:rPr>
        <w:t>Resilience is an important protective factor for students’ wellbeing and academic performance.</w:t>
      </w:r>
    </w:p>
    <w:p w14:paraId="66CF5C8A" w14:textId="77777777" w:rsidR="00DB2AF4" w:rsidRPr="00D74B94" w:rsidRDefault="00D74B94" w:rsidP="00D74B94">
      <w:pPr>
        <w:pStyle w:val="ListParagraph"/>
        <w:numPr>
          <w:ilvl w:val="0"/>
          <w:numId w:val="39"/>
        </w:numPr>
        <w:rPr>
          <w:rFonts w:ascii="Arial" w:hAnsi="Arial" w:cs="Arial"/>
          <w:sz w:val="24"/>
        </w:rPr>
      </w:pPr>
      <w:r w:rsidRPr="00D74B94">
        <w:rPr>
          <w:rFonts w:ascii="Arial" w:hAnsi="Arial" w:cs="Arial"/>
          <w:sz w:val="24"/>
        </w:rPr>
        <w:t>Around 3 in 5 Year 8 and 11 students (63 per cent) report high levels of resilience – this is a significant decline on 2014 levels.</w:t>
      </w:r>
    </w:p>
    <w:p w14:paraId="3C1E0E59" w14:textId="77777777" w:rsidR="00D74B94" w:rsidRDefault="00D74B94">
      <w:pPr>
        <w:rPr>
          <w:rFonts w:ascii="Arial" w:hAnsi="Arial" w:cs="Arial"/>
          <w:i/>
          <w:sz w:val="24"/>
        </w:rPr>
      </w:pPr>
      <w:r w:rsidRPr="00D74B94">
        <w:rPr>
          <w:rFonts w:ascii="Arial" w:hAnsi="Arial" w:cs="Arial"/>
          <w:i/>
          <w:sz w:val="24"/>
        </w:rPr>
        <w:t>Source: Victorian Student Health and Wellbeing Survey 2018</w:t>
      </w:r>
    </w:p>
    <w:p w14:paraId="68193B9B" w14:textId="77777777" w:rsidR="00E45E44" w:rsidRPr="00E45E44" w:rsidRDefault="00E45E44" w:rsidP="00E45E44">
      <w:pPr>
        <w:rPr>
          <w:rFonts w:ascii="Arial" w:hAnsi="Arial" w:cs="Arial"/>
          <w:sz w:val="24"/>
        </w:rPr>
      </w:pPr>
      <w:r w:rsidRPr="00E45E44">
        <w:rPr>
          <w:rFonts w:ascii="Arial" w:hAnsi="Arial" w:cs="Arial"/>
          <w:sz w:val="24"/>
        </w:rPr>
        <w:lastRenderedPageBreak/>
        <w:t>Mental health remains a challenge for many young Victorians. For adolescents,</w:t>
      </w:r>
      <w:r>
        <w:rPr>
          <w:rFonts w:ascii="Arial" w:hAnsi="Arial" w:cs="Arial"/>
          <w:sz w:val="24"/>
        </w:rPr>
        <w:t xml:space="preserve"> </w:t>
      </w:r>
      <w:r w:rsidRPr="00E45E44">
        <w:rPr>
          <w:rFonts w:ascii="Arial" w:hAnsi="Arial" w:cs="Arial"/>
          <w:sz w:val="24"/>
        </w:rPr>
        <w:t>poor mental health can result in disruptions to school attendance and</w:t>
      </w:r>
      <w:r>
        <w:rPr>
          <w:rFonts w:ascii="Arial" w:hAnsi="Arial" w:cs="Arial"/>
          <w:sz w:val="24"/>
        </w:rPr>
        <w:t xml:space="preserve"> </w:t>
      </w:r>
      <w:r w:rsidRPr="00E45E44">
        <w:rPr>
          <w:rFonts w:ascii="Arial" w:hAnsi="Arial" w:cs="Arial"/>
          <w:sz w:val="24"/>
        </w:rPr>
        <w:t>achievement, and challenges related to social development more broadly.</w:t>
      </w:r>
    </w:p>
    <w:p w14:paraId="2B1089E5" w14:textId="77777777" w:rsidR="00F839C8" w:rsidRDefault="00F839C8" w:rsidP="00E45E44">
      <w:pPr>
        <w:rPr>
          <w:rFonts w:ascii="Arial" w:hAnsi="Arial" w:cs="Arial"/>
          <w:b/>
          <w:sz w:val="24"/>
        </w:rPr>
      </w:pPr>
      <w:r w:rsidRPr="00F839C8">
        <w:rPr>
          <w:rFonts w:ascii="Arial" w:hAnsi="Arial" w:cs="Arial"/>
          <w:b/>
          <w:sz w:val="24"/>
        </w:rPr>
        <w:t>Psychological distress</w:t>
      </w:r>
    </w:p>
    <w:p w14:paraId="3486CED7" w14:textId="77777777" w:rsidR="00F839C8" w:rsidRDefault="00F839C8" w:rsidP="00F839C8">
      <w:pPr>
        <w:rPr>
          <w:rFonts w:ascii="Arial" w:hAnsi="Arial" w:cs="Arial"/>
          <w:i/>
          <w:sz w:val="24"/>
        </w:rPr>
      </w:pPr>
      <w:r w:rsidRPr="00F839C8">
        <w:rPr>
          <w:rFonts w:ascii="Arial" w:hAnsi="Arial" w:cs="Arial"/>
          <w:i/>
          <w:sz w:val="24"/>
        </w:rPr>
        <w:t>Poor mental health can result in disruptions to school attendance and achievement, and challenges related to social development more broadly.</w:t>
      </w:r>
    </w:p>
    <w:p w14:paraId="32B9CDDF" w14:textId="77777777" w:rsidR="006A3759" w:rsidRPr="006A3759" w:rsidRDefault="006A3759" w:rsidP="006A3759">
      <w:pPr>
        <w:pStyle w:val="ListParagraph"/>
        <w:numPr>
          <w:ilvl w:val="0"/>
          <w:numId w:val="39"/>
        </w:numPr>
        <w:rPr>
          <w:rFonts w:ascii="Arial" w:hAnsi="Arial" w:cs="Arial"/>
          <w:sz w:val="24"/>
        </w:rPr>
      </w:pPr>
      <w:r w:rsidRPr="006A3759">
        <w:rPr>
          <w:rFonts w:ascii="Arial" w:hAnsi="Arial" w:cs="Arial"/>
          <w:sz w:val="24"/>
        </w:rPr>
        <w:t>Around 1 in 4 Year 8 and 11 students report poor mental health – this is a significant increase on 2014 levels.</w:t>
      </w:r>
    </w:p>
    <w:tbl>
      <w:tblPr>
        <w:tblStyle w:val="TableGrid"/>
        <w:tblW w:w="5000" w:type="pct"/>
        <w:tblLook w:val="04A0" w:firstRow="1" w:lastRow="0" w:firstColumn="1" w:lastColumn="0" w:noHBand="0" w:noVBand="1"/>
        <w:tblDescription w:val="This table provides information on the proportion of Victorian students (Years 8 &amp; 11) reporting high levels of psychological distress, by year level, 2014–2018"/>
      </w:tblPr>
      <w:tblGrid>
        <w:gridCol w:w="3005"/>
        <w:gridCol w:w="3007"/>
        <w:gridCol w:w="3004"/>
      </w:tblGrid>
      <w:tr w:rsidR="006A3759" w:rsidRPr="00054426" w14:paraId="7B0844DB" w14:textId="77777777" w:rsidTr="00467486">
        <w:trPr>
          <w:tblHeader/>
        </w:trPr>
        <w:tc>
          <w:tcPr>
            <w:tcW w:w="1666" w:type="pct"/>
          </w:tcPr>
          <w:p w14:paraId="1D1BAD98" w14:textId="77777777" w:rsidR="006A3759" w:rsidRDefault="006A3759" w:rsidP="00467486">
            <w:pPr>
              <w:rPr>
                <w:rFonts w:ascii="Arial" w:hAnsi="Arial" w:cs="Arial"/>
                <w:sz w:val="24"/>
              </w:rPr>
            </w:pPr>
          </w:p>
        </w:tc>
        <w:tc>
          <w:tcPr>
            <w:tcW w:w="1667" w:type="pct"/>
          </w:tcPr>
          <w:p w14:paraId="49DF61EE" w14:textId="77777777" w:rsidR="006A3759" w:rsidRPr="00054426" w:rsidRDefault="006A3759" w:rsidP="00467486">
            <w:pPr>
              <w:rPr>
                <w:rFonts w:ascii="Arial" w:hAnsi="Arial" w:cs="Arial"/>
                <w:sz w:val="24"/>
              </w:rPr>
            </w:pPr>
            <w:r>
              <w:rPr>
                <w:rFonts w:ascii="Arial" w:hAnsi="Arial" w:cs="Arial"/>
                <w:sz w:val="24"/>
              </w:rPr>
              <w:t>Year 8</w:t>
            </w:r>
          </w:p>
        </w:tc>
        <w:tc>
          <w:tcPr>
            <w:tcW w:w="1666" w:type="pct"/>
          </w:tcPr>
          <w:p w14:paraId="19BCCCC4" w14:textId="77777777" w:rsidR="006A3759" w:rsidRDefault="006A3759" w:rsidP="00467486">
            <w:pPr>
              <w:rPr>
                <w:rFonts w:ascii="Arial" w:hAnsi="Arial" w:cs="Arial"/>
                <w:sz w:val="24"/>
              </w:rPr>
            </w:pPr>
            <w:r>
              <w:rPr>
                <w:rFonts w:ascii="Arial" w:hAnsi="Arial" w:cs="Arial"/>
                <w:sz w:val="24"/>
              </w:rPr>
              <w:t>Year 11</w:t>
            </w:r>
          </w:p>
        </w:tc>
      </w:tr>
      <w:tr w:rsidR="006A3759" w14:paraId="601045C1" w14:textId="77777777" w:rsidTr="00467486">
        <w:tc>
          <w:tcPr>
            <w:tcW w:w="1666" w:type="pct"/>
          </w:tcPr>
          <w:p w14:paraId="0746749B" w14:textId="77777777" w:rsidR="006A3759" w:rsidRDefault="006A3759" w:rsidP="00467486">
            <w:pPr>
              <w:rPr>
                <w:rFonts w:ascii="Arial" w:hAnsi="Arial" w:cs="Arial"/>
                <w:sz w:val="24"/>
              </w:rPr>
            </w:pPr>
            <w:r>
              <w:rPr>
                <w:rFonts w:ascii="Arial" w:hAnsi="Arial" w:cs="Arial"/>
                <w:sz w:val="24"/>
              </w:rPr>
              <w:t>2014</w:t>
            </w:r>
          </w:p>
        </w:tc>
        <w:tc>
          <w:tcPr>
            <w:tcW w:w="1667" w:type="pct"/>
          </w:tcPr>
          <w:p w14:paraId="34F41947" w14:textId="77777777" w:rsidR="006A3759" w:rsidRDefault="006A3759" w:rsidP="00467486">
            <w:pPr>
              <w:rPr>
                <w:rFonts w:ascii="Arial" w:hAnsi="Arial" w:cs="Arial"/>
                <w:sz w:val="24"/>
              </w:rPr>
            </w:pPr>
            <w:r>
              <w:rPr>
                <w:rFonts w:ascii="Arial" w:hAnsi="Arial" w:cs="Arial"/>
                <w:sz w:val="24"/>
              </w:rPr>
              <w:t>18%</w:t>
            </w:r>
          </w:p>
        </w:tc>
        <w:tc>
          <w:tcPr>
            <w:tcW w:w="1666" w:type="pct"/>
          </w:tcPr>
          <w:p w14:paraId="137A90C3" w14:textId="77777777" w:rsidR="006A3759" w:rsidRDefault="006A3759" w:rsidP="00467486">
            <w:pPr>
              <w:rPr>
                <w:rFonts w:ascii="Arial" w:hAnsi="Arial" w:cs="Arial"/>
                <w:sz w:val="24"/>
              </w:rPr>
            </w:pPr>
            <w:r>
              <w:rPr>
                <w:rFonts w:ascii="Arial" w:hAnsi="Arial" w:cs="Arial"/>
                <w:sz w:val="24"/>
              </w:rPr>
              <w:t>23%</w:t>
            </w:r>
          </w:p>
        </w:tc>
      </w:tr>
      <w:tr w:rsidR="006A3759" w14:paraId="23A70431" w14:textId="77777777" w:rsidTr="00467486">
        <w:tc>
          <w:tcPr>
            <w:tcW w:w="1666" w:type="pct"/>
          </w:tcPr>
          <w:p w14:paraId="6B50F0CD" w14:textId="77777777" w:rsidR="006A3759" w:rsidRDefault="006A3759" w:rsidP="00467486">
            <w:pPr>
              <w:rPr>
                <w:rFonts w:ascii="Arial" w:hAnsi="Arial" w:cs="Arial"/>
                <w:sz w:val="24"/>
              </w:rPr>
            </w:pPr>
            <w:r>
              <w:rPr>
                <w:rFonts w:ascii="Arial" w:hAnsi="Arial" w:cs="Arial"/>
                <w:sz w:val="24"/>
              </w:rPr>
              <w:t>2016</w:t>
            </w:r>
          </w:p>
        </w:tc>
        <w:tc>
          <w:tcPr>
            <w:tcW w:w="1667" w:type="pct"/>
          </w:tcPr>
          <w:p w14:paraId="1B32D3B3" w14:textId="77777777" w:rsidR="006A3759" w:rsidRDefault="006A3759" w:rsidP="00467486">
            <w:pPr>
              <w:rPr>
                <w:rFonts w:ascii="Arial" w:hAnsi="Arial" w:cs="Arial"/>
                <w:sz w:val="24"/>
              </w:rPr>
            </w:pPr>
            <w:r>
              <w:rPr>
                <w:rFonts w:ascii="Arial" w:hAnsi="Arial" w:cs="Arial"/>
                <w:sz w:val="24"/>
              </w:rPr>
              <w:t>20%</w:t>
            </w:r>
          </w:p>
        </w:tc>
        <w:tc>
          <w:tcPr>
            <w:tcW w:w="1666" w:type="pct"/>
          </w:tcPr>
          <w:p w14:paraId="07F02ACF" w14:textId="77777777" w:rsidR="006A3759" w:rsidRDefault="006A3759" w:rsidP="00467486">
            <w:pPr>
              <w:rPr>
                <w:rFonts w:ascii="Arial" w:hAnsi="Arial" w:cs="Arial"/>
                <w:sz w:val="24"/>
              </w:rPr>
            </w:pPr>
            <w:r>
              <w:rPr>
                <w:rFonts w:ascii="Arial" w:hAnsi="Arial" w:cs="Arial"/>
                <w:sz w:val="24"/>
              </w:rPr>
              <w:t>26%</w:t>
            </w:r>
          </w:p>
        </w:tc>
      </w:tr>
      <w:tr w:rsidR="006A3759" w14:paraId="186D68CD" w14:textId="77777777" w:rsidTr="00467486">
        <w:tc>
          <w:tcPr>
            <w:tcW w:w="1666" w:type="pct"/>
          </w:tcPr>
          <w:p w14:paraId="5958A018" w14:textId="77777777" w:rsidR="006A3759" w:rsidRDefault="006A3759" w:rsidP="00467486">
            <w:pPr>
              <w:rPr>
                <w:rFonts w:ascii="Arial" w:hAnsi="Arial" w:cs="Arial"/>
                <w:sz w:val="24"/>
              </w:rPr>
            </w:pPr>
            <w:r>
              <w:rPr>
                <w:rFonts w:ascii="Arial" w:hAnsi="Arial" w:cs="Arial"/>
                <w:sz w:val="24"/>
              </w:rPr>
              <w:t>2018</w:t>
            </w:r>
          </w:p>
        </w:tc>
        <w:tc>
          <w:tcPr>
            <w:tcW w:w="1667" w:type="pct"/>
          </w:tcPr>
          <w:p w14:paraId="38029FD2" w14:textId="77777777" w:rsidR="006A3759" w:rsidRDefault="006A3759" w:rsidP="00467486">
            <w:pPr>
              <w:rPr>
                <w:rFonts w:ascii="Arial" w:hAnsi="Arial" w:cs="Arial"/>
                <w:sz w:val="24"/>
              </w:rPr>
            </w:pPr>
            <w:r>
              <w:rPr>
                <w:rFonts w:ascii="Arial" w:hAnsi="Arial" w:cs="Arial"/>
                <w:sz w:val="24"/>
              </w:rPr>
              <w:t>24%</w:t>
            </w:r>
          </w:p>
        </w:tc>
        <w:tc>
          <w:tcPr>
            <w:tcW w:w="1666" w:type="pct"/>
          </w:tcPr>
          <w:p w14:paraId="57BA12BB" w14:textId="77777777" w:rsidR="006A3759" w:rsidRDefault="006A3759" w:rsidP="00467486">
            <w:pPr>
              <w:rPr>
                <w:rFonts w:ascii="Arial" w:hAnsi="Arial" w:cs="Arial"/>
                <w:sz w:val="24"/>
              </w:rPr>
            </w:pPr>
            <w:r>
              <w:rPr>
                <w:rFonts w:ascii="Arial" w:hAnsi="Arial" w:cs="Arial"/>
                <w:sz w:val="24"/>
              </w:rPr>
              <w:t>28%</w:t>
            </w:r>
          </w:p>
        </w:tc>
      </w:tr>
    </w:tbl>
    <w:p w14:paraId="385A4449" w14:textId="77777777" w:rsidR="006A3759" w:rsidRDefault="006A3759" w:rsidP="006A3759">
      <w:pPr>
        <w:rPr>
          <w:rFonts w:ascii="Arial" w:hAnsi="Arial" w:cs="Arial"/>
          <w:i/>
          <w:sz w:val="24"/>
        </w:rPr>
      </w:pPr>
      <w:r w:rsidRPr="006A3759">
        <w:rPr>
          <w:rFonts w:ascii="Arial" w:hAnsi="Arial" w:cs="Arial"/>
          <w:i/>
          <w:sz w:val="24"/>
        </w:rPr>
        <w:t>Source: Victorian Student Health and Wellbeing Survey 2014-2018</w:t>
      </w:r>
    </w:p>
    <w:p w14:paraId="79FA66C1" w14:textId="77777777" w:rsidR="006A3759" w:rsidRDefault="00433419" w:rsidP="006A3759">
      <w:pPr>
        <w:rPr>
          <w:rFonts w:ascii="Arial" w:hAnsi="Arial" w:cs="Arial"/>
          <w:b/>
          <w:sz w:val="24"/>
        </w:rPr>
      </w:pPr>
      <w:r w:rsidRPr="00433419">
        <w:rPr>
          <w:rFonts w:ascii="Arial" w:hAnsi="Arial" w:cs="Arial"/>
          <w:b/>
          <w:sz w:val="24"/>
        </w:rPr>
        <w:t>Mental health services</w:t>
      </w:r>
    </w:p>
    <w:p w14:paraId="1644E9D6" w14:textId="77777777" w:rsidR="00433419" w:rsidRPr="00BB372B" w:rsidRDefault="00BB372B" w:rsidP="00BB372B">
      <w:pPr>
        <w:rPr>
          <w:rFonts w:ascii="Arial" w:hAnsi="Arial" w:cs="Arial"/>
          <w:i/>
          <w:sz w:val="24"/>
        </w:rPr>
      </w:pPr>
      <w:r w:rsidRPr="00BB372B">
        <w:rPr>
          <w:rFonts w:ascii="Arial" w:hAnsi="Arial" w:cs="Arial"/>
          <w:i/>
          <w:sz w:val="24"/>
        </w:rPr>
        <w:t>To be effective, mental health services should be appropriate to the needs of the young people receiving them, and correctly targeted to those most in need.</w:t>
      </w:r>
    </w:p>
    <w:p w14:paraId="6CCB639F" w14:textId="77777777" w:rsidR="00BB372B" w:rsidRPr="00BB372B" w:rsidRDefault="00BB372B" w:rsidP="00BB372B">
      <w:pPr>
        <w:pStyle w:val="ListParagraph"/>
        <w:numPr>
          <w:ilvl w:val="0"/>
          <w:numId w:val="39"/>
        </w:numPr>
        <w:rPr>
          <w:rFonts w:ascii="Arial" w:hAnsi="Arial" w:cs="Arial"/>
          <w:sz w:val="24"/>
        </w:rPr>
      </w:pPr>
      <w:r w:rsidRPr="00BB372B">
        <w:rPr>
          <w:rFonts w:ascii="Arial" w:hAnsi="Arial" w:cs="Arial"/>
          <w:sz w:val="24"/>
        </w:rPr>
        <w:t>In Victoria, the proportion of 12–18 year olds utilising MBS-subsidised mental health services nearly doubled between 2012 and 2018.</w:t>
      </w:r>
    </w:p>
    <w:tbl>
      <w:tblPr>
        <w:tblStyle w:val="TableGrid"/>
        <w:tblW w:w="5000" w:type="pct"/>
        <w:tblLook w:val="04A0" w:firstRow="1" w:lastRow="0" w:firstColumn="1" w:lastColumn="0" w:noHBand="0" w:noVBand="1"/>
        <w:tblDescription w:val="This table provides information on the proportion of adolescents (aged 12 to 18) utilising Medicare Benefits Schedule- subsidised mental health services, Victoria, 2011–12 to 2017–2018"/>
      </w:tblPr>
      <w:tblGrid>
        <w:gridCol w:w="1288"/>
        <w:gridCol w:w="1290"/>
        <w:gridCol w:w="1288"/>
        <w:gridCol w:w="1288"/>
        <w:gridCol w:w="1288"/>
        <w:gridCol w:w="1287"/>
        <w:gridCol w:w="1287"/>
      </w:tblGrid>
      <w:tr w:rsidR="00BB372B" w:rsidRPr="00054426" w14:paraId="4E08C045" w14:textId="77777777" w:rsidTr="00467486">
        <w:trPr>
          <w:tblHeader/>
        </w:trPr>
        <w:tc>
          <w:tcPr>
            <w:tcW w:w="714" w:type="pct"/>
          </w:tcPr>
          <w:p w14:paraId="51B9C365" w14:textId="77777777" w:rsidR="00BB372B" w:rsidRDefault="00BB372B" w:rsidP="00467486">
            <w:pPr>
              <w:rPr>
                <w:rFonts w:ascii="Arial" w:hAnsi="Arial" w:cs="Arial"/>
                <w:sz w:val="24"/>
              </w:rPr>
            </w:pPr>
            <w:r>
              <w:rPr>
                <w:rFonts w:ascii="Arial" w:hAnsi="Arial" w:cs="Arial"/>
                <w:sz w:val="24"/>
              </w:rPr>
              <w:t>2011-12</w:t>
            </w:r>
          </w:p>
        </w:tc>
        <w:tc>
          <w:tcPr>
            <w:tcW w:w="715" w:type="pct"/>
          </w:tcPr>
          <w:p w14:paraId="5E89E49D" w14:textId="77777777" w:rsidR="00BB372B" w:rsidRPr="00054426" w:rsidRDefault="00BB372B" w:rsidP="00467486">
            <w:pPr>
              <w:rPr>
                <w:rFonts w:ascii="Arial" w:hAnsi="Arial" w:cs="Arial"/>
                <w:sz w:val="24"/>
              </w:rPr>
            </w:pPr>
            <w:r>
              <w:rPr>
                <w:rFonts w:ascii="Arial" w:hAnsi="Arial" w:cs="Arial"/>
                <w:sz w:val="24"/>
              </w:rPr>
              <w:t>2012-13</w:t>
            </w:r>
          </w:p>
        </w:tc>
        <w:tc>
          <w:tcPr>
            <w:tcW w:w="714" w:type="pct"/>
          </w:tcPr>
          <w:p w14:paraId="6B143C97" w14:textId="77777777" w:rsidR="00BB372B" w:rsidRDefault="00BB372B" w:rsidP="00467486">
            <w:pPr>
              <w:rPr>
                <w:rFonts w:ascii="Arial" w:hAnsi="Arial" w:cs="Arial"/>
                <w:sz w:val="24"/>
              </w:rPr>
            </w:pPr>
            <w:r>
              <w:rPr>
                <w:rFonts w:ascii="Arial" w:hAnsi="Arial" w:cs="Arial"/>
                <w:sz w:val="24"/>
              </w:rPr>
              <w:t>2013-14</w:t>
            </w:r>
          </w:p>
        </w:tc>
        <w:tc>
          <w:tcPr>
            <w:tcW w:w="714" w:type="pct"/>
          </w:tcPr>
          <w:p w14:paraId="026559BB" w14:textId="77777777" w:rsidR="00BB372B" w:rsidRDefault="00BB372B" w:rsidP="00467486">
            <w:pPr>
              <w:rPr>
                <w:rFonts w:ascii="Arial" w:hAnsi="Arial" w:cs="Arial"/>
                <w:sz w:val="24"/>
              </w:rPr>
            </w:pPr>
            <w:r>
              <w:rPr>
                <w:rFonts w:ascii="Arial" w:hAnsi="Arial" w:cs="Arial"/>
                <w:sz w:val="24"/>
              </w:rPr>
              <w:t>2014-15</w:t>
            </w:r>
          </w:p>
        </w:tc>
        <w:tc>
          <w:tcPr>
            <w:tcW w:w="714" w:type="pct"/>
          </w:tcPr>
          <w:p w14:paraId="05300B91" w14:textId="77777777" w:rsidR="00BB372B" w:rsidRDefault="00BB372B" w:rsidP="00467486">
            <w:pPr>
              <w:rPr>
                <w:rFonts w:ascii="Arial" w:hAnsi="Arial" w:cs="Arial"/>
                <w:sz w:val="24"/>
              </w:rPr>
            </w:pPr>
            <w:r>
              <w:rPr>
                <w:rFonts w:ascii="Arial" w:hAnsi="Arial" w:cs="Arial"/>
                <w:sz w:val="24"/>
              </w:rPr>
              <w:t>2015-16</w:t>
            </w:r>
          </w:p>
        </w:tc>
        <w:tc>
          <w:tcPr>
            <w:tcW w:w="714" w:type="pct"/>
          </w:tcPr>
          <w:p w14:paraId="1F3868BC" w14:textId="77777777" w:rsidR="00BB372B" w:rsidRDefault="00BB372B" w:rsidP="00467486">
            <w:pPr>
              <w:rPr>
                <w:rFonts w:ascii="Arial" w:hAnsi="Arial" w:cs="Arial"/>
                <w:sz w:val="24"/>
              </w:rPr>
            </w:pPr>
            <w:r>
              <w:rPr>
                <w:rFonts w:ascii="Arial" w:hAnsi="Arial" w:cs="Arial"/>
                <w:sz w:val="24"/>
              </w:rPr>
              <w:t>2016-17</w:t>
            </w:r>
          </w:p>
        </w:tc>
        <w:tc>
          <w:tcPr>
            <w:tcW w:w="714" w:type="pct"/>
          </w:tcPr>
          <w:p w14:paraId="5216C176" w14:textId="77777777" w:rsidR="00BB372B" w:rsidRDefault="00BB372B" w:rsidP="00467486">
            <w:pPr>
              <w:rPr>
                <w:rFonts w:ascii="Arial" w:hAnsi="Arial" w:cs="Arial"/>
                <w:sz w:val="24"/>
              </w:rPr>
            </w:pPr>
            <w:r>
              <w:rPr>
                <w:rFonts w:ascii="Arial" w:hAnsi="Arial" w:cs="Arial"/>
                <w:sz w:val="24"/>
              </w:rPr>
              <w:t>2017-18</w:t>
            </w:r>
          </w:p>
        </w:tc>
      </w:tr>
      <w:tr w:rsidR="00BB372B" w14:paraId="2B551420" w14:textId="77777777" w:rsidTr="00467486">
        <w:tc>
          <w:tcPr>
            <w:tcW w:w="714" w:type="pct"/>
          </w:tcPr>
          <w:p w14:paraId="40C4E48B" w14:textId="77777777" w:rsidR="00BB372B" w:rsidRDefault="00BB372B" w:rsidP="00467486">
            <w:pPr>
              <w:rPr>
                <w:rFonts w:ascii="Arial" w:hAnsi="Arial" w:cs="Arial"/>
                <w:sz w:val="24"/>
              </w:rPr>
            </w:pPr>
            <w:r>
              <w:rPr>
                <w:rFonts w:ascii="Arial" w:hAnsi="Arial" w:cs="Arial"/>
                <w:sz w:val="24"/>
              </w:rPr>
              <w:t>7%</w:t>
            </w:r>
          </w:p>
        </w:tc>
        <w:tc>
          <w:tcPr>
            <w:tcW w:w="715" w:type="pct"/>
          </w:tcPr>
          <w:p w14:paraId="5C807B4A" w14:textId="77777777" w:rsidR="00BB372B" w:rsidRDefault="00BB372B" w:rsidP="00467486">
            <w:pPr>
              <w:rPr>
                <w:rFonts w:ascii="Arial" w:hAnsi="Arial" w:cs="Arial"/>
                <w:sz w:val="24"/>
              </w:rPr>
            </w:pPr>
            <w:r>
              <w:rPr>
                <w:rFonts w:ascii="Arial" w:hAnsi="Arial" w:cs="Arial"/>
                <w:sz w:val="24"/>
              </w:rPr>
              <w:t>8%</w:t>
            </w:r>
          </w:p>
        </w:tc>
        <w:tc>
          <w:tcPr>
            <w:tcW w:w="714" w:type="pct"/>
          </w:tcPr>
          <w:p w14:paraId="4806BB12" w14:textId="77777777" w:rsidR="00BB372B" w:rsidRDefault="00BB372B" w:rsidP="00467486">
            <w:pPr>
              <w:rPr>
                <w:rFonts w:ascii="Arial" w:hAnsi="Arial" w:cs="Arial"/>
                <w:sz w:val="24"/>
              </w:rPr>
            </w:pPr>
            <w:r>
              <w:rPr>
                <w:rFonts w:ascii="Arial" w:hAnsi="Arial" w:cs="Arial"/>
                <w:sz w:val="24"/>
              </w:rPr>
              <w:t>9%</w:t>
            </w:r>
          </w:p>
        </w:tc>
        <w:tc>
          <w:tcPr>
            <w:tcW w:w="714" w:type="pct"/>
          </w:tcPr>
          <w:p w14:paraId="45437EAD" w14:textId="77777777" w:rsidR="00BB372B" w:rsidRDefault="00BB372B" w:rsidP="00467486">
            <w:pPr>
              <w:rPr>
                <w:rFonts w:ascii="Arial" w:hAnsi="Arial" w:cs="Arial"/>
                <w:sz w:val="24"/>
              </w:rPr>
            </w:pPr>
            <w:r>
              <w:rPr>
                <w:rFonts w:ascii="Arial" w:hAnsi="Arial" w:cs="Arial"/>
                <w:sz w:val="24"/>
              </w:rPr>
              <w:t>9%</w:t>
            </w:r>
          </w:p>
        </w:tc>
        <w:tc>
          <w:tcPr>
            <w:tcW w:w="714" w:type="pct"/>
          </w:tcPr>
          <w:p w14:paraId="495F8438" w14:textId="77777777" w:rsidR="00BB372B" w:rsidRDefault="00BB372B" w:rsidP="00467486">
            <w:pPr>
              <w:rPr>
                <w:rFonts w:ascii="Arial" w:hAnsi="Arial" w:cs="Arial"/>
                <w:sz w:val="24"/>
              </w:rPr>
            </w:pPr>
            <w:r>
              <w:rPr>
                <w:rFonts w:ascii="Arial" w:hAnsi="Arial" w:cs="Arial"/>
                <w:sz w:val="24"/>
              </w:rPr>
              <w:t>10%</w:t>
            </w:r>
          </w:p>
        </w:tc>
        <w:tc>
          <w:tcPr>
            <w:tcW w:w="714" w:type="pct"/>
          </w:tcPr>
          <w:p w14:paraId="70603C38" w14:textId="77777777" w:rsidR="00BB372B" w:rsidRDefault="00BB372B" w:rsidP="00467486">
            <w:pPr>
              <w:rPr>
                <w:rFonts w:ascii="Arial" w:hAnsi="Arial" w:cs="Arial"/>
                <w:sz w:val="24"/>
              </w:rPr>
            </w:pPr>
            <w:r>
              <w:rPr>
                <w:rFonts w:ascii="Arial" w:hAnsi="Arial" w:cs="Arial"/>
                <w:sz w:val="24"/>
              </w:rPr>
              <w:t>11%</w:t>
            </w:r>
          </w:p>
        </w:tc>
        <w:tc>
          <w:tcPr>
            <w:tcW w:w="714" w:type="pct"/>
          </w:tcPr>
          <w:p w14:paraId="36F3356B" w14:textId="77777777" w:rsidR="00BB372B" w:rsidRDefault="00BB372B" w:rsidP="00467486">
            <w:pPr>
              <w:rPr>
                <w:rFonts w:ascii="Arial" w:hAnsi="Arial" w:cs="Arial"/>
                <w:sz w:val="24"/>
              </w:rPr>
            </w:pPr>
            <w:r>
              <w:rPr>
                <w:rFonts w:ascii="Arial" w:hAnsi="Arial" w:cs="Arial"/>
                <w:sz w:val="24"/>
              </w:rPr>
              <w:t>12%</w:t>
            </w:r>
          </w:p>
        </w:tc>
      </w:tr>
    </w:tbl>
    <w:p w14:paraId="79F1E9B0" w14:textId="77777777" w:rsidR="00BB372B" w:rsidRPr="00BB372B" w:rsidRDefault="00BB372B" w:rsidP="00BB372B">
      <w:pPr>
        <w:rPr>
          <w:rFonts w:ascii="Arial" w:hAnsi="Arial" w:cs="Arial"/>
          <w:i/>
          <w:sz w:val="24"/>
        </w:rPr>
      </w:pPr>
      <w:r w:rsidRPr="00BB372B">
        <w:rPr>
          <w:rFonts w:ascii="Arial" w:hAnsi="Arial" w:cs="Arial"/>
          <w:i/>
          <w:sz w:val="24"/>
        </w:rPr>
        <w:t>Source: Report on Government Services, 2018</w:t>
      </w:r>
    </w:p>
    <w:p w14:paraId="509EEB83" w14:textId="77777777" w:rsidR="00BB372B" w:rsidRPr="00BB372B" w:rsidRDefault="00BB372B" w:rsidP="00BB372B">
      <w:pPr>
        <w:pStyle w:val="ListParagraph"/>
        <w:numPr>
          <w:ilvl w:val="0"/>
          <w:numId w:val="39"/>
        </w:numPr>
        <w:rPr>
          <w:rFonts w:ascii="Arial" w:hAnsi="Arial" w:cs="Arial"/>
          <w:sz w:val="24"/>
        </w:rPr>
      </w:pPr>
      <w:r w:rsidRPr="00BB372B">
        <w:rPr>
          <w:rFonts w:ascii="Arial" w:hAnsi="Arial" w:cs="Arial"/>
          <w:sz w:val="24"/>
        </w:rPr>
        <w:t>Only 2 in 5 Year 8 and 11 students (38 per cent) believe they can access mental health services when needed.</w:t>
      </w:r>
    </w:p>
    <w:p w14:paraId="7BBDF40D" w14:textId="77777777" w:rsidR="00BB372B" w:rsidRDefault="00BB372B" w:rsidP="00BB372B">
      <w:pPr>
        <w:rPr>
          <w:rFonts w:ascii="Arial" w:hAnsi="Arial" w:cs="Arial"/>
          <w:i/>
          <w:sz w:val="24"/>
        </w:rPr>
      </w:pPr>
      <w:r w:rsidRPr="00BB372B">
        <w:rPr>
          <w:rFonts w:ascii="Arial" w:hAnsi="Arial" w:cs="Arial"/>
          <w:i/>
          <w:sz w:val="24"/>
        </w:rPr>
        <w:t>Source: Victorian Student Health and Wellbeing Survey 2018</w:t>
      </w:r>
    </w:p>
    <w:p w14:paraId="41489367" w14:textId="77777777" w:rsidR="00E57985" w:rsidRPr="00E57985" w:rsidRDefault="00E57985" w:rsidP="00BB372B">
      <w:pPr>
        <w:rPr>
          <w:rFonts w:ascii="Arial" w:hAnsi="Arial" w:cs="Arial"/>
          <w:b/>
          <w:sz w:val="24"/>
        </w:rPr>
      </w:pPr>
      <w:r w:rsidRPr="00E57985">
        <w:rPr>
          <w:rFonts w:ascii="Arial" w:hAnsi="Arial" w:cs="Arial"/>
          <w:b/>
          <w:sz w:val="24"/>
        </w:rPr>
        <w:t>Self-harm</w:t>
      </w:r>
    </w:p>
    <w:p w14:paraId="184BB9DA" w14:textId="77777777" w:rsidR="00E57985" w:rsidRPr="00E57985" w:rsidRDefault="00E57985" w:rsidP="00E57985">
      <w:pPr>
        <w:rPr>
          <w:rFonts w:ascii="Arial" w:hAnsi="Arial" w:cs="Arial"/>
          <w:i/>
          <w:sz w:val="24"/>
        </w:rPr>
      </w:pPr>
      <w:r w:rsidRPr="00E57985">
        <w:rPr>
          <w:rFonts w:ascii="Arial" w:hAnsi="Arial" w:cs="Arial"/>
          <w:i/>
          <w:sz w:val="24"/>
        </w:rPr>
        <w:t>Deliberate self-harm often relates to seeking relief from</w:t>
      </w:r>
      <w:r>
        <w:rPr>
          <w:rFonts w:ascii="Arial" w:hAnsi="Arial" w:cs="Arial"/>
          <w:i/>
          <w:sz w:val="24"/>
        </w:rPr>
        <w:t xml:space="preserve"> </w:t>
      </w:r>
      <w:r w:rsidRPr="00E57985">
        <w:rPr>
          <w:rFonts w:ascii="Arial" w:hAnsi="Arial" w:cs="Arial"/>
          <w:i/>
          <w:sz w:val="24"/>
        </w:rPr>
        <w:t>emotional distress, powerlessness, and a lack of coping skills.</w:t>
      </w:r>
    </w:p>
    <w:p w14:paraId="2C259519" w14:textId="77777777" w:rsidR="00E57985" w:rsidRPr="00E57985" w:rsidRDefault="00E57985" w:rsidP="00E57985">
      <w:pPr>
        <w:pStyle w:val="ListParagraph"/>
        <w:numPr>
          <w:ilvl w:val="0"/>
          <w:numId w:val="39"/>
        </w:numPr>
        <w:rPr>
          <w:rFonts w:ascii="Arial" w:hAnsi="Arial" w:cs="Arial"/>
          <w:sz w:val="24"/>
        </w:rPr>
      </w:pPr>
      <w:r w:rsidRPr="00E57985">
        <w:rPr>
          <w:rFonts w:ascii="Arial" w:hAnsi="Arial" w:cs="Arial"/>
          <w:sz w:val="24"/>
        </w:rPr>
        <w:t>Rates of emergency department presentations for self-harm among adolescents have nearly doubled in the past 13 years, with the largest increases outside of the Melbourne Metro area.</w:t>
      </w:r>
    </w:p>
    <w:tbl>
      <w:tblPr>
        <w:tblStyle w:val="TableGrid"/>
        <w:tblW w:w="0" w:type="auto"/>
        <w:tblLook w:val="04A0" w:firstRow="1" w:lastRow="0" w:firstColumn="1" w:lastColumn="0" w:noHBand="0" w:noVBand="1"/>
        <w:tblDescription w:val="This table shows the rate (per 100,000 pop) of self-harm presentations to&#10;emergency departments, Melbourne Metro and Rest of Victoria, 15-19 year olds, 2005 and 2017"/>
      </w:tblPr>
      <w:tblGrid>
        <w:gridCol w:w="3018"/>
        <w:gridCol w:w="2999"/>
        <w:gridCol w:w="2999"/>
      </w:tblGrid>
      <w:tr w:rsidR="00C31280" w:rsidRPr="00C31280" w14:paraId="32DC0E35" w14:textId="77777777" w:rsidTr="00C31280">
        <w:trPr>
          <w:tblHeader/>
        </w:trPr>
        <w:tc>
          <w:tcPr>
            <w:tcW w:w="3080" w:type="dxa"/>
          </w:tcPr>
          <w:p w14:paraId="38D59CB3" w14:textId="77777777" w:rsidR="00C31280" w:rsidRPr="00C31280" w:rsidRDefault="00C31280" w:rsidP="006A3759">
            <w:pPr>
              <w:rPr>
                <w:rFonts w:ascii="Arial" w:hAnsi="Arial" w:cs="Arial"/>
                <w:sz w:val="24"/>
              </w:rPr>
            </w:pPr>
          </w:p>
        </w:tc>
        <w:tc>
          <w:tcPr>
            <w:tcW w:w="3081" w:type="dxa"/>
          </w:tcPr>
          <w:p w14:paraId="75E956D7" w14:textId="77777777" w:rsidR="00C31280" w:rsidRPr="00C31280" w:rsidRDefault="00C31280" w:rsidP="006A3759">
            <w:pPr>
              <w:rPr>
                <w:rFonts w:ascii="Arial" w:hAnsi="Arial" w:cs="Arial"/>
                <w:sz w:val="24"/>
              </w:rPr>
            </w:pPr>
            <w:r w:rsidRPr="00C31280">
              <w:rPr>
                <w:rFonts w:ascii="Arial" w:hAnsi="Arial" w:cs="Arial"/>
                <w:sz w:val="24"/>
              </w:rPr>
              <w:t>2005</w:t>
            </w:r>
          </w:p>
        </w:tc>
        <w:tc>
          <w:tcPr>
            <w:tcW w:w="3081" w:type="dxa"/>
          </w:tcPr>
          <w:p w14:paraId="13B571D1" w14:textId="77777777" w:rsidR="00C31280" w:rsidRPr="00C31280" w:rsidRDefault="00C31280" w:rsidP="006A3759">
            <w:pPr>
              <w:rPr>
                <w:rFonts w:ascii="Arial" w:hAnsi="Arial" w:cs="Arial"/>
                <w:sz w:val="24"/>
              </w:rPr>
            </w:pPr>
            <w:r w:rsidRPr="00C31280">
              <w:rPr>
                <w:rFonts w:ascii="Arial" w:hAnsi="Arial" w:cs="Arial"/>
                <w:sz w:val="24"/>
              </w:rPr>
              <w:t>2017</w:t>
            </w:r>
          </w:p>
        </w:tc>
      </w:tr>
      <w:tr w:rsidR="00C31280" w:rsidRPr="00C31280" w14:paraId="6697A91F" w14:textId="77777777" w:rsidTr="00C31280">
        <w:tc>
          <w:tcPr>
            <w:tcW w:w="3080" w:type="dxa"/>
          </w:tcPr>
          <w:p w14:paraId="3F19D255" w14:textId="77777777" w:rsidR="00C31280" w:rsidRPr="00C31280" w:rsidRDefault="00C31280" w:rsidP="006A3759">
            <w:pPr>
              <w:rPr>
                <w:rFonts w:ascii="Arial" w:hAnsi="Arial" w:cs="Arial"/>
                <w:sz w:val="24"/>
              </w:rPr>
            </w:pPr>
            <w:r>
              <w:rPr>
                <w:rFonts w:ascii="Arial" w:hAnsi="Arial" w:cs="Arial"/>
                <w:sz w:val="24"/>
              </w:rPr>
              <w:t>Melbourne Metro</w:t>
            </w:r>
          </w:p>
        </w:tc>
        <w:tc>
          <w:tcPr>
            <w:tcW w:w="3081" w:type="dxa"/>
          </w:tcPr>
          <w:p w14:paraId="5CA6E0DE" w14:textId="77777777" w:rsidR="00C31280" w:rsidRPr="00C31280" w:rsidRDefault="00C31280" w:rsidP="006A3759">
            <w:pPr>
              <w:rPr>
                <w:rFonts w:ascii="Arial" w:hAnsi="Arial" w:cs="Arial"/>
                <w:sz w:val="24"/>
              </w:rPr>
            </w:pPr>
            <w:r>
              <w:rPr>
                <w:rFonts w:ascii="Arial" w:hAnsi="Arial" w:cs="Arial"/>
                <w:sz w:val="24"/>
              </w:rPr>
              <w:t>324</w:t>
            </w:r>
          </w:p>
        </w:tc>
        <w:tc>
          <w:tcPr>
            <w:tcW w:w="3081" w:type="dxa"/>
          </w:tcPr>
          <w:p w14:paraId="090D8443" w14:textId="77777777" w:rsidR="00C31280" w:rsidRPr="00C31280" w:rsidRDefault="00C31280" w:rsidP="006A3759">
            <w:pPr>
              <w:rPr>
                <w:rFonts w:ascii="Arial" w:hAnsi="Arial" w:cs="Arial"/>
                <w:sz w:val="24"/>
              </w:rPr>
            </w:pPr>
            <w:r>
              <w:rPr>
                <w:rFonts w:ascii="Arial" w:hAnsi="Arial" w:cs="Arial"/>
                <w:sz w:val="24"/>
              </w:rPr>
              <w:t>418</w:t>
            </w:r>
          </w:p>
        </w:tc>
      </w:tr>
      <w:tr w:rsidR="00C31280" w:rsidRPr="00C31280" w14:paraId="2475FA86" w14:textId="77777777" w:rsidTr="00C31280">
        <w:tc>
          <w:tcPr>
            <w:tcW w:w="3080" w:type="dxa"/>
          </w:tcPr>
          <w:p w14:paraId="633FFF99" w14:textId="77777777" w:rsidR="00C31280" w:rsidRPr="00C31280" w:rsidRDefault="00C31280" w:rsidP="006A3759">
            <w:pPr>
              <w:rPr>
                <w:rFonts w:ascii="Arial" w:hAnsi="Arial" w:cs="Arial"/>
                <w:sz w:val="24"/>
              </w:rPr>
            </w:pPr>
            <w:r>
              <w:rPr>
                <w:rFonts w:ascii="Arial" w:hAnsi="Arial" w:cs="Arial"/>
                <w:sz w:val="24"/>
              </w:rPr>
              <w:t>Rest of Victoria</w:t>
            </w:r>
          </w:p>
        </w:tc>
        <w:tc>
          <w:tcPr>
            <w:tcW w:w="3081" w:type="dxa"/>
          </w:tcPr>
          <w:p w14:paraId="293D7BA8" w14:textId="77777777" w:rsidR="00C31280" w:rsidRPr="00C31280" w:rsidRDefault="00C31280" w:rsidP="006A3759">
            <w:pPr>
              <w:rPr>
                <w:rFonts w:ascii="Arial" w:hAnsi="Arial" w:cs="Arial"/>
                <w:sz w:val="24"/>
              </w:rPr>
            </w:pPr>
            <w:r>
              <w:rPr>
                <w:rFonts w:ascii="Arial" w:hAnsi="Arial" w:cs="Arial"/>
                <w:sz w:val="24"/>
              </w:rPr>
              <w:t>396</w:t>
            </w:r>
          </w:p>
        </w:tc>
        <w:tc>
          <w:tcPr>
            <w:tcW w:w="3081" w:type="dxa"/>
          </w:tcPr>
          <w:p w14:paraId="36BDA52A" w14:textId="77777777" w:rsidR="00C31280" w:rsidRPr="00C31280" w:rsidRDefault="00C31280" w:rsidP="006A3759">
            <w:pPr>
              <w:rPr>
                <w:rFonts w:ascii="Arial" w:hAnsi="Arial" w:cs="Arial"/>
                <w:sz w:val="24"/>
              </w:rPr>
            </w:pPr>
            <w:r>
              <w:rPr>
                <w:rFonts w:ascii="Arial" w:hAnsi="Arial" w:cs="Arial"/>
                <w:sz w:val="24"/>
              </w:rPr>
              <w:t>819</w:t>
            </w:r>
          </w:p>
        </w:tc>
      </w:tr>
    </w:tbl>
    <w:p w14:paraId="5D18BE58" w14:textId="77777777" w:rsidR="00833F15" w:rsidRPr="006A3759" w:rsidRDefault="00CC2354" w:rsidP="006A3759">
      <w:pPr>
        <w:rPr>
          <w:rFonts w:ascii="Arial" w:eastAsiaTheme="majorEastAsia" w:hAnsi="Arial" w:cs="Arial"/>
          <w:b/>
          <w:bCs/>
          <w:i/>
          <w:sz w:val="28"/>
          <w:szCs w:val="26"/>
        </w:rPr>
      </w:pPr>
      <w:r w:rsidRPr="00CC2354">
        <w:rPr>
          <w:rFonts w:ascii="Arial" w:hAnsi="Arial" w:cs="Arial"/>
          <w:i/>
          <w:sz w:val="24"/>
        </w:rPr>
        <w:t>Source: Victorian Emergency Minimum Data (VEMD), 2005-2017</w:t>
      </w:r>
      <w:r w:rsidR="00833F15" w:rsidRPr="006A3759">
        <w:rPr>
          <w:rFonts w:ascii="Arial" w:hAnsi="Arial" w:cs="Arial"/>
          <w:i/>
          <w:sz w:val="24"/>
        </w:rPr>
        <w:br w:type="page"/>
      </w:r>
    </w:p>
    <w:p w14:paraId="194B23BE" w14:textId="77777777" w:rsidR="00595E88" w:rsidRPr="0053062A" w:rsidRDefault="003A29E5" w:rsidP="0053062A">
      <w:pPr>
        <w:pStyle w:val="Heading2"/>
        <w:rPr>
          <w:rFonts w:ascii="Arial" w:hAnsi="Arial" w:cs="Arial"/>
        </w:rPr>
      </w:pPr>
      <w:bookmarkStart w:id="27" w:name="_Toc33527752"/>
      <w:r w:rsidRPr="0053062A">
        <w:rPr>
          <w:rFonts w:ascii="Arial" w:hAnsi="Arial" w:cs="Arial"/>
          <w:color w:val="auto"/>
        </w:rPr>
        <w:lastRenderedPageBreak/>
        <w:t>INTRODUCTION</w:t>
      </w:r>
      <w:bookmarkEnd w:id="27"/>
    </w:p>
    <w:p w14:paraId="72A6E778" w14:textId="77777777" w:rsidR="00595E88" w:rsidRDefault="0008308F">
      <w:pPr>
        <w:rPr>
          <w:rFonts w:ascii="Arial" w:hAnsi="Arial" w:cs="Arial"/>
          <w:sz w:val="24"/>
        </w:rPr>
      </w:pPr>
      <w:r w:rsidRPr="0008308F">
        <w:rPr>
          <w:rFonts w:ascii="Arial" w:hAnsi="Arial" w:cs="Arial"/>
          <w:sz w:val="24"/>
        </w:rPr>
        <w:t>Neuroscientific research considers adolescence to be a time of intense learning, emotional engagement, and flexibility in adjusting to new priorities as the brain develops (Paus, Keshavan, &amp; Giedd, 2008). In terms of mental health and wellbeing, the changes brought on by adolescence place an array of new challenges and stressors on the individual, while providing new opportunities for their self- determination and development of identity.</w:t>
      </w:r>
    </w:p>
    <w:p w14:paraId="080AD052" w14:textId="77777777" w:rsidR="00150CA5" w:rsidRDefault="0008308F" w:rsidP="0008308F">
      <w:pPr>
        <w:rPr>
          <w:rFonts w:ascii="Arial" w:hAnsi="Arial" w:cs="Arial"/>
          <w:sz w:val="24"/>
        </w:rPr>
      </w:pPr>
      <w:r>
        <w:rPr>
          <w:rFonts w:ascii="Arial" w:hAnsi="Arial" w:cs="Arial"/>
          <w:sz w:val="24"/>
        </w:rPr>
        <w:t xml:space="preserve">For </w:t>
      </w:r>
      <w:r w:rsidRPr="0008308F">
        <w:rPr>
          <w:rFonts w:ascii="Arial" w:hAnsi="Arial" w:cs="Arial"/>
          <w:sz w:val="24"/>
        </w:rPr>
        <w:t>many young people, confronting these challenges is a positive experience, which enables the cultivation of resilience and the transition into adult social roles. Sociological research acknowledges that adolescents are experts in their own social worlds, showing remarkable flexibility and ability to adapt and learn – they operate complex social networks and are often quick adopters of new social trends, from fashion to music and social</w:t>
      </w:r>
      <w:r>
        <w:rPr>
          <w:rFonts w:ascii="Arial" w:hAnsi="Arial" w:cs="Arial"/>
          <w:sz w:val="24"/>
        </w:rPr>
        <w:t xml:space="preserve"> </w:t>
      </w:r>
      <w:r w:rsidRPr="0008308F">
        <w:rPr>
          <w:rFonts w:ascii="Arial" w:hAnsi="Arial" w:cs="Arial"/>
          <w:sz w:val="24"/>
        </w:rPr>
        <w:t>media (Haller, Bang, Bahrami, &amp; Lau, 2018). However, adolescence is also a period when mental health concerns, particularly depression and anxiety, first become apparent for individuals. Accordingly, helping adolescents to adapt to their rapidly changing social and emotional circumstances, and to thrive as resilient and capable young adults, is a major focus in education and social services.</w:t>
      </w:r>
    </w:p>
    <w:p w14:paraId="21E698A8" w14:textId="77777777" w:rsidR="00D65795" w:rsidRDefault="00D65795" w:rsidP="0008308F">
      <w:pPr>
        <w:rPr>
          <w:rFonts w:ascii="Arial" w:hAnsi="Arial" w:cs="Arial"/>
          <w:sz w:val="24"/>
        </w:rPr>
      </w:pPr>
      <w:r w:rsidRPr="00D65795">
        <w:rPr>
          <w:rFonts w:ascii="Arial" w:hAnsi="Arial" w:cs="Arial"/>
          <w:sz w:val="24"/>
        </w:rPr>
        <w:t>As noted previously in this report, while an increasing proportion of Victorian adolescents are accessing mental health services, fewer believe they can access these services when needed as compared to services for other types of health problems.</w:t>
      </w:r>
    </w:p>
    <w:p w14:paraId="267B27B8" w14:textId="77777777" w:rsidR="00D65795" w:rsidRPr="002F3BD4" w:rsidRDefault="00D65795" w:rsidP="002F3BD4">
      <w:pPr>
        <w:pStyle w:val="Heading3"/>
        <w:rPr>
          <w:rFonts w:ascii="Arial" w:hAnsi="Arial" w:cs="Arial"/>
          <w:color w:val="auto"/>
          <w:sz w:val="24"/>
        </w:rPr>
      </w:pPr>
      <w:bookmarkStart w:id="28" w:name="_Toc33527753"/>
      <w:r w:rsidRPr="002F3BD4">
        <w:rPr>
          <w:rFonts w:ascii="Arial" w:hAnsi="Arial" w:cs="Arial"/>
          <w:color w:val="auto"/>
          <w:sz w:val="24"/>
        </w:rPr>
        <w:t>3.1 Most adolescents feel connected to their peers</w:t>
      </w:r>
      <w:bookmarkEnd w:id="28"/>
    </w:p>
    <w:p w14:paraId="5DAF8AA5" w14:textId="77777777" w:rsidR="00D65795" w:rsidRPr="00D65795" w:rsidRDefault="00D65795" w:rsidP="00D65795">
      <w:pPr>
        <w:rPr>
          <w:rFonts w:ascii="Arial" w:hAnsi="Arial" w:cs="Arial"/>
          <w:sz w:val="24"/>
        </w:rPr>
      </w:pPr>
      <w:r w:rsidRPr="00D65795">
        <w:rPr>
          <w:rFonts w:ascii="Arial" w:hAnsi="Arial" w:cs="Arial"/>
          <w:sz w:val="24"/>
        </w:rPr>
        <w:t>The development of social skills and strong positive peer relations are an essential protective factor in adolescence and a significant contributor to young people’s resilience (Hjemdal, Friborg, Stiles, Martinussen, &amp; Rosenvinge, 2006; Friborg, Barlaug, Martinussen, Rosenvinge, &amp; Hjemdal, 2005; Bromley, Johnson, &amp; Cohen, 2006)</w:t>
      </w:r>
      <w:r w:rsidR="00417086">
        <w:rPr>
          <w:rFonts w:ascii="Arial" w:hAnsi="Arial" w:cs="Arial"/>
          <w:sz w:val="24"/>
        </w:rPr>
        <w:t>.</w:t>
      </w:r>
    </w:p>
    <w:p w14:paraId="3266BCC0" w14:textId="77777777" w:rsidR="00D65795" w:rsidRDefault="00D65795" w:rsidP="00D65795">
      <w:pPr>
        <w:rPr>
          <w:rFonts w:ascii="Arial" w:hAnsi="Arial" w:cs="Arial"/>
          <w:sz w:val="24"/>
        </w:rPr>
      </w:pPr>
      <w:r w:rsidRPr="00D65795">
        <w:rPr>
          <w:rFonts w:ascii="Arial" w:hAnsi="Arial" w:cs="Arial"/>
          <w:sz w:val="24"/>
        </w:rPr>
        <w:t>Results from VSHAWS 2018 found that over nine in 10 participating Victorian Year 8 and 11 students (93 per cent) felt connected to t</w:t>
      </w:r>
      <w:r w:rsidR="00417086">
        <w:rPr>
          <w:rFonts w:ascii="Arial" w:hAnsi="Arial" w:cs="Arial"/>
          <w:sz w:val="24"/>
        </w:rPr>
        <w:t xml:space="preserve">heir peers. This proportion has </w:t>
      </w:r>
      <w:r w:rsidRPr="00D65795">
        <w:rPr>
          <w:rFonts w:ascii="Arial" w:hAnsi="Arial" w:cs="Arial"/>
          <w:sz w:val="24"/>
        </w:rPr>
        <w:t>remained consistently high over the last five years. Female adolescents were slightly more likely to report peer connectedness (96 per cent) than their male counterparts (91 per cent).</w:t>
      </w:r>
    </w:p>
    <w:p w14:paraId="2A63DF4D" w14:textId="77777777" w:rsidR="00034972" w:rsidRPr="00323C66" w:rsidRDefault="00034972" w:rsidP="00034972">
      <w:pPr>
        <w:pBdr>
          <w:top w:val="single" w:sz="4" w:space="1" w:color="auto"/>
          <w:left w:val="single" w:sz="4" w:space="4" w:color="auto"/>
          <w:bottom w:val="single" w:sz="4" w:space="1" w:color="auto"/>
          <w:right w:val="single" w:sz="4" w:space="4" w:color="auto"/>
        </w:pBdr>
        <w:rPr>
          <w:rFonts w:ascii="Arial" w:hAnsi="Arial" w:cs="Arial"/>
          <w:b/>
          <w:sz w:val="24"/>
        </w:rPr>
      </w:pPr>
      <w:r w:rsidRPr="00323C66">
        <w:rPr>
          <w:rFonts w:ascii="Arial" w:hAnsi="Arial" w:cs="Arial"/>
          <w:b/>
          <w:sz w:val="24"/>
        </w:rPr>
        <w:t>According to analysis of LSAC cohort data, nationally at ages 12 and 13:</w:t>
      </w:r>
    </w:p>
    <w:p w14:paraId="547A66BC" w14:textId="77777777" w:rsidR="00034972" w:rsidRPr="00723FE7" w:rsidRDefault="00034972" w:rsidP="00034972">
      <w:pPr>
        <w:pBdr>
          <w:top w:val="single" w:sz="4" w:space="1" w:color="auto"/>
          <w:left w:val="single" w:sz="4" w:space="4" w:color="auto"/>
          <w:bottom w:val="single" w:sz="4" w:space="1" w:color="auto"/>
          <w:right w:val="single" w:sz="4" w:space="4" w:color="auto"/>
        </w:pBdr>
        <w:rPr>
          <w:rFonts w:ascii="Arial" w:hAnsi="Arial" w:cs="Arial"/>
          <w:sz w:val="24"/>
        </w:rPr>
      </w:pPr>
      <w:r w:rsidRPr="00723FE7">
        <w:rPr>
          <w:rFonts w:ascii="Arial" w:hAnsi="Arial" w:cs="Arial"/>
          <w:sz w:val="24"/>
        </w:rPr>
        <w:t>• 91 per cent of girls and 78 per cent of boys reported high levels of</w:t>
      </w:r>
      <w:r w:rsidRPr="00723FE7">
        <w:rPr>
          <w:rFonts w:ascii="Arial" w:hAnsi="Arial" w:cs="Arial"/>
          <w:spacing w:val="-35"/>
          <w:sz w:val="24"/>
        </w:rPr>
        <w:t xml:space="preserve"> </w:t>
      </w:r>
      <w:r w:rsidRPr="00723FE7">
        <w:rPr>
          <w:rFonts w:ascii="Arial" w:hAnsi="Arial" w:cs="Arial"/>
          <w:sz w:val="24"/>
        </w:rPr>
        <w:t>communication with their</w:t>
      </w:r>
      <w:r w:rsidRPr="00723FE7">
        <w:rPr>
          <w:rFonts w:ascii="Arial" w:hAnsi="Arial" w:cs="Arial"/>
          <w:spacing w:val="-1"/>
          <w:sz w:val="24"/>
        </w:rPr>
        <w:t xml:space="preserve"> </w:t>
      </w:r>
      <w:r w:rsidRPr="00723FE7">
        <w:rPr>
          <w:rFonts w:ascii="Arial" w:hAnsi="Arial" w:cs="Arial"/>
          <w:sz w:val="24"/>
        </w:rPr>
        <w:t>peers</w:t>
      </w:r>
    </w:p>
    <w:p w14:paraId="76C42B5C" w14:textId="77777777" w:rsidR="00034972" w:rsidRPr="00723FE7" w:rsidRDefault="00034972" w:rsidP="00034972">
      <w:pPr>
        <w:pBdr>
          <w:top w:val="single" w:sz="4" w:space="1" w:color="auto"/>
          <w:left w:val="single" w:sz="4" w:space="4" w:color="auto"/>
          <w:bottom w:val="single" w:sz="4" w:space="1" w:color="auto"/>
          <w:right w:val="single" w:sz="4" w:space="4" w:color="auto"/>
        </w:pBdr>
        <w:rPr>
          <w:rFonts w:ascii="Arial" w:hAnsi="Arial" w:cs="Arial"/>
          <w:sz w:val="24"/>
        </w:rPr>
      </w:pPr>
      <w:r w:rsidRPr="00723FE7">
        <w:rPr>
          <w:rFonts w:ascii="Arial" w:hAnsi="Arial" w:cs="Arial"/>
          <w:sz w:val="24"/>
        </w:rPr>
        <w:t>• 88 per cent of girls and 85 per cent of boys reported high levels of trust with</w:t>
      </w:r>
      <w:r w:rsidRPr="00723FE7">
        <w:rPr>
          <w:rFonts w:ascii="Arial" w:hAnsi="Arial" w:cs="Arial"/>
          <w:spacing w:val="-14"/>
          <w:sz w:val="24"/>
        </w:rPr>
        <w:t xml:space="preserve"> </w:t>
      </w:r>
      <w:r w:rsidRPr="00723FE7">
        <w:rPr>
          <w:rFonts w:ascii="Arial" w:hAnsi="Arial" w:cs="Arial"/>
          <w:sz w:val="24"/>
        </w:rPr>
        <w:t>peers.</w:t>
      </w:r>
    </w:p>
    <w:p w14:paraId="5EC06C4B" w14:textId="77777777" w:rsidR="00034972" w:rsidRPr="00723FE7" w:rsidRDefault="00034972" w:rsidP="00034972">
      <w:pPr>
        <w:pBdr>
          <w:top w:val="single" w:sz="4" w:space="1" w:color="auto"/>
          <w:left w:val="single" w:sz="4" w:space="4" w:color="auto"/>
          <w:bottom w:val="single" w:sz="4" w:space="1" w:color="auto"/>
          <w:right w:val="single" w:sz="4" w:space="4" w:color="auto"/>
        </w:pBdr>
        <w:rPr>
          <w:rFonts w:ascii="Arial" w:hAnsi="Arial" w:cs="Arial"/>
          <w:sz w:val="24"/>
        </w:rPr>
      </w:pPr>
      <w:r w:rsidRPr="00723FE7">
        <w:rPr>
          <w:rFonts w:ascii="Arial" w:hAnsi="Arial" w:cs="Arial"/>
          <w:sz w:val="24"/>
        </w:rPr>
        <w:lastRenderedPageBreak/>
        <w:t>Having positive peer attachments, friends with a positive orientation towards academic achievement or high levels of pro-social behaviour were each associated with a reduced likelihood of being a victim of bullying. Conversely, having friends who engaged in high levels of risky behaviours was associated with a greater likelihood of having been the victim of bullying (Warren &amp; Daraganova, 2018).</w:t>
      </w:r>
    </w:p>
    <w:p w14:paraId="17076D76" w14:textId="77777777" w:rsidR="00034972" w:rsidRPr="002F3BD4" w:rsidRDefault="00034972" w:rsidP="002F3BD4">
      <w:pPr>
        <w:pStyle w:val="Heading3"/>
        <w:rPr>
          <w:rFonts w:ascii="Arial" w:hAnsi="Arial" w:cs="Arial"/>
          <w:color w:val="auto"/>
          <w:sz w:val="24"/>
        </w:rPr>
      </w:pPr>
      <w:bookmarkStart w:id="29" w:name="_Toc33527754"/>
      <w:r w:rsidRPr="002F3BD4">
        <w:rPr>
          <w:rFonts w:ascii="Arial" w:hAnsi="Arial" w:cs="Arial"/>
          <w:color w:val="auto"/>
          <w:sz w:val="24"/>
        </w:rPr>
        <w:t>3.2</w:t>
      </w:r>
      <w:r w:rsidRPr="002F3BD4">
        <w:rPr>
          <w:rFonts w:ascii="Arial" w:hAnsi="Arial" w:cs="Arial"/>
          <w:color w:val="auto"/>
          <w:sz w:val="24"/>
        </w:rPr>
        <w:tab/>
        <w:t>Life satisfaction among adolescents is declining</w:t>
      </w:r>
      <w:bookmarkEnd w:id="29"/>
    </w:p>
    <w:p w14:paraId="12FF1725" w14:textId="77777777" w:rsidR="00034972" w:rsidRPr="00034972" w:rsidRDefault="00034972" w:rsidP="00034972">
      <w:pPr>
        <w:rPr>
          <w:rFonts w:ascii="Arial" w:hAnsi="Arial" w:cs="Arial"/>
          <w:sz w:val="24"/>
        </w:rPr>
      </w:pPr>
      <w:r w:rsidRPr="00034972">
        <w:rPr>
          <w:rFonts w:ascii="Arial" w:hAnsi="Arial" w:cs="Arial"/>
          <w:sz w:val="24"/>
        </w:rPr>
        <w:t>Life satisfaction is an important index for adolescents’ overall perceptions of their wellbeing. It can be indicative of their positive relationships with peers, family</w:t>
      </w:r>
      <w:r w:rsidR="00F049FB">
        <w:rPr>
          <w:rFonts w:ascii="Arial" w:hAnsi="Arial" w:cs="Arial"/>
          <w:sz w:val="24"/>
        </w:rPr>
        <w:t xml:space="preserve"> </w:t>
      </w:r>
      <w:r w:rsidRPr="00034972">
        <w:rPr>
          <w:rFonts w:ascii="Arial" w:hAnsi="Arial" w:cs="Arial"/>
          <w:sz w:val="24"/>
        </w:rPr>
        <w:t>and environment, and their capacity to take on new challenges. A young person’s perceived quality of life may also be associated with their willingness to engage in activities within the school and broader community.</w:t>
      </w:r>
    </w:p>
    <w:p w14:paraId="5F27A0A9" w14:textId="77777777" w:rsidR="00034972" w:rsidRPr="00034972" w:rsidRDefault="00034972" w:rsidP="00034972">
      <w:pPr>
        <w:rPr>
          <w:rFonts w:ascii="Arial" w:hAnsi="Arial" w:cs="Arial"/>
          <w:sz w:val="24"/>
        </w:rPr>
      </w:pPr>
      <w:r w:rsidRPr="00034972">
        <w:rPr>
          <w:rFonts w:ascii="Arial" w:hAnsi="Arial" w:cs="Arial"/>
          <w:sz w:val="24"/>
        </w:rPr>
        <w:t>In 2018:</w:t>
      </w:r>
    </w:p>
    <w:p w14:paraId="0E4B5268" w14:textId="77777777" w:rsidR="00034972" w:rsidRPr="00034972" w:rsidRDefault="00034972" w:rsidP="00034972">
      <w:pPr>
        <w:pStyle w:val="ListParagraph"/>
        <w:numPr>
          <w:ilvl w:val="0"/>
          <w:numId w:val="14"/>
        </w:numPr>
        <w:rPr>
          <w:rFonts w:ascii="Arial" w:hAnsi="Arial" w:cs="Arial"/>
          <w:sz w:val="24"/>
        </w:rPr>
      </w:pPr>
      <w:r w:rsidRPr="00034972">
        <w:rPr>
          <w:rFonts w:ascii="Arial" w:hAnsi="Arial" w:cs="Arial"/>
          <w:sz w:val="24"/>
        </w:rPr>
        <w:t>a declining proportion of Victorian students in Years 8 and 11 reported that they were satisfied with their quality of life (2014: 76 per cent; 2018: 68 per cent)</w:t>
      </w:r>
    </w:p>
    <w:p w14:paraId="7AA51F8B" w14:textId="77777777" w:rsidR="00034972" w:rsidRPr="00034972" w:rsidRDefault="00034972" w:rsidP="00034972">
      <w:pPr>
        <w:pStyle w:val="ListParagraph"/>
        <w:numPr>
          <w:ilvl w:val="0"/>
          <w:numId w:val="14"/>
        </w:numPr>
        <w:rPr>
          <w:rFonts w:ascii="Arial" w:hAnsi="Arial" w:cs="Arial"/>
          <w:sz w:val="24"/>
        </w:rPr>
      </w:pPr>
      <w:r w:rsidRPr="00034972">
        <w:rPr>
          <w:rFonts w:ascii="Arial" w:hAnsi="Arial" w:cs="Arial"/>
          <w:sz w:val="24"/>
        </w:rPr>
        <w:t>adolescents in regional areas were more likely to report life satisfaction (71 per cent) than their peers in metropolitan areas (67 per cent)</w:t>
      </w:r>
    </w:p>
    <w:p w14:paraId="2BB80771" w14:textId="77777777" w:rsidR="00034972" w:rsidRPr="00034972" w:rsidRDefault="00034972" w:rsidP="00034972">
      <w:pPr>
        <w:pStyle w:val="ListParagraph"/>
        <w:numPr>
          <w:ilvl w:val="0"/>
          <w:numId w:val="14"/>
        </w:numPr>
        <w:rPr>
          <w:rFonts w:ascii="Arial" w:hAnsi="Arial" w:cs="Arial"/>
          <w:sz w:val="24"/>
        </w:rPr>
      </w:pPr>
      <w:r w:rsidRPr="00034972">
        <w:rPr>
          <w:rFonts w:ascii="Arial" w:hAnsi="Arial" w:cs="Arial"/>
          <w:sz w:val="24"/>
        </w:rPr>
        <w:t>male students were more likely to report life satisfaction (73 per cent) than their female peers (65 per cent).</w:t>
      </w:r>
    </w:p>
    <w:p w14:paraId="4E023BEA" w14:textId="77777777" w:rsidR="00EB44F6" w:rsidRDefault="00EB44F6" w:rsidP="00034972">
      <w:pPr>
        <w:rPr>
          <w:rFonts w:ascii="Arial" w:hAnsi="Arial" w:cs="Arial"/>
          <w:sz w:val="24"/>
        </w:rPr>
      </w:pPr>
    </w:p>
    <w:p w14:paraId="46C14CE2" w14:textId="77777777" w:rsidR="00034972" w:rsidRDefault="00EB44F6" w:rsidP="00034972">
      <w:pPr>
        <w:rPr>
          <w:rFonts w:ascii="Arial" w:hAnsi="Arial" w:cs="Arial"/>
          <w:b/>
          <w:sz w:val="24"/>
        </w:rPr>
      </w:pPr>
      <w:r w:rsidRPr="009C4F71">
        <w:rPr>
          <w:rFonts w:ascii="Arial" w:hAnsi="Arial" w:cs="Arial"/>
          <w:b/>
          <w:sz w:val="24"/>
        </w:rPr>
        <w:t>Figure 17. Proportion of Victorian students (Years 8 &amp; 11) who are satisfied with the quality of their life, 2014–2018</w:t>
      </w:r>
    </w:p>
    <w:tbl>
      <w:tblPr>
        <w:tblStyle w:val="TableGrid"/>
        <w:tblW w:w="5000" w:type="pct"/>
        <w:tblLook w:val="04A0" w:firstRow="1" w:lastRow="0" w:firstColumn="1" w:lastColumn="0" w:noHBand="0" w:noVBand="1"/>
        <w:tblDescription w:val="This table provides information on the proportion of Victorian students (Years 8 &amp; 11) who are satisfied with the quality of their life, 2014–2018"/>
      </w:tblPr>
      <w:tblGrid>
        <w:gridCol w:w="2476"/>
        <w:gridCol w:w="3051"/>
        <w:gridCol w:w="3489"/>
      </w:tblGrid>
      <w:tr w:rsidR="009C4F71" w:rsidRPr="00054426" w14:paraId="3443787D" w14:textId="77777777" w:rsidTr="0012306D">
        <w:trPr>
          <w:tblHeader/>
        </w:trPr>
        <w:tc>
          <w:tcPr>
            <w:tcW w:w="1373" w:type="pct"/>
          </w:tcPr>
          <w:p w14:paraId="00AF61E2" w14:textId="77777777" w:rsidR="009C4F71" w:rsidRPr="00054426" w:rsidRDefault="009C4F71" w:rsidP="0012306D">
            <w:pPr>
              <w:rPr>
                <w:rFonts w:ascii="Arial" w:hAnsi="Arial" w:cs="Arial"/>
                <w:sz w:val="24"/>
              </w:rPr>
            </w:pPr>
          </w:p>
        </w:tc>
        <w:tc>
          <w:tcPr>
            <w:tcW w:w="1692" w:type="pct"/>
          </w:tcPr>
          <w:p w14:paraId="634ABE2B" w14:textId="77777777" w:rsidR="009C4F71" w:rsidRPr="00054426" w:rsidRDefault="009C4F71" w:rsidP="0012306D">
            <w:pPr>
              <w:rPr>
                <w:rFonts w:ascii="Arial" w:hAnsi="Arial" w:cs="Arial"/>
                <w:sz w:val="24"/>
              </w:rPr>
            </w:pPr>
            <w:r>
              <w:rPr>
                <w:rFonts w:ascii="Arial" w:hAnsi="Arial" w:cs="Arial"/>
                <w:sz w:val="24"/>
              </w:rPr>
              <w:t>Year 8</w:t>
            </w:r>
          </w:p>
        </w:tc>
        <w:tc>
          <w:tcPr>
            <w:tcW w:w="1935" w:type="pct"/>
          </w:tcPr>
          <w:p w14:paraId="456E51C3" w14:textId="77777777" w:rsidR="009C4F71" w:rsidRPr="00054426" w:rsidRDefault="009C4F71" w:rsidP="0012306D">
            <w:pPr>
              <w:rPr>
                <w:rFonts w:ascii="Arial" w:hAnsi="Arial" w:cs="Arial"/>
                <w:sz w:val="24"/>
              </w:rPr>
            </w:pPr>
            <w:r>
              <w:rPr>
                <w:rFonts w:ascii="Arial" w:hAnsi="Arial" w:cs="Arial"/>
                <w:sz w:val="24"/>
              </w:rPr>
              <w:t>Year 11</w:t>
            </w:r>
          </w:p>
        </w:tc>
      </w:tr>
      <w:tr w:rsidR="009C4F71" w14:paraId="143DCA56" w14:textId="77777777" w:rsidTr="0012306D">
        <w:tc>
          <w:tcPr>
            <w:tcW w:w="1373" w:type="pct"/>
          </w:tcPr>
          <w:p w14:paraId="1B72144D" w14:textId="77777777" w:rsidR="009C4F71" w:rsidRPr="00054426" w:rsidRDefault="009C4F71" w:rsidP="0012306D">
            <w:pPr>
              <w:rPr>
                <w:rFonts w:ascii="Arial" w:hAnsi="Arial" w:cs="Arial"/>
                <w:sz w:val="24"/>
              </w:rPr>
            </w:pPr>
            <w:r>
              <w:rPr>
                <w:rFonts w:ascii="Arial" w:hAnsi="Arial" w:cs="Arial"/>
                <w:sz w:val="24"/>
              </w:rPr>
              <w:t>2014</w:t>
            </w:r>
          </w:p>
        </w:tc>
        <w:tc>
          <w:tcPr>
            <w:tcW w:w="1692" w:type="pct"/>
          </w:tcPr>
          <w:p w14:paraId="02818CFE" w14:textId="77777777" w:rsidR="009C4F71" w:rsidRDefault="009C4F71" w:rsidP="0012306D">
            <w:pPr>
              <w:rPr>
                <w:rFonts w:ascii="Arial" w:hAnsi="Arial" w:cs="Arial"/>
                <w:sz w:val="24"/>
              </w:rPr>
            </w:pPr>
            <w:r>
              <w:rPr>
                <w:rFonts w:ascii="Arial" w:hAnsi="Arial" w:cs="Arial"/>
                <w:sz w:val="24"/>
              </w:rPr>
              <w:t>77%</w:t>
            </w:r>
          </w:p>
        </w:tc>
        <w:tc>
          <w:tcPr>
            <w:tcW w:w="1935" w:type="pct"/>
          </w:tcPr>
          <w:p w14:paraId="3F0A9689" w14:textId="77777777" w:rsidR="009C4F71" w:rsidRDefault="009C4F71" w:rsidP="0012306D">
            <w:pPr>
              <w:rPr>
                <w:rFonts w:ascii="Arial" w:hAnsi="Arial" w:cs="Arial"/>
                <w:sz w:val="24"/>
              </w:rPr>
            </w:pPr>
            <w:r>
              <w:rPr>
                <w:rFonts w:ascii="Arial" w:hAnsi="Arial" w:cs="Arial"/>
                <w:sz w:val="24"/>
              </w:rPr>
              <w:t>73%</w:t>
            </w:r>
          </w:p>
        </w:tc>
      </w:tr>
      <w:tr w:rsidR="009C4F71" w14:paraId="0764E297" w14:textId="77777777" w:rsidTr="0012306D">
        <w:tc>
          <w:tcPr>
            <w:tcW w:w="1373" w:type="pct"/>
          </w:tcPr>
          <w:p w14:paraId="2187F114" w14:textId="77777777" w:rsidR="009C4F71" w:rsidRDefault="009C4F71" w:rsidP="0012306D">
            <w:pPr>
              <w:rPr>
                <w:rFonts w:ascii="Arial" w:hAnsi="Arial" w:cs="Arial"/>
                <w:sz w:val="24"/>
              </w:rPr>
            </w:pPr>
            <w:r>
              <w:rPr>
                <w:rFonts w:ascii="Arial" w:hAnsi="Arial" w:cs="Arial"/>
                <w:sz w:val="24"/>
              </w:rPr>
              <w:t>2016</w:t>
            </w:r>
          </w:p>
        </w:tc>
        <w:tc>
          <w:tcPr>
            <w:tcW w:w="1692" w:type="pct"/>
          </w:tcPr>
          <w:p w14:paraId="773849B4" w14:textId="77777777" w:rsidR="009C4F71" w:rsidRDefault="009C4F71" w:rsidP="0012306D">
            <w:pPr>
              <w:rPr>
                <w:rFonts w:ascii="Arial" w:hAnsi="Arial" w:cs="Arial"/>
                <w:sz w:val="24"/>
              </w:rPr>
            </w:pPr>
            <w:r>
              <w:rPr>
                <w:rFonts w:ascii="Arial" w:hAnsi="Arial" w:cs="Arial"/>
                <w:sz w:val="24"/>
              </w:rPr>
              <w:t>73%</w:t>
            </w:r>
          </w:p>
        </w:tc>
        <w:tc>
          <w:tcPr>
            <w:tcW w:w="1935" w:type="pct"/>
          </w:tcPr>
          <w:p w14:paraId="45707C7F" w14:textId="77777777" w:rsidR="009C4F71" w:rsidRDefault="009C4F71" w:rsidP="0012306D">
            <w:pPr>
              <w:rPr>
                <w:rFonts w:ascii="Arial" w:hAnsi="Arial" w:cs="Arial"/>
                <w:sz w:val="24"/>
              </w:rPr>
            </w:pPr>
            <w:r>
              <w:rPr>
                <w:rFonts w:ascii="Arial" w:hAnsi="Arial" w:cs="Arial"/>
                <w:sz w:val="24"/>
              </w:rPr>
              <w:t>71%</w:t>
            </w:r>
          </w:p>
        </w:tc>
      </w:tr>
      <w:tr w:rsidR="009C4F71" w14:paraId="023A4DB7" w14:textId="77777777" w:rsidTr="0012306D">
        <w:tc>
          <w:tcPr>
            <w:tcW w:w="1373" w:type="pct"/>
          </w:tcPr>
          <w:p w14:paraId="44557526" w14:textId="77777777" w:rsidR="009C4F71" w:rsidRDefault="009C4F71" w:rsidP="0012306D">
            <w:pPr>
              <w:rPr>
                <w:rFonts w:ascii="Arial" w:hAnsi="Arial" w:cs="Arial"/>
                <w:sz w:val="24"/>
              </w:rPr>
            </w:pPr>
            <w:r>
              <w:rPr>
                <w:rFonts w:ascii="Arial" w:hAnsi="Arial" w:cs="Arial"/>
                <w:sz w:val="24"/>
              </w:rPr>
              <w:t>2018</w:t>
            </w:r>
          </w:p>
        </w:tc>
        <w:tc>
          <w:tcPr>
            <w:tcW w:w="1692" w:type="pct"/>
          </w:tcPr>
          <w:p w14:paraId="1D7C18C9" w14:textId="77777777" w:rsidR="009C4F71" w:rsidRDefault="009C4F71" w:rsidP="0012306D">
            <w:pPr>
              <w:rPr>
                <w:rFonts w:ascii="Arial" w:hAnsi="Arial" w:cs="Arial"/>
                <w:sz w:val="24"/>
              </w:rPr>
            </w:pPr>
            <w:r>
              <w:rPr>
                <w:rFonts w:ascii="Arial" w:hAnsi="Arial" w:cs="Arial"/>
                <w:sz w:val="24"/>
              </w:rPr>
              <w:t>69%</w:t>
            </w:r>
          </w:p>
        </w:tc>
        <w:tc>
          <w:tcPr>
            <w:tcW w:w="1935" w:type="pct"/>
          </w:tcPr>
          <w:p w14:paraId="3CCF92AA" w14:textId="77777777" w:rsidR="009C4F71" w:rsidRDefault="009C4F71" w:rsidP="0012306D">
            <w:pPr>
              <w:rPr>
                <w:rFonts w:ascii="Arial" w:hAnsi="Arial" w:cs="Arial"/>
                <w:sz w:val="24"/>
              </w:rPr>
            </w:pPr>
            <w:r>
              <w:rPr>
                <w:rFonts w:ascii="Arial" w:hAnsi="Arial" w:cs="Arial"/>
                <w:sz w:val="24"/>
              </w:rPr>
              <w:t>67%</w:t>
            </w:r>
          </w:p>
        </w:tc>
      </w:tr>
    </w:tbl>
    <w:p w14:paraId="11C423AD" w14:textId="77777777" w:rsidR="00EB44F6" w:rsidRPr="00EB44F6" w:rsidRDefault="00EB44F6" w:rsidP="00EB44F6">
      <w:pPr>
        <w:rPr>
          <w:rFonts w:ascii="Arial" w:hAnsi="Arial" w:cs="Arial"/>
          <w:i/>
          <w:sz w:val="24"/>
        </w:rPr>
      </w:pPr>
      <w:r w:rsidRPr="00EB44F6">
        <w:rPr>
          <w:rFonts w:ascii="Arial" w:hAnsi="Arial" w:cs="Arial"/>
          <w:i/>
          <w:sz w:val="24"/>
        </w:rPr>
        <w:t>Source: VSHAWS, 2014, 2016, and 2018, DET</w:t>
      </w:r>
    </w:p>
    <w:p w14:paraId="2C994E30" w14:textId="77777777" w:rsidR="00EB44F6" w:rsidRPr="00EB44F6" w:rsidRDefault="00EB44F6" w:rsidP="00EB44F6">
      <w:pPr>
        <w:rPr>
          <w:rFonts w:ascii="Arial" w:hAnsi="Arial" w:cs="Arial"/>
          <w:sz w:val="24"/>
        </w:rPr>
      </w:pPr>
      <w:r w:rsidRPr="00EB44F6">
        <w:rPr>
          <w:rFonts w:ascii="Arial" w:hAnsi="Arial" w:cs="Arial"/>
          <w:sz w:val="24"/>
        </w:rPr>
        <w:t>International analysis has found that self-reported life satisfaction is associated with income and socioeconomic status, physical and mental health, and the feeling of being free and able to exercise control over one’s own life (Ortiz-Ospina &amp; Roser, 2019). Adolescents with disabilities and conditions such as Autism Spectrum Disorders have been found to have lower life satisfaction than their peers (Franke, Hills, Huebner, &amp; Flory, 2019).</w:t>
      </w:r>
    </w:p>
    <w:p w14:paraId="1059439C" w14:textId="77777777" w:rsidR="00EB44F6" w:rsidRDefault="00EB44F6" w:rsidP="00EB44F6">
      <w:pPr>
        <w:rPr>
          <w:rFonts w:ascii="Arial" w:hAnsi="Arial" w:cs="Arial"/>
          <w:sz w:val="24"/>
        </w:rPr>
      </w:pPr>
      <w:r w:rsidRPr="00EB44F6">
        <w:rPr>
          <w:rFonts w:ascii="Arial" w:hAnsi="Arial" w:cs="Arial"/>
          <w:sz w:val="24"/>
        </w:rPr>
        <w:t xml:space="preserve">The downward trend in life satisfaction reported in VSHAWS appears to correlate with an overall downward trend in factors related to social and emotional wellbeing, as discussed in later sections of this chapter. This trend aligns with similar findings from surveys of young people in other countries, such as the United Kingdom Youth Index survey (Prince's Trust, 2019) and the United States Monitoring the Future survey (Twenge, Martin, &amp; Campbell, 2018), which show long-term declines in young </w:t>
      </w:r>
      <w:r w:rsidRPr="00EB44F6">
        <w:rPr>
          <w:rFonts w:ascii="Arial" w:hAnsi="Arial" w:cs="Arial"/>
          <w:sz w:val="24"/>
        </w:rPr>
        <w:lastRenderedPageBreak/>
        <w:t>people’s happiness, related to increasing pressures to succeed in life and the effects of increasing use of social media and screen-based entertainment</w:t>
      </w:r>
      <w:r w:rsidR="00DD1963">
        <w:rPr>
          <w:rFonts w:ascii="Arial" w:hAnsi="Arial" w:cs="Arial"/>
          <w:sz w:val="24"/>
        </w:rPr>
        <w:t>.</w:t>
      </w:r>
    </w:p>
    <w:p w14:paraId="4B8365AD" w14:textId="77777777" w:rsidR="00DD1963" w:rsidRPr="00DD1963" w:rsidRDefault="00DD1963" w:rsidP="00DD1963">
      <w:pPr>
        <w:pStyle w:val="Heading3"/>
        <w:rPr>
          <w:rFonts w:ascii="Arial" w:hAnsi="Arial" w:cs="Arial"/>
          <w:color w:val="auto"/>
          <w:sz w:val="24"/>
        </w:rPr>
      </w:pPr>
      <w:bookmarkStart w:id="30" w:name="_Toc33527755"/>
      <w:r w:rsidRPr="00DD1963">
        <w:rPr>
          <w:rFonts w:ascii="Arial" w:hAnsi="Arial" w:cs="Arial"/>
          <w:color w:val="auto"/>
          <w:sz w:val="24"/>
        </w:rPr>
        <w:t>3.3</w:t>
      </w:r>
      <w:r w:rsidRPr="00DD1963">
        <w:rPr>
          <w:rFonts w:ascii="Arial" w:hAnsi="Arial" w:cs="Arial"/>
          <w:color w:val="auto"/>
          <w:sz w:val="24"/>
        </w:rPr>
        <w:tab/>
        <w:t>A declining proportion of adolescents have high levels of resilience</w:t>
      </w:r>
      <w:bookmarkEnd w:id="30"/>
    </w:p>
    <w:p w14:paraId="0AE08BEC" w14:textId="77777777" w:rsidR="00DD1963" w:rsidRPr="00DD1963" w:rsidRDefault="00DD1963" w:rsidP="00DD1963">
      <w:pPr>
        <w:rPr>
          <w:rFonts w:ascii="Arial" w:hAnsi="Arial" w:cs="Arial"/>
          <w:sz w:val="24"/>
        </w:rPr>
      </w:pPr>
      <w:r w:rsidRPr="00DD1963">
        <w:rPr>
          <w:rFonts w:ascii="Arial" w:hAnsi="Arial" w:cs="Arial"/>
          <w:sz w:val="24"/>
        </w:rPr>
        <w:t>Resilience is commonly defined as the ability to function well in the face of challenges, adversity or stress. It includes the capacity to cope with, and recover from, difficult or traumatic circumstances and to adapt and grow from disruptive experiences (Hunter, 2012). Resilience is not a static or innate characteristic, but develops and changes in response to an individual’s interaction with their social context and the supports that are available to them. High levels of resilience are an important protective factor for future health and wellbeing (Armstrong, Galligan, &amp; Critchley, 2011), especially during the significant transitions of adolescence and early adulthood.</w:t>
      </w:r>
    </w:p>
    <w:p w14:paraId="636489B1" w14:textId="77777777" w:rsidR="00DD1963" w:rsidRDefault="00DD1963" w:rsidP="00DD1963">
      <w:pPr>
        <w:rPr>
          <w:rFonts w:ascii="Arial" w:hAnsi="Arial" w:cs="Arial"/>
          <w:sz w:val="24"/>
        </w:rPr>
      </w:pPr>
      <w:r w:rsidRPr="00DD1963">
        <w:rPr>
          <w:rFonts w:ascii="Arial" w:hAnsi="Arial" w:cs="Arial"/>
          <w:sz w:val="24"/>
        </w:rPr>
        <w:t>In 2018, 63 per cent of Victorian Year 8 and 11 students were estimated to have high levels of resilience, compared to 69 per cent in 2014. Adolescents from one-parent households were less likely to demonstrate resilience than their peers from two-parent households (61 per cent compared to 67 per cent).</w:t>
      </w:r>
    </w:p>
    <w:p w14:paraId="2303248B" w14:textId="77777777" w:rsidR="00323C66" w:rsidRPr="00323C66" w:rsidRDefault="00323C66" w:rsidP="00DD1963">
      <w:pPr>
        <w:rPr>
          <w:rFonts w:ascii="Arial" w:hAnsi="Arial" w:cs="Arial"/>
          <w:i/>
          <w:sz w:val="24"/>
        </w:rPr>
      </w:pPr>
      <w:r w:rsidRPr="00323C66">
        <w:rPr>
          <w:rFonts w:ascii="Arial" w:hAnsi="Arial" w:cs="Arial"/>
          <w:i/>
          <w:sz w:val="24"/>
        </w:rPr>
        <w:t>Note that this resilience data specifically refers to Victorian students in secondary school. Reporting on the Education State resilience target utilises a different sampling method, which includes students from Years 5, 8 and 11. Accordingly, this data should not be viewed as reflective of progress towards Education State targets.</w:t>
      </w:r>
    </w:p>
    <w:p w14:paraId="4A9DA8C9" w14:textId="77777777" w:rsidR="00DD1963" w:rsidRDefault="00734375" w:rsidP="00DD1963">
      <w:pPr>
        <w:rPr>
          <w:rFonts w:ascii="Arial" w:hAnsi="Arial" w:cs="Arial"/>
          <w:b/>
          <w:sz w:val="24"/>
        </w:rPr>
      </w:pPr>
      <w:r w:rsidRPr="009C4F71">
        <w:rPr>
          <w:rFonts w:ascii="Arial" w:hAnsi="Arial" w:cs="Arial"/>
          <w:b/>
          <w:sz w:val="24"/>
        </w:rPr>
        <w:t>Figure 18. Proportion of Victorian students (Years 8 &amp; 11) who report high levels of resilience, 2014–2018</w:t>
      </w:r>
    </w:p>
    <w:tbl>
      <w:tblPr>
        <w:tblStyle w:val="TableGrid"/>
        <w:tblW w:w="5000" w:type="pct"/>
        <w:tblLook w:val="04A0" w:firstRow="1" w:lastRow="0" w:firstColumn="1" w:lastColumn="0" w:noHBand="0" w:noVBand="1"/>
        <w:tblDescription w:val="This table provides information on the proportion of Victorian students (Years 8 &amp; 11) who report high levels of resilience, 2014–2018"/>
      </w:tblPr>
      <w:tblGrid>
        <w:gridCol w:w="2476"/>
        <w:gridCol w:w="3051"/>
        <w:gridCol w:w="3489"/>
      </w:tblGrid>
      <w:tr w:rsidR="009C4F71" w:rsidRPr="00054426" w14:paraId="35D1B015" w14:textId="77777777" w:rsidTr="0012306D">
        <w:trPr>
          <w:tblHeader/>
        </w:trPr>
        <w:tc>
          <w:tcPr>
            <w:tcW w:w="1373" w:type="pct"/>
          </w:tcPr>
          <w:p w14:paraId="1D60FB04" w14:textId="77777777" w:rsidR="009C4F71" w:rsidRPr="00054426" w:rsidRDefault="009C4F71" w:rsidP="0012306D">
            <w:pPr>
              <w:rPr>
                <w:rFonts w:ascii="Arial" w:hAnsi="Arial" w:cs="Arial"/>
                <w:sz w:val="24"/>
              </w:rPr>
            </w:pPr>
          </w:p>
        </w:tc>
        <w:tc>
          <w:tcPr>
            <w:tcW w:w="1692" w:type="pct"/>
          </w:tcPr>
          <w:p w14:paraId="2C8A93AF" w14:textId="77777777" w:rsidR="009C4F71" w:rsidRPr="00054426" w:rsidRDefault="009C4F71" w:rsidP="0012306D">
            <w:pPr>
              <w:rPr>
                <w:rFonts w:ascii="Arial" w:hAnsi="Arial" w:cs="Arial"/>
                <w:sz w:val="24"/>
              </w:rPr>
            </w:pPr>
            <w:r>
              <w:rPr>
                <w:rFonts w:ascii="Arial" w:hAnsi="Arial" w:cs="Arial"/>
                <w:sz w:val="24"/>
              </w:rPr>
              <w:t>Year 8</w:t>
            </w:r>
          </w:p>
        </w:tc>
        <w:tc>
          <w:tcPr>
            <w:tcW w:w="1935" w:type="pct"/>
          </w:tcPr>
          <w:p w14:paraId="5B506223" w14:textId="77777777" w:rsidR="009C4F71" w:rsidRPr="00054426" w:rsidRDefault="009C4F71" w:rsidP="0012306D">
            <w:pPr>
              <w:rPr>
                <w:rFonts w:ascii="Arial" w:hAnsi="Arial" w:cs="Arial"/>
                <w:sz w:val="24"/>
              </w:rPr>
            </w:pPr>
            <w:r>
              <w:rPr>
                <w:rFonts w:ascii="Arial" w:hAnsi="Arial" w:cs="Arial"/>
                <w:sz w:val="24"/>
              </w:rPr>
              <w:t>Year 11</w:t>
            </w:r>
          </w:p>
        </w:tc>
      </w:tr>
      <w:tr w:rsidR="009C4F71" w14:paraId="7D627372" w14:textId="77777777" w:rsidTr="0012306D">
        <w:tc>
          <w:tcPr>
            <w:tcW w:w="1373" w:type="pct"/>
          </w:tcPr>
          <w:p w14:paraId="485CE786" w14:textId="77777777" w:rsidR="009C4F71" w:rsidRPr="00054426" w:rsidRDefault="009C4F71" w:rsidP="0012306D">
            <w:pPr>
              <w:rPr>
                <w:rFonts w:ascii="Arial" w:hAnsi="Arial" w:cs="Arial"/>
                <w:sz w:val="24"/>
              </w:rPr>
            </w:pPr>
            <w:r>
              <w:rPr>
                <w:rFonts w:ascii="Arial" w:hAnsi="Arial" w:cs="Arial"/>
                <w:sz w:val="24"/>
              </w:rPr>
              <w:t>2014</w:t>
            </w:r>
          </w:p>
        </w:tc>
        <w:tc>
          <w:tcPr>
            <w:tcW w:w="1692" w:type="pct"/>
          </w:tcPr>
          <w:p w14:paraId="2F2AEDFA" w14:textId="77777777" w:rsidR="009C4F71" w:rsidRDefault="009C4F71" w:rsidP="0012306D">
            <w:pPr>
              <w:rPr>
                <w:rFonts w:ascii="Arial" w:hAnsi="Arial" w:cs="Arial"/>
                <w:sz w:val="24"/>
              </w:rPr>
            </w:pPr>
            <w:r>
              <w:rPr>
                <w:rFonts w:ascii="Arial" w:hAnsi="Arial" w:cs="Arial"/>
                <w:sz w:val="24"/>
              </w:rPr>
              <w:t>69%</w:t>
            </w:r>
          </w:p>
        </w:tc>
        <w:tc>
          <w:tcPr>
            <w:tcW w:w="1935" w:type="pct"/>
          </w:tcPr>
          <w:p w14:paraId="1CF851AF" w14:textId="77777777" w:rsidR="009C4F71" w:rsidRDefault="009C4F71" w:rsidP="0012306D">
            <w:pPr>
              <w:rPr>
                <w:rFonts w:ascii="Arial" w:hAnsi="Arial" w:cs="Arial"/>
                <w:sz w:val="24"/>
              </w:rPr>
            </w:pPr>
            <w:r>
              <w:rPr>
                <w:rFonts w:ascii="Arial" w:hAnsi="Arial" w:cs="Arial"/>
                <w:sz w:val="24"/>
              </w:rPr>
              <w:t>69%</w:t>
            </w:r>
          </w:p>
        </w:tc>
      </w:tr>
      <w:tr w:rsidR="009C4F71" w14:paraId="453EAA4B" w14:textId="77777777" w:rsidTr="0012306D">
        <w:tc>
          <w:tcPr>
            <w:tcW w:w="1373" w:type="pct"/>
          </w:tcPr>
          <w:p w14:paraId="44F3EA8E" w14:textId="77777777" w:rsidR="009C4F71" w:rsidRDefault="009C4F71" w:rsidP="0012306D">
            <w:pPr>
              <w:rPr>
                <w:rFonts w:ascii="Arial" w:hAnsi="Arial" w:cs="Arial"/>
                <w:sz w:val="24"/>
              </w:rPr>
            </w:pPr>
            <w:r>
              <w:rPr>
                <w:rFonts w:ascii="Arial" w:hAnsi="Arial" w:cs="Arial"/>
                <w:sz w:val="24"/>
              </w:rPr>
              <w:t>2016</w:t>
            </w:r>
          </w:p>
        </w:tc>
        <w:tc>
          <w:tcPr>
            <w:tcW w:w="1692" w:type="pct"/>
          </w:tcPr>
          <w:p w14:paraId="5C7A1317" w14:textId="77777777" w:rsidR="009C4F71" w:rsidRDefault="009C4F71" w:rsidP="0012306D">
            <w:pPr>
              <w:rPr>
                <w:rFonts w:ascii="Arial" w:hAnsi="Arial" w:cs="Arial"/>
                <w:sz w:val="24"/>
              </w:rPr>
            </w:pPr>
            <w:r>
              <w:rPr>
                <w:rFonts w:ascii="Arial" w:hAnsi="Arial" w:cs="Arial"/>
                <w:sz w:val="24"/>
              </w:rPr>
              <w:t>66%</w:t>
            </w:r>
          </w:p>
        </w:tc>
        <w:tc>
          <w:tcPr>
            <w:tcW w:w="1935" w:type="pct"/>
          </w:tcPr>
          <w:p w14:paraId="523B3A76" w14:textId="77777777" w:rsidR="009C4F71" w:rsidRDefault="009C4F71" w:rsidP="0012306D">
            <w:pPr>
              <w:rPr>
                <w:rFonts w:ascii="Arial" w:hAnsi="Arial" w:cs="Arial"/>
                <w:sz w:val="24"/>
              </w:rPr>
            </w:pPr>
            <w:r>
              <w:rPr>
                <w:rFonts w:ascii="Arial" w:hAnsi="Arial" w:cs="Arial"/>
                <w:sz w:val="24"/>
              </w:rPr>
              <w:t>68%</w:t>
            </w:r>
          </w:p>
        </w:tc>
      </w:tr>
      <w:tr w:rsidR="009C4F71" w14:paraId="647E6C37" w14:textId="77777777" w:rsidTr="0012306D">
        <w:tc>
          <w:tcPr>
            <w:tcW w:w="1373" w:type="pct"/>
          </w:tcPr>
          <w:p w14:paraId="1017C887" w14:textId="77777777" w:rsidR="009C4F71" w:rsidRDefault="009C4F71" w:rsidP="0012306D">
            <w:pPr>
              <w:rPr>
                <w:rFonts w:ascii="Arial" w:hAnsi="Arial" w:cs="Arial"/>
                <w:sz w:val="24"/>
              </w:rPr>
            </w:pPr>
            <w:r>
              <w:rPr>
                <w:rFonts w:ascii="Arial" w:hAnsi="Arial" w:cs="Arial"/>
                <w:sz w:val="24"/>
              </w:rPr>
              <w:t>2018</w:t>
            </w:r>
          </w:p>
        </w:tc>
        <w:tc>
          <w:tcPr>
            <w:tcW w:w="1692" w:type="pct"/>
          </w:tcPr>
          <w:p w14:paraId="7B74AF3E" w14:textId="77777777" w:rsidR="009C4F71" w:rsidRDefault="009C4F71" w:rsidP="0012306D">
            <w:pPr>
              <w:rPr>
                <w:rFonts w:ascii="Arial" w:hAnsi="Arial" w:cs="Arial"/>
                <w:sz w:val="24"/>
              </w:rPr>
            </w:pPr>
            <w:r>
              <w:rPr>
                <w:rFonts w:ascii="Arial" w:hAnsi="Arial" w:cs="Arial"/>
                <w:sz w:val="24"/>
              </w:rPr>
              <w:t>62%</w:t>
            </w:r>
          </w:p>
        </w:tc>
        <w:tc>
          <w:tcPr>
            <w:tcW w:w="1935" w:type="pct"/>
          </w:tcPr>
          <w:p w14:paraId="4673D350" w14:textId="77777777" w:rsidR="009C4F71" w:rsidRDefault="009C4F71" w:rsidP="0012306D">
            <w:pPr>
              <w:rPr>
                <w:rFonts w:ascii="Arial" w:hAnsi="Arial" w:cs="Arial"/>
                <w:sz w:val="24"/>
              </w:rPr>
            </w:pPr>
            <w:r>
              <w:rPr>
                <w:rFonts w:ascii="Arial" w:hAnsi="Arial" w:cs="Arial"/>
                <w:sz w:val="24"/>
              </w:rPr>
              <w:t>64%</w:t>
            </w:r>
          </w:p>
        </w:tc>
      </w:tr>
    </w:tbl>
    <w:p w14:paraId="610A771C" w14:textId="77777777" w:rsidR="007E1472" w:rsidRPr="007E1472" w:rsidRDefault="007E1472" w:rsidP="007E1472">
      <w:pPr>
        <w:rPr>
          <w:rFonts w:ascii="Arial" w:hAnsi="Arial" w:cs="Arial"/>
          <w:i/>
          <w:sz w:val="24"/>
        </w:rPr>
      </w:pPr>
      <w:r w:rsidRPr="007E1472">
        <w:rPr>
          <w:rFonts w:ascii="Arial" w:hAnsi="Arial" w:cs="Arial"/>
          <w:i/>
          <w:sz w:val="24"/>
        </w:rPr>
        <w:t>Source: VSHAWS, 2014, 2016, and 2018, DET</w:t>
      </w:r>
    </w:p>
    <w:p w14:paraId="6988540C" w14:textId="77777777" w:rsidR="00734375" w:rsidRDefault="007E1472" w:rsidP="007E1472">
      <w:pPr>
        <w:rPr>
          <w:rFonts w:ascii="Arial" w:hAnsi="Arial" w:cs="Arial"/>
          <w:sz w:val="24"/>
        </w:rPr>
      </w:pPr>
      <w:r w:rsidRPr="007E1472">
        <w:rPr>
          <w:rFonts w:ascii="Arial" w:hAnsi="Arial" w:cs="Arial"/>
          <w:sz w:val="24"/>
        </w:rPr>
        <w:t>Students with high levels of resilience are less likely to experience a range of undesirable outcomes. Year 8 and 11 students with high levels of resilience are more likely to report that they do not experience depressive symptoms and that they are satisfied with their quality of life, than their peers with low levels of resilience. Students with high levels of resilience are more likely to report that they feel no or little stress about their school work, and are more likely to perceive themselves as above average academically.</w:t>
      </w:r>
    </w:p>
    <w:p w14:paraId="2E0D3943" w14:textId="77777777" w:rsidR="007E1472" w:rsidRPr="0080475A" w:rsidRDefault="00EB2264" w:rsidP="007E1472">
      <w:pPr>
        <w:rPr>
          <w:rFonts w:ascii="Arial" w:hAnsi="Arial" w:cs="Arial"/>
          <w:b/>
          <w:sz w:val="24"/>
        </w:rPr>
      </w:pPr>
      <w:r w:rsidRPr="0080475A">
        <w:rPr>
          <w:rFonts w:ascii="Arial" w:hAnsi="Arial" w:cs="Arial"/>
          <w:b/>
          <w:sz w:val="24"/>
        </w:rPr>
        <w:t>Figure 19. Proportion of Victorian students (Years 8 &amp; 11) with high and low levels of resilience by selected characteristics, 2018</w:t>
      </w:r>
    </w:p>
    <w:tbl>
      <w:tblPr>
        <w:tblStyle w:val="TableGrid"/>
        <w:tblW w:w="0" w:type="auto"/>
        <w:tblLook w:val="04A0" w:firstRow="1" w:lastRow="0" w:firstColumn="1" w:lastColumn="0" w:noHBand="0" w:noVBand="1"/>
        <w:tblDescription w:val="This table provides information on the proportion of Victorian students (Years 8 &amp; 11) with high and low levels of resilience by selected characteristics, 2018"/>
      </w:tblPr>
      <w:tblGrid>
        <w:gridCol w:w="5505"/>
        <w:gridCol w:w="1782"/>
        <w:gridCol w:w="1729"/>
      </w:tblGrid>
      <w:tr w:rsidR="0080475A" w:rsidRPr="00054426" w14:paraId="61376080" w14:textId="77777777" w:rsidTr="00D228E6">
        <w:trPr>
          <w:tblHeader/>
        </w:trPr>
        <w:tc>
          <w:tcPr>
            <w:tcW w:w="0" w:type="auto"/>
          </w:tcPr>
          <w:p w14:paraId="4C5A7E34" w14:textId="77777777" w:rsidR="0080475A" w:rsidRPr="00054426" w:rsidRDefault="0080475A" w:rsidP="0012306D">
            <w:pPr>
              <w:rPr>
                <w:rFonts w:ascii="Arial" w:hAnsi="Arial" w:cs="Arial"/>
                <w:sz w:val="24"/>
              </w:rPr>
            </w:pPr>
          </w:p>
        </w:tc>
        <w:tc>
          <w:tcPr>
            <w:tcW w:w="0" w:type="auto"/>
          </w:tcPr>
          <w:p w14:paraId="46A879F1" w14:textId="77777777" w:rsidR="0080475A" w:rsidRPr="00054426" w:rsidRDefault="0080475A" w:rsidP="0012306D">
            <w:pPr>
              <w:rPr>
                <w:rFonts w:ascii="Arial" w:hAnsi="Arial" w:cs="Arial"/>
                <w:sz w:val="24"/>
              </w:rPr>
            </w:pPr>
            <w:r>
              <w:rPr>
                <w:rFonts w:ascii="Arial" w:hAnsi="Arial" w:cs="Arial"/>
                <w:sz w:val="24"/>
              </w:rPr>
              <w:t>High resilience</w:t>
            </w:r>
          </w:p>
        </w:tc>
        <w:tc>
          <w:tcPr>
            <w:tcW w:w="0" w:type="auto"/>
          </w:tcPr>
          <w:p w14:paraId="485ADF5A" w14:textId="77777777" w:rsidR="0080475A" w:rsidRPr="00054426" w:rsidRDefault="0080475A" w:rsidP="0012306D">
            <w:pPr>
              <w:rPr>
                <w:rFonts w:ascii="Arial" w:hAnsi="Arial" w:cs="Arial"/>
                <w:sz w:val="24"/>
              </w:rPr>
            </w:pPr>
            <w:r>
              <w:rPr>
                <w:rFonts w:ascii="Arial" w:hAnsi="Arial" w:cs="Arial"/>
                <w:sz w:val="24"/>
              </w:rPr>
              <w:t>Low resilience</w:t>
            </w:r>
          </w:p>
        </w:tc>
      </w:tr>
      <w:tr w:rsidR="0080475A" w14:paraId="7998C3DC" w14:textId="77777777" w:rsidTr="00D228E6">
        <w:tc>
          <w:tcPr>
            <w:tcW w:w="0" w:type="auto"/>
          </w:tcPr>
          <w:p w14:paraId="247E026B" w14:textId="77777777" w:rsidR="0080475A" w:rsidRPr="00054426" w:rsidRDefault="0080475A" w:rsidP="0080475A">
            <w:pPr>
              <w:rPr>
                <w:rFonts w:ascii="Arial" w:hAnsi="Arial" w:cs="Arial"/>
                <w:sz w:val="24"/>
              </w:rPr>
            </w:pPr>
            <w:r>
              <w:rPr>
                <w:rFonts w:ascii="Arial" w:hAnsi="Arial" w:cs="Arial"/>
                <w:sz w:val="24"/>
              </w:rPr>
              <w:t>No/low depressive symptoms</w:t>
            </w:r>
          </w:p>
        </w:tc>
        <w:tc>
          <w:tcPr>
            <w:tcW w:w="0" w:type="auto"/>
          </w:tcPr>
          <w:p w14:paraId="112F7646" w14:textId="77777777" w:rsidR="0080475A" w:rsidRDefault="0080475A" w:rsidP="0012306D">
            <w:pPr>
              <w:rPr>
                <w:rFonts w:ascii="Arial" w:hAnsi="Arial" w:cs="Arial"/>
                <w:sz w:val="24"/>
              </w:rPr>
            </w:pPr>
            <w:r>
              <w:rPr>
                <w:rFonts w:ascii="Arial" w:hAnsi="Arial" w:cs="Arial"/>
                <w:sz w:val="24"/>
              </w:rPr>
              <w:t>84%</w:t>
            </w:r>
          </w:p>
        </w:tc>
        <w:tc>
          <w:tcPr>
            <w:tcW w:w="0" w:type="auto"/>
          </w:tcPr>
          <w:p w14:paraId="64D92622" w14:textId="77777777" w:rsidR="0080475A" w:rsidRDefault="0080475A" w:rsidP="0012306D">
            <w:pPr>
              <w:rPr>
                <w:rFonts w:ascii="Arial" w:hAnsi="Arial" w:cs="Arial"/>
                <w:sz w:val="24"/>
              </w:rPr>
            </w:pPr>
            <w:r>
              <w:rPr>
                <w:rFonts w:ascii="Arial" w:hAnsi="Arial" w:cs="Arial"/>
                <w:sz w:val="24"/>
              </w:rPr>
              <w:t>44%</w:t>
            </w:r>
          </w:p>
        </w:tc>
      </w:tr>
      <w:tr w:rsidR="0080475A" w14:paraId="450F708B" w14:textId="77777777" w:rsidTr="00D228E6">
        <w:tc>
          <w:tcPr>
            <w:tcW w:w="0" w:type="auto"/>
          </w:tcPr>
          <w:p w14:paraId="749EC322" w14:textId="77777777" w:rsidR="0080475A" w:rsidRDefault="0080475A" w:rsidP="0080475A">
            <w:pPr>
              <w:rPr>
                <w:rFonts w:ascii="Arial" w:hAnsi="Arial" w:cs="Arial"/>
                <w:sz w:val="24"/>
              </w:rPr>
            </w:pPr>
            <w:r>
              <w:rPr>
                <w:rFonts w:ascii="Arial" w:hAnsi="Arial" w:cs="Arial"/>
                <w:sz w:val="24"/>
              </w:rPr>
              <w:lastRenderedPageBreak/>
              <w:t>Satisfied with quality of life</w:t>
            </w:r>
          </w:p>
        </w:tc>
        <w:tc>
          <w:tcPr>
            <w:tcW w:w="0" w:type="auto"/>
          </w:tcPr>
          <w:p w14:paraId="09B0E511" w14:textId="77777777" w:rsidR="0080475A" w:rsidRDefault="0080475A" w:rsidP="0012306D">
            <w:pPr>
              <w:rPr>
                <w:rFonts w:ascii="Arial" w:hAnsi="Arial" w:cs="Arial"/>
                <w:sz w:val="24"/>
              </w:rPr>
            </w:pPr>
            <w:r>
              <w:rPr>
                <w:rFonts w:ascii="Arial" w:hAnsi="Arial" w:cs="Arial"/>
                <w:sz w:val="24"/>
              </w:rPr>
              <w:t>85%</w:t>
            </w:r>
          </w:p>
        </w:tc>
        <w:tc>
          <w:tcPr>
            <w:tcW w:w="0" w:type="auto"/>
          </w:tcPr>
          <w:p w14:paraId="62507E70" w14:textId="77777777" w:rsidR="0080475A" w:rsidRDefault="0080475A" w:rsidP="0012306D">
            <w:pPr>
              <w:rPr>
                <w:rFonts w:ascii="Arial" w:hAnsi="Arial" w:cs="Arial"/>
                <w:sz w:val="24"/>
              </w:rPr>
            </w:pPr>
            <w:r>
              <w:rPr>
                <w:rFonts w:ascii="Arial" w:hAnsi="Arial" w:cs="Arial"/>
                <w:sz w:val="24"/>
              </w:rPr>
              <w:t>40%</w:t>
            </w:r>
          </w:p>
        </w:tc>
      </w:tr>
      <w:tr w:rsidR="0080475A" w14:paraId="7690FA64" w14:textId="77777777" w:rsidTr="00D228E6">
        <w:tc>
          <w:tcPr>
            <w:tcW w:w="0" w:type="auto"/>
          </w:tcPr>
          <w:p w14:paraId="7C5D66E0" w14:textId="77777777" w:rsidR="0080475A" w:rsidRDefault="0080475A" w:rsidP="0080475A">
            <w:pPr>
              <w:rPr>
                <w:rFonts w:ascii="Arial" w:hAnsi="Arial" w:cs="Arial"/>
                <w:sz w:val="24"/>
              </w:rPr>
            </w:pPr>
            <w:r>
              <w:rPr>
                <w:rFonts w:ascii="Arial" w:hAnsi="Arial" w:cs="Arial"/>
                <w:sz w:val="24"/>
              </w:rPr>
              <w:t>Experience no or only a little school stress</w:t>
            </w:r>
          </w:p>
        </w:tc>
        <w:tc>
          <w:tcPr>
            <w:tcW w:w="0" w:type="auto"/>
          </w:tcPr>
          <w:p w14:paraId="26408C2C" w14:textId="77777777" w:rsidR="0080475A" w:rsidRDefault="0080475A" w:rsidP="0012306D">
            <w:pPr>
              <w:rPr>
                <w:rFonts w:ascii="Arial" w:hAnsi="Arial" w:cs="Arial"/>
                <w:sz w:val="24"/>
              </w:rPr>
            </w:pPr>
            <w:r>
              <w:rPr>
                <w:rFonts w:ascii="Arial" w:hAnsi="Arial" w:cs="Arial"/>
                <w:sz w:val="24"/>
              </w:rPr>
              <w:t>46%</w:t>
            </w:r>
          </w:p>
        </w:tc>
        <w:tc>
          <w:tcPr>
            <w:tcW w:w="0" w:type="auto"/>
          </w:tcPr>
          <w:p w14:paraId="154E43F0" w14:textId="77777777" w:rsidR="0080475A" w:rsidRDefault="0080475A" w:rsidP="0012306D">
            <w:pPr>
              <w:rPr>
                <w:rFonts w:ascii="Arial" w:hAnsi="Arial" w:cs="Arial"/>
                <w:sz w:val="24"/>
              </w:rPr>
            </w:pPr>
            <w:r>
              <w:rPr>
                <w:rFonts w:ascii="Arial" w:hAnsi="Arial" w:cs="Arial"/>
                <w:sz w:val="24"/>
              </w:rPr>
              <w:t>29%</w:t>
            </w:r>
          </w:p>
        </w:tc>
      </w:tr>
      <w:tr w:rsidR="0080475A" w14:paraId="29F6DF96" w14:textId="77777777" w:rsidTr="00D228E6">
        <w:tc>
          <w:tcPr>
            <w:tcW w:w="0" w:type="auto"/>
          </w:tcPr>
          <w:p w14:paraId="32E2D4FA" w14:textId="77777777" w:rsidR="0080475A" w:rsidRDefault="0080475A" w:rsidP="0080475A">
            <w:pPr>
              <w:rPr>
                <w:rFonts w:ascii="Arial" w:hAnsi="Arial" w:cs="Arial"/>
                <w:sz w:val="24"/>
              </w:rPr>
            </w:pPr>
            <w:r>
              <w:rPr>
                <w:rFonts w:ascii="Arial" w:hAnsi="Arial" w:cs="Arial"/>
                <w:sz w:val="24"/>
              </w:rPr>
              <w:t>Consider themselves above average academically</w:t>
            </w:r>
          </w:p>
        </w:tc>
        <w:tc>
          <w:tcPr>
            <w:tcW w:w="0" w:type="auto"/>
          </w:tcPr>
          <w:p w14:paraId="43113E08" w14:textId="77777777" w:rsidR="0080475A" w:rsidRDefault="0080475A" w:rsidP="0012306D">
            <w:pPr>
              <w:rPr>
                <w:rFonts w:ascii="Arial" w:hAnsi="Arial" w:cs="Arial"/>
                <w:sz w:val="24"/>
              </w:rPr>
            </w:pPr>
            <w:r>
              <w:rPr>
                <w:rFonts w:ascii="Arial" w:hAnsi="Arial" w:cs="Arial"/>
                <w:sz w:val="24"/>
              </w:rPr>
              <w:t>58%</w:t>
            </w:r>
          </w:p>
        </w:tc>
        <w:tc>
          <w:tcPr>
            <w:tcW w:w="0" w:type="auto"/>
          </w:tcPr>
          <w:p w14:paraId="07859020" w14:textId="77777777" w:rsidR="0080475A" w:rsidRDefault="0080475A" w:rsidP="0012306D">
            <w:pPr>
              <w:rPr>
                <w:rFonts w:ascii="Arial" w:hAnsi="Arial" w:cs="Arial"/>
                <w:sz w:val="24"/>
              </w:rPr>
            </w:pPr>
            <w:r>
              <w:rPr>
                <w:rFonts w:ascii="Arial" w:hAnsi="Arial" w:cs="Arial"/>
                <w:sz w:val="24"/>
              </w:rPr>
              <w:t>35%</w:t>
            </w:r>
          </w:p>
        </w:tc>
      </w:tr>
    </w:tbl>
    <w:p w14:paraId="7EEC4DA9" w14:textId="77777777" w:rsidR="00EB2264" w:rsidRPr="007E1472" w:rsidRDefault="00EB2264" w:rsidP="00EB2264">
      <w:pPr>
        <w:rPr>
          <w:rFonts w:ascii="Arial" w:hAnsi="Arial" w:cs="Arial"/>
          <w:i/>
          <w:sz w:val="24"/>
        </w:rPr>
      </w:pPr>
      <w:r w:rsidRPr="007E1472">
        <w:rPr>
          <w:rFonts w:ascii="Arial" w:hAnsi="Arial" w:cs="Arial"/>
          <w:i/>
          <w:sz w:val="24"/>
        </w:rPr>
        <w:t>Source: VSHAWS, 2014, 2016, and 2018, DET</w:t>
      </w:r>
    </w:p>
    <w:p w14:paraId="4A6C5A3C" w14:textId="77777777" w:rsidR="00EB2264" w:rsidRDefault="00E92BA3" w:rsidP="007E1472">
      <w:pPr>
        <w:rPr>
          <w:rFonts w:ascii="Arial" w:hAnsi="Arial" w:cs="Arial"/>
          <w:sz w:val="24"/>
        </w:rPr>
      </w:pPr>
      <w:r w:rsidRPr="00E92BA3">
        <w:rPr>
          <w:rFonts w:ascii="Arial" w:hAnsi="Arial" w:cs="Arial"/>
          <w:sz w:val="24"/>
        </w:rPr>
        <w:t>Social relationships are closely related to resilience levels. Students who do not feel safe in their community, experience financial hardship, live in families where serious conflicts occur, or do not feel they have anyone to turn to for advice, are significantly less likely to report high levels of resilience.</w:t>
      </w:r>
    </w:p>
    <w:p w14:paraId="39CE83CB" w14:textId="77777777" w:rsidR="00E92BA3" w:rsidRPr="00D03606" w:rsidRDefault="00E92BA3" w:rsidP="007E1472">
      <w:pPr>
        <w:rPr>
          <w:rFonts w:ascii="Arial" w:hAnsi="Arial" w:cs="Arial"/>
          <w:b/>
          <w:sz w:val="24"/>
        </w:rPr>
      </w:pPr>
      <w:r w:rsidRPr="00D03606">
        <w:rPr>
          <w:rFonts w:ascii="Arial" w:hAnsi="Arial" w:cs="Arial"/>
          <w:b/>
          <w:sz w:val="24"/>
        </w:rPr>
        <w:t>Figure 20. Proportion of Victorian students (Years 8 &amp; 11) with high levels of resilience by social risk factors, 2018</w:t>
      </w:r>
    </w:p>
    <w:tbl>
      <w:tblPr>
        <w:tblStyle w:val="TableGrid"/>
        <w:tblW w:w="5000" w:type="pct"/>
        <w:tblLook w:val="04A0" w:firstRow="1" w:lastRow="0" w:firstColumn="1" w:lastColumn="0" w:noHBand="0" w:noVBand="1"/>
        <w:tblDescription w:val="This table provides information on the proportion of Victorian students (Years 8 &amp; 11) with high levels of resilience by social risk factors, 2018"/>
      </w:tblPr>
      <w:tblGrid>
        <w:gridCol w:w="6382"/>
        <w:gridCol w:w="2634"/>
      </w:tblGrid>
      <w:tr w:rsidR="00D228E6" w:rsidRPr="00054426" w14:paraId="66D5D3F7" w14:textId="77777777" w:rsidTr="00D03606">
        <w:trPr>
          <w:tblHeader/>
        </w:trPr>
        <w:tc>
          <w:tcPr>
            <w:tcW w:w="3539" w:type="pct"/>
          </w:tcPr>
          <w:p w14:paraId="42A2CDF9" w14:textId="77777777" w:rsidR="00D228E6" w:rsidRPr="00054426" w:rsidRDefault="00D228E6" w:rsidP="0012306D">
            <w:pPr>
              <w:rPr>
                <w:rFonts w:ascii="Arial" w:hAnsi="Arial" w:cs="Arial"/>
                <w:sz w:val="24"/>
              </w:rPr>
            </w:pPr>
          </w:p>
        </w:tc>
        <w:tc>
          <w:tcPr>
            <w:tcW w:w="1461" w:type="pct"/>
          </w:tcPr>
          <w:p w14:paraId="7AC4B161" w14:textId="77777777" w:rsidR="00D228E6" w:rsidRPr="00054426" w:rsidRDefault="00D228E6" w:rsidP="0012306D">
            <w:pPr>
              <w:rPr>
                <w:rFonts w:ascii="Arial" w:hAnsi="Arial" w:cs="Arial"/>
                <w:sz w:val="24"/>
              </w:rPr>
            </w:pPr>
            <w:r>
              <w:rPr>
                <w:rFonts w:ascii="Arial" w:hAnsi="Arial" w:cs="Arial"/>
                <w:sz w:val="24"/>
              </w:rPr>
              <w:t>High resilience</w:t>
            </w:r>
          </w:p>
        </w:tc>
      </w:tr>
      <w:tr w:rsidR="00D228E6" w14:paraId="62BC30E5" w14:textId="77777777" w:rsidTr="00D03606">
        <w:tc>
          <w:tcPr>
            <w:tcW w:w="3539" w:type="pct"/>
          </w:tcPr>
          <w:p w14:paraId="3431A324" w14:textId="77777777" w:rsidR="00D228E6" w:rsidRPr="00054426" w:rsidRDefault="00D228E6" w:rsidP="0012306D">
            <w:pPr>
              <w:rPr>
                <w:rFonts w:ascii="Arial" w:hAnsi="Arial" w:cs="Arial"/>
                <w:sz w:val="24"/>
              </w:rPr>
            </w:pPr>
            <w:r>
              <w:rPr>
                <w:rFonts w:ascii="Arial" w:hAnsi="Arial" w:cs="Arial"/>
                <w:sz w:val="24"/>
              </w:rPr>
              <w:t>Overall</w:t>
            </w:r>
          </w:p>
        </w:tc>
        <w:tc>
          <w:tcPr>
            <w:tcW w:w="1461" w:type="pct"/>
          </w:tcPr>
          <w:p w14:paraId="6F4C71F2" w14:textId="77777777" w:rsidR="00D228E6" w:rsidRDefault="00D03606" w:rsidP="0012306D">
            <w:pPr>
              <w:rPr>
                <w:rFonts w:ascii="Arial" w:hAnsi="Arial" w:cs="Arial"/>
                <w:sz w:val="24"/>
              </w:rPr>
            </w:pPr>
            <w:r>
              <w:rPr>
                <w:rFonts w:ascii="Arial" w:hAnsi="Arial" w:cs="Arial"/>
                <w:sz w:val="24"/>
              </w:rPr>
              <w:t>63%</w:t>
            </w:r>
          </w:p>
        </w:tc>
      </w:tr>
      <w:tr w:rsidR="00D228E6" w14:paraId="0B0BF3E4" w14:textId="77777777" w:rsidTr="00D03606">
        <w:tc>
          <w:tcPr>
            <w:tcW w:w="3539" w:type="pct"/>
          </w:tcPr>
          <w:p w14:paraId="68ACB541" w14:textId="77777777" w:rsidR="00D228E6" w:rsidRDefault="00D228E6" w:rsidP="0012306D">
            <w:pPr>
              <w:rPr>
                <w:rFonts w:ascii="Arial" w:hAnsi="Arial" w:cs="Arial"/>
                <w:sz w:val="24"/>
              </w:rPr>
            </w:pPr>
            <w:r>
              <w:rPr>
                <w:rFonts w:ascii="Arial" w:hAnsi="Arial" w:cs="Arial"/>
                <w:sz w:val="24"/>
              </w:rPr>
              <w:t>Don’t have a trusted adult</w:t>
            </w:r>
          </w:p>
        </w:tc>
        <w:tc>
          <w:tcPr>
            <w:tcW w:w="1461" w:type="pct"/>
          </w:tcPr>
          <w:p w14:paraId="44B26650" w14:textId="77777777" w:rsidR="00D228E6" w:rsidRDefault="00D03606" w:rsidP="0012306D">
            <w:pPr>
              <w:rPr>
                <w:rFonts w:ascii="Arial" w:hAnsi="Arial" w:cs="Arial"/>
                <w:sz w:val="24"/>
              </w:rPr>
            </w:pPr>
            <w:r>
              <w:rPr>
                <w:rFonts w:ascii="Arial" w:hAnsi="Arial" w:cs="Arial"/>
                <w:sz w:val="24"/>
              </w:rPr>
              <w:t>51%</w:t>
            </w:r>
          </w:p>
        </w:tc>
      </w:tr>
      <w:tr w:rsidR="00D228E6" w14:paraId="6A40D4AA" w14:textId="77777777" w:rsidTr="00D03606">
        <w:tc>
          <w:tcPr>
            <w:tcW w:w="3539" w:type="pct"/>
          </w:tcPr>
          <w:p w14:paraId="649829B9" w14:textId="77777777" w:rsidR="00D228E6" w:rsidRDefault="00D228E6" w:rsidP="0012306D">
            <w:pPr>
              <w:rPr>
                <w:rFonts w:ascii="Arial" w:hAnsi="Arial" w:cs="Arial"/>
                <w:sz w:val="24"/>
              </w:rPr>
            </w:pPr>
            <w:r>
              <w:rPr>
                <w:rFonts w:ascii="Arial" w:hAnsi="Arial" w:cs="Arial"/>
                <w:sz w:val="24"/>
              </w:rPr>
              <w:t>Experience family conflict</w:t>
            </w:r>
          </w:p>
        </w:tc>
        <w:tc>
          <w:tcPr>
            <w:tcW w:w="1461" w:type="pct"/>
          </w:tcPr>
          <w:p w14:paraId="3C858B61" w14:textId="77777777" w:rsidR="00D228E6" w:rsidRDefault="00D03606" w:rsidP="0012306D">
            <w:pPr>
              <w:rPr>
                <w:rFonts w:ascii="Arial" w:hAnsi="Arial" w:cs="Arial"/>
                <w:sz w:val="24"/>
              </w:rPr>
            </w:pPr>
            <w:r>
              <w:rPr>
                <w:rFonts w:ascii="Arial" w:hAnsi="Arial" w:cs="Arial"/>
                <w:sz w:val="24"/>
              </w:rPr>
              <w:t>50%</w:t>
            </w:r>
          </w:p>
        </w:tc>
      </w:tr>
      <w:tr w:rsidR="00D228E6" w14:paraId="123131B3" w14:textId="77777777" w:rsidTr="00D03606">
        <w:tc>
          <w:tcPr>
            <w:tcW w:w="3539" w:type="pct"/>
          </w:tcPr>
          <w:p w14:paraId="542B6216" w14:textId="77777777" w:rsidR="00D228E6" w:rsidRDefault="00D228E6" w:rsidP="0012306D">
            <w:pPr>
              <w:rPr>
                <w:rFonts w:ascii="Arial" w:hAnsi="Arial" w:cs="Arial"/>
                <w:sz w:val="24"/>
              </w:rPr>
            </w:pPr>
            <w:r>
              <w:rPr>
                <w:rFonts w:ascii="Arial" w:hAnsi="Arial" w:cs="Arial"/>
                <w:sz w:val="24"/>
              </w:rPr>
              <w:t>Don’t feel safe in their community</w:t>
            </w:r>
          </w:p>
        </w:tc>
        <w:tc>
          <w:tcPr>
            <w:tcW w:w="1461" w:type="pct"/>
          </w:tcPr>
          <w:p w14:paraId="1F5EC827" w14:textId="77777777" w:rsidR="00D228E6" w:rsidRDefault="00D03606" w:rsidP="0012306D">
            <w:pPr>
              <w:rPr>
                <w:rFonts w:ascii="Arial" w:hAnsi="Arial" w:cs="Arial"/>
                <w:sz w:val="24"/>
              </w:rPr>
            </w:pPr>
            <w:r>
              <w:rPr>
                <w:rFonts w:ascii="Arial" w:hAnsi="Arial" w:cs="Arial"/>
                <w:sz w:val="24"/>
              </w:rPr>
              <w:t>38%</w:t>
            </w:r>
          </w:p>
        </w:tc>
      </w:tr>
      <w:tr w:rsidR="00D228E6" w14:paraId="18BB008E" w14:textId="77777777" w:rsidTr="00D03606">
        <w:tc>
          <w:tcPr>
            <w:tcW w:w="3539" w:type="pct"/>
          </w:tcPr>
          <w:p w14:paraId="044C55FB" w14:textId="77777777" w:rsidR="00D228E6" w:rsidRDefault="00D228E6" w:rsidP="0012306D">
            <w:pPr>
              <w:rPr>
                <w:rFonts w:ascii="Arial" w:hAnsi="Arial" w:cs="Arial"/>
                <w:sz w:val="24"/>
              </w:rPr>
            </w:pPr>
            <w:r>
              <w:rPr>
                <w:rFonts w:ascii="Arial" w:hAnsi="Arial" w:cs="Arial"/>
                <w:sz w:val="24"/>
              </w:rPr>
              <w:t>Have experienced financial hardship</w:t>
            </w:r>
          </w:p>
        </w:tc>
        <w:tc>
          <w:tcPr>
            <w:tcW w:w="1461" w:type="pct"/>
          </w:tcPr>
          <w:p w14:paraId="7F8B2944" w14:textId="77777777" w:rsidR="00D228E6" w:rsidRDefault="00D03606" w:rsidP="0012306D">
            <w:pPr>
              <w:rPr>
                <w:rFonts w:ascii="Arial" w:hAnsi="Arial" w:cs="Arial"/>
                <w:sz w:val="24"/>
              </w:rPr>
            </w:pPr>
            <w:r>
              <w:rPr>
                <w:rFonts w:ascii="Arial" w:hAnsi="Arial" w:cs="Arial"/>
                <w:sz w:val="24"/>
              </w:rPr>
              <w:t>35%</w:t>
            </w:r>
          </w:p>
        </w:tc>
      </w:tr>
      <w:tr w:rsidR="00D228E6" w14:paraId="19C17320" w14:textId="77777777" w:rsidTr="00D03606">
        <w:tc>
          <w:tcPr>
            <w:tcW w:w="3539" w:type="pct"/>
          </w:tcPr>
          <w:p w14:paraId="5910FBF6" w14:textId="77777777" w:rsidR="00D228E6" w:rsidRDefault="00D228E6" w:rsidP="0012306D">
            <w:pPr>
              <w:rPr>
                <w:rFonts w:ascii="Arial" w:hAnsi="Arial" w:cs="Arial"/>
                <w:sz w:val="24"/>
              </w:rPr>
            </w:pPr>
            <w:r>
              <w:rPr>
                <w:rFonts w:ascii="Arial" w:hAnsi="Arial" w:cs="Arial"/>
                <w:sz w:val="24"/>
              </w:rPr>
              <w:t>Don’t have anyone to turn to for advice</w:t>
            </w:r>
          </w:p>
        </w:tc>
        <w:tc>
          <w:tcPr>
            <w:tcW w:w="1461" w:type="pct"/>
          </w:tcPr>
          <w:p w14:paraId="7B9EE4EE" w14:textId="77777777" w:rsidR="00D228E6" w:rsidRDefault="00D03606" w:rsidP="0012306D">
            <w:pPr>
              <w:rPr>
                <w:rFonts w:ascii="Arial" w:hAnsi="Arial" w:cs="Arial"/>
                <w:sz w:val="24"/>
              </w:rPr>
            </w:pPr>
            <w:r>
              <w:rPr>
                <w:rFonts w:ascii="Arial" w:hAnsi="Arial" w:cs="Arial"/>
                <w:sz w:val="24"/>
              </w:rPr>
              <w:t>18%</w:t>
            </w:r>
          </w:p>
        </w:tc>
      </w:tr>
    </w:tbl>
    <w:p w14:paraId="2D6A656C" w14:textId="77777777" w:rsidR="00E92BA3" w:rsidRDefault="00E92BA3" w:rsidP="00E92BA3">
      <w:pPr>
        <w:rPr>
          <w:rFonts w:ascii="Arial" w:hAnsi="Arial" w:cs="Arial"/>
          <w:i/>
          <w:sz w:val="24"/>
        </w:rPr>
      </w:pPr>
      <w:r w:rsidRPr="007E1472">
        <w:rPr>
          <w:rFonts w:ascii="Arial" w:hAnsi="Arial" w:cs="Arial"/>
          <w:i/>
          <w:sz w:val="24"/>
        </w:rPr>
        <w:t>Source: VSHAWS, 2018, DET</w:t>
      </w:r>
    </w:p>
    <w:p w14:paraId="65C1AF0F" w14:textId="77777777" w:rsidR="009B21AE" w:rsidRPr="009B21AE" w:rsidRDefault="009B21AE" w:rsidP="009B21AE">
      <w:pPr>
        <w:pBdr>
          <w:top w:val="single" w:sz="4" w:space="1" w:color="auto"/>
          <w:left w:val="single" w:sz="4" w:space="4" w:color="auto"/>
          <w:bottom w:val="single" w:sz="4" w:space="1" w:color="auto"/>
          <w:right w:val="single" w:sz="4" w:space="4" w:color="auto"/>
        </w:pBdr>
        <w:rPr>
          <w:rFonts w:ascii="Arial" w:hAnsi="Arial" w:cs="Arial"/>
          <w:b/>
          <w:sz w:val="24"/>
        </w:rPr>
      </w:pPr>
      <w:r w:rsidRPr="009B21AE">
        <w:rPr>
          <w:rFonts w:ascii="Arial" w:hAnsi="Arial" w:cs="Arial"/>
          <w:b/>
          <w:sz w:val="24"/>
        </w:rPr>
        <w:t>Building strength and resilience among young Aboriginal people in Victoria</w:t>
      </w:r>
    </w:p>
    <w:p w14:paraId="5265AF96" w14:textId="77777777" w:rsidR="009B21AE" w:rsidRPr="009B21AE" w:rsidRDefault="009B21AE" w:rsidP="009B21AE">
      <w:pPr>
        <w:pBdr>
          <w:top w:val="single" w:sz="4" w:space="1" w:color="auto"/>
          <w:left w:val="single" w:sz="4" w:space="4" w:color="auto"/>
          <w:bottom w:val="single" w:sz="4" w:space="1" w:color="auto"/>
          <w:right w:val="single" w:sz="4" w:space="4" w:color="auto"/>
        </w:pBdr>
        <w:rPr>
          <w:rFonts w:ascii="Arial" w:hAnsi="Arial" w:cs="Arial"/>
          <w:sz w:val="24"/>
        </w:rPr>
      </w:pPr>
      <w:r w:rsidRPr="009B21AE">
        <w:rPr>
          <w:rFonts w:ascii="Arial" w:hAnsi="Arial" w:cs="Arial"/>
          <w:sz w:val="24"/>
        </w:rPr>
        <w:t>Young Aboriginal people may face additional obstacles in making a successful transition to adulthood including the effect of intergenerational trauma, racism, prejudice, and socioeconomic disadvantage.</w:t>
      </w:r>
    </w:p>
    <w:p w14:paraId="220DDEDE" w14:textId="77777777" w:rsidR="009B21AE" w:rsidRPr="009B21AE" w:rsidRDefault="009B21AE" w:rsidP="009B21AE">
      <w:pPr>
        <w:pBdr>
          <w:top w:val="single" w:sz="4" w:space="1" w:color="auto"/>
          <w:left w:val="single" w:sz="4" w:space="4" w:color="auto"/>
          <w:bottom w:val="single" w:sz="4" w:space="1" w:color="auto"/>
          <w:right w:val="single" w:sz="4" w:space="4" w:color="auto"/>
        </w:pBdr>
        <w:rPr>
          <w:rFonts w:ascii="Arial" w:hAnsi="Arial" w:cs="Arial"/>
          <w:sz w:val="24"/>
        </w:rPr>
      </w:pPr>
      <w:r w:rsidRPr="009B21AE">
        <w:rPr>
          <w:rFonts w:ascii="Arial" w:hAnsi="Arial" w:cs="Arial"/>
          <w:sz w:val="24"/>
        </w:rPr>
        <w:t xml:space="preserve">As detailed in the Victorian Government’s </w:t>
      </w:r>
      <w:r w:rsidRPr="00FF1A0B">
        <w:rPr>
          <w:rFonts w:ascii="Arial" w:hAnsi="Arial" w:cs="Arial"/>
          <w:b/>
          <w:i/>
          <w:sz w:val="24"/>
        </w:rPr>
        <w:t>Korin Korin Balit-Djak: Aboriginal health, wellbeing and safety strategic plan 2017–2027 (DHHS, 2017),</w:t>
      </w:r>
      <w:r w:rsidRPr="009B21AE">
        <w:rPr>
          <w:rFonts w:ascii="Arial" w:hAnsi="Arial" w:cs="Arial"/>
          <w:sz w:val="24"/>
        </w:rPr>
        <w:t xml:space="preserve"> connectedness to culture and community strengthens individual and collective identities, and promotes self-esteem, resilience and improved outcomes for Aboriginal people.</w:t>
      </w:r>
    </w:p>
    <w:p w14:paraId="092BA82B" w14:textId="77777777" w:rsidR="009B21AE" w:rsidRPr="009B21AE" w:rsidRDefault="009B21AE" w:rsidP="009B21AE">
      <w:pPr>
        <w:pBdr>
          <w:top w:val="single" w:sz="4" w:space="1" w:color="auto"/>
          <w:left w:val="single" w:sz="4" w:space="4" w:color="auto"/>
          <w:bottom w:val="single" w:sz="4" w:space="1" w:color="auto"/>
          <w:right w:val="single" w:sz="4" w:space="4" w:color="auto"/>
        </w:pBdr>
        <w:rPr>
          <w:rFonts w:ascii="Arial" w:hAnsi="Arial" w:cs="Arial"/>
          <w:sz w:val="24"/>
        </w:rPr>
      </w:pPr>
      <w:r w:rsidRPr="009B21AE">
        <w:rPr>
          <w:rFonts w:ascii="Arial" w:hAnsi="Arial" w:cs="Arial"/>
          <w:sz w:val="24"/>
        </w:rPr>
        <w:t>The Victorian Aboriginal Affairs Framework 2018-23 (Department of Premier and Cabinet, 2018) sets goals and clear directions for how the Victorian Government will support the preservation, promotion and practice of culture and languages, including actions, measures and evaluation to be undertaken over the next five years.</w:t>
      </w:r>
    </w:p>
    <w:p w14:paraId="6ADF31F7" w14:textId="77777777" w:rsidR="009B21AE" w:rsidRPr="009B21AE" w:rsidRDefault="009B21AE" w:rsidP="009B21AE">
      <w:pPr>
        <w:pBdr>
          <w:top w:val="single" w:sz="4" w:space="1" w:color="auto"/>
          <w:left w:val="single" w:sz="4" w:space="4" w:color="auto"/>
          <w:bottom w:val="single" w:sz="4" w:space="1" w:color="auto"/>
          <w:right w:val="single" w:sz="4" w:space="4" w:color="auto"/>
        </w:pBdr>
        <w:rPr>
          <w:rFonts w:ascii="Arial" w:hAnsi="Arial" w:cs="Arial"/>
          <w:sz w:val="24"/>
        </w:rPr>
      </w:pPr>
      <w:r w:rsidRPr="009B21AE">
        <w:rPr>
          <w:rFonts w:ascii="Arial" w:hAnsi="Arial" w:cs="Arial"/>
          <w:sz w:val="24"/>
        </w:rPr>
        <w:t>The most recent National Aboriginal Torres Strait Island Social Survey data, 2014-15 (ABS, 2017), shows that many young Aboriginal people in Victoria:</w:t>
      </w:r>
    </w:p>
    <w:p w14:paraId="0F8CC15A" w14:textId="77777777" w:rsidR="009B21AE" w:rsidRPr="009B21AE" w:rsidRDefault="009B21AE" w:rsidP="009B21AE">
      <w:pPr>
        <w:pBdr>
          <w:top w:val="single" w:sz="4" w:space="1" w:color="auto"/>
          <w:left w:val="single" w:sz="4" w:space="4" w:color="auto"/>
          <w:bottom w:val="single" w:sz="4" w:space="1" w:color="auto"/>
          <w:right w:val="single" w:sz="4" w:space="4" w:color="auto"/>
        </w:pBdr>
        <w:rPr>
          <w:rFonts w:ascii="Arial" w:hAnsi="Arial" w:cs="Arial"/>
          <w:sz w:val="24"/>
        </w:rPr>
      </w:pPr>
      <w:r w:rsidRPr="009B21AE">
        <w:rPr>
          <w:rFonts w:ascii="Arial" w:hAnsi="Arial" w:cs="Arial"/>
          <w:sz w:val="24"/>
        </w:rPr>
        <w:t>• identify with a clan, tribal or language group (50 per cent)</w:t>
      </w:r>
    </w:p>
    <w:p w14:paraId="25E24D79" w14:textId="77777777" w:rsidR="009B21AE" w:rsidRPr="009B21AE" w:rsidRDefault="009B21AE" w:rsidP="009B21AE">
      <w:pPr>
        <w:pBdr>
          <w:top w:val="single" w:sz="4" w:space="1" w:color="auto"/>
          <w:left w:val="single" w:sz="4" w:space="4" w:color="auto"/>
          <w:bottom w:val="single" w:sz="4" w:space="1" w:color="auto"/>
          <w:right w:val="single" w:sz="4" w:space="4" w:color="auto"/>
        </w:pBdr>
        <w:rPr>
          <w:rFonts w:ascii="Arial" w:hAnsi="Arial" w:cs="Arial"/>
          <w:sz w:val="24"/>
        </w:rPr>
      </w:pPr>
      <w:r w:rsidRPr="009B21AE">
        <w:rPr>
          <w:rFonts w:ascii="Arial" w:hAnsi="Arial" w:cs="Arial"/>
          <w:sz w:val="24"/>
        </w:rPr>
        <w:t>• recognise an area as homelands or traditional country (57 per cent)</w:t>
      </w:r>
    </w:p>
    <w:p w14:paraId="75C2E223" w14:textId="77777777" w:rsidR="009B21AE" w:rsidRPr="009B21AE" w:rsidRDefault="009B21AE" w:rsidP="009B21AE">
      <w:pPr>
        <w:pBdr>
          <w:top w:val="single" w:sz="4" w:space="1" w:color="auto"/>
          <w:left w:val="single" w:sz="4" w:space="4" w:color="auto"/>
          <w:bottom w:val="single" w:sz="4" w:space="1" w:color="auto"/>
          <w:right w:val="single" w:sz="4" w:space="4" w:color="auto"/>
        </w:pBdr>
        <w:rPr>
          <w:rFonts w:ascii="Arial" w:hAnsi="Arial" w:cs="Arial"/>
          <w:sz w:val="24"/>
        </w:rPr>
      </w:pPr>
      <w:r w:rsidRPr="009B21AE">
        <w:rPr>
          <w:rFonts w:ascii="Arial" w:hAnsi="Arial" w:cs="Arial"/>
          <w:sz w:val="24"/>
        </w:rPr>
        <w:lastRenderedPageBreak/>
        <w:t>• were involved in cultural events, ceremonies, or organisations in the last 12 months (58 per cent).</w:t>
      </w:r>
    </w:p>
    <w:p w14:paraId="506A47FC" w14:textId="77777777" w:rsidR="009B21AE" w:rsidRPr="009B21AE" w:rsidRDefault="009B21AE" w:rsidP="009B21AE">
      <w:pPr>
        <w:pBdr>
          <w:top w:val="single" w:sz="4" w:space="1" w:color="auto"/>
          <w:left w:val="single" w:sz="4" w:space="4" w:color="auto"/>
          <w:bottom w:val="single" w:sz="4" w:space="1" w:color="auto"/>
          <w:right w:val="single" w:sz="4" w:space="4" w:color="auto"/>
        </w:pBdr>
        <w:rPr>
          <w:rFonts w:ascii="Arial" w:hAnsi="Arial" w:cs="Arial"/>
          <w:sz w:val="24"/>
        </w:rPr>
      </w:pPr>
      <w:r w:rsidRPr="009B21AE">
        <w:rPr>
          <w:rFonts w:ascii="Arial" w:hAnsi="Arial" w:cs="Arial"/>
          <w:sz w:val="24"/>
        </w:rPr>
        <w:t>A small proportion also:</w:t>
      </w:r>
    </w:p>
    <w:p w14:paraId="18585E59" w14:textId="77777777" w:rsidR="009B21AE" w:rsidRPr="009B21AE" w:rsidRDefault="009B21AE" w:rsidP="009B21AE">
      <w:pPr>
        <w:pBdr>
          <w:top w:val="single" w:sz="4" w:space="1" w:color="auto"/>
          <w:left w:val="single" w:sz="4" w:space="4" w:color="auto"/>
          <w:bottom w:val="single" w:sz="4" w:space="1" w:color="auto"/>
          <w:right w:val="single" w:sz="4" w:space="4" w:color="auto"/>
        </w:pBdr>
        <w:rPr>
          <w:rFonts w:ascii="Arial" w:hAnsi="Arial" w:cs="Arial"/>
          <w:sz w:val="24"/>
        </w:rPr>
      </w:pPr>
      <w:r w:rsidRPr="009B21AE">
        <w:rPr>
          <w:rFonts w:ascii="Arial" w:hAnsi="Arial" w:cs="Arial"/>
          <w:sz w:val="24"/>
        </w:rPr>
        <w:t>• speak an Aboriginal language at home (one per cent)</w:t>
      </w:r>
    </w:p>
    <w:p w14:paraId="112840F8" w14:textId="77777777" w:rsidR="009B21AE" w:rsidRPr="009B21AE" w:rsidRDefault="009B21AE" w:rsidP="009B21AE">
      <w:pPr>
        <w:pBdr>
          <w:top w:val="single" w:sz="4" w:space="1" w:color="auto"/>
          <w:left w:val="single" w:sz="4" w:space="4" w:color="auto"/>
          <w:bottom w:val="single" w:sz="4" w:space="1" w:color="auto"/>
          <w:right w:val="single" w:sz="4" w:space="4" w:color="auto"/>
        </w:pBdr>
        <w:rPr>
          <w:rFonts w:ascii="Arial" w:hAnsi="Arial" w:cs="Arial"/>
          <w:sz w:val="24"/>
        </w:rPr>
      </w:pPr>
      <w:r w:rsidRPr="009B21AE">
        <w:rPr>
          <w:rFonts w:ascii="Arial" w:hAnsi="Arial" w:cs="Arial"/>
          <w:sz w:val="24"/>
        </w:rPr>
        <w:t>• are learning an Aboriginal language (six per cent).</w:t>
      </w:r>
    </w:p>
    <w:p w14:paraId="50512C41" w14:textId="77777777" w:rsidR="009B21AE" w:rsidRPr="009B21AE" w:rsidRDefault="009B21AE" w:rsidP="009B21AE">
      <w:pPr>
        <w:pBdr>
          <w:top w:val="single" w:sz="4" w:space="1" w:color="auto"/>
          <w:left w:val="single" w:sz="4" w:space="4" w:color="auto"/>
          <w:bottom w:val="single" w:sz="4" w:space="1" w:color="auto"/>
          <w:right w:val="single" w:sz="4" w:space="4" w:color="auto"/>
        </w:pBdr>
        <w:rPr>
          <w:rFonts w:ascii="Arial" w:hAnsi="Arial" w:cs="Arial"/>
          <w:sz w:val="24"/>
        </w:rPr>
      </w:pPr>
      <w:r w:rsidRPr="009B21AE">
        <w:rPr>
          <w:rFonts w:ascii="Arial" w:hAnsi="Arial" w:cs="Arial"/>
          <w:sz w:val="24"/>
        </w:rPr>
        <w:t>Many young Aboriginal people also experience a sense of cultural safety at school, as shown in the 2018 Attitudes to School Survey (AtoSS), in which half of responses to questions about feeling connected to school were positive (51 per cent).</w:t>
      </w:r>
    </w:p>
    <w:p w14:paraId="551BA25D" w14:textId="77777777" w:rsidR="00B15716" w:rsidRPr="00B15716" w:rsidRDefault="00B15716" w:rsidP="00B15716">
      <w:pPr>
        <w:pStyle w:val="Heading3"/>
        <w:rPr>
          <w:rFonts w:ascii="Arial" w:hAnsi="Arial" w:cs="Arial"/>
          <w:color w:val="auto"/>
          <w:sz w:val="24"/>
        </w:rPr>
      </w:pPr>
      <w:bookmarkStart w:id="31" w:name="_Toc33527756"/>
      <w:r w:rsidRPr="00B15716">
        <w:rPr>
          <w:rFonts w:ascii="Arial" w:hAnsi="Arial" w:cs="Arial"/>
          <w:color w:val="auto"/>
          <w:sz w:val="24"/>
        </w:rPr>
        <w:t>3.4</w:t>
      </w:r>
      <w:r w:rsidRPr="00B15716">
        <w:rPr>
          <w:rFonts w:ascii="Arial" w:hAnsi="Arial" w:cs="Arial"/>
          <w:color w:val="auto"/>
          <w:sz w:val="24"/>
        </w:rPr>
        <w:tab/>
        <w:t>Younger adolescents are twice as likely to be bullied than older adolescents</w:t>
      </w:r>
      <w:bookmarkEnd w:id="31"/>
    </w:p>
    <w:p w14:paraId="2030A114" w14:textId="77777777" w:rsidR="00B15716" w:rsidRPr="00B15716" w:rsidRDefault="00B15716" w:rsidP="00B15716">
      <w:pPr>
        <w:rPr>
          <w:rFonts w:ascii="Arial" w:hAnsi="Arial" w:cs="Arial"/>
          <w:sz w:val="24"/>
        </w:rPr>
      </w:pPr>
      <w:r w:rsidRPr="00B15716">
        <w:rPr>
          <w:rFonts w:ascii="Arial" w:hAnsi="Arial" w:cs="Arial"/>
          <w:sz w:val="24"/>
        </w:rPr>
        <w:t>Bullying is repeated verbal, physical, social or psychologically aggressive behaviour directed towards a person or group considered to be less powerful than the perpetrator, with the intention of causing distress, fear or harm.</w:t>
      </w:r>
    </w:p>
    <w:p w14:paraId="04A04733" w14:textId="77777777" w:rsidR="009B21AE" w:rsidRDefault="00B15716" w:rsidP="00B15716">
      <w:pPr>
        <w:rPr>
          <w:rFonts w:ascii="Arial" w:hAnsi="Arial" w:cs="Arial"/>
          <w:sz w:val="24"/>
        </w:rPr>
      </w:pPr>
      <w:r w:rsidRPr="00B15716">
        <w:rPr>
          <w:rFonts w:ascii="Arial" w:hAnsi="Arial" w:cs="Arial"/>
          <w:sz w:val="24"/>
        </w:rPr>
        <w:t>In the 2018 VSHAWS, 10 per cent of participating Years 8 and 11 students reported experiencing behaviours that they considered bullying during the school term.</w:t>
      </w:r>
      <w:r w:rsidR="00EF2C9D">
        <w:rPr>
          <w:rFonts w:ascii="Arial" w:hAnsi="Arial" w:cs="Arial"/>
          <w:sz w:val="24"/>
        </w:rPr>
        <w:t xml:space="preserve"> </w:t>
      </w:r>
      <w:r w:rsidRPr="00B15716">
        <w:rPr>
          <w:rFonts w:ascii="Arial" w:hAnsi="Arial" w:cs="Arial"/>
          <w:sz w:val="24"/>
        </w:rPr>
        <w:t>Rates peaked in the earlier school years, with Year 8 students twice as likely to report bullying as Year 11 students.</w:t>
      </w:r>
    </w:p>
    <w:p w14:paraId="13D81538" w14:textId="77777777" w:rsidR="00EF2C9D" w:rsidRDefault="00F60962" w:rsidP="00B15716">
      <w:pPr>
        <w:rPr>
          <w:rFonts w:ascii="Arial" w:hAnsi="Arial" w:cs="Arial"/>
          <w:b/>
          <w:sz w:val="24"/>
        </w:rPr>
      </w:pPr>
      <w:r w:rsidRPr="00C13DBE">
        <w:rPr>
          <w:rFonts w:ascii="Arial" w:hAnsi="Arial" w:cs="Arial"/>
          <w:b/>
          <w:sz w:val="24"/>
        </w:rPr>
        <w:t>Figure 21.</w:t>
      </w:r>
      <w:r w:rsidRPr="00C13DBE">
        <w:rPr>
          <w:b/>
        </w:rPr>
        <w:t xml:space="preserve"> </w:t>
      </w:r>
      <w:r w:rsidRPr="00C13DBE">
        <w:rPr>
          <w:rFonts w:ascii="Arial" w:hAnsi="Arial" w:cs="Arial"/>
          <w:b/>
          <w:sz w:val="24"/>
        </w:rPr>
        <w:t>Proportion of Victorian students (Years 8 &amp; 11) who were bullied during the school term, 2018</w:t>
      </w:r>
      <w:r w:rsidRPr="00F60962">
        <w:rPr>
          <w:rFonts w:ascii="Arial" w:hAnsi="Arial" w:cs="Arial"/>
          <w:b/>
          <w:sz w:val="24"/>
        </w:rPr>
        <w:t xml:space="preserve"> </w:t>
      </w:r>
    </w:p>
    <w:tbl>
      <w:tblPr>
        <w:tblStyle w:val="TableGrid"/>
        <w:tblW w:w="5000" w:type="pct"/>
        <w:tblLook w:val="04A0" w:firstRow="1" w:lastRow="0" w:firstColumn="1" w:lastColumn="0" w:noHBand="0" w:noVBand="1"/>
        <w:tblDescription w:val="This table provides information on the proportion of Victorian students (Years 8 &amp; 11) who were bullied during the school term, 2018 "/>
      </w:tblPr>
      <w:tblGrid>
        <w:gridCol w:w="4506"/>
        <w:gridCol w:w="4510"/>
      </w:tblGrid>
      <w:tr w:rsidR="00C123DE" w:rsidRPr="00054426" w14:paraId="1BB80D50" w14:textId="77777777" w:rsidTr="00C123DE">
        <w:trPr>
          <w:tblHeader/>
        </w:trPr>
        <w:tc>
          <w:tcPr>
            <w:tcW w:w="2499" w:type="pct"/>
          </w:tcPr>
          <w:p w14:paraId="63B2C6D4" w14:textId="77777777" w:rsidR="00C123DE" w:rsidRPr="00054426" w:rsidRDefault="00C123DE" w:rsidP="00C13DBE">
            <w:pPr>
              <w:rPr>
                <w:rFonts w:ascii="Arial" w:hAnsi="Arial" w:cs="Arial"/>
                <w:sz w:val="24"/>
              </w:rPr>
            </w:pPr>
            <w:r>
              <w:rPr>
                <w:rFonts w:ascii="Arial" w:hAnsi="Arial" w:cs="Arial"/>
                <w:sz w:val="24"/>
              </w:rPr>
              <w:t>Year 8</w:t>
            </w:r>
          </w:p>
        </w:tc>
        <w:tc>
          <w:tcPr>
            <w:tcW w:w="2501" w:type="pct"/>
          </w:tcPr>
          <w:p w14:paraId="5C82A9C7" w14:textId="77777777" w:rsidR="00C123DE" w:rsidRDefault="00C123DE" w:rsidP="00C13DBE">
            <w:pPr>
              <w:rPr>
                <w:rFonts w:ascii="Arial" w:hAnsi="Arial" w:cs="Arial"/>
                <w:sz w:val="24"/>
              </w:rPr>
            </w:pPr>
            <w:r>
              <w:rPr>
                <w:rFonts w:ascii="Arial" w:hAnsi="Arial" w:cs="Arial"/>
                <w:sz w:val="24"/>
              </w:rPr>
              <w:t>Year 11</w:t>
            </w:r>
          </w:p>
        </w:tc>
      </w:tr>
      <w:tr w:rsidR="00C123DE" w14:paraId="3CFA2713" w14:textId="77777777" w:rsidTr="00C123DE">
        <w:tc>
          <w:tcPr>
            <w:tcW w:w="2499" w:type="pct"/>
          </w:tcPr>
          <w:p w14:paraId="7EE37D9E" w14:textId="77777777" w:rsidR="00C123DE" w:rsidRDefault="00C123DE" w:rsidP="0012306D">
            <w:pPr>
              <w:rPr>
                <w:rFonts w:ascii="Arial" w:hAnsi="Arial" w:cs="Arial"/>
                <w:sz w:val="24"/>
              </w:rPr>
            </w:pPr>
            <w:r>
              <w:rPr>
                <w:rFonts w:ascii="Arial" w:hAnsi="Arial" w:cs="Arial"/>
                <w:sz w:val="24"/>
              </w:rPr>
              <w:t>13%</w:t>
            </w:r>
          </w:p>
        </w:tc>
        <w:tc>
          <w:tcPr>
            <w:tcW w:w="2501" w:type="pct"/>
          </w:tcPr>
          <w:p w14:paraId="78570224" w14:textId="77777777" w:rsidR="00C123DE" w:rsidRDefault="00C123DE" w:rsidP="0012306D">
            <w:pPr>
              <w:rPr>
                <w:rFonts w:ascii="Arial" w:hAnsi="Arial" w:cs="Arial"/>
                <w:sz w:val="24"/>
              </w:rPr>
            </w:pPr>
            <w:r>
              <w:rPr>
                <w:rFonts w:ascii="Arial" w:hAnsi="Arial" w:cs="Arial"/>
                <w:sz w:val="24"/>
              </w:rPr>
              <w:t>6%</w:t>
            </w:r>
          </w:p>
        </w:tc>
      </w:tr>
    </w:tbl>
    <w:p w14:paraId="63B9D174" w14:textId="77777777" w:rsidR="00F60962" w:rsidRPr="00F60962" w:rsidRDefault="00F60962" w:rsidP="00F60962">
      <w:pPr>
        <w:rPr>
          <w:rFonts w:ascii="Arial" w:hAnsi="Arial" w:cs="Arial"/>
          <w:i/>
          <w:sz w:val="24"/>
        </w:rPr>
      </w:pPr>
      <w:r w:rsidRPr="00F60962">
        <w:rPr>
          <w:rFonts w:ascii="Arial" w:hAnsi="Arial" w:cs="Arial"/>
          <w:i/>
          <w:sz w:val="24"/>
        </w:rPr>
        <w:t>Source: VSHAWS, 2018, DET</w:t>
      </w:r>
    </w:p>
    <w:p w14:paraId="6AA528E7" w14:textId="77777777" w:rsidR="00F60962" w:rsidRPr="00F60962" w:rsidRDefault="00F60962" w:rsidP="00F60962">
      <w:pPr>
        <w:rPr>
          <w:rFonts w:ascii="Arial" w:hAnsi="Arial" w:cs="Arial"/>
          <w:sz w:val="24"/>
        </w:rPr>
      </w:pPr>
      <w:r w:rsidRPr="00F60962">
        <w:rPr>
          <w:rFonts w:ascii="Arial" w:hAnsi="Arial" w:cs="Arial"/>
          <w:sz w:val="24"/>
        </w:rPr>
        <w:t>VSHAWS asks Years 8 and 11 students whether they have experienced a range of unwelcome behaviours that could be considered bullying. While a single experience of these unwelcome behaviours does not equate to bullying, a pattern of repeated exposure does.</w:t>
      </w:r>
    </w:p>
    <w:p w14:paraId="5D1F16FC" w14:textId="77777777" w:rsidR="00F60962" w:rsidRPr="00F60962" w:rsidRDefault="00F60962" w:rsidP="00F60962">
      <w:pPr>
        <w:rPr>
          <w:rFonts w:ascii="Arial" w:hAnsi="Arial" w:cs="Arial"/>
          <w:sz w:val="24"/>
        </w:rPr>
      </w:pPr>
      <w:r w:rsidRPr="00F60962">
        <w:rPr>
          <w:rFonts w:ascii="Arial" w:hAnsi="Arial" w:cs="Arial"/>
          <w:sz w:val="24"/>
        </w:rPr>
        <w:t>In 2018:</w:t>
      </w:r>
    </w:p>
    <w:p w14:paraId="0CC19F10" w14:textId="77777777" w:rsidR="00F60962" w:rsidRPr="00F60962" w:rsidRDefault="00F60962" w:rsidP="00F60962">
      <w:pPr>
        <w:pStyle w:val="ListParagraph"/>
        <w:numPr>
          <w:ilvl w:val="0"/>
          <w:numId w:val="14"/>
        </w:numPr>
        <w:rPr>
          <w:rFonts w:ascii="Arial" w:hAnsi="Arial" w:cs="Arial"/>
          <w:sz w:val="24"/>
        </w:rPr>
      </w:pPr>
      <w:r w:rsidRPr="00F60962">
        <w:rPr>
          <w:rFonts w:ascii="Arial" w:hAnsi="Arial" w:cs="Arial"/>
          <w:sz w:val="24"/>
        </w:rPr>
        <w:t>44 per cent of students in Years 8 and 11 reported that in the last 12 months they had experienced unwelcome behaviours, including teasing, being left out of things, having rumours spread about them or being physically hurt or threatened</w:t>
      </w:r>
    </w:p>
    <w:p w14:paraId="7AFFD04C" w14:textId="77777777" w:rsidR="00F60962" w:rsidRPr="00F60962" w:rsidRDefault="00F60962" w:rsidP="00F60962">
      <w:pPr>
        <w:pStyle w:val="ListParagraph"/>
        <w:numPr>
          <w:ilvl w:val="0"/>
          <w:numId w:val="14"/>
        </w:numPr>
        <w:rPr>
          <w:rFonts w:ascii="Arial" w:hAnsi="Arial" w:cs="Arial"/>
          <w:sz w:val="24"/>
        </w:rPr>
      </w:pPr>
      <w:r w:rsidRPr="00F60962">
        <w:rPr>
          <w:rFonts w:ascii="Arial" w:hAnsi="Arial" w:cs="Arial"/>
          <w:sz w:val="24"/>
        </w:rPr>
        <w:t>a higher proportion of Year 8 students (47 per cent) reported experiencing unwelcome behaviour than Year 11 students (39 per cent)</w:t>
      </w:r>
    </w:p>
    <w:p w14:paraId="42E6E93F" w14:textId="77777777" w:rsidR="00F60962" w:rsidRPr="00F60962" w:rsidRDefault="00F60962" w:rsidP="00F60962">
      <w:pPr>
        <w:pStyle w:val="ListParagraph"/>
        <w:numPr>
          <w:ilvl w:val="0"/>
          <w:numId w:val="14"/>
        </w:numPr>
        <w:rPr>
          <w:rFonts w:ascii="Arial" w:hAnsi="Arial" w:cs="Arial"/>
          <w:sz w:val="24"/>
        </w:rPr>
      </w:pPr>
      <w:r w:rsidRPr="00F60962">
        <w:rPr>
          <w:rFonts w:ascii="Arial" w:hAnsi="Arial" w:cs="Arial"/>
          <w:sz w:val="24"/>
        </w:rPr>
        <w:t>adolescents from regional areas were more likely to report experiences of unwelcome behaviours (48 per cent) compared to their peers in metropolitan areas (42 per cent)</w:t>
      </w:r>
    </w:p>
    <w:p w14:paraId="2F8EF69F" w14:textId="77777777" w:rsidR="00B15716" w:rsidRDefault="00F60962" w:rsidP="00F60962">
      <w:pPr>
        <w:pStyle w:val="ListParagraph"/>
        <w:numPr>
          <w:ilvl w:val="0"/>
          <w:numId w:val="14"/>
        </w:numPr>
        <w:rPr>
          <w:rFonts w:ascii="Arial" w:hAnsi="Arial" w:cs="Arial"/>
          <w:sz w:val="24"/>
        </w:rPr>
      </w:pPr>
      <w:r w:rsidRPr="00F60962">
        <w:rPr>
          <w:rFonts w:ascii="Arial" w:hAnsi="Arial" w:cs="Arial"/>
          <w:sz w:val="24"/>
        </w:rPr>
        <w:t xml:space="preserve">adolescents in one-parent families were more likely to report experiencing unwelcome behaviours (46 per cent) than their peers in two-parent </w:t>
      </w:r>
      <w:r w:rsidRPr="00F60962">
        <w:rPr>
          <w:rFonts w:ascii="Arial" w:hAnsi="Arial" w:cs="Arial"/>
          <w:sz w:val="24"/>
        </w:rPr>
        <w:lastRenderedPageBreak/>
        <w:t>households (43 per cent)</w:t>
      </w:r>
    </w:p>
    <w:p w14:paraId="1A97F859" w14:textId="77777777" w:rsidR="00513A95" w:rsidRPr="00513A95" w:rsidRDefault="00513A95" w:rsidP="00513A95">
      <w:pPr>
        <w:pStyle w:val="ListParagraph"/>
        <w:numPr>
          <w:ilvl w:val="0"/>
          <w:numId w:val="14"/>
        </w:numPr>
        <w:rPr>
          <w:rFonts w:ascii="Arial" w:hAnsi="Arial" w:cs="Arial"/>
          <w:sz w:val="24"/>
        </w:rPr>
      </w:pPr>
      <w:r>
        <w:rPr>
          <w:rFonts w:ascii="Arial" w:hAnsi="Arial" w:cs="Arial"/>
          <w:sz w:val="24"/>
        </w:rPr>
        <w:t xml:space="preserve">female students </w:t>
      </w:r>
      <w:r w:rsidRPr="00513A95">
        <w:rPr>
          <w:rFonts w:ascii="Arial" w:hAnsi="Arial" w:cs="Arial"/>
          <w:sz w:val="24"/>
        </w:rPr>
        <w:t>were more likely to report experiencing unwelcome behaviours recently (45 per cent) than their male peers (41 per cent)</w:t>
      </w:r>
    </w:p>
    <w:p w14:paraId="531F25DA" w14:textId="77777777" w:rsidR="00513A95" w:rsidRPr="00513A95" w:rsidRDefault="00513A95" w:rsidP="00513A95">
      <w:pPr>
        <w:pStyle w:val="ListParagraph"/>
        <w:numPr>
          <w:ilvl w:val="0"/>
          <w:numId w:val="14"/>
        </w:numPr>
        <w:rPr>
          <w:rFonts w:ascii="Arial" w:hAnsi="Arial" w:cs="Arial"/>
          <w:sz w:val="24"/>
        </w:rPr>
      </w:pPr>
      <w:r w:rsidRPr="00513A95">
        <w:rPr>
          <w:rFonts w:ascii="Arial" w:hAnsi="Arial" w:cs="Arial"/>
          <w:sz w:val="24"/>
        </w:rPr>
        <w:t>female students were more likely to have experienced social exclusion, such as being deliberately left out of things (22 per cent, compared to 14 per cent of males) or being the subject of rumours (21 per cent, compared to 16 per cent of males)</w:t>
      </w:r>
    </w:p>
    <w:p w14:paraId="6CFC0CE3" w14:textId="77777777" w:rsidR="00513A95" w:rsidRPr="00513A95" w:rsidRDefault="00513A95" w:rsidP="00513A95">
      <w:pPr>
        <w:pStyle w:val="ListParagraph"/>
        <w:numPr>
          <w:ilvl w:val="0"/>
          <w:numId w:val="14"/>
        </w:numPr>
        <w:rPr>
          <w:rFonts w:ascii="Arial" w:hAnsi="Arial" w:cs="Arial"/>
          <w:sz w:val="24"/>
        </w:rPr>
      </w:pPr>
      <w:r w:rsidRPr="00513A95">
        <w:rPr>
          <w:rFonts w:ascii="Arial" w:hAnsi="Arial" w:cs="Arial"/>
          <w:sz w:val="24"/>
        </w:rPr>
        <w:t>male students were almost twice as likely to report experiences of physical bullying, including threats of violence (13 per cent, compared to seven per cent of females).</w:t>
      </w:r>
    </w:p>
    <w:p w14:paraId="1C874180" w14:textId="77777777" w:rsidR="00E67B98" w:rsidRPr="00E67B98" w:rsidRDefault="00E67B98" w:rsidP="00E67B98">
      <w:pPr>
        <w:rPr>
          <w:rFonts w:ascii="Arial" w:hAnsi="Arial" w:cs="Arial"/>
          <w:sz w:val="24"/>
        </w:rPr>
      </w:pPr>
    </w:p>
    <w:p w14:paraId="0BE887AC" w14:textId="77777777" w:rsidR="00E67B98" w:rsidRPr="00E67B98" w:rsidRDefault="00E67B98" w:rsidP="00E67B98">
      <w:pPr>
        <w:pBdr>
          <w:top w:val="single" w:sz="4" w:space="1" w:color="auto"/>
          <w:left w:val="single" w:sz="4" w:space="4" w:color="auto"/>
          <w:bottom w:val="single" w:sz="4" w:space="1" w:color="auto"/>
          <w:right w:val="single" w:sz="4" w:space="4" w:color="auto"/>
        </w:pBdr>
        <w:rPr>
          <w:rFonts w:ascii="Arial" w:hAnsi="Arial" w:cs="Arial"/>
          <w:b/>
          <w:sz w:val="24"/>
        </w:rPr>
      </w:pPr>
      <w:r w:rsidRPr="00E67B98">
        <w:rPr>
          <w:rFonts w:ascii="Arial" w:hAnsi="Arial" w:cs="Arial"/>
          <w:b/>
          <w:sz w:val="24"/>
        </w:rPr>
        <w:t>Predictors and Effects of Bullying</w:t>
      </w:r>
    </w:p>
    <w:p w14:paraId="72A97F7D" w14:textId="77777777" w:rsidR="00E67B98" w:rsidRPr="00E67B98" w:rsidRDefault="00E67B98" w:rsidP="00E67B98">
      <w:pPr>
        <w:pBdr>
          <w:top w:val="single" w:sz="4" w:space="1" w:color="auto"/>
          <w:left w:val="single" w:sz="4" w:space="4" w:color="auto"/>
          <w:bottom w:val="single" w:sz="4" w:space="1" w:color="auto"/>
          <w:right w:val="single" w:sz="4" w:space="4" w:color="auto"/>
        </w:pBdr>
        <w:rPr>
          <w:rFonts w:ascii="Arial" w:hAnsi="Arial" w:cs="Arial"/>
          <w:sz w:val="24"/>
        </w:rPr>
      </w:pPr>
      <w:r w:rsidRPr="00E67B98">
        <w:rPr>
          <w:rFonts w:ascii="Arial" w:hAnsi="Arial" w:cs="Arial"/>
          <w:sz w:val="24"/>
        </w:rPr>
        <w:t>Longitudinal analysis of Victorian data suggests that there is a markedly increased risk of poor mental health outcomes, self-harm and suicidal ideation among adolescents who have either experienced or perpetrated bullying.</w:t>
      </w:r>
    </w:p>
    <w:p w14:paraId="6B8CCC7A" w14:textId="77777777" w:rsidR="00E67B98" w:rsidRPr="00E67B98" w:rsidRDefault="00E67B98" w:rsidP="00E67B98">
      <w:pPr>
        <w:pBdr>
          <w:top w:val="single" w:sz="4" w:space="1" w:color="auto"/>
          <w:left w:val="single" w:sz="4" w:space="4" w:color="auto"/>
          <w:bottom w:val="single" w:sz="4" w:space="1" w:color="auto"/>
          <w:right w:val="single" w:sz="4" w:space="4" w:color="auto"/>
        </w:pBdr>
        <w:rPr>
          <w:rFonts w:ascii="Arial" w:hAnsi="Arial" w:cs="Arial"/>
          <w:sz w:val="24"/>
        </w:rPr>
      </w:pPr>
      <w:r w:rsidRPr="00E67B98">
        <w:rPr>
          <w:rFonts w:ascii="Arial" w:hAnsi="Arial" w:cs="Arial"/>
          <w:sz w:val="24"/>
        </w:rPr>
        <w:t>Victims of bullying were found to be at the highest risk of self-harm, suicidal ideation, suicidal plan and attempts, followed by students who had become bullies after being bullied themselves (Ford, King, Priest, &amp; Kavanagh, 2017).</w:t>
      </w:r>
    </w:p>
    <w:p w14:paraId="138D5E15" w14:textId="77777777" w:rsidR="00E67B98" w:rsidRPr="00E67B98" w:rsidRDefault="00E67B98" w:rsidP="00E67B98">
      <w:pPr>
        <w:pBdr>
          <w:top w:val="single" w:sz="4" w:space="1" w:color="auto"/>
          <w:left w:val="single" w:sz="4" w:space="4" w:color="auto"/>
          <w:bottom w:val="single" w:sz="4" w:space="1" w:color="auto"/>
          <w:right w:val="single" w:sz="4" w:space="4" w:color="auto"/>
        </w:pBdr>
        <w:rPr>
          <w:rFonts w:ascii="Arial" w:hAnsi="Arial" w:cs="Arial"/>
          <w:sz w:val="24"/>
        </w:rPr>
      </w:pPr>
      <w:r w:rsidRPr="00E67B98">
        <w:rPr>
          <w:rFonts w:ascii="Arial" w:hAnsi="Arial" w:cs="Arial"/>
          <w:sz w:val="24"/>
        </w:rPr>
        <w:t>International research has suggested that young people who engage in bullying behaviours are more likely to engage in antisocial behaviour in adolescence.</w:t>
      </w:r>
    </w:p>
    <w:p w14:paraId="315F058D" w14:textId="77777777" w:rsidR="009B21AE" w:rsidRPr="00513A95" w:rsidRDefault="00E67B98" w:rsidP="00E67B98">
      <w:pPr>
        <w:pBdr>
          <w:top w:val="single" w:sz="4" w:space="1" w:color="auto"/>
          <w:left w:val="single" w:sz="4" w:space="4" w:color="auto"/>
          <w:bottom w:val="single" w:sz="4" w:space="1" w:color="auto"/>
          <w:right w:val="single" w:sz="4" w:space="4" w:color="auto"/>
        </w:pBdr>
        <w:rPr>
          <w:rFonts w:ascii="Arial" w:hAnsi="Arial" w:cs="Arial"/>
          <w:sz w:val="24"/>
        </w:rPr>
      </w:pPr>
      <w:r w:rsidRPr="00E67B98">
        <w:rPr>
          <w:rFonts w:ascii="Arial" w:hAnsi="Arial" w:cs="Arial"/>
          <w:sz w:val="24"/>
        </w:rPr>
        <w:t>Among girls, bullying also predicted later symptoms of anxiety, depression and social withdrawal (Losel &amp; Bender, 2011). Recent international research has also demonstrated that young people with a disability experience higher rates of poor mental health, and that this relationship is compounded by experiences of bullying faced by young people with a disability (King, et al., 2018).</w:t>
      </w:r>
    </w:p>
    <w:p w14:paraId="2564B55C" w14:textId="77777777" w:rsidR="00FB5305" w:rsidRPr="009C1408" w:rsidRDefault="00FB5305" w:rsidP="009C1408">
      <w:pPr>
        <w:pStyle w:val="Heading3"/>
        <w:rPr>
          <w:rFonts w:ascii="Arial" w:hAnsi="Arial" w:cs="Arial"/>
          <w:color w:val="auto"/>
          <w:sz w:val="24"/>
        </w:rPr>
      </w:pPr>
      <w:bookmarkStart w:id="32" w:name="_Toc33527757"/>
      <w:r w:rsidRPr="009C1408">
        <w:rPr>
          <w:rFonts w:ascii="Arial" w:hAnsi="Arial" w:cs="Arial"/>
          <w:color w:val="auto"/>
          <w:sz w:val="24"/>
        </w:rPr>
        <w:t>3.5</w:t>
      </w:r>
      <w:r w:rsidRPr="009C1408">
        <w:rPr>
          <w:rFonts w:ascii="Arial" w:hAnsi="Arial" w:cs="Arial"/>
          <w:color w:val="auto"/>
          <w:sz w:val="24"/>
        </w:rPr>
        <w:tab/>
        <w:t>Adolescents who have been bullied are more likely to be absent from school and less likely to be high achievers</w:t>
      </w:r>
      <w:bookmarkEnd w:id="32"/>
    </w:p>
    <w:p w14:paraId="238E5AAC" w14:textId="77777777" w:rsidR="00FB5305" w:rsidRPr="00FB5305" w:rsidRDefault="00FB5305" w:rsidP="00FB5305">
      <w:pPr>
        <w:rPr>
          <w:rFonts w:ascii="Arial" w:hAnsi="Arial" w:cs="Arial"/>
          <w:sz w:val="24"/>
        </w:rPr>
      </w:pPr>
      <w:r w:rsidRPr="00FB5305">
        <w:rPr>
          <w:rFonts w:ascii="Arial" w:hAnsi="Arial" w:cs="Arial"/>
          <w:sz w:val="24"/>
        </w:rPr>
        <w:t>Analysis of linked government student attitude, absence and achievement data indicates a correlation between bullying and absence as well as bullying and achievement.</w:t>
      </w:r>
    </w:p>
    <w:p w14:paraId="27394091" w14:textId="77777777" w:rsidR="009B21AE" w:rsidRPr="00FB5305" w:rsidRDefault="00FB5305" w:rsidP="00FB5305">
      <w:pPr>
        <w:rPr>
          <w:rFonts w:ascii="Arial" w:hAnsi="Arial" w:cs="Arial"/>
          <w:sz w:val="24"/>
        </w:rPr>
      </w:pPr>
      <w:r w:rsidRPr="00FB5305">
        <w:rPr>
          <w:rFonts w:ascii="Arial" w:hAnsi="Arial" w:cs="Arial"/>
          <w:sz w:val="24"/>
        </w:rPr>
        <w:t>Government school students who report being bullied are more likely to be chronically absent (more than 30 days in a year) than those who do not report being bullied. In the middle years of schooling (Years 7 to 9), 20 per cent of students who reported being bullied were absent for more than 30 days, compared with 14 per cent of students who did not report being bullied.</w:t>
      </w:r>
    </w:p>
    <w:p w14:paraId="5A6ECA79" w14:textId="77777777" w:rsidR="00E92BA3" w:rsidRDefault="00114E70" w:rsidP="007E1472">
      <w:pPr>
        <w:rPr>
          <w:rFonts w:ascii="Arial" w:hAnsi="Arial" w:cs="Arial"/>
          <w:b/>
          <w:sz w:val="24"/>
        </w:rPr>
      </w:pPr>
      <w:r w:rsidRPr="00C123DE">
        <w:rPr>
          <w:rFonts w:ascii="Arial" w:hAnsi="Arial" w:cs="Arial"/>
          <w:b/>
          <w:sz w:val="24"/>
        </w:rPr>
        <w:t>Figure 22. Proportion</w:t>
      </w:r>
      <w:r w:rsidRPr="00114E70">
        <w:rPr>
          <w:rFonts w:ascii="Arial" w:hAnsi="Arial" w:cs="Arial"/>
          <w:b/>
          <w:sz w:val="24"/>
        </w:rPr>
        <w:t xml:space="preserve"> of Victorian government students (Years 7 to 9) who are chronically absent, by reported bullying, 2018</w:t>
      </w:r>
    </w:p>
    <w:tbl>
      <w:tblPr>
        <w:tblStyle w:val="TableGrid"/>
        <w:tblW w:w="5000" w:type="pct"/>
        <w:tblLook w:val="04A0" w:firstRow="1" w:lastRow="0" w:firstColumn="1" w:lastColumn="0" w:noHBand="0" w:noVBand="1"/>
        <w:tblDescription w:val="This table provides information on the proportion of Victorian government students (Years 7 to 9) who are chronically absent, by reported bullying, 2018"/>
      </w:tblPr>
      <w:tblGrid>
        <w:gridCol w:w="4506"/>
        <w:gridCol w:w="4510"/>
      </w:tblGrid>
      <w:tr w:rsidR="00C123DE" w:rsidRPr="00054426" w14:paraId="4F388702" w14:textId="77777777" w:rsidTr="0012306D">
        <w:trPr>
          <w:tblHeader/>
        </w:trPr>
        <w:tc>
          <w:tcPr>
            <w:tcW w:w="2499" w:type="pct"/>
          </w:tcPr>
          <w:p w14:paraId="675A6EF4" w14:textId="77777777" w:rsidR="00C123DE" w:rsidRPr="00054426" w:rsidRDefault="00C123DE" w:rsidP="0012306D">
            <w:pPr>
              <w:rPr>
                <w:rFonts w:ascii="Arial" w:hAnsi="Arial" w:cs="Arial"/>
                <w:sz w:val="24"/>
              </w:rPr>
            </w:pPr>
            <w:r>
              <w:rPr>
                <w:rFonts w:ascii="Arial" w:hAnsi="Arial" w:cs="Arial"/>
                <w:sz w:val="24"/>
              </w:rPr>
              <w:t>Not bullied</w:t>
            </w:r>
          </w:p>
        </w:tc>
        <w:tc>
          <w:tcPr>
            <w:tcW w:w="2501" w:type="pct"/>
          </w:tcPr>
          <w:p w14:paraId="135F6F2B" w14:textId="77777777" w:rsidR="00C123DE" w:rsidRDefault="00C123DE" w:rsidP="0012306D">
            <w:pPr>
              <w:rPr>
                <w:rFonts w:ascii="Arial" w:hAnsi="Arial" w:cs="Arial"/>
                <w:sz w:val="24"/>
              </w:rPr>
            </w:pPr>
            <w:r>
              <w:rPr>
                <w:rFonts w:ascii="Arial" w:hAnsi="Arial" w:cs="Arial"/>
                <w:sz w:val="24"/>
              </w:rPr>
              <w:t>Bullied</w:t>
            </w:r>
          </w:p>
        </w:tc>
      </w:tr>
      <w:tr w:rsidR="00C123DE" w14:paraId="39087471" w14:textId="77777777" w:rsidTr="0012306D">
        <w:tc>
          <w:tcPr>
            <w:tcW w:w="2499" w:type="pct"/>
          </w:tcPr>
          <w:p w14:paraId="46A02F05" w14:textId="77777777" w:rsidR="00C123DE" w:rsidRDefault="00C123DE" w:rsidP="0012306D">
            <w:pPr>
              <w:rPr>
                <w:rFonts w:ascii="Arial" w:hAnsi="Arial" w:cs="Arial"/>
                <w:sz w:val="24"/>
              </w:rPr>
            </w:pPr>
            <w:r>
              <w:rPr>
                <w:rFonts w:ascii="Arial" w:hAnsi="Arial" w:cs="Arial"/>
                <w:sz w:val="24"/>
              </w:rPr>
              <w:t>14%</w:t>
            </w:r>
          </w:p>
        </w:tc>
        <w:tc>
          <w:tcPr>
            <w:tcW w:w="2501" w:type="pct"/>
          </w:tcPr>
          <w:p w14:paraId="0A389DC0" w14:textId="77777777" w:rsidR="00C123DE" w:rsidRDefault="00C123DE" w:rsidP="0012306D">
            <w:pPr>
              <w:rPr>
                <w:rFonts w:ascii="Arial" w:hAnsi="Arial" w:cs="Arial"/>
                <w:sz w:val="24"/>
              </w:rPr>
            </w:pPr>
            <w:r>
              <w:rPr>
                <w:rFonts w:ascii="Arial" w:hAnsi="Arial" w:cs="Arial"/>
                <w:sz w:val="24"/>
              </w:rPr>
              <w:t>20%</w:t>
            </w:r>
          </w:p>
        </w:tc>
      </w:tr>
    </w:tbl>
    <w:p w14:paraId="1467D48B" w14:textId="77777777" w:rsidR="001C2193" w:rsidRPr="001C2193" w:rsidRDefault="001C2193" w:rsidP="001C2193">
      <w:pPr>
        <w:rPr>
          <w:rFonts w:ascii="Arial" w:hAnsi="Arial" w:cs="Arial"/>
          <w:i/>
          <w:sz w:val="24"/>
        </w:rPr>
      </w:pPr>
      <w:r w:rsidRPr="001C2193">
        <w:rPr>
          <w:rFonts w:ascii="Arial" w:hAnsi="Arial" w:cs="Arial"/>
          <w:i/>
          <w:sz w:val="24"/>
        </w:rPr>
        <w:lastRenderedPageBreak/>
        <w:t>Source: Victorian government school administrative and AtoSS linked dataset, 2018, DET</w:t>
      </w:r>
    </w:p>
    <w:p w14:paraId="6E518287" w14:textId="77777777" w:rsidR="00114E70" w:rsidRDefault="001C2193" w:rsidP="001C2193">
      <w:pPr>
        <w:rPr>
          <w:rFonts w:ascii="Arial" w:hAnsi="Arial" w:cs="Arial"/>
          <w:sz w:val="24"/>
        </w:rPr>
      </w:pPr>
      <w:r w:rsidRPr="001C2193">
        <w:rPr>
          <w:rFonts w:ascii="Arial" w:hAnsi="Arial" w:cs="Arial"/>
          <w:sz w:val="24"/>
        </w:rPr>
        <w:t>Bullying is also associated with poorer academic performance. Government school students who reported having been bullied are less likely to be achieving in the top two bands of the National Assessment Program for Literacy and Numeracy, (NAPLAN) Reading and Numeracy, and more likely to be performing in the bottom two bands.</w:t>
      </w:r>
    </w:p>
    <w:p w14:paraId="4809716C" w14:textId="77777777" w:rsidR="00BE434E" w:rsidRPr="00FF1A0B" w:rsidRDefault="00BE434E" w:rsidP="00BE434E">
      <w:pPr>
        <w:rPr>
          <w:rFonts w:ascii="Arial" w:hAnsi="Arial" w:cs="Arial"/>
          <w:b/>
          <w:sz w:val="24"/>
        </w:rPr>
      </w:pPr>
      <w:r w:rsidRPr="00FF1A0B">
        <w:rPr>
          <w:rFonts w:ascii="Arial" w:hAnsi="Arial" w:cs="Arial"/>
          <w:b/>
          <w:sz w:val="24"/>
        </w:rPr>
        <w:t>Figure 23. NAPLAN Reading achievement by year level by reported bullying, 2018</w:t>
      </w:r>
    </w:p>
    <w:tbl>
      <w:tblPr>
        <w:tblStyle w:val="TableGrid"/>
        <w:tblW w:w="5000" w:type="pct"/>
        <w:tblLook w:val="04A0" w:firstRow="1" w:lastRow="0" w:firstColumn="1" w:lastColumn="0" w:noHBand="0" w:noVBand="1"/>
        <w:tblDescription w:val="This table provides information on NAPLAN Reading achievement by year level by reported bullying, 2018"/>
      </w:tblPr>
      <w:tblGrid>
        <w:gridCol w:w="1804"/>
        <w:gridCol w:w="1803"/>
        <w:gridCol w:w="1803"/>
        <w:gridCol w:w="1803"/>
        <w:gridCol w:w="1803"/>
      </w:tblGrid>
      <w:tr w:rsidR="00C123DE" w:rsidRPr="00054426" w14:paraId="7C9B6384" w14:textId="77777777" w:rsidTr="00C123DE">
        <w:trPr>
          <w:tblHeader/>
        </w:trPr>
        <w:tc>
          <w:tcPr>
            <w:tcW w:w="1000" w:type="pct"/>
          </w:tcPr>
          <w:p w14:paraId="2D512A28" w14:textId="77777777" w:rsidR="00C123DE" w:rsidRDefault="00C123DE" w:rsidP="0012306D">
            <w:pPr>
              <w:rPr>
                <w:rFonts w:ascii="Arial" w:hAnsi="Arial" w:cs="Arial"/>
                <w:sz w:val="24"/>
              </w:rPr>
            </w:pPr>
          </w:p>
        </w:tc>
        <w:tc>
          <w:tcPr>
            <w:tcW w:w="1000" w:type="pct"/>
          </w:tcPr>
          <w:p w14:paraId="1DCB05EB" w14:textId="77777777" w:rsidR="00C123DE" w:rsidRPr="00054426" w:rsidRDefault="00C123DE" w:rsidP="0012306D">
            <w:pPr>
              <w:rPr>
                <w:rFonts w:ascii="Arial" w:hAnsi="Arial" w:cs="Arial"/>
                <w:sz w:val="24"/>
              </w:rPr>
            </w:pPr>
            <w:r>
              <w:rPr>
                <w:rFonts w:ascii="Arial" w:hAnsi="Arial" w:cs="Arial"/>
                <w:sz w:val="24"/>
              </w:rPr>
              <w:t>Year 7 - Not bullied</w:t>
            </w:r>
          </w:p>
        </w:tc>
        <w:tc>
          <w:tcPr>
            <w:tcW w:w="1000" w:type="pct"/>
          </w:tcPr>
          <w:p w14:paraId="10AEC37E" w14:textId="77777777" w:rsidR="00C123DE" w:rsidRDefault="00C123DE" w:rsidP="0012306D">
            <w:pPr>
              <w:rPr>
                <w:rFonts w:ascii="Arial" w:hAnsi="Arial" w:cs="Arial"/>
                <w:sz w:val="24"/>
              </w:rPr>
            </w:pPr>
            <w:r>
              <w:rPr>
                <w:rFonts w:ascii="Arial" w:hAnsi="Arial" w:cs="Arial"/>
                <w:sz w:val="24"/>
              </w:rPr>
              <w:t>Year 7 - Bullied</w:t>
            </w:r>
          </w:p>
        </w:tc>
        <w:tc>
          <w:tcPr>
            <w:tcW w:w="1000" w:type="pct"/>
          </w:tcPr>
          <w:p w14:paraId="1B8E7851" w14:textId="77777777" w:rsidR="00C123DE" w:rsidRPr="00054426" w:rsidRDefault="00C123DE" w:rsidP="0012306D">
            <w:pPr>
              <w:rPr>
                <w:rFonts w:ascii="Arial" w:hAnsi="Arial" w:cs="Arial"/>
                <w:sz w:val="24"/>
              </w:rPr>
            </w:pPr>
            <w:r>
              <w:rPr>
                <w:rFonts w:ascii="Arial" w:hAnsi="Arial" w:cs="Arial"/>
                <w:sz w:val="24"/>
              </w:rPr>
              <w:t>Year 9 - Not bullied</w:t>
            </w:r>
          </w:p>
        </w:tc>
        <w:tc>
          <w:tcPr>
            <w:tcW w:w="1000" w:type="pct"/>
          </w:tcPr>
          <w:p w14:paraId="43AA701A" w14:textId="77777777" w:rsidR="00C123DE" w:rsidRDefault="00C123DE" w:rsidP="0012306D">
            <w:pPr>
              <w:rPr>
                <w:rFonts w:ascii="Arial" w:hAnsi="Arial" w:cs="Arial"/>
                <w:sz w:val="24"/>
              </w:rPr>
            </w:pPr>
            <w:r>
              <w:rPr>
                <w:rFonts w:ascii="Arial" w:hAnsi="Arial" w:cs="Arial"/>
                <w:sz w:val="24"/>
              </w:rPr>
              <w:t>Year 9 - Bullied</w:t>
            </w:r>
          </w:p>
        </w:tc>
      </w:tr>
      <w:tr w:rsidR="00C123DE" w14:paraId="2C8C85B3" w14:textId="77777777" w:rsidTr="00C123DE">
        <w:tc>
          <w:tcPr>
            <w:tcW w:w="1000" w:type="pct"/>
          </w:tcPr>
          <w:p w14:paraId="7045C97E" w14:textId="77777777" w:rsidR="00C123DE" w:rsidRDefault="00C123DE" w:rsidP="0012306D">
            <w:pPr>
              <w:rPr>
                <w:rFonts w:ascii="Arial" w:hAnsi="Arial" w:cs="Arial"/>
                <w:sz w:val="24"/>
              </w:rPr>
            </w:pPr>
            <w:r>
              <w:rPr>
                <w:rFonts w:ascii="Arial" w:hAnsi="Arial" w:cs="Arial"/>
                <w:sz w:val="24"/>
              </w:rPr>
              <w:t>Top two bands</w:t>
            </w:r>
          </w:p>
        </w:tc>
        <w:tc>
          <w:tcPr>
            <w:tcW w:w="1000" w:type="pct"/>
          </w:tcPr>
          <w:p w14:paraId="404FE16E" w14:textId="77777777" w:rsidR="00C123DE" w:rsidRDefault="00C123DE" w:rsidP="0012306D">
            <w:pPr>
              <w:rPr>
                <w:rFonts w:ascii="Arial" w:hAnsi="Arial" w:cs="Arial"/>
                <w:sz w:val="24"/>
              </w:rPr>
            </w:pPr>
            <w:r>
              <w:rPr>
                <w:rFonts w:ascii="Arial" w:hAnsi="Arial" w:cs="Arial"/>
                <w:sz w:val="24"/>
              </w:rPr>
              <w:t>29%</w:t>
            </w:r>
          </w:p>
        </w:tc>
        <w:tc>
          <w:tcPr>
            <w:tcW w:w="1000" w:type="pct"/>
          </w:tcPr>
          <w:p w14:paraId="53882023" w14:textId="77777777" w:rsidR="00C123DE" w:rsidRDefault="00C123DE" w:rsidP="0012306D">
            <w:pPr>
              <w:rPr>
                <w:rFonts w:ascii="Arial" w:hAnsi="Arial" w:cs="Arial"/>
                <w:sz w:val="24"/>
              </w:rPr>
            </w:pPr>
            <w:r>
              <w:rPr>
                <w:rFonts w:ascii="Arial" w:hAnsi="Arial" w:cs="Arial"/>
                <w:sz w:val="24"/>
              </w:rPr>
              <w:t>20%</w:t>
            </w:r>
          </w:p>
        </w:tc>
        <w:tc>
          <w:tcPr>
            <w:tcW w:w="1000" w:type="pct"/>
          </w:tcPr>
          <w:p w14:paraId="2845BD20" w14:textId="77777777" w:rsidR="00C123DE" w:rsidRDefault="00C123DE" w:rsidP="0012306D">
            <w:pPr>
              <w:rPr>
                <w:rFonts w:ascii="Arial" w:hAnsi="Arial" w:cs="Arial"/>
                <w:sz w:val="24"/>
              </w:rPr>
            </w:pPr>
            <w:r>
              <w:rPr>
                <w:rFonts w:ascii="Arial" w:hAnsi="Arial" w:cs="Arial"/>
                <w:sz w:val="24"/>
              </w:rPr>
              <w:t>23%</w:t>
            </w:r>
          </w:p>
        </w:tc>
        <w:tc>
          <w:tcPr>
            <w:tcW w:w="1000" w:type="pct"/>
          </w:tcPr>
          <w:p w14:paraId="1675495F" w14:textId="77777777" w:rsidR="00C123DE" w:rsidRDefault="00C123DE" w:rsidP="0012306D">
            <w:pPr>
              <w:rPr>
                <w:rFonts w:ascii="Arial" w:hAnsi="Arial" w:cs="Arial"/>
                <w:sz w:val="24"/>
              </w:rPr>
            </w:pPr>
            <w:r>
              <w:rPr>
                <w:rFonts w:ascii="Arial" w:hAnsi="Arial" w:cs="Arial"/>
                <w:sz w:val="24"/>
              </w:rPr>
              <w:t>13%</w:t>
            </w:r>
          </w:p>
        </w:tc>
      </w:tr>
      <w:tr w:rsidR="00C123DE" w14:paraId="3F1C6766" w14:textId="77777777" w:rsidTr="00C123DE">
        <w:tc>
          <w:tcPr>
            <w:tcW w:w="1000" w:type="pct"/>
          </w:tcPr>
          <w:p w14:paraId="25F1E2BF" w14:textId="77777777" w:rsidR="00C123DE" w:rsidRDefault="00C123DE" w:rsidP="0012306D">
            <w:pPr>
              <w:rPr>
                <w:rFonts w:ascii="Arial" w:hAnsi="Arial" w:cs="Arial"/>
                <w:sz w:val="24"/>
              </w:rPr>
            </w:pPr>
            <w:r w:rsidRPr="00FF1A0B">
              <w:rPr>
                <w:rFonts w:ascii="Arial" w:hAnsi="Arial" w:cs="Arial"/>
                <w:sz w:val="24"/>
              </w:rPr>
              <w:t>Middle bands</w:t>
            </w:r>
          </w:p>
        </w:tc>
        <w:tc>
          <w:tcPr>
            <w:tcW w:w="1000" w:type="pct"/>
          </w:tcPr>
          <w:p w14:paraId="4B946E23" w14:textId="77777777" w:rsidR="00C123DE" w:rsidRDefault="00FF1A0B" w:rsidP="0012306D">
            <w:pPr>
              <w:rPr>
                <w:rFonts w:ascii="Arial" w:hAnsi="Arial" w:cs="Arial"/>
                <w:sz w:val="24"/>
              </w:rPr>
            </w:pPr>
            <w:r>
              <w:rPr>
                <w:rFonts w:ascii="Arial" w:hAnsi="Arial" w:cs="Arial"/>
                <w:sz w:val="24"/>
              </w:rPr>
              <w:t>55%</w:t>
            </w:r>
          </w:p>
        </w:tc>
        <w:tc>
          <w:tcPr>
            <w:tcW w:w="1000" w:type="pct"/>
          </w:tcPr>
          <w:p w14:paraId="185209C3" w14:textId="77777777" w:rsidR="00C123DE" w:rsidRDefault="00FF1A0B" w:rsidP="0012306D">
            <w:pPr>
              <w:rPr>
                <w:rFonts w:ascii="Arial" w:hAnsi="Arial" w:cs="Arial"/>
                <w:sz w:val="24"/>
              </w:rPr>
            </w:pPr>
            <w:r>
              <w:rPr>
                <w:rFonts w:ascii="Arial" w:hAnsi="Arial" w:cs="Arial"/>
                <w:sz w:val="24"/>
              </w:rPr>
              <w:t>56%</w:t>
            </w:r>
          </w:p>
        </w:tc>
        <w:tc>
          <w:tcPr>
            <w:tcW w:w="1000" w:type="pct"/>
          </w:tcPr>
          <w:p w14:paraId="1E4D3789" w14:textId="77777777" w:rsidR="00C123DE" w:rsidRDefault="00FF1A0B" w:rsidP="0012306D">
            <w:pPr>
              <w:rPr>
                <w:rFonts w:ascii="Arial" w:hAnsi="Arial" w:cs="Arial"/>
                <w:sz w:val="24"/>
              </w:rPr>
            </w:pPr>
            <w:r>
              <w:rPr>
                <w:rFonts w:ascii="Arial" w:hAnsi="Arial" w:cs="Arial"/>
                <w:sz w:val="24"/>
              </w:rPr>
              <w:t>56%</w:t>
            </w:r>
          </w:p>
        </w:tc>
        <w:tc>
          <w:tcPr>
            <w:tcW w:w="1000" w:type="pct"/>
          </w:tcPr>
          <w:p w14:paraId="1358575E" w14:textId="77777777" w:rsidR="00C123DE" w:rsidRDefault="00FF1A0B" w:rsidP="0012306D">
            <w:pPr>
              <w:rPr>
                <w:rFonts w:ascii="Arial" w:hAnsi="Arial" w:cs="Arial"/>
                <w:sz w:val="24"/>
              </w:rPr>
            </w:pPr>
            <w:r>
              <w:rPr>
                <w:rFonts w:ascii="Arial" w:hAnsi="Arial" w:cs="Arial"/>
                <w:sz w:val="24"/>
              </w:rPr>
              <w:t>55%</w:t>
            </w:r>
          </w:p>
        </w:tc>
      </w:tr>
      <w:tr w:rsidR="00C123DE" w14:paraId="66C10B79" w14:textId="77777777" w:rsidTr="00C123DE">
        <w:tc>
          <w:tcPr>
            <w:tcW w:w="1000" w:type="pct"/>
          </w:tcPr>
          <w:p w14:paraId="3FB77B03" w14:textId="77777777" w:rsidR="00C123DE" w:rsidRDefault="00C123DE" w:rsidP="0012306D">
            <w:pPr>
              <w:rPr>
                <w:rFonts w:ascii="Arial" w:hAnsi="Arial" w:cs="Arial"/>
                <w:sz w:val="24"/>
              </w:rPr>
            </w:pPr>
            <w:r>
              <w:rPr>
                <w:rFonts w:ascii="Arial" w:hAnsi="Arial" w:cs="Arial"/>
                <w:sz w:val="24"/>
              </w:rPr>
              <w:t>Bottom two bands</w:t>
            </w:r>
          </w:p>
        </w:tc>
        <w:tc>
          <w:tcPr>
            <w:tcW w:w="1000" w:type="pct"/>
          </w:tcPr>
          <w:p w14:paraId="7CF6FC73" w14:textId="77777777" w:rsidR="00C123DE" w:rsidRDefault="00C123DE" w:rsidP="0012306D">
            <w:pPr>
              <w:rPr>
                <w:rFonts w:ascii="Arial" w:hAnsi="Arial" w:cs="Arial"/>
                <w:sz w:val="24"/>
              </w:rPr>
            </w:pPr>
            <w:r>
              <w:rPr>
                <w:rFonts w:ascii="Arial" w:hAnsi="Arial" w:cs="Arial"/>
                <w:sz w:val="24"/>
              </w:rPr>
              <w:t>16%</w:t>
            </w:r>
          </w:p>
        </w:tc>
        <w:tc>
          <w:tcPr>
            <w:tcW w:w="1000" w:type="pct"/>
          </w:tcPr>
          <w:p w14:paraId="2A3FCA3B" w14:textId="77777777" w:rsidR="00C123DE" w:rsidRDefault="00C123DE" w:rsidP="0012306D">
            <w:pPr>
              <w:rPr>
                <w:rFonts w:ascii="Arial" w:hAnsi="Arial" w:cs="Arial"/>
                <w:sz w:val="24"/>
              </w:rPr>
            </w:pPr>
            <w:r>
              <w:rPr>
                <w:rFonts w:ascii="Arial" w:hAnsi="Arial" w:cs="Arial"/>
                <w:sz w:val="24"/>
              </w:rPr>
              <w:t>24%</w:t>
            </w:r>
          </w:p>
        </w:tc>
        <w:tc>
          <w:tcPr>
            <w:tcW w:w="1000" w:type="pct"/>
          </w:tcPr>
          <w:p w14:paraId="6C3DF60C" w14:textId="77777777" w:rsidR="00C123DE" w:rsidRDefault="00C123DE" w:rsidP="0012306D">
            <w:pPr>
              <w:rPr>
                <w:rFonts w:ascii="Arial" w:hAnsi="Arial" w:cs="Arial"/>
                <w:sz w:val="24"/>
              </w:rPr>
            </w:pPr>
            <w:r>
              <w:rPr>
                <w:rFonts w:ascii="Arial" w:hAnsi="Arial" w:cs="Arial"/>
                <w:sz w:val="24"/>
              </w:rPr>
              <w:t>21%</w:t>
            </w:r>
          </w:p>
        </w:tc>
        <w:tc>
          <w:tcPr>
            <w:tcW w:w="1000" w:type="pct"/>
          </w:tcPr>
          <w:p w14:paraId="2015288A" w14:textId="77777777" w:rsidR="00C123DE" w:rsidRDefault="00C123DE" w:rsidP="0012306D">
            <w:pPr>
              <w:rPr>
                <w:rFonts w:ascii="Arial" w:hAnsi="Arial" w:cs="Arial"/>
                <w:sz w:val="24"/>
              </w:rPr>
            </w:pPr>
            <w:r>
              <w:rPr>
                <w:rFonts w:ascii="Arial" w:hAnsi="Arial" w:cs="Arial"/>
                <w:sz w:val="24"/>
              </w:rPr>
              <w:t>32%</w:t>
            </w:r>
          </w:p>
        </w:tc>
      </w:tr>
    </w:tbl>
    <w:p w14:paraId="16E21CE4" w14:textId="77777777" w:rsidR="002B21C3" w:rsidRPr="002B21C3" w:rsidRDefault="002B21C3" w:rsidP="002B21C3">
      <w:pPr>
        <w:rPr>
          <w:rFonts w:ascii="Arial" w:hAnsi="Arial" w:cs="Arial"/>
          <w:i/>
          <w:sz w:val="24"/>
        </w:rPr>
      </w:pPr>
      <w:r w:rsidRPr="002B21C3">
        <w:rPr>
          <w:rFonts w:ascii="Arial" w:hAnsi="Arial" w:cs="Arial"/>
          <w:i/>
          <w:sz w:val="24"/>
        </w:rPr>
        <w:t>Source: NAPLAN and AtoSS linked dataset, 2018, DET</w:t>
      </w:r>
    </w:p>
    <w:p w14:paraId="7B7B1AEF" w14:textId="77777777" w:rsidR="00E55AE1" w:rsidRDefault="002B21C3" w:rsidP="002B21C3">
      <w:pPr>
        <w:rPr>
          <w:rFonts w:ascii="Arial" w:hAnsi="Arial" w:cs="Arial"/>
          <w:sz w:val="24"/>
        </w:rPr>
      </w:pPr>
      <w:r w:rsidRPr="002B21C3">
        <w:rPr>
          <w:rFonts w:ascii="Arial" w:hAnsi="Arial" w:cs="Arial"/>
          <w:sz w:val="24"/>
        </w:rPr>
        <w:t>While these relationships are not necessarily causal, it does indicate an association between social wellbeing, engagement with schooling and achievement, particularly for adolescents in the middle years of schooling</w:t>
      </w:r>
      <w:r>
        <w:rPr>
          <w:rFonts w:ascii="Arial" w:hAnsi="Arial" w:cs="Arial"/>
          <w:sz w:val="24"/>
        </w:rPr>
        <w:t>.</w:t>
      </w:r>
      <w:r w:rsidR="00FC582B">
        <w:rPr>
          <w:rFonts w:ascii="Arial" w:hAnsi="Arial" w:cs="Arial"/>
          <w:sz w:val="24"/>
        </w:rPr>
        <w:t xml:space="preserve"> </w:t>
      </w:r>
    </w:p>
    <w:p w14:paraId="3CC5474C" w14:textId="77777777" w:rsidR="00E55AE1" w:rsidRPr="007851FC" w:rsidRDefault="00E55AE1" w:rsidP="007851FC">
      <w:pPr>
        <w:pStyle w:val="Heading3"/>
        <w:rPr>
          <w:rFonts w:ascii="Arial" w:hAnsi="Arial" w:cs="Arial"/>
          <w:color w:val="000000" w:themeColor="text1"/>
          <w:sz w:val="24"/>
          <w:szCs w:val="24"/>
        </w:rPr>
      </w:pPr>
      <w:bookmarkStart w:id="33" w:name="_Toc33527758"/>
      <w:r w:rsidRPr="007851FC">
        <w:rPr>
          <w:rFonts w:ascii="Arial" w:hAnsi="Arial" w:cs="Arial"/>
          <w:color w:val="000000" w:themeColor="text1"/>
          <w:sz w:val="24"/>
          <w:szCs w:val="24"/>
        </w:rPr>
        <w:t>3.6</w:t>
      </w:r>
      <w:r w:rsidRPr="007851FC">
        <w:rPr>
          <w:rFonts w:ascii="Arial" w:hAnsi="Arial" w:cs="Arial"/>
          <w:color w:val="000000" w:themeColor="text1"/>
          <w:sz w:val="24"/>
          <w:szCs w:val="24"/>
        </w:rPr>
        <w:tab/>
        <w:t>Around one in ten adolescents report being cyberbullied</w:t>
      </w:r>
      <w:bookmarkEnd w:id="33"/>
    </w:p>
    <w:p w14:paraId="774D0DD7" w14:textId="77777777" w:rsidR="00E55AE1" w:rsidRPr="00E55AE1" w:rsidRDefault="00E55AE1" w:rsidP="00E55AE1">
      <w:pPr>
        <w:rPr>
          <w:rFonts w:ascii="Arial" w:hAnsi="Arial" w:cs="Arial"/>
          <w:noProof/>
          <w:sz w:val="24"/>
          <w:lang w:eastAsia="en-AU"/>
        </w:rPr>
      </w:pPr>
      <w:r w:rsidRPr="00E55AE1">
        <w:rPr>
          <w:rFonts w:ascii="Arial" w:hAnsi="Arial" w:cs="Arial"/>
          <w:noProof/>
          <w:sz w:val="24"/>
          <w:lang w:eastAsia="en-AU"/>
        </w:rPr>
        <w:t>Cyberbullying has emerged as a significant issue for adolescents, reflective of their increased use of digital and social media. Cyberbullying is associated with adverse mental health outcomes (Pingault &amp; Schoeler, 2017). According to recent research, students reporting high levels of cyberbullying are more likely to report high levels of stress, suicidal ideation, depression, anxiety, loneliness, conduct and emotional problems, drug and alcohol use, reduced life satisfaction and reduced self-esteem (Kowalski, Limber, &amp; McCord, 2019).</w:t>
      </w:r>
    </w:p>
    <w:p w14:paraId="6218EC23" w14:textId="77777777" w:rsidR="00E55AE1" w:rsidRPr="00E55AE1" w:rsidRDefault="00E55AE1" w:rsidP="00E55AE1">
      <w:pPr>
        <w:rPr>
          <w:rFonts w:ascii="Arial" w:hAnsi="Arial" w:cs="Arial"/>
          <w:noProof/>
          <w:sz w:val="24"/>
          <w:lang w:eastAsia="en-AU"/>
        </w:rPr>
      </w:pPr>
      <w:r w:rsidRPr="00E55AE1">
        <w:rPr>
          <w:rFonts w:ascii="Arial" w:hAnsi="Arial" w:cs="Arial"/>
          <w:noProof/>
          <w:sz w:val="24"/>
          <w:lang w:eastAsia="en-AU"/>
        </w:rPr>
        <w:t>In 2018, nine per cent of Year 8 and 11 students were estimated to have been bullied or picked on by another person while online – a rate stable since 2014. However,</w:t>
      </w:r>
      <w:r>
        <w:rPr>
          <w:rFonts w:ascii="Arial" w:hAnsi="Arial" w:cs="Arial"/>
          <w:noProof/>
          <w:sz w:val="24"/>
          <w:lang w:eastAsia="en-AU"/>
        </w:rPr>
        <w:t xml:space="preserve"> </w:t>
      </w:r>
      <w:r w:rsidRPr="00E55AE1">
        <w:rPr>
          <w:rFonts w:ascii="Arial" w:hAnsi="Arial" w:cs="Arial"/>
          <w:noProof/>
          <w:sz w:val="24"/>
          <w:lang w:eastAsia="en-AU"/>
        </w:rPr>
        <w:t>34 per cent of students reported that they had experienced unwelcome behaviours on the internet in the last 12 months that could be considered bullying behaviour.</w:t>
      </w:r>
    </w:p>
    <w:p w14:paraId="7127DE71" w14:textId="77777777" w:rsidR="00E55AE1" w:rsidRPr="00E55AE1" w:rsidRDefault="00E55AE1" w:rsidP="00E55AE1">
      <w:pPr>
        <w:rPr>
          <w:rFonts w:ascii="Arial" w:hAnsi="Arial" w:cs="Arial"/>
          <w:noProof/>
          <w:sz w:val="24"/>
          <w:lang w:eastAsia="en-AU"/>
        </w:rPr>
      </w:pPr>
      <w:r w:rsidRPr="00E55AE1">
        <w:rPr>
          <w:rFonts w:ascii="Arial" w:hAnsi="Arial" w:cs="Arial"/>
          <w:noProof/>
          <w:sz w:val="24"/>
          <w:lang w:eastAsia="en-AU"/>
        </w:rPr>
        <w:t>While a single experience of these unwelcome behaviours does not equate to bullying, repeated exposure does.</w:t>
      </w:r>
    </w:p>
    <w:p w14:paraId="218D8C30" w14:textId="77777777" w:rsidR="00E55AE1" w:rsidRPr="00E55AE1" w:rsidRDefault="00E55AE1" w:rsidP="00E55AE1">
      <w:pPr>
        <w:rPr>
          <w:rFonts w:ascii="Arial" w:hAnsi="Arial" w:cs="Arial"/>
          <w:noProof/>
          <w:sz w:val="24"/>
          <w:lang w:eastAsia="en-AU"/>
        </w:rPr>
      </w:pPr>
      <w:r w:rsidRPr="00E55AE1">
        <w:rPr>
          <w:rFonts w:ascii="Arial" w:hAnsi="Arial" w:cs="Arial"/>
          <w:noProof/>
          <w:sz w:val="24"/>
          <w:lang w:eastAsia="en-AU"/>
        </w:rPr>
        <w:t>In 2018, female students were more likely than male students to report:</w:t>
      </w:r>
    </w:p>
    <w:p w14:paraId="4E47E015" w14:textId="77777777" w:rsidR="00E55AE1" w:rsidRPr="00E55AE1" w:rsidRDefault="00E55AE1" w:rsidP="00E55AE1">
      <w:pPr>
        <w:pStyle w:val="ListParagraph"/>
        <w:numPr>
          <w:ilvl w:val="0"/>
          <w:numId w:val="14"/>
        </w:numPr>
        <w:rPr>
          <w:rFonts w:ascii="Arial" w:hAnsi="Arial" w:cs="Arial"/>
          <w:noProof/>
          <w:sz w:val="24"/>
          <w:lang w:eastAsia="en-AU"/>
        </w:rPr>
      </w:pPr>
      <w:r w:rsidRPr="00E55AE1">
        <w:rPr>
          <w:rFonts w:ascii="Arial" w:hAnsi="Arial" w:cs="Arial"/>
          <w:noProof/>
          <w:sz w:val="24"/>
          <w:lang w:eastAsia="en-AU"/>
        </w:rPr>
        <w:t>experiences of unwelcome internet behaviours (38 per cent, compared to 29 per cent of males)</w:t>
      </w:r>
    </w:p>
    <w:p w14:paraId="366C6CE2" w14:textId="77777777" w:rsidR="00E55AE1" w:rsidRPr="00E55AE1" w:rsidRDefault="00E55AE1" w:rsidP="00E55AE1">
      <w:pPr>
        <w:pStyle w:val="ListParagraph"/>
        <w:numPr>
          <w:ilvl w:val="0"/>
          <w:numId w:val="14"/>
        </w:numPr>
        <w:rPr>
          <w:rFonts w:ascii="Arial" w:hAnsi="Arial" w:cs="Arial"/>
          <w:noProof/>
          <w:sz w:val="24"/>
          <w:lang w:eastAsia="en-AU"/>
        </w:rPr>
      </w:pPr>
      <w:r w:rsidRPr="00E55AE1">
        <w:rPr>
          <w:rFonts w:ascii="Arial" w:hAnsi="Arial" w:cs="Arial"/>
          <w:noProof/>
          <w:sz w:val="24"/>
          <w:lang w:eastAsia="en-AU"/>
        </w:rPr>
        <w:t xml:space="preserve">that someone had posted something on the student’s social networking page that made them uncomfortable (13 per cent, compared to nine per </w:t>
      </w:r>
      <w:r w:rsidRPr="00E55AE1">
        <w:rPr>
          <w:rFonts w:ascii="Arial" w:hAnsi="Arial" w:cs="Arial"/>
          <w:noProof/>
          <w:sz w:val="24"/>
          <w:lang w:eastAsia="en-AU"/>
        </w:rPr>
        <w:lastRenderedPageBreak/>
        <w:t>cent)</w:t>
      </w:r>
    </w:p>
    <w:p w14:paraId="7899D91D" w14:textId="77777777" w:rsidR="00E55AE1" w:rsidRPr="00E55AE1" w:rsidRDefault="00E55AE1" w:rsidP="00E55AE1">
      <w:pPr>
        <w:pStyle w:val="ListParagraph"/>
        <w:numPr>
          <w:ilvl w:val="0"/>
          <w:numId w:val="14"/>
        </w:numPr>
        <w:rPr>
          <w:rFonts w:ascii="Arial" w:hAnsi="Arial" w:cs="Arial"/>
          <w:noProof/>
          <w:sz w:val="24"/>
          <w:lang w:eastAsia="en-AU"/>
        </w:rPr>
      </w:pPr>
      <w:r w:rsidRPr="00E55AE1">
        <w:rPr>
          <w:rFonts w:ascii="Arial" w:hAnsi="Arial" w:cs="Arial"/>
          <w:noProof/>
          <w:sz w:val="24"/>
          <w:lang w:eastAsia="en-AU"/>
        </w:rPr>
        <w:t>that they had received an instant message that made them uncomfortable (23 per cent, compared to 11 per cent)</w:t>
      </w:r>
    </w:p>
    <w:p w14:paraId="412B2486" w14:textId="77777777" w:rsidR="00E55AE1" w:rsidRPr="00E55AE1" w:rsidRDefault="00E55AE1" w:rsidP="00E55AE1">
      <w:pPr>
        <w:pStyle w:val="ListParagraph"/>
        <w:numPr>
          <w:ilvl w:val="0"/>
          <w:numId w:val="14"/>
        </w:numPr>
        <w:rPr>
          <w:rFonts w:ascii="Arial" w:hAnsi="Arial" w:cs="Arial"/>
          <w:noProof/>
          <w:sz w:val="24"/>
          <w:lang w:eastAsia="en-AU"/>
        </w:rPr>
      </w:pPr>
      <w:r w:rsidRPr="00E55AE1">
        <w:rPr>
          <w:rFonts w:ascii="Arial" w:hAnsi="Arial" w:cs="Arial"/>
          <w:noProof/>
          <w:sz w:val="24"/>
          <w:lang w:eastAsia="en-AU"/>
        </w:rPr>
        <w:t>that someone had posted something about the student online that made them uncomfortable (11 per cent, compared to seven per cent).</w:t>
      </w:r>
    </w:p>
    <w:p w14:paraId="2F24ED3E" w14:textId="77777777" w:rsidR="00B82B4E" w:rsidRDefault="00E55AE1" w:rsidP="00B82B4E">
      <w:pPr>
        <w:pStyle w:val="ListParagraph"/>
        <w:numPr>
          <w:ilvl w:val="0"/>
          <w:numId w:val="16"/>
        </w:numPr>
        <w:rPr>
          <w:noProof/>
          <w:lang w:eastAsia="en-AU"/>
        </w:rPr>
      </w:pPr>
      <w:r w:rsidRPr="00E55AE1">
        <w:rPr>
          <w:rFonts w:ascii="Arial" w:hAnsi="Arial" w:cs="Arial"/>
          <w:noProof/>
          <w:sz w:val="24"/>
          <w:lang w:eastAsia="en-AU"/>
        </w:rPr>
        <w:t>By contrast, male students were slightly more likely to report that they had been made fun of in a chat room (19 per cent, compared to 15 per cent of females).</w:t>
      </w:r>
    </w:p>
    <w:p w14:paraId="36AE1EB8" w14:textId="77777777" w:rsidR="00EA0BE1" w:rsidRDefault="00EA0BE1" w:rsidP="00CD51E3">
      <w:pPr>
        <w:rPr>
          <w:rFonts w:ascii="Arial" w:hAnsi="Arial" w:cs="Arial"/>
          <w:b/>
          <w:noProof/>
          <w:sz w:val="24"/>
          <w:lang w:eastAsia="en-AU"/>
        </w:rPr>
      </w:pPr>
    </w:p>
    <w:p w14:paraId="50DD3F5A" w14:textId="77777777" w:rsidR="00414520" w:rsidRDefault="00414520" w:rsidP="00CD51E3">
      <w:pPr>
        <w:rPr>
          <w:rFonts w:ascii="Arial" w:hAnsi="Arial" w:cs="Arial"/>
          <w:b/>
          <w:noProof/>
          <w:sz w:val="24"/>
          <w:lang w:eastAsia="en-AU"/>
        </w:rPr>
      </w:pPr>
      <w:r w:rsidRPr="00EA0BE1">
        <w:rPr>
          <w:rFonts w:ascii="Arial" w:hAnsi="Arial" w:cs="Arial"/>
          <w:b/>
          <w:noProof/>
          <w:sz w:val="24"/>
          <w:lang w:eastAsia="en-AU"/>
        </w:rPr>
        <w:t>Figure 24. Proportion of Victorian students (Years 8 &amp; 11) who experienced unwelcome cyber behaviours, by gender, 2018</w:t>
      </w:r>
    </w:p>
    <w:tbl>
      <w:tblPr>
        <w:tblStyle w:val="TableGrid"/>
        <w:tblW w:w="5000" w:type="pct"/>
        <w:tblLook w:val="04A0" w:firstRow="1" w:lastRow="0" w:firstColumn="1" w:lastColumn="0" w:noHBand="0" w:noVBand="1"/>
        <w:tblDescription w:val="This table provides information on the proportion of Victorian students (Years 8 &amp; 11) who experienced unwelcome cyber behaviours, by gender, 2018"/>
      </w:tblPr>
      <w:tblGrid>
        <w:gridCol w:w="3005"/>
        <w:gridCol w:w="3007"/>
        <w:gridCol w:w="3004"/>
      </w:tblGrid>
      <w:tr w:rsidR="00C84289" w:rsidRPr="00054426" w14:paraId="18902B5F" w14:textId="77777777" w:rsidTr="00C84289">
        <w:trPr>
          <w:tblHeader/>
        </w:trPr>
        <w:tc>
          <w:tcPr>
            <w:tcW w:w="1666" w:type="pct"/>
          </w:tcPr>
          <w:p w14:paraId="52D4369C" w14:textId="77777777" w:rsidR="00C84289" w:rsidRDefault="00C84289" w:rsidP="0012306D">
            <w:pPr>
              <w:rPr>
                <w:rFonts w:ascii="Arial" w:hAnsi="Arial" w:cs="Arial"/>
                <w:sz w:val="24"/>
              </w:rPr>
            </w:pPr>
          </w:p>
        </w:tc>
        <w:tc>
          <w:tcPr>
            <w:tcW w:w="1667" w:type="pct"/>
          </w:tcPr>
          <w:p w14:paraId="323FF37C" w14:textId="77777777" w:rsidR="00C84289" w:rsidRPr="00054426" w:rsidRDefault="00C84289" w:rsidP="0012306D">
            <w:pPr>
              <w:rPr>
                <w:rFonts w:ascii="Arial" w:hAnsi="Arial" w:cs="Arial"/>
                <w:sz w:val="24"/>
              </w:rPr>
            </w:pPr>
            <w:r>
              <w:rPr>
                <w:rFonts w:ascii="Arial" w:hAnsi="Arial" w:cs="Arial"/>
                <w:sz w:val="24"/>
              </w:rPr>
              <w:t>Male</w:t>
            </w:r>
          </w:p>
        </w:tc>
        <w:tc>
          <w:tcPr>
            <w:tcW w:w="1666" w:type="pct"/>
          </w:tcPr>
          <w:p w14:paraId="5A6CBCB4" w14:textId="77777777" w:rsidR="00C84289" w:rsidRDefault="00C84289" w:rsidP="0012306D">
            <w:pPr>
              <w:rPr>
                <w:rFonts w:ascii="Arial" w:hAnsi="Arial" w:cs="Arial"/>
                <w:sz w:val="24"/>
              </w:rPr>
            </w:pPr>
            <w:r>
              <w:rPr>
                <w:rFonts w:ascii="Arial" w:hAnsi="Arial" w:cs="Arial"/>
                <w:sz w:val="24"/>
              </w:rPr>
              <w:t>Female</w:t>
            </w:r>
          </w:p>
        </w:tc>
      </w:tr>
      <w:tr w:rsidR="00C84289" w14:paraId="6939B483" w14:textId="77777777" w:rsidTr="00C84289">
        <w:tc>
          <w:tcPr>
            <w:tcW w:w="1666" w:type="pct"/>
          </w:tcPr>
          <w:p w14:paraId="6DDC9727" w14:textId="77777777" w:rsidR="00C84289" w:rsidRDefault="00C84289" w:rsidP="0012306D">
            <w:pPr>
              <w:rPr>
                <w:rFonts w:ascii="Arial" w:hAnsi="Arial" w:cs="Arial"/>
                <w:sz w:val="24"/>
              </w:rPr>
            </w:pPr>
            <w:r>
              <w:rPr>
                <w:rFonts w:ascii="Arial" w:hAnsi="Arial" w:cs="Arial"/>
                <w:sz w:val="24"/>
              </w:rPr>
              <w:t>Overall</w:t>
            </w:r>
          </w:p>
        </w:tc>
        <w:tc>
          <w:tcPr>
            <w:tcW w:w="1667" w:type="pct"/>
          </w:tcPr>
          <w:p w14:paraId="429FA37C" w14:textId="77777777" w:rsidR="00C84289" w:rsidRDefault="00C84289" w:rsidP="0012306D">
            <w:pPr>
              <w:rPr>
                <w:rFonts w:ascii="Arial" w:hAnsi="Arial" w:cs="Arial"/>
                <w:sz w:val="24"/>
              </w:rPr>
            </w:pPr>
            <w:r>
              <w:rPr>
                <w:rFonts w:ascii="Arial" w:hAnsi="Arial" w:cs="Arial"/>
                <w:sz w:val="24"/>
              </w:rPr>
              <w:t>29%</w:t>
            </w:r>
          </w:p>
        </w:tc>
        <w:tc>
          <w:tcPr>
            <w:tcW w:w="1666" w:type="pct"/>
          </w:tcPr>
          <w:p w14:paraId="014FB0AE" w14:textId="77777777" w:rsidR="00C84289" w:rsidRDefault="00C84289" w:rsidP="0012306D">
            <w:pPr>
              <w:rPr>
                <w:rFonts w:ascii="Arial" w:hAnsi="Arial" w:cs="Arial"/>
                <w:sz w:val="24"/>
              </w:rPr>
            </w:pPr>
            <w:r>
              <w:rPr>
                <w:rFonts w:ascii="Arial" w:hAnsi="Arial" w:cs="Arial"/>
                <w:sz w:val="24"/>
              </w:rPr>
              <w:t>38%</w:t>
            </w:r>
          </w:p>
        </w:tc>
      </w:tr>
      <w:tr w:rsidR="00C84289" w14:paraId="16D027F5" w14:textId="77777777" w:rsidTr="00C84289">
        <w:tc>
          <w:tcPr>
            <w:tcW w:w="1666" w:type="pct"/>
          </w:tcPr>
          <w:p w14:paraId="65CEF35C" w14:textId="77777777" w:rsidR="00C84289" w:rsidRDefault="00C84289" w:rsidP="0012306D">
            <w:pPr>
              <w:rPr>
                <w:rFonts w:ascii="Arial" w:hAnsi="Arial" w:cs="Arial"/>
                <w:sz w:val="24"/>
              </w:rPr>
            </w:pPr>
            <w:r>
              <w:rPr>
                <w:rFonts w:ascii="Arial" w:hAnsi="Arial" w:cs="Arial"/>
                <w:sz w:val="24"/>
              </w:rPr>
              <w:t>Post of profile</w:t>
            </w:r>
          </w:p>
        </w:tc>
        <w:tc>
          <w:tcPr>
            <w:tcW w:w="1667" w:type="pct"/>
          </w:tcPr>
          <w:p w14:paraId="4F5AF9B2" w14:textId="77777777" w:rsidR="00C84289" w:rsidRDefault="00C84289" w:rsidP="0012306D">
            <w:pPr>
              <w:rPr>
                <w:rFonts w:ascii="Arial" w:hAnsi="Arial" w:cs="Arial"/>
                <w:sz w:val="24"/>
              </w:rPr>
            </w:pPr>
            <w:r>
              <w:rPr>
                <w:rFonts w:ascii="Arial" w:hAnsi="Arial" w:cs="Arial"/>
                <w:sz w:val="24"/>
              </w:rPr>
              <w:t>9%</w:t>
            </w:r>
          </w:p>
        </w:tc>
        <w:tc>
          <w:tcPr>
            <w:tcW w:w="1666" w:type="pct"/>
          </w:tcPr>
          <w:p w14:paraId="702A035E" w14:textId="77777777" w:rsidR="00C84289" w:rsidRDefault="00C84289" w:rsidP="0012306D">
            <w:pPr>
              <w:rPr>
                <w:rFonts w:ascii="Arial" w:hAnsi="Arial" w:cs="Arial"/>
                <w:sz w:val="24"/>
              </w:rPr>
            </w:pPr>
            <w:r>
              <w:rPr>
                <w:rFonts w:ascii="Arial" w:hAnsi="Arial" w:cs="Arial"/>
                <w:sz w:val="24"/>
              </w:rPr>
              <w:t>13%</w:t>
            </w:r>
          </w:p>
        </w:tc>
      </w:tr>
      <w:tr w:rsidR="00C84289" w14:paraId="70D848CF" w14:textId="77777777" w:rsidTr="00C84289">
        <w:tc>
          <w:tcPr>
            <w:tcW w:w="1666" w:type="pct"/>
          </w:tcPr>
          <w:p w14:paraId="4A99B0C1" w14:textId="77777777" w:rsidR="00C84289" w:rsidRDefault="00C84289" w:rsidP="0012306D">
            <w:pPr>
              <w:rPr>
                <w:rFonts w:ascii="Arial" w:hAnsi="Arial" w:cs="Arial"/>
                <w:sz w:val="24"/>
              </w:rPr>
            </w:pPr>
            <w:r>
              <w:rPr>
                <w:rFonts w:ascii="Arial" w:hAnsi="Arial" w:cs="Arial"/>
                <w:sz w:val="24"/>
              </w:rPr>
              <w:t>Instant message</w:t>
            </w:r>
          </w:p>
        </w:tc>
        <w:tc>
          <w:tcPr>
            <w:tcW w:w="1667" w:type="pct"/>
          </w:tcPr>
          <w:p w14:paraId="051EB249" w14:textId="77777777" w:rsidR="00C84289" w:rsidRDefault="00C84289" w:rsidP="00C84289">
            <w:pPr>
              <w:rPr>
                <w:rFonts w:ascii="Arial" w:hAnsi="Arial" w:cs="Arial"/>
                <w:sz w:val="24"/>
              </w:rPr>
            </w:pPr>
            <w:r>
              <w:rPr>
                <w:rFonts w:ascii="Arial" w:hAnsi="Arial" w:cs="Arial"/>
                <w:sz w:val="24"/>
              </w:rPr>
              <w:t>11%</w:t>
            </w:r>
          </w:p>
        </w:tc>
        <w:tc>
          <w:tcPr>
            <w:tcW w:w="1666" w:type="pct"/>
          </w:tcPr>
          <w:p w14:paraId="05AA49A7" w14:textId="77777777" w:rsidR="00C84289" w:rsidRDefault="00C84289" w:rsidP="0012306D">
            <w:pPr>
              <w:rPr>
                <w:rFonts w:ascii="Arial" w:hAnsi="Arial" w:cs="Arial"/>
                <w:sz w:val="24"/>
              </w:rPr>
            </w:pPr>
            <w:r>
              <w:rPr>
                <w:rFonts w:ascii="Arial" w:hAnsi="Arial" w:cs="Arial"/>
                <w:sz w:val="24"/>
              </w:rPr>
              <w:t>23%</w:t>
            </w:r>
          </w:p>
        </w:tc>
      </w:tr>
      <w:tr w:rsidR="00C84289" w14:paraId="76BAAF8B" w14:textId="77777777" w:rsidTr="00C84289">
        <w:tc>
          <w:tcPr>
            <w:tcW w:w="1666" w:type="pct"/>
          </w:tcPr>
          <w:p w14:paraId="346E0F6E" w14:textId="77777777" w:rsidR="00C84289" w:rsidRDefault="00C84289" w:rsidP="0012306D">
            <w:pPr>
              <w:rPr>
                <w:rFonts w:ascii="Arial" w:hAnsi="Arial" w:cs="Arial"/>
                <w:sz w:val="24"/>
              </w:rPr>
            </w:pPr>
            <w:r>
              <w:rPr>
                <w:rFonts w:ascii="Arial" w:hAnsi="Arial" w:cs="Arial"/>
                <w:sz w:val="24"/>
              </w:rPr>
              <w:t>Public post</w:t>
            </w:r>
          </w:p>
        </w:tc>
        <w:tc>
          <w:tcPr>
            <w:tcW w:w="1667" w:type="pct"/>
          </w:tcPr>
          <w:p w14:paraId="7D52CDE4" w14:textId="77777777" w:rsidR="00C84289" w:rsidRDefault="00C84289" w:rsidP="0012306D">
            <w:pPr>
              <w:rPr>
                <w:rFonts w:ascii="Arial" w:hAnsi="Arial" w:cs="Arial"/>
                <w:sz w:val="24"/>
              </w:rPr>
            </w:pPr>
            <w:r>
              <w:rPr>
                <w:rFonts w:ascii="Arial" w:hAnsi="Arial" w:cs="Arial"/>
                <w:sz w:val="24"/>
              </w:rPr>
              <w:t>7%</w:t>
            </w:r>
          </w:p>
        </w:tc>
        <w:tc>
          <w:tcPr>
            <w:tcW w:w="1666" w:type="pct"/>
          </w:tcPr>
          <w:p w14:paraId="6CB1A959" w14:textId="77777777" w:rsidR="00C84289" w:rsidRDefault="00C84289" w:rsidP="0012306D">
            <w:pPr>
              <w:rPr>
                <w:rFonts w:ascii="Arial" w:hAnsi="Arial" w:cs="Arial"/>
                <w:sz w:val="24"/>
              </w:rPr>
            </w:pPr>
            <w:r>
              <w:rPr>
                <w:rFonts w:ascii="Arial" w:hAnsi="Arial" w:cs="Arial"/>
                <w:sz w:val="24"/>
              </w:rPr>
              <w:t>11%</w:t>
            </w:r>
          </w:p>
        </w:tc>
      </w:tr>
      <w:tr w:rsidR="00C84289" w14:paraId="0AEA8779" w14:textId="77777777" w:rsidTr="00C84289">
        <w:tc>
          <w:tcPr>
            <w:tcW w:w="1666" w:type="pct"/>
          </w:tcPr>
          <w:p w14:paraId="72ED5D35" w14:textId="77777777" w:rsidR="00C84289" w:rsidRDefault="00C84289" w:rsidP="0012306D">
            <w:pPr>
              <w:rPr>
                <w:rFonts w:ascii="Arial" w:hAnsi="Arial" w:cs="Arial"/>
                <w:sz w:val="24"/>
              </w:rPr>
            </w:pPr>
            <w:r>
              <w:rPr>
                <w:rFonts w:ascii="Arial" w:hAnsi="Arial" w:cs="Arial"/>
                <w:sz w:val="24"/>
              </w:rPr>
              <w:t>Chat room</w:t>
            </w:r>
          </w:p>
        </w:tc>
        <w:tc>
          <w:tcPr>
            <w:tcW w:w="1667" w:type="pct"/>
          </w:tcPr>
          <w:p w14:paraId="171DA1E2" w14:textId="77777777" w:rsidR="00C84289" w:rsidRDefault="00C84289" w:rsidP="0012306D">
            <w:pPr>
              <w:rPr>
                <w:rFonts w:ascii="Arial" w:hAnsi="Arial" w:cs="Arial"/>
                <w:sz w:val="24"/>
              </w:rPr>
            </w:pPr>
            <w:r>
              <w:rPr>
                <w:rFonts w:ascii="Arial" w:hAnsi="Arial" w:cs="Arial"/>
                <w:sz w:val="24"/>
              </w:rPr>
              <w:t>19%</w:t>
            </w:r>
          </w:p>
        </w:tc>
        <w:tc>
          <w:tcPr>
            <w:tcW w:w="1666" w:type="pct"/>
          </w:tcPr>
          <w:p w14:paraId="66D816AB" w14:textId="77777777" w:rsidR="00C84289" w:rsidRDefault="00C84289" w:rsidP="0012306D">
            <w:pPr>
              <w:rPr>
                <w:rFonts w:ascii="Arial" w:hAnsi="Arial" w:cs="Arial"/>
                <w:sz w:val="24"/>
              </w:rPr>
            </w:pPr>
            <w:r>
              <w:rPr>
                <w:rFonts w:ascii="Arial" w:hAnsi="Arial" w:cs="Arial"/>
                <w:sz w:val="24"/>
              </w:rPr>
              <w:t>15%</w:t>
            </w:r>
          </w:p>
        </w:tc>
      </w:tr>
    </w:tbl>
    <w:p w14:paraId="625BEF44" w14:textId="77777777" w:rsidR="00942620" w:rsidRPr="007D25F1" w:rsidRDefault="007D25F1" w:rsidP="00CD51E3">
      <w:pPr>
        <w:rPr>
          <w:rFonts w:ascii="Arial" w:hAnsi="Arial" w:cs="Arial"/>
          <w:i/>
          <w:noProof/>
          <w:sz w:val="24"/>
          <w:lang w:eastAsia="en-AU"/>
        </w:rPr>
      </w:pPr>
      <w:r w:rsidRPr="007D25F1">
        <w:rPr>
          <w:rFonts w:ascii="Arial" w:hAnsi="Arial" w:cs="Arial"/>
          <w:i/>
          <w:noProof/>
          <w:sz w:val="24"/>
          <w:lang w:eastAsia="en-AU"/>
        </w:rPr>
        <w:t>Source: VSHAWS, 2018, DET</w:t>
      </w:r>
    </w:p>
    <w:p w14:paraId="7BF6FA63" w14:textId="77777777" w:rsidR="00CD51E3" w:rsidRPr="00CD51E3" w:rsidRDefault="00CD51E3" w:rsidP="00CD51E3">
      <w:pPr>
        <w:pBdr>
          <w:top w:val="single" w:sz="4" w:space="1" w:color="auto"/>
          <w:left w:val="single" w:sz="4" w:space="1" w:color="auto"/>
          <w:bottom w:val="single" w:sz="4" w:space="1" w:color="auto"/>
          <w:right w:val="single" w:sz="4" w:space="1" w:color="auto"/>
        </w:pBdr>
        <w:rPr>
          <w:rFonts w:ascii="Arial" w:hAnsi="Arial" w:cs="Arial"/>
          <w:b/>
          <w:sz w:val="24"/>
        </w:rPr>
      </w:pPr>
      <w:r w:rsidRPr="00CD51E3">
        <w:rPr>
          <w:rFonts w:ascii="Arial" w:hAnsi="Arial" w:cs="Arial"/>
          <w:b/>
          <w:sz w:val="24"/>
        </w:rPr>
        <w:t>Bystander behaviours in relation to cyberbullying</w:t>
      </w:r>
    </w:p>
    <w:p w14:paraId="4CF09D61" w14:textId="77777777" w:rsidR="00CD51E3" w:rsidRPr="00CD51E3" w:rsidRDefault="00CD51E3" w:rsidP="00CD51E3">
      <w:pPr>
        <w:pBdr>
          <w:top w:val="single" w:sz="4" w:space="1" w:color="auto"/>
          <w:left w:val="single" w:sz="4" w:space="1" w:color="auto"/>
          <w:bottom w:val="single" w:sz="4" w:space="1" w:color="auto"/>
          <w:right w:val="single" w:sz="4" w:space="1" w:color="auto"/>
        </w:pBdr>
        <w:rPr>
          <w:rFonts w:ascii="Arial" w:hAnsi="Arial" w:cs="Arial"/>
          <w:sz w:val="24"/>
        </w:rPr>
      </w:pPr>
      <w:r w:rsidRPr="00CD51E3">
        <w:rPr>
          <w:rFonts w:ascii="Arial" w:hAnsi="Arial" w:cs="Arial"/>
          <w:sz w:val="24"/>
        </w:rPr>
        <w:t>Bystanders are present in the majority of cyberbullying incidents, both online (through shared social media) or in person. Their behaviour is important because it has the potential to actively reinforce bullying with positive feedback, passively encourage bullying by providing an audience, or discourage further bullying behaviour by intervening. International research indicates that the bystander’s socioeconomic status, quality of life, relation to the bully, and family living</w:t>
      </w:r>
    </w:p>
    <w:p w14:paraId="45D25DFE" w14:textId="77777777" w:rsidR="00E55AE1" w:rsidRDefault="00CD51E3" w:rsidP="00CD51E3">
      <w:pPr>
        <w:pBdr>
          <w:top w:val="single" w:sz="4" w:space="1" w:color="auto"/>
          <w:left w:val="single" w:sz="4" w:space="1" w:color="auto"/>
          <w:bottom w:val="single" w:sz="4" w:space="1" w:color="auto"/>
          <w:right w:val="single" w:sz="4" w:space="1" w:color="auto"/>
        </w:pBdr>
        <w:rPr>
          <w:rFonts w:ascii="Arial" w:hAnsi="Arial" w:cs="Arial"/>
          <w:sz w:val="24"/>
        </w:rPr>
      </w:pPr>
      <w:r w:rsidRPr="00CD51E3">
        <w:rPr>
          <w:rFonts w:ascii="Arial" w:hAnsi="Arial" w:cs="Arial"/>
          <w:sz w:val="24"/>
        </w:rPr>
        <w:t>status are not significant predictors of cyberbullying bystander behaviours. Harmful bystander behaviours were mainly predicted by individual characteristics, such as poor social and problem-solving coping skills, and attitudes such as victim blaming, which are related to moral disengagement (DeSmet, Bastiaensens,</w:t>
      </w:r>
      <w:r>
        <w:rPr>
          <w:rFonts w:ascii="Arial" w:hAnsi="Arial" w:cs="Arial"/>
          <w:sz w:val="24"/>
        </w:rPr>
        <w:t xml:space="preserve"> </w:t>
      </w:r>
      <w:r w:rsidRPr="00CD51E3">
        <w:rPr>
          <w:rFonts w:ascii="Arial" w:hAnsi="Arial" w:cs="Arial"/>
          <w:sz w:val="24"/>
        </w:rPr>
        <w:t>Van Cleemput, &amp; Poels, 2016).</w:t>
      </w:r>
    </w:p>
    <w:p w14:paraId="326CA540" w14:textId="77777777" w:rsidR="00381BDB" w:rsidRPr="00942620" w:rsidRDefault="00381BDB" w:rsidP="00942620">
      <w:pPr>
        <w:pStyle w:val="Heading3"/>
        <w:rPr>
          <w:rFonts w:ascii="Arial" w:hAnsi="Arial" w:cs="Arial"/>
          <w:color w:val="auto"/>
          <w:sz w:val="24"/>
        </w:rPr>
      </w:pPr>
      <w:bookmarkStart w:id="34" w:name="_Toc33527759"/>
      <w:r w:rsidRPr="00942620">
        <w:rPr>
          <w:rFonts w:ascii="Arial" w:hAnsi="Arial" w:cs="Arial"/>
          <w:color w:val="auto"/>
          <w:sz w:val="24"/>
        </w:rPr>
        <w:t>3.7</w:t>
      </w:r>
      <w:r w:rsidRPr="00942620">
        <w:rPr>
          <w:rFonts w:ascii="Arial" w:hAnsi="Arial" w:cs="Arial"/>
          <w:color w:val="auto"/>
          <w:sz w:val="24"/>
        </w:rPr>
        <w:tab/>
        <w:t>Experiences of bullying remain prevalent for LGBTIQ adolescents</w:t>
      </w:r>
      <w:bookmarkEnd w:id="34"/>
    </w:p>
    <w:p w14:paraId="0D0C6923" w14:textId="77777777" w:rsidR="00381BDB" w:rsidRPr="00381BDB" w:rsidRDefault="00381BDB" w:rsidP="00381BDB">
      <w:pPr>
        <w:rPr>
          <w:rFonts w:ascii="Arial" w:hAnsi="Arial" w:cs="Arial"/>
          <w:sz w:val="24"/>
        </w:rPr>
      </w:pPr>
      <w:r w:rsidRPr="00381BDB">
        <w:rPr>
          <w:rFonts w:ascii="Arial" w:hAnsi="Arial" w:cs="Arial"/>
          <w:sz w:val="24"/>
        </w:rPr>
        <w:t>Experiences of bullying behaviour reported by Lesbian, Gay, Bisexual, Trans and gender diverse, Intersex, and Queer (LGBTIQ) young people highlight the ongoing need to address homophobic and transphobic attitudes when they appear within the school or broader community, while promoting equitable and inclusive learning environments for all students regardless of gender or sexual orientation.</w:t>
      </w:r>
    </w:p>
    <w:p w14:paraId="302A11DF" w14:textId="77777777" w:rsidR="00381BDB" w:rsidRPr="00381BDB" w:rsidRDefault="00381BDB" w:rsidP="00381BDB">
      <w:pPr>
        <w:rPr>
          <w:rFonts w:ascii="Arial" w:hAnsi="Arial" w:cs="Arial"/>
          <w:sz w:val="24"/>
        </w:rPr>
      </w:pPr>
      <w:r w:rsidRPr="00381BDB">
        <w:rPr>
          <w:rFonts w:ascii="Arial" w:hAnsi="Arial" w:cs="Arial"/>
          <w:sz w:val="24"/>
        </w:rPr>
        <w:t>A survey of 704 LGBTIQ Australian secondary school students found that 94 per cent of participants had heard homophobic language at their school, with 58 per cent of this cohort reporting that they heard this language daily.</w:t>
      </w:r>
    </w:p>
    <w:p w14:paraId="58FC6DA7" w14:textId="77777777" w:rsidR="00381BDB" w:rsidRPr="00381BDB" w:rsidRDefault="00381BDB" w:rsidP="00381BDB">
      <w:pPr>
        <w:rPr>
          <w:rFonts w:ascii="Arial" w:hAnsi="Arial" w:cs="Arial"/>
          <w:sz w:val="24"/>
        </w:rPr>
      </w:pPr>
      <w:r w:rsidRPr="00381BDB">
        <w:rPr>
          <w:rFonts w:ascii="Arial" w:hAnsi="Arial" w:cs="Arial"/>
          <w:sz w:val="24"/>
        </w:rPr>
        <w:t>This research also found that:</w:t>
      </w:r>
    </w:p>
    <w:p w14:paraId="6707911B" w14:textId="77777777" w:rsidR="00381BDB" w:rsidRPr="00381BDB" w:rsidRDefault="00381BDB" w:rsidP="0093023F">
      <w:pPr>
        <w:pStyle w:val="ListParagraph"/>
        <w:numPr>
          <w:ilvl w:val="0"/>
          <w:numId w:val="14"/>
        </w:numPr>
        <w:rPr>
          <w:rFonts w:ascii="Arial" w:hAnsi="Arial" w:cs="Arial"/>
          <w:noProof/>
          <w:sz w:val="24"/>
          <w:lang w:eastAsia="en-AU"/>
        </w:rPr>
      </w:pPr>
      <w:r w:rsidRPr="00381BDB">
        <w:rPr>
          <w:rFonts w:ascii="Arial" w:hAnsi="Arial" w:cs="Arial"/>
          <w:noProof/>
          <w:sz w:val="24"/>
          <w:lang w:eastAsia="en-AU"/>
        </w:rPr>
        <w:lastRenderedPageBreak/>
        <w:t>45 per cent of participants indicated that they had witnessed school-based physical harassment of classmates perceived to be LGBTIQ, with 12 per cent of participants witnessing such harassment on a weekly basis</w:t>
      </w:r>
    </w:p>
    <w:p w14:paraId="2856B92A" w14:textId="77777777" w:rsidR="00381BDB" w:rsidRPr="00381BDB" w:rsidRDefault="00381BDB" w:rsidP="0093023F">
      <w:pPr>
        <w:pStyle w:val="ListParagraph"/>
        <w:numPr>
          <w:ilvl w:val="0"/>
          <w:numId w:val="14"/>
        </w:numPr>
        <w:rPr>
          <w:rFonts w:ascii="Arial" w:hAnsi="Arial" w:cs="Arial"/>
          <w:noProof/>
          <w:sz w:val="24"/>
          <w:lang w:eastAsia="en-AU"/>
        </w:rPr>
      </w:pPr>
      <w:r w:rsidRPr="00381BDB">
        <w:rPr>
          <w:rFonts w:ascii="Arial" w:hAnsi="Arial" w:cs="Arial"/>
          <w:noProof/>
          <w:sz w:val="24"/>
          <w:lang w:eastAsia="en-AU"/>
        </w:rPr>
        <w:t>almost 84 per cent of students said that homophobic language was used in the presence of adults at their school; however, only 19 students (3.2 per cent of the subsample) indicated that these adults “always” intervened in a positive manner</w:t>
      </w:r>
    </w:p>
    <w:p w14:paraId="220A3981" w14:textId="77777777" w:rsidR="00381BDB" w:rsidRPr="00381BDB" w:rsidRDefault="00381BDB" w:rsidP="0093023F">
      <w:pPr>
        <w:pStyle w:val="ListParagraph"/>
        <w:numPr>
          <w:ilvl w:val="0"/>
          <w:numId w:val="14"/>
        </w:numPr>
        <w:rPr>
          <w:rFonts w:ascii="Arial" w:hAnsi="Arial" w:cs="Arial"/>
          <w:noProof/>
          <w:sz w:val="24"/>
          <w:lang w:eastAsia="en-AU"/>
        </w:rPr>
      </w:pPr>
      <w:r w:rsidRPr="00381BDB">
        <w:rPr>
          <w:rFonts w:ascii="Arial" w:hAnsi="Arial" w:cs="Arial"/>
          <w:noProof/>
          <w:sz w:val="24"/>
          <w:lang w:eastAsia="en-AU"/>
        </w:rPr>
        <w:t>participants attending schools in which their school harassment policies explicitly included sexual orientation as a considered and protected cohort of the student population (16 per cent of participants) were significantly more likely to report their teachers’ intervention in instances of verbal and physical marginalisation of sexuality and gender diverse students, as well as their general positivity and support (Ullman, 2015).</w:t>
      </w:r>
    </w:p>
    <w:p w14:paraId="7D4CDB02" w14:textId="77777777" w:rsidR="00CD51E3" w:rsidRDefault="00381BDB" w:rsidP="00381BDB">
      <w:pPr>
        <w:rPr>
          <w:rFonts w:ascii="Arial" w:hAnsi="Arial" w:cs="Arial"/>
          <w:sz w:val="24"/>
        </w:rPr>
      </w:pPr>
      <w:r w:rsidRPr="00381BDB">
        <w:rPr>
          <w:rFonts w:ascii="Arial" w:hAnsi="Arial" w:cs="Arial"/>
          <w:sz w:val="24"/>
        </w:rPr>
        <w:t>Additionally, a recent nationwide survey of 859 transgender and gender diverse young people found that just under three in four participants reported being diagnosed</w:t>
      </w:r>
      <w:r>
        <w:rPr>
          <w:rFonts w:ascii="Arial" w:hAnsi="Arial" w:cs="Arial"/>
          <w:sz w:val="24"/>
        </w:rPr>
        <w:t xml:space="preserve"> </w:t>
      </w:r>
      <w:r w:rsidRPr="00381BDB">
        <w:rPr>
          <w:rFonts w:ascii="Arial" w:hAnsi="Arial" w:cs="Arial"/>
          <w:sz w:val="24"/>
        </w:rPr>
        <w:t>with depression (75 per cent) or an anxiety disorder (72 per cent). Of participants who reported a diagnosed mental health condition, 74 per cent of participants had experienced bullying, while 89 per cent of participants reported experiences of peer rejection (Strauss, et al., 2017).</w:t>
      </w:r>
    </w:p>
    <w:p w14:paraId="087AD111" w14:textId="77777777" w:rsidR="001B63A2" w:rsidRPr="001B63A2" w:rsidRDefault="001B63A2" w:rsidP="001B63A2">
      <w:pPr>
        <w:rPr>
          <w:rFonts w:ascii="Arial" w:hAnsi="Arial" w:cs="Arial"/>
          <w:sz w:val="24"/>
        </w:rPr>
      </w:pPr>
      <w:r w:rsidRPr="001B63A2">
        <w:rPr>
          <w:rFonts w:ascii="Arial" w:hAnsi="Arial" w:cs="Arial"/>
          <w:sz w:val="24"/>
        </w:rPr>
        <w:t>This report also found that 80 per cent of participants reported experiences of</w:t>
      </w:r>
      <w:r>
        <w:rPr>
          <w:rFonts w:ascii="Arial" w:hAnsi="Arial" w:cs="Arial"/>
          <w:sz w:val="24"/>
        </w:rPr>
        <w:t xml:space="preserve"> </w:t>
      </w:r>
      <w:r w:rsidRPr="001B63A2">
        <w:rPr>
          <w:rFonts w:ascii="Arial" w:hAnsi="Arial" w:cs="Arial"/>
          <w:sz w:val="24"/>
        </w:rPr>
        <w:t>self-harm, and 48 per cent reported an attempted suicide. Participants who reported self-harming were over three times more likely to report experiences of bullying than those who did not engage in self-harm. Similarly, participants who reported a suicide attempt were more than three and a half times more likely to report experiences of bullying than those who had not attempted suicide (Strauss, et al., 2017).</w:t>
      </w:r>
    </w:p>
    <w:p w14:paraId="6AB33E08" w14:textId="77777777" w:rsidR="001B63A2" w:rsidRPr="00942620" w:rsidRDefault="001B63A2" w:rsidP="00942620">
      <w:pPr>
        <w:pStyle w:val="Heading3"/>
        <w:rPr>
          <w:rFonts w:ascii="Arial" w:hAnsi="Arial" w:cs="Arial"/>
          <w:color w:val="auto"/>
          <w:sz w:val="24"/>
        </w:rPr>
      </w:pPr>
      <w:bookmarkStart w:id="35" w:name="_Toc33527760"/>
      <w:r w:rsidRPr="00942620">
        <w:rPr>
          <w:rFonts w:ascii="Arial" w:hAnsi="Arial" w:cs="Arial"/>
          <w:color w:val="auto"/>
          <w:sz w:val="24"/>
        </w:rPr>
        <w:t>3.8</w:t>
      </w:r>
      <w:r w:rsidRPr="00942620">
        <w:rPr>
          <w:rFonts w:ascii="Arial" w:hAnsi="Arial" w:cs="Arial"/>
          <w:color w:val="auto"/>
          <w:sz w:val="24"/>
        </w:rPr>
        <w:tab/>
        <w:t>Mental wellbeing in adolescence</w:t>
      </w:r>
      <w:bookmarkEnd w:id="35"/>
    </w:p>
    <w:p w14:paraId="795FB655" w14:textId="77777777" w:rsidR="001B63A2" w:rsidRPr="001B63A2" w:rsidRDefault="001B63A2" w:rsidP="001B63A2">
      <w:pPr>
        <w:rPr>
          <w:rFonts w:ascii="Arial" w:hAnsi="Arial" w:cs="Arial"/>
          <w:sz w:val="24"/>
        </w:rPr>
      </w:pPr>
      <w:r w:rsidRPr="001B63A2">
        <w:rPr>
          <w:rFonts w:ascii="Arial" w:hAnsi="Arial" w:cs="Arial"/>
          <w:sz w:val="24"/>
        </w:rPr>
        <w:t>Pro-social development is vital for young people. Adolescence is also commonly understood as the period in which mental health conditions, particularly anxiety and depression, first become apparent (Steinberg, 2017). These can have negative impacts on social development and educational achievement and may persist into</w:t>
      </w:r>
      <w:r>
        <w:rPr>
          <w:rFonts w:ascii="Arial" w:hAnsi="Arial" w:cs="Arial"/>
          <w:sz w:val="24"/>
        </w:rPr>
        <w:t xml:space="preserve"> </w:t>
      </w:r>
      <w:r w:rsidRPr="001B63A2">
        <w:rPr>
          <w:rFonts w:ascii="Arial" w:hAnsi="Arial" w:cs="Arial"/>
          <w:sz w:val="24"/>
        </w:rPr>
        <w:t>adulthood. International evidence indicates that the rates of mental health challenges and internalising behaviours, such as self-harm and suicide in adolescents,</w:t>
      </w:r>
      <w:r>
        <w:rPr>
          <w:rFonts w:ascii="Arial" w:hAnsi="Arial" w:cs="Arial"/>
          <w:sz w:val="24"/>
        </w:rPr>
        <w:t xml:space="preserve"> </w:t>
      </w:r>
      <w:r w:rsidRPr="001B63A2">
        <w:rPr>
          <w:rFonts w:ascii="Arial" w:hAnsi="Arial" w:cs="Arial"/>
          <w:sz w:val="24"/>
        </w:rPr>
        <w:t>are increasing in developing countries, indicating an area for further focus for governments worldwide.</w:t>
      </w:r>
    </w:p>
    <w:p w14:paraId="67E2DDA0" w14:textId="77777777" w:rsidR="00CD51E3" w:rsidRDefault="001B63A2" w:rsidP="001B63A2">
      <w:pPr>
        <w:rPr>
          <w:rFonts w:ascii="Arial" w:hAnsi="Arial" w:cs="Arial"/>
          <w:sz w:val="24"/>
        </w:rPr>
      </w:pPr>
      <w:r w:rsidRPr="001B63A2">
        <w:rPr>
          <w:rFonts w:ascii="Arial" w:hAnsi="Arial" w:cs="Arial"/>
          <w:sz w:val="24"/>
        </w:rPr>
        <w:t>In addition to environmental and school-based factors, research on adolescence suggests that genetic factors may be involved in the co-development of conduct and emotional problems across childhood and adolescence. This research further</w:t>
      </w:r>
      <w:r>
        <w:rPr>
          <w:rFonts w:ascii="Arial" w:hAnsi="Arial" w:cs="Arial"/>
          <w:sz w:val="24"/>
        </w:rPr>
        <w:t xml:space="preserve"> </w:t>
      </w:r>
      <w:r w:rsidRPr="001B63A2">
        <w:rPr>
          <w:rFonts w:ascii="Arial" w:hAnsi="Arial" w:cs="Arial"/>
          <w:sz w:val="24"/>
        </w:rPr>
        <w:t>suggests that individuals with co-developing symptoms across multiple domains may represent a clinical subgroup, characterized by increased levels of risk (Hannigan, et al., 2018).</w:t>
      </w:r>
    </w:p>
    <w:p w14:paraId="055D41FC" w14:textId="77777777" w:rsidR="00E575A8" w:rsidRDefault="00E575A8" w:rsidP="001B63A2">
      <w:pPr>
        <w:rPr>
          <w:rFonts w:ascii="Arial" w:hAnsi="Arial" w:cs="Arial"/>
          <w:sz w:val="24"/>
        </w:rPr>
      </w:pPr>
    </w:p>
    <w:p w14:paraId="65B90183" w14:textId="77777777" w:rsidR="00E575A8" w:rsidRDefault="00E575A8" w:rsidP="001B63A2">
      <w:pPr>
        <w:rPr>
          <w:rFonts w:ascii="Arial" w:hAnsi="Arial" w:cs="Arial"/>
          <w:sz w:val="24"/>
        </w:rPr>
      </w:pPr>
    </w:p>
    <w:p w14:paraId="057BFBCD" w14:textId="77777777" w:rsidR="001B63A2" w:rsidRPr="001B63A2" w:rsidRDefault="001B63A2" w:rsidP="001B63A2">
      <w:pPr>
        <w:pBdr>
          <w:top w:val="single" w:sz="4" w:space="1" w:color="auto"/>
          <w:left w:val="single" w:sz="4" w:space="4" w:color="auto"/>
          <w:bottom w:val="single" w:sz="4" w:space="1" w:color="auto"/>
          <w:right w:val="single" w:sz="4" w:space="4" w:color="auto"/>
        </w:pBdr>
        <w:rPr>
          <w:rFonts w:ascii="Arial" w:hAnsi="Arial" w:cs="Arial"/>
          <w:b/>
          <w:sz w:val="24"/>
        </w:rPr>
      </w:pPr>
      <w:r w:rsidRPr="001B63A2">
        <w:rPr>
          <w:rFonts w:ascii="Arial" w:hAnsi="Arial" w:cs="Arial"/>
          <w:b/>
          <w:sz w:val="24"/>
        </w:rPr>
        <w:lastRenderedPageBreak/>
        <w:t>Royal Commission into Victoria’s Mental Health System</w:t>
      </w:r>
    </w:p>
    <w:p w14:paraId="00778898" w14:textId="77777777" w:rsidR="001B63A2" w:rsidRPr="001B63A2" w:rsidRDefault="001B63A2" w:rsidP="001B63A2">
      <w:pPr>
        <w:pBdr>
          <w:top w:val="single" w:sz="4" w:space="1" w:color="auto"/>
          <w:left w:val="single" w:sz="4" w:space="4" w:color="auto"/>
          <w:bottom w:val="single" w:sz="4" w:space="1" w:color="auto"/>
          <w:right w:val="single" w:sz="4" w:space="4" w:color="auto"/>
        </w:pBdr>
        <w:rPr>
          <w:rFonts w:ascii="Arial" w:hAnsi="Arial" w:cs="Arial"/>
          <w:sz w:val="24"/>
        </w:rPr>
      </w:pPr>
      <w:r w:rsidRPr="001B63A2">
        <w:rPr>
          <w:rFonts w:ascii="Arial" w:hAnsi="Arial" w:cs="Arial"/>
          <w:sz w:val="24"/>
        </w:rPr>
        <w:t>The Royal Commission into Victoria’s Mental Health System has been tasked with making recommendations to improve access to mental health services, service navigation and models of care. These include how to:</w:t>
      </w:r>
    </w:p>
    <w:p w14:paraId="04BFEDA3" w14:textId="77777777" w:rsidR="001B63A2" w:rsidRPr="001B63A2" w:rsidRDefault="001B63A2" w:rsidP="001B63A2">
      <w:pPr>
        <w:pBdr>
          <w:top w:val="single" w:sz="4" w:space="1" w:color="auto"/>
          <w:left w:val="single" w:sz="4" w:space="4" w:color="auto"/>
          <w:bottom w:val="single" w:sz="4" w:space="1" w:color="auto"/>
          <w:right w:val="single" w:sz="4" w:space="4" w:color="auto"/>
        </w:pBdr>
        <w:rPr>
          <w:rFonts w:ascii="Arial" w:hAnsi="Arial" w:cs="Arial"/>
          <w:sz w:val="24"/>
        </w:rPr>
      </w:pPr>
      <w:r>
        <w:rPr>
          <w:rFonts w:ascii="Arial" w:hAnsi="Arial" w:cs="Arial"/>
          <w:sz w:val="24"/>
        </w:rPr>
        <w:t xml:space="preserve">• </w:t>
      </w:r>
      <w:r w:rsidRPr="001B63A2">
        <w:rPr>
          <w:rFonts w:ascii="Arial" w:hAnsi="Arial" w:cs="Arial"/>
          <w:sz w:val="24"/>
        </w:rPr>
        <w:t>most effectively prevent mental illness and suicide, and support people to recover from mental illness, early in life, early in illness and early in episode, through Victoria’s mental health system, and in close partnership with other services</w:t>
      </w:r>
    </w:p>
    <w:p w14:paraId="520C4574" w14:textId="77777777" w:rsidR="001B63A2" w:rsidRPr="001B63A2" w:rsidRDefault="001B63A2" w:rsidP="001B63A2">
      <w:pPr>
        <w:pBdr>
          <w:top w:val="single" w:sz="4" w:space="1" w:color="auto"/>
          <w:left w:val="single" w:sz="4" w:space="4" w:color="auto"/>
          <w:bottom w:val="single" w:sz="4" w:space="1" w:color="auto"/>
          <w:right w:val="single" w:sz="4" w:space="4" w:color="auto"/>
        </w:pBdr>
        <w:rPr>
          <w:rFonts w:ascii="Arial" w:hAnsi="Arial" w:cs="Arial"/>
          <w:sz w:val="24"/>
        </w:rPr>
      </w:pPr>
      <w:r w:rsidRPr="001B63A2">
        <w:rPr>
          <w:rFonts w:ascii="Arial" w:hAnsi="Arial" w:cs="Arial"/>
          <w:sz w:val="24"/>
        </w:rPr>
        <w:t>•</w:t>
      </w:r>
      <w:r>
        <w:rPr>
          <w:rFonts w:ascii="Arial" w:hAnsi="Arial" w:cs="Arial"/>
          <w:sz w:val="24"/>
        </w:rPr>
        <w:t xml:space="preserve"> </w:t>
      </w:r>
      <w:r w:rsidRPr="001B63A2">
        <w:rPr>
          <w:rFonts w:ascii="Arial" w:hAnsi="Arial" w:cs="Arial"/>
          <w:sz w:val="24"/>
        </w:rPr>
        <w:t>deliver the best mental health outcomes and improve access to and the navigation of Victoria’s mental health system for people of all ages</w:t>
      </w:r>
    </w:p>
    <w:p w14:paraId="3BD1642A" w14:textId="77777777" w:rsidR="001B63A2" w:rsidRPr="001B63A2" w:rsidRDefault="001B63A2" w:rsidP="001B63A2">
      <w:pPr>
        <w:pBdr>
          <w:top w:val="single" w:sz="4" w:space="1" w:color="auto"/>
          <w:left w:val="single" w:sz="4" w:space="4" w:color="auto"/>
          <w:bottom w:val="single" w:sz="4" w:space="1" w:color="auto"/>
          <w:right w:val="single" w:sz="4" w:space="4" w:color="auto"/>
        </w:pBdr>
        <w:rPr>
          <w:rFonts w:ascii="Arial" w:hAnsi="Arial" w:cs="Arial"/>
          <w:sz w:val="24"/>
        </w:rPr>
      </w:pPr>
      <w:r w:rsidRPr="001B63A2">
        <w:rPr>
          <w:rFonts w:ascii="Arial" w:hAnsi="Arial" w:cs="Arial"/>
          <w:sz w:val="24"/>
        </w:rPr>
        <w:t>•</w:t>
      </w:r>
      <w:r>
        <w:rPr>
          <w:rFonts w:ascii="Arial" w:hAnsi="Arial" w:cs="Arial"/>
          <w:sz w:val="24"/>
        </w:rPr>
        <w:t xml:space="preserve"> </w:t>
      </w:r>
      <w:r w:rsidRPr="001B63A2">
        <w:rPr>
          <w:rFonts w:ascii="Arial" w:hAnsi="Arial" w:cs="Arial"/>
          <w:sz w:val="24"/>
        </w:rPr>
        <w:t>best support the needs of family members and carers of people living with mental illness</w:t>
      </w:r>
    </w:p>
    <w:p w14:paraId="6AFC84DC" w14:textId="77777777" w:rsidR="001B63A2" w:rsidRPr="001B63A2" w:rsidRDefault="001B63A2" w:rsidP="001B63A2">
      <w:pPr>
        <w:pBdr>
          <w:top w:val="single" w:sz="4" w:space="1" w:color="auto"/>
          <w:left w:val="single" w:sz="4" w:space="4" w:color="auto"/>
          <w:bottom w:val="single" w:sz="4" w:space="1" w:color="auto"/>
          <w:right w:val="single" w:sz="4" w:space="4" w:color="auto"/>
        </w:pBdr>
        <w:rPr>
          <w:rFonts w:ascii="Arial" w:hAnsi="Arial" w:cs="Arial"/>
          <w:sz w:val="24"/>
        </w:rPr>
      </w:pPr>
      <w:r w:rsidRPr="001B63A2">
        <w:rPr>
          <w:rFonts w:ascii="Arial" w:hAnsi="Arial" w:cs="Arial"/>
          <w:sz w:val="24"/>
        </w:rPr>
        <w:t>•</w:t>
      </w:r>
      <w:r>
        <w:rPr>
          <w:rFonts w:ascii="Arial" w:hAnsi="Arial" w:cs="Arial"/>
          <w:sz w:val="24"/>
        </w:rPr>
        <w:t xml:space="preserve"> </w:t>
      </w:r>
      <w:r w:rsidRPr="001B63A2">
        <w:rPr>
          <w:rFonts w:ascii="Arial" w:hAnsi="Arial" w:cs="Arial"/>
          <w:sz w:val="24"/>
        </w:rPr>
        <w:t>improve mental health outcomes, taking into account best practice and person-centred treatment and care models for those in the Victorian community, especially those at greater risk of experiencing poor mental health</w:t>
      </w:r>
    </w:p>
    <w:p w14:paraId="7481D172" w14:textId="77777777" w:rsidR="001B63A2" w:rsidRPr="001B63A2" w:rsidRDefault="001B63A2" w:rsidP="001B63A2">
      <w:pPr>
        <w:pBdr>
          <w:top w:val="single" w:sz="4" w:space="1" w:color="auto"/>
          <w:left w:val="single" w:sz="4" w:space="4" w:color="auto"/>
          <w:bottom w:val="single" w:sz="4" w:space="1" w:color="auto"/>
          <w:right w:val="single" w:sz="4" w:space="4" w:color="auto"/>
        </w:pBdr>
        <w:rPr>
          <w:rFonts w:ascii="Arial" w:hAnsi="Arial" w:cs="Arial"/>
          <w:sz w:val="24"/>
        </w:rPr>
      </w:pPr>
      <w:r>
        <w:rPr>
          <w:rFonts w:ascii="Arial" w:hAnsi="Arial" w:cs="Arial"/>
          <w:sz w:val="24"/>
        </w:rPr>
        <w:t xml:space="preserve">• </w:t>
      </w:r>
      <w:r w:rsidRPr="001B63A2">
        <w:rPr>
          <w:rFonts w:ascii="Arial" w:hAnsi="Arial" w:cs="Arial"/>
          <w:sz w:val="24"/>
        </w:rPr>
        <w:t>best support those in the Victorian community who are living with both mental illness and problematic alcohol and drug use, including through evidence-based harm minimisation approaches.</w:t>
      </w:r>
    </w:p>
    <w:p w14:paraId="334D076A" w14:textId="77777777" w:rsidR="001B63A2" w:rsidRDefault="001B63A2" w:rsidP="001B63A2">
      <w:pPr>
        <w:pBdr>
          <w:top w:val="single" w:sz="4" w:space="1" w:color="auto"/>
          <w:left w:val="single" w:sz="4" w:space="4" w:color="auto"/>
          <w:bottom w:val="single" w:sz="4" w:space="1" w:color="auto"/>
          <w:right w:val="single" w:sz="4" w:space="4" w:color="auto"/>
        </w:pBdr>
        <w:rPr>
          <w:rFonts w:ascii="Arial" w:hAnsi="Arial" w:cs="Arial"/>
          <w:sz w:val="24"/>
        </w:rPr>
      </w:pPr>
      <w:r w:rsidRPr="001B63A2">
        <w:rPr>
          <w:rFonts w:ascii="Arial" w:hAnsi="Arial" w:cs="Arial"/>
          <w:sz w:val="24"/>
        </w:rPr>
        <w:t>The recommendations will address the needs of children and young people, including those in or formerly in out of home care.</w:t>
      </w:r>
    </w:p>
    <w:p w14:paraId="2D2230DF" w14:textId="77777777" w:rsidR="001B63A2" w:rsidRPr="00942620" w:rsidRDefault="001B63A2" w:rsidP="00942620">
      <w:pPr>
        <w:pStyle w:val="Heading3"/>
        <w:rPr>
          <w:rFonts w:ascii="Arial" w:hAnsi="Arial" w:cs="Arial"/>
          <w:color w:val="auto"/>
          <w:sz w:val="24"/>
        </w:rPr>
      </w:pPr>
      <w:bookmarkStart w:id="36" w:name="_Toc33527761"/>
      <w:r w:rsidRPr="00942620">
        <w:rPr>
          <w:rFonts w:ascii="Arial" w:hAnsi="Arial" w:cs="Arial"/>
          <w:color w:val="auto"/>
          <w:sz w:val="24"/>
        </w:rPr>
        <w:t>3.9</w:t>
      </w:r>
      <w:r w:rsidRPr="00942620">
        <w:rPr>
          <w:rFonts w:ascii="Arial" w:hAnsi="Arial" w:cs="Arial"/>
          <w:color w:val="auto"/>
          <w:sz w:val="24"/>
        </w:rPr>
        <w:tab/>
        <w:t>More Victorian adolescents are reporting depressive symptoms</w:t>
      </w:r>
      <w:bookmarkEnd w:id="36"/>
    </w:p>
    <w:p w14:paraId="13B999CE" w14:textId="77777777" w:rsidR="001B63A2" w:rsidRPr="001B63A2" w:rsidRDefault="001B63A2" w:rsidP="001B63A2">
      <w:pPr>
        <w:rPr>
          <w:rFonts w:ascii="Arial" w:hAnsi="Arial" w:cs="Arial"/>
          <w:sz w:val="24"/>
        </w:rPr>
      </w:pPr>
      <w:r w:rsidRPr="001B63A2">
        <w:rPr>
          <w:rFonts w:ascii="Arial" w:hAnsi="Arial" w:cs="Arial"/>
          <w:sz w:val="24"/>
        </w:rPr>
        <w:t>Major depressive disorder is a serious condition characterised by extended periods of low mood, low self-esteem, loss of interest in enjoyable activities and pain without a clear cause. Depressed individuals can often experience low moods (lasting for two weeks or more), fluctuations in weight and diminished ability to concentrate.</w:t>
      </w:r>
      <w:r w:rsidR="00942620">
        <w:rPr>
          <w:rFonts w:ascii="Arial" w:hAnsi="Arial" w:cs="Arial"/>
          <w:sz w:val="24"/>
        </w:rPr>
        <w:t xml:space="preserve"> </w:t>
      </w:r>
      <w:r w:rsidRPr="001B63A2">
        <w:rPr>
          <w:rFonts w:ascii="Arial" w:hAnsi="Arial" w:cs="Arial"/>
          <w:sz w:val="24"/>
        </w:rPr>
        <w:t>For adolescents, these symptoms can result in disruptions to school attendance and achievement, alongside challenges in developing peer relationships and social development more broadly.</w:t>
      </w:r>
    </w:p>
    <w:p w14:paraId="524E2F8E" w14:textId="77777777" w:rsidR="001B63A2" w:rsidRDefault="001B63A2" w:rsidP="001B63A2">
      <w:pPr>
        <w:rPr>
          <w:rFonts w:ascii="Arial" w:hAnsi="Arial" w:cs="Arial"/>
          <w:sz w:val="24"/>
        </w:rPr>
      </w:pPr>
      <w:r w:rsidRPr="001B63A2">
        <w:rPr>
          <w:rFonts w:ascii="Arial" w:hAnsi="Arial" w:cs="Arial"/>
          <w:sz w:val="24"/>
        </w:rPr>
        <w:t>VSHAWS incorporates a short epidemiological scale designed to pick up depressive symptoms among children and adolescents. In 2018, one in four participating secondary school students reported high levels of psychological distress, including 24 per cent of Year 8s and 28 per cent of Year 11s, continuing an increasing trend from 2014. High distress levels were much more prevalent among female students (33 per cent) than males (16 per cent), and among those living with one parent (33 per cent) compared to two parents (24 per cent).</w:t>
      </w:r>
    </w:p>
    <w:p w14:paraId="1C832B83" w14:textId="77777777" w:rsidR="001B63A2" w:rsidRDefault="00EC15DB" w:rsidP="001B63A2">
      <w:pPr>
        <w:rPr>
          <w:rFonts w:ascii="Arial" w:hAnsi="Arial" w:cs="Arial"/>
          <w:b/>
          <w:sz w:val="24"/>
        </w:rPr>
      </w:pPr>
      <w:r w:rsidRPr="005177B7">
        <w:rPr>
          <w:rFonts w:ascii="Arial" w:hAnsi="Arial" w:cs="Arial"/>
          <w:b/>
          <w:sz w:val="24"/>
        </w:rPr>
        <w:t>Figure 25. Proportion of Victorian students (Years 8 &amp; 11) reporting high levels of psychological distress, by year level, 2014–2018</w:t>
      </w:r>
    </w:p>
    <w:tbl>
      <w:tblPr>
        <w:tblStyle w:val="TableGrid"/>
        <w:tblW w:w="5000" w:type="pct"/>
        <w:tblLook w:val="04A0" w:firstRow="1" w:lastRow="0" w:firstColumn="1" w:lastColumn="0" w:noHBand="0" w:noVBand="1"/>
        <w:tblDescription w:val="This table provides information on the proportion of Victorian students (Years 8 &amp; 11) reporting high levels of psychological distress, by year level, 2014–2018"/>
      </w:tblPr>
      <w:tblGrid>
        <w:gridCol w:w="3005"/>
        <w:gridCol w:w="3007"/>
        <w:gridCol w:w="3004"/>
      </w:tblGrid>
      <w:tr w:rsidR="00EA0BE1" w:rsidRPr="00054426" w14:paraId="18EB9985" w14:textId="77777777" w:rsidTr="0012306D">
        <w:trPr>
          <w:tblHeader/>
        </w:trPr>
        <w:tc>
          <w:tcPr>
            <w:tcW w:w="1666" w:type="pct"/>
          </w:tcPr>
          <w:p w14:paraId="6F28FAA8" w14:textId="77777777" w:rsidR="00EA0BE1" w:rsidRDefault="00EA0BE1" w:rsidP="0012306D">
            <w:pPr>
              <w:rPr>
                <w:rFonts w:ascii="Arial" w:hAnsi="Arial" w:cs="Arial"/>
                <w:sz w:val="24"/>
              </w:rPr>
            </w:pPr>
          </w:p>
        </w:tc>
        <w:tc>
          <w:tcPr>
            <w:tcW w:w="1667" w:type="pct"/>
          </w:tcPr>
          <w:p w14:paraId="1224F678" w14:textId="77777777" w:rsidR="00EA0BE1" w:rsidRPr="00054426" w:rsidRDefault="005177B7" w:rsidP="0012306D">
            <w:pPr>
              <w:rPr>
                <w:rFonts w:ascii="Arial" w:hAnsi="Arial" w:cs="Arial"/>
                <w:sz w:val="24"/>
              </w:rPr>
            </w:pPr>
            <w:r>
              <w:rPr>
                <w:rFonts w:ascii="Arial" w:hAnsi="Arial" w:cs="Arial"/>
                <w:sz w:val="24"/>
              </w:rPr>
              <w:t>Year 8</w:t>
            </w:r>
          </w:p>
        </w:tc>
        <w:tc>
          <w:tcPr>
            <w:tcW w:w="1666" w:type="pct"/>
          </w:tcPr>
          <w:p w14:paraId="2F1021C0" w14:textId="77777777" w:rsidR="00EA0BE1" w:rsidRDefault="005177B7" w:rsidP="0012306D">
            <w:pPr>
              <w:rPr>
                <w:rFonts w:ascii="Arial" w:hAnsi="Arial" w:cs="Arial"/>
                <w:sz w:val="24"/>
              </w:rPr>
            </w:pPr>
            <w:r>
              <w:rPr>
                <w:rFonts w:ascii="Arial" w:hAnsi="Arial" w:cs="Arial"/>
                <w:sz w:val="24"/>
              </w:rPr>
              <w:t>Year 11</w:t>
            </w:r>
          </w:p>
        </w:tc>
      </w:tr>
      <w:tr w:rsidR="00EA0BE1" w14:paraId="3B4D68EC" w14:textId="77777777" w:rsidTr="0012306D">
        <w:tc>
          <w:tcPr>
            <w:tcW w:w="1666" w:type="pct"/>
          </w:tcPr>
          <w:p w14:paraId="216D43D5" w14:textId="77777777" w:rsidR="00EA0BE1" w:rsidRDefault="005177B7" w:rsidP="0012306D">
            <w:pPr>
              <w:rPr>
                <w:rFonts w:ascii="Arial" w:hAnsi="Arial" w:cs="Arial"/>
                <w:sz w:val="24"/>
              </w:rPr>
            </w:pPr>
            <w:r>
              <w:rPr>
                <w:rFonts w:ascii="Arial" w:hAnsi="Arial" w:cs="Arial"/>
                <w:sz w:val="24"/>
              </w:rPr>
              <w:t>2014</w:t>
            </w:r>
          </w:p>
        </w:tc>
        <w:tc>
          <w:tcPr>
            <w:tcW w:w="1667" w:type="pct"/>
          </w:tcPr>
          <w:p w14:paraId="77D004EA" w14:textId="77777777" w:rsidR="00EA0BE1" w:rsidRDefault="005177B7" w:rsidP="0012306D">
            <w:pPr>
              <w:rPr>
                <w:rFonts w:ascii="Arial" w:hAnsi="Arial" w:cs="Arial"/>
                <w:sz w:val="24"/>
              </w:rPr>
            </w:pPr>
            <w:r>
              <w:rPr>
                <w:rFonts w:ascii="Arial" w:hAnsi="Arial" w:cs="Arial"/>
                <w:sz w:val="24"/>
              </w:rPr>
              <w:t>18%</w:t>
            </w:r>
          </w:p>
        </w:tc>
        <w:tc>
          <w:tcPr>
            <w:tcW w:w="1666" w:type="pct"/>
          </w:tcPr>
          <w:p w14:paraId="02596A3D" w14:textId="77777777" w:rsidR="00EA0BE1" w:rsidRDefault="005177B7" w:rsidP="0012306D">
            <w:pPr>
              <w:rPr>
                <w:rFonts w:ascii="Arial" w:hAnsi="Arial" w:cs="Arial"/>
                <w:sz w:val="24"/>
              </w:rPr>
            </w:pPr>
            <w:r>
              <w:rPr>
                <w:rFonts w:ascii="Arial" w:hAnsi="Arial" w:cs="Arial"/>
                <w:sz w:val="24"/>
              </w:rPr>
              <w:t>23%</w:t>
            </w:r>
          </w:p>
        </w:tc>
      </w:tr>
      <w:tr w:rsidR="00EA0BE1" w14:paraId="7E07AD8D" w14:textId="77777777" w:rsidTr="0012306D">
        <w:tc>
          <w:tcPr>
            <w:tcW w:w="1666" w:type="pct"/>
          </w:tcPr>
          <w:p w14:paraId="23BEF982" w14:textId="77777777" w:rsidR="00EA0BE1" w:rsidRDefault="005177B7" w:rsidP="0012306D">
            <w:pPr>
              <w:rPr>
                <w:rFonts w:ascii="Arial" w:hAnsi="Arial" w:cs="Arial"/>
                <w:sz w:val="24"/>
              </w:rPr>
            </w:pPr>
            <w:r>
              <w:rPr>
                <w:rFonts w:ascii="Arial" w:hAnsi="Arial" w:cs="Arial"/>
                <w:sz w:val="24"/>
              </w:rPr>
              <w:t>2016</w:t>
            </w:r>
          </w:p>
        </w:tc>
        <w:tc>
          <w:tcPr>
            <w:tcW w:w="1667" w:type="pct"/>
          </w:tcPr>
          <w:p w14:paraId="7076BD8D" w14:textId="77777777" w:rsidR="00EA0BE1" w:rsidRDefault="005177B7" w:rsidP="0012306D">
            <w:pPr>
              <w:rPr>
                <w:rFonts w:ascii="Arial" w:hAnsi="Arial" w:cs="Arial"/>
                <w:sz w:val="24"/>
              </w:rPr>
            </w:pPr>
            <w:r>
              <w:rPr>
                <w:rFonts w:ascii="Arial" w:hAnsi="Arial" w:cs="Arial"/>
                <w:sz w:val="24"/>
              </w:rPr>
              <w:t>20%</w:t>
            </w:r>
          </w:p>
        </w:tc>
        <w:tc>
          <w:tcPr>
            <w:tcW w:w="1666" w:type="pct"/>
          </w:tcPr>
          <w:p w14:paraId="1652B573" w14:textId="77777777" w:rsidR="00EA0BE1" w:rsidRDefault="005177B7" w:rsidP="0012306D">
            <w:pPr>
              <w:rPr>
                <w:rFonts w:ascii="Arial" w:hAnsi="Arial" w:cs="Arial"/>
                <w:sz w:val="24"/>
              </w:rPr>
            </w:pPr>
            <w:r>
              <w:rPr>
                <w:rFonts w:ascii="Arial" w:hAnsi="Arial" w:cs="Arial"/>
                <w:sz w:val="24"/>
              </w:rPr>
              <w:t>26%</w:t>
            </w:r>
          </w:p>
        </w:tc>
      </w:tr>
      <w:tr w:rsidR="00EA0BE1" w14:paraId="4B13E543" w14:textId="77777777" w:rsidTr="0012306D">
        <w:tc>
          <w:tcPr>
            <w:tcW w:w="1666" w:type="pct"/>
          </w:tcPr>
          <w:p w14:paraId="079A03F2" w14:textId="77777777" w:rsidR="00EA0BE1" w:rsidRDefault="005177B7" w:rsidP="0012306D">
            <w:pPr>
              <w:rPr>
                <w:rFonts w:ascii="Arial" w:hAnsi="Arial" w:cs="Arial"/>
                <w:sz w:val="24"/>
              </w:rPr>
            </w:pPr>
            <w:r>
              <w:rPr>
                <w:rFonts w:ascii="Arial" w:hAnsi="Arial" w:cs="Arial"/>
                <w:sz w:val="24"/>
              </w:rPr>
              <w:t>2018</w:t>
            </w:r>
          </w:p>
        </w:tc>
        <w:tc>
          <w:tcPr>
            <w:tcW w:w="1667" w:type="pct"/>
          </w:tcPr>
          <w:p w14:paraId="3A9608FF" w14:textId="77777777" w:rsidR="00EA0BE1" w:rsidRDefault="005177B7" w:rsidP="0012306D">
            <w:pPr>
              <w:rPr>
                <w:rFonts w:ascii="Arial" w:hAnsi="Arial" w:cs="Arial"/>
                <w:sz w:val="24"/>
              </w:rPr>
            </w:pPr>
            <w:r>
              <w:rPr>
                <w:rFonts w:ascii="Arial" w:hAnsi="Arial" w:cs="Arial"/>
                <w:sz w:val="24"/>
              </w:rPr>
              <w:t>24%</w:t>
            </w:r>
          </w:p>
        </w:tc>
        <w:tc>
          <w:tcPr>
            <w:tcW w:w="1666" w:type="pct"/>
          </w:tcPr>
          <w:p w14:paraId="28E3ED50" w14:textId="77777777" w:rsidR="00EA0BE1" w:rsidRDefault="005177B7" w:rsidP="0012306D">
            <w:pPr>
              <w:rPr>
                <w:rFonts w:ascii="Arial" w:hAnsi="Arial" w:cs="Arial"/>
                <w:sz w:val="24"/>
              </w:rPr>
            </w:pPr>
            <w:r>
              <w:rPr>
                <w:rFonts w:ascii="Arial" w:hAnsi="Arial" w:cs="Arial"/>
                <w:sz w:val="24"/>
              </w:rPr>
              <w:t>28%</w:t>
            </w:r>
          </w:p>
        </w:tc>
      </w:tr>
    </w:tbl>
    <w:p w14:paraId="554F14F4" w14:textId="77777777" w:rsidR="00EC15DB" w:rsidRPr="00F32BA5" w:rsidRDefault="00F32BA5" w:rsidP="001B63A2">
      <w:pPr>
        <w:rPr>
          <w:rFonts w:ascii="Arial" w:hAnsi="Arial" w:cs="Arial"/>
          <w:i/>
          <w:sz w:val="24"/>
        </w:rPr>
      </w:pPr>
      <w:r w:rsidRPr="00F32BA5">
        <w:rPr>
          <w:rFonts w:ascii="Arial" w:hAnsi="Arial" w:cs="Arial"/>
          <w:i/>
          <w:sz w:val="24"/>
        </w:rPr>
        <w:t>Source: VSHAWS, 2014, 2016, and 2018, DET</w:t>
      </w:r>
    </w:p>
    <w:p w14:paraId="55E3B7C5" w14:textId="77777777" w:rsidR="00FD7F43" w:rsidRPr="00FD7F43" w:rsidRDefault="00FD7F43" w:rsidP="00FD7F43">
      <w:pPr>
        <w:pBdr>
          <w:top w:val="single" w:sz="4" w:space="1" w:color="auto"/>
          <w:left w:val="single" w:sz="4" w:space="4" w:color="auto"/>
          <w:bottom w:val="single" w:sz="4" w:space="1" w:color="auto"/>
          <w:right w:val="single" w:sz="4" w:space="4" w:color="auto"/>
        </w:pBdr>
        <w:rPr>
          <w:rFonts w:ascii="Arial" w:hAnsi="Arial" w:cs="Arial"/>
          <w:b/>
          <w:sz w:val="24"/>
        </w:rPr>
      </w:pPr>
      <w:r w:rsidRPr="00FD7F43">
        <w:rPr>
          <w:rFonts w:ascii="Arial" w:hAnsi="Arial" w:cs="Arial"/>
          <w:b/>
          <w:sz w:val="24"/>
        </w:rPr>
        <w:t>The effects of depression and mental disorders on life quality and the economy</w:t>
      </w:r>
    </w:p>
    <w:p w14:paraId="1C0DE652" w14:textId="77777777" w:rsidR="00FD7F43" w:rsidRPr="00FD7F43" w:rsidRDefault="00FD7F43" w:rsidP="00FD7F43">
      <w:pPr>
        <w:pBdr>
          <w:top w:val="single" w:sz="4" w:space="1" w:color="auto"/>
          <w:left w:val="single" w:sz="4" w:space="4" w:color="auto"/>
          <w:bottom w:val="single" w:sz="4" w:space="1" w:color="auto"/>
          <w:right w:val="single" w:sz="4" w:space="4" w:color="auto"/>
        </w:pBdr>
        <w:rPr>
          <w:rFonts w:ascii="Arial" w:hAnsi="Arial" w:cs="Arial"/>
          <w:sz w:val="24"/>
        </w:rPr>
      </w:pPr>
      <w:r w:rsidRPr="00FD7F43">
        <w:rPr>
          <w:rFonts w:ascii="Arial" w:hAnsi="Arial" w:cs="Arial"/>
          <w:sz w:val="24"/>
        </w:rPr>
        <w:t>Mental disorders are associated with substantial losses in quality of life, as well as economic costs stemming from productivity losses and higher levels of services use (Zoonen, et al., 2014). Between 1990 and 2010, major depression moved up from the 15th to 11th most significant cause of global disease burden, measured in disability- adjusted life years, and it is projected to become the single leading cause of disease burden by 2030. Together, mental and substance-use disorders are the leading cause of disability in children and adolescents worldwide, and are the leading cause of years of healthy life lost due to death, disability, and illness in high-income countries (Erskine, et al., 2015). Burden of disease analysis has also found that in Australia, mental and substance-use disorders account for more than a third of the years of healthy life lost for those aged 10 to 19 (Australian Institute of Health and Welfare, 2019e).</w:t>
      </w:r>
    </w:p>
    <w:p w14:paraId="5C49A4E4" w14:textId="77777777" w:rsidR="001B63A2" w:rsidRDefault="00FD7F43" w:rsidP="00FD7F43">
      <w:pPr>
        <w:pBdr>
          <w:top w:val="single" w:sz="4" w:space="1" w:color="auto"/>
          <w:left w:val="single" w:sz="4" w:space="4" w:color="auto"/>
          <w:bottom w:val="single" w:sz="4" w:space="1" w:color="auto"/>
          <w:right w:val="single" w:sz="4" w:space="4" w:color="auto"/>
        </w:pBdr>
        <w:rPr>
          <w:rFonts w:ascii="Arial" w:hAnsi="Arial" w:cs="Arial"/>
          <w:sz w:val="24"/>
        </w:rPr>
      </w:pPr>
      <w:r w:rsidRPr="00FD7F43">
        <w:rPr>
          <w:rFonts w:ascii="Arial" w:hAnsi="Arial" w:cs="Arial"/>
          <w:sz w:val="24"/>
        </w:rPr>
        <w:t>Cohort data from the Australian Temperament Project longitudinal survey shows strong continuity in depression symptoms from adolescence to young adulthood, suggesting that this mood profile is highly persistent once established. The research also observed a developmental relationship between depressive symptoms in adolescence and anxiety symptoms in adulthood (Betts, et al., 2016).</w:t>
      </w:r>
    </w:p>
    <w:p w14:paraId="10479526" w14:textId="77777777" w:rsidR="003C68B5" w:rsidRPr="00942620" w:rsidRDefault="003C68B5" w:rsidP="00942620">
      <w:pPr>
        <w:pStyle w:val="Heading3"/>
        <w:rPr>
          <w:rFonts w:ascii="Arial" w:hAnsi="Arial" w:cs="Arial"/>
        </w:rPr>
      </w:pPr>
      <w:bookmarkStart w:id="37" w:name="_Toc33527762"/>
      <w:r w:rsidRPr="00942620">
        <w:rPr>
          <w:rFonts w:ascii="Arial" w:hAnsi="Arial" w:cs="Arial"/>
          <w:color w:val="auto"/>
          <w:sz w:val="24"/>
        </w:rPr>
        <w:t>3.10</w:t>
      </w:r>
      <w:r w:rsidRPr="00942620">
        <w:rPr>
          <w:rFonts w:ascii="Arial" w:hAnsi="Arial" w:cs="Arial"/>
          <w:color w:val="auto"/>
          <w:sz w:val="24"/>
        </w:rPr>
        <w:tab/>
        <w:t>Adolescent use of mental health services in Victoria is increasing</w:t>
      </w:r>
      <w:bookmarkEnd w:id="37"/>
    </w:p>
    <w:p w14:paraId="25318FE0" w14:textId="77777777" w:rsidR="003C68B5" w:rsidRPr="003C68B5" w:rsidRDefault="003C68B5" w:rsidP="003C68B5">
      <w:pPr>
        <w:rPr>
          <w:rFonts w:ascii="Arial" w:hAnsi="Arial" w:cs="Arial"/>
          <w:sz w:val="24"/>
        </w:rPr>
      </w:pPr>
      <w:r w:rsidRPr="003C68B5">
        <w:rPr>
          <w:rFonts w:ascii="Arial" w:hAnsi="Arial" w:cs="Arial"/>
          <w:sz w:val="24"/>
        </w:rPr>
        <w:t>In 2017–18, there were 11,945 registered clients for Childhood and Adolescent Mental Health Services (CAMHS), an increase of 12 per cent since 2016–17 (DHHS, 2018). During the year, there were 2,014 hospitalisations of children and adolescents for mental illness, an increase of 9.8 per cent. Compulsory admissions have risen from 17 per cent to 20 per cent, though this remains substantially lower than the level of compulsory treatment for other age groups.</w:t>
      </w:r>
    </w:p>
    <w:p w14:paraId="79693945" w14:textId="77777777" w:rsidR="003C68B5" w:rsidRPr="003C68B5" w:rsidRDefault="003C68B5" w:rsidP="003C68B5">
      <w:pPr>
        <w:rPr>
          <w:rFonts w:ascii="Arial" w:hAnsi="Arial" w:cs="Arial"/>
          <w:sz w:val="24"/>
        </w:rPr>
      </w:pPr>
      <w:r w:rsidRPr="003C68B5">
        <w:rPr>
          <w:rFonts w:ascii="Arial" w:hAnsi="Arial" w:cs="Arial"/>
          <w:sz w:val="24"/>
        </w:rPr>
        <w:t>Community contacts are the largest part of CAMHS work. They may involve activities such as assessment and treatment, adolescent day programs, or intensive outreach for young people. CAMHS teams often involve parents and siblings, as well as schools, in supporting a young person. In 2017–18, there were 331,058 reported contacts compared to 278,801 in the year prior. This increase of 19 per cent reflects an increase in service activity and may also reflect improved recording of activities by mental health staff (DHHS, 2018).</w:t>
      </w:r>
    </w:p>
    <w:p w14:paraId="54C71569" w14:textId="77777777" w:rsidR="001B63A2" w:rsidRDefault="003C68B5" w:rsidP="003C68B5">
      <w:pPr>
        <w:rPr>
          <w:rFonts w:ascii="Arial" w:hAnsi="Arial" w:cs="Arial"/>
          <w:sz w:val="24"/>
        </w:rPr>
      </w:pPr>
      <w:r w:rsidRPr="003C68B5">
        <w:rPr>
          <w:rFonts w:ascii="Arial" w:hAnsi="Arial" w:cs="Arial"/>
          <w:sz w:val="24"/>
        </w:rPr>
        <w:t xml:space="preserve">Comparable service use data from the Report on Government Services (Productivity Commission, 2019) also shows that adolescents’ use of mental health services has </w:t>
      </w:r>
      <w:r w:rsidRPr="003C68B5">
        <w:rPr>
          <w:rFonts w:ascii="Arial" w:hAnsi="Arial" w:cs="Arial"/>
          <w:sz w:val="24"/>
        </w:rPr>
        <w:lastRenderedPageBreak/>
        <w:t>increased between 2011–12 (6.9 per cent) and 2017–18 (12 per cent). While access to Medicare-subsidised primary mental health care services is desirable, the figures do not show whether the services are appropriate for the needs of the young people receiving them, or correctly targeted to those young people most in need.</w:t>
      </w:r>
    </w:p>
    <w:p w14:paraId="748D3508" w14:textId="77777777" w:rsidR="003C68B5" w:rsidRDefault="00152387" w:rsidP="003C68B5">
      <w:pPr>
        <w:rPr>
          <w:rFonts w:ascii="Arial" w:hAnsi="Arial" w:cs="Arial"/>
          <w:b/>
          <w:sz w:val="24"/>
        </w:rPr>
      </w:pPr>
      <w:r w:rsidRPr="009878BA">
        <w:rPr>
          <w:rFonts w:ascii="Arial" w:hAnsi="Arial" w:cs="Arial"/>
          <w:b/>
          <w:sz w:val="24"/>
        </w:rPr>
        <w:t>Figure 26. Proportion of adolescents (aged 12 to 18) utilising Medicare Benefits Schedule- subsidised mental health services, Victoria, 2011–12 to 2017–2018</w:t>
      </w:r>
    </w:p>
    <w:tbl>
      <w:tblPr>
        <w:tblStyle w:val="TableGrid"/>
        <w:tblW w:w="5000" w:type="pct"/>
        <w:tblLook w:val="04A0" w:firstRow="1" w:lastRow="0" w:firstColumn="1" w:lastColumn="0" w:noHBand="0" w:noVBand="1"/>
        <w:tblDescription w:val="This table provides information on the proportion of adolescents (aged 12 to 18) utilising Medicare Benefits Schedule- subsidised mental health services, Victoria, 2011–12 to 2017–2018"/>
      </w:tblPr>
      <w:tblGrid>
        <w:gridCol w:w="1288"/>
        <w:gridCol w:w="1290"/>
        <w:gridCol w:w="1288"/>
        <w:gridCol w:w="1288"/>
        <w:gridCol w:w="1288"/>
        <w:gridCol w:w="1287"/>
        <w:gridCol w:w="1287"/>
      </w:tblGrid>
      <w:tr w:rsidR="009878BA" w:rsidRPr="00054426" w14:paraId="096E820A" w14:textId="77777777" w:rsidTr="009878BA">
        <w:trPr>
          <w:tblHeader/>
        </w:trPr>
        <w:tc>
          <w:tcPr>
            <w:tcW w:w="714" w:type="pct"/>
          </w:tcPr>
          <w:p w14:paraId="68387694" w14:textId="77777777" w:rsidR="009878BA" w:rsidRDefault="009878BA" w:rsidP="0012306D">
            <w:pPr>
              <w:rPr>
                <w:rFonts w:ascii="Arial" w:hAnsi="Arial" w:cs="Arial"/>
                <w:sz w:val="24"/>
              </w:rPr>
            </w:pPr>
            <w:r>
              <w:rPr>
                <w:rFonts w:ascii="Arial" w:hAnsi="Arial" w:cs="Arial"/>
                <w:sz w:val="24"/>
              </w:rPr>
              <w:t>2011-12</w:t>
            </w:r>
          </w:p>
        </w:tc>
        <w:tc>
          <w:tcPr>
            <w:tcW w:w="715" w:type="pct"/>
          </w:tcPr>
          <w:p w14:paraId="592A0393" w14:textId="77777777" w:rsidR="009878BA" w:rsidRPr="00054426" w:rsidRDefault="009878BA" w:rsidP="0012306D">
            <w:pPr>
              <w:rPr>
                <w:rFonts w:ascii="Arial" w:hAnsi="Arial" w:cs="Arial"/>
                <w:sz w:val="24"/>
              </w:rPr>
            </w:pPr>
            <w:r>
              <w:rPr>
                <w:rFonts w:ascii="Arial" w:hAnsi="Arial" w:cs="Arial"/>
                <w:sz w:val="24"/>
              </w:rPr>
              <w:t>2012-13</w:t>
            </w:r>
          </w:p>
        </w:tc>
        <w:tc>
          <w:tcPr>
            <w:tcW w:w="714" w:type="pct"/>
          </w:tcPr>
          <w:p w14:paraId="3BD80940" w14:textId="77777777" w:rsidR="009878BA" w:rsidRDefault="009878BA" w:rsidP="0012306D">
            <w:pPr>
              <w:rPr>
                <w:rFonts w:ascii="Arial" w:hAnsi="Arial" w:cs="Arial"/>
                <w:sz w:val="24"/>
              </w:rPr>
            </w:pPr>
            <w:r>
              <w:rPr>
                <w:rFonts w:ascii="Arial" w:hAnsi="Arial" w:cs="Arial"/>
                <w:sz w:val="24"/>
              </w:rPr>
              <w:t>2013-14</w:t>
            </w:r>
          </w:p>
        </w:tc>
        <w:tc>
          <w:tcPr>
            <w:tcW w:w="714" w:type="pct"/>
          </w:tcPr>
          <w:p w14:paraId="69E7B6D6" w14:textId="77777777" w:rsidR="009878BA" w:rsidRDefault="009878BA" w:rsidP="0012306D">
            <w:pPr>
              <w:rPr>
                <w:rFonts w:ascii="Arial" w:hAnsi="Arial" w:cs="Arial"/>
                <w:sz w:val="24"/>
              </w:rPr>
            </w:pPr>
            <w:r>
              <w:rPr>
                <w:rFonts w:ascii="Arial" w:hAnsi="Arial" w:cs="Arial"/>
                <w:sz w:val="24"/>
              </w:rPr>
              <w:t>2014-15</w:t>
            </w:r>
          </w:p>
        </w:tc>
        <w:tc>
          <w:tcPr>
            <w:tcW w:w="714" w:type="pct"/>
          </w:tcPr>
          <w:p w14:paraId="795E20BB" w14:textId="77777777" w:rsidR="009878BA" w:rsidRDefault="009878BA" w:rsidP="0012306D">
            <w:pPr>
              <w:rPr>
                <w:rFonts w:ascii="Arial" w:hAnsi="Arial" w:cs="Arial"/>
                <w:sz w:val="24"/>
              </w:rPr>
            </w:pPr>
            <w:r>
              <w:rPr>
                <w:rFonts w:ascii="Arial" w:hAnsi="Arial" w:cs="Arial"/>
                <w:sz w:val="24"/>
              </w:rPr>
              <w:t>2015-16</w:t>
            </w:r>
          </w:p>
        </w:tc>
        <w:tc>
          <w:tcPr>
            <w:tcW w:w="714" w:type="pct"/>
          </w:tcPr>
          <w:p w14:paraId="2B1AA2D7" w14:textId="77777777" w:rsidR="009878BA" w:rsidRDefault="009878BA" w:rsidP="0012306D">
            <w:pPr>
              <w:rPr>
                <w:rFonts w:ascii="Arial" w:hAnsi="Arial" w:cs="Arial"/>
                <w:sz w:val="24"/>
              </w:rPr>
            </w:pPr>
            <w:r>
              <w:rPr>
                <w:rFonts w:ascii="Arial" w:hAnsi="Arial" w:cs="Arial"/>
                <w:sz w:val="24"/>
              </w:rPr>
              <w:t>2016-17</w:t>
            </w:r>
          </w:p>
        </w:tc>
        <w:tc>
          <w:tcPr>
            <w:tcW w:w="714" w:type="pct"/>
          </w:tcPr>
          <w:p w14:paraId="37E5E427" w14:textId="77777777" w:rsidR="009878BA" w:rsidRDefault="009878BA" w:rsidP="0012306D">
            <w:pPr>
              <w:rPr>
                <w:rFonts w:ascii="Arial" w:hAnsi="Arial" w:cs="Arial"/>
                <w:sz w:val="24"/>
              </w:rPr>
            </w:pPr>
            <w:r>
              <w:rPr>
                <w:rFonts w:ascii="Arial" w:hAnsi="Arial" w:cs="Arial"/>
                <w:sz w:val="24"/>
              </w:rPr>
              <w:t>2017-18</w:t>
            </w:r>
          </w:p>
        </w:tc>
      </w:tr>
      <w:tr w:rsidR="009878BA" w14:paraId="67152865" w14:textId="77777777" w:rsidTr="009878BA">
        <w:tc>
          <w:tcPr>
            <w:tcW w:w="714" w:type="pct"/>
          </w:tcPr>
          <w:p w14:paraId="6F7F7340" w14:textId="77777777" w:rsidR="009878BA" w:rsidRDefault="009878BA" w:rsidP="0012306D">
            <w:pPr>
              <w:rPr>
                <w:rFonts w:ascii="Arial" w:hAnsi="Arial" w:cs="Arial"/>
                <w:sz w:val="24"/>
              </w:rPr>
            </w:pPr>
            <w:r>
              <w:rPr>
                <w:rFonts w:ascii="Arial" w:hAnsi="Arial" w:cs="Arial"/>
                <w:sz w:val="24"/>
              </w:rPr>
              <w:t>7%</w:t>
            </w:r>
          </w:p>
        </w:tc>
        <w:tc>
          <w:tcPr>
            <w:tcW w:w="715" w:type="pct"/>
          </w:tcPr>
          <w:p w14:paraId="0775523E" w14:textId="77777777" w:rsidR="009878BA" w:rsidRDefault="009878BA" w:rsidP="0012306D">
            <w:pPr>
              <w:rPr>
                <w:rFonts w:ascii="Arial" w:hAnsi="Arial" w:cs="Arial"/>
                <w:sz w:val="24"/>
              </w:rPr>
            </w:pPr>
            <w:r>
              <w:rPr>
                <w:rFonts w:ascii="Arial" w:hAnsi="Arial" w:cs="Arial"/>
                <w:sz w:val="24"/>
              </w:rPr>
              <w:t>8%</w:t>
            </w:r>
          </w:p>
        </w:tc>
        <w:tc>
          <w:tcPr>
            <w:tcW w:w="714" w:type="pct"/>
          </w:tcPr>
          <w:p w14:paraId="3AE0CEE5" w14:textId="77777777" w:rsidR="009878BA" w:rsidRDefault="009878BA" w:rsidP="0012306D">
            <w:pPr>
              <w:rPr>
                <w:rFonts w:ascii="Arial" w:hAnsi="Arial" w:cs="Arial"/>
                <w:sz w:val="24"/>
              </w:rPr>
            </w:pPr>
            <w:r>
              <w:rPr>
                <w:rFonts w:ascii="Arial" w:hAnsi="Arial" w:cs="Arial"/>
                <w:sz w:val="24"/>
              </w:rPr>
              <w:t>9%</w:t>
            </w:r>
          </w:p>
        </w:tc>
        <w:tc>
          <w:tcPr>
            <w:tcW w:w="714" w:type="pct"/>
          </w:tcPr>
          <w:p w14:paraId="5D6DEDC6" w14:textId="77777777" w:rsidR="009878BA" w:rsidRDefault="009878BA" w:rsidP="0012306D">
            <w:pPr>
              <w:rPr>
                <w:rFonts w:ascii="Arial" w:hAnsi="Arial" w:cs="Arial"/>
                <w:sz w:val="24"/>
              </w:rPr>
            </w:pPr>
            <w:r>
              <w:rPr>
                <w:rFonts w:ascii="Arial" w:hAnsi="Arial" w:cs="Arial"/>
                <w:sz w:val="24"/>
              </w:rPr>
              <w:t>9%</w:t>
            </w:r>
          </w:p>
        </w:tc>
        <w:tc>
          <w:tcPr>
            <w:tcW w:w="714" w:type="pct"/>
          </w:tcPr>
          <w:p w14:paraId="5D47A2D0" w14:textId="77777777" w:rsidR="009878BA" w:rsidRDefault="009878BA" w:rsidP="0012306D">
            <w:pPr>
              <w:rPr>
                <w:rFonts w:ascii="Arial" w:hAnsi="Arial" w:cs="Arial"/>
                <w:sz w:val="24"/>
              </w:rPr>
            </w:pPr>
            <w:r>
              <w:rPr>
                <w:rFonts w:ascii="Arial" w:hAnsi="Arial" w:cs="Arial"/>
                <w:sz w:val="24"/>
              </w:rPr>
              <w:t>10%</w:t>
            </w:r>
          </w:p>
        </w:tc>
        <w:tc>
          <w:tcPr>
            <w:tcW w:w="714" w:type="pct"/>
          </w:tcPr>
          <w:p w14:paraId="203DF642" w14:textId="77777777" w:rsidR="009878BA" w:rsidRDefault="009878BA" w:rsidP="0012306D">
            <w:pPr>
              <w:rPr>
                <w:rFonts w:ascii="Arial" w:hAnsi="Arial" w:cs="Arial"/>
                <w:sz w:val="24"/>
              </w:rPr>
            </w:pPr>
            <w:r>
              <w:rPr>
                <w:rFonts w:ascii="Arial" w:hAnsi="Arial" w:cs="Arial"/>
                <w:sz w:val="24"/>
              </w:rPr>
              <w:t>11%</w:t>
            </w:r>
          </w:p>
        </w:tc>
        <w:tc>
          <w:tcPr>
            <w:tcW w:w="714" w:type="pct"/>
          </w:tcPr>
          <w:p w14:paraId="041CFCA6" w14:textId="77777777" w:rsidR="009878BA" w:rsidRDefault="009878BA" w:rsidP="0012306D">
            <w:pPr>
              <w:rPr>
                <w:rFonts w:ascii="Arial" w:hAnsi="Arial" w:cs="Arial"/>
                <w:sz w:val="24"/>
              </w:rPr>
            </w:pPr>
            <w:r>
              <w:rPr>
                <w:rFonts w:ascii="Arial" w:hAnsi="Arial" w:cs="Arial"/>
                <w:sz w:val="24"/>
              </w:rPr>
              <w:t>12%</w:t>
            </w:r>
          </w:p>
        </w:tc>
      </w:tr>
    </w:tbl>
    <w:p w14:paraId="31BB9E75" w14:textId="77777777" w:rsidR="00622088" w:rsidRPr="00622088" w:rsidRDefault="00622088" w:rsidP="00622088">
      <w:pPr>
        <w:rPr>
          <w:rFonts w:ascii="Arial" w:hAnsi="Arial" w:cs="Arial"/>
          <w:i/>
          <w:sz w:val="24"/>
        </w:rPr>
      </w:pPr>
      <w:r w:rsidRPr="00622088">
        <w:rPr>
          <w:rFonts w:ascii="Arial" w:hAnsi="Arial" w:cs="Arial"/>
          <w:i/>
          <w:sz w:val="24"/>
        </w:rPr>
        <w:t>Source: Report on Government Services, 2018, (Productivity Commission, 2019)</w:t>
      </w:r>
    </w:p>
    <w:p w14:paraId="05BABA56" w14:textId="77777777" w:rsidR="00622088" w:rsidRPr="007567FF" w:rsidRDefault="00622088" w:rsidP="007567FF">
      <w:pPr>
        <w:pStyle w:val="Heading3"/>
        <w:rPr>
          <w:rFonts w:ascii="Arial" w:hAnsi="Arial" w:cs="Arial"/>
          <w:color w:val="auto"/>
          <w:sz w:val="24"/>
        </w:rPr>
      </w:pPr>
      <w:bookmarkStart w:id="38" w:name="_Toc33527763"/>
      <w:r w:rsidRPr="007567FF">
        <w:rPr>
          <w:rFonts w:ascii="Arial" w:hAnsi="Arial" w:cs="Arial"/>
          <w:color w:val="auto"/>
          <w:sz w:val="24"/>
        </w:rPr>
        <w:t>3.11</w:t>
      </w:r>
      <w:r w:rsidRPr="007567FF">
        <w:rPr>
          <w:rFonts w:ascii="Arial" w:hAnsi="Arial" w:cs="Arial"/>
          <w:color w:val="auto"/>
          <w:sz w:val="24"/>
        </w:rPr>
        <w:tab/>
        <w:t>Deliberate self-harm rates are increasing</w:t>
      </w:r>
      <w:bookmarkEnd w:id="38"/>
    </w:p>
    <w:p w14:paraId="678B21D3" w14:textId="77777777" w:rsidR="00622088" w:rsidRPr="00622088" w:rsidRDefault="00622088" w:rsidP="00622088">
      <w:pPr>
        <w:rPr>
          <w:rFonts w:ascii="Arial" w:hAnsi="Arial" w:cs="Arial"/>
          <w:sz w:val="24"/>
        </w:rPr>
      </w:pPr>
      <w:r w:rsidRPr="00622088">
        <w:rPr>
          <w:rFonts w:ascii="Arial" w:hAnsi="Arial" w:cs="Arial"/>
          <w:sz w:val="24"/>
        </w:rPr>
        <w:t>Deliberate self-harm behaviours include: self-cutting; burning and inserting sharp objects into the skin; self-poisoning or overdose; head banging; hitting, biting and scratching; or preventing wounds from healing (Gillies, et al., 2018). Motivations for deliberate self-harm often relate to seeking relief from unwanted thoughts or feelings, and are associated with high levels of emotional distress, feelings of powerlessness, and a lack of appropriate coping skills. The prevalence of deliberate self-harm peaks in adolescence before declining in early adulthood (Klonsky, Oltmanns, &amp; Turkheimer, 2003). It is associated with factors such as experiences of bullying (Heerde &amp; Hemphill, 2018), mental health problems, antisocial behaviour, alcohol consumption, low emotional control, and family conflict (Heerde, et al., 2015). Adolescents who self-harm are at significantly higher risk of suicidal ideation and attempts, with the risk related to the frequency of self-harm (Gillies, et al., 2018).</w:t>
      </w:r>
    </w:p>
    <w:p w14:paraId="5F9D7869" w14:textId="77777777" w:rsidR="00622088" w:rsidRPr="00622088" w:rsidRDefault="00622088" w:rsidP="00622088">
      <w:pPr>
        <w:rPr>
          <w:rFonts w:ascii="Arial" w:hAnsi="Arial" w:cs="Arial"/>
          <w:sz w:val="24"/>
        </w:rPr>
      </w:pPr>
      <w:r w:rsidRPr="00622088">
        <w:rPr>
          <w:rFonts w:ascii="Arial" w:hAnsi="Arial" w:cs="Arial"/>
          <w:sz w:val="24"/>
        </w:rPr>
        <w:t>Current rates of self-harm presentations by Victorian adolescents to emergency departments are the highest on record. The prevalence of self-harm is highest among older adolescents aged 15-19 years, females, and those living outside Metropolitan Melbourne.</w:t>
      </w:r>
    </w:p>
    <w:p w14:paraId="37214F67" w14:textId="77777777" w:rsidR="00622088" w:rsidRPr="00622088" w:rsidRDefault="00622088" w:rsidP="00622088">
      <w:pPr>
        <w:rPr>
          <w:rFonts w:ascii="Arial" w:hAnsi="Arial" w:cs="Arial"/>
          <w:sz w:val="24"/>
        </w:rPr>
      </w:pPr>
      <w:r w:rsidRPr="00622088">
        <w:rPr>
          <w:rFonts w:ascii="Arial" w:hAnsi="Arial" w:cs="Arial"/>
          <w:sz w:val="24"/>
        </w:rPr>
        <w:t>In recent years, rates of self-harm presentations more than doubled among 10-14 year olds, increasing from 44 per 100,000 population in 2010 (146 cases)</w:t>
      </w:r>
      <w:r>
        <w:rPr>
          <w:rFonts w:ascii="Arial" w:hAnsi="Arial" w:cs="Arial"/>
          <w:sz w:val="24"/>
        </w:rPr>
        <w:t xml:space="preserve"> </w:t>
      </w:r>
      <w:r w:rsidRPr="00622088">
        <w:rPr>
          <w:rFonts w:ascii="Arial" w:hAnsi="Arial" w:cs="Arial"/>
          <w:sz w:val="24"/>
        </w:rPr>
        <w:t>to 118 per 100,000 population in 2017 (428 cases). Rates of self-harm presentations among 15-19 year olds also increased during this period from 308 (1102 cases)</w:t>
      </w:r>
      <w:r>
        <w:rPr>
          <w:rFonts w:ascii="Arial" w:hAnsi="Arial" w:cs="Arial"/>
          <w:sz w:val="24"/>
        </w:rPr>
        <w:t xml:space="preserve"> </w:t>
      </w:r>
      <w:r w:rsidRPr="00622088">
        <w:rPr>
          <w:rFonts w:ascii="Arial" w:hAnsi="Arial" w:cs="Arial"/>
          <w:sz w:val="24"/>
        </w:rPr>
        <w:t xml:space="preserve">to 515 per </w:t>
      </w:r>
      <w:r w:rsidR="00053462">
        <w:rPr>
          <w:rFonts w:ascii="Arial" w:hAnsi="Arial" w:cs="Arial"/>
          <w:sz w:val="24"/>
        </w:rPr>
        <w:t>100,000 population (1928 cases)</w:t>
      </w:r>
      <w:r w:rsidRPr="00622088">
        <w:rPr>
          <w:rFonts w:ascii="Arial" w:hAnsi="Arial" w:cs="Arial"/>
          <w:sz w:val="24"/>
        </w:rPr>
        <w:t>.</w:t>
      </w:r>
    </w:p>
    <w:p w14:paraId="13EFF48B" w14:textId="77777777" w:rsidR="00622088" w:rsidRPr="00622088" w:rsidRDefault="00622088" w:rsidP="00622088">
      <w:pPr>
        <w:rPr>
          <w:rFonts w:ascii="Arial" w:hAnsi="Arial" w:cs="Arial"/>
          <w:sz w:val="24"/>
        </w:rPr>
      </w:pPr>
      <w:r w:rsidRPr="00622088">
        <w:rPr>
          <w:rFonts w:ascii="Arial" w:hAnsi="Arial" w:cs="Arial"/>
          <w:sz w:val="24"/>
        </w:rPr>
        <w:t>Self-harm presentation rates among 10-19 year old females likewise increased, from 258 per 100,000 population in 2010 (863 cases) to 476 per 100,000 population in 2017 (1710 cases). These are more than double the rates reported for males over the same period. Presentations among males nevertheless grew strongly, from 109 (385 cases) to 171 per 100,000 population (646 cases).</w:t>
      </w:r>
    </w:p>
    <w:p w14:paraId="77852EF7" w14:textId="77777777" w:rsidR="00152387" w:rsidRPr="00622088" w:rsidRDefault="00622088" w:rsidP="00622088">
      <w:pPr>
        <w:rPr>
          <w:rFonts w:ascii="Arial" w:hAnsi="Arial" w:cs="Arial"/>
          <w:sz w:val="24"/>
        </w:rPr>
      </w:pPr>
      <w:r w:rsidRPr="00622088">
        <w:rPr>
          <w:rFonts w:ascii="Arial" w:hAnsi="Arial" w:cs="Arial"/>
          <w:sz w:val="24"/>
        </w:rPr>
        <w:t xml:space="preserve">The rate of self-harm presentations to emergency departments in metropolitan Melbourne is currently almost half that in the rest of Victoria, though the number of </w:t>
      </w:r>
      <w:r w:rsidRPr="00622088">
        <w:rPr>
          <w:rFonts w:ascii="Arial" w:hAnsi="Arial" w:cs="Arial"/>
          <w:sz w:val="24"/>
        </w:rPr>
        <w:lastRenderedPageBreak/>
        <w:t>actual cases is much higher in the metropolitan area. In both areas, presentations have grown substantially in recent years. Among 15-to-19-year-olds living in Melbourne, rates increased from 259 per 100,000 in 2010 (681 cases) to 418 per 100,000 in 2017 (1186 cases). In the rest of Victoria, rates climbed from 444 (421 cases) to</w:t>
      </w:r>
      <w:r>
        <w:rPr>
          <w:rFonts w:ascii="Arial" w:hAnsi="Arial" w:cs="Arial"/>
          <w:sz w:val="24"/>
        </w:rPr>
        <w:t xml:space="preserve"> </w:t>
      </w:r>
      <w:r w:rsidRPr="00622088">
        <w:rPr>
          <w:rFonts w:ascii="Arial" w:hAnsi="Arial" w:cs="Arial"/>
          <w:sz w:val="24"/>
        </w:rPr>
        <w:t>819 per 100,000 (742 cases).</w:t>
      </w:r>
    </w:p>
    <w:p w14:paraId="4B67BBF5" w14:textId="77777777" w:rsidR="00FD7F43" w:rsidRDefault="00805019" w:rsidP="001B63A2">
      <w:pPr>
        <w:rPr>
          <w:rFonts w:ascii="Arial" w:hAnsi="Arial" w:cs="Arial"/>
          <w:sz w:val="24"/>
        </w:rPr>
      </w:pPr>
      <w:r>
        <w:rPr>
          <w:rFonts w:ascii="Arial" w:hAnsi="Arial" w:cs="Arial"/>
          <w:sz w:val="24"/>
        </w:rPr>
        <w:t>T</w:t>
      </w:r>
      <w:r w:rsidRPr="00805019">
        <w:rPr>
          <w:rFonts w:ascii="Arial" w:hAnsi="Arial" w:cs="Arial"/>
          <w:sz w:val="24"/>
        </w:rPr>
        <w:t>he higher prevalence of self-harm among older and female adolescents in Victoria corresponds to international prevalence patterns. Self-harm rates have historically been highest in Victoria’s regional centres, as opposed to either rural or metropolitan areas (Ashby, Stathakis, &amp; Day, 2001). This differs from some international comparisons, such as the United Kingdom, where the highest rates of adolescent self-harm have been found in urban areas (Harriss &amp; Hawton, 2011).</w:t>
      </w:r>
    </w:p>
    <w:p w14:paraId="65A27427" w14:textId="77777777" w:rsidR="00805019" w:rsidRDefault="00293AD9" w:rsidP="00293AD9">
      <w:pPr>
        <w:rPr>
          <w:rFonts w:ascii="Arial" w:hAnsi="Arial" w:cs="Arial"/>
          <w:b/>
          <w:sz w:val="24"/>
        </w:rPr>
      </w:pPr>
      <w:r w:rsidRPr="007F7740">
        <w:rPr>
          <w:rFonts w:ascii="Arial" w:hAnsi="Arial" w:cs="Arial"/>
          <w:b/>
          <w:sz w:val="24"/>
        </w:rPr>
        <w:t>Figure 27. Rate (per 100,000 population) of self-harm emergency department presentations, 10-14 year olds and 15-19 year olds, by calendar year, 2005-2017</w:t>
      </w:r>
    </w:p>
    <w:tbl>
      <w:tblPr>
        <w:tblStyle w:val="TableGrid"/>
        <w:tblW w:w="5000" w:type="pct"/>
        <w:tblLook w:val="04A0" w:firstRow="1" w:lastRow="0" w:firstColumn="1" w:lastColumn="0" w:noHBand="0" w:noVBand="1"/>
        <w:tblDescription w:val="This table provides information on the rate (per 100,000 population) of self-harm emergency department presentations, 10-14 year olds and 15-19 year olds, by calendar year, 2005-2017"/>
      </w:tblPr>
      <w:tblGrid>
        <w:gridCol w:w="3005"/>
        <w:gridCol w:w="3007"/>
        <w:gridCol w:w="3004"/>
      </w:tblGrid>
      <w:tr w:rsidR="00EA0BE1" w:rsidRPr="00054426" w14:paraId="186B587C" w14:textId="77777777" w:rsidTr="0012306D">
        <w:trPr>
          <w:tblHeader/>
        </w:trPr>
        <w:tc>
          <w:tcPr>
            <w:tcW w:w="1666" w:type="pct"/>
          </w:tcPr>
          <w:p w14:paraId="244EE751" w14:textId="77777777" w:rsidR="00EA0BE1" w:rsidRDefault="00EA0BE1" w:rsidP="0012306D">
            <w:pPr>
              <w:rPr>
                <w:rFonts w:ascii="Arial" w:hAnsi="Arial" w:cs="Arial"/>
                <w:sz w:val="24"/>
              </w:rPr>
            </w:pPr>
          </w:p>
        </w:tc>
        <w:tc>
          <w:tcPr>
            <w:tcW w:w="1667" w:type="pct"/>
          </w:tcPr>
          <w:p w14:paraId="020CDE87" w14:textId="77777777" w:rsidR="00EA0BE1" w:rsidRPr="00054426" w:rsidRDefault="00736F5C" w:rsidP="0012306D">
            <w:pPr>
              <w:rPr>
                <w:rFonts w:ascii="Arial" w:hAnsi="Arial" w:cs="Arial"/>
                <w:sz w:val="24"/>
              </w:rPr>
            </w:pPr>
            <w:r>
              <w:rPr>
                <w:rFonts w:ascii="Arial" w:hAnsi="Arial" w:cs="Arial"/>
                <w:sz w:val="24"/>
              </w:rPr>
              <w:t>10-14 year olds</w:t>
            </w:r>
          </w:p>
        </w:tc>
        <w:tc>
          <w:tcPr>
            <w:tcW w:w="1666" w:type="pct"/>
          </w:tcPr>
          <w:p w14:paraId="42C19B30" w14:textId="77777777" w:rsidR="00EA0BE1" w:rsidRDefault="00736F5C" w:rsidP="0012306D">
            <w:pPr>
              <w:rPr>
                <w:rFonts w:ascii="Arial" w:hAnsi="Arial" w:cs="Arial"/>
                <w:sz w:val="24"/>
              </w:rPr>
            </w:pPr>
            <w:r>
              <w:rPr>
                <w:rFonts w:ascii="Arial" w:hAnsi="Arial" w:cs="Arial"/>
                <w:sz w:val="24"/>
              </w:rPr>
              <w:t>15-19 year olds</w:t>
            </w:r>
          </w:p>
        </w:tc>
      </w:tr>
      <w:tr w:rsidR="00EA0BE1" w14:paraId="2B1B910F" w14:textId="77777777" w:rsidTr="0012306D">
        <w:tc>
          <w:tcPr>
            <w:tcW w:w="1666" w:type="pct"/>
          </w:tcPr>
          <w:p w14:paraId="692E4192" w14:textId="77777777" w:rsidR="00EA0BE1" w:rsidRDefault="00736F5C" w:rsidP="0012306D">
            <w:pPr>
              <w:rPr>
                <w:rFonts w:ascii="Arial" w:hAnsi="Arial" w:cs="Arial"/>
                <w:sz w:val="24"/>
              </w:rPr>
            </w:pPr>
            <w:r>
              <w:rPr>
                <w:rFonts w:ascii="Arial" w:hAnsi="Arial" w:cs="Arial"/>
                <w:sz w:val="24"/>
              </w:rPr>
              <w:t>2005</w:t>
            </w:r>
          </w:p>
        </w:tc>
        <w:tc>
          <w:tcPr>
            <w:tcW w:w="1667" w:type="pct"/>
          </w:tcPr>
          <w:p w14:paraId="2E96648B" w14:textId="77777777" w:rsidR="00EA0BE1" w:rsidRDefault="007F7740" w:rsidP="0012306D">
            <w:pPr>
              <w:rPr>
                <w:rFonts w:ascii="Arial" w:hAnsi="Arial" w:cs="Arial"/>
                <w:sz w:val="24"/>
              </w:rPr>
            </w:pPr>
            <w:r>
              <w:rPr>
                <w:rFonts w:ascii="Arial" w:hAnsi="Arial" w:cs="Arial"/>
                <w:sz w:val="24"/>
              </w:rPr>
              <w:t>51</w:t>
            </w:r>
          </w:p>
        </w:tc>
        <w:tc>
          <w:tcPr>
            <w:tcW w:w="1666" w:type="pct"/>
          </w:tcPr>
          <w:p w14:paraId="5A9BEE8E" w14:textId="77777777" w:rsidR="00EA0BE1" w:rsidRDefault="00053462" w:rsidP="0012306D">
            <w:pPr>
              <w:rPr>
                <w:rFonts w:ascii="Arial" w:hAnsi="Arial" w:cs="Arial"/>
                <w:sz w:val="24"/>
              </w:rPr>
            </w:pPr>
            <w:r>
              <w:rPr>
                <w:rFonts w:ascii="Arial" w:hAnsi="Arial" w:cs="Arial"/>
                <w:sz w:val="24"/>
              </w:rPr>
              <w:t>343</w:t>
            </w:r>
          </w:p>
        </w:tc>
      </w:tr>
      <w:tr w:rsidR="00EA0BE1" w14:paraId="14804753" w14:textId="77777777" w:rsidTr="0012306D">
        <w:tc>
          <w:tcPr>
            <w:tcW w:w="1666" w:type="pct"/>
          </w:tcPr>
          <w:p w14:paraId="5B98AD43" w14:textId="77777777" w:rsidR="00EA0BE1" w:rsidRDefault="00736F5C" w:rsidP="0012306D">
            <w:pPr>
              <w:rPr>
                <w:rFonts w:ascii="Arial" w:hAnsi="Arial" w:cs="Arial"/>
                <w:sz w:val="24"/>
              </w:rPr>
            </w:pPr>
            <w:r>
              <w:rPr>
                <w:rFonts w:ascii="Arial" w:hAnsi="Arial" w:cs="Arial"/>
                <w:sz w:val="24"/>
              </w:rPr>
              <w:t>2006</w:t>
            </w:r>
          </w:p>
        </w:tc>
        <w:tc>
          <w:tcPr>
            <w:tcW w:w="1667" w:type="pct"/>
          </w:tcPr>
          <w:p w14:paraId="0B3BC1C1" w14:textId="77777777" w:rsidR="00EA0BE1" w:rsidRDefault="007F7740" w:rsidP="0012306D">
            <w:pPr>
              <w:rPr>
                <w:rFonts w:ascii="Arial" w:hAnsi="Arial" w:cs="Arial"/>
                <w:sz w:val="24"/>
              </w:rPr>
            </w:pPr>
            <w:r>
              <w:rPr>
                <w:rFonts w:ascii="Arial" w:hAnsi="Arial" w:cs="Arial"/>
                <w:sz w:val="24"/>
              </w:rPr>
              <w:t>49</w:t>
            </w:r>
          </w:p>
        </w:tc>
        <w:tc>
          <w:tcPr>
            <w:tcW w:w="1666" w:type="pct"/>
          </w:tcPr>
          <w:p w14:paraId="0E84B77F" w14:textId="77777777" w:rsidR="00EA0BE1" w:rsidRDefault="00053462" w:rsidP="0012306D">
            <w:pPr>
              <w:rPr>
                <w:rFonts w:ascii="Arial" w:hAnsi="Arial" w:cs="Arial"/>
                <w:sz w:val="24"/>
              </w:rPr>
            </w:pPr>
            <w:r>
              <w:rPr>
                <w:rFonts w:ascii="Arial" w:hAnsi="Arial" w:cs="Arial"/>
                <w:sz w:val="24"/>
              </w:rPr>
              <w:t>345</w:t>
            </w:r>
          </w:p>
        </w:tc>
      </w:tr>
      <w:tr w:rsidR="00EA0BE1" w14:paraId="1335AB3D" w14:textId="77777777" w:rsidTr="0012306D">
        <w:tc>
          <w:tcPr>
            <w:tcW w:w="1666" w:type="pct"/>
          </w:tcPr>
          <w:p w14:paraId="183CF9DF" w14:textId="77777777" w:rsidR="00EA0BE1" w:rsidRDefault="00736F5C" w:rsidP="0012306D">
            <w:pPr>
              <w:rPr>
                <w:rFonts w:ascii="Arial" w:hAnsi="Arial" w:cs="Arial"/>
                <w:sz w:val="24"/>
              </w:rPr>
            </w:pPr>
            <w:r>
              <w:rPr>
                <w:rFonts w:ascii="Arial" w:hAnsi="Arial" w:cs="Arial"/>
                <w:sz w:val="24"/>
              </w:rPr>
              <w:t>2007</w:t>
            </w:r>
          </w:p>
        </w:tc>
        <w:tc>
          <w:tcPr>
            <w:tcW w:w="1667" w:type="pct"/>
          </w:tcPr>
          <w:p w14:paraId="764A94C2" w14:textId="77777777" w:rsidR="00EA0BE1" w:rsidRDefault="007F7740" w:rsidP="0012306D">
            <w:pPr>
              <w:rPr>
                <w:rFonts w:ascii="Arial" w:hAnsi="Arial" w:cs="Arial"/>
                <w:sz w:val="24"/>
              </w:rPr>
            </w:pPr>
            <w:r>
              <w:rPr>
                <w:rFonts w:ascii="Arial" w:hAnsi="Arial" w:cs="Arial"/>
                <w:sz w:val="24"/>
              </w:rPr>
              <w:t>45</w:t>
            </w:r>
          </w:p>
        </w:tc>
        <w:tc>
          <w:tcPr>
            <w:tcW w:w="1666" w:type="pct"/>
          </w:tcPr>
          <w:p w14:paraId="2639D1E3" w14:textId="77777777" w:rsidR="00EA0BE1" w:rsidRDefault="00053462" w:rsidP="0012306D">
            <w:pPr>
              <w:rPr>
                <w:rFonts w:ascii="Arial" w:hAnsi="Arial" w:cs="Arial"/>
                <w:sz w:val="24"/>
              </w:rPr>
            </w:pPr>
            <w:r>
              <w:rPr>
                <w:rFonts w:ascii="Arial" w:hAnsi="Arial" w:cs="Arial"/>
                <w:sz w:val="24"/>
              </w:rPr>
              <w:t>311</w:t>
            </w:r>
          </w:p>
        </w:tc>
      </w:tr>
      <w:tr w:rsidR="00EA0BE1" w14:paraId="3FE39973" w14:textId="77777777" w:rsidTr="0012306D">
        <w:tc>
          <w:tcPr>
            <w:tcW w:w="1666" w:type="pct"/>
          </w:tcPr>
          <w:p w14:paraId="0CF6F85D" w14:textId="77777777" w:rsidR="00EA0BE1" w:rsidRDefault="00736F5C" w:rsidP="0012306D">
            <w:pPr>
              <w:rPr>
                <w:rFonts w:ascii="Arial" w:hAnsi="Arial" w:cs="Arial"/>
                <w:sz w:val="24"/>
              </w:rPr>
            </w:pPr>
            <w:r>
              <w:rPr>
                <w:rFonts w:ascii="Arial" w:hAnsi="Arial" w:cs="Arial"/>
                <w:sz w:val="24"/>
              </w:rPr>
              <w:t>2008</w:t>
            </w:r>
          </w:p>
        </w:tc>
        <w:tc>
          <w:tcPr>
            <w:tcW w:w="1667" w:type="pct"/>
          </w:tcPr>
          <w:p w14:paraId="79A2B9E9" w14:textId="77777777" w:rsidR="00EA0BE1" w:rsidRDefault="007F7740" w:rsidP="0012306D">
            <w:pPr>
              <w:rPr>
                <w:rFonts w:ascii="Arial" w:hAnsi="Arial" w:cs="Arial"/>
                <w:sz w:val="24"/>
              </w:rPr>
            </w:pPr>
            <w:r>
              <w:rPr>
                <w:rFonts w:ascii="Arial" w:hAnsi="Arial" w:cs="Arial"/>
                <w:sz w:val="24"/>
              </w:rPr>
              <w:t>38</w:t>
            </w:r>
          </w:p>
        </w:tc>
        <w:tc>
          <w:tcPr>
            <w:tcW w:w="1666" w:type="pct"/>
          </w:tcPr>
          <w:p w14:paraId="72C30D56" w14:textId="77777777" w:rsidR="00EA0BE1" w:rsidRDefault="00053462" w:rsidP="0012306D">
            <w:pPr>
              <w:rPr>
                <w:rFonts w:ascii="Arial" w:hAnsi="Arial" w:cs="Arial"/>
                <w:sz w:val="24"/>
              </w:rPr>
            </w:pPr>
            <w:r>
              <w:rPr>
                <w:rFonts w:ascii="Arial" w:hAnsi="Arial" w:cs="Arial"/>
                <w:sz w:val="24"/>
              </w:rPr>
              <w:t>309</w:t>
            </w:r>
          </w:p>
        </w:tc>
      </w:tr>
      <w:tr w:rsidR="00EA0BE1" w14:paraId="4E838F36" w14:textId="77777777" w:rsidTr="0012306D">
        <w:tc>
          <w:tcPr>
            <w:tcW w:w="1666" w:type="pct"/>
          </w:tcPr>
          <w:p w14:paraId="19829856" w14:textId="77777777" w:rsidR="00EA0BE1" w:rsidRDefault="00736F5C" w:rsidP="0012306D">
            <w:pPr>
              <w:rPr>
                <w:rFonts w:ascii="Arial" w:hAnsi="Arial" w:cs="Arial"/>
                <w:sz w:val="24"/>
              </w:rPr>
            </w:pPr>
            <w:r>
              <w:rPr>
                <w:rFonts w:ascii="Arial" w:hAnsi="Arial" w:cs="Arial"/>
                <w:sz w:val="24"/>
              </w:rPr>
              <w:t>2009</w:t>
            </w:r>
          </w:p>
        </w:tc>
        <w:tc>
          <w:tcPr>
            <w:tcW w:w="1667" w:type="pct"/>
          </w:tcPr>
          <w:p w14:paraId="421AE0A0" w14:textId="77777777" w:rsidR="00EA0BE1" w:rsidRDefault="007F7740" w:rsidP="0012306D">
            <w:pPr>
              <w:rPr>
                <w:rFonts w:ascii="Arial" w:hAnsi="Arial" w:cs="Arial"/>
                <w:sz w:val="24"/>
              </w:rPr>
            </w:pPr>
            <w:r>
              <w:rPr>
                <w:rFonts w:ascii="Arial" w:hAnsi="Arial" w:cs="Arial"/>
                <w:sz w:val="24"/>
              </w:rPr>
              <w:t>50</w:t>
            </w:r>
          </w:p>
        </w:tc>
        <w:tc>
          <w:tcPr>
            <w:tcW w:w="1666" w:type="pct"/>
          </w:tcPr>
          <w:p w14:paraId="1C283B9C" w14:textId="77777777" w:rsidR="00EA0BE1" w:rsidRDefault="00053462" w:rsidP="0012306D">
            <w:pPr>
              <w:rPr>
                <w:rFonts w:ascii="Arial" w:hAnsi="Arial" w:cs="Arial"/>
                <w:sz w:val="24"/>
              </w:rPr>
            </w:pPr>
            <w:r>
              <w:rPr>
                <w:rFonts w:ascii="Arial" w:hAnsi="Arial" w:cs="Arial"/>
                <w:sz w:val="24"/>
              </w:rPr>
              <w:t>326</w:t>
            </w:r>
          </w:p>
        </w:tc>
      </w:tr>
      <w:tr w:rsidR="00736F5C" w14:paraId="565E1D21" w14:textId="77777777" w:rsidTr="0012306D">
        <w:tc>
          <w:tcPr>
            <w:tcW w:w="1666" w:type="pct"/>
          </w:tcPr>
          <w:p w14:paraId="2819E5A8" w14:textId="77777777" w:rsidR="00736F5C" w:rsidRDefault="00736F5C" w:rsidP="0012306D">
            <w:pPr>
              <w:rPr>
                <w:rFonts w:ascii="Arial" w:hAnsi="Arial" w:cs="Arial"/>
                <w:sz w:val="24"/>
              </w:rPr>
            </w:pPr>
            <w:r>
              <w:rPr>
                <w:rFonts w:ascii="Arial" w:hAnsi="Arial" w:cs="Arial"/>
                <w:sz w:val="24"/>
              </w:rPr>
              <w:t>2010</w:t>
            </w:r>
          </w:p>
        </w:tc>
        <w:tc>
          <w:tcPr>
            <w:tcW w:w="1667" w:type="pct"/>
          </w:tcPr>
          <w:p w14:paraId="048C2C1C" w14:textId="77777777" w:rsidR="00736F5C" w:rsidRDefault="007F7740" w:rsidP="0012306D">
            <w:pPr>
              <w:rPr>
                <w:rFonts w:ascii="Arial" w:hAnsi="Arial" w:cs="Arial"/>
                <w:sz w:val="24"/>
              </w:rPr>
            </w:pPr>
            <w:r>
              <w:rPr>
                <w:rFonts w:ascii="Arial" w:hAnsi="Arial" w:cs="Arial"/>
                <w:sz w:val="24"/>
              </w:rPr>
              <w:t>44</w:t>
            </w:r>
          </w:p>
        </w:tc>
        <w:tc>
          <w:tcPr>
            <w:tcW w:w="1666" w:type="pct"/>
          </w:tcPr>
          <w:p w14:paraId="1084EBFE" w14:textId="77777777" w:rsidR="00736F5C" w:rsidRDefault="00053462" w:rsidP="0012306D">
            <w:pPr>
              <w:rPr>
                <w:rFonts w:ascii="Arial" w:hAnsi="Arial" w:cs="Arial"/>
                <w:sz w:val="24"/>
              </w:rPr>
            </w:pPr>
            <w:r>
              <w:rPr>
                <w:rFonts w:ascii="Arial" w:hAnsi="Arial" w:cs="Arial"/>
                <w:sz w:val="24"/>
              </w:rPr>
              <w:t>308</w:t>
            </w:r>
          </w:p>
        </w:tc>
      </w:tr>
      <w:tr w:rsidR="00736F5C" w14:paraId="4A109484" w14:textId="77777777" w:rsidTr="0012306D">
        <w:tc>
          <w:tcPr>
            <w:tcW w:w="1666" w:type="pct"/>
          </w:tcPr>
          <w:p w14:paraId="73905B1E" w14:textId="77777777" w:rsidR="00736F5C" w:rsidRDefault="00736F5C" w:rsidP="0012306D">
            <w:pPr>
              <w:rPr>
                <w:rFonts w:ascii="Arial" w:hAnsi="Arial" w:cs="Arial"/>
                <w:sz w:val="24"/>
              </w:rPr>
            </w:pPr>
            <w:r>
              <w:rPr>
                <w:rFonts w:ascii="Arial" w:hAnsi="Arial" w:cs="Arial"/>
                <w:sz w:val="24"/>
              </w:rPr>
              <w:t>2011</w:t>
            </w:r>
          </w:p>
        </w:tc>
        <w:tc>
          <w:tcPr>
            <w:tcW w:w="1667" w:type="pct"/>
          </w:tcPr>
          <w:p w14:paraId="04048FD4" w14:textId="77777777" w:rsidR="00736F5C" w:rsidRDefault="007F7740" w:rsidP="0012306D">
            <w:pPr>
              <w:rPr>
                <w:rFonts w:ascii="Arial" w:hAnsi="Arial" w:cs="Arial"/>
                <w:sz w:val="24"/>
              </w:rPr>
            </w:pPr>
            <w:r>
              <w:rPr>
                <w:rFonts w:ascii="Arial" w:hAnsi="Arial" w:cs="Arial"/>
                <w:sz w:val="24"/>
              </w:rPr>
              <w:t>54</w:t>
            </w:r>
          </w:p>
        </w:tc>
        <w:tc>
          <w:tcPr>
            <w:tcW w:w="1666" w:type="pct"/>
          </w:tcPr>
          <w:p w14:paraId="3E0E6A4B" w14:textId="77777777" w:rsidR="00736F5C" w:rsidRDefault="00053462" w:rsidP="0012306D">
            <w:pPr>
              <w:rPr>
                <w:rFonts w:ascii="Arial" w:hAnsi="Arial" w:cs="Arial"/>
                <w:sz w:val="24"/>
              </w:rPr>
            </w:pPr>
            <w:r>
              <w:rPr>
                <w:rFonts w:ascii="Arial" w:hAnsi="Arial" w:cs="Arial"/>
                <w:sz w:val="24"/>
              </w:rPr>
              <w:t>337</w:t>
            </w:r>
          </w:p>
        </w:tc>
      </w:tr>
      <w:tr w:rsidR="00736F5C" w14:paraId="6EE5D226" w14:textId="77777777" w:rsidTr="0012306D">
        <w:tc>
          <w:tcPr>
            <w:tcW w:w="1666" w:type="pct"/>
          </w:tcPr>
          <w:p w14:paraId="791E5A8D" w14:textId="77777777" w:rsidR="00736F5C" w:rsidRDefault="00736F5C" w:rsidP="0012306D">
            <w:pPr>
              <w:rPr>
                <w:rFonts w:ascii="Arial" w:hAnsi="Arial" w:cs="Arial"/>
                <w:sz w:val="24"/>
              </w:rPr>
            </w:pPr>
            <w:r>
              <w:rPr>
                <w:rFonts w:ascii="Arial" w:hAnsi="Arial" w:cs="Arial"/>
                <w:sz w:val="24"/>
              </w:rPr>
              <w:t>2012</w:t>
            </w:r>
          </w:p>
        </w:tc>
        <w:tc>
          <w:tcPr>
            <w:tcW w:w="1667" w:type="pct"/>
          </w:tcPr>
          <w:p w14:paraId="1C84C1D2" w14:textId="77777777" w:rsidR="00736F5C" w:rsidRDefault="007F7740" w:rsidP="0012306D">
            <w:pPr>
              <w:rPr>
                <w:rFonts w:ascii="Arial" w:hAnsi="Arial" w:cs="Arial"/>
                <w:sz w:val="24"/>
              </w:rPr>
            </w:pPr>
            <w:r>
              <w:rPr>
                <w:rFonts w:ascii="Arial" w:hAnsi="Arial" w:cs="Arial"/>
                <w:sz w:val="24"/>
              </w:rPr>
              <w:t>74</w:t>
            </w:r>
          </w:p>
        </w:tc>
        <w:tc>
          <w:tcPr>
            <w:tcW w:w="1666" w:type="pct"/>
          </w:tcPr>
          <w:p w14:paraId="2C0C4CAA" w14:textId="77777777" w:rsidR="00736F5C" w:rsidRDefault="00053462" w:rsidP="0012306D">
            <w:pPr>
              <w:rPr>
                <w:rFonts w:ascii="Arial" w:hAnsi="Arial" w:cs="Arial"/>
                <w:sz w:val="24"/>
              </w:rPr>
            </w:pPr>
            <w:r>
              <w:rPr>
                <w:rFonts w:ascii="Arial" w:hAnsi="Arial" w:cs="Arial"/>
                <w:sz w:val="24"/>
              </w:rPr>
              <w:t>393</w:t>
            </w:r>
          </w:p>
        </w:tc>
      </w:tr>
      <w:tr w:rsidR="00736F5C" w14:paraId="066F5A7D" w14:textId="77777777" w:rsidTr="0012306D">
        <w:tc>
          <w:tcPr>
            <w:tcW w:w="1666" w:type="pct"/>
          </w:tcPr>
          <w:p w14:paraId="01BBE515" w14:textId="77777777" w:rsidR="00736F5C" w:rsidRDefault="00736F5C" w:rsidP="0012306D">
            <w:pPr>
              <w:rPr>
                <w:rFonts w:ascii="Arial" w:hAnsi="Arial" w:cs="Arial"/>
                <w:sz w:val="24"/>
              </w:rPr>
            </w:pPr>
            <w:r>
              <w:rPr>
                <w:rFonts w:ascii="Arial" w:hAnsi="Arial" w:cs="Arial"/>
                <w:sz w:val="24"/>
              </w:rPr>
              <w:t>2013</w:t>
            </w:r>
          </w:p>
        </w:tc>
        <w:tc>
          <w:tcPr>
            <w:tcW w:w="1667" w:type="pct"/>
          </w:tcPr>
          <w:p w14:paraId="2050120D" w14:textId="77777777" w:rsidR="00736F5C" w:rsidRDefault="007F7740" w:rsidP="0012306D">
            <w:pPr>
              <w:rPr>
                <w:rFonts w:ascii="Arial" w:hAnsi="Arial" w:cs="Arial"/>
                <w:sz w:val="24"/>
              </w:rPr>
            </w:pPr>
            <w:r>
              <w:rPr>
                <w:rFonts w:ascii="Arial" w:hAnsi="Arial" w:cs="Arial"/>
                <w:sz w:val="24"/>
              </w:rPr>
              <w:t>103</w:t>
            </w:r>
          </w:p>
        </w:tc>
        <w:tc>
          <w:tcPr>
            <w:tcW w:w="1666" w:type="pct"/>
          </w:tcPr>
          <w:p w14:paraId="3AD131C6" w14:textId="77777777" w:rsidR="00736F5C" w:rsidRDefault="00053462" w:rsidP="0012306D">
            <w:pPr>
              <w:rPr>
                <w:rFonts w:ascii="Arial" w:hAnsi="Arial" w:cs="Arial"/>
                <w:sz w:val="24"/>
              </w:rPr>
            </w:pPr>
            <w:r>
              <w:rPr>
                <w:rFonts w:ascii="Arial" w:hAnsi="Arial" w:cs="Arial"/>
                <w:sz w:val="24"/>
              </w:rPr>
              <w:t>458</w:t>
            </w:r>
          </w:p>
        </w:tc>
      </w:tr>
      <w:tr w:rsidR="00736F5C" w14:paraId="095ACB8A" w14:textId="77777777" w:rsidTr="0012306D">
        <w:tc>
          <w:tcPr>
            <w:tcW w:w="1666" w:type="pct"/>
          </w:tcPr>
          <w:p w14:paraId="78EF33EA" w14:textId="77777777" w:rsidR="00736F5C" w:rsidRDefault="00736F5C" w:rsidP="0012306D">
            <w:pPr>
              <w:rPr>
                <w:rFonts w:ascii="Arial" w:hAnsi="Arial" w:cs="Arial"/>
                <w:sz w:val="24"/>
              </w:rPr>
            </w:pPr>
            <w:r>
              <w:rPr>
                <w:rFonts w:ascii="Arial" w:hAnsi="Arial" w:cs="Arial"/>
                <w:sz w:val="24"/>
              </w:rPr>
              <w:t>2014</w:t>
            </w:r>
          </w:p>
        </w:tc>
        <w:tc>
          <w:tcPr>
            <w:tcW w:w="1667" w:type="pct"/>
          </w:tcPr>
          <w:p w14:paraId="0BA7954B" w14:textId="77777777" w:rsidR="00736F5C" w:rsidRDefault="007F7740" w:rsidP="0012306D">
            <w:pPr>
              <w:rPr>
                <w:rFonts w:ascii="Arial" w:hAnsi="Arial" w:cs="Arial"/>
                <w:sz w:val="24"/>
              </w:rPr>
            </w:pPr>
            <w:r>
              <w:rPr>
                <w:rFonts w:ascii="Arial" w:hAnsi="Arial" w:cs="Arial"/>
                <w:sz w:val="24"/>
              </w:rPr>
              <w:t>112</w:t>
            </w:r>
          </w:p>
        </w:tc>
        <w:tc>
          <w:tcPr>
            <w:tcW w:w="1666" w:type="pct"/>
          </w:tcPr>
          <w:p w14:paraId="37170655" w14:textId="77777777" w:rsidR="00736F5C" w:rsidRDefault="00053462" w:rsidP="0012306D">
            <w:pPr>
              <w:rPr>
                <w:rFonts w:ascii="Arial" w:hAnsi="Arial" w:cs="Arial"/>
                <w:sz w:val="24"/>
              </w:rPr>
            </w:pPr>
            <w:r>
              <w:rPr>
                <w:rFonts w:ascii="Arial" w:hAnsi="Arial" w:cs="Arial"/>
                <w:sz w:val="24"/>
              </w:rPr>
              <w:t>485</w:t>
            </w:r>
          </w:p>
        </w:tc>
      </w:tr>
      <w:tr w:rsidR="00736F5C" w14:paraId="56C17F7E" w14:textId="77777777" w:rsidTr="0012306D">
        <w:tc>
          <w:tcPr>
            <w:tcW w:w="1666" w:type="pct"/>
          </w:tcPr>
          <w:p w14:paraId="7B3F2CBE" w14:textId="77777777" w:rsidR="00736F5C" w:rsidRDefault="00736F5C" w:rsidP="0012306D">
            <w:pPr>
              <w:rPr>
                <w:rFonts w:ascii="Arial" w:hAnsi="Arial" w:cs="Arial"/>
                <w:sz w:val="24"/>
              </w:rPr>
            </w:pPr>
            <w:r>
              <w:rPr>
                <w:rFonts w:ascii="Arial" w:hAnsi="Arial" w:cs="Arial"/>
                <w:sz w:val="24"/>
              </w:rPr>
              <w:t>2015</w:t>
            </w:r>
          </w:p>
        </w:tc>
        <w:tc>
          <w:tcPr>
            <w:tcW w:w="1667" w:type="pct"/>
          </w:tcPr>
          <w:p w14:paraId="41A47D65" w14:textId="77777777" w:rsidR="00736F5C" w:rsidRDefault="007F7740" w:rsidP="0012306D">
            <w:pPr>
              <w:rPr>
                <w:rFonts w:ascii="Arial" w:hAnsi="Arial" w:cs="Arial"/>
                <w:sz w:val="24"/>
              </w:rPr>
            </w:pPr>
            <w:r>
              <w:rPr>
                <w:rFonts w:ascii="Arial" w:hAnsi="Arial" w:cs="Arial"/>
                <w:sz w:val="24"/>
              </w:rPr>
              <w:t>99</w:t>
            </w:r>
          </w:p>
        </w:tc>
        <w:tc>
          <w:tcPr>
            <w:tcW w:w="1666" w:type="pct"/>
          </w:tcPr>
          <w:p w14:paraId="5E6B55A5" w14:textId="77777777" w:rsidR="00736F5C" w:rsidRDefault="00053462" w:rsidP="0012306D">
            <w:pPr>
              <w:rPr>
                <w:rFonts w:ascii="Arial" w:hAnsi="Arial" w:cs="Arial"/>
                <w:sz w:val="24"/>
              </w:rPr>
            </w:pPr>
            <w:r>
              <w:rPr>
                <w:rFonts w:ascii="Arial" w:hAnsi="Arial" w:cs="Arial"/>
                <w:sz w:val="24"/>
              </w:rPr>
              <w:t>451</w:t>
            </w:r>
          </w:p>
        </w:tc>
      </w:tr>
      <w:tr w:rsidR="00736F5C" w14:paraId="3B196BBF" w14:textId="77777777" w:rsidTr="0012306D">
        <w:tc>
          <w:tcPr>
            <w:tcW w:w="1666" w:type="pct"/>
          </w:tcPr>
          <w:p w14:paraId="5844FBD5" w14:textId="77777777" w:rsidR="00736F5C" w:rsidRDefault="00736F5C" w:rsidP="0012306D">
            <w:pPr>
              <w:rPr>
                <w:rFonts w:ascii="Arial" w:hAnsi="Arial" w:cs="Arial"/>
                <w:sz w:val="24"/>
              </w:rPr>
            </w:pPr>
            <w:r>
              <w:rPr>
                <w:rFonts w:ascii="Arial" w:hAnsi="Arial" w:cs="Arial"/>
                <w:sz w:val="24"/>
              </w:rPr>
              <w:t>2016</w:t>
            </w:r>
          </w:p>
        </w:tc>
        <w:tc>
          <w:tcPr>
            <w:tcW w:w="1667" w:type="pct"/>
          </w:tcPr>
          <w:p w14:paraId="697E0C45" w14:textId="77777777" w:rsidR="00736F5C" w:rsidRDefault="007F7740" w:rsidP="0012306D">
            <w:pPr>
              <w:rPr>
                <w:rFonts w:ascii="Arial" w:hAnsi="Arial" w:cs="Arial"/>
                <w:sz w:val="24"/>
              </w:rPr>
            </w:pPr>
            <w:r>
              <w:rPr>
                <w:rFonts w:ascii="Arial" w:hAnsi="Arial" w:cs="Arial"/>
                <w:sz w:val="24"/>
              </w:rPr>
              <w:t>100</w:t>
            </w:r>
          </w:p>
        </w:tc>
        <w:tc>
          <w:tcPr>
            <w:tcW w:w="1666" w:type="pct"/>
          </w:tcPr>
          <w:p w14:paraId="23A99081" w14:textId="77777777" w:rsidR="00736F5C" w:rsidRDefault="00053462" w:rsidP="0012306D">
            <w:pPr>
              <w:rPr>
                <w:rFonts w:ascii="Arial" w:hAnsi="Arial" w:cs="Arial"/>
                <w:sz w:val="24"/>
              </w:rPr>
            </w:pPr>
            <w:r>
              <w:rPr>
                <w:rFonts w:ascii="Arial" w:hAnsi="Arial" w:cs="Arial"/>
                <w:sz w:val="24"/>
              </w:rPr>
              <w:t>471</w:t>
            </w:r>
          </w:p>
        </w:tc>
      </w:tr>
      <w:tr w:rsidR="00736F5C" w14:paraId="25AA534C" w14:textId="77777777" w:rsidTr="0012306D">
        <w:tc>
          <w:tcPr>
            <w:tcW w:w="1666" w:type="pct"/>
          </w:tcPr>
          <w:p w14:paraId="594751C8" w14:textId="77777777" w:rsidR="00736F5C" w:rsidRDefault="00736F5C" w:rsidP="0012306D">
            <w:pPr>
              <w:rPr>
                <w:rFonts w:ascii="Arial" w:hAnsi="Arial" w:cs="Arial"/>
                <w:sz w:val="24"/>
              </w:rPr>
            </w:pPr>
            <w:r>
              <w:rPr>
                <w:rFonts w:ascii="Arial" w:hAnsi="Arial" w:cs="Arial"/>
                <w:sz w:val="24"/>
              </w:rPr>
              <w:t>2017</w:t>
            </w:r>
          </w:p>
        </w:tc>
        <w:tc>
          <w:tcPr>
            <w:tcW w:w="1667" w:type="pct"/>
          </w:tcPr>
          <w:p w14:paraId="201945DE" w14:textId="77777777" w:rsidR="00736F5C" w:rsidRDefault="007F7740" w:rsidP="0012306D">
            <w:pPr>
              <w:rPr>
                <w:rFonts w:ascii="Arial" w:hAnsi="Arial" w:cs="Arial"/>
                <w:sz w:val="24"/>
              </w:rPr>
            </w:pPr>
            <w:r>
              <w:rPr>
                <w:rFonts w:ascii="Arial" w:hAnsi="Arial" w:cs="Arial"/>
                <w:sz w:val="24"/>
              </w:rPr>
              <w:t>118</w:t>
            </w:r>
          </w:p>
        </w:tc>
        <w:tc>
          <w:tcPr>
            <w:tcW w:w="1666" w:type="pct"/>
          </w:tcPr>
          <w:p w14:paraId="049A11D2" w14:textId="77777777" w:rsidR="00736F5C" w:rsidRDefault="00053462" w:rsidP="0012306D">
            <w:pPr>
              <w:rPr>
                <w:rFonts w:ascii="Arial" w:hAnsi="Arial" w:cs="Arial"/>
                <w:sz w:val="24"/>
              </w:rPr>
            </w:pPr>
            <w:r>
              <w:rPr>
                <w:rFonts w:ascii="Arial" w:hAnsi="Arial" w:cs="Arial"/>
                <w:sz w:val="24"/>
              </w:rPr>
              <w:t>515</w:t>
            </w:r>
          </w:p>
        </w:tc>
      </w:tr>
    </w:tbl>
    <w:p w14:paraId="124A5252" w14:textId="77777777" w:rsidR="00293AD9" w:rsidRPr="00E74785" w:rsidRDefault="00E74785" w:rsidP="00293AD9">
      <w:pPr>
        <w:rPr>
          <w:rFonts w:ascii="Arial" w:hAnsi="Arial" w:cs="Arial"/>
          <w:i/>
          <w:sz w:val="24"/>
        </w:rPr>
      </w:pPr>
      <w:r w:rsidRPr="00E74785">
        <w:rPr>
          <w:rFonts w:ascii="Arial" w:hAnsi="Arial" w:cs="Arial"/>
          <w:i/>
          <w:sz w:val="24"/>
        </w:rPr>
        <w:t>Source: Victorian Emergency Minimum Data (VEMD), 2005-2017, DHHS, 2019c</w:t>
      </w:r>
    </w:p>
    <w:p w14:paraId="4844C0BF" w14:textId="77777777" w:rsidR="00293AD9" w:rsidRDefault="005207D0" w:rsidP="00293AD9">
      <w:pPr>
        <w:rPr>
          <w:rFonts w:ascii="Arial" w:hAnsi="Arial" w:cs="Arial"/>
          <w:b/>
          <w:sz w:val="24"/>
        </w:rPr>
      </w:pPr>
      <w:r w:rsidRPr="00622E48">
        <w:rPr>
          <w:rFonts w:ascii="Arial" w:hAnsi="Arial" w:cs="Arial"/>
          <w:b/>
          <w:sz w:val="24"/>
        </w:rPr>
        <w:t>Figure 28. Rate (per 100,000 population) of self-harm emergency department presentations, 10-19 year olds, male and female, by calendar year, 2005-2017</w:t>
      </w:r>
    </w:p>
    <w:tbl>
      <w:tblPr>
        <w:tblStyle w:val="TableGrid"/>
        <w:tblW w:w="5000" w:type="pct"/>
        <w:tblLook w:val="04A0" w:firstRow="1" w:lastRow="0" w:firstColumn="1" w:lastColumn="0" w:noHBand="0" w:noVBand="1"/>
        <w:tblDescription w:val="This table provides information on the rate (per 100,000 population) of self-harm emergency department presentations, 10-19 year olds, male and female, by calendar year, 2005-2017"/>
      </w:tblPr>
      <w:tblGrid>
        <w:gridCol w:w="3005"/>
        <w:gridCol w:w="3007"/>
        <w:gridCol w:w="3004"/>
      </w:tblGrid>
      <w:tr w:rsidR="00736F5C" w:rsidRPr="00054426" w14:paraId="767E281C" w14:textId="77777777" w:rsidTr="0012306D">
        <w:trPr>
          <w:tblHeader/>
        </w:trPr>
        <w:tc>
          <w:tcPr>
            <w:tcW w:w="1666" w:type="pct"/>
          </w:tcPr>
          <w:p w14:paraId="10A338A1" w14:textId="77777777" w:rsidR="00736F5C" w:rsidRDefault="00736F5C" w:rsidP="0012306D">
            <w:pPr>
              <w:rPr>
                <w:rFonts w:ascii="Arial" w:hAnsi="Arial" w:cs="Arial"/>
                <w:sz w:val="24"/>
              </w:rPr>
            </w:pPr>
          </w:p>
        </w:tc>
        <w:tc>
          <w:tcPr>
            <w:tcW w:w="1667" w:type="pct"/>
          </w:tcPr>
          <w:p w14:paraId="60C038C6" w14:textId="77777777" w:rsidR="00736F5C" w:rsidRPr="00054426" w:rsidRDefault="00736F5C" w:rsidP="0012306D">
            <w:pPr>
              <w:rPr>
                <w:rFonts w:ascii="Arial" w:hAnsi="Arial" w:cs="Arial"/>
                <w:sz w:val="24"/>
              </w:rPr>
            </w:pPr>
            <w:r>
              <w:rPr>
                <w:rFonts w:ascii="Arial" w:hAnsi="Arial" w:cs="Arial"/>
                <w:sz w:val="24"/>
              </w:rPr>
              <w:t>Male</w:t>
            </w:r>
          </w:p>
        </w:tc>
        <w:tc>
          <w:tcPr>
            <w:tcW w:w="1666" w:type="pct"/>
          </w:tcPr>
          <w:p w14:paraId="494EFE4A" w14:textId="77777777" w:rsidR="00736F5C" w:rsidRDefault="00736F5C" w:rsidP="0012306D">
            <w:pPr>
              <w:rPr>
                <w:rFonts w:ascii="Arial" w:hAnsi="Arial" w:cs="Arial"/>
                <w:sz w:val="24"/>
              </w:rPr>
            </w:pPr>
            <w:r>
              <w:rPr>
                <w:rFonts w:ascii="Arial" w:hAnsi="Arial" w:cs="Arial"/>
                <w:sz w:val="24"/>
              </w:rPr>
              <w:t>Female</w:t>
            </w:r>
          </w:p>
        </w:tc>
      </w:tr>
      <w:tr w:rsidR="00736F5C" w14:paraId="12C5C7D3" w14:textId="77777777" w:rsidTr="0012306D">
        <w:tc>
          <w:tcPr>
            <w:tcW w:w="1666" w:type="pct"/>
          </w:tcPr>
          <w:p w14:paraId="60D5A219" w14:textId="77777777" w:rsidR="00736F5C" w:rsidRDefault="00736F5C" w:rsidP="0012306D">
            <w:pPr>
              <w:rPr>
                <w:rFonts w:ascii="Arial" w:hAnsi="Arial" w:cs="Arial"/>
                <w:sz w:val="24"/>
              </w:rPr>
            </w:pPr>
            <w:r>
              <w:rPr>
                <w:rFonts w:ascii="Arial" w:hAnsi="Arial" w:cs="Arial"/>
                <w:sz w:val="24"/>
              </w:rPr>
              <w:t>2005</w:t>
            </w:r>
          </w:p>
        </w:tc>
        <w:tc>
          <w:tcPr>
            <w:tcW w:w="1667" w:type="pct"/>
          </w:tcPr>
          <w:p w14:paraId="7EB87085" w14:textId="77777777" w:rsidR="00736F5C" w:rsidRDefault="00622E48" w:rsidP="0012306D">
            <w:pPr>
              <w:rPr>
                <w:rFonts w:ascii="Arial" w:hAnsi="Arial" w:cs="Arial"/>
                <w:sz w:val="24"/>
              </w:rPr>
            </w:pPr>
            <w:r>
              <w:rPr>
                <w:rFonts w:ascii="Arial" w:hAnsi="Arial" w:cs="Arial"/>
                <w:sz w:val="24"/>
              </w:rPr>
              <w:t>110</w:t>
            </w:r>
          </w:p>
        </w:tc>
        <w:tc>
          <w:tcPr>
            <w:tcW w:w="1666" w:type="pct"/>
          </w:tcPr>
          <w:p w14:paraId="04C19D8C" w14:textId="77777777" w:rsidR="00736F5C" w:rsidRDefault="00622E48" w:rsidP="0012306D">
            <w:pPr>
              <w:rPr>
                <w:rFonts w:ascii="Arial" w:hAnsi="Arial" w:cs="Arial"/>
                <w:sz w:val="24"/>
              </w:rPr>
            </w:pPr>
            <w:r>
              <w:rPr>
                <w:rFonts w:ascii="Arial" w:hAnsi="Arial" w:cs="Arial"/>
                <w:sz w:val="24"/>
              </w:rPr>
              <w:t>291</w:t>
            </w:r>
          </w:p>
        </w:tc>
      </w:tr>
      <w:tr w:rsidR="00736F5C" w14:paraId="587BAB16" w14:textId="77777777" w:rsidTr="0012306D">
        <w:tc>
          <w:tcPr>
            <w:tcW w:w="1666" w:type="pct"/>
          </w:tcPr>
          <w:p w14:paraId="488F9376" w14:textId="77777777" w:rsidR="00736F5C" w:rsidRDefault="00736F5C" w:rsidP="0012306D">
            <w:pPr>
              <w:rPr>
                <w:rFonts w:ascii="Arial" w:hAnsi="Arial" w:cs="Arial"/>
                <w:sz w:val="24"/>
              </w:rPr>
            </w:pPr>
            <w:r>
              <w:rPr>
                <w:rFonts w:ascii="Arial" w:hAnsi="Arial" w:cs="Arial"/>
                <w:sz w:val="24"/>
              </w:rPr>
              <w:t>2006</w:t>
            </w:r>
          </w:p>
        </w:tc>
        <w:tc>
          <w:tcPr>
            <w:tcW w:w="1667" w:type="pct"/>
          </w:tcPr>
          <w:p w14:paraId="4718FD58" w14:textId="77777777" w:rsidR="00736F5C" w:rsidRDefault="00622E48" w:rsidP="0012306D">
            <w:pPr>
              <w:rPr>
                <w:rFonts w:ascii="Arial" w:hAnsi="Arial" w:cs="Arial"/>
                <w:sz w:val="24"/>
              </w:rPr>
            </w:pPr>
            <w:r>
              <w:rPr>
                <w:rFonts w:ascii="Arial" w:hAnsi="Arial" w:cs="Arial"/>
                <w:sz w:val="24"/>
              </w:rPr>
              <w:t>102</w:t>
            </w:r>
          </w:p>
        </w:tc>
        <w:tc>
          <w:tcPr>
            <w:tcW w:w="1666" w:type="pct"/>
          </w:tcPr>
          <w:p w14:paraId="24BBECE4" w14:textId="77777777" w:rsidR="00736F5C" w:rsidRDefault="00622E48" w:rsidP="0012306D">
            <w:pPr>
              <w:rPr>
                <w:rFonts w:ascii="Arial" w:hAnsi="Arial" w:cs="Arial"/>
                <w:sz w:val="24"/>
              </w:rPr>
            </w:pPr>
            <w:r>
              <w:rPr>
                <w:rFonts w:ascii="Arial" w:hAnsi="Arial" w:cs="Arial"/>
                <w:sz w:val="24"/>
              </w:rPr>
              <w:t>301</w:t>
            </w:r>
          </w:p>
        </w:tc>
      </w:tr>
      <w:tr w:rsidR="00736F5C" w14:paraId="25CF1D09" w14:textId="77777777" w:rsidTr="0012306D">
        <w:tc>
          <w:tcPr>
            <w:tcW w:w="1666" w:type="pct"/>
          </w:tcPr>
          <w:p w14:paraId="1B5F570B" w14:textId="77777777" w:rsidR="00736F5C" w:rsidRDefault="00736F5C" w:rsidP="0012306D">
            <w:pPr>
              <w:rPr>
                <w:rFonts w:ascii="Arial" w:hAnsi="Arial" w:cs="Arial"/>
                <w:sz w:val="24"/>
              </w:rPr>
            </w:pPr>
            <w:r>
              <w:rPr>
                <w:rFonts w:ascii="Arial" w:hAnsi="Arial" w:cs="Arial"/>
                <w:sz w:val="24"/>
              </w:rPr>
              <w:t>2007</w:t>
            </w:r>
          </w:p>
        </w:tc>
        <w:tc>
          <w:tcPr>
            <w:tcW w:w="1667" w:type="pct"/>
          </w:tcPr>
          <w:p w14:paraId="339AF1A0" w14:textId="77777777" w:rsidR="00736F5C" w:rsidRDefault="00622E48" w:rsidP="0012306D">
            <w:pPr>
              <w:rPr>
                <w:rFonts w:ascii="Arial" w:hAnsi="Arial" w:cs="Arial"/>
                <w:sz w:val="24"/>
              </w:rPr>
            </w:pPr>
            <w:r>
              <w:rPr>
                <w:rFonts w:ascii="Arial" w:hAnsi="Arial" w:cs="Arial"/>
                <w:sz w:val="24"/>
              </w:rPr>
              <w:t>99</w:t>
            </w:r>
          </w:p>
        </w:tc>
        <w:tc>
          <w:tcPr>
            <w:tcW w:w="1666" w:type="pct"/>
          </w:tcPr>
          <w:p w14:paraId="5A345C8B" w14:textId="77777777" w:rsidR="00736F5C" w:rsidRDefault="00622E48" w:rsidP="0012306D">
            <w:pPr>
              <w:rPr>
                <w:rFonts w:ascii="Arial" w:hAnsi="Arial" w:cs="Arial"/>
                <w:sz w:val="24"/>
              </w:rPr>
            </w:pPr>
            <w:r>
              <w:rPr>
                <w:rFonts w:ascii="Arial" w:hAnsi="Arial" w:cs="Arial"/>
                <w:sz w:val="24"/>
              </w:rPr>
              <w:t>269</w:t>
            </w:r>
          </w:p>
        </w:tc>
      </w:tr>
      <w:tr w:rsidR="00736F5C" w14:paraId="465FB231" w14:textId="77777777" w:rsidTr="0012306D">
        <w:tc>
          <w:tcPr>
            <w:tcW w:w="1666" w:type="pct"/>
          </w:tcPr>
          <w:p w14:paraId="1599A243" w14:textId="77777777" w:rsidR="00736F5C" w:rsidRDefault="00736F5C" w:rsidP="0012306D">
            <w:pPr>
              <w:rPr>
                <w:rFonts w:ascii="Arial" w:hAnsi="Arial" w:cs="Arial"/>
                <w:sz w:val="24"/>
              </w:rPr>
            </w:pPr>
            <w:r>
              <w:rPr>
                <w:rFonts w:ascii="Arial" w:hAnsi="Arial" w:cs="Arial"/>
                <w:sz w:val="24"/>
              </w:rPr>
              <w:t>2008</w:t>
            </w:r>
          </w:p>
        </w:tc>
        <w:tc>
          <w:tcPr>
            <w:tcW w:w="1667" w:type="pct"/>
          </w:tcPr>
          <w:p w14:paraId="41F29C76" w14:textId="77777777" w:rsidR="00736F5C" w:rsidRDefault="00622E48" w:rsidP="0012306D">
            <w:pPr>
              <w:rPr>
                <w:rFonts w:ascii="Arial" w:hAnsi="Arial" w:cs="Arial"/>
                <w:sz w:val="24"/>
              </w:rPr>
            </w:pPr>
            <w:r>
              <w:rPr>
                <w:rFonts w:ascii="Arial" w:hAnsi="Arial" w:cs="Arial"/>
                <w:sz w:val="24"/>
              </w:rPr>
              <w:t>93</w:t>
            </w:r>
          </w:p>
        </w:tc>
        <w:tc>
          <w:tcPr>
            <w:tcW w:w="1666" w:type="pct"/>
          </w:tcPr>
          <w:p w14:paraId="13693695" w14:textId="77777777" w:rsidR="00736F5C" w:rsidRDefault="00622E48" w:rsidP="0012306D">
            <w:pPr>
              <w:rPr>
                <w:rFonts w:ascii="Arial" w:hAnsi="Arial" w:cs="Arial"/>
                <w:sz w:val="24"/>
              </w:rPr>
            </w:pPr>
            <w:r>
              <w:rPr>
                <w:rFonts w:ascii="Arial" w:hAnsi="Arial" w:cs="Arial"/>
                <w:sz w:val="24"/>
              </w:rPr>
              <w:t>268</w:t>
            </w:r>
          </w:p>
        </w:tc>
      </w:tr>
      <w:tr w:rsidR="00736F5C" w14:paraId="7279353B" w14:textId="77777777" w:rsidTr="0012306D">
        <w:tc>
          <w:tcPr>
            <w:tcW w:w="1666" w:type="pct"/>
          </w:tcPr>
          <w:p w14:paraId="6043E741" w14:textId="77777777" w:rsidR="00736F5C" w:rsidRDefault="00736F5C" w:rsidP="0012306D">
            <w:pPr>
              <w:rPr>
                <w:rFonts w:ascii="Arial" w:hAnsi="Arial" w:cs="Arial"/>
                <w:sz w:val="24"/>
              </w:rPr>
            </w:pPr>
            <w:r>
              <w:rPr>
                <w:rFonts w:ascii="Arial" w:hAnsi="Arial" w:cs="Arial"/>
                <w:sz w:val="24"/>
              </w:rPr>
              <w:t>2009</w:t>
            </w:r>
          </w:p>
        </w:tc>
        <w:tc>
          <w:tcPr>
            <w:tcW w:w="1667" w:type="pct"/>
          </w:tcPr>
          <w:p w14:paraId="280B8035" w14:textId="77777777" w:rsidR="00736F5C" w:rsidRDefault="00622E48" w:rsidP="0012306D">
            <w:pPr>
              <w:rPr>
                <w:rFonts w:ascii="Arial" w:hAnsi="Arial" w:cs="Arial"/>
                <w:sz w:val="24"/>
              </w:rPr>
            </w:pPr>
            <w:r>
              <w:rPr>
                <w:rFonts w:ascii="Arial" w:hAnsi="Arial" w:cs="Arial"/>
                <w:sz w:val="24"/>
              </w:rPr>
              <w:t>115</w:t>
            </w:r>
          </w:p>
        </w:tc>
        <w:tc>
          <w:tcPr>
            <w:tcW w:w="1666" w:type="pct"/>
          </w:tcPr>
          <w:p w14:paraId="5C4231B1" w14:textId="77777777" w:rsidR="00736F5C" w:rsidRDefault="00622E48" w:rsidP="0012306D">
            <w:pPr>
              <w:rPr>
                <w:rFonts w:ascii="Arial" w:hAnsi="Arial" w:cs="Arial"/>
                <w:sz w:val="24"/>
              </w:rPr>
            </w:pPr>
            <w:r>
              <w:rPr>
                <w:rFonts w:ascii="Arial" w:hAnsi="Arial" w:cs="Arial"/>
                <w:sz w:val="24"/>
              </w:rPr>
              <w:t>277</w:t>
            </w:r>
          </w:p>
        </w:tc>
      </w:tr>
      <w:tr w:rsidR="00736F5C" w14:paraId="155354B9" w14:textId="77777777" w:rsidTr="0012306D">
        <w:tc>
          <w:tcPr>
            <w:tcW w:w="1666" w:type="pct"/>
          </w:tcPr>
          <w:p w14:paraId="2EFC01C9" w14:textId="77777777" w:rsidR="00736F5C" w:rsidRDefault="00736F5C" w:rsidP="0012306D">
            <w:pPr>
              <w:rPr>
                <w:rFonts w:ascii="Arial" w:hAnsi="Arial" w:cs="Arial"/>
                <w:sz w:val="24"/>
              </w:rPr>
            </w:pPr>
            <w:r>
              <w:rPr>
                <w:rFonts w:ascii="Arial" w:hAnsi="Arial" w:cs="Arial"/>
                <w:sz w:val="24"/>
              </w:rPr>
              <w:t>2010</w:t>
            </w:r>
          </w:p>
        </w:tc>
        <w:tc>
          <w:tcPr>
            <w:tcW w:w="1667" w:type="pct"/>
          </w:tcPr>
          <w:p w14:paraId="14DD3E7C" w14:textId="77777777" w:rsidR="00736F5C" w:rsidRDefault="00622E48" w:rsidP="0012306D">
            <w:pPr>
              <w:rPr>
                <w:rFonts w:ascii="Arial" w:hAnsi="Arial" w:cs="Arial"/>
                <w:sz w:val="24"/>
              </w:rPr>
            </w:pPr>
            <w:r>
              <w:rPr>
                <w:rFonts w:ascii="Arial" w:hAnsi="Arial" w:cs="Arial"/>
                <w:sz w:val="24"/>
              </w:rPr>
              <w:t>109</w:t>
            </w:r>
          </w:p>
        </w:tc>
        <w:tc>
          <w:tcPr>
            <w:tcW w:w="1666" w:type="pct"/>
          </w:tcPr>
          <w:p w14:paraId="06B2D2F2" w14:textId="77777777" w:rsidR="00736F5C" w:rsidRDefault="00622E48" w:rsidP="0012306D">
            <w:pPr>
              <w:rPr>
                <w:rFonts w:ascii="Arial" w:hAnsi="Arial" w:cs="Arial"/>
                <w:sz w:val="24"/>
              </w:rPr>
            </w:pPr>
            <w:r>
              <w:rPr>
                <w:rFonts w:ascii="Arial" w:hAnsi="Arial" w:cs="Arial"/>
                <w:sz w:val="24"/>
              </w:rPr>
              <w:t>258</w:t>
            </w:r>
          </w:p>
        </w:tc>
      </w:tr>
      <w:tr w:rsidR="00736F5C" w14:paraId="7534FAB0" w14:textId="77777777" w:rsidTr="0012306D">
        <w:tc>
          <w:tcPr>
            <w:tcW w:w="1666" w:type="pct"/>
          </w:tcPr>
          <w:p w14:paraId="38E609A2" w14:textId="77777777" w:rsidR="00736F5C" w:rsidRDefault="00736F5C" w:rsidP="0012306D">
            <w:pPr>
              <w:rPr>
                <w:rFonts w:ascii="Arial" w:hAnsi="Arial" w:cs="Arial"/>
                <w:sz w:val="24"/>
              </w:rPr>
            </w:pPr>
            <w:r>
              <w:rPr>
                <w:rFonts w:ascii="Arial" w:hAnsi="Arial" w:cs="Arial"/>
                <w:sz w:val="24"/>
              </w:rPr>
              <w:t>2011</w:t>
            </w:r>
          </w:p>
        </w:tc>
        <w:tc>
          <w:tcPr>
            <w:tcW w:w="1667" w:type="pct"/>
          </w:tcPr>
          <w:p w14:paraId="6C0C702E" w14:textId="77777777" w:rsidR="00736F5C" w:rsidRDefault="00622E48" w:rsidP="0012306D">
            <w:pPr>
              <w:rPr>
                <w:rFonts w:ascii="Arial" w:hAnsi="Arial" w:cs="Arial"/>
                <w:sz w:val="24"/>
              </w:rPr>
            </w:pPr>
            <w:r>
              <w:rPr>
                <w:rFonts w:ascii="Arial" w:hAnsi="Arial" w:cs="Arial"/>
                <w:sz w:val="24"/>
              </w:rPr>
              <w:t>119</w:t>
            </w:r>
          </w:p>
        </w:tc>
        <w:tc>
          <w:tcPr>
            <w:tcW w:w="1666" w:type="pct"/>
          </w:tcPr>
          <w:p w14:paraId="343876DE" w14:textId="77777777" w:rsidR="00736F5C" w:rsidRDefault="00622E48" w:rsidP="0012306D">
            <w:pPr>
              <w:rPr>
                <w:rFonts w:ascii="Arial" w:hAnsi="Arial" w:cs="Arial"/>
                <w:sz w:val="24"/>
              </w:rPr>
            </w:pPr>
            <w:r>
              <w:rPr>
                <w:rFonts w:ascii="Arial" w:hAnsi="Arial" w:cs="Arial"/>
                <w:sz w:val="24"/>
              </w:rPr>
              <w:t>287</w:t>
            </w:r>
          </w:p>
        </w:tc>
      </w:tr>
      <w:tr w:rsidR="00736F5C" w14:paraId="65C55ED2" w14:textId="77777777" w:rsidTr="0012306D">
        <w:tc>
          <w:tcPr>
            <w:tcW w:w="1666" w:type="pct"/>
          </w:tcPr>
          <w:p w14:paraId="0C821C30" w14:textId="77777777" w:rsidR="00736F5C" w:rsidRDefault="00736F5C" w:rsidP="0012306D">
            <w:pPr>
              <w:rPr>
                <w:rFonts w:ascii="Arial" w:hAnsi="Arial" w:cs="Arial"/>
                <w:sz w:val="24"/>
              </w:rPr>
            </w:pPr>
            <w:r>
              <w:rPr>
                <w:rFonts w:ascii="Arial" w:hAnsi="Arial" w:cs="Arial"/>
                <w:sz w:val="24"/>
              </w:rPr>
              <w:t>2012</w:t>
            </w:r>
          </w:p>
        </w:tc>
        <w:tc>
          <w:tcPr>
            <w:tcW w:w="1667" w:type="pct"/>
          </w:tcPr>
          <w:p w14:paraId="768026CA" w14:textId="77777777" w:rsidR="00736F5C" w:rsidRDefault="00622E48" w:rsidP="0012306D">
            <w:pPr>
              <w:rPr>
                <w:rFonts w:ascii="Arial" w:hAnsi="Arial" w:cs="Arial"/>
                <w:sz w:val="24"/>
              </w:rPr>
            </w:pPr>
            <w:r>
              <w:rPr>
                <w:rFonts w:ascii="Arial" w:hAnsi="Arial" w:cs="Arial"/>
                <w:sz w:val="24"/>
              </w:rPr>
              <w:t>121</w:t>
            </w:r>
          </w:p>
        </w:tc>
        <w:tc>
          <w:tcPr>
            <w:tcW w:w="1666" w:type="pct"/>
          </w:tcPr>
          <w:p w14:paraId="2D5D0CEB" w14:textId="77777777" w:rsidR="00736F5C" w:rsidRDefault="00622E48" w:rsidP="0012306D">
            <w:pPr>
              <w:rPr>
                <w:rFonts w:ascii="Arial" w:hAnsi="Arial" w:cs="Arial"/>
                <w:sz w:val="24"/>
              </w:rPr>
            </w:pPr>
            <w:r>
              <w:rPr>
                <w:rFonts w:ascii="Arial" w:hAnsi="Arial" w:cs="Arial"/>
                <w:sz w:val="24"/>
              </w:rPr>
              <w:t>363</w:t>
            </w:r>
          </w:p>
        </w:tc>
      </w:tr>
      <w:tr w:rsidR="00736F5C" w14:paraId="7E91AAEF" w14:textId="77777777" w:rsidTr="0012306D">
        <w:tc>
          <w:tcPr>
            <w:tcW w:w="1666" w:type="pct"/>
          </w:tcPr>
          <w:p w14:paraId="5FD39B1E" w14:textId="77777777" w:rsidR="00736F5C" w:rsidRDefault="00736F5C" w:rsidP="0012306D">
            <w:pPr>
              <w:rPr>
                <w:rFonts w:ascii="Arial" w:hAnsi="Arial" w:cs="Arial"/>
                <w:sz w:val="24"/>
              </w:rPr>
            </w:pPr>
            <w:r>
              <w:rPr>
                <w:rFonts w:ascii="Arial" w:hAnsi="Arial" w:cs="Arial"/>
                <w:sz w:val="24"/>
              </w:rPr>
              <w:t>2013</w:t>
            </w:r>
          </w:p>
        </w:tc>
        <w:tc>
          <w:tcPr>
            <w:tcW w:w="1667" w:type="pct"/>
          </w:tcPr>
          <w:p w14:paraId="53F2BF44" w14:textId="77777777" w:rsidR="00736F5C" w:rsidRDefault="00622E48" w:rsidP="0012306D">
            <w:pPr>
              <w:rPr>
                <w:rFonts w:ascii="Arial" w:hAnsi="Arial" w:cs="Arial"/>
                <w:sz w:val="24"/>
              </w:rPr>
            </w:pPr>
            <w:r>
              <w:rPr>
                <w:rFonts w:ascii="Arial" w:hAnsi="Arial" w:cs="Arial"/>
                <w:sz w:val="24"/>
              </w:rPr>
              <w:t>140</w:t>
            </w:r>
          </w:p>
        </w:tc>
        <w:tc>
          <w:tcPr>
            <w:tcW w:w="1666" w:type="pct"/>
          </w:tcPr>
          <w:p w14:paraId="22A066BA" w14:textId="77777777" w:rsidR="00736F5C" w:rsidRDefault="00622E48" w:rsidP="0012306D">
            <w:pPr>
              <w:rPr>
                <w:rFonts w:ascii="Arial" w:hAnsi="Arial" w:cs="Arial"/>
                <w:sz w:val="24"/>
              </w:rPr>
            </w:pPr>
            <w:r>
              <w:rPr>
                <w:rFonts w:ascii="Arial" w:hAnsi="Arial" w:cs="Arial"/>
                <w:sz w:val="24"/>
              </w:rPr>
              <w:t>442</w:t>
            </w:r>
          </w:p>
        </w:tc>
      </w:tr>
      <w:tr w:rsidR="00736F5C" w14:paraId="1C007E23" w14:textId="77777777" w:rsidTr="0012306D">
        <w:tc>
          <w:tcPr>
            <w:tcW w:w="1666" w:type="pct"/>
          </w:tcPr>
          <w:p w14:paraId="355789F6" w14:textId="77777777" w:rsidR="00736F5C" w:rsidRDefault="00736F5C" w:rsidP="0012306D">
            <w:pPr>
              <w:rPr>
                <w:rFonts w:ascii="Arial" w:hAnsi="Arial" w:cs="Arial"/>
                <w:sz w:val="24"/>
              </w:rPr>
            </w:pPr>
            <w:r>
              <w:rPr>
                <w:rFonts w:ascii="Arial" w:hAnsi="Arial" w:cs="Arial"/>
                <w:sz w:val="24"/>
              </w:rPr>
              <w:t>2014</w:t>
            </w:r>
          </w:p>
        </w:tc>
        <w:tc>
          <w:tcPr>
            <w:tcW w:w="1667" w:type="pct"/>
          </w:tcPr>
          <w:p w14:paraId="7A547503" w14:textId="77777777" w:rsidR="00736F5C" w:rsidRDefault="00622E48" w:rsidP="0012306D">
            <w:pPr>
              <w:rPr>
                <w:rFonts w:ascii="Arial" w:hAnsi="Arial" w:cs="Arial"/>
                <w:sz w:val="24"/>
              </w:rPr>
            </w:pPr>
            <w:r>
              <w:rPr>
                <w:rFonts w:ascii="Arial" w:hAnsi="Arial" w:cs="Arial"/>
                <w:sz w:val="24"/>
              </w:rPr>
              <w:t>136</w:t>
            </w:r>
          </w:p>
        </w:tc>
        <w:tc>
          <w:tcPr>
            <w:tcW w:w="1666" w:type="pct"/>
          </w:tcPr>
          <w:p w14:paraId="1519DB58" w14:textId="77777777" w:rsidR="00736F5C" w:rsidRDefault="00622E48" w:rsidP="0012306D">
            <w:pPr>
              <w:rPr>
                <w:rFonts w:ascii="Arial" w:hAnsi="Arial" w:cs="Arial"/>
                <w:sz w:val="24"/>
              </w:rPr>
            </w:pPr>
            <w:r>
              <w:rPr>
                <w:rFonts w:ascii="Arial" w:hAnsi="Arial" w:cs="Arial"/>
                <w:sz w:val="24"/>
              </w:rPr>
              <w:t>485</w:t>
            </w:r>
          </w:p>
        </w:tc>
      </w:tr>
      <w:tr w:rsidR="00736F5C" w14:paraId="6C00D954" w14:textId="77777777" w:rsidTr="0012306D">
        <w:tc>
          <w:tcPr>
            <w:tcW w:w="1666" w:type="pct"/>
          </w:tcPr>
          <w:p w14:paraId="59F3BCE9" w14:textId="77777777" w:rsidR="00736F5C" w:rsidRDefault="00736F5C" w:rsidP="0012306D">
            <w:pPr>
              <w:rPr>
                <w:rFonts w:ascii="Arial" w:hAnsi="Arial" w:cs="Arial"/>
                <w:sz w:val="24"/>
              </w:rPr>
            </w:pPr>
            <w:r>
              <w:rPr>
                <w:rFonts w:ascii="Arial" w:hAnsi="Arial" w:cs="Arial"/>
                <w:sz w:val="24"/>
              </w:rPr>
              <w:t>2015</w:t>
            </w:r>
          </w:p>
        </w:tc>
        <w:tc>
          <w:tcPr>
            <w:tcW w:w="1667" w:type="pct"/>
          </w:tcPr>
          <w:p w14:paraId="76A31952" w14:textId="77777777" w:rsidR="00736F5C" w:rsidRDefault="00622E48" w:rsidP="0012306D">
            <w:pPr>
              <w:rPr>
                <w:rFonts w:ascii="Arial" w:hAnsi="Arial" w:cs="Arial"/>
                <w:sz w:val="24"/>
              </w:rPr>
            </w:pPr>
            <w:r>
              <w:rPr>
                <w:rFonts w:ascii="Arial" w:hAnsi="Arial" w:cs="Arial"/>
                <w:sz w:val="24"/>
              </w:rPr>
              <w:t>129</w:t>
            </w:r>
          </w:p>
        </w:tc>
        <w:tc>
          <w:tcPr>
            <w:tcW w:w="1666" w:type="pct"/>
          </w:tcPr>
          <w:p w14:paraId="6A0F6775" w14:textId="77777777" w:rsidR="00736F5C" w:rsidRDefault="00622E48" w:rsidP="0012306D">
            <w:pPr>
              <w:rPr>
                <w:rFonts w:ascii="Arial" w:hAnsi="Arial" w:cs="Arial"/>
                <w:sz w:val="24"/>
              </w:rPr>
            </w:pPr>
            <w:r>
              <w:rPr>
                <w:rFonts w:ascii="Arial" w:hAnsi="Arial" w:cs="Arial"/>
                <w:sz w:val="24"/>
              </w:rPr>
              <w:t>441</w:t>
            </w:r>
          </w:p>
        </w:tc>
      </w:tr>
      <w:tr w:rsidR="00736F5C" w14:paraId="37B0AA3C" w14:textId="77777777" w:rsidTr="0012306D">
        <w:tc>
          <w:tcPr>
            <w:tcW w:w="1666" w:type="pct"/>
          </w:tcPr>
          <w:p w14:paraId="779E65F2" w14:textId="77777777" w:rsidR="00736F5C" w:rsidRDefault="00736F5C" w:rsidP="0012306D">
            <w:pPr>
              <w:rPr>
                <w:rFonts w:ascii="Arial" w:hAnsi="Arial" w:cs="Arial"/>
                <w:sz w:val="24"/>
              </w:rPr>
            </w:pPr>
            <w:r>
              <w:rPr>
                <w:rFonts w:ascii="Arial" w:hAnsi="Arial" w:cs="Arial"/>
                <w:sz w:val="24"/>
              </w:rPr>
              <w:lastRenderedPageBreak/>
              <w:t>2016</w:t>
            </w:r>
          </w:p>
        </w:tc>
        <w:tc>
          <w:tcPr>
            <w:tcW w:w="1667" w:type="pct"/>
          </w:tcPr>
          <w:p w14:paraId="12B9EDA0" w14:textId="77777777" w:rsidR="00736F5C" w:rsidRDefault="00622E48" w:rsidP="0012306D">
            <w:pPr>
              <w:rPr>
                <w:rFonts w:ascii="Arial" w:hAnsi="Arial" w:cs="Arial"/>
                <w:sz w:val="24"/>
              </w:rPr>
            </w:pPr>
            <w:r>
              <w:rPr>
                <w:rFonts w:ascii="Arial" w:hAnsi="Arial" w:cs="Arial"/>
                <w:sz w:val="24"/>
              </w:rPr>
              <w:t>137</w:t>
            </w:r>
          </w:p>
        </w:tc>
        <w:tc>
          <w:tcPr>
            <w:tcW w:w="1666" w:type="pct"/>
          </w:tcPr>
          <w:p w14:paraId="01DDDE95" w14:textId="77777777" w:rsidR="00736F5C" w:rsidRDefault="00622E48" w:rsidP="0012306D">
            <w:pPr>
              <w:rPr>
                <w:rFonts w:ascii="Arial" w:hAnsi="Arial" w:cs="Arial"/>
                <w:sz w:val="24"/>
              </w:rPr>
            </w:pPr>
            <w:r>
              <w:rPr>
                <w:rFonts w:ascii="Arial" w:hAnsi="Arial" w:cs="Arial"/>
                <w:sz w:val="24"/>
              </w:rPr>
              <w:t>453</w:t>
            </w:r>
          </w:p>
        </w:tc>
      </w:tr>
      <w:tr w:rsidR="00736F5C" w14:paraId="4A768812" w14:textId="77777777" w:rsidTr="0012306D">
        <w:tc>
          <w:tcPr>
            <w:tcW w:w="1666" w:type="pct"/>
          </w:tcPr>
          <w:p w14:paraId="0F7F8ACE" w14:textId="77777777" w:rsidR="00736F5C" w:rsidRDefault="00736F5C" w:rsidP="0012306D">
            <w:pPr>
              <w:rPr>
                <w:rFonts w:ascii="Arial" w:hAnsi="Arial" w:cs="Arial"/>
                <w:sz w:val="24"/>
              </w:rPr>
            </w:pPr>
            <w:r>
              <w:rPr>
                <w:rFonts w:ascii="Arial" w:hAnsi="Arial" w:cs="Arial"/>
                <w:sz w:val="24"/>
              </w:rPr>
              <w:t>2017</w:t>
            </w:r>
          </w:p>
        </w:tc>
        <w:tc>
          <w:tcPr>
            <w:tcW w:w="1667" w:type="pct"/>
          </w:tcPr>
          <w:p w14:paraId="2AFCC47F" w14:textId="77777777" w:rsidR="00736F5C" w:rsidRDefault="00622E48" w:rsidP="0012306D">
            <w:pPr>
              <w:rPr>
                <w:rFonts w:ascii="Arial" w:hAnsi="Arial" w:cs="Arial"/>
                <w:sz w:val="24"/>
              </w:rPr>
            </w:pPr>
            <w:r>
              <w:rPr>
                <w:rFonts w:ascii="Arial" w:hAnsi="Arial" w:cs="Arial"/>
                <w:sz w:val="24"/>
              </w:rPr>
              <w:t>171</w:t>
            </w:r>
          </w:p>
        </w:tc>
        <w:tc>
          <w:tcPr>
            <w:tcW w:w="1666" w:type="pct"/>
          </w:tcPr>
          <w:p w14:paraId="3E0B16CD" w14:textId="77777777" w:rsidR="00736F5C" w:rsidRDefault="00622E48" w:rsidP="0012306D">
            <w:pPr>
              <w:rPr>
                <w:rFonts w:ascii="Arial" w:hAnsi="Arial" w:cs="Arial"/>
                <w:sz w:val="24"/>
              </w:rPr>
            </w:pPr>
            <w:r>
              <w:rPr>
                <w:rFonts w:ascii="Arial" w:hAnsi="Arial" w:cs="Arial"/>
                <w:sz w:val="24"/>
              </w:rPr>
              <w:t>476</w:t>
            </w:r>
          </w:p>
        </w:tc>
      </w:tr>
    </w:tbl>
    <w:p w14:paraId="404EECF6" w14:textId="77777777" w:rsidR="00293AD9" w:rsidRPr="005207D0" w:rsidRDefault="005207D0" w:rsidP="00293AD9">
      <w:pPr>
        <w:rPr>
          <w:rFonts w:ascii="Arial" w:hAnsi="Arial" w:cs="Arial"/>
          <w:i/>
          <w:sz w:val="24"/>
        </w:rPr>
      </w:pPr>
      <w:r w:rsidRPr="005207D0">
        <w:rPr>
          <w:rFonts w:ascii="Arial" w:hAnsi="Arial" w:cs="Arial"/>
          <w:i/>
          <w:sz w:val="24"/>
        </w:rPr>
        <w:t>Source: VEMD, 2005-2017, DHHS, 2019c</w:t>
      </w:r>
    </w:p>
    <w:p w14:paraId="2EE56BB7" w14:textId="77777777" w:rsidR="00FD7F43" w:rsidRDefault="00335A15" w:rsidP="001B63A2">
      <w:pPr>
        <w:rPr>
          <w:rFonts w:ascii="Arial" w:hAnsi="Arial" w:cs="Arial"/>
          <w:b/>
          <w:sz w:val="24"/>
        </w:rPr>
      </w:pPr>
      <w:r w:rsidRPr="00622E48">
        <w:rPr>
          <w:rFonts w:ascii="Arial" w:hAnsi="Arial" w:cs="Arial"/>
          <w:b/>
          <w:sz w:val="24"/>
        </w:rPr>
        <w:t>Figure 29. Rate (per 100,000 population) of self-harm emergency department presentations, 15-19 year olds, Melbourne Metro and Rest of Victoria, by calendar year, 2005-2017</w:t>
      </w:r>
    </w:p>
    <w:tbl>
      <w:tblPr>
        <w:tblStyle w:val="TableGrid"/>
        <w:tblW w:w="5000" w:type="pct"/>
        <w:tblLook w:val="04A0" w:firstRow="1" w:lastRow="0" w:firstColumn="1" w:lastColumn="0" w:noHBand="0" w:noVBand="1"/>
        <w:tblDescription w:val="This table provides information on the rate (per 100,000 population) of self-harm emergency department presentations, 15-19 year olds, Melbourne Metro and Rest of Victoria, by calendar year, 2005-2017"/>
      </w:tblPr>
      <w:tblGrid>
        <w:gridCol w:w="3005"/>
        <w:gridCol w:w="3007"/>
        <w:gridCol w:w="3004"/>
      </w:tblGrid>
      <w:tr w:rsidR="006C1D43" w:rsidRPr="00054426" w14:paraId="1D4D8F12" w14:textId="77777777" w:rsidTr="0012306D">
        <w:trPr>
          <w:tblHeader/>
        </w:trPr>
        <w:tc>
          <w:tcPr>
            <w:tcW w:w="1666" w:type="pct"/>
          </w:tcPr>
          <w:p w14:paraId="326216DC" w14:textId="77777777" w:rsidR="006C1D43" w:rsidRDefault="006C1D43" w:rsidP="0012306D">
            <w:pPr>
              <w:rPr>
                <w:rFonts w:ascii="Arial" w:hAnsi="Arial" w:cs="Arial"/>
                <w:sz w:val="24"/>
              </w:rPr>
            </w:pPr>
          </w:p>
        </w:tc>
        <w:tc>
          <w:tcPr>
            <w:tcW w:w="1667" w:type="pct"/>
          </w:tcPr>
          <w:p w14:paraId="7813C56B" w14:textId="77777777" w:rsidR="006C1D43" w:rsidRPr="00054426" w:rsidRDefault="006C1D43" w:rsidP="0012306D">
            <w:pPr>
              <w:rPr>
                <w:rFonts w:ascii="Arial" w:hAnsi="Arial" w:cs="Arial"/>
                <w:sz w:val="24"/>
              </w:rPr>
            </w:pPr>
            <w:r>
              <w:rPr>
                <w:rFonts w:ascii="Arial" w:hAnsi="Arial" w:cs="Arial"/>
                <w:sz w:val="24"/>
              </w:rPr>
              <w:t>Melbourne Metro</w:t>
            </w:r>
          </w:p>
        </w:tc>
        <w:tc>
          <w:tcPr>
            <w:tcW w:w="1666" w:type="pct"/>
          </w:tcPr>
          <w:p w14:paraId="29898F5C" w14:textId="77777777" w:rsidR="006C1D43" w:rsidRDefault="006C1D43" w:rsidP="0012306D">
            <w:pPr>
              <w:rPr>
                <w:rFonts w:ascii="Arial" w:hAnsi="Arial" w:cs="Arial"/>
                <w:sz w:val="24"/>
              </w:rPr>
            </w:pPr>
            <w:r>
              <w:rPr>
                <w:rFonts w:ascii="Arial" w:hAnsi="Arial" w:cs="Arial"/>
                <w:sz w:val="24"/>
              </w:rPr>
              <w:t>Rest of Victoria</w:t>
            </w:r>
          </w:p>
        </w:tc>
      </w:tr>
      <w:tr w:rsidR="006C1D43" w14:paraId="79B02CF8" w14:textId="77777777" w:rsidTr="0012306D">
        <w:tc>
          <w:tcPr>
            <w:tcW w:w="1666" w:type="pct"/>
          </w:tcPr>
          <w:p w14:paraId="4376666D" w14:textId="77777777" w:rsidR="006C1D43" w:rsidRDefault="006C1D43" w:rsidP="0012306D">
            <w:pPr>
              <w:rPr>
                <w:rFonts w:ascii="Arial" w:hAnsi="Arial" w:cs="Arial"/>
                <w:sz w:val="24"/>
              </w:rPr>
            </w:pPr>
            <w:r>
              <w:rPr>
                <w:rFonts w:ascii="Arial" w:hAnsi="Arial" w:cs="Arial"/>
                <w:sz w:val="24"/>
              </w:rPr>
              <w:t>2005</w:t>
            </w:r>
          </w:p>
        </w:tc>
        <w:tc>
          <w:tcPr>
            <w:tcW w:w="1667" w:type="pct"/>
          </w:tcPr>
          <w:p w14:paraId="304448FA" w14:textId="77777777" w:rsidR="006C1D43" w:rsidRDefault="00622E48" w:rsidP="0012306D">
            <w:pPr>
              <w:rPr>
                <w:rFonts w:ascii="Arial" w:hAnsi="Arial" w:cs="Arial"/>
                <w:sz w:val="24"/>
              </w:rPr>
            </w:pPr>
            <w:r>
              <w:rPr>
                <w:rFonts w:ascii="Arial" w:hAnsi="Arial" w:cs="Arial"/>
                <w:sz w:val="24"/>
              </w:rPr>
              <w:t>324</w:t>
            </w:r>
          </w:p>
        </w:tc>
        <w:tc>
          <w:tcPr>
            <w:tcW w:w="1666" w:type="pct"/>
          </w:tcPr>
          <w:p w14:paraId="46B06F71" w14:textId="77777777" w:rsidR="006C1D43" w:rsidRDefault="00622E48" w:rsidP="0012306D">
            <w:pPr>
              <w:rPr>
                <w:rFonts w:ascii="Arial" w:hAnsi="Arial" w:cs="Arial"/>
                <w:sz w:val="24"/>
              </w:rPr>
            </w:pPr>
            <w:r>
              <w:rPr>
                <w:rFonts w:ascii="Arial" w:hAnsi="Arial" w:cs="Arial"/>
                <w:sz w:val="24"/>
              </w:rPr>
              <w:t>396</w:t>
            </w:r>
          </w:p>
        </w:tc>
      </w:tr>
      <w:tr w:rsidR="006C1D43" w14:paraId="66A3539F" w14:textId="77777777" w:rsidTr="0012306D">
        <w:tc>
          <w:tcPr>
            <w:tcW w:w="1666" w:type="pct"/>
          </w:tcPr>
          <w:p w14:paraId="76BA2E03" w14:textId="77777777" w:rsidR="006C1D43" w:rsidRDefault="006C1D43" w:rsidP="0012306D">
            <w:pPr>
              <w:rPr>
                <w:rFonts w:ascii="Arial" w:hAnsi="Arial" w:cs="Arial"/>
                <w:sz w:val="24"/>
              </w:rPr>
            </w:pPr>
            <w:r>
              <w:rPr>
                <w:rFonts w:ascii="Arial" w:hAnsi="Arial" w:cs="Arial"/>
                <w:sz w:val="24"/>
              </w:rPr>
              <w:t>2006</w:t>
            </w:r>
          </w:p>
        </w:tc>
        <w:tc>
          <w:tcPr>
            <w:tcW w:w="1667" w:type="pct"/>
          </w:tcPr>
          <w:p w14:paraId="5F84161C" w14:textId="77777777" w:rsidR="006C1D43" w:rsidRDefault="00622E48" w:rsidP="0012306D">
            <w:pPr>
              <w:rPr>
                <w:rFonts w:ascii="Arial" w:hAnsi="Arial" w:cs="Arial"/>
                <w:sz w:val="24"/>
              </w:rPr>
            </w:pPr>
            <w:r>
              <w:rPr>
                <w:rFonts w:ascii="Arial" w:hAnsi="Arial" w:cs="Arial"/>
                <w:sz w:val="24"/>
              </w:rPr>
              <w:t>300</w:t>
            </w:r>
          </w:p>
        </w:tc>
        <w:tc>
          <w:tcPr>
            <w:tcW w:w="1666" w:type="pct"/>
          </w:tcPr>
          <w:p w14:paraId="69511519" w14:textId="77777777" w:rsidR="006C1D43" w:rsidRDefault="00622E48" w:rsidP="0012306D">
            <w:pPr>
              <w:rPr>
                <w:rFonts w:ascii="Arial" w:hAnsi="Arial" w:cs="Arial"/>
                <w:sz w:val="24"/>
              </w:rPr>
            </w:pPr>
            <w:r>
              <w:rPr>
                <w:rFonts w:ascii="Arial" w:hAnsi="Arial" w:cs="Arial"/>
                <w:sz w:val="24"/>
              </w:rPr>
              <w:t>468</w:t>
            </w:r>
          </w:p>
        </w:tc>
      </w:tr>
      <w:tr w:rsidR="006C1D43" w14:paraId="4CE51BF0" w14:textId="77777777" w:rsidTr="0012306D">
        <w:tc>
          <w:tcPr>
            <w:tcW w:w="1666" w:type="pct"/>
          </w:tcPr>
          <w:p w14:paraId="22CBD80D" w14:textId="77777777" w:rsidR="006C1D43" w:rsidRDefault="006C1D43" w:rsidP="0012306D">
            <w:pPr>
              <w:rPr>
                <w:rFonts w:ascii="Arial" w:hAnsi="Arial" w:cs="Arial"/>
                <w:sz w:val="24"/>
              </w:rPr>
            </w:pPr>
            <w:r>
              <w:rPr>
                <w:rFonts w:ascii="Arial" w:hAnsi="Arial" w:cs="Arial"/>
                <w:sz w:val="24"/>
              </w:rPr>
              <w:t>2007</w:t>
            </w:r>
          </w:p>
        </w:tc>
        <w:tc>
          <w:tcPr>
            <w:tcW w:w="1667" w:type="pct"/>
          </w:tcPr>
          <w:p w14:paraId="012C23AC" w14:textId="77777777" w:rsidR="006C1D43" w:rsidRDefault="00622E48" w:rsidP="0012306D">
            <w:pPr>
              <w:rPr>
                <w:rFonts w:ascii="Arial" w:hAnsi="Arial" w:cs="Arial"/>
                <w:sz w:val="24"/>
              </w:rPr>
            </w:pPr>
            <w:r>
              <w:rPr>
                <w:rFonts w:ascii="Arial" w:hAnsi="Arial" w:cs="Arial"/>
                <w:sz w:val="24"/>
              </w:rPr>
              <w:t>263</w:t>
            </w:r>
          </w:p>
        </w:tc>
        <w:tc>
          <w:tcPr>
            <w:tcW w:w="1666" w:type="pct"/>
          </w:tcPr>
          <w:p w14:paraId="156132C3" w14:textId="77777777" w:rsidR="006C1D43" w:rsidRDefault="00622E48" w:rsidP="0012306D">
            <w:pPr>
              <w:rPr>
                <w:rFonts w:ascii="Arial" w:hAnsi="Arial" w:cs="Arial"/>
                <w:sz w:val="24"/>
              </w:rPr>
            </w:pPr>
            <w:r>
              <w:rPr>
                <w:rFonts w:ascii="Arial" w:hAnsi="Arial" w:cs="Arial"/>
                <w:sz w:val="24"/>
              </w:rPr>
              <w:t>445</w:t>
            </w:r>
          </w:p>
        </w:tc>
      </w:tr>
      <w:tr w:rsidR="006C1D43" w14:paraId="007A8293" w14:textId="77777777" w:rsidTr="0012306D">
        <w:tc>
          <w:tcPr>
            <w:tcW w:w="1666" w:type="pct"/>
          </w:tcPr>
          <w:p w14:paraId="0C6D94E7" w14:textId="77777777" w:rsidR="006C1D43" w:rsidRDefault="006C1D43" w:rsidP="0012306D">
            <w:pPr>
              <w:rPr>
                <w:rFonts w:ascii="Arial" w:hAnsi="Arial" w:cs="Arial"/>
                <w:sz w:val="24"/>
              </w:rPr>
            </w:pPr>
            <w:r>
              <w:rPr>
                <w:rFonts w:ascii="Arial" w:hAnsi="Arial" w:cs="Arial"/>
                <w:sz w:val="24"/>
              </w:rPr>
              <w:t>2008</w:t>
            </w:r>
          </w:p>
        </w:tc>
        <w:tc>
          <w:tcPr>
            <w:tcW w:w="1667" w:type="pct"/>
          </w:tcPr>
          <w:p w14:paraId="62F62175" w14:textId="77777777" w:rsidR="006C1D43" w:rsidRDefault="00622E48" w:rsidP="0012306D">
            <w:pPr>
              <w:rPr>
                <w:rFonts w:ascii="Arial" w:hAnsi="Arial" w:cs="Arial"/>
                <w:sz w:val="24"/>
              </w:rPr>
            </w:pPr>
            <w:r>
              <w:rPr>
                <w:rFonts w:ascii="Arial" w:hAnsi="Arial" w:cs="Arial"/>
                <w:sz w:val="24"/>
              </w:rPr>
              <w:t>274</w:t>
            </w:r>
          </w:p>
        </w:tc>
        <w:tc>
          <w:tcPr>
            <w:tcW w:w="1666" w:type="pct"/>
          </w:tcPr>
          <w:p w14:paraId="176E608B" w14:textId="77777777" w:rsidR="006C1D43" w:rsidRDefault="00622E48" w:rsidP="0012306D">
            <w:pPr>
              <w:rPr>
                <w:rFonts w:ascii="Arial" w:hAnsi="Arial" w:cs="Arial"/>
                <w:sz w:val="24"/>
              </w:rPr>
            </w:pPr>
            <w:r>
              <w:rPr>
                <w:rFonts w:ascii="Arial" w:hAnsi="Arial" w:cs="Arial"/>
                <w:sz w:val="24"/>
              </w:rPr>
              <w:t>405</w:t>
            </w:r>
          </w:p>
        </w:tc>
      </w:tr>
      <w:tr w:rsidR="006C1D43" w14:paraId="4A7DB423" w14:textId="77777777" w:rsidTr="0012306D">
        <w:tc>
          <w:tcPr>
            <w:tcW w:w="1666" w:type="pct"/>
          </w:tcPr>
          <w:p w14:paraId="76EFFF37" w14:textId="77777777" w:rsidR="006C1D43" w:rsidRDefault="006C1D43" w:rsidP="0012306D">
            <w:pPr>
              <w:rPr>
                <w:rFonts w:ascii="Arial" w:hAnsi="Arial" w:cs="Arial"/>
                <w:sz w:val="24"/>
              </w:rPr>
            </w:pPr>
            <w:r>
              <w:rPr>
                <w:rFonts w:ascii="Arial" w:hAnsi="Arial" w:cs="Arial"/>
                <w:sz w:val="24"/>
              </w:rPr>
              <w:t>2009</w:t>
            </w:r>
          </w:p>
        </w:tc>
        <w:tc>
          <w:tcPr>
            <w:tcW w:w="1667" w:type="pct"/>
          </w:tcPr>
          <w:p w14:paraId="701EDB90" w14:textId="77777777" w:rsidR="006C1D43" w:rsidRDefault="00622E48" w:rsidP="0012306D">
            <w:pPr>
              <w:rPr>
                <w:rFonts w:ascii="Arial" w:hAnsi="Arial" w:cs="Arial"/>
                <w:sz w:val="24"/>
              </w:rPr>
            </w:pPr>
            <w:r>
              <w:rPr>
                <w:rFonts w:ascii="Arial" w:hAnsi="Arial" w:cs="Arial"/>
                <w:sz w:val="24"/>
              </w:rPr>
              <w:t>260</w:t>
            </w:r>
          </w:p>
        </w:tc>
        <w:tc>
          <w:tcPr>
            <w:tcW w:w="1666" w:type="pct"/>
          </w:tcPr>
          <w:p w14:paraId="6ADA0EFB" w14:textId="77777777" w:rsidR="006C1D43" w:rsidRDefault="00622E48" w:rsidP="0012306D">
            <w:pPr>
              <w:rPr>
                <w:rFonts w:ascii="Arial" w:hAnsi="Arial" w:cs="Arial"/>
                <w:sz w:val="24"/>
              </w:rPr>
            </w:pPr>
            <w:r>
              <w:rPr>
                <w:rFonts w:ascii="Arial" w:hAnsi="Arial" w:cs="Arial"/>
                <w:sz w:val="24"/>
              </w:rPr>
              <w:t>510</w:t>
            </w:r>
          </w:p>
        </w:tc>
      </w:tr>
      <w:tr w:rsidR="006C1D43" w14:paraId="2F95516B" w14:textId="77777777" w:rsidTr="0012306D">
        <w:tc>
          <w:tcPr>
            <w:tcW w:w="1666" w:type="pct"/>
          </w:tcPr>
          <w:p w14:paraId="53746D6B" w14:textId="77777777" w:rsidR="006C1D43" w:rsidRDefault="006C1D43" w:rsidP="0012306D">
            <w:pPr>
              <w:rPr>
                <w:rFonts w:ascii="Arial" w:hAnsi="Arial" w:cs="Arial"/>
                <w:sz w:val="24"/>
              </w:rPr>
            </w:pPr>
            <w:r>
              <w:rPr>
                <w:rFonts w:ascii="Arial" w:hAnsi="Arial" w:cs="Arial"/>
                <w:sz w:val="24"/>
              </w:rPr>
              <w:t>2010</w:t>
            </w:r>
          </w:p>
        </w:tc>
        <w:tc>
          <w:tcPr>
            <w:tcW w:w="1667" w:type="pct"/>
          </w:tcPr>
          <w:p w14:paraId="34967F62" w14:textId="77777777" w:rsidR="006C1D43" w:rsidRDefault="00622E48" w:rsidP="0012306D">
            <w:pPr>
              <w:rPr>
                <w:rFonts w:ascii="Arial" w:hAnsi="Arial" w:cs="Arial"/>
                <w:sz w:val="24"/>
              </w:rPr>
            </w:pPr>
            <w:r>
              <w:rPr>
                <w:rFonts w:ascii="Arial" w:hAnsi="Arial" w:cs="Arial"/>
                <w:sz w:val="24"/>
              </w:rPr>
              <w:t>259</w:t>
            </w:r>
          </w:p>
        </w:tc>
        <w:tc>
          <w:tcPr>
            <w:tcW w:w="1666" w:type="pct"/>
          </w:tcPr>
          <w:p w14:paraId="0CA1A075" w14:textId="77777777" w:rsidR="006C1D43" w:rsidRDefault="00622E48" w:rsidP="0012306D">
            <w:pPr>
              <w:rPr>
                <w:rFonts w:ascii="Arial" w:hAnsi="Arial" w:cs="Arial"/>
                <w:sz w:val="24"/>
              </w:rPr>
            </w:pPr>
            <w:r>
              <w:rPr>
                <w:rFonts w:ascii="Arial" w:hAnsi="Arial" w:cs="Arial"/>
                <w:sz w:val="24"/>
              </w:rPr>
              <w:t>444</w:t>
            </w:r>
          </w:p>
        </w:tc>
      </w:tr>
      <w:tr w:rsidR="006C1D43" w14:paraId="6F8FC496" w14:textId="77777777" w:rsidTr="0012306D">
        <w:tc>
          <w:tcPr>
            <w:tcW w:w="1666" w:type="pct"/>
          </w:tcPr>
          <w:p w14:paraId="0E613018" w14:textId="77777777" w:rsidR="006C1D43" w:rsidRDefault="006C1D43" w:rsidP="0012306D">
            <w:pPr>
              <w:rPr>
                <w:rFonts w:ascii="Arial" w:hAnsi="Arial" w:cs="Arial"/>
                <w:sz w:val="24"/>
              </w:rPr>
            </w:pPr>
            <w:r>
              <w:rPr>
                <w:rFonts w:ascii="Arial" w:hAnsi="Arial" w:cs="Arial"/>
                <w:sz w:val="24"/>
              </w:rPr>
              <w:t>2011</w:t>
            </w:r>
          </w:p>
        </w:tc>
        <w:tc>
          <w:tcPr>
            <w:tcW w:w="1667" w:type="pct"/>
          </w:tcPr>
          <w:p w14:paraId="417EC15D" w14:textId="77777777" w:rsidR="006C1D43" w:rsidRDefault="00622E48" w:rsidP="0012306D">
            <w:pPr>
              <w:rPr>
                <w:rFonts w:ascii="Arial" w:hAnsi="Arial" w:cs="Arial"/>
                <w:sz w:val="24"/>
              </w:rPr>
            </w:pPr>
            <w:r>
              <w:rPr>
                <w:rFonts w:ascii="Arial" w:hAnsi="Arial" w:cs="Arial"/>
                <w:sz w:val="24"/>
              </w:rPr>
              <w:t>271</w:t>
            </w:r>
          </w:p>
        </w:tc>
        <w:tc>
          <w:tcPr>
            <w:tcW w:w="1666" w:type="pct"/>
          </w:tcPr>
          <w:p w14:paraId="36CCF2EA" w14:textId="77777777" w:rsidR="006C1D43" w:rsidRDefault="00622E48" w:rsidP="0012306D">
            <w:pPr>
              <w:rPr>
                <w:rFonts w:ascii="Arial" w:hAnsi="Arial" w:cs="Arial"/>
                <w:sz w:val="24"/>
              </w:rPr>
            </w:pPr>
            <w:r>
              <w:rPr>
                <w:rFonts w:ascii="Arial" w:hAnsi="Arial" w:cs="Arial"/>
                <w:sz w:val="24"/>
              </w:rPr>
              <w:t>523</w:t>
            </w:r>
          </w:p>
        </w:tc>
      </w:tr>
      <w:tr w:rsidR="006C1D43" w14:paraId="42F71D8C" w14:textId="77777777" w:rsidTr="0012306D">
        <w:tc>
          <w:tcPr>
            <w:tcW w:w="1666" w:type="pct"/>
          </w:tcPr>
          <w:p w14:paraId="79759690" w14:textId="77777777" w:rsidR="006C1D43" w:rsidRDefault="006C1D43" w:rsidP="0012306D">
            <w:pPr>
              <w:rPr>
                <w:rFonts w:ascii="Arial" w:hAnsi="Arial" w:cs="Arial"/>
                <w:sz w:val="24"/>
              </w:rPr>
            </w:pPr>
            <w:r>
              <w:rPr>
                <w:rFonts w:ascii="Arial" w:hAnsi="Arial" w:cs="Arial"/>
                <w:sz w:val="24"/>
              </w:rPr>
              <w:t>2012</w:t>
            </w:r>
          </w:p>
        </w:tc>
        <w:tc>
          <w:tcPr>
            <w:tcW w:w="1667" w:type="pct"/>
          </w:tcPr>
          <w:p w14:paraId="2F1E1E0E" w14:textId="77777777" w:rsidR="006C1D43" w:rsidRDefault="00622E48" w:rsidP="0012306D">
            <w:pPr>
              <w:rPr>
                <w:rFonts w:ascii="Arial" w:hAnsi="Arial" w:cs="Arial"/>
                <w:sz w:val="24"/>
              </w:rPr>
            </w:pPr>
            <w:r>
              <w:rPr>
                <w:rFonts w:ascii="Arial" w:hAnsi="Arial" w:cs="Arial"/>
                <w:sz w:val="24"/>
              </w:rPr>
              <w:t>327</w:t>
            </w:r>
          </w:p>
        </w:tc>
        <w:tc>
          <w:tcPr>
            <w:tcW w:w="1666" w:type="pct"/>
          </w:tcPr>
          <w:p w14:paraId="3173CFC9" w14:textId="77777777" w:rsidR="006C1D43" w:rsidRDefault="00622E48" w:rsidP="0012306D">
            <w:pPr>
              <w:rPr>
                <w:rFonts w:ascii="Arial" w:hAnsi="Arial" w:cs="Arial"/>
                <w:sz w:val="24"/>
              </w:rPr>
            </w:pPr>
            <w:r>
              <w:rPr>
                <w:rFonts w:ascii="Arial" w:hAnsi="Arial" w:cs="Arial"/>
                <w:sz w:val="24"/>
              </w:rPr>
              <w:t>581</w:t>
            </w:r>
          </w:p>
        </w:tc>
      </w:tr>
      <w:tr w:rsidR="006C1D43" w14:paraId="5643F1D4" w14:textId="77777777" w:rsidTr="0012306D">
        <w:tc>
          <w:tcPr>
            <w:tcW w:w="1666" w:type="pct"/>
          </w:tcPr>
          <w:p w14:paraId="1D35614C" w14:textId="77777777" w:rsidR="006C1D43" w:rsidRDefault="006C1D43" w:rsidP="0012306D">
            <w:pPr>
              <w:rPr>
                <w:rFonts w:ascii="Arial" w:hAnsi="Arial" w:cs="Arial"/>
                <w:sz w:val="24"/>
              </w:rPr>
            </w:pPr>
            <w:r>
              <w:rPr>
                <w:rFonts w:ascii="Arial" w:hAnsi="Arial" w:cs="Arial"/>
                <w:sz w:val="24"/>
              </w:rPr>
              <w:t>2013</w:t>
            </w:r>
          </w:p>
        </w:tc>
        <w:tc>
          <w:tcPr>
            <w:tcW w:w="1667" w:type="pct"/>
          </w:tcPr>
          <w:p w14:paraId="23E2677E" w14:textId="77777777" w:rsidR="006C1D43" w:rsidRDefault="00622E48" w:rsidP="0012306D">
            <w:pPr>
              <w:rPr>
                <w:rFonts w:ascii="Arial" w:hAnsi="Arial" w:cs="Arial"/>
                <w:sz w:val="24"/>
              </w:rPr>
            </w:pPr>
            <w:r>
              <w:rPr>
                <w:rFonts w:ascii="Arial" w:hAnsi="Arial" w:cs="Arial"/>
                <w:sz w:val="24"/>
              </w:rPr>
              <w:t>401</w:t>
            </w:r>
          </w:p>
        </w:tc>
        <w:tc>
          <w:tcPr>
            <w:tcW w:w="1666" w:type="pct"/>
          </w:tcPr>
          <w:p w14:paraId="3FA9202B" w14:textId="77777777" w:rsidR="006C1D43" w:rsidRDefault="00622E48" w:rsidP="0012306D">
            <w:pPr>
              <w:rPr>
                <w:rFonts w:ascii="Arial" w:hAnsi="Arial" w:cs="Arial"/>
                <w:sz w:val="24"/>
              </w:rPr>
            </w:pPr>
            <w:r>
              <w:rPr>
                <w:rFonts w:ascii="Arial" w:hAnsi="Arial" w:cs="Arial"/>
                <w:sz w:val="24"/>
              </w:rPr>
              <w:t>624</w:t>
            </w:r>
          </w:p>
        </w:tc>
      </w:tr>
      <w:tr w:rsidR="006C1D43" w14:paraId="4EAB8666" w14:textId="77777777" w:rsidTr="0012306D">
        <w:tc>
          <w:tcPr>
            <w:tcW w:w="1666" w:type="pct"/>
          </w:tcPr>
          <w:p w14:paraId="07A1348D" w14:textId="77777777" w:rsidR="006C1D43" w:rsidRDefault="006C1D43" w:rsidP="0012306D">
            <w:pPr>
              <w:rPr>
                <w:rFonts w:ascii="Arial" w:hAnsi="Arial" w:cs="Arial"/>
                <w:sz w:val="24"/>
              </w:rPr>
            </w:pPr>
            <w:r>
              <w:rPr>
                <w:rFonts w:ascii="Arial" w:hAnsi="Arial" w:cs="Arial"/>
                <w:sz w:val="24"/>
              </w:rPr>
              <w:t>2014</w:t>
            </w:r>
          </w:p>
        </w:tc>
        <w:tc>
          <w:tcPr>
            <w:tcW w:w="1667" w:type="pct"/>
          </w:tcPr>
          <w:p w14:paraId="4E69B33A" w14:textId="77777777" w:rsidR="006C1D43" w:rsidRDefault="00622E48" w:rsidP="0012306D">
            <w:pPr>
              <w:rPr>
                <w:rFonts w:ascii="Arial" w:hAnsi="Arial" w:cs="Arial"/>
                <w:sz w:val="24"/>
              </w:rPr>
            </w:pPr>
            <w:r>
              <w:rPr>
                <w:rFonts w:ascii="Arial" w:hAnsi="Arial" w:cs="Arial"/>
                <w:sz w:val="24"/>
              </w:rPr>
              <w:t>417</w:t>
            </w:r>
          </w:p>
        </w:tc>
        <w:tc>
          <w:tcPr>
            <w:tcW w:w="1666" w:type="pct"/>
          </w:tcPr>
          <w:p w14:paraId="480DA624" w14:textId="77777777" w:rsidR="006C1D43" w:rsidRDefault="00622E48" w:rsidP="0012306D">
            <w:pPr>
              <w:rPr>
                <w:rFonts w:ascii="Arial" w:hAnsi="Arial" w:cs="Arial"/>
                <w:sz w:val="24"/>
              </w:rPr>
            </w:pPr>
            <w:r>
              <w:rPr>
                <w:rFonts w:ascii="Arial" w:hAnsi="Arial" w:cs="Arial"/>
                <w:sz w:val="24"/>
              </w:rPr>
              <w:t>690</w:t>
            </w:r>
          </w:p>
        </w:tc>
      </w:tr>
      <w:tr w:rsidR="006C1D43" w14:paraId="3A4BB674" w14:textId="77777777" w:rsidTr="0012306D">
        <w:tc>
          <w:tcPr>
            <w:tcW w:w="1666" w:type="pct"/>
          </w:tcPr>
          <w:p w14:paraId="254FD04C" w14:textId="77777777" w:rsidR="006C1D43" w:rsidRDefault="006C1D43" w:rsidP="0012306D">
            <w:pPr>
              <w:rPr>
                <w:rFonts w:ascii="Arial" w:hAnsi="Arial" w:cs="Arial"/>
                <w:sz w:val="24"/>
              </w:rPr>
            </w:pPr>
            <w:r>
              <w:rPr>
                <w:rFonts w:ascii="Arial" w:hAnsi="Arial" w:cs="Arial"/>
                <w:sz w:val="24"/>
              </w:rPr>
              <w:t>2015</w:t>
            </w:r>
          </w:p>
        </w:tc>
        <w:tc>
          <w:tcPr>
            <w:tcW w:w="1667" w:type="pct"/>
          </w:tcPr>
          <w:p w14:paraId="01F6B3E7" w14:textId="77777777" w:rsidR="006C1D43" w:rsidRDefault="00622E48" w:rsidP="0012306D">
            <w:pPr>
              <w:rPr>
                <w:rFonts w:ascii="Arial" w:hAnsi="Arial" w:cs="Arial"/>
                <w:sz w:val="24"/>
              </w:rPr>
            </w:pPr>
            <w:r>
              <w:rPr>
                <w:rFonts w:ascii="Arial" w:hAnsi="Arial" w:cs="Arial"/>
                <w:sz w:val="24"/>
              </w:rPr>
              <w:t>357</w:t>
            </w:r>
          </w:p>
        </w:tc>
        <w:tc>
          <w:tcPr>
            <w:tcW w:w="1666" w:type="pct"/>
          </w:tcPr>
          <w:p w14:paraId="7060528C" w14:textId="77777777" w:rsidR="006C1D43" w:rsidRDefault="00622E48" w:rsidP="0012306D">
            <w:pPr>
              <w:rPr>
                <w:rFonts w:ascii="Arial" w:hAnsi="Arial" w:cs="Arial"/>
                <w:sz w:val="24"/>
              </w:rPr>
            </w:pPr>
            <w:r>
              <w:rPr>
                <w:rFonts w:ascii="Arial" w:hAnsi="Arial" w:cs="Arial"/>
                <w:sz w:val="24"/>
              </w:rPr>
              <w:t>741</w:t>
            </w:r>
          </w:p>
        </w:tc>
      </w:tr>
      <w:tr w:rsidR="006C1D43" w14:paraId="49C61242" w14:textId="77777777" w:rsidTr="0012306D">
        <w:tc>
          <w:tcPr>
            <w:tcW w:w="1666" w:type="pct"/>
          </w:tcPr>
          <w:p w14:paraId="05A358C9" w14:textId="77777777" w:rsidR="006C1D43" w:rsidRDefault="006C1D43" w:rsidP="0012306D">
            <w:pPr>
              <w:rPr>
                <w:rFonts w:ascii="Arial" w:hAnsi="Arial" w:cs="Arial"/>
                <w:sz w:val="24"/>
              </w:rPr>
            </w:pPr>
            <w:r>
              <w:rPr>
                <w:rFonts w:ascii="Arial" w:hAnsi="Arial" w:cs="Arial"/>
                <w:sz w:val="24"/>
              </w:rPr>
              <w:t>2016</w:t>
            </w:r>
          </w:p>
        </w:tc>
        <w:tc>
          <w:tcPr>
            <w:tcW w:w="1667" w:type="pct"/>
          </w:tcPr>
          <w:p w14:paraId="6691C5EC" w14:textId="77777777" w:rsidR="006C1D43" w:rsidRDefault="00622E48" w:rsidP="0012306D">
            <w:pPr>
              <w:rPr>
                <w:rFonts w:ascii="Arial" w:hAnsi="Arial" w:cs="Arial"/>
                <w:sz w:val="24"/>
              </w:rPr>
            </w:pPr>
            <w:r>
              <w:rPr>
                <w:rFonts w:ascii="Arial" w:hAnsi="Arial" w:cs="Arial"/>
                <w:sz w:val="24"/>
              </w:rPr>
              <w:t>374</w:t>
            </w:r>
          </w:p>
        </w:tc>
        <w:tc>
          <w:tcPr>
            <w:tcW w:w="1666" w:type="pct"/>
          </w:tcPr>
          <w:p w14:paraId="0162E3B4" w14:textId="77777777" w:rsidR="006C1D43" w:rsidRDefault="00622E48" w:rsidP="0012306D">
            <w:pPr>
              <w:rPr>
                <w:rFonts w:ascii="Arial" w:hAnsi="Arial" w:cs="Arial"/>
                <w:sz w:val="24"/>
              </w:rPr>
            </w:pPr>
            <w:r>
              <w:rPr>
                <w:rFonts w:ascii="Arial" w:hAnsi="Arial" w:cs="Arial"/>
                <w:sz w:val="24"/>
              </w:rPr>
              <w:t>781</w:t>
            </w:r>
          </w:p>
        </w:tc>
      </w:tr>
      <w:tr w:rsidR="006C1D43" w14:paraId="20B57E80" w14:textId="77777777" w:rsidTr="0012306D">
        <w:tc>
          <w:tcPr>
            <w:tcW w:w="1666" w:type="pct"/>
          </w:tcPr>
          <w:p w14:paraId="4EB74BB6" w14:textId="77777777" w:rsidR="006C1D43" w:rsidRDefault="006C1D43" w:rsidP="0012306D">
            <w:pPr>
              <w:rPr>
                <w:rFonts w:ascii="Arial" w:hAnsi="Arial" w:cs="Arial"/>
                <w:sz w:val="24"/>
              </w:rPr>
            </w:pPr>
            <w:r>
              <w:rPr>
                <w:rFonts w:ascii="Arial" w:hAnsi="Arial" w:cs="Arial"/>
                <w:sz w:val="24"/>
              </w:rPr>
              <w:t>2017</w:t>
            </w:r>
          </w:p>
        </w:tc>
        <w:tc>
          <w:tcPr>
            <w:tcW w:w="1667" w:type="pct"/>
          </w:tcPr>
          <w:p w14:paraId="68E07356" w14:textId="77777777" w:rsidR="006C1D43" w:rsidRDefault="00622E48" w:rsidP="0012306D">
            <w:pPr>
              <w:rPr>
                <w:rFonts w:ascii="Arial" w:hAnsi="Arial" w:cs="Arial"/>
                <w:sz w:val="24"/>
              </w:rPr>
            </w:pPr>
            <w:r>
              <w:rPr>
                <w:rFonts w:ascii="Arial" w:hAnsi="Arial" w:cs="Arial"/>
                <w:sz w:val="24"/>
              </w:rPr>
              <w:t>418</w:t>
            </w:r>
          </w:p>
        </w:tc>
        <w:tc>
          <w:tcPr>
            <w:tcW w:w="1666" w:type="pct"/>
          </w:tcPr>
          <w:p w14:paraId="05B58B81" w14:textId="77777777" w:rsidR="006C1D43" w:rsidRDefault="00622E48" w:rsidP="0012306D">
            <w:pPr>
              <w:rPr>
                <w:rFonts w:ascii="Arial" w:hAnsi="Arial" w:cs="Arial"/>
                <w:sz w:val="24"/>
              </w:rPr>
            </w:pPr>
            <w:r>
              <w:rPr>
                <w:rFonts w:ascii="Arial" w:hAnsi="Arial" w:cs="Arial"/>
                <w:sz w:val="24"/>
              </w:rPr>
              <w:t>819</w:t>
            </w:r>
          </w:p>
        </w:tc>
      </w:tr>
    </w:tbl>
    <w:p w14:paraId="6DC2B589" w14:textId="77777777" w:rsidR="00047FCB" w:rsidRDefault="00047FCB" w:rsidP="00047FCB">
      <w:pPr>
        <w:rPr>
          <w:rFonts w:ascii="Arial" w:hAnsi="Arial" w:cs="Arial"/>
          <w:i/>
          <w:sz w:val="24"/>
        </w:rPr>
      </w:pPr>
      <w:r w:rsidRPr="005207D0">
        <w:rPr>
          <w:rFonts w:ascii="Arial" w:hAnsi="Arial" w:cs="Arial"/>
          <w:i/>
          <w:sz w:val="24"/>
        </w:rPr>
        <w:t>Source: VEMD, 2005-2017, DHHS, 2019c</w:t>
      </w:r>
    </w:p>
    <w:p w14:paraId="61BB3C15" w14:textId="77777777" w:rsidR="00FB5883" w:rsidRPr="00FB5883" w:rsidRDefault="00FB5883" w:rsidP="00FB5883">
      <w:pPr>
        <w:rPr>
          <w:rFonts w:ascii="Arial" w:eastAsiaTheme="majorEastAsia" w:hAnsi="Arial" w:cs="Arial"/>
          <w:b/>
          <w:bCs/>
          <w:sz w:val="24"/>
        </w:rPr>
      </w:pPr>
      <w:r w:rsidRPr="00FB5883">
        <w:rPr>
          <w:rFonts w:ascii="Arial" w:eastAsiaTheme="majorEastAsia" w:hAnsi="Arial" w:cs="Arial"/>
          <w:b/>
          <w:bCs/>
          <w:sz w:val="24"/>
        </w:rPr>
        <w:t>3.12</w:t>
      </w:r>
      <w:r w:rsidRPr="00FB5883">
        <w:rPr>
          <w:rFonts w:ascii="Arial" w:eastAsiaTheme="majorEastAsia" w:hAnsi="Arial" w:cs="Arial"/>
          <w:b/>
          <w:bCs/>
          <w:sz w:val="24"/>
        </w:rPr>
        <w:tab/>
        <w:t>Suicide rates remain stable</w:t>
      </w:r>
    </w:p>
    <w:p w14:paraId="66FCE072" w14:textId="77777777" w:rsidR="00FB5883" w:rsidRPr="00FB5883" w:rsidRDefault="00FB5883" w:rsidP="00FB5883">
      <w:pPr>
        <w:rPr>
          <w:rFonts w:ascii="Arial" w:hAnsi="Arial" w:cs="Arial"/>
          <w:sz w:val="24"/>
        </w:rPr>
      </w:pPr>
      <w:r w:rsidRPr="00FB5883">
        <w:rPr>
          <w:rFonts w:ascii="Arial" w:hAnsi="Arial" w:cs="Arial"/>
          <w:sz w:val="24"/>
        </w:rPr>
        <w:t>Rates of death due to suicide have remained low in the past 10 years, ranging from 2 to 4 deaths per 100,000 population of 10-19 year olds. Suicide is the leading cause</w:t>
      </w:r>
      <w:r>
        <w:rPr>
          <w:rFonts w:ascii="Arial" w:hAnsi="Arial" w:cs="Arial"/>
          <w:sz w:val="24"/>
        </w:rPr>
        <w:t xml:space="preserve"> </w:t>
      </w:r>
      <w:r w:rsidRPr="00FB5883">
        <w:rPr>
          <w:rFonts w:ascii="Arial" w:hAnsi="Arial" w:cs="Arial"/>
          <w:sz w:val="24"/>
        </w:rPr>
        <w:t>of death of adolescents in Australia (Australian Institute of Health and Welfare, 2019a) and shares many of the known risk factors for self-harm, including socioeconomic disadvantage, adverse childhood experiences, and interpersonal difficulties. Adolescent cohorts at an increased risk for both self-harm and suicide include Aboriginal and LGBTIQ groups, and adolescents involved in the criminal justice system (Shepherd, Spivak, Borschmann, Kinner, &amp; Hachtel, 2017). Analysis of Victorian data shows that young people who die by suicide are significantly more likely to have a diagnosed serious mental health illness than the general population (40 per cent as compared to 14 per cent) (Lee, et al., 2019). The data also suggests that engagement in education, training or employment may be a protective factor against adolescent suicide.</w:t>
      </w:r>
    </w:p>
    <w:p w14:paraId="0E3B680F" w14:textId="77777777" w:rsidR="00FD7F43" w:rsidRDefault="006A161F" w:rsidP="001B63A2">
      <w:pPr>
        <w:rPr>
          <w:rFonts w:ascii="Arial" w:hAnsi="Arial" w:cs="Arial"/>
          <w:b/>
          <w:sz w:val="24"/>
        </w:rPr>
      </w:pPr>
      <w:r w:rsidRPr="00622E48">
        <w:rPr>
          <w:rFonts w:ascii="Arial" w:hAnsi="Arial" w:cs="Arial"/>
          <w:b/>
          <w:sz w:val="24"/>
        </w:rPr>
        <w:t>Figure 30. Death rate by suicide per 100,000 10-19 year olds, Victoria, 2007–2016</w:t>
      </w:r>
    </w:p>
    <w:tbl>
      <w:tblPr>
        <w:tblStyle w:val="TableGrid"/>
        <w:tblW w:w="5000" w:type="pct"/>
        <w:tblLook w:val="04A0" w:firstRow="1" w:lastRow="0" w:firstColumn="1" w:lastColumn="0" w:noHBand="0" w:noVBand="1"/>
        <w:tblDescription w:val="This table provides information on the death rate by suicide per 100,000 10-19 year olds, Victoria, 2007–2016"/>
      </w:tblPr>
      <w:tblGrid>
        <w:gridCol w:w="901"/>
        <w:gridCol w:w="904"/>
        <w:gridCol w:w="901"/>
        <w:gridCol w:w="902"/>
        <w:gridCol w:w="902"/>
        <w:gridCol w:w="902"/>
        <w:gridCol w:w="902"/>
        <w:gridCol w:w="902"/>
        <w:gridCol w:w="902"/>
        <w:gridCol w:w="898"/>
      </w:tblGrid>
      <w:tr w:rsidR="002C59FD" w:rsidRPr="00054426" w14:paraId="53A7EEC3" w14:textId="77777777" w:rsidTr="002C59FD">
        <w:trPr>
          <w:tblHeader/>
        </w:trPr>
        <w:tc>
          <w:tcPr>
            <w:tcW w:w="500" w:type="pct"/>
          </w:tcPr>
          <w:p w14:paraId="1813B77B" w14:textId="77777777" w:rsidR="002C59FD" w:rsidRDefault="002C59FD" w:rsidP="0012306D">
            <w:pPr>
              <w:rPr>
                <w:rFonts w:ascii="Arial" w:hAnsi="Arial" w:cs="Arial"/>
                <w:sz w:val="24"/>
              </w:rPr>
            </w:pPr>
            <w:r>
              <w:rPr>
                <w:rFonts w:ascii="Arial" w:hAnsi="Arial" w:cs="Arial"/>
                <w:sz w:val="24"/>
              </w:rPr>
              <w:t>2007</w:t>
            </w:r>
          </w:p>
        </w:tc>
        <w:tc>
          <w:tcPr>
            <w:tcW w:w="502" w:type="pct"/>
          </w:tcPr>
          <w:p w14:paraId="4772ADB8" w14:textId="77777777" w:rsidR="002C59FD" w:rsidRPr="00054426" w:rsidRDefault="002C59FD" w:rsidP="0012306D">
            <w:pPr>
              <w:rPr>
                <w:rFonts w:ascii="Arial" w:hAnsi="Arial" w:cs="Arial"/>
                <w:sz w:val="24"/>
              </w:rPr>
            </w:pPr>
            <w:r>
              <w:rPr>
                <w:rFonts w:ascii="Arial" w:hAnsi="Arial" w:cs="Arial"/>
                <w:sz w:val="24"/>
              </w:rPr>
              <w:t>2008</w:t>
            </w:r>
          </w:p>
        </w:tc>
        <w:tc>
          <w:tcPr>
            <w:tcW w:w="500" w:type="pct"/>
          </w:tcPr>
          <w:p w14:paraId="157F42FD" w14:textId="77777777" w:rsidR="002C59FD" w:rsidRDefault="002C59FD" w:rsidP="0012306D">
            <w:pPr>
              <w:rPr>
                <w:rFonts w:ascii="Arial" w:hAnsi="Arial" w:cs="Arial"/>
                <w:sz w:val="24"/>
              </w:rPr>
            </w:pPr>
            <w:r>
              <w:rPr>
                <w:rFonts w:ascii="Arial" w:hAnsi="Arial" w:cs="Arial"/>
                <w:sz w:val="24"/>
              </w:rPr>
              <w:t>2009</w:t>
            </w:r>
          </w:p>
        </w:tc>
        <w:tc>
          <w:tcPr>
            <w:tcW w:w="500" w:type="pct"/>
          </w:tcPr>
          <w:p w14:paraId="4E39A0E7" w14:textId="77777777" w:rsidR="002C59FD" w:rsidRDefault="002C59FD" w:rsidP="0012306D">
            <w:pPr>
              <w:rPr>
                <w:rFonts w:ascii="Arial" w:hAnsi="Arial" w:cs="Arial"/>
                <w:sz w:val="24"/>
              </w:rPr>
            </w:pPr>
            <w:r>
              <w:rPr>
                <w:rFonts w:ascii="Arial" w:hAnsi="Arial" w:cs="Arial"/>
                <w:sz w:val="24"/>
              </w:rPr>
              <w:t>2010</w:t>
            </w:r>
          </w:p>
        </w:tc>
        <w:tc>
          <w:tcPr>
            <w:tcW w:w="500" w:type="pct"/>
          </w:tcPr>
          <w:p w14:paraId="13DE9237" w14:textId="77777777" w:rsidR="002C59FD" w:rsidRDefault="002C59FD" w:rsidP="0012306D">
            <w:pPr>
              <w:rPr>
                <w:rFonts w:ascii="Arial" w:hAnsi="Arial" w:cs="Arial"/>
                <w:sz w:val="24"/>
              </w:rPr>
            </w:pPr>
            <w:r>
              <w:rPr>
                <w:rFonts w:ascii="Arial" w:hAnsi="Arial" w:cs="Arial"/>
                <w:sz w:val="24"/>
              </w:rPr>
              <w:t>2011</w:t>
            </w:r>
          </w:p>
        </w:tc>
        <w:tc>
          <w:tcPr>
            <w:tcW w:w="500" w:type="pct"/>
          </w:tcPr>
          <w:p w14:paraId="5C9C08B8" w14:textId="77777777" w:rsidR="002C59FD" w:rsidRDefault="002C59FD" w:rsidP="0012306D">
            <w:pPr>
              <w:rPr>
                <w:rFonts w:ascii="Arial" w:hAnsi="Arial" w:cs="Arial"/>
                <w:sz w:val="24"/>
              </w:rPr>
            </w:pPr>
            <w:r>
              <w:rPr>
                <w:rFonts w:ascii="Arial" w:hAnsi="Arial" w:cs="Arial"/>
                <w:sz w:val="24"/>
              </w:rPr>
              <w:t>2012</w:t>
            </w:r>
          </w:p>
        </w:tc>
        <w:tc>
          <w:tcPr>
            <w:tcW w:w="500" w:type="pct"/>
          </w:tcPr>
          <w:p w14:paraId="69075248" w14:textId="77777777" w:rsidR="002C59FD" w:rsidRDefault="002C59FD" w:rsidP="0012306D">
            <w:pPr>
              <w:rPr>
                <w:rFonts w:ascii="Arial" w:hAnsi="Arial" w:cs="Arial"/>
                <w:sz w:val="24"/>
              </w:rPr>
            </w:pPr>
            <w:r>
              <w:rPr>
                <w:rFonts w:ascii="Arial" w:hAnsi="Arial" w:cs="Arial"/>
                <w:sz w:val="24"/>
              </w:rPr>
              <w:t>2013</w:t>
            </w:r>
          </w:p>
        </w:tc>
        <w:tc>
          <w:tcPr>
            <w:tcW w:w="500" w:type="pct"/>
          </w:tcPr>
          <w:p w14:paraId="58EC9362" w14:textId="77777777" w:rsidR="002C59FD" w:rsidRDefault="002C59FD" w:rsidP="0012306D">
            <w:pPr>
              <w:rPr>
                <w:rFonts w:ascii="Arial" w:hAnsi="Arial" w:cs="Arial"/>
                <w:sz w:val="24"/>
              </w:rPr>
            </w:pPr>
            <w:r>
              <w:rPr>
                <w:rFonts w:ascii="Arial" w:hAnsi="Arial" w:cs="Arial"/>
                <w:sz w:val="24"/>
              </w:rPr>
              <w:t>2014</w:t>
            </w:r>
          </w:p>
        </w:tc>
        <w:tc>
          <w:tcPr>
            <w:tcW w:w="500" w:type="pct"/>
          </w:tcPr>
          <w:p w14:paraId="06DF00C7" w14:textId="77777777" w:rsidR="002C59FD" w:rsidRDefault="002C59FD" w:rsidP="0012306D">
            <w:pPr>
              <w:rPr>
                <w:rFonts w:ascii="Arial" w:hAnsi="Arial" w:cs="Arial"/>
                <w:sz w:val="24"/>
              </w:rPr>
            </w:pPr>
            <w:r>
              <w:rPr>
                <w:rFonts w:ascii="Arial" w:hAnsi="Arial" w:cs="Arial"/>
                <w:sz w:val="24"/>
              </w:rPr>
              <w:t>2015</w:t>
            </w:r>
          </w:p>
        </w:tc>
        <w:tc>
          <w:tcPr>
            <w:tcW w:w="499" w:type="pct"/>
          </w:tcPr>
          <w:p w14:paraId="342D9488" w14:textId="77777777" w:rsidR="002C59FD" w:rsidRDefault="002C59FD" w:rsidP="0012306D">
            <w:pPr>
              <w:rPr>
                <w:rFonts w:ascii="Arial" w:hAnsi="Arial" w:cs="Arial"/>
                <w:sz w:val="24"/>
              </w:rPr>
            </w:pPr>
            <w:r>
              <w:rPr>
                <w:rFonts w:ascii="Arial" w:hAnsi="Arial" w:cs="Arial"/>
                <w:sz w:val="24"/>
              </w:rPr>
              <w:t>2016</w:t>
            </w:r>
          </w:p>
        </w:tc>
      </w:tr>
      <w:tr w:rsidR="002C59FD" w14:paraId="37922561" w14:textId="77777777" w:rsidTr="002C59FD">
        <w:tc>
          <w:tcPr>
            <w:tcW w:w="500" w:type="pct"/>
          </w:tcPr>
          <w:p w14:paraId="6C7F8202" w14:textId="77777777" w:rsidR="002C59FD" w:rsidRDefault="00622E48" w:rsidP="0012306D">
            <w:pPr>
              <w:rPr>
                <w:rFonts w:ascii="Arial" w:hAnsi="Arial" w:cs="Arial"/>
                <w:sz w:val="24"/>
              </w:rPr>
            </w:pPr>
            <w:r>
              <w:rPr>
                <w:rFonts w:ascii="Arial" w:hAnsi="Arial" w:cs="Arial"/>
                <w:sz w:val="24"/>
              </w:rPr>
              <w:t>4.4</w:t>
            </w:r>
          </w:p>
        </w:tc>
        <w:tc>
          <w:tcPr>
            <w:tcW w:w="502" w:type="pct"/>
          </w:tcPr>
          <w:p w14:paraId="72AB7864" w14:textId="77777777" w:rsidR="002C59FD" w:rsidRDefault="00622E48" w:rsidP="0012306D">
            <w:pPr>
              <w:rPr>
                <w:rFonts w:ascii="Arial" w:hAnsi="Arial" w:cs="Arial"/>
                <w:sz w:val="24"/>
              </w:rPr>
            </w:pPr>
            <w:r>
              <w:rPr>
                <w:rFonts w:ascii="Arial" w:hAnsi="Arial" w:cs="Arial"/>
                <w:sz w:val="24"/>
              </w:rPr>
              <w:t>2.9</w:t>
            </w:r>
          </w:p>
        </w:tc>
        <w:tc>
          <w:tcPr>
            <w:tcW w:w="500" w:type="pct"/>
          </w:tcPr>
          <w:p w14:paraId="3736834C" w14:textId="77777777" w:rsidR="002C59FD" w:rsidRDefault="00622E48" w:rsidP="0012306D">
            <w:pPr>
              <w:rPr>
                <w:rFonts w:ascii="Arial" w:hAnsi="Arial" w:cs="Arial"/>
                <w:sz w:val="24"/>
              </w:rPr>
            </w:pPr>
            <w:r>
              <w:rPr>
                <w:rFonts w:ascii="Arial" w:hAnsi="Arial" w:cs="Arial"/>
                <w:sz w:val="24"/>
              </w:rPr>
              <w:t>3.0</w:t>
            </w:r>
          </w:p>
        </w:tc>
        <w:tc>
          <w:tcPr>
            <w:tcW w:w="500" w:type="pct"/>
          </w:tcPr>
          <w:p w14:paraId="4157D4E6" w14:textId="77777777" w:rsidR="002C59FD" w:rsidRDefault="00622E48" w:rsidP="0012306D">
            <w:pPr>
              <w:rPr>
                <w:rFonts w:ascii="Arial" w:hAnsi="Arial" w:cs="Arial"/>
                <w:sz w:val="24"/>
              </w:rPr>
            </w:pPr>
            <w:r>
              <w:rPr>
                <w:rFonts w:ascii="Arial" w:hAnsi="Arial" w:cs="Arial"/>
                <w:sz w:val="24"/>
              </w:rPr>
              <w:t>4.7</w:t>
            </w:r>
          </w:p>
        </w:tc>
        <w:tc>
          <w:tcPr>
            <w:tcW w:w="500" w:type="pct"/>
          </w:tcPr>
          <w:p w14:paraId="618F50AC" w14:textId="77777777" w:rsidR="002C59FD" w:rsidRDefault="00622E48" w:rsidP="0012306D">
            <w:pPr>
              <w:rPr>
                <w:rFonts w:ascii="Arial" w:hAnsi="Arial" w:cs="Arial"/>
                <w:sz w:val="24"/>
              </w:rPr>
            </w:pPr>
            <w:r>
              <w:rPr>
                <w:rFonts w:ascii="Arial" w:hAnsi="Arial" w:cs="Arial"/>
                <w:sz w:val="24"/>
              </w:rPr>
              <w:t>2.5</w:t>
            </w:r>
          </w:p>
        </w:tc>
        <w:tc>
          <w:tcPr>
            <w:tcW w:w="500" w:type="pct"/>
          </w:tcPr>
          <w:p w14:paraId="5216BD83" w14:textId="77777777" w:rsidR="002C59FD" w:rsidRDefault="00622E48" w:rsidP="0012306D">
            <w:pPr>
              <w:rPr>
                <w:rFonts w:ascii="Arial" w:hAnsi="Arial" w:cs="Arial"/>
                <w:sz w:val="24"/>
              </w:rPr>
            </w:pPr>
            <w:r>
              <w:rPr>
                <w:rFonts w:ascii="Arial" w:hAnsi="Arial" w:cs="Arial"/>
                <w:sz w:val="24"/>
              </w:rPr>
              <w:t>4.5</w:t>
            </w:r>
          </w:p>
        </w:tc>
        <w:tc>
          <w:tcPr>
            <w:tcW w:w="500" w:type="pct"/>
          </w:tcPr>
          <w:p w14:paraId="4D711B10" w14:textId="77777777" w:rsidR="002C59FD" w:rsidRDefault="00622E48" w:rsidP="0012306D">
            <w:pPr>
              <w:rPr>
                <w:rFonts w:ascii="Arial" w:hAnsi="Arial" w:cs="Arial"/>
                <w:sz w:val="24"/>
              </w:rPr>
            </w:pPr>
            <w:r>
              <w:rPr>
                <w:rFonts w:ascii="Arial" w:hAnsi="Arial" w:cs="Arial"/>
                <w:sz w:val="24"/>
              </w:rPr>
              <w:t>3.9</w:t>
            </w:r>
          </w:p>
        </w:tc>
        <w:tc>
          <w:tcPr>
            <w:tcW w:w="500" w:type="pct"/>
          </w:tcPr>
          <w:p w14:paraId="072811CD" w14:textId="77777777" w:rsidR="002C59FD" w:rsidRDefault="00622E48" w:rsidP="0012306D">
            <w:pPr>
              <w:rPr>
                <w:rFonts w:ascii="Arial" w:hAnsi="Arial" w:cs="Arial"/>
                <w:sz w:val="24"/>
              </w:rPr>
            </w:pPr>
            <w:r>
              <w:rPr>
                <w:rFonts w:ascii="Arial" w:hAnsi="Arial" w:cs="Arial"/>
                <w:sz w:val="24"/>
              </w:rPr>
              <w:t>5.0</w:t>
            </w:r>
          </w:p>
        </w:tc>
        <w:tc>
          <w:tcPr>
            <w:tcW w:w="500" w:type="pct"/>
          </w:tcPr>
          <w:p w14:paraId="273FA8E9" w14:textId="77777777" w:rsidR="002C59FD" w:rsidRDefault="00622E48" w:rsidP="0012306D">
            <w:pPr>
              <w:rPr>
                <w:rFonts w:ascii="Arial" w:hAnsi="Arial" w:cs="Arial"/>
                <w:sz w:val="24"/>
              </w:rPr>
            </w:pPr>
            <w:r>
              <w:rPr>
                <w:rFonts w:ascii="Arial" w:hAnsi="Arial" w:cs="Arial"/>
                <w:sz w:val="24"/>
              </w:rPr>
              <w:t>3.9</w:t>
            </w:r>
          </w:p>
        </w:tc>
        <w:tc>
          <w:tcPr>
            <w:tcW w:w="499" w:type="pct"/>
          </w:tcPr>
          <w:p w14:paraId="503FB867" w14:textId="77777777" w:rsidR="002C59FD" w:rsidRDefault="00622E48" w:rsidP="0012306D">
            <w:pPr>
              <w:rPr>
                <w:rFonts w:ascii="Arial" w:hAnsi="Arial" w:cs="Arial"/>
                <w:sz w:val="24"/>
              </w:rPr>
            </w:pPr>
            <w:r>
              <w:rPr>
                <w:rFonts w:ascii="Arial" w:hAnsi="Arial" w:cs="Arial"/>
                <w:sz w:val="24"/>
              </w:rPr>
              <w:t>4.4</w:t>
            </w:r>
          </w:p>
        </w:tc>
      </w:tr>
    </w:tbl>
    <w:p w14:paraId="7CB0CB88" w14:textId="77777777" w:rsidR="00CD51E3" w:rsidRPr="006A161F" w:rsidRDefault="006A161F" w:rsidP="00CD51E3">
      <w:pPr>
        <w:rPr>
          <w:rFonts w:ascii="Arial" w:hAnsi="Arial" w:cs="Arial"/>
          <w:i/>
          <w:sz w:val="24"/>
        </w:rPr>
      </w:pPr>
      <w:r w:rsidRPr="006A161F">
        <w:rPr>
          <w:rFonts w:ascii="Arial" w:hAnsi="Arial" w:cs="Arial"/>
          <w:i/>
          <w:sz w:val="24"/>
        </w:rPr>
        <w:t>Source: Cause of Death Unit Record File, 2007-2016, Australian Coordinating Registry</w:t>
      </w:r>
    </w:p>
    <w:p w14:paraId="257D23AF" w14:textId="77777777" w:rsidR="007B0F8F" w:rsidRPr="007B0F8F" w:rsidRDefault="007B0F8F" w:rsidP="007B0F8F">
      <w:pPr>
        <w:pBdr>
          <w:top w:val="single" w:sz="4" w:space="1" w:color="auto"/>
          <w:left w:val="single" w:sz="4" w:space="4" w:color="auto"/>
          <w:bottom w:val="single" w:sz="4" w:space="1" w:color="auto"/>
          <w:right w:val="single" w:sz="4" w:space="4" w:color="auto"/>
        </w:pBdr>
        <w:rPr>
          <w:rFonts w:ascii="Arial" w:hAnsi="Arial" w:cs="Arial"/>
          <w:b/>
          <w:sz w:val="24"/>
        </w:rPr>
      </w:pPr>
      <w:r w:rsidRPr="007B0F8F">
        <w:rPr>
          <w:rFonts w:ascii="Arial" w:hAnsi="Arial" w:cs="Arial"/>
          <w:b/>
          <w:sz w:val="24"/>
        </w:rPr>
        <w:lastRenderedPageBreak/>
        <w:t xml:space="preserve">Efforts to </w:t>
      </w:r>
      <w:r w:rsidR="004B57BD">
        <w:rPr>
          <w:rFonts w:ascii="Arial" w:hAnsi="Arial" w:cs="Arial"/>
          <w:b/>
          <w:sz w:val="24"/>
        </w:rPr>
        <w:t>S</w:t>
      </w:r>
      <w:r w:rsidRPr="007B0F8F">
        <w:rPr>
          <w:rFonts w:ascii="Arial" w:hAnsi="Arial" w:cs="Arial"/>
          <w:b/>
          <w:sz w:val="24"/>
        </w:rPr>
        <w:t xml:space="preserve">upport the </w:t>
      </w:r>
      <w:r w:rsidR="004B57BD">
        <w:rPr>
          <w:rFonts w:ascii="Arial" w:hAnsi="Arial" w:cs="Arial"/>
          <w:b/>
          <w:sz w:val="24"/>
        </w:rPr>
        <w:t>M</w:t>
      </w:r>
      <w:r w:rsidRPr="007B0F8F">
        <w:rPr>
          <w:rFonts w:ascii="Arial" w:hAnsi="Arial" w:cs="Arial"/>
          <w:b/>
          <w:sz w:val="24"/>
        </w:rPr>
        <w:t xml:space="preserve">ental </w:t>
      </w:r>
      <w:r w:rsidR="004B57BD">
        <w:rPr>
          <w:rFonts w:ascii="Arial" w:hAnsi="Arial" w:cs="Arial"/>
          <w:b/>
          <w:sz w:val="24"/>
        </w:rPr>
        <w:t>Health of Young V</w:t>
      </w:r>
      <w:r w:rsidRPr="007B0F8F">
        <w:rPr>
          <w:rFonts w:ascii="Arial" w:hAnsi="Arial" w:cs="Arial"/>
          <w:b/>
          <w:sz w:val="24"/>
        </w:rPr>
        <w:t>ictorians</w:t>
      </w:r>
    </w:p>
    <w:p w14:paraId="4CCEAD0A" w14:textId="77777777" w:rsidR="007B0F8F" w:rsidRPr="007B0F8F" w:rsidRDefault="007B0F8F" w:rsidP="007B0F8F">
      <w:pPr>
        <w:pBdr>
          <w:top w:val="single" w:sz="4" w:space="1" w:color="auto"/>
          <w:left w:val="single" w:sz="4" w:space="4" w:color="auto"/>
          <w:bottom w:val="single" w:sz="4" w:space="1" w:color="auto"/>
          <w:right w:val="single" w:sz="4" w:space="4" w:color="auto"/>
        </w:pBdr>
        <w:rPr>
          <w:rFonts w:ascii="Arial" w:hAnsi="Arial" w:cs="Arial"/>
          <w:sz w:val="24"/>
        </w:rPr>
      </w:pPr>
      <w:r w:rsidRPr="007B0F8F">
        <w:rPr>
          <w:rFonts w:ascii="Arial" w:hAnsi="Arial" w:cs="Arial"/>
          <w:sz w:val="24"/>
        </w:rPr>
        <w:t>In November 2015 the Victorian Government launched a 10-year Mental Health Plan to guide investment and drive better mental health outcomes for Victorians. Recognising that nearly half of all Victorians (45 per cent) will experience mental illness in their lifetime, the plan focuses on greater efforts in prevention, and providing better integrated services and support for the most vulnerable people in the community.</w:t>
      </w:r>
    </w:p>
    <w:p w14:paraId="2FD148E0" w14:textId="77777777" w:rsidR="007B0F8F" w:rsidRPr="007B0F8F" w:rsidRDefault="007B0F8F" w:rsidP="007B0F8F">
      <w:pPr>
        <w:pBdr>
          <w:top w:val="single" w:sz="4" w:space="1" w:color="auto"/>
          <w:left w:val="single" w:sz="4" w:space="4" w:color="auto"/>
          <w:bottom w:val="single" w:sz="4" w:space="1" w:color="auto"/>
          <w:right w:val="single" w:sz="4" w:space="4" w:color="auto"/>
        </w:pBdr>
        <w:rPr>
          <w:rFonts w:ascii="Arial" w:hAnsi="Arial" w:cs="Arial"/>
          <w:sz w:val="24"/>
        </w:rPr>
      </w:pPr>
      <w:r w:rsidRPr="007B0F8F">
        <w:rPr>
          <w:rFonts w:ascii="Arial" w:hAnsi="Arial" w:cs="Arial"/>
          <w:sz w:val="24"/>
        </w:rPr>
        <w:t>One of the priorities outlined in the 10-year Mental Health Plan is the Victorian Suicide Prevention Framework, which provides a whole-of-government commitment and coordinated strategy to reduce the suicide toll. The Framework comprises five major objectives:</w:t>
      </w:r>
    </w:p>
    <w:p w14:paraId="0AE596F7" w14:textId="77777777" w:rsidR="007B0F8F" w:rsidRPr="007B0F8F" w:rsidRDefault="007B0F8F" w:rsidP="007B0F8F">
      <w:pPr>
        <w:pBdr>
          <w:top w:val="single" w:sz="4" w:space="1" w:color="auto"/>
          <w:left w:val="single" w:sz="4" w:space="4" w:color="auto"/>
          <w:bottom w:val="single" w:sz="4" w:space="1" w:color="auto"/>
          <w:right w:val="single" w:sz="4" w:space="4" w:color="auto"/>
        </w:pBdr>
        <w:rPr>
          <w:rFonts w:ascii="Arial" w:hAnsi="Arial" w:cs="Arial"/>
          <w:sz w:val="24"/>
        </w:rPr>
      </w:pPr>
      <w:r>
        <w:rPr>
          <w:rFonts w:ascii="Arial" w:hAnsi="Arial" w:cs="Arial"/>
          <w:sz w:val="24"/>
        </w:rPr>
        <w:t xml:space="preserve">• </w:t>
      </w:r>
      <w:r w:rsidRPr="007B0F8F">
        <w:rPr>
          <w:rFonts w:ascii="Arial" w:hAnsi="Arial" w:cs="Arial"/>
          <w:sz w:val="24"/>
        </w:rPr>
        <w:t>a new focus on building resilience, including through schools, health and emergency services</w:t>
      </w:r>
    </w:p>
    <w:p w14:paraId="24DD3030" w14:textId="77777777" w:rsidR="007B0F8F" w:rsidRPr="007B0F8F" w:rsidRDefault="007B0F8F" w:rsidP="007B0F8F">
      <w:pPr>
        <w:pBdr>
          <w:top w:val="single" w:sz="4" w:space="1" w:color="auto"/>
          <w:left w:val="single" w:sz="4" w:space="4" w:color="auto"/>
          <w:bottom w:val="single" w:sz="4" w:space="1" w:color="auto"/>
          <w:right w:val="single" w:sz="4" w:space="4" w:color="auto"/>
        </w:pBdr>
        <w:rPr>
          <w:rFonts w:ascii="Arial" w:hAnsi="Arial" w:cs="Arial"/>
          <w:sz w:val="24"/>
        </w:rPr>
      </w:pPr>
      <w:r w:rsidRPr="007B0F8F">
        <w:rPr>
          <w:rFonts w:ascii="Arial" w:hAnsi="Arial" w:cs="Arial"/>
          <w:sz w:val="24"/>
        </w:rPr>
        <w:t>•</w:t>
      </w:r>
      <w:r>
        <w:rPr>
          <w:rFonts w:ascii="Arial" w:hAnsi="Arial" w:cs="Arial"/>
          <w:sz w:val="24"/>
        </w:rPr>
        <w:t xml:space="preserve"> </w:t>
      </w:r>
      <w:r w:rsidRPr="007B0F8F">
        <w:rPr>
          <w:rFonts w:ascii="Arial" w:hAnsi="Arial" w:cs="Arial"/>
          <w:sz w:val="24"/>
        </w:rPr>
        <w:t>uniting behind groups who are experiencing higher risks of distress and suicide, including early responses to concerns among dairy farmers, regional</w:t>
      </w:r>
      <w:r>
        <w:rPr>
          <w:rFonts w:ascii="Arial" w:hAnsi="Arial" w:cs="Arial"/>
          <w:sz w:val="24"/>
        </w:rPr>
        <w:t xml:space="preserve"> </w:t>
      </w:r>
      <w:r w:rsidRPr="007B0F8F">
        <w:rPr>
          <w:rFonts w:ascii="Arial" w:hAnsi="Arial" w:cs="Arial"/>
          <w:sz w:val="24"/>
        </w:rPr>
        <w:t>communities, Aboriginal communities, emergency services workers, paramedics, police, and lesbian, gay, bisexual, trans and gender diverse and intersex people</w:t>
      </w:r>
    </w:p>
    <w:p w14:paraId="548E6C97" w14:textId="77777777" w:rsidR="007B0F8F" w:rsidRPr="007B0F8F" w:rsidRDefault="007B0F8F" w:rsidP="007B0F8F">
      <w:pPr>
        <w:pBdr>
          <w:top w:val="single" w:sz="4" w:space="1" w:color="auto"/>
          <w:left w:val="single" w:sz="4" w:space="4" w:color="auto"/>
          <w:bottom w:val="single" w:sz="4" w:space="1" w:color="auto"/>
          <w:right w:val="single" w:sz="4" w:space="4" w:color="auto"/>
        </w:pBdr>
        <w:rPr>
          <w:rFonts w:ascii="Arial" w:hAnsi="Arial" w:cs="Arial"/>
          <w:sz w:val="24"/>
        </w:rPr>
      </w:pPr>
      <w:r w:rsidRPr="007B0F8F">
        <w:rPr>
          <w:rFonts w:ascii="Arial" w:hAnsi="Arial" w:cs="Arial"/>
          <w:sz w:val="24"/>
        </w:rPr>
        <w:t>•</w:t>
      </w:r>
      <w:r>
        <w:rPr>
          <w:rFonts w:ascii="Arial" w:hAnsi="Arial" w:cs="Arial"/>
          <w:sz w:val="24"/>
        </w:rPr>
        <w:t xml:space="preserve"> </w:t>
      </w:r>
      <w:r w:rsidRPr="007B0F8F">
        <w:rPr>
          <w:rFonts w:ascii="Arial" w:hAnsi="Arial" w:cs="Arial"/>
          <w:sz w:val="24"/>
        </w:rPr>
        <w:t>strengthened approaches to assertive outreach and personal care when a person who has attempted suicide leaves a hospital, an emergency department or a mental health service</w:t>
      </w:r>
    </w:p>
    <w:p w14:paraId="76E8BDCF" w14:textId="77777777" w:rsidR="007B0F8F" w:rsidRPr="007B0F8F" w:rsidRDefault="007B0F8F" w:rsidP="007B0F8F">
      <w:pPr>
        <w:pBdr>
          <w:top w:val="single" w:sz="4" w:space="1" w:color="auto"/>
          <w:left w:val="single" w:sz="4" w:space="4" w:color="auto"/>
          <w:bottom w:val="single" w:sz="4" w:space="1" w:color="auto"/>
          <w:right w:val="single" w:sz="4" w:space="4" w:color="auto"/>
        </w:pBdr>
        <w:rPr>
          <w:rFonts w:ascii="Arial" w:hAnsi="Arial" w:cs="Arial"/>
          <w:sz w:val="24"/>
        </w:rPr>
      </w:pPr>
      <w:r w:rsidRPr="007B0F8F">
        <w:rPr>
          <w:rFonts w:ascii="Arial" w:hAnsi="Arial" w:cs="Arial"/>
          <w:sz w:val="24"/>
        </w:rPr>
        <w:t>•</w:t>
      </w:r>
      <w:r>
        <w:rPr>
          <w:rFonts w:ascii="Arial" w:hAnsi="Arial" w:cs="Arial"/>
          <w:sz w:val="24"/>
        </w:rPr>
        <w:t xml:space="preserve"> </w:t>
      </w:r>
      <w:r w:rsidRPr="007B0F8F">
        <w:rPr>
          <w:rFonts w:ascii="Arial" w:hAnsi="Arial" w:cs="Arial"/>
          <w:sz w:val="24"/>
        </w:rPr>
        <w:t>a new commitment to test and evaluate new trial initiatives and share data with local communities</w:t>
      </w:r>
    </w:p>
    <w:p w14:paraId="59C6B00C" w14:textId="77777777" w:rsidR="00CD51E3" w:rsidRDefault="007B0F8F" w:rsidP="007B0F8F">
      <w:pPr>
        <w:pBdr>
          <w:top w:val="single" w:sz="4" w:space="1" w:color="auto"/>
          <w:left w:val="single" w:sz="4" w:space="4" w:color="auto"/>
          <w:bottom w:val="single" w:sz="4" w:space="1" w:color="auto"/>
          <w:right w:val="single" w:sz="4" w:space="4" w:color="auto"/>
        </w:pBdr>
        <w:rPr>
          <w:rFonts w:ascii="Arial" w:hAnsi="Arial" w:cs="Arial"/>
          <w:sz w:val="24"/>
        </w:rPr>
      </w:pPr>
      <w:r w:rsidRPr="007B0F8F">
        <w:rPr>
          <w:rFonts w:ascii="Arial" w:hAnsi="Arial" w:cs="Arial"/>
          <w:sz w:val="24"/>
        </w:rPr>
        <w:t>•</w:t>
      </w:r>
      <w:r>
        <w:rPr>
          <w:rFonts w:ascii="Arial" w:hAnsi="Arial" w:cs="Arial"/>
          <w:sz w:val="24"/>
        </w:rPr>
        <w:t xml:space="preserve"> </w:t>
      </w:r>
      <w:r w:rsidRPr="007B0F8F">
        <w:rPr>
          <w:rFonts w:ascii="Arial" w:hAnsi="Arial" w:cs="Arial"/>
          <w:sz w:val="24"/>
        </w:rPr>
        <w:t>a six year trial of a systemic approach to suicide prevention in six local government areas across Victoria.</w:t>
      </w:r>
    </w:p>
    <w:p w14:paraId="365CB452" w14:textId="77777777" w:rsidR="00F65B28" w:rsidRDefault="00F65B28">
      <w:pPr>
        <w:rPr>
          <w:rFonts w:ascii="Arial" w:hAnsi="Arial" w:cs="Arial"/>
          <w:sz w:val="24"/>
          <w:highlight w:val="yellow"/>
        </w:rPr>
      </w:pPr>
      <w:r>
        <w:rPr>
          <w:rFonts w:ascii="Arial" w:hAnsi="Arial" w:cs="Arial"/>
          <w:sz w:val="24"/>
          <w:highlight w:val="yellow"/>
        </w:rPr>
        <w:br w:type="page"/>
      </w:r>
    </w:p>
    <w:p w14:paraId="190969F7" w14:textId="77777777" w:rsidR="00CD51E3" w:rsidRDefault="00AE108A" w:rsidP="00AE108A">
      <w:pPr>
        <w:pStyle w:val="Heading1"/>
      </w:pPr>
      <w:bookmarkStart w:id="39" w:name="_Toc33527764"/>
      <w:r w:rsidRPr="00AE108A">
        <w:lastRenderedPageBreak/>
        <w:t>EDUCATION</w:t>
      </w:r>
      <w:bookmarkEnd w:id="39"/>
    </w:p>
    <w:p w14:paraId="1932F41C" w14:textId="77777777" w:rsidR="00AE108A" w:rsidRPr="00AE108A" w:rsidRDefault="00AE108A" w:rsidP="00AE108A">
      <w:pPr>
        <w:pStyle w:val="Heading2"/>
        <w:rPr>
          <w:rFonts w:ascii="Arial" w:hAnsi="Arial" w:cs="Arial"/>
          <w:color w:val="auto"/>
        </w:rPr>
      </w:pPr>
      <w:bookmarkStart w:id="40" w:name="_Toc33527765"/>
      <w:r w:rsidRPr="00AE108A">
        <w:rPr>
          <w:rFonts w:ascii="Arial" w:hAnsi="Arial" w:cs="Arial"/>
          <w:color w:val="auto"/>
        </w:rPr>
        <w:t>INFOGRAPHIC SUMMARY</w:t>
      </w:r>
      <w:bookmarkEnd w:id="40"/>
    </w:p>
    <w:p w14:paraId="52CBA5AC" w14:textId="77777777" w:rsidR="00594B3D" w:rsidRPr="007310F3" w:rsidRDefault="00DD64C9" w:rsidP="00DD64C9">
      <w:pPr>
        <w:rPr>
          <w:rFonts w:ascii="Arial" w:hAnsi="Arial" w:cs="Arial"/>
          <w:sz w:val="24"/>
        </w:rPr>
      </w:pPr>
      <w:r w:rsidRPr="00DD64C9">
        <w:rPr>
          <w:rFonts w:ascii="Arial" w:hAnsi="Arial" w:cs="Arial"/>
          <w:sz w:val="24"/>
        </w:rPr>
        <w:t>The transition to secondary schooling in adolescence presents a range</w:t>
      </w:r>
      <w:r>
        <w:rPr>
          <w:rFonts w:ascii="Arial" w:hAnsi="Arial" w:cs="Arial"/>
          <w:sz w:val="24"/>
        </w:rPr>
        <w:t xml:space="preserve"> </w:t>
      </w:r>
      <w:r w:rsidRPr="00DD64C9">
        <w:rPr>
          <w:rFonts w:ascii="Arial" w:hAnsi="Arial" w:cs="Arial"/>
          <w:sz w:val="24"/>
        </w:rPr>
        <w:t xml:space="preserve">of new </w:t>
      </w:r>
      <w:r w:rsidRPr="007310F3">
        <w:rPr>
          <w:rFonts w:ascii="Arial" w:hAnsi="Arial" w:cs="Arial"/>
          <w:sz w:val="24"/>
        </w:rPr>
        <w:t>opportunities and challenges for young people, which require strong social and educational support systems— particularly for those with vulnerabilities.</w:t>
      </w:r>
    </w:p>
    <w:p w14:paraId="699F869B" w14:textId="77777777" w:rsidR="00DD64C9" w:rsidRPr="007310F3" w:rsidRDefault="00542309" w:rsidP="00DD64C9">
      <w:pPr>
        <w:rPr>
          <w:rFonts w:ascii="Arial" w:hAnsi="Arial" w:cs="Arial"/>
          <w:b/>
          <w:sz w:val="24"/>
        </w:rPr>
      </w:pPr>
      <w:r w:rsidRPr="007310F3">
        <w:rPr>
          <w:rFonts w:ascii="Arial" w:hAnsi="Arial" w:cs="Arial"/>
          <w:b/>
          <w:sz w:val="24"/>
        </w:rPr>
        <w:t>Transitions</w:t>
      </w:r>
    </w:p>
    <w:p w14:paraId="27FBE152" w14:textId="77777777" w:rsidR="00542309" w:rsidRPr="007310F3" w:rsidRDefault="00542309" w:rsidP="00542309">
      <w:pPr>
        <w:pStyle w:val="ListParagraph"/>
        <w:numPr>
          <w:ilvl w:val="0"/>
          <w:numId w:val="39"/>
        </w:numPr>
        <w:rPr>
          <w:rFonts w:ascii="Arial" w:hAnsi="Arial" w:cs="Arial"/>
          <w:sz w:val="24"/>
        </w:rPr>
      </w:pPr>
      <w:r w:rsidRPr="007310F3">
        <w:rPr>
          <w:rFonts w:ascii="Arial" w:hAnsi="Arial" w:cs="Arial"/>
          <w:sz w:val="24"/>
          <w:szCs w:val="24"/>
        </w:rPr>
        <w:t>Almost 3 in 4 (71 per cent) Victorian government school students in Year 7 were positive about their transition to secondary school (</w:t>
      </w:r>
      <w:r w:rsidRPr="007310F3">
        <w:rPr>
          <w:rFonts w:ascii="Arial" w:hAnsi="Arial" w:cs="Arial"/>
          <w:i/>
          <w:iCs/>
          <w:sz w:val="24"/>
          <w:szCs w:val="24"/>
        </w:rPr>
        <w:t>Source: Attitudes to School Survey 2018</w:t>
      </w:r>
      <w:r w:rsidRPr="007310F3">
        <w:rPr>
          <w:rFonts w:ascii="Arial" w:hAnsi="Arial" w:cs="Arial"/>
          <w:iCs/>
          <w:sz w:val="24"/>
          <w:szCs w:val="24"/>
        </w:rPr>
        <w:t>)</w:t>
      </w:r>
    </w:p>
    <w:p w14:paraId="04FFC7AE" w14:textId="77777777" w:rsidR="00542309" w:rsidRPr="007310F3" w:rsidRDefault="00542309" w:rsidP="00542309">
      <w:pPr>
        <w:pStyle w:val="ListParagraph"/>
        <w:numPr>
          <w:ilvl w:val="0"/>
          <w:numId w:val="39"/>
        </w:numPr>
        <w:rPr>
          <w:rFonts w:ascii="Arial" w:hAnsi="Arial" w:cs="Arial"/>
          <w:sz w:val="24"/>
        </w:rPr>
      </w:pPr>
      <w:r w:rsidRPr="007310F3">
        <w:rPr>
          <w:rFonts w:ascii="Arial" w:hAnsi="Arial" w:cs="Arial"/>
          <w:sz w:val="24"/>
        </w:rPr>
        <w:t>More than 4 in 5 (81 per cent) Victorian students completed Year 12 in 2017 (</w:t>
      </w:r>
      <w:r w:rsidRPr="007310F3">
        <w:rPr>
          <w:rFonts w:ascii="Arial" w:hAnsi="Arial" w:cs="Arial"/>
          <w:i/>
          <w:sz w:val="24"/>
        </w:rPr>
        <w:t>Source: Report on Government Services 2019</w:t>
      </w:r>
      <w:r w:rsidRPr="007310F3">
        <w:rPr>
          <w:rFonts w:ascii="Arial" w:hAnsi="Arial" w:cs="Arial"/>
          <w:sz w:val="24"/>
        </w:rPr>
        <w:t>)</w:t>
      </w:r>
    </w:p>
    <w:p w14:paraId="639C1D39" w14:textId="77777777" w:rsidR="00542309" w:rsidRPr="007310F3" w:rsidRDefault="00542309" w:rsidP="00542309">
      <w:pPr>
        <w:pStyle w:val="ListParagraph"/>
        <w:numPr>
          <w:ilvl w:val="0"/>
          <w:numId w:val="39"/>
        </w:numPr>
        <w:rPr>
          <w:rFonts w:ascii="Arial" w:hAnsi="Arial" w:cs="Arial"/>
          <w:sz w:val="24"/>
        </w:rPr>
      </w:pPr>
      <w:r w:rsidRPr="007310F3">
        <w:rPr>
          <w:rFonts w:ascii="Arial" w:hAnsi="Arial" w:cs="Arial"/>
          <w:sz w:val="24"/>
        </w:rPr>
        <w:t>4 in 5 (80 per cent) Victorians who left school before completing Year 12 went on to further education or employment in 2018 (</w:t>
      </w:r>
      <w:r w:rsidRPr="007310F3">
        <w:rPr>
          <w:rFonts w:ascii="Arial" w:hAnsi="Arial" w:cs="Arial"/>
          <w:i/>
          <w:sz w:val="24"/>
        </w:rPr>
        <w:t>Source: On Track Survey 2018</w:t>
      </w:r>
      <w:r w:rsidRPr="007310F3">
        <w:rPr>
          <w:rFonts w:ascii="Arial" w:hAnsi="Arial" w:cs="Arial"/>
          <w:sz w:val="24"/>
        </w:rPr>
        <w:t>).</w:t>
      </w:r>
    </w:p>
    <w:p w14:paraId="771A0AB1" w14:textId="77777777" w:rsidR="00DA1796" w:rsidRDefault="00DA1796" w:rsidP="00542309">
      <w:pPr>
        <w:rPr>
          <w:rFonts w:ascii="Arial" w:hAnsi="Arial" w:cs="Arial"/>
          <w:b/>
          <w:sz w:val="24"/>
        </w:rPr>
      </w:pPr>
    </w:p>
    <w:p w14:paraId="3D191339" w14:textId="77777777" w:rsidR="007310F3" w:rsidRDefault="00DA1796" w:rsidP="00542309">
      <w:pPr>
        <w:rPr>
          <w:rFonts w:ascii="Arial" w:hAnsi="Arial" w:cs="Arial"/>
          <w:b/>
          <w:sz w:val="24"/>
        </w:rPr>
      </w:pPr>
      <w:r w:rsidRPr="00DA1796">
        <w:rPr>
          <w:rFonts w:ascii="Arial" w:hAnsi="Arial" w:cs="Arial"/>
          <w:b/>
          <w:sz w:val="24"/>
        </w:rPr>
        <w:t>Absences</w:t>
      </w:r>
    </w:p>
    <w:p w14:paraId="06035358" w14:textId="77777777" w:rsidR="007310F3" w:rsidRPr="00E1133D" w:rsidRDefault="007310F3" w:rsidP="007310F3">
      <w:pPr>
        <w:rPr>
          <w:rFonts w:ascii="Arial" w:hAnsi="Arial" w:cs="Arial"/>
          <w:i/>
          <w:sz w:val="24"/>
        </w:rPr>
      </w:pPr>
      <w:r w:rsidRPr="00E1133D">
        <w:rPr>
          <w:rFonts w:ascii="Arial" w:hAnsi="Arial" w:cs="Arial"/>
          <w:i/>
          <w:sz w:val="24"/>
        </w:rPr>
        <w:t>Absenteeism increases steadily following the transition from primary to secondary school, peaking in Year 9, before declining in the senior secondary years.</w:t>
      </w:r>
    </w:p>
    <w:p w14:paraId="48A0FE15" w14:textId="77777777" w:rsidR="007310F3" w:rsidRPr="007310F3" w:rsidRDefault="007310F3" w:rsidP="007310F3">
      <w:pPr>
        <w:pStyle w:val="ListParagraph"/>
        <w:numPr>
          <w:ilvl w:val="0"/>
          <w:numId w:val="41"/>
        </w:numPr>
        <w:rPr>
          <w:rFonts w:ascii="Arial" w:hAnsi="Arial" w:cs="Arial"/>
          <w:sz w:val="24"/>
        </w:rPr>
      </w:pPr>
      <w:r w:rsidRPr="007310F3">
        <w:rPr>
          <w:rFonts w:ascii="Arial" w:hAnsi="Arial" w:cs="Arial"/>
          <w:sz w:val="24"/>
        </w:rPr>
        <w:t>In 2018, students from Victorian government schools were absent for an average of 17 days.</w:t>
      </w:r>
    </w:p>
    <w:tbl>
      <w:tblPr>
        <w:tblStyle w:val="TableGrid"/>
        <w:tblW w:w="5000" w:type="pct"/>
        <w:tblLook w:val="04A0" w:firstRow="1" w:lastRow="0" w:firstColumn="1" w:lastColumn="0" w:noHBand="0" w:noVBand="1"/>
        <w:tblDescription w:val="This table provides information on average number of student absence days (Victorian government schools), 2018"/>
      </w:tblPr>
      <w:tblGrid>
        <w:gridCol w:w="808"/>
        <w:gridCol w:w="684"/>
        <w:gridCol w:w="684"/>
        <w:gridCol w:w="684"/>
        <w:gridCol w:w="684"/>
        <w:gridCol w:w="684"/>
        <w:gridCol w:w="684"/>
        <w:gridCol w:w="684"/>
        <w:gridCol w:w="684"/>
        <w:gridCol w:w="684"/>
        <w:gridCol w:w="684"/>
        <w:gridCol w:w="684"/>
        <w:gridCol w:w="684"/>
      </w:tblGrid>
      <w:tr w:rsidR="007310F3" w:rsidRPr="00054426" w14:paraId="10EFC9F3" w14:textId="77777777" w:rsidTr="00467486">
        <w:trPr>
          <w:tblHeader/>
        </w:trPr>
        <w:tc>
          <w:tcPr>
            <w:tcW w:w="471" w:type="pct"/>
          </w:tcPr>
          <w:p w14:paraId="63403E6C" w14:textId="77777777" w:rsidR="007310F3" w:rsidRDefault="007310F3" w:rsidP="00467486">
            <w:pPr>
              <w:rPr>
                <w:rFonts w:ascii="Arial" w:hAnsi="Arial" w:cs="Arial"/>
                <w:sz w:val="24"/>
              </w:rPr>
            </w:pPr>
            <w:r>
              <w:rPr>
                <w:rFonts w:ascii="Arial" w:hAnsi="Arial" w:cs="Arial"/>
                <w:sz w:val="24"/>
              </w:rPr>
              <w:t>Prep</w:t>
            </w:r>
          </w:p>
        </w:tc>
        <w:tc>
          <w:tcPr>
            <w:tcW w:w="391" w:type="pct"/>
          </w:tcPr>
          <w:p w14:paraId="32A7AA6C" w14:textId="77777777" w:rsidR="007310F3" w:rsidRPr="00054426" w:rsidRDefault="007310F3" w:rsidP="00467486">
            <w:pPr>
              <w:rPr>
                <w:rFonts w:ascii="Arial" w:hAnsi="Arial" w:cs="Arial"/>
                <w:sz w:val="24"/>
              </w:rPr>
            </w:pPr>
            <w:r>
              <w:rPr>
                <w:rFonts w:ascii="Arial" w:hAnsi="Arial" w:cs="Arial"/>
                <w:sz w:val="24"/>
              </w:rPr>
              <w:t>Yr 1</w:t>
            </w:r>
          </w:p>
        </w:tc>
        <w:tc>
          <w:tcPr>
            <w:tcW w:w="391" w:type="pct"/>
          </w:tcPr>
          <w:p w14:paraId="6541CE5E" w14:textId="77777777" w:rsidR="007310F3" w:rsidRDefault="007310F3" w:rsidP="00467486">
            <w:pPr>
              <w:rPr>
                <w:rFonts w:ascii="Arial" w:hAnsi="Arial" w:cs="Arial"/>
                <w:sz w:val="24"/>
              </w:rPr>
            </w:pPr>
            <w:r>
              <w:rPr>
                <w:rFonts w:ascii="Arial" w:hAnsi="Arial" w:cs="Arial"/>
                <w:sz w:val="24"/>
              </w:rPr>
              <w:t>Yr 2</w:t>
            </w:r>
          </w:p>
        </w:tc>
        <w:tc>
          <w:tcPr>
            <w:tcW w:w="391" w:type="pct"/>
          </w:tcPr>
          <w:p w14:paraId="2896E3E3" w14:textId="77777777" w:rsidR="007310F3" w:rsidRPr="00054426" w:rsidRDefault="007310F3" w:rsidP="00467486">
            <w:pPr>
              <w:rPr>
                <w:rFonts w:ascii="Arial" w:hAnsi="Arial" w:cs="Arial"/>
                <w:sz w:val="24"/>
              </w:rPr>
            </w:pPr>
            <w:r>
              <w:rPr>
                <w:rFonts w:ascii="Arial" w:hAnsi="Arial" w:cs="Arial"/>
                <w:sz w:val="24"/>
              </w:rPr>
              <w:t>Yr 3</w:t>
            </w:r>
          </w:p>
        </w:tc>
        <w:tc>
          <w:tcPr>
            <w:tcW w:w="391" w:type="pct"/>
          </w:tcPr>
          <w:p w14:paraId="3FB138FB" w14:textId="77777777" w:rsidR="007310F3" w:rsidRDefault="007310F3" w:rsidP="00467486">
            <w:pPr>
              <w:rPr>
                <w:rFonts w:ascii="Arial" w:hAnsi="Arial" w:cs="Arial"/>
                <w:sz w:val="24"/>
              </w:rPr>
            </w:pPr>
            <w:r>
              <w:rPr>
                <w:rFonts w:ascii="Arial" w:hAnsi="Arial" w:cs="Arial"/>
                <w:sz w:val="24"/>
              </w:rPr>
              <w:t>Yr 4</w:t>
            </w:r>
          </w:p>
        </w:tc>
        <w:tc>
          <w:tcPr>
            <w:tcW w:w="391" w:type="pct"/>
          </w:tcPr>
          <w:p w14:paraId="0CE3D3E5" w14:textId="77777777" w:rsidR="007310F3" w:rsidRPr="00054426" w:rsidRDefault="007310F3" w:rsidP="00467486">
            <w:pPr>
              <w:rPr>
                <w:rFonts w:ascii="Arial" w:hAnsi="Arial" w:cs="Arial"/>
                <w:sz w:val="24"/>
              </w:rPr>
            </w:pPr>
            <w:r>
              <w:rPr>
                <w:rFonts w:ascii="Arial" w:hAnsi="Arial" w:cs="Arial"/>
                <w:sz w:val="24"/>
              </w:rPr>
              <w:t>Yr 5</w:t>
            </w:r>
          </w:p>
        </w:tc>
        <w:tc>
          <w:tcPr>
            <w:tcW w:w="391" w:type="pct"/>
          </w:tcPr>
          <w:p w14:paraId="1B44C273" w14:textId="77777777" w:rsidR="007310F3" w:rsidRDefault="007310F3" w:rsidP="00467486">
            <w:pPr>
              <w:rPr>
                <w:rFonts w:ascii="Arial" w:hAnsi="Arial" w:cs="Arial"/>
                <w:sz w:val="24"/>
              </w:rPr>
            </w:pPr>
            <w:r>
              <w:rPr>
                <w:rFonts w:ascii="Arial" w:hAnsi="Arial" w:cs="Arial"/>
                <w:sz w:val="24"/>
              </w:rPr>
              <w:t>Yr 6</w:t>
            </w:r>
          </w:p>
        </w:tc>
        <w:tc>
          <w:tcPr>
            <w:tcW w:w="365" w:type="pct"/>
          </w:tcPr>
          <w:p w14:paraId="37E4697B" w14:textId="77777777" w:rsidR="007310F3" w:rsidRDefault="007310F3" w:rsidP="00467486">
            <w:pPr>
              <w:rPr>
                <w:rFonts w:ascii="Arial" w:hAnsi="Arial" w:cs="Arial"/>
                <w:sz w:val="24"/>
              </w:rPr>
            </w:pPr>
            <w:r>
              <w:rPr>
                <w:rFonts w:ascii="Arial" w:hAnsi="Arial" w:cs="Arial"/>
                <w:sz w:val="24"/>
              </w:rPr>
              <w:t>Yr 7</w:t>
            </w:r>
          </w:p>
        </w:tc>
        <w:tc>
          <w:tcPr>
            <w:tcW w:w="365" w:type="pct"/>
          </w:tcPr>
          <w:p w14:paraId="50AF53E5" w14:textId="77777777" w:rsidR="007310F3" w:rsidRDefault="007310F3" w:rsidP="00467486">
            <w:pPr>
              <w:rPr>
                <w:rFonts w:ascii="Arial" w:hAnsi="Arial" w:cs="Arial"/>
                <w:sz w:val="24"/>
              </w:rPr>
            </w:pPr>
            <w:r>
              <w:rPr>
                <w:rFonts w:ascii="Arial" w:hAnsi="Arial" w:cs="Arial"/>
                <w:sz w:val="24"/>
              </w:rPr>
              <w:t>Yr 8</w:t>
            </w:r>
          </w:p>
        </w:tc>
        <w:tc>
          <w:tcPr>
            <w:tcW w:w="365" w:type="pct"/>
          </w:tcPr>
          <w:p w14:paraId="71326B94" w14:textId="77777777" w:rsidR="007310F3" w:rsidRDefault="007310F3" w:rsidP="00467486">
            <w:pPr>
              <w:rPr>
                <w:rFonts w:ascii="Arial" w:hAnsi="Arial" w:cs="Arial"/>
                <w:sz w:val="24"/>
              </w:rPr>
            </w:pPr>
            <w:r>
              <w:rPr>
                <w:rFonts w:ascii="Arial" w:hAnsi="Arial" w:cs="Arial"/>
                <w:sz w:val="24"/>
              </w:rPr>
              <w:t>Yr 9</w:t>
            </w:r>
          </w:p>
        </w:tc>
        <w:tc>
          <w:tcPr>
            <w:tcW w:w="365" w:type="pct"/>
          </w:tcPr>
          <w:p w14:paraId="3656027B" w14:textId="77777777" w:rsidR="007310F3" w:rsidRDefault="007310F3" w:rsidP="00467486">
            <w:pPr>
              <w:rPr>
                <w:rFonts w:ascii="Arial" w:hAnsi="Arial" w:cs="Arial"/>
                <w:sz w:val="24"/>
              </w:rPr>
            </w:pPr>
            <w:r>
              <w:rPr>
                <w:rFonts w:ascii="Arial" w:hAnsi="Arial" w:cs="Arial"/>
                <w:sz w:val="24"/>
              </w:rPr>
              <w:t>Yr 10</w:t>
            </w:r>
          </w:p>
        </w:tc>
        <w:tc>
          <w:tcPr>
            <w:tcW w:w="365" w:type="pct"/>
          </w:tcPr>
          <w:p w14:paraId="1CA9E9F3" w14:textId="77777777" w:rsidR="007310F3" w:rsidRDefault="007310F3" w:rsidP="00467486">
            <w:pPr>
              <w:rPr>
                <w:rFonts w:ascii="Arial" w:hAnsi="Arial" w:cs="Arial"/>
                <w:sz w:val="24"/>
              </w:rPr>
            </w:pPr>
            <w:r>
              <w:rPr>
                <w:rFonts w:ascii="Arial" w:hAnsi="Arial" w:cs="Arial"/>
                <w:sz w:val="24"/>
              </w:rPr>
              <w:t>Yr 11</w:t>
            </w:r>
          </w:p>
        </w:tc>
        <w:tc>
          <w:tcPr>
            <w:tcW w:w="359" w:type="pct"/>
          </w:tcPr>
          <w:p w14:paraId="3D80CAC5" w14:textId="77777777" w:rsidR="007310F3" w:rsidRDefault="007310F3" w:rsidP="00467486">
            <w:pPr>
              <w:rPr>
                <w:rFonts w:ascii="Arial" w:hAnsi="Arial" w:cs="Arial"/>
                <w:sz w:val="24"/>
              </w:rPr>
            </w:pPr>
            <w:r>
              <w:rPr>
                <w:rFonts w:ascii="Arial" w:hAnsi="Arial" w:cs="Arial"/>
                <w:sz w:val="24"/>
              </w:rPr>
              <w:t>Yr 12</w:t>
            </w:r>
          </w:p>
        </w:tc>
      </w:tr>
      <w:tr w:rsidR="007310F3" w14:paraId="04A13B70" w14:textId="77777777" w:rsidTr="00467486">
        <w:tc>
          <w:tcPr>
            <w:tcW w:w="471" w:type="pct"/>
          </w:tcPr>
          <w:p w14:paraId="5A2335B5" w14:textId="77777777" w:rsidR="007310F3" w:rsidRDefault="007310F3" w:rsidP="00467486">
            <w:pPr>
              <w:rPr>
                <w:rFonts w:ascii="Arial" w:hAnsi="Arial" w:cs="Arial"/>
                <w:sz w:val="24"/>
              </w:rPr>
            </w:pPr>
            <w:r>
              <w:rPr>
                <w:rFonts w:ascii="Arial" w:hAnsi="Arial" w:cs="Arial"/>
                <w:sz w:val="24"/>
              </w:rPr>
              <w:t>15.2</w:t>
            </w:r>
          </w:p>
        </w:tc>
        <w:tc>
          <w:tcPr>
            <w:tcW w:w="391" w:type="pct"/>
          </w:tcPr>
          <w:p w14:paraId="13D05712" w14:textId="77777777" w:rsidR="007310F3" w:rsidRDefault="007310F3" w:rsidP="00467486">
            <w:pPr>
              <w:rPr>
                <w:rFonts w:ascii="Arial" w:hAnsi="Arial" w:cs="Arial"/>
                <w:sz w:val="24"/>
              </w:rPr>
            </w:pPr>
            <w:r>
              <w:rPr>
                <w:rFonts w:ascii="Arial" w:hAnsi="Arial" w:cs="Arial"/>
                <w:sz w:val="24"/>
              </w:rPr>
              <w:t>15.4</w:t>
            </w:r>
          </w:p>
        </w:tc>
        <w:tc>
          <w:tcPr>
            <w:tcW w:w="391" w:type="pct"/>
          </w:tcPr>
          <w:p w14:paraId="3AA8F9BF" w14:textId="77777777" w:rsidR="007310F3" w:rsidRDefault="007310F3" w:rsidP="00467486">
            <w:pPr>
              <w:rPr>
                <w:rFonts w:ascii="Arial" w:hAnsi="Arial" w:cs="Arial"/>
                <w:sz w:val="24"/>
              </w:rPr>
            </w:pPr>
            <w:r>
              <w:rPr>
                <w:rFonts w:ascii="Arial" w:hAnsi="Arial" w:cs="Arial"/>
                <w:sz w:val="24"/>
              </w:rPr>
              <w:t>14.8</w:t>
            </w:r>
          </w:p>
        </w:tc>
        <w:tc>
          <w:tcPr>
            <w:tcW w:w="391" w:type="pct"/>
          </w:tcPr>
          <w:p w14:paraId="7F81F4AB" w14:textId="77777777" w:rsidR="007310F3" w:rsidRDefault="007310F3" w:rsidP="00467486">
            <w:pPr>
              <w:rPr>
                <w:rFonts w:ascii="Arial" w:hAnsi="Arial" w:cs="Arial"/>
                <w:sz w:val="24"/>
              </w:rPr>
            </w:pPr>
            <w:r>
              <w:rPr>
                <w:rFonts w:ascii="Arial" w:hAnsi="Arial" w:cs="Arial"/>
                <w:sz w:val="24"/>
              </w:rPr>
              <w:t>14.8</w:t>
            </w:r>
          </w:p>
        </w:tc>
        <w:tc>
          <w:tcPr>
            <w:tcW w:w="391" w:type="pct"/>
          </w:tcPr>
          <w:p w14:paraId="37942D9F" w14:textId="77777777" w:rsidR="007310F3" w:rsidRDefault="007310F3" w:rsidP="00467486">
            <w:pPr>
              <w:rPr>
                <w:rFonts w:ascii="Arial" w:hAnsi="Arial" w:cs="Arial"/>
                <w:sz w:val="24"/>
              </w:rPr>
            </w:pPr>
            <w:r>
              <w:rPr>
                <w:rFonts w:ascii="Arial" w:hAnsi="Arial" w:cs="Arial"/>
                <w:sz w:val="24"/>
              </w:rPr>
              <w:t>15.0</w:t>
            </w:r>
          </w:p>
        </w:tc>
        <w:tc>
          <w:tcPr>
            <w:tcW w:w="391" w:type="pct"/>
          </w:tcPr>
          <w:p w14:paraId="4AA6FD02" w14:textId="77777777" w:rsidR="007310F3" w:rsidRDefault="007310F3" w:rsidP="00467486">
            <w:pPr>
              <w:rPr>
                <w:rFonts w:ascii="Arial" w:hAnsi="Arial" w:cs="Arial"/>
                <w:sz w:val="24"/>
              </w:rPr>
            </w:pPr>
            <w:r>
              <w:rPr>
                <w:rFonts w:ascii="Arial" w:hAnsi="Arial" w:cs="Arial"/>
                <w:sz w:val="24"/>
              </w:rPr>
              <w:t>15.6</w:t>
            </w:r>
          </w:p>
        </w:tc>
        <w:tc>
          <w:tcPr>
            <w:tcW w:w="391" w:type="pct"/>
          </w:tcPr>
          <w:p w14:paraId="0345242D" w14:textId="77777777" w:rsidR="007310F3" w:rsidRDefault="007310F3" w:rsidP="00467486">
            <w:pPr>
              <w:rPr>
                <w:rFonts w:ascii="Arial" w:hAnsi="Arial" w:cs="Arial"/>
                <w:sz w:val="24"/>
              </w:rPr>
            </w:pPr>
            <w:r>
              <w:rPr>
                <w:rFonts w:ascii="Arial" w:hAnsi="Arial" w:cs="Arial"/>
                <w:sz w:val="24"/>
              </w:rPr>
              <w:t>16.3</w:t>
            </w:r>
          </w:p>
        </w:tc>
        <w:tc>
          <w:tcPr>
            <w:tcW w:w="365" w:type="pct"/>
          </w:tcPr>
          <w:p w14:paraId="0E897BC9" w14:textId="77777777" w:rsidR="007310F3" w:rsidRDefault="007310F3" w:rsidP="00467486">
            <w:pPr>
              <w:rPr>
                <w:rFonts w:ascii="Arial" w:hAnsi="Arial" w:cs="Arial"/>
                <w:sz w:val="24"/>
              </w:rPr>
            </w:pPr>
            <w:r>
              <w:rPr>
                <w:rFonts w:ascii="Arial" w:hAnsi="Arial" w:cs="Arial"/>
                <w:sz w:val="24"/>
              </w:rPr>
              <w:t>17.4</w:t>
            </w:r>
          </w:p>
        </w:tc>
        <w:tc>
          <w:tcPr>
            <w:tcW w:w="365" w:type="pct"/>
          </w:tcPr>
          <w:p w14:paraId="4B5E92A8" w14:textId="77777777" w:rsidR="007310F3" w:rsidRDefault="007310F3" w:rsidP="00467486">
            <w:pPr>
              <w:rPr>
                <w:rFonts w:ascii="Arial" w:hAnsi="Arial" w:cs="Arial"/>
                <w:sz w:val="24"/>
              </w:rPr>
            </w:pPr>
            <w:r>
              <w:rPr>
                <w:rFonts w:ascii="Arial" w:hAnsi="Arial" w:cs="Arial"/>
                <w:sz w:val="24"/>
              </w:rPr>
              <w:t>21.3</w:t>
            </w:r>
          </w:p>
        </w:tc>
        <w:tc>
          <w:tcPr>
            <w:tcW w:w="365" w:type="pct"/>
          </w:tcPr>
          <w:p w14:paraId="062D1033" w14:textId="77777777" w:rsidR="007310F3" w:rsidRDefault="007310F3" w:rsidP="00467486">
            <w:pPr>
              <w:rPr>
                <w:rFonts w:ascii="Arial" w:hAnsi="Arial" w:cs="Arial"/>
                <w:sz w:val="24"/>
              </w:rPr>
            </w:pPr>
            <w:r>
              <w:rPr>
                <w:rFonts w:ascii="Arial" w:hAnsi="Arial" w:cs="Arial"/>
                <w:sz w:val="24"/>
              </w:rPr>
              <w:t>23.2</w:t>
            </w:r>
          </w:p>
        </w:tc>
        <w:tc>
          <w:tcPr>
            <w:tcW w:w="365" w:type="pct"/>
          </w:tcPr>
          <w:p w14:paraId="09D32DDA" w14:textId="77777777" w:rsidR="007310F3" w:rsidRDefault="007310F3" w:rsidP="00467486">
            <w:pPr>
              <w:rPr>
                <w:rFonts w:ascii="Arial" w:hAnsi="Arial" w:cs="Arial"/>
                <w:sz w:val="24"/>
              </w:rPr>
            </w:pPr>
            <w:r>
              <w:rPr>
                <w:rFonts w:ascii="Arial" w:hAnsi="Arial" w:cs="Arial"/>
                <w:sz w:val="24"/>
              </w:rPr>
              <w:t>20.7</w:t>
            </w:r>
          </w:p>
        </w:tc>
        <w:tc>
          <w:tcPr>
            <w:tcW w:w="365" w:type="pct"/>
          </w:tcPr>
          <w:p w14:paraId="0592B5F4" w14:textId="77777777" w:rsidR="007310F3" w:rsidRDefault="007310F3" w:rsidP="00467486">
            <w:pPr>
              <w:rPr>
                <w:rFonts w:ascii="Arial" w:hAnsi="Arial" w:cs="Arial"/>
                <w:sz w:val="24"/>
              </w:rPr>
            </w:pPr>
            <w:r>
              <w:rPr>
                <w:rFonts w:ascii="Arial" w:hAnsi="Arial" w:cs="Arial"/>
                <w:sz w:val="24"/>
              </w:rPr>
              <w:t>17.7</w:t>
            </w:r>
          </w:p>
        </w:tc>
        <w:tc>
          <w:tcPr>
            <w:tcW w:w="359" w:type="pct"/>
          </w:tcPr>
          <w:p w14:paraId="685AF621" w14:textId="77777777" w:rsidR="007310F3" w:rsidRDefault="007310F3" w:rsidP="00467486">
            <w:pPr>
              <w:rPr>
                <w:rFonts w:ascii="Arial" w:hAnsi="Arial" w:cs="Arial"/>
                <w:sz w:val="24"/>
              </w:rPr>
            </w:pPr>
            <w:r>
              <w:rPr>
                <w:rFonts w:ascii="Arial" w:hAnsi="Arial" w:cs="Arial"/>
                <w:sz w:val="24"/>
              </w:rPr>
              <w:t>15.9</w:t>
            </w:r>
          </w:p>
        </w:tc>
      </w:tr>
    </w:tbl>
    <w:p w14:paraId="3871FD4C" w14:textId="77777777" w:rsidR="007310F3" w:rsidRPr="007310F3" w:rsidRDefault="007310F3" w:rsidP="007310F3">
      <w:pPr>
        <w:rPr>
          <w:rFonts w:ascii="Arial" w:hAnsi="Arial" w:cs="Arial"/>
          <w:i/>
          <w:sz w:val="24"/>
        </w:rPr>
      </w:pPr>
      <w:r w:rsidRPr="007310F3">
        <w:rPr>
          <w:rFonts w:ascii="Arial" w:hAnsi="Arial" w:cs="Arial"/>
          <w:i/>
          <w:sz w:val="24"/>
        </w:rPr>
        <w:t>Source: Victorian government school administrative data</w:t>
      </w:r>
    </w:p>
    <w:p w14:paraId="080F1CA3" w14:textId="77777777" w:rsidR="00A43F28" w:rsidRDefault="00A43F28" w:rsidP="007310F3">
      <w:pPr>
        <w:rPr>
          <w:rFonts w:ascii="Arial" w:hAnsi="Arial" w:cs="Arial"/>
          <w:b/>
          <w:sz w:val="24"/>
        </w:rPr>
      </w:pPr>
      <w:r w:rsidRPr="00A43F28">
        <w:rPr>
          <w:rFonts w:ascii="Arial" w:hAnsi="Arial" w:cs="Arial"/>
          <w:b/>
          <w:sz w:val="24"/>
        </w:rPr>
        <w:t>Attitudes</w:t>
      </w:r>
    </w:p>
    <w:p w14:paraId="46CA4C64" w14:textId="77777777" w:rsidR="00594B3D" w:rsidRPr="00E1133D" w:rsidRDefault="00A43F28" w:rsidP="00A43F28">
      <w:pPr>
        <w:rPr>
          <w:rFonts w:ascii="Arial" w:hAnsi="Arial" w:cs="Arial"/>
          <w:i/>
          <w:sz w:val="24"/>
          <w:highlight w:val="yellow"/>
        </w:rPr>
      </w:pPr>
      <w:r w:rsidRPr="00E1133D">
        <w:rPr>
          <w:rFonts w:ascii="Arial" w:hAnsi="Arial" w:cs="Arial"/>
          <w:i/>
          <w:sz w:val="24"/>
        </w:rPr>
        <w:t>Attitudes to school decline in secondary schooling, particularly for students in Year 9. Students’ positive attitudes are associated with higher engagement and achievement.</w:t>
      </w:r>
      <w:r w:rsidR="00594B3D" w:rsidRPr="00E1133D">
        <w:rPr>
          <w:rFonts w:ascii="Arial" w:hAnsi="Arial" w:cs="Arial"/>
          <w:i/>
          <w:sz w:val="24"/>
          <w:highlight w:val="yellow"/>
        </w:rPr>
        <w:br w:type="page"/>
      </w:r>
    </w:p>
    <w:tbl>
      <w:tblPr>
        <w:tblStyle w:val="TableGrid"/>
        <w:tblW w:w="5000" w:type="pct"/>
        <w:tblLook w:val="04A0" w:firstRow="1" w:lastRow="0" w:firstColumn="1" w:lastColumn="0" w:noHBand="0" w:noVBand="1"/>
        <w:tblDescription w:val="This table provides information on NAPLAN Numeracy achievement by Year level and response to AtoSS sense of confidence factor, 2018"/>
      </w:tblPr>
      <w:tblGrid>
        <w:gridCol w:w="1310"/>
        <w:gridCol w:w="1286"/>
        <w:gridCol w:w="1284"/>
        <w:gridCol w:w="1284"/>
        <w:gridCol w:w="1284"/>
        <w:gridCol w:w="1284"/>
        <w:gridCol w:w="1284"/>
      </w:tblGrid>
      <w:tr w:rsidR="003350BE" w:rsidRPr="00054426" w14:paraId="5B0FC08C" w14:textId="77777777" w:rsidTr="00467486">
        <w:trPr>
          <w:tblHeader/>
        </w:trPr>
        <w:tc>
          <w:tcPr>
            <w:tcW w:w="715" w:type="pct"/>
          </w:tcPr>
          <w:p w14:paraId="59E1747D" w14:textId="77777777" w:rsidR="003350BE" w:rsidRDefault="003350BE" w:rsidP="00467486">
            <w:pPr>
              <w:rPr>
                <w:rFonts w:ascii="Arial" w:hAnsi="Arial" w:cs="Arial"/>
                <w:sz w:val="24"/>
              </w:rPr>
            </w:pPr>
          </w:p>
        </w:tc>
        <w:tc>
          <w:tcPr>
            <w:tcW w:w="715" w:type="pct"/>
          </w:tcPr>
          <w:p w14:paraId="393EC949" w14:textId="77777777" w:rsidR="003350BE" w:rsidRPr="00054426" w:rsidRDefault="003350BE" w:rsidP="00DF2556">
            <w:pPr>
              <w:rPr>
                <w:rFonts w:ascii="Arial" w:hAnsi="Arial" w:cs="Arial"/>
                <w:sz w:val="24"/>
              </w:rPr>
            </w:pPr>
            <w:r>
              <w:rPr>
                <w:rFonts w:ascii="Arial" w:hAnsi="Arial" w:cs="Arial"/>
                <w:sz w:val="24"/>
              </w:rPr>
              <w:t>Year 5 – Positive</w:t>
            </w:r>
            <w:r w:rsidR="00DF2556">
              <w:rPr>
                <w:rFonts w:ascii="Arial" w:hAnsi="Arial" w:cs="Arial"/>
                <w:sz w:val="24"/>
              </w:rPr>
              <w:t xml:space="preserve"> attitude</w:t>
            </w:r>
          </w:p>
        </w:tc>
        <w:tc>
          <w:tcPr>
            <w:tcW w:w="714" w:type="pct"/>
          </w:tcPr>
          <w:p w14:paraId="38BCC23F" w14:textId="77777777" w:rsidR="003350BE" w:rsidRDefault="003350BE" w:rsidP="00DF2556">
            <w:pPr>
              <w:rPr>
                <w:rFonts w:ascii="Arial" w:hAnsi="Arial" w:cs="Arial"/>
                <w:sz w:val="24"/>
              </w:rPr>
            </w:pPr>
            <w:r>
              <w:rPr>
                <w:rFonts w:ascii="Arial" w:hAnsi="Arial" w:cs="Arial"/>
                <w:sz w:val="24"/>
              </w:rPr>
              <w:t>Year 5 – Not positive</w:t>
            </w:r>
            <w:r w:rsidR="00DF2556">
              <w:rPr>
                <w:rFonts w:ascii="Arial" w:hAnsi="Arial" w:cs="Arial"/>
                <w:sz w:val="24"/>
              </w:rPr>
              <w:t xml:space="preserve"> attitude</w:t>
            </w:r>
          </w:p>
        </w:tc>
        <w:tc>
          <w:tcPr>
            <w:tcW w:w="714" w:type="pct"/>
          </w:tcPr>
          <w:p w14:paraId="3C74C4BA" w14:textId="77777777" w:rsidR="003350BE" w:rsidRPr="00054426" w:rsidRDefault="003350BE" w:rsidP="00DF2556">
            <w:pPr>
              <w:rPr>
                <w:rFonts w:ascii="Arial" w:hAnsi="Arial" w:cs="Arial"/>
                <w:sz w:val="24"/>
              </w:rPr>
            </w:pPr>
            <w:r>
              <w:rPr>
                <w:rFonts w:ascii="Arial" w:hAnsi="Arial" w:cs="Arial"/>
                <w:sz w:val="24"/>
              </w:rPr>
              <w:t>Year 7 – Positive</w:t>
            </w:r>
            <w:r w:rsidR="00DF2556">
              <w:rPr>
                <w:rFonts w:ascii="Arial" w:hAnsi="Arial" w:cs="Arial"/>
                <w:sz w:val="24"/>
              </w:rPr>
              <w:t xml:space="preserve"> attitude</w:t>
            </w:r>
          </w:p>
        </w:tc>
        <w:tc>
          <w:tcPr>
            <w:tcW w:w="714" w:type="pct"/>
          </w:tcPr>
          <w:p w14:paraId="66ABE53D" w14:textId="77777777" w:rsidR="003350BE" w:rsidRDefault="003350BE" w:rsidP="00DF2556">
            <w:pPr>
              <w:rPr>
                <w:rFonts w:ascii="Arial" w:hAnsi="Arial" w:cs="Arial"/>
                <w:sz w:val="24"/>
              </w:rPr>
            </w:pPr>
            <w:r>
              <w:rPr>
                <w:rFonts w:ascii="Arial" w:hAnsi="Arial" w:cs="Arial"/>
                <w:sz w:val="24"/>
              </w:rPr>
              <w:t>Year 7 – Not positive</w:t>
            </w:r>
            <w:r w:rsidR="00DF2556">
              <w:rPr>
                <w:rFonts w:ascii="Arial" w:hAnsi="Arial" w:cs="Arial"/>
                <w:sz w:val="24"/>
              </w:rPr>
              <w:t xml:space="preserve"> attitude</w:t>
            </w:r>
          </w:p>
        </w:tc>
        <w:tc>
          <w:tcPr>
            <w:tcW w:w="714" w:type="pct"/>
          </w:tcPr>
          <w:p w14:paraId="6B8654E9" w14:textId="77777777" w:rsidR="003350BE" w:rsidRPr="00054426" w:rsidRDefault="003350BE" w:rsidP="00DF2556">
            <w:pPr>
              <w:rPr>
                <w:rFonts w:ascii="Arial" w:hAnsi="Arial" w:cs="Arial"/>
                <w:sz w:val="24"/>
              </w:rPr>
            </w:pPr>
            <w:r>
              <w:rPr>
                <w:rFonts w:ascii="Arial" w:hAnsi="Arial" w:cs="Arial"/>
                <w:sz w:val="24"/>
              </w:rPr>
              <w:t>Year 9 – Positive</w:t>
            </w:r>
            <w:r w:rsidR="00DF2556">
              <w:rPr>
                <w:rFonts w:ascii="Arial" w:hAnsi="Arial" w:cs="Arial"/>
                <w:sz w:val="24"/>
              </w:rPr>
              <w:t xml:space="preserve"> attitude</w:t>
            </w:r>
          </w:p>
        </w:tc>
        <w:tc>
          <w:tcPr>
            <w:tcW w:w="714" w:type="pct"/>
          </w:tcPr>
          <w:p w14:paraId="1B74633C" w14:textId="77777777" w:rsidR="003350BE" w:rsidRDefault="003350BE" w:rsidP="00DF2556">
            <w:pPr>
              <w:rPr>
                <w:rFonts w:ascii="Arial" w:hAnsi="Arial" w:cs="Arial"/>
                <w:sz w:val="24"/>
              </w:rPr>
            </w:pPr>
            <w:r>
              <w:rPr>
                <w:rFonts w:ascii="Arial" w:hAnsi="Arial" w:cs="Arial"/>
                <w:sz w:val="24"/>
              </w:rPr>
              <w:t>Year 9 – Not positive</w:t>
            </w:r>
            <w:r w:rsidR="00DF2556">
              <w:rPr>
                <w:rFonts w:ascii="Arial" w:hAnsi="Arial" w:cs="Arial"/>
                <w:sz w:val="24"/>
              </w:rPr>
              <w:t xml:space="preserve"> attitude</w:t>
            </w:r>
          </w:p>
        </w:tc>
      </w:tr>
      <w:tr w:rsidR="00A43F28" w14:paraId="3C198EE4" w14:textId="77777777" w:rsidTr="00467486">
        <w:tc>
          <w:tcPr>
            <w:tcW w:w="715" w:type="pct"/>
          </w:tcPr>
          <w:p w14:paraId="065AAD34" w14:textId="77777777" w:rsidR="00A43F28" w:rsidRDefault="00A43F28" w:rsidP="00467486">
            <w:pPr>
              <w:rPr>
                <w:rFonts w:ascii="Arial" w:hAnsi="Arial" w:cs="Arial"/>
                <w:sz w:val="24"/>
              </w:rPr>
            </w:pPr>
            <w:r>
              <w:rPr>
                <w:rFonts w:ascii="Arial" w:hAnsi="Arial" w:cs="Arial"/>
                <w:sz w:val="24"/>
              </w:rPr>
              <w:t>Top two bands</w:t>
            </w:r>
            <w:r w:rsidR="00DF2556">
              <w:rPr>
                <w:rFonts w:ascii="Arial" w:hAnsi="Arial" w:cs="Arial"/>
                <w:sz w:val="24"/>
              </w:rPr>
              <w:t xml:space="preserve"> NAPLAN Numeracy</w:t>
            </w:r>
          </w:p>
        </w:tc>
        <w:tc>
          <w:tcPr>
            <w:tcW w:w="715" w:type="pct"/>
          </w:tcPr>
          <w:p w14:paraId="5FB35E68" w14:textId="77777777" w:rsidR="00A43F28" w:rsidRDefault="00A43F28" w:rsidP="00467486">
            <w:pPr>
              <w:rPr>
                <w:rFonts w:ascii="Arial" w:hAnsi="Arial" w:cs="Arial"/>
                <w:sz w:val="24"/>
              </w:rPr>
            </w:pPr>
            <w:r>
              <w:rPr>
                <w:rFonts w:ascii="Arial" w:hAnsi="Arial" w:cs="Arial"/>
                <w:sz w:val="24"/>
              </w:rPr>
              <w:t>37%</w:t>
            </w:r>
          </w:p>
        </w:tc>
        <w:tc>
          <w:tcPr>
            <w:tcW w:w="714" w:type="pct"/>
          </w:tcPr>
          <w:p w14:paraId="7F39B6A9" w14:textId="77777777" w:rsidR="00A43F28" w:rsidRDefault="00A43F28" w:rsidP="00467486">
            <w:pPr>
              <w:rPr>
                <w:rFonts w:ascii="Arial" w:hAnsi="Arial" w:cs="Arial"/>
                <w:sz w:val="24"/>
              </w:rPr>
            </w:pPr>
            <w:r>
              <w:rPr>
                <w:rFonts w:ascii="Arial" w:hAnsi="Arial" w:cs="Arial"/>
                <w:sz w:val="24"/>
              </w:rPr>
              <w:t>13%</w:t>
            </w:r>
          </w:p>
        </w:tc>
        <w:tc>
          <w:tcPr>
            <w:tcW w:w="714" w:type="pct"/>
          </w:tcPr>
          <w:p w14:paraId="64216D66" w14:textId="77777777" w:rsidR="00A43F28" w:rsidRDefault="00A43F28" w:rsidP="00467486">
            <w:pPr>
              <w:rPr>
                <w:rFonts w:ascii="Arial" w:hAnsi="Arial" w:cs="Arial"/>
                <w:sz w:val="24"/>
              </w:rPr>
            </w:pPr>
            <w:r>
              <w:rPr>
                <w:rFonts w:ascii="Arial" w:hAnsi="Arial" w:cs="Arial"/>
                <w:sz w:val="24"/>
              </w:rPr>
              <w:t>31%</w:t>
            </w:r>
          </w:p>
        </w:tc>
        <w:tc>
          <w:tcPr>
            <w:tcW w:w="714" w:type="pct"/>
          </w:tcPr>
          <w:p w14:paraId="716ED391" w14:textId="77777777" w:rsidR="00A43F28" w:rsidRDefault="00A43F28" w:rsidP="00467486">
            <w:pPr>
              <w:rPr>
                <w:rFonts w:ascii="Arial" w:hAnsi="Arial" w:cs="Arial"/>
                <w:sz w:val="24"/>
              </w:rPr>
            </w:pPr>
            <w:r>
              <w:rPr>
                <w:rFonts w:ascii="Arial" w:hAnsi="Arial" w:cs="Arial"/>
                <w:sz w:val="24"/>
              </w:rPr>
              <w:t>16%</w:t>
            </w:r>
          </w:p>
        </w:tc>
        <w:tc>
          <w:tcPr>
            <w:tcW w:w="714" w:type="pct"/>
          </w:tcPr>
          <w:p w14:paraId="43B768FF" w14:textId="77777777" w:rsidR="00A43F28" w:rsidRDefault="00A43F28" w:rsidP="00467486">
            <w:pPr>
              <w:rPr>
                <w:rFonts w:ascii="Arial" w:hAnsi="Arial" w:cs="Arial"/>
                <w:sz w:val="24"/>
              </w:rPr>
            </w:pPr>
            <w:r>
              <w:rPr>
                <w:rFonts w:ascii="Arial" w:hAnsi="Arial" w:cs="Arial"/>
                <w:sz w:val="24"/>
              </w:rPr>
              <w:t>32%</w:t>
            </w:r>
          </w:p>
        </w:tc>
        <w:tc>
          <w:tcPr>
            <w:tcW w:w="714" w:type="pct"/>
          </w:tcPr>
          <w:p w14:paraId="6E43DA46" w14:textId="77777777" w:rsidR="00A43F28" w:rsidRDefault="00A43F28" w:rsidP="00467486">
            <w:pPr>
              <w:rPr>
                <w:rFonts w:ascii="Arial" w:hAnsi="Arial" w:cs="Arial"/>
                <w:sz w:val="24"/>
              </w:rPr>
            </w:pPr>
            <w:r>
              <w:rPr>
                <w:rFonts w:ascii="Arial" w:hAnsi="Arial" w:cs="Arial"/>
                <w:sz w:val="24"/>
              </w:rPr>
              <w:t>16%</w:t>
            </w:r>
          </w:p>
        </w:tc>
      </w:tr>
      <w:tr w:rsidR="00A43F28" w14:paraId="19E0D4E0" w14:textId="77777777" w:rsidTr="00467486">
        <w:tc>
          <w:tcPr>
            <w:tcW w:w="715" w:type="pct"/>
          </w:tcPr>
          <w:p w14:paraId="3B8B8430" w14:textId="77777777" w:rsidR="00A43F28" w:rsidRDefault="00A43F28" w:rsidP="00467486">
            <w:pPr>
              <w:rPr>
                <w:rFonts w:ascii="Arial" w:hAnsi="Arial" w:cs="Arial"/>
                <w:sz w:val="24"/>
              </w:rPr>
            </w:pPr>
            <w:r>
              <w:rPr>
                <w:rFonts w:ascii="Arial" w:hAnsi="Arial" w:cs="Arial"/>
                <w:sz w:val="24"/>
              </w:rPr>
              <w:t>Bottom two bands</w:t>
            </w:r>
            <w:r w:rsidR="00DF2556">
              <w:rPr>
                <w:rFonts w:ascii="Arial" w:hAnsi="Arial" w:cs="Arial"/>
                <w:sz w:val="24"/>
              </w:rPr>
              <w:t xml:space="preserve"> NAPLAN Numeracy</w:t>
            </w:r>
          </w:p>
        </w:tc>
        <w:tc>
          <w:tcPr>
            <w:tcW w:w="715" w:type="pct"/>
          </w:tcPr>
          <w:p w14:paraId="725B0A97" w14:textId="77777777" w:rsidR="00A43F28" w:rsidRDefault="00A43F28" w:rsidP="00467486">
            <w:pPr>
              <w:rPr>
                <w:rFonts w:ascii="Arial" w:hAnsi="Arial" w:cs="Arial"/>
                <w:sz w:val="24"/>
              </w:rPr>
            </w:pPr>
            <w:r>
              <w:rPr>
                <w:rFonts w:ascii="Arial" w:hAnsi="Arial" w:cs="Arial"/>
                <w:sz w:val="24"/>
              </w:rPr>
              <w:t>11%</w:t>
            </w:r>
          </w:p>
        </w:tc>
        <w:tc>
          <w:tcPr>
            <w:tcW w:w="714" w:type="pct"/>
          </w:tcPr>
          <w:p w14:paraId="29B224F0" w14:textId="77777777" w:rsidR="00A43F28" w:rsidRDefault="00A43F28" w:rsidP="00467486">
            <w:pPr>
              <w:rPr>
                <w:rFonts w:ascii="Arial" w:hAnsi="Arial" w:cs="Arial"/>
                <w:sz w:val="24"/>
              </w:rPr>
            </w:pPr>
            <w:r>
              <w:rPr>
                <w:rFonts w:ascii="Arial" w:hAnsi="Arial" w:cs="Arial"/>
                <w:sz w:val="24"/>
              </w:rPr>
              <w:t>25%</w:t>
            </w:r>
          </w:p>
        </w:tc>
        <w:tc>
          <w:tcPr>
            <w:tcW w:w="714" w:type="pct"/>
          </w:tcPr>
          <w:p w14:paraId="323FDC30" w14:textId="77777777" w:rsidR="00A43F28" w:rsidRDefault="00A43F28" w:rsidP="00467486">
            <w:pPr>
              <w:rPr>
                <w:rFonts w:ascii="Arial" w:hAnsi="Arial" w:cs="Arial"/>
                <w:sz w:val="24"/>
              </w:rPr>
            </w:pPr>
            <w:r>
              <w:rPr>
                <w:rFonts w:ascii="Arial" w:hAnsi="Arial" w:cs="Arial"/>
                <w:sz w:val="24"/>
              </w:rPr>
              <w:t>13%</w:t>
            </w:r>
          </w:p>
        </w:tc>
        <w:tc>
          <w:tcPr>
            <w:tcW w:w="714" w:type="pct"/>
          </w:tcPr>
          <w:p w14:paraId="56EEDE79" w14:textId="77777777" w:rsidR="00A43F28" w:rsidRDefault="00A43F28" w:rsidP="00467486">
            <w:pPr>
              <w:rPr>
                <w:rFonts w:ascii="Arial" w:hAnsi="Arial" w:cs="Arial"/>
                <w:sz w:val="24"/>
              </w:rPr>
            </w:pPr>
            <w:r>
              <w:rPr>
                <w:rFonts w:ascii="Arial" w:hAnsi="Arial" w:cs="Arial"/>
                <w:sz w:val="24"/>
              </w:rPr>
              <w:t>20%</w:t>
            </w:r>
          </w:p>
        </w:tc>
        <w:tc>
          <w:tcPr>
            <w:tcW w:w="714" w:type="pct"/>
          </w:tcPr>
          <w:p w14:paraId="24D9BB46" w14:textId="77777777" w:rsidR="00A43F28" w:rsidRDefault="00A43F28" w:rsidP="00467486">
            <w:pPr>
              <w:rPr>
                <w:rFonts w:ascii="Arial" w:hAnsi="Arial" w:cs="Arial"/>
                <w:sz w:val="24"/>
              </w:rPr>
            </w:pPr>
            <w:r>
              <w:rPr>
                <w:rFonts w:ascii="Arial" w:hAnsi="Arial" w:cs="Arial"/>
                <w:sz w:val="24"/>
              </w:rPr>
              <w:t>14%</w:t>
            </w:r>
          </w:p>
        </w:tc>
        <w:tc>
          <w:tcPr>
            <w:tcW w:w="714" w:type="pct"/>
          </w:tcPr>
          <w:p w14:paraId="4FF234CF" w14:textId="77777777" w:rsidR="00A43F28" w:rsidRDefault="00A43F28" w:rsidP="00467486">
            <w:pPr>
              <w:rPr>
                <w:rFonts w:ascii="Arial" w:hAnsi="Arial" w:cs="Arial"/>
                <w:sz w:val="24"/>
              </w:rPr>
            </w:pPr>
            <w:r>
              <w:rPr>
                <w:rFonts w:ascii="Arial" w:hAnsi="Arial" w:cs="Arial"/>
                <w:sz w:val="24"/>
              </w:rPr>
              <w:t>23%</w:t>
            </w:r>
          </w:p>
        </w:tc>
      </w:tr>
    </w:tbl>
    <w:p w14:paraId="61534986" w14:textId="77777777" w:rsidR="00A43F28" w:rsidRPr="003F78A3" w:rsidRDefault="003F78A3" w:rsidP="00A43F28">
      <w:pPr>
        <w:rPr>
          <w:rFonts w:ascii="Arial" w:hAnsi="Arial" w:cs="Arial"/>
          <w:i/>
          <w:sz w:val="24"/>
          <w:highlight w:val="yellow"/>
        </w:rPr>
      </w:pPr>
      <w:r w:rsidRPr="003F78A3">
        <w:rPr>
          <w:rFonts w:ascii="Arial" w:hAnsi="Arial" w:cs="Arial"/>
          <w:i/>
          <w:sz w:val="24"/>
        </w:rPr>
        <w:t>Source: NAPLAN, Attitudes to School Survey 2018 (DET Analysis)</w:t>
      </w:r>
    </w:p>
    <w:p w14:paraId="533883B4" w14:textId="77777777" w:rsidR="003F78A3" w:rsidRDefault="0000636F" w:rsidP="0000636F">
      <w:pPr>
        <w:rPr>
          <w:rFonts w:ascii="Arial" w:eastAsiaTheme="majorEastAsia" w:hAnsi="Arial" w:cs="Arial"/>
          <w:bCs/>
          <w:sz w:val="24"/>
          <w:szCs w:val="26"/>
        </w:rPr>
      </w:pPr>
      <w:r w:rsidRPr="0000636F">
        <w:rPr>
          <w:rFonts w:ascii="Arial" w:eastAsiaTheme="majorEastAsia" w:hAnsi="Arial" w:cs="Arial"/>
          <w:bCs/>
          <w:sz w:val="24"/>
          <w:szCs w:val="26"/>
        </w:rPr>
        <w:t>During the transition to senior secondary and post-compulsory schooling, adolescents exercise further autonomy and choice in relation to their academic progression, subject enrolments and school leaving destinations.</w:t>
      </w:r>
    </w:p>
    <w:p w14:paraId="3A216B0E" w14:textId="77777777" w:rsidR="0098163C" w:rsidRDefault="0098163C" w:rsidP="0000636F">
      <w:pPr>
        <w:rPr>
          <w:rFonts w:ascii="Arial" w:hAnsi="Arial" w:cs="Arial"/>
          <w:b/>
          <w:sz w:val="24"/>
        </w:rPr>
      </w:pPr>
      <w:r w:rsidRPr="0098163C">
        <w:rPr>
          <w:rFonts w:ascii="Arial" w:hAnsi="Arial" w:cs="Arial"/>
          <w:b/>
          <w:sz w:val="24"/>
        </w:rPr>
        <w:t>Achievement</w:t>
      </w:r>
    </w:p>
    <w:p w14:paraId="2F14C9AF" w14:textId="77777777" w:rsidR="0098163C" w:rsidRPr="00E1133D" w:rsidRDefault="0098163C" w:rsidP="0098163C">
      <w:pPr>
        <w:rPr>
          <w:rFonts w:ascii="Arial" w:hAnsi="Arial" w:cs="Arial"/>
          <w:i/>
          <w:sz w:val="24"/>
        </w:rPr>
      </w:pPr>
      <w:r w:rsidRPr="00E1133D">
        <w:rPr>
          <w:rFonts w:ascii="Arial" w:hAnsi="Arial" w:cs="Arial"/>
          <w:i/>
          <w:sz w:val="24"/>
        </w:rPr>
        <w:t>NAPLAN achievement in the top three bands is an important indicator of success at school.</w:t>
      </w:r>
    </w:p>
    <w:p w14:paraId="4B8A10FF" w14:textId="77777777" w:rsidR="0098163C" w:rsidRPr="0098163C" w:rsidRDefault="0098163C" w:rsidP="0098163C">
      <w:pPr>
        <w:pStyle w:val="ListParagraph"/>
        <w:numPr>
          <w:ilvl w:val="0"/>
          <w:numId w:val="41"/>
        </w:numPr>
        <w:rPr>
          <w:rFonts w:ascii="Arial" w:eastAsiaTheme="minorHAnsi" w:hAnsi="Arial" w:cs="Arial"/>
          <w:sz w:val="24"/>
        </w:rPr>
      </w:pPr>
      <w:r w:rsidRPr="0098163C">
        <w:rPr>
          <w:rFonts w:ascii="Arial" w:hAnsi="Arial" w:cs="Arial"/>
          <w:sz w:val="24"/>
        </w:rPr>
        <w:t>Victoria remains a leading jurisdiction in NAPLAN achievement, outperforming the national average across all year levels in 2018.</w:t>
      </w:r>
    </w:p>
    <w:p w14:paraId="0ABAD8FD" w14:textId="77777777" w:rsidR="0000636F" w:rsidRPr="0000636F" w:rsidRDefault="0000636F" w:rsidP="0000636F">
      <w:pPr>
        <w:rPr>
          <w:rFonts w:ascii="Arial" w:eastAsiaTheme="majorEastAsia" w:hAnsi="Arial" w:cs="Arial"/>
          <w:bCs/>
          <w:szCs w:val="26"/>
        </w:rPr>
      </w:pPr>
    </w:p>
    <w:tbl>
      <w:tblPr>
        <w:tblStyle w:val="TableGrid"/>
        <w:tblW w:w="0" w:type="auto"/>
        <w:tblLook w:val="04A0" w:firstRow="1" w:lastRow="0" w:firstColumn="1" w:lastColumn="0" w:noHBand="0" w:noVBand="1"/>
        <w:tblDescription w:val="This table shows the proportion of students achieving in the top three bands of NAPLAN Reading, Victoria and Australia, 2018"/>
      </w:tblPr>
      <w:tblGrid>
        <w:gridCol w:w="3005"/>
        <w:gridCol w:w="3003"/>
        <w:gridCol w:w="3008"/>
      </w:tblGrid>
      <w:tr w:rsidR="0098163C" w:rsidRPr="008B39AC" w14:paraId="38A28767" w14:textId="77777777" w:rsidTr="00467486">
        <w:trPr>
          <w:tblHeader/>
        </w:trPr>
        <w:tc>
          <w:tcPr>
            <w:tcW w:w="3080" w:type="dxa"/>
          </w:tcPr>
          <w:p w14:paraId="3D2306ED" w14:textId="77777777" w:rsidR="0098163C" w:rsidRPr="008B39AC" w:rsidRDefault="0098163C" w:rsidP="00467486">
            <w:pPr>
              <w:rPr>
                <w:rFonts w:ascii="Arial" w:hAnsi="Arial" w:cs="Arial"/>
                <w:sz w:val="24"/>
              </w:rPr>
            </w:pPr>
            <w:r w:rsidRPr="008B39AC">
              <w:rPr>
                <w:rFonts w:ascii="Arial" w:hAnsi="Arial" w:cs="Arial"/>
                <w:sz w:val="24"/>
              </w:rPr>
              <w:t>Reading</w:t>
            </w:r>
          </w:p>
        </w:tc>
        <w:tc>
          <w:tcPr>
            <w:tcW w:w="3081" w:type="dxa"/>
          </w:tcPr>
          <w:p w14:paraId="03CD819A" w14:textId="77777777" w:rsidR="0098163C" w:rsidRPr="008B39AC" w:rsidRDefault="0098163C" w:rsidP="00467486">
            <w:pPr>
              <w:rPr>
                <w:rFonts w:ascii="Arial" w:hAnsi="Arial" w:cs="Arial"/>
                <w:sz w:val="24"/>
              </w:rPr>
            </w:pPr>
            <w:r w:rsidRPr="008B39AC">
              <w:rPr>
                <w:rFonts w:ascii="Arial" w:hAnsi="Arial" w:cs="Arial"/>
                <w:sz w:val="24"/>
              </w:rPr>
              <w:t>Victoria</w:t>
            </w:r>
          </w:p>
        </w:tc>
        <w:tc>
          <w:tcPr>
            <w:tcW w:w="3081" w:type="dxa"/>
          </w:tcPr>
          <w:p w14:paraId="7DF199B4" w14:textId="77777777" w:rsidR="0098163C" w:rsidRPr="008B39AC" w:rsidRDefault="0098163C" w:rsidP="00467486">
            <w:pPr>
              <w:rPr>
                <w:rFonts w:ascii="Arial" w:hAnsi="Arial" w:cs="Arial"/>
                <w:sz w:val="24"/>
              </w:rPr>
            </w:pPr>
            <w:r w:rsidRPr="008B39AC">
              <w:rPr>
                <w:rFonts w:ascii="Arial" w:hAnsi="Arial" w:cs="Arial"/>
                <w:sz w:val="24"/>
              </w:rPr>
              <w:t>Australia</w:t>
            </w:r>
          </w:p>
        </w:tc>
      </w:tr>
      <w:tr w:rsidR="0098163C" w:rsidRPr="008B39AC" w14:paraId="2A656D93" w14:textId="77777777" w:rsidTr="00467486">
        <w:tc>
          <w:tcPr>
            <w:tcW w:w="3080" w:type="dxa"/>
          </w:tcPr>
          <w:p w14:paraId="4E313B61" w14:textId="77777777" w:rsidR="0098163C" w:rsidRPr="008B39AC" w:rsidRDefault="0098163C" w:rsidP="00467486">
            <w:pPr>
              <w:rPr>
                <w:rFonts w:ascii="Arial" w:hAnsi="Arial" w:cs="Arial"/>
                <w:sz w:val="24"/>
              </w:rPr>
            </w:pPr>
            <w:r w:rsidRPr="008B39AC">
              <w:rPr>
                <w:rFonts w:ascii="Arial" w:hAnsi="Arial" w:cs="Arial"/>
                <w:sz w:val="24"/>
              </w:rPr>
              <w:t>Year 3</w:t>
            </w:r>
          </w:p>
        </w:tc>
        <w:tc>
          <w:tcPr>
            <w:tcW w:w="3081" w:type="dxa"/>
          </w:tcPr>
          <w:p w14:paraId="51BFE495" w14:textId="77777777" w:rsidR="0098163C" w:rsidRPr="008B39AC" w:rsidRDefault="0098163C" w:rsidP="00467486">
            <w:pPr>
              <w:rPr>
                <w:rFonts w:ascii="Arial" w:hAnsi="Arial" w:cs="Arial"/>
                <w:sz w:val="24"/>
              </w:rPr>
            </w:pPr>
            <w:r>
              <w:rPr>
                <w:rFonts w:ascii="Arial" w:hAnsi="Arial" w:cs="Arial"/>
                <w:sz w:val="24"/>
              </w:rPr>
              <w:t>79.9%</w:t>
            </w:r>
          </w:p>
        </w:tc>
        <w:tc>
          <w:tcPr>
            <w:tcW w:w="3081" w:type="dxa"/>
          </w:tcPr>
          <w:p w14:paraId="49B11AFE" w14:textId="77777777" w:rsidR="0098163C" w:rsidRPr="008B39AC" w:rsidRDefault="0098163C" w:rsidP="00467486">
            <w:pPr>
              <w:rPr>
                <w:rFonts w:ascii="Arial" w:hAnsi="Arial" w:cs="Arial"/>
                <w:sz w:val="24"/>
              </w:rPr>
            </w:pPr>
            <w:r>
              <w:rPr>
                <w:rFonts w:ascii="Arial" w:hAnsi="Arial" w:cs="Arial"/>
                <w:sz w:val="24"/>
              </w:rPr>
              <w:t>75.9%</w:t>
            </w:r>
          </w:p>
        </w:tc>
      </w:tr>
      <w:tr w:rsidR="0098163C" w:rsidRPr="008B39AC" w14:paraId="57A83259" w14:textId="77777777" w:rsidTr="00467486">
        <w:tc>
          <w:tcPr>
            <w:tcW w:w="3080" w:type="dxa"/>
          </w:tcPr>
          <w:p w14:paraId="10295814" w14:textId="77777777" w:rsidR="0098163C" w:rsidRPr="008B39AC" w:rsidRDefault="0098163C" w:rsidP="00467486">
            <w:pPr>
              <w:rPr>
                <w:rFonts w:ascii="Arial" w:hAnsi="Arial" w:cs="Arial"/>
                <w:sz w:val="24"/>
              </w:rPr>
            </w:pPr>
            <w:r w:rsidRPr="008B39AC">
              <w:rPr>
                <w:rFonts w:ascii="Arial" w:hAnsi="Arial" w:cs="Arial"/>
                <w:sz w:val="24"/>
              </w:rPr>
              <w:t>Year 5</w:t>
            </w:r>
          </w:p>
        </w:tc>
        <w:tc>
          <w:tcPr>
            <w:tcW w:w="3081" w:type="dxa"/>
          </w:tcPr>
          <w:p w14:paraId="1D24A92C" w14:textId="77777777" w:rsidR="0098163C" w:rsidRPr="008B39AC" w:rsidRDefault="0098163C" w:rsidP="00467486">
            <w:pPr>
              <w:rPr>
                <w:rFonts w:ascii="Arial" w:hAnsi="Arial" w:cs="Arial"/>
                <w:sz w:val="24"/>
              </w:rPr>
            </w:pPr>
            <w:r>
              <w:rPr>
                <w:rFonts w:ascii="Arial" w:hAnsi="Arial" w:cs="Arial"/>
                <w:sz w:val="24"/>
              </w:rPr>
              <w:t>70.4%</w:t>
            </w:r>
          </w:p>
        </w:tc>
        <w:tc>
          <w:tcPr>
            <w:tcW w:w="3081" w:type="dxa"/>
          </w:tcPr>
          <w:p w14:paraId="227AAF6A" w14:textId="77777777" w:rsidR="0098163C" w:rsidRPr="008B39AC" w:rsidRDefault="0098163C" w:rsidP="00467486">
            <w:pPr>
              <w:rPr>
                <w:rFonts w:ascii="Arial" w:hAnsi="Arial" w:cs="Arial"/>
                <w:sz w:val="24"/>
              </w:rPr>
            </w:pPr>
            <w:r>
              <w:rPr>
                <w:rFonts w:ascii="Arial" w:hAnsi="Arial" w:cs="Arial"/>
                <w:sz w:val="24"/>
              </w:rPr>
              <w:t>65.7%</w:t>
            </w:r>
          </w:p>
        </w:tc>
      </w:tr>
      <w:tr w:rsidR="0098163C" w:rsidRPr="008B39AC" w14:paraId="5324518E" w14:textId="77777777" w:rsidTr="00467486">
        <w:tc>
          <w:tcPr>
            <w:tcW w:w="3080" w:type="dxa"/>
          </w:tcPr>
          <w:p w14:paraId="6AA06D0D" w14:textId="77777777" w:rsidR="0098163C" w:rsidRPr="008B39AC" w:rsidRDefault="0098163C" w:rsidP="00467486">
            <w:pPr>
              <w:rPr>
                <w:rFonts w:ascii="Arial" w:hAnsi="Arial" w:cs="Arial"/>
                <w:sz w:val="24"/>
              </w:rPr>
            </w:pPr>
            <w:r w:rsidRPr="008B39AC">
              <w:rPr>
                <w:rFonts w:ascii="Arial" w:hAnsi="Arial" w:cs="Arial"/>
                <w:sz w:val="24"/>
              </w:rPr>
              <w:t>Year 7</w:t>
            </w:r>
          </w:p>
        </w:tc>
        <w:tc>
          <w:tcPr>
            <w:tcW w:w="3081" w:type="dxa"/>
          </w:tcPr>
          <w:p w14:paraId="27847B11" w14:textId="77777777" w:rsidR="0098163C" w:rsidRPr="008B39AC" w:rsidRDefault="0098163C" w:rsidP="00467486">
            <w:pPr>
              <w:rPr>
                <w:rFonts w:ascii="Arial" w:hAnsi="Arial" w:cs="Arial"/>
                <w:sz w:val="24"/>
              </w:rPr>
            </w:pPr>
            <w:r>
              <w:rPr>
                <w:rFonts w:ascii="Arial" w:hAnsi="Arial" w:cs="Arial"/>
                <w:sz w:val="24"/>
              </w:rPr>
              <w:t>59.7%</w:t>
            </w:r>
          </w:p>
        </w:tc>
        <w:tc>
          <w:tcPr>
            <w:tcW w:w="3081" w:type="dxa"/>
          </w:tcPr>
          <w:p w14:paraId="207211DF" w14:textId="77777777" w:rsidR="0098163C" w:rsidRPr="008B39AC" w:rsidRDefault="0098163C" w:rsidP="00467486">
            <w:pPr>
              <w:rPr>
                <w:rFonts w:ascii="Arial" w:hAnsi="Arial" w:cs="Arial"/>
                <w:sz w:val="24"/>
              </w:rPr>
            </w:pPr>
            <w:r>
              <w:rPr>
                <w:rFonts w:ascii="Arial" w:hAnsi="Arial" w:cs="Arial"/>
                <w:sz w:val="24"/>
              </w:rPr>
              <w:t>56.5%</w:t>
            </w:r>
          </w:p>
        </w:tc>
      </w:tr>
      <w:tr w:rsidR="0098163C" w:rsidRPr="008B39AC" w14:paraId="1A595FA4" w14:textId="77777777" w:rsidTr="00467486">
        <w:tc>
          <w:tcPr>
            <w:tcW w:w="3080" w:type="dxa"/>
          </w:tcPr>
          <w:p w14:paraId="3359A19C" w14:textId="77777777" w:rsidR="0098163C" w:rsidRPr="008B39AC" w:rsidRDefault="0098163C" w:rsidP="00467486">
            <w:pPr>
              <w:rPr>
                <w:rFonts w:ascii="Arial" w:hAnsi="Arial" w:cs="Arial"/>
                <w:sz w:val="24"/>
              </w:rPr>
            </w:pPr>
            <w:r w:rsidRPr="008B39AC">
              <w:rPr>
                <w:rFonts w:ascii="Arial" w:hAnsi="Arial" w:cs="Arial"/>
                <w:sz w:val="24"/>
              </w:rPr>
              <w:t>Year 9</w:t>
            </w:r>
          </w:p>
        </w:tc>
        <w:tc>
          <w:tcPr>
            <w:tcW w:w="3081" w:type="dxa"/>
          </w:tcPr>
          <w:p w14:paraId="10999C2A" w14:textId="77777777" w:rsidR="0098163C" w:rsidRPr="008B39AC" w:rsidRDefault="0098163C" w:rsidP="00467486">
            <w:pPr>
              <w:rPr>
                <w:rFonts w:ascii="Arial" w:hAnsi="Arial" w:cs="Arial"/>
                <w:sz w:val="24"/>
              </w:rPr>
            </w:pPr>
            <w:r>
              <w:rPr>
                <w:rFonts w:ascii="Arial" w:hAnsi="Arial" w:cs="Arial"/>
                <w:sz w:val="24"/>
              </w:rPr>
              <w:t>53%</w:t>
            </w:r>
          </w:p>
        </w:tc>
        <w:tc>
          <w:tcPr>
            <w:tcW w:w="3081" w:type="dxa"/>
          </w:tcPr>
          <w:p w14:paraId="7008BD77" w14:textId="77777777" w:rsidR="0098163C" w:rsidRPr="008B39AC" w:rsidRDefault="0098163C" w:rsidP="00467486">
            <w:pPr>
              <w:rPr>
                <w:rFonts w:ascii="Arial" w:hAnsi="Arial" w:cs="Arial"/>
                <w:sz w:val="24"/>
              </w:rPr>
            </w:pPr>
            <w:r>
              <w:rPr>
                <w:rFonts w:ascii="Arial" w:hAnsi="Arial" w:cs="Arial"/>
                <w:sz w:val="24"/>
              </w:rPr>
              <w:t>51.1%</w:t>
            </w:r>
          </w:p>
        </w:tc>
      </w:tr>
    </w:tbl>
    <w:p w14:paraId="71B6CF25" w14:textId="77777777" w:rsidR="0098163C" w:rsidRDefault="0098163C">
      <w:pPr>
        <w:rPr>
          <w:rFonts w:ascii="Arial" w:hAnsi="Arial" w:cs="Arial"/>
        </w:rPr>
      </w:pPr>
    </w:p>
    <w:tbl>
      <w:tblPr>
        <w:tblStyle w:val="TableGrid"/>
        <w:tblW w:w="0" w:type="auto"/>
        <w:tblLook w:val="04A0" w:firstRow="1" w:lastRow="0" w:firstColumn="1" w:lastColumn="0" w:noHBand="0" w:noVBand="1"/>
        <w:tblDescription w:val="This table shows the proportion of students achieving in the top three bands of NAPLAN Numeracy, Victoria and Australia, 2018"/>
      </w:tblPr>
      <w:tblGrid>
        <w:gridCol w:w="3011"/>
        <w:gridCol w:w="3000"/>
        <w:gridCol w:w="3005"/>
      </w:tblGrid>
      <w:tr w:rsidR="0098163C" w:rsidRPr="008B39AC" w14:paraId="39E0EF00" w14:textId="77777777" w:rsidTr="00467486">
        <w:trPr>
          <w:tblHeader/>
        </w:trPr>
        <w:tc>
          <w:tcPr>
            <w:tcW w:w="3080" w:type="dxa"/>
          </w:tcPr>
          <w:p w14:paraId="0D35C3F8" w14:textId="77777777" w:rsidR="0098163C" w:rsidRPr="008B39AC" w:rsidRDefault="0098163C" w:rsidP="00467486">
            <w:pPr>
              <w:rPr>
                <w:rFonts w:ascii="Arial" w:hAnsi="Arial" w:cs="Arial"/>
                <w:sz w:val="24"/>
              </w:rPr>
            </w:pPr>
            <w:r>
              <w:rPr>
                <w:rFonts w:ascii="Arial" w:hAnsi="Arial" w:cs="Arial"/>
                <w:sz w:val="24"/>
              </w:rPr>
              <w:t>Numeracy</w:t>
            </w:r>
          </w:p>
        </w:tc>
        <w:tc>
          <w:tcPr>
            <w:tcW w:w="3081" w:type="dxa"/>
          </w:tcPr>
          <w:p w14:paraId="62ABA894" w14:textId="77777777" w:rsidR="0098163C" w:rsidRPr="008B39AC" w:rsidRDefault="0098163C" w:rsidP="00467486">
            <w:pPr>
              <w:rPr>
                <w:rFonts w:ascii="Arial" w:hAnsi="Arial" w:cs="Arial"/>
                <w:sz w:val="24"/>
              </w:rPr>
            </w:pPr>
            <w:r w:rsidRPr="008B39AC">
              <w:rPr>
                <w:rFonts w:ascii="Arial" w:hAnsi="Arial" w:cs="Arial"/>
                <w:sz w:val="24"/>
              </w:rPr>
              <w:t>Victoria</w:t>
            </w:r>
          </w:p>
        </w:tc>
        <w:tc>
          <w:tcPr>
            <w:tcW w:w="3081" w:type="dxa"/>
          </w:tcPr>
          <w:p w14:paraId="6E6F2B67" w14:textId="77777777" w:rsidR="0098163C" w:rsidRPr="008B39AC" w:rsidRDefault="0098163C" w:rsidP="00467486">
            <w:pPr>
              <w:rPr>
                <w:rFonts w:ascii="Arial" w:hAnsi="Arial" w:cs="Arial"/>
                <w:sz w:val="24"/>
              </w:rPr>
            </w:pPr>
            <w:r w:rsidRPr="008B39AC">
              <w:rPr>
                <w:rFonts w:ascii="Arial" w:hAnsi="Arial" w:cs="Arial"/>
                <w:sz w:val="24"/>
              </w:rPr>
              <w:t>Australia</w:t>
            </w:r>
          </w:p>
        </w:tc>
      </w:tr>
      <w:tr w:rsidR="0098163C" w:rsidRPr="008B39AC" w14:paraId="0F7C81FF" w14:textId="77777777" w:rsidTr="00467486">
        <w:tc>
          <w:tcPr>
            <w:tcW w:w="3080" w:type="dxa"/>
          </w:tcPr>
          <w:p w14:paraId="053DB217" w14:textId="77777777" w:rsidR="0098163C" w:rsidRPr="008B39AC" w:rsidRDefault="0098163C" w:rsidP="00467486">
            <w:pPr>
              <w:rPr>
                <w:rFonts w:ascii="Arial" w:hAnsi="Arial" w:cs="Arial"/>
                <w:sz w:val="24"/>
              </w:rPr>
            </w:pPr>
            <w:r w:rsidRPr="008B39AC">
              <w:rPr>
                <w:rFonts w:ascii="Arial" w:hAnsi="Arial" w:cs="Arial"/>
                <w:sz w:val="24"/>
              </w:rPr>
              <w:t>Year 3</w:t>
            </w:r>
          </w:p>
        </w:tc>
        <w:tc>
          <w:tcPr>
            <w:tcW w:w="3081" w:type="dxa"/>
          </w:tcPr>
          <w:p w14:paraId="2AE5BCBA" w14:textId="77777777" w:rsidR="0098163C" w:rsidRPr="008B39AC" w:rsidRDefault="0098163C" w:rsidP="00467486">
            <w:pPr>
              <w:rPr>
                <w:rFonts w:ascii="Arial" w:hAnsi="Arial" w:cs="Arial"/>
                <w:sz w:val="24"/>
              </w:rPr>
            </w:pPr>
            <w:r>
              <w:rPr>
                <w:rFonts w:ascii="Arial" w:hAnsi="Arial" w:cs="Arial"/>
                <w:sz w:val="24"/>
              </w:rPr>
              <w:t>71.6%</w:t>
            </w:r>
          </w:p>
        </w:tc>
        <w:tc>
          <w:tcPr>
            <w:tcW w:w="3081" w:type="dxa"/>
          </w:tcPr>
          <w:p w14:paraId="4A85F107" w14:textId="77777777" w:rsidR="0098163C" w:rsidRPr="008B39AC" w:rsidRDefault="0098163C" w:rsidP="00467486">
            <w:pPr>
              <w:rPr>
                <w:rFonts w:ascii="Arial" w:hAnsi="Arial" w:cs="Arial"/>
                <w:sz w:val="24"/>
              </w:rPr>
            </w:pPr>
            <w:r>
              <w:rPr>
                <w:rFonts w:ascii="Arial" w:hAnsi="Arial" w:cs="Arial"/>
                <w:sz w:val="24"/>
              </w:rPr>
              <w:t>66.8%</w:t>
            </w:r>
          </w:p>
        </w:tc>
      </w:tr>
      <w:tr w:rsidR="0098163C" w:rsidRPr="008B39AC" w14:paraId="311EFCA9" w14:textId="77777777" w:rsidTr="00467486">
        <w:tc>
          <w:tcPr>
            <w:tcW w:w="3080" w:type="dxa"/>
          </w:tcPr>
          <w:p w14:paraId="3693CF0E" w14:textId="77777777" w:rsidR="0098163C" w:rsidRPr="008B39AC" w:rsidRDefault="0098163C" w:rsidP="00467486">
            <w:pPr>
              <w:rPr>
                <w:rFonts w:ascii="Arial" w:hAnsi="Arial" w:cs="Arial"/>
                <w:sz w:val="24"/>
              </w:rPr>
            </w:pPr>
            <w:r w:rsidRPr="008B39AC">
              <w:rPr>
                <w:rFonts w:ascii="Arial" w:hAnsi="Arial" w:cs="Arial"/>
                <w:sz w:val="24"/>
              </w:rPr>
              <w:t>Year 5</w:t>
            </w:r>
          </w:p>
        </w:tc>
        <w:tc>
          <w:tcPr>
            <w:tcW w:w="3081" w:type="dxa"/>
          </w:tcPr>
          <w:p w14:paraId="5F7B277F" w14:textId="77777777" w:rsidR="0098163C" w:rsidRPr="008B39AC" w:rsidRDefault="0098163C" w:rsidP="00467486">
            <w:pPr>
              <w:rPr>
                <w:rFonts w:ascii="Arial" w:hAnsi="Arial" w:cs="Arial"/>
                <w:sz w:val="24"/>
              </w:rPr>
            </w:pPr>
            <w:r>
              <w:rPr>
                <w:rFonts w:ascii="Arial" w:hAnsi="Arial" w:cs="Arial"/>
                <w:sz w:val="24"/>
              </w:rPr>
              <w:t>62.2%</w:t>
            </w:r>
          </w:p>
        </w:tc>
        <w:tc>
          <w:tcPr>
            <w:tcW w:w="3081" w:type="dxa"/>
          </w:tcPr>
          <w:p w14:paraId="12A7240F" w14:textId="77777777" w:rsidR="0098163C" w:rsidRPr="008B39AC" w:rsidRDefault="0098163C" w:rsidP="00467486">
            <w:pPr>
              <w:rPr>
                <w:rFonts w:ascii="Arial" w:hAnsi="Arial" w:cs="Arial"/>
                <w:sz w:val="24"/>
              </w:rPr>
            </w:pPr>
            <w:r>
              <w:rPr>
                <w:rFonts w:ascii="Arial" w:hAnsi="Arial" w:cs="Arial"/>
                <w:sz w:val="24"/>
              </w:rPr>
              <w:t>57.5%</w:t>
            </w:r>
          </w:p>
        </w:tc>
      </w:tr>
      <w:tr w:rsidR="0098163C" w:rsidRPr="008B39AC" w14:paraId="367F0FA2" w14:textId="77777777" w:rsidTr="00467486">
        <w:tc>
          <w:tcPr>
            <w:tcW w:w="3080" w:type="dxa"/>
          </w:tcPr>
          <w:p w14:paraId="0CCFB57E" w14:textId="77777777" w:rsidR="0098163C" w:rsidRPr="008B39AC" w:rsidRDefault="0098163C" w:rsidP="00467486">
            <w:pPr>
              <w:rPr>
                <w:rFonts w:ascii="Arial" w:hAnsi="Arial" w:cs="Arial"/>
                <w:sz w:val="24"/>
              </w:rPr>
            </w:pPr>
            <w:r w:rsidRPr="008B39AC">
              <w:rPr>
                <w:rFonts w:ascii="Arial" w:hAnsi="Arial" w:cs="Arial"/>
                <w:sz w:val="24"/>
              </w:rPr>
              <w:t>Year 7</w:t>
            </w:r>
          </w:p>
        </w:tc>
        <w:tc>
          <w:tcPr>
            <w:tcW w:w="3081" w:type="dxa"/>
          </w:tcPr>
          <w:p w14:paraId="17724AF0" w14:textId="77777777" w:rsidR="0098163C" w:rsidRPr="008B39AC" w:rsidRDefault="0098163C" w:rsidP="00467486">
            <w:pPr>
              <w:rPr>
                <w:rFonts w:ascii="Arial" w:hAnsi="Arial" w:cs="Arial"/>
                <w:sz w:val="24"/>
              </w:rPr>
            </w:pPr>
            <w:r>
              <w:rPr>
                <w:rFonts w:ascii="Arial" w:hAnsi="Arial" w:cs="Arial"/>
                <w:sz w:val="24"/>
              </w:rPr>
              <w:t>61.1%</w:t>
            </w:r>
          </w:p>
        </w:tc>
        <w:tc>
          <w:tcPr>
            <w:tcW w:w="3081" w:type="dxa"/>
          </w:tcPr>
          <w:p w14:paraId="16B19A74" w14:textId="77777777" w:rsidR="0098163C" w:rsidRPr="008B39AC" w:rsidRDefault="0098163C" w:rsidP="00467486">
            <w:pPr>
              <w:rPr>
                <w:rFonts w:ascii="Arial" w:hAnsi="Arial" w:cs="Arial"/>
                <w:sz w:val="24"/>
              </w:rPr>
            </w:pPr>
            <w:r>
              <w:rPr>
                <w:rFonts w:ascii="Arial" w:hAnsi="Arial" w:cs="Arial"/>
                <w:sz w:val="24"/>
              </w:rPr>
              <w:t>58%</w:t>
            </w:r>
          </w:p>
        </w:tc>
      </w:tr>
      <w:tr w:rsidR="0098163C" w:rsidRPr="008B39AC" w14:paraId="12141D2D" w14:textId="77777777" w:rsidTr="00467486">
        <w:tc>
          <w:tcPr>
            <w:tcW w:w="3080" w:type="dxa"/>
          </w:tcPr>
          <w:p w14:paraId="43879C3C" w14:textId="77777777" w:rsidR="0098163C" w:rsidRPr="008B39AC" w:rsidRDefault="0098163C" w:rsidP="00467486">
            <w:pPr>
              <w:rPr>
                <w:rFonts w:ascii="Arial" w:hAnsi="Arial" w:cs="Arial"/>
                <w:sz w:val="24"/>
              </w:rPr>
            </w:pPr>
            <w:r w:rsidRPr="008B39AC">
              <w:rPr>
                <w:rFonts w:ascii="Arial" w:hAnsi="Arial" w:cs="Arial"/>
                <w:sz w:val="24"/>
              </w:rPr>
              <w:t>Year 9</w:t>
            </w:r>
          </w:p>
        </w:tc>
        <w:tc>
          <w:tcPr>
            <w:tcW w:w="3081" w:type="dxa"/>
          </w:tcPr>
          <w:p w14:paraId="4481703B" w14:textId="77777777" w:rsidR="0098163C" w:rsidRPr="008B39AC" w:rsidRDefault="0098163C" w:rsidP="00467486">
            <w:pPr>
              <w:rPr>
                <w:rFonts w:ascii="Arial" w:hAnsi="Arial" w:cs="Arial"/>
                <w:sz w:val="24"/>
              </w:rPr>
            </w:pPr>
            <w:r>
              <w:rPr>
                <w:rFonts w:ascii="Arial" w:hAnsi="Arial" w:cs="Arial"/>
                <w:sz w:val="24"/>
              </w:rPr>
              <w:t>57.5%</w:t>
            </w:r>
          </w:p>
        </w:tc>
        <w:tc>
          <w:tcPr>
            <w:tcW w:w="3081" w:type="dxa"/>
          </w:tcPr>
          <w:p w14:paraId="34BB5762" w14:textId="77777777" w:rsidR="0098163C" w:rsidRPr="008B39AC" w:rsidRDefault="0098163C" w:rsidP="00467486">
            <w:pPr>
              <w:rPr>
                <w:rFonts w:ascii="Arial" w:hAnsi="Arial" w:cs="Arial"/>
                <w:sz w:val="24"/>
              </w:rPr>
            </w:pPr>
            <w:r>
              <w:rPr>
                <w:rFonts w:ascii="Arial" w:hAnsi="Arial" w:cs="Arial"/>
                <w:sz w:val="24"/>
              </w:rPr>
              <w:t>55.6%</w:t>
            </w:r>
          </w:p>
        </w:tc>
      </w:tr>
    </w:tbl>
    <w:p w14:paraId="28B00145" w14:textId="77777777" w:rsidR="0098163C" w:rsidRDefault="0098163C">
      <w:pPr>
        <w:rPr>
          <w:rFonts w:ascii="Arial" w:hAnsi="Arial" w:cs="Arial"/>
          <w:i/>
        </w:rPr>
      </w:pPr>
      <w:r w:rsidRPr="0098163C">
        <w:rPr>
          <w:rFonts w:ascii="Arial" w:hAnsi="Arial" w:cs="Arial"/>
          <w:i/>
        </w:rPr>
        <w:t>Source: NAPLAN national data collection, ACARA</w:t>
      </w:r>
    </w:p>
    <w:p w14:paraId="032D7735" w14:textId="77777777" w:rsidR="0093434C" w:rsidRDefault="0093434C">
      <w:pPr>
        <w:rPr>
          <w:rFonts w:ascii="Arial" w:hAnsi="Arial" w:cs="Arial"/>
          <w:b/>
          <w:sz w:val="24"/>
        </w:rPr>
      </w:pPr>
      <w:r w:rsidRPr="0093434C">
        <w:rPr>
          <w:rFonts w:ascii="Arial" w:hAnsi="Arial" w:cs="Arial"/>
          <w:b/>
          <w:sz w:val="24"/>
        </w:rPr>
        <w:t>Aboriginal</w:t>
      </w:r>
    </w:p>
    <w:p w14:paraId="0242D625" w14:textId="77777777" w:rsidR="00722400" w:rsidRPr="00E1133D" w:rsidRDefault="00722400" w:rsidP="00722400">
      <w:pPr>
        <w:rPr>
          <w:rFonts w:ascii="Arial" w:hAnsi="Arial" w:cs="Arial"/>
          <w:i/>
          <w:sz w:val="24"/>
        </w:rPr>
      </w:pPr>
      <w:r w:rsidRPr="00E1133D">
        <w:rPr>
          <w:rFonts w:ascii="Arial" w:hAnsi="Arial" w:cs="Arial"/>
          <w:i/>
          <w:sz w:val="24"/>
        </w:rPr>
        <w:t>Educational outcomes for Aboriginal students are improving.</w:t>
      </w:r>
    </w:p>
    <w:p w14:paraId="591DEB29" w14:textId="77777777" w:rsidR="00313A7D" w:rsidRPr="00313A7D" w:rsidRDefault="00722400" w:rsidP="00722400">
      <w:pPr>
        <w:pStyle w:val="ListParagraph"/>
        <w:numPr>
          <w:ilvl w:val="0"/>
          <w:numId w:val="41"/>
        </w:numPr>
        <w:rPr>
          <w:rFonts w:ascii="Arial" w:eastAsiaTheme="majorEastAsia" w:hAnsi="Arial" w:cs="Arial"/>
          <w:b/>
          <w:bCs/>
          <w:i/>
          <w:sz w:val="26"/>
          <w:szCs w:val="26"/>
        </w:rPr>
      </w:pPr>
      <w:r w:rsidRPr="00722400">
        <w:rPr>
          <w:rFonts w:ascii="Arial" w:hAnsi="Arial" w:cs="Arial"/>
          <w:sz w:val="24"/>
        </w:rPr>
        <w:t>Since 2008, the proportion of Aboriginal students achieving in the top three bands of Reading has improved for every year level.</w:t>
      </w:r>
    </w:p>
    <w:tbl>
      <w:tblPr>
        <w:tblStyle w:val="TableGrid"/>
        <w:tblW w:w="0" w:type="auto"/>
        <w:tblLook w:val="04A0" w:firstRow="1" w:lastRow="0" w:firstColumn="1" w:lastColumn="0" w:noHBand="0" w:noVBand="1"/>
        <w:tblDescription w:val="This table shows the proportion of Victorian Aboriginal students achieving in the top three bands of NAPLAN Reading, 2008 and 2018"/>
      </w:tblPr>
      <w:tblGrid>
        <w:gridCol w:w="3004"/>
        <w:gridCol w:w="3006"/>
        <w:gridCol w:w="3006"/>
      </w:tblGrid>
      <w:tr w:rsidR="00313A7D" w:rsidRPr="008B39AC" w14:paraId="62300A5A" w14:textId="77777777" w:rsidTr="00467486">
        <w:trPr>
          <w:tblHeader/>
        </w:trPr>
        <w:tc>
          <w:tcPr>
            <w:tcW w:w="3080" w:type="dxa"/>
          </w:tcPr>
          <w:p w14:paraId="6BD36AB0" w14:textId="77777777" w:rsidR="00313A7D" w:rsidRPr="008B39AC" w:rsidRDefault="00313A7D" w:rsidP="00467486">
            <w:pPr>
              <w:rPr>
                <w:rFonts w:ascii="Arial" w:hAnsi="Arial" w:cs="Arial"/>
                <w:sz w:val="24"/>
              </w:rPr>
            </w:pPr>
          </w:p>
        </w:tc>
        <w:tc>
          <w:tcPr>
            <w:tcW w:w="3081" w:type="dxa"/>
          </w:tcPr>
          <w:p w14:paraId="28B0E297" w14:textId="77777777" w:rsidR="00313A7D" w:rsidRPr="008B39AC" w:rsidRDefault="00313A7D" w:rsidP="00467486">
            <w:pPr>
              <w:rPr>
                <w:rFonts w:ascii="Arial" w:hAnsi="Arial" w:cs="Arial"/>
                <w:sz w:val="24"/>
              </w:rPr>
            </w:pPr>
            <w:r>
              <w:rPr>
                <w:rFonts w:ascii="Arial" w:hAnsi="Arial" w:cs="Arial"/>
                <w:sz w:val="24"/>
              </w:rPr>
              <w:t>2008</w:t>
            </w:r>
          </w:p>
        </w:tc>
        <w:tc>
          <w:tcPr>
            <w:tcW w:w="3081" w:type="dxa"/>
          </w:tcPr>
          <w:p w14:paraId="24F1900D" w14:textId="77777777" w:rsidR="00313A7D" w:rsidRPr="008B39AC" w:rsidRDefault="00313A7D" w:rsidP="00467486">
            <w:pPr>
              <w:rPr>
                <w:rFonts w:ascii="Arial" w:hAnsi="Arial" w:cs="Arial"/>
                <w:sz w:val="24"/>
              </w:rPr>
            </w:pPr>
            <w:r>
              <w:rPr>
                <w:rFonts w:ascii="Arial" w:hAnsi="Arial" w:cs="Arial"/>
                <w:sz w:val="24"/>
              </w:rPr>
              <w:t>2018</w:t>
            </w:r>
          </w:p>
        </w:tc>
      </w:tr>
      <w:tr w:rsidR="00313A7D" w:rsidRPr="008B39AC" w14:paraId="346D2198" w14:textId="77777777" w:rsidTr="00467486">
        <w:tc>
          <w:tcPr>
            <w:tcW w:w="3080" w:type="dxa"/>
          </w:tcPr>
          <w:p w14:paraId="680A1169" w14:textId="77777777" w:rsidR="00313A7D" w:rsidRPr="008B39AC" w:rsidRDefault="00313A7D" w:rsidP="00467486">
            <w:pPr>
              <w:rPr>
                <w:rFonts w:ascii="Arial" w:hAnsi="Arial" w:cs="Arial"/>
                <w:sz w:val="24"/>
              </w:rPr>
            </w:pPr>
            <w:r w:rsidRPr="008B39AC">
              <w:rPr>
                <w:rFonts w:ascii="Arial" w:hAnsi="Arial" w:cs="Arial"/>
                <w:sz w:val="24"/>
              </w:rPr>
              <w:t>Year 3</w:t>
            </w:r>
          </w:p>
        </w:tc>
        <w:tc>
          <w:tcPr>
            <w:tcW w:w="3081" w:type="dxa"/>
          </w:tcPr>
          <w:p w14:paraId="654AC681" w14:textId="77777777" w:rsidR="00313A7D" w:rsidRPr="008B39AC" w:rsidRDefault="00313A7D" w:rsidP="00467486">
            <w:pPr>
              <w:rPr>
                <w:rFonts w:ascii="Arial" w:hAnsi="Arial" w:cs="Arial"/>
                <w:sz w:val="24"/>
              </w:rPr>
            </w:pPr>
            <w:r>
              <w:rPr>
                <w:rFonts w:ascii="Arial" w:hAnsi="Arial" w:cs="Arial"/>
                <w:sz w:val="24"/>
              </w:rPr>
              <w:t>45%</w:t>
            </w:r>
          </w:p>
        </w:tc>
        <w:tc>
          <w:tcPr>
            <w:tcW w:w="3081" w:type="dxa"/>
          </w:tcPr>
          <w:p w14:paraId="00AE2925" w14:textId="77777777" w:rsidR="00313A7D" w:rsidRPr="008B39AC" w:rsidRDefault="00313A7D" w:rsidP="00467486">
            <w:pPr>
              <w:rPr>
                <w:rFonts w:ascii="Arial" w:hAnsi="Arial" w:cs="Arial"/>
                <w:sz w:val="24"/>
              </w:rPr>
            </w:pPr>
            <w:r>
              <w:rPr>
                <w:rFonts w:ascii="Arial" w:hAnsi="Arial" w:cs="Arial"/>
                <w:sz w:val="24"/>
              </w:rPr>
              <w:t>56%</w:t>
            </w:r>
          </w:p>
        </w:tc>
      </w:tr>
      <w:tr w:rsidR="00313A7D" w:rsidRPr="008B39AC" w14:paraId="237F2866" w14:textId="77777777" w:rsidTr="00467486">
        <w:tc>
          <w:tcPr>
            <w:tcW w:w="3080" w:type="dxa"/>
          </w:tcPr>
          <w:p w14:paraId="59AEA40D" w14:textId="77777777" w:rsidR="00313A7D" w:rsidRPr="008B39AC" w:rsidRDefault="00313A7D" w:rsidP="00467486">
            <w:pPr>
              <w:rPr>
                <w:rFonts w:ascii="Arial" w:hAnsi="Arial" w:cs="Arial"/>
                <w:sz w:val="24"/>
              </w:rPr>
            </w:pPr>
            <w:r w:rsidRPr="008B39AC">
              <w:rPr>
                <w:rFonts w:ascii="Arial" w:hAnsi="Arial" w:cs="Arial"/>
                <w:sz w:val="24"/>
              </w:rPr>
              <w:lastRenderedPageBreak/>
              <w:t>Year 5</w:t>
            </w:r>
          </w:p>
        </w:tc>
        <w:tc>
          <w:tcPr>
            <w:tcW w:w="3081" w:type="dxa"/>
          </w:tcPr>
          <w:p w14:paraId="1BD87847" w14:textId="77777777" w:rsidR="00313A7D" w:rsidRPr="008B39AC" w:rsidRDefault="00313A7D" w:rsidP="00467486">
            <w:pPr>
              <w:rPr>
                <w:rFonts w:ascii="Arial" w:hAnsi="Arial" w:cs="Arial"/>
                <w:sz w:val="24"/>
              </w:rPr>
            </w:pPr>
            <w:r>
              <w:rPr>
                <w:rFonts w:ascii="Arial" w:hAnsi="Arial" w:cs="Arial"/>
                <w:sz w:val="24"/>
              </w:rPr>
              <w:t>32%</w:t>
            </w:r>
          </w:p>
        </w:tc>
        <w:tc>
          <w:tcPr>
            <w:tcW w:w="3081" w:type="dxa"/>
          </w:tcPr>
          <w:p w14:paraId="5A8B0D04" w14:textId="77777777" w:rsidR="00313A7D" w:rsidRPr="008B39AC" w:rsidRDefault="00313A7D" w:rsidP="00467486">
            <w:pPr>
              <w:rPr>
                <w:rFonts w:ascii="Arial" w:hAnsi="Arial" w:cs="Arial"/>
                <w:sz w:val="24"/>
              </w:rPr>
            </w:pPr>
            <w:r>
              <w:rPr>
                <w:rFonts w:ascii="Arial" w:hAnsi="Arial" w:cs="Arial"/>
                <w:sz w:val="24"/>
              </w:rPr>
              <w:t>41%</w:t>
            </w:r>
          </w:p>
        </w:tc>
      </w:tr>
      <w:tr w:rsidR="00313A7D" w:rsidRPr="008B39AC" w14:paraId="242DE5BE" w14:textId="77777777" w:rsidTr="00467486">
        <w:tc>
          <w:tcPr>
            <w:tcW w:w="3080" w:type="dxa"/>
          </w:tcPr>
          <w:p w14:paraId="603D91A4" w14:textId="77777777" w:rsidR="00313A7D" w:rsidRPr="008B39AC" w:rsidRDefault="00313A7D" w:rsidP="00467486">
            <w:pPr>
              <w:rPr>
                <w:rFonts w:ascii="Arial" w:hAnsi="Arial" w:cs="Arial"/>
                <w:sz w:val="24"/>
              </w:rPr>
            </w:pPr>
            <w:r w:rsidRPr="008B39AC">
              <w:rPr>
                <w:rFonts w:ascii="Arial" w:hAnsi="Arial" w:cs="Arial"/>
                <w:sz w:val="24"/>
              </w:rPr>
              <w:t>Year 7</w:t>
            </w:r>
          </w:p>
        </w:tc>
        <w:tc>
          <w:tcPr>
            <w:tcW w:w="3081" w:type="dxa"/>
          </w:tcPr>
          <w:p w14:paraId="35093072" w14:textId="77777777" w:rsidR="00313A7D" w:rsidRPr="008B39AC" w:rsidRDefault="00313A7D" w:rsidP="00467486">
            <w:pPr>
              <w:rPr>
                <w:rFonts w:ascii="Arial" w:hAnsi="Arial" w:cs="Arial"/>
                <w:sz w:val="24"/>
              </w:rPr>
            </w:pPr>
            <w:r>
              <w:rPr>
                <w:rFonts w:ascii="Arial" w:hAnsi="Arial" w:cs="Arial"/>
                <w:sz w:val="24"/>
              </w:rPr>
              <w:t>21%</w:t>
            </w:r>
          </w:p>
        </w:tc>
        <w:tc>
          <w:tcPr>
            <w:tcW w:w="3081" w:type="dxa"/>
          </w:tcPr>
          <w:p w14:paraId="3C946686" w14:textId="77777777" w:rsidR="00313A7D" w:rsidRPr="008B39AC" w:rsidRDefault="00313A7D" w:rsidP="00467486">
            <w:pPr>
              <w:rPr>
                <w:rFonts w:ascii="Arial" w:hAnsi="Arial" w:cs="Arial"/>
                <w:sz w:val="24"/>
              </w:rPr>
            </w:pPr>
            <w:r>
              <w:rPr>
                <w:rFonts w:ascii="Arial" w:hAnsi="Arial" w:cs="Arial"/>
                <w:sz w:val="24"/>
              </w:rPr>
              <w:t>26%</w:t>
            </w:r>
          </w:p>
        </w:tc>
      </w:tr>
      <w:tr w:rsidR="00313A7D" w:rsidRPr="008B39AC" w14:paraId="16993A1C" w14:textId="77777777" w:rsidTr="00467486">
        <w:tc>
          <w:tcPr>
            <w:tcW w:w="3080" w:type="dxa"/>
          </w:tcPr>
          <w:p w14:paraId="0FD3734E" w14:textId="77777777" w:rsidR="00313A7D" w:rsidRPr="008B39AC" w:rsidRDefault="00313A7D" w:rsidP="00467486">
            <w:pPr>
              <w:rPr>
                <w:rFonts w:ascii="Arial" w:hAnsi="Arial" w:cs="Arial"/>
                <w:sz w:val="24"/>
              </w:rPr>
            </w:pPr>
            <w:r w:rsidRPr="008B39AC">
              <w:rPr>
                <w:rFonts w:ascii="Arial" w:hAnsi="Arial" w:cs="Arial"/>
                <w:sz w:val="24"/>
              </w:rPr>
              <w:t>Year 9</w:t>
            </w:r>
          </w:p>
        </w:tc>
        <w:tc>
          <w:tcPr>
            <w:tcW w:w="3081" w:type="dxa"/>
          </w:tcPr>
          <w:p w14:paraId="3DFB438A" w14:textId="77777777" w:rsidR="00313A7D" w:rsidRPr="008B39AC" w:rsidRDefault="00313A7D" w:rsidP="00467486">
            <w:pPr>
              <w:rPr>
                <w:rFonts w:ascii="Arial" w:hAnsi="Arial" w:cs="Arial"/>
                <w:sz w:val="24"/>
              </w:rPr>
            </w:pPr>
            <w:r>
              <w:rPr>
                <w:rFonts w:ascii="Arial" w:hAnsi="Arial" w:cs="Arial"/>
                <w:sz w:val="24"/>
              </w:rPr>
              <w:t>20%</w:t>
            </w:r>
          </w:p>
        </w:tc>
        <w:tc>
          <w:tcPr>
            <w:tcW w:w="3081" w:type="dxa"/>
          </w:tcPr>
          <w:p w14:paraId="6B5AD48E" w14:textId="77777777" w:rsidR="00313A7D" w:rsidRPr="008B39AC" w:rsidRDefault="00313A7D" w:rsidP="00467486">
            <w:pPr>
              <w:rPr>
                <w:rFonts w:ascii="Arial" w:hAnsi="Arial" w:cs="Arial"/>
                <w:sz w:val="24"/>
              </w:rPr>
            </w:pPr>
            <w:r>
              <w:rPr>
                <w:rFonts w:ascii="Arial" w:hAnsi="Arial" w:cs="Arial"/>
                <w:sz w:val="24"/>
              </w:rPr>
              <w:t>25%</w:t>
            </w:r>
          </w:p>
        </w:tc>
      </w:tr>
    </w:tbl>
    <w:p w14:paraId="0F56F4A7" w14:textId="77777777" w:rsidR="003B75C8" w:rsidRDefault="00313A7D" w:rsidP="00313A7D">
      <w:pPr>
        <w:rPr>
          <w:rFonts w:ascii="Arial" w:hAnsi="Arial" w:cs="Arial"/>
          <w:i/>
          <w:sz w:val="24"/>
        </w:rPr>
      </w:pPr>
      <w:r w:rsidRPr="00313A7D">
        <w:rPr>
          <w:rFonts w:ascii="Arial" w:hAnsi="Arial" w:cs="Arial"/>
          <w:i/>
          <w:sz w:val="24"/>
        </w:rPr>
        <w:t>Source: NAPLAN national data collection, ACARA</w:t>
      </w:r>
    </w:p>
    <w:p w14:paraId="15F47227" w14:textId="77777777" w:rsidR="003B75C8" w:rsidRDefault="003B75C8" w:rsidP="00313A7D">
      <w:pPr>
        <w:rPr>
          <w:rFonts w:ascii="Arial" w:hAnsi="Arial" w:cs="Arial"/>
          <w:i/>
          <w:sz w:val="24"/>
        </w:rPr>
      </w:pPr>
    </w:p>
    <w:p w14:paraId="5DCC0095" w14:textId="77777777" w:rsidR="003B75C8" w:rsidRDefault="003B75C8" w:rsidP="00313A7D">
      <w:pPr>
        <w:rPr>
          <w:rFonts w:ascii="Arial" w:hAnsi="Arial" w:cs="Arial"/>
          <w:b/>
          <w:sz w:val="24"/>
        </w:rPr>
      </w:pPr>
      <w:r w:rsidRPr="003B75C8">
        <w:rPr>
          <w:rFonts w:ascii="Arial" w:hAnsi="Arial" w:cs="Arial"/>
          <w:b/>
          <w:sz w:val="24"/>
        </w:rPr>
        <w:t>Subject choice</w:t>
      </w:r>
    </w:p>
    <w:p w14:paraId="763F39BB" w14:textId="77777777" w:rsidR="00B17D81" w:rsidRPr="00E1133D" w:rsidRDefault="003B75C8" w:rsidP="003B75C8">
      <w:pPr>
        <w:rPr>
          <w:rFonts w:ascii="Arial" w:hAnsi="Arial" w:cs="Arial"/>
          <w:i/>
          <w:sz w:val="24"/>
        </w:rPr>
      </w:pPr>
      <w:r w:rsidRPr="00E1133D">
        <w:rPr>
          <w:rFonts w:ascii="Arial" w:hAnsi="Arial" w:cs="Arial"/>
          <w:i/>
          <w:sz w:val="24"/>
        </w:rPr>
        <w:t>Social norms and expectations can influence adolescents’ choices regarding future learning, including their choice of subjects.</w:t>
      </w:r>
    </w:p>
    <w:p w14:paraId="7296A075" w14:textId="77777777" w:rsidR="00B17D81" w:rsidRPr="00B17D81" w:rsidRDefault="00B17D81" w:rsidP="00B17D81">
      <w:pPr>
        <w:rPr>
          <w:rFonts w:ascii="Arial" w:hAnsi="Arial" w:cs="Arial"/>
          <w:sz w:val="24"/>
        </w:rPr>
      </w:pPr>
      <w:r w:rsidRPr="00B17D81">
        <w:rPr>
          <w:rFonts w:ascii="Arial" w:hAnsi="Arial" w:cs="Arial"/>
          <w:sz w:val="24"/>
        </w:rPr>
        <w:t>In 2018 female students were:</w:t>
      </w:r>
    </w:p>
    <w:p w14:paraId="1796AD81" w14:textId="77777777" w:rsidR="00B17D81" w:rsidRPr="00B17D81" w:rsidRDefault="00B17D81" w:rsidP="00B17D81">
      <w:pPr>
        <w:pStyle w:val="ListParagraph"/>
        <w:numPr>
          <w:ilvl w:val="0"/>
          <w:numId w:val="41"/>
        </w:numPr>
        <w:rPr>
          <w:rFonts w:ascii="Arial" w:hAnsi="Arial" w:cs="Arial"/>
          <w:sz w:val="24"/>
        </w:rPr>
      </w:pPr>
      <w:r w:rsidRPr="00B17D81">
        <w:rPr>
          <w:rFonts w:ascii="Arial" w:hAnsi="Arial" w:cs="Arial"/>
          <w:sz w:val="24"/>
        </w:rPr>
        <w:t>5.5 x more likely to study Dance</w:t>
      </w:r>
    </w:p>
    <w:p w14:paraId="0A8AF13A" w14:textId="77777777" w:rsidR="00B17D81" w:rsidRPr="00B17D81" w:rsidRDefault="00B17D81" w:rsidP="00B17D81">
      <w:pPr>
        <w:pStyle w:val="ListParagraph"/>
        <w:numPr>
          <w:ilvl w:val="0"/>
          <w:numId w:val="41"/>
        </w:numPr>
        <w:rPr>
          <w:rFonts w:ascii="Arial" w:hAnsi="Arial" w:cs="Arial"/>
          <w:sz w:val="24"/>
        </w:rPr>
      </w:pPr>
      <w:r w:rsidRPr="00B17D81">
        <w:rPr>
          <w:rFonts w:ascii="Arial" w:hAnsi="Arial" w:cs="Arial"/>
          <w:sz w:val="24"/>
        </w:rPr>
        <w:t>3.3 x more likely to study Sociology</w:t>
      </w:r>
    </w:p>
    <w:p w14:paraId="0F54FCDD" w14:textId="77777777" w:rsidR="00B17D81" w:rsidRPr="00B17D81" w:rsidRDefault="00B17D81" w:rsidP="00B17D81">
      <w:pPr>
        <w:pStyle w:val="ListParagraph"/>
        <w:numPr>
          <w:ilvl w:val="0"/>
          <w:numId w:val="41"/>
        </w:numPr>
        <w:rPr>
          <w:rFonts w:ascii="Arial" w:eastAsiaTheme="majorEastAsia" w:hAnsi="Arial" w:cs="Arial"/>
          <w:b/>
          <w:bCs/>
          <w:sz w:val="26"/>
          <w:szCs w:val="26"/>
        </w:rPr>
      </w:pPr>
      <w:r w:rsidRPr="00B17D81">
        <w:rPr>
          <w:rFonts w:ascii="Arial" w:hAnsi="Arial" w:cs="Arial"/>
          <w:sz w:val="24"/>
        </w:rPr>
        <w:t>2.7 x more likely to study Health &amp; Human Development and Literature</w:t>
      </w:r>
    </w:p>
    <w:p w14:paraId="4A756601" w14:textId="77777777" w:rsidR="0082536A" w:rsidRDefault="0082536A" w:rsidP="00B17D81">
      <w:pPr>
        <w:rPr>
          <w:rFonts w:ascii="Arial" w:hAnsi="Arial" w:cs="Arial"/>
          <w:sz w:val="24"/>
        </w:rPr>
      </w:pPr>
    </w:p>
    <w:p w14:paraId="14D7054A" w14:textId="77777777" w:rsidR="00B17D81" w:rsidRPr="00B17D81" w:rsidRDefault="00B17D81" w:rsidP="00B17D81">
      <w:pPr>
        <w:rPr>
          <w:rFonts w:ascii="Arial" w:hAnsi="Arial" w:cs="Arial"/>
          <w:sz w:val="24"/>
        </w:rPr>
      </w:pPr>
      <w:r w:rsidRPr="00B17D81">
        <w:rPr>
          <w:rFonts w:ascii="Arial" w:hAnsi="Arial" w:cs="Arial"/>
          <w:sz w:val="24"/>
        </w:rPr>
        <w:t>In 2018 male students were:</w:t>
      </w:r>
    </w:p>
    <w:p w14:paraId="17F2A1F4" w14:textId="77777777" w:rsidR="00B17D81" w:rsidRPr="00B17D81" w:rsidRDefault="00B17D81" w:rsidP="00B17D81">
      <w:pPr>
        <w:pStyle w:val="ListParagraph"/>
        <w:numPr>
          <w:ilvl w:val="0"/>
          <w:numId w:val="41"/>
        </w:numPr>
        <w:rPr>
          <w:rFonts w:ascii="Arial" w:hAnsi="Arial" w:cs="Arial"/>
          <w:sz w:val="24"/>
        </w:rPr>
      </w:pPr>
      <w:r w:rsidRPr="00B17D81">
        <w:rPr>
          <w:rFonts w:ascii="Arial" w:hAnsi="Arial" w:cs="Arial"/>
          <w:sz w:val="24"/>
        </w:rPr>
        <w:t>17 x more likely to study Systems Engineering</w:t>
      </w:r>
    </w:p>
    <w:p w14:paraId="523BDEB6" w14:textId="77777777" w:rsidR="00B17D81" w:rsidRPr="00B17D81" w:rsidRDefault="00B17D81" w:rsidP="00B17D81">
      <w:pPr>
        <w:pStyle w:val="ListParagraph"/>
        <w:numPr>
          <w:ilvl w:val="0"/>
          <w:numId w:val="41"/>
        </w:numPr>
        <w:rPr>
          <w:rFonts w:ascii="Arial" w:hAnsi="Arial" w:cs="Arial"/>
          <w:sz w:val="24"/>
        </w:rPr>
      </w:pPr>
      <w:r w:rsidRPr="00B17D81">
        <w:rPr>
          <w:rFonts w:ascii="Arial" w:hAnsi="Arial" w:cs="Arial"/>
          <w:sz w:val="24"/>
        </w:rPr>
        <w:t>3.5 x more likely to study Physics</w:t>
      </w:r>
    </w:p>
    <w:p w14:paraId="5DDBDA7C" w14:textId="77777777" w:rsidR="0082536A" w:rsidRDefault="00B17D81" w:rsidP="00B17D81">
      <w:pPr>
        <w:pStyle w:val="ListParagraph"/>
        <w:numPr>
          <w:ilvl w:val="0"/>
          <w:numId w:val="41"/>
        </w:numPr>
        <w:rPr>
          <w:rFonts w:ascii="Arial" w:hAnsi="Arial" w:cs="Arial"/>
          <w:sz w:val="24"/>
        </w:rPr>
      </w:pPr>
      <w:r w:rsidRPr="00B17D81">
        <w:rPr>
          <w:rFonts w:ascii="Arial" w:hAnsi="Arial" w:cs="Arial"/>
          <w:sz w:val="24"/>
        </w:rPr>
        <w:t>2.5 x more likely to study Product Design and Technology</w:t>
      </w:r>
    </w:p>
    <w:p w14:paraId="5659B63D" w14:textId="77777777" w:rsidR="00F0464C" w:rsidRDefault="0082536A" w:rsidP="0082536A">
      <w:pPr>
        <w:rPr>
          <w:rFonts w:ascii="Arial" w:hAnsi="Arial" w:cs="Arial"/>
          <w:i/>
          <w:sz w:val="24"/>
        </w:rPr>
      </w:pPr>
      <w:r w:rsidRPr="0082536A">
        <w:rPr>
          <w:rFonts w:ascii="Arial" w:hAnsi="Arial" w:cs="Arial"/>
          <w:i/>
          <w:sz w:val="24"/>
        </w:rPr>
        <w:t>Source: Victoria VCE enrolments 2018</w:t>
      </w:r>
    </w:p>
    <w:p w14:paraId="4AB13147" w14:textId="77777777" w:rsidR="0000636F" w:rsidRPr="0082536A" w:rsidRDefault="0000636F" w:rsidP="0082536A">
      <w:pPr>
        <w:rPr>
          <w:rFonts w:ascii="Arial" w:eastAsia="VIC Light" w:hAnsi="Arial" w:cs="Arial"/>
          <w:i/>
          <w:sz w:val="24"/>
        </w:rPr>
      </w:pPr>
      <w:r w:rsidRPr="0082536A">
        <w:rPr>
          <w:rFonts w:ascii="Arial" w:hAnsi="Arial" w:cs="Arial"/>
          <w:i/>
          <w:sz w:val="24"/>
        </w:rPr>
        <w:br w:type="page"/>
      </w:r>
    </w:p>
    <w:p w14:paraId="0ABC58F2" w14:textId="77777777" w:rsidR="00594B3D" w:rsidRPr="006C15BF" w:rsidRDefault="00594B3D" w:rsidP="00594B3D">
      <w:pPr>
        <w:pStyle w:val="Heading2"/>
        <w:rPr>
          <w:rFonts w:ascii="Arial" w:hAnsi="Arial" w:cs="Arial"/>
          <w:color w:val="auto"/>
        </w:rPr>
      </w:pPr>
      <w:bookmarkStart w:id="41" w:name="_Toc33527766"/>
      <w:r w:rsidRPr="006C15BF">
        <w:rPr>
          <w:rFonts w:ascii="Arial" w:hAnsi="Arial" w:cs="Arial"/>
          <w:color w:val="auto"/>
        </w:rPr>
        <w:lastRenderedPageBreak/>
        <w:t>INTRODUCTION</w:t>
      </w:r>
      <w:bookmarkEnd w:id="41"/>
    </w:p>
    <w:p w14:paraId="76AD01D2" w14:textId="77777777" w:rsidR="00594B3D" w:rsidRPr="00594B3D" w:rsidRDefault="00594B3D" w:rsidP="00594B3D">
      <w:pPr>
        <w:rPr>
          <w:rFonts w:ascii="Arial" w:hAnsi="Arial" w:cs="Arial"/>
          <w:sz w:val="24"/>
        </w:rPr>
      </w:pPr>
      <w:r w:rsidRPr="00594B3D">
        <w:rPr>
          <w:rFonts w:ascii="Arial" w:hAnsi="Arial" w:cs="Arial"/>
          <w:sz w:val="24"/>
        </w:rPr>
        <w:t>Young Victorians progress through the education system while navigating the developmental challenges of adolescence. These developmental changes can be associated with lower levels of wellbeing, engagement, and academic achievement. The increased autonomy of young people in adolescence is another factor—changing priorities, including increasing prioritisation of external interests and activities as well as attitudes to school and learning, can produce lower levels of engagement with school. Adolescence is also a pivotal period for development of self-identity in young people, with the expression of gender and sexual identity taking on greater significance.</w:t>
      </w:r>
    </w:p>
    <w:p w14:paraId="662BC12F" w14:textId="77777777" w:rsidR="00594B3D" w:rsidRPr="00594B3D" w:rsidRDefault="00594B3D" w:rsidP="00594B3D">
      <w:pPr>
        <w:rPr>
          <w:rFonts w:ascii="Arial" w:hAnsi="Arial" w:cs="Arial"/>
          <w:sz w:val="24"/>
        </w:rPr>
      </w:pPr>
      <w:r w:rsidRPr="00594B3D">
        <w:rPr>
          <w:rFonts w:ascii="Arial" w:hAnsi="Arial" w:cs="Arial"/>
          <w:sz w:val="24"/>
        </w:rPr>
        <w:t>The move from primary to secondary school is a key step in a young person’s educational journey and has the potential to be one of the most stressful. This involves adjusting to new challenges, particularly associated with shifts in the teaching and learning models between primary and secondary school. Secondary schooling is characterised by an increased requirement for students to manage and direct their own learning, a shift that is sometimes understood as the move from ‘learning to read’ to ‘reading to learn’ (Galton, Gray, &amp; Rudduck, 2003). In addition to an increase in autonomy, comes a substantial change in the typical physical and structural environment of secondary</w:t>
      </w:r>
      <w:r>
        <w:rPr>
          <w:rFonts w:ascii="Arial" w:hAnsi="Arial" w:cs="Arial"/>
          <w:sz w:val="24"/>
        </w:rPr>
        <w:t xml:space="preserve"> </w:t>
      </w:r>
      <w:r w:rsidRPr="00594B3D">
        <w:rPr>
          <w:rFonts w:ascii="Arial" w:hAnsi="Arial" w:cs="Arial"/>
          <w:sz w:val="24"/>
        </w:rPr>
        <w:t>school: multiple teachers and classes, as well as much larger and more complex cohorts and curricula. Students report feeling pressure or stress related to the movement into secondary school, particularly with increased workload and homework, and this stress has been associated with decreases in health and wellbeing and positive schooling experience, risking student burnout (Walburg, 2014).</w:t>
      </w:r>
    </w:p>
    <w:p w14:paraId="379F177E" w14:textId="77777777" w:rsidR="00594B3D" w:rsidRPr="00594B3D" w:rsidRDefault="00594B3D" w:rsidP="00594B3D">
      <w:pPr>
        <w:rPr>
          <w:rFonts w:ascii="Arial" w:hAnsi="Arial" w:cs="Arial"/>
          <w:sz w:val="24"/>
        </w:rPr>
      </w:pPr>
      <w:r w:rsidRPr="00594B3D">
        <w:rPr>
          <w:rFonts w:ascii="Arial" w:hAnsi="Arial" w:cs="Arial"/>
          <w:sz w:val="24"/>
        </w:rPr>
        <w:t>As students encounter more difficult educational content in secondary school, some become less optimistic about their abilities and progress, leading to disinterest in and reduced learning (Graham, Courtney, Tonkyn, &amp; Marinis, 2016). In Australia, lower secondary teachers (Years 7 to 10) are more likely to be teaching outside the area of their expertise</w:t>
      </w:r>
      <w:r>
        <w:rPr>
          <w:rFonts w:ascii="Arial" w:hAnsi="Arial" w:cs="Arial"/>
          <w:sz w:val="24"/>
        </w:rPr>
        <w:t xml:space="preserve"> th</w:t>
      </w:r>
      <w:r w:rsidRPr="00594B3D">
        <w:rPr>
          <w:rFonts w:ascii="Arial" w:hAnsi="Arial" w:cs="Arial"/>
          <w:sz w:val="24"/>
        </w:rPr>
        <w:t>an those teaching Years 11 and 12 (26 per cent, compared to 15 per cent), and are more likely to have five years or less of total teaching experience (Weldon, 2016). Thus, the increased likelihood of having a teacher with less experience and no subject-specific qualifications can also play a role in students’ learning progress on transitioning to secondary school. Around one in seven Victorian Year 7 students</w:t>
      </w:r>
      <w:r>
        <w:rPr>
          <w:rFonts w:ascii="Arial" w:hAnsi="Arial" w:cs="Arial"/>
          <w:sz w:val="24"/>
        </w:rPr>
        <w:t xml:space="preserve"> </w:t>
      </w:r>
      <w:r w:rsidRPr="00594B3D">
        <w:rPr>
          <w:rFonts w:ascii="Arial" w:hAnsi="Arial" w:cs="Arial"/>
          <w:sz w:val="24"/>
        </w:rPr>
        <w:t>report having difficulty transitioning to secondary school, particularly in relation to their academic studies, peer relationships, teacher interaction or changes in routine (Murdoch Children’s Research Institute, 2018).</w:t>
      </w:r>
    </w:p>
    <w:p w14:paraId="6D551A6E" w14:textId="77777777" w:rsidR="00594B3D" w:rsidRPr="00594B3D" w:rsidRDefault="00594B3D" w:rsidP="00594B3D">
      <w:pPr>
        <w:rPr>
          <w:highlight w:val="yellow"/>
        </w:rPr>
      </w:pPr>
      <w:r w:rsidRPr="00594B3D">
        <w:rPr>
          <w:rFonts w:ascii="Arial" w:hAnsi="Arial" w:cs="Arial"/>
          <w:sz w:val="24"/>
        </w:rPr>
        <w:t>How a young person transitions and settles into secondary school therefore, sets the scene for the rest of their school life, including their attitudes, engagement and achievement. This time of emotional and physical change is a crucial point in the lives of adolescents, requiring strong social and educational support systems to ensure every young person has the opportunity to fulfil their potential and thrive.</w:t>
      </w:r>
    </w:p>
    <w:p w14:paraId="74E3F01C" w14:textId="77777777" w:rsidR="000C56DC" w:rsidRPr="00F61E69" w:rsidRDefault="000C56DC" w:rsidP="00F61E69">
      <w:pPr>
        <w:pStyle w:val="Heading3"/>
        <w:rPr>
          <w:rFonts w:ascii="Arial" w:hAnsi="Arial" w:cs="Arial"/>
          <w:color w:val="auto"/>
          <w:sz w:val="24"/>
        </w:rPr>
      </w:pPr>
      <w:bookmarkStart w:id="42" w:name="_Toc33527767"/>
      <w:r w:rsidRPr="00F61E69">
        <w:rPr>
          <w:rFonts w:ascii="Arial" w:hAnsi="Arial" w:cs="Arial"/>
          <w:color w:val="auto"/>
          <w:sz w:val="24"/>
        </w:rPr>
        <w:lastRenderedPageBreak/>
        <w:t>4.1</w:t>
      </w:r>
      <w:r w:rsidRPr="00F61E69">
        <w:rPr>
          <w:rFonts w:ascii="Arial" w:hAnsi="Arial" w:cs="Arial"/>
          <w:color w:val="auto"/>
          <w:sz w:val="24"/>
        </w:rPr>
        <w:tab/>
        <w:t>Most Victorian schools implement transition programs, yet transition to secondary school remains a challenge for many students</w:t>
      </w:r>
      <w:bookmarkEnd w:id="42"/>
    </w:p>
    <w:p w14:paraId="677F4FA4" w14:textId="77777777" w:rsidR="000C56DC" w:rsidRPr="000C56DC" w:rsidRDefault="000C56DC" w:rsidP="000C56DC">
      <w:pPr>
        <w:rPr>
          <w:rFonts w:ascii="Arial" w:hAnsi="Arial" w:cs="Arial"/>
          <w:sz w:val="24"/>
        </w:rPr>
      </w:pPr>
      <w:r w:rsidRPr="000C56DC">
        <w:rPr>
          <w:rFonts w:ascii="Arial" w:hAnsi="Arial" w:cs="Arial"/>
          <w:sz w:val="24"/>
        </w:rPr>
        <w:t>The transition to secondary school can be a difficult time for some adolescents, however Victorian DET data from the AtoSS indicates that the majority of government school students in Year 7 are positive about their transition to secondary school</w:t>
      </w:r>
      <w:r>
        <w:rPr>
          <w:rFonts w:ascii="Arial" w:hAnsi="Arial" w:cs="Arial"/>
          <w:sz w:val="24"/>
        </w:rPr>
        <w:t xml:space="preserve"> </w:t>
      </w:r>
      <w:r w:rsidRPr="000C56DC">
        <w:rPr>
          <w:rFonts w:ascii="Arial" w:hAnsi="Arial" w:cs="Arial"/>
          <w:sz w:val="24"/>
        </w:rPr>
        <w:t>(71 per cent positive responses in 2018). The transition from Year 6 to 7, however, can also be associated with student disengagement, a rise in absenteeism, a reduction in student connection to school and decline in academic outcomes for Victorian students. These results highlight the number of challenges students can experience during school transition and the increase in distress and lowering of functioning which may arise. Effective transition programs can potentially go some way to reducing these negative outcomes.</w:t>
      </w:r>
    </w:p>
    <w:p w14:paraId="1A1F2EF5" w14:textId="77777777" w:rsidR="00114FCD" w:rsidRDefault="000C56DC" w:rsidP="000C56DC">
      <w:pPr>
        <w:rPr>
          <w:rFonts w:ascii="Arial" w:hAnsi="Arial" w:cs="Arial"/>
          <w:sz w:val="24"/>
        </w:rPr>
      </w:pPr>
      <w:r w:rsidRPr="000C56DC">
        <w:rPr>
          <w:rFonts w:ascii="Arial" w:hAnsi="Arial" w:cs="Arial"/>
          <w:sz w:val="24"/>
        </w:rPr>
        <w:t>In 2018, the most common transition activities implemented in Victorian government schools were information sessions, family interviews, reciprocal visits, transition supports for students at risk of disengagement and the use of a transition coordinator. However, only reciprocal visits for students and/or teachers were found to have a significant association with student attitudes to school, providing an indication of what is useful for students in their adolescent years (DET, linked AtoSS and Victorian government school administrative data, 2018).</w:t>
      </w:r>
    </w:p>
    <w:p w14:paraId="39592174" w14:textId="77777777" w:rsidR="00114FCD" w:rsidRDefault="00114FCD" w:rsidP="00114FCD">
      <w:pPr>
        <w:rPr>
          <w:rFonts w:ascii="Arial" w:hAnsi="Arial" w:cs="Arial"/>
          <w:b/>
          <w:sz w:val="24"/>
        </w:rPr>
      </w:pPr>
      <w:r w:rsidRPr="00E96700">
        <w:rPr>
          <w:rFonts w:ascii="Arial" w:hAnsi="Arial" w:cs="Arial"/>
          <w:b/>
          <w:sz w:val="24"/>
        </w:rPr>
        <w:t>Figure 31. Top five transition activities, Secondary &amp; combined Primary-Secondary Schools, 2018</w:t>
      </w:r>
    </w:p>
    <w:tbl>
      <w:tblPr>
        <w:tblStyle w:val="TableGrid"/>
        <w:tblW w:w="5000" w:type="pct"/>
        <w:tblLook w:val="04A0" w:firstRow="1" w:lastRow="0" w:firstColumn="1" w:lastColumn="0" w:noHBand="0" w:noVBand="1"/>
        <w:tblDescription w:val="This table provides information on the top five transition activities, Secondary &amp; combined Primary-Secondary Schools, 2018"/>
      </w:tblPr>
      <w:tblGrid>
        <w:gridCol w:w="6881"/>
        <w:gridCol w:w="2135"/>
      </w:tblGrid>
      <w:tr w:rsidR="0083481D" w:rsidRPr="00054426" w14:paraId="4A8C08A3" w14:textId="77777777" w:rsidTr="00644326">
        <w:trPr>
          <w:tblHeader/>
        </w:trPr>
        <w:tc>
          <w:tcPr>
            <w:tcW w:w="3816" w:type="pct"/>
          </w:tcPr>
          <w:p w14:paraId="2B653EAD" w14:textId="77777777" w:rsidR="0083481D" w:rsidRDefault="006C15BF" w:rsidP="0012306D">
            <w:pPr>
              <w:rPr>
                <w:rFonts w:ascii="Arial" w:hAnsi="Arial" w:cs="Arial"/>
                <w:sz w:val="24"/>
              </w:rPr>
            </w:pPr>
            <w:r>
              <w:rPr>
                <w:rFonts w:ascii="Arial" w:hAnsi="Arial" w:cs="Arial"/>
                <w:sz w:val="24"/>
              </w:rPr>
              <w:t>Transition activity</w:t>
            </w:r>
          </w:p>
        </w:tc>
        <w:tc>
          <w:tcPr>
            <w:tcW w:w="1184" w:type="pct"/>
          </w:tcPr>
          <w:p w14:paraId="66223D06" w14:textId="77777777" w:rsidR="0083481D" w:rsidRPr="00054426" w:rsidRDefault="006C15BF" w:rsidP="0012306D">
            <w:pPr>
              <w:rPr>
                <w:rFonts w:ascii="Arial" w:hAnsi="Arial" w:cs="Arial"/>
                <w:sz w:val="24"/>
              </w:rPr>
            </w:pPr>
            <w:r>
              <w:rPr>
                <w:rFonts w:ascii="Arial" w:hAnsi="Arial" w:cs="Arial"/>
                <w:sz w:val="24"/>
              </w:rPr>
              <w:t>% of schools participating</w:t>
            </w:r>
          </w:p>
        </w:tc>
      </w:tr>
      <w:tr w:rsidR="0083481D" w14:paraId="53DFE657" w14:textId="77777777" w:rsidTr="00644326">
        <w:tc>
          <w:tcPr>
            <w:tcW w:w="3816" w:type="pct"/>
          </w:tcPr>
          <w:p w14:paraId="79343FE9" w14:textId="77777777" w:rsidR="0083481D" w:rsidRDefault="006C15BF" w:rsidP="0012306D">
            <w:pPr>
              <w:rPr>
                <w:rFonts w:ascii="Arial" w:hAnsi="Arial" w:cs="Arial"/>
                <w:sz w:val="24"/>
              </w:rPr>
            </w:pPr>
            <w:r>
              <w:rPr>
                <w:rFonts w:ascii="Arial" w:hAnsi="Arial" w:cs="Arial"/>
                <w:sz w:val="24"/>
              </w:rPr>
              <w:t xml:space="preserve">Information sessions at school for families or carers </w:t>
            </w:r>
          </w:p>
        </w:tc>
        <w:tc>
          <w:tcPr>
            <w:tcW w:w="1184" w:type="pct"/>
          </w:tcPr>
          <w:p w14:paraId="6484C0A8" w14:textId="77777777" w:rsidR="0083481D" w:rsidRDefault="006C15BF" w:rsidP="0012306D">
            <w:pPr>
              <w:rPr>
                <w:rFonts w:ascii="Arial" w:hAnsi="Arial" w:cs="Arial"/>
                <w:sz w:val="24"/>
              </w:rPr>
            </w:pPr>
            <w:r>
              <w:rPr>
                <w:rFonts w:ascii="Arial" w:hAnsi="Arial" w:cs="Arial"/>
                <w:sz w:val="24"/>
              </w:rPr>
              <w:t>97%</w:t>
            </w:r>
          </w:p>
        </w:tc>
      </w:tr>
      <w:tr w:rsidR="0083481D" w14:paraId="13EAEB1F" w14:textId="77777777" w:rsidTr="00644326">
        <w:tc>
          <w:tcPr>
            <w:tcW w:w="3816" w:type="pct"/>
          </w:tcPr>
          <w:p w14:paraId="4F94745E" w14:textId="77777777" w:rsidR="0083481D" w:rsidRDefault="006C15BF" w:rsidP="0012306D">
            <w:pPr>
              <w:rPr>
                <w:rFonts w:ascii="Arial" w:hAnsi="Arial" w:cs="Arial"/>
                <w:sz w:val="24"/>
              </w:rPr>
            </w:pPr>
            <w:r>
              <w:rPr>
                <w:rFonts w:ascii="Arial" w:hAnsi="Arial" w:cs="Arial"/>
                <w:sz w:val="24"/>
              </w:rPr>
              <w:t>One on one family interview on request</w:t>
            </w:r>
          </w:p>
        </w:tc>
        <w:tc>
          <w:tcPr>
            <w:tcW w:w="1184" w:type="pct"/>
          </w:tcPr>
          <w:p w14:paraId="0D410F0C" w14:textId="77777777" w:rsidR="0083481D" w:rsidRDefault="006C15BF" w:rsidP="0012306D">
            <w:pPr>
              <w:rPr>
                <w:rFonts w:ascii="Arial" w:hAnsi="Arial" w:cs="Arial"/>
                <w:sz w:val="24"/>
              </w:rPr>
            </w:pPr>
            <w:r>
              <w:rPr>
                <w:rFonts w:ascii="Arial" w:hAnsi="Arial" w:cs="Arial"/>
                <w:sz w:val="24"/>
              </w:rPr>
              <w:t>89%</w:t>
            </w:r>
          </w:p>
        </w:tc>
      </w:tr>
      <w:tr w:rsidR="0083481D" w14:paraId="2228E4E6" w14:textId="77777777" w:rsidTr="00644326">
        <w:tc>
          <w:tcPr>
            <w:tcW w:w="3816" w:type="pct"/>
          </w:tcPr>
          <w:p w14:paraId="364ABABC" w14:textId="77777777" w:rsidR="0083481D" w:rsidRDefault="006C15BF" w:rsidP="0012306D">
            <w:pPr>
              <w:rPr>
                <w:rFonts w:ascii="Arial" w:hAnsi="Arial" w:cs="Arial"/>
                <w:sz w:val="24"/>
              </w:rPr>
            </w:pPr>
            <w:r>
              <w:rPr>
                <w:rFonts w:ascii="Arial" w:hAnsi="Arial" w:cs="Arial"/>
                <w:sz w:val="24"/>
              </w:rPr>
              <w:t>Reciprocal visits for students and/or teachers</w:t>
            </w:r>
          </w:p>
        </w:tc>
        <w:tc>
          <w:tcPr>
            <w:tcW w:w="1184" w:type="pct"/>
          </w:tcPr>
          <w:p w14:paraId="6BEA9A28" w14:textId="77777777" w:rsidR="0083481D" w:rsidRDefault="006C15BF" w:rsidP="0012306D">
            <w:pPr>
              <w:rPr>
                <w:rFonts w:ascii="Arial" w:hAnsi="Arial" w:cs="Arial"/>
                <w:sz w:val="24"/>
              </w:rPr>
            </w:pPr>
            <w:r>
              <w:rPr>
                <w:rFonts w:ascii="Arial" w:hAnsi="Arial" w:cs="Arial"/>
                <w:sz w:val="24"/>
              </w:rPr>
              <w:t>85%</w:t>
            </w:r>
          </w:p>
        </w:tc>
      </w:tr>
      <w:tr w:rsidR="0083481D" w14:paraId="1D2DB921" w14:textId="77777777" w:rsidTr="00644326">
        <w:tc>
          <w:tcPr>
            <w:tcW w:w="3816" w:type="pct"/>
          </w:tcPr>
          <w:p w14:paraId="15E2027B" w14:textId="77777777" w:rsidR="0083481D" w:rsidRDefault="006C15BF" w:rsidP="0012306D">
            <w:pPr>
              <w:rPr>
                <w:rFonts w:ascii="Arial" w:hAnsi="Arial" w:cs="Arial"/>
                <w:sz w:val="24"/>
              </w:rPr>
            </w:pPr>
            <w:r>
              <w:rPr>
                <w:rFonts w:ascii="Arial" w:hAnsi="Arial" w:cs="Arial"/>
                <w:sz w:val="24"/>
              </w:rPr>
              <w:t>Identified transition supports for students at risk</w:t>
            </w:r>
          </w:p>
        </w:tc>
        <w:tc>
          <w:tcPr>
            <w:tcW w:w="1184" w:type="pct"/>
          </w:tcPr>
          <w:p w14:paraId="1A85E1A2" w14:textId="77777777" w:rsidR="0083481D" w:rsidRDefault="006C15BF" w:rsidP="0012306D">
            <w:pPr>
              <w:rPr>
                <w:rFonts w:ascii="Arial" w:hAnsi="Arial" w:cs="Arial"/>
                <w:sz w:val="24"/>
              </w:rPr>
            </w:pPr>
            <w:r>
              <w:rPr>
                <w:rFonts w:ascii="Arial" w:hAnsi="Arial" w:cs="Arial"/>
                <w:sz w:val="24"/>
              </w:rPr>
              <w:t>92%</w:t>
            </w:r>
          </w:p>
        </w:tc>
      </w:tr>
      <w:tr w:rsidR="0083481D" w14:paraId="78AEF52E" w14:textId="77777777" w:rsidTr="00644326">
        <w:tc>
          <w:tcPr>
            <w:tcW w:w="3816" w:type="pct"/>
          </w:tcPr>
          <w:p w14:paraId="7E23E015" w14:textId="77777777" w:rsidR="0083481D" w:rsidRDefault="006C15BF" w:rsidP="0012306D">
            <w:pPr>
              <w:rPr>
                <w:rFonts w:ascii="Arial" w:hAnsi="Arial" w:cs="Arial"/>
                <w:sz w:val="24"/>
              </w:rPr>
            </w:pPr>
            <w:r>
              <w:rPr>
                <w:rFonts w:ascii="Arial" w:hAnsi="Arial" w:cs="Arial"/>
                <w:sz w:val="24"/>
              </w:rPr>
              <w:t>Use of a transition coordinator to manage the transition process</w:t>
            </w:r>
          </w:p>
        </w:tc>
        <w:tc>
          <w:tcPr>
            <w:tcW w:w="1184" w:type="pct"/>
          </w:tcPr>
          <w:p w14:paraId="41586F34" w14:textId="77777777" w:rsidR="0083481D" w:rsidRDefault="006C15BF" w:rsidP="0012306D">
            <w:pPr>
              <w:rPr>
                <w:rFonts w:ascii="Arial" w:hAnsi="Arial" w:cs="Arial"/>
                <w:sz w:val="24"/>
              </w:rPr>
            </w:pPr>
            <w:r>
              <w:rPr>
                <w:rFonts w:ascii="Arial" w:hAnsi="Arial" w:cs="Arial"/>
                <w:sz w:val="24"/>
              </w:rPr>
              <w:t>88%</w:t>
            </w:r>
          </w:p>
        </w:tc>
      </w:tr>
    </w:tbl>
    <w:p w14:paraId="6B00D700" w14:textId="77777777" w:rsidR="00114FCD" w:rsidRDefault="0092229D" w:rsidP="00114FCD">
      <w:pPr>
        <w:rPr>
          <w:rFonts w:ascii="Arial" w:hAnsi="Arial" w:cs="Arial"/>
          <w:i/>
          <w:sz w:val="24"/>
        </w:rPr>
      </w:pPr>
      <w:r w:rsidRPr="0092229D">
        <w:rPr>
          <w:rFonts w:ascii="Arial" w:hAnsi="Arial" w:cs="Arial"/>
          <w:i/>
          <w:sz w:val="24"/>
        </w:rPr>
        <w:t>Source: Victorian government school administrative data, 2018, DET</w:t>
      </w:r>
    </w:p>
    <w:p w14:paraId="6620836E" w14:textId="77777777" w:rsidR="00D241C3" w:rsidRPr="00F61E69" w:rsidRDefault="00D241C3" w:rsidP="00F61E69">
      <w:pPr>
        <w:pStyle w:val="Heading3"/>
        <w:rPr>
          <w:rFonts w:ascii="Arial" w:hAnsi="Arial" w:cs="Arial"/>
          <w:color w:val="auto"/>
          <w:sz w:val="24"/>
        </w:rPr>
      </w:pPr>
      <w:bookmarkStart w:id="43" w:name="_Toc33527768"/>
      <w:r w:rsidRPr="00F61E69">
        <w:rPr>
          <w:rFonts w:ascii="Arial" w:hAnsi="Arial" w:cs="Arial"/>
          <w:color w:val="auto"/>
          <w:sz w:val="24"/>
        </w:rPr>
        <w:t>4.2</w:t>
      </w:r>
      <w:r w:rsidRPr="00F61E69">
        <w:rPr>
          <w:rFonts w:ascii="Arial" w:hAnsi="Arial" w:cs="Arial"/>
          <w:color w:val="auto"/>
          <w:sz w:val="24"/>
        </w:rPr>
        <w:tab/>
        <w:t>Student attitudes to school become less positive on entry to secondary school, and never fully recover</w:t>
      </w:r>
      <w:bookmarkEnd w:id="43"/>
    </w:p>
    <w:p w14:paraId="085F10B2" w14:textId="77777777" w:rsidR="00D241C3" w:rsidRPr="00D241C3" w:rsidRDefault="00D241C3" w:rsidP="00D241C3">
      <w:pPr>
        <w:rPr>
          <w:rFonts w:ascii="Arial" w:hAnsi="Arial" w:cs="Arial"/>
          <w:sz w:val="24"/>
        </w:rPr>
      </w:pPr>
      <w:r w:rsidRPr="00D241C3">
        <w:rPr>
          <w:rFonts w:ascii="Arial" w:hAnsi="Arial" w:cs="Arial"/>
          <w:sz w:val="24"/>
        </w:rPr>
        <w:t>Students’ attitudes to their school provide a general indication of engagement and satisfaction levels, which can be used to identify where most difficulties lie for adolescents. Research suggests that in secondary school, student-teacher</w:t>
      </w:r>
      <w:r>
        <w:rPr>
          <w:rFonts w:ascii="Arial" w:hAnsi="Arial" w:cs="Arial"/>
          <w:sz w:val="24"/>
        </w:rPr>
        <w:t xml:space="preserve"> </w:t>
      </w:r>
      <w:r w:rsidRPr="00D241C3">
        <w:rPr>
          <w:rFonts w:ascii="Arial" w:hAnsi="Arial" w:cs="Arial"/>
          <w:sz w:val="24"/>
        </w:rPr>
        <w:t>relationships can become depersonalised and less nurturing (Hung, 2014; Ferguson &amp; Fraser, 1998), with consequences for academic achievement.</w:t>
      </w:r>
    </w:p>
    <w:p w14:paraId="42102833" w14:textId="77777777" w:rsidR="00D241C3" w:rsidRPr="00D241C3" w:rsidRDefault="00D241C3" w:rsidP="00D241C3">
      <w:pPr>
        <w:rPr>
          <w:rFonts w:ascii="Arial" w:hAnsi="Arial" w:cs="Arial"/>
          <w:sz w:val="24"/>
        </w:rPr>
      </w:pPr>
      <w:r w:rsidRPr="00D241C3">
        <w:rPr>
          <w:rFonts w:ascii="Arial" w:hAnsi="Arial" w:cs="Arial"/>
          <w:sz w:val="24"/>
        </w:rPr>
        <w:t xml:space="preserve">In Victoria, despite small improvements in Year 7 to 9 students’ attitudes to their school, secondary school students remain consistently less positive than primary school students. There is a sharp drop in overall student perceptions of school </w:t>
      </w:r>
      <w:r w:rsidRPr="00D241C3">
        <w:rPr>
          <w:rFonts w:ascii="Arial" w:hAnsi="Arial" w:cs="Arial"/>
          <w:sz w:val="24"/>
        </w:rPr>
        <w:lastRenderedPageBreak/>
        <w:t>between Year 6 and Year 7, with attitudes never returning to primary school levels of positivity.</w:t>
      </w:r>
    </w:p>
    <w:p w14:paraId="00E2F476" w14:textId="77777777" w:rsidR="00D241C3" w:rsidRPr="00D241C3" w:rsidRDefault="00D241C3" w:rsidP="00D241C3">
      <w:pPr>
        <w:rPr>
          <w:rFonts w:ascii="Arial" w:hAnsi="Arial" w:cs="Arial"/>
          <w:sz w:val="24"/>
        </w:rPr>
      </w:pPr>
      <w:r w:rsidRPr="00D241C3">
        <w:rPr>
          <w:rFonts w:ascii="Arial" w:hAnsi="Arial" w:cs="Arial"/>
          <w:sz w:val="24"/>
        </w:rPr>
        <w:t>The attitudes of Victorian government school students in 2018 indicate secondary school students are much less positive about the extent to which their teachers show concern for their wellbeing compared to other elements of teacher-student relations.</w:t>
      </w:r>
      <w:r w:rsidR="000F0B51">
        <w:rPr>
          <w:rFonts w:ascii="Arial" w:hAnsi="Arial" w:cs="Arial"/>
          <w:sz w:val="24"/>
        </w:rPr>
        <w:t xml:space="preserve"> </w:t>
      </w:r>
      <w:r w:rsidRPr="00D241C3">
        <w:rPr>
          <w:rFonts w:ascii="Arial" w:hAnsi="Arial" w:cs="Arial"/>
          <w:sz w:val="24"/>
        </w:rPr>
        <w:t>Student attitudes toward teacher concern drop substantially during the transition to secondary school, from 73 per cent positive endorsement in Year 6, to 48 per cent positive endorsement in Year 7.</w:t>
      </w:r>
    </w:p>
    <w:p w14:paraId="1DC914BB" w14:textId="77777777" w:rsidR="00115DCA" w:rsidRDefault="00D241C3" w:rsidP="00D241C3">
      <w:pPr>
        <w:rPr>
          <w:rFonts w:ascii="Arial" w:hAnsi="Arial" w:cs="Arial"/>
          <w:sz w:val="24"/>
        </w:rPr>
      </w:pPr>
      <w:r w:rsidRPr="00D241C3">
        <w:rPr>
          <w:rFonts w:ascii="Arial" w:hAnsi="Arial" w:cs="Arial"/>
          <w:sz w:val="24"/>
        </w:rPr>
        <w:t>In addition, students need to be challenged and supported at the appropriate level to remain engaged at school. Students’ belief that their teachers understand how they learn and give them work appropriate to their ability drops on entry to secondary school and decreases until Year 9.</w:t>
      </w:r>
    </w:p>
    <w:p w14:paraId="4AD0F67A" w14:textId="77777777" w:rsidR="00A035FE" w:rsidRPr="00A035FE" w:rsidRDefault="00A035FE" w:rsidP="00A035FE">
      <w:pPr>
        <w:rPr>
          <w:rFonts w:ascii="Arial" w:hAnsi="Arial" w:cs="Arial"/>
          <w:sz w:val="24"/>
        </w:rPr>
      </w:pPr>
      <w:r w:rsidRPr="00A035FE">
        <w:rPr>
          <w:rFonts w:ascii="Arial" w:hAnsi="Arial" w:cs="Arial"/>
          <w:sz w:val="24"/>
        </w:rPr>
        <w:t>Students’ sense of connectedness to their school also decreases following the transition to secondary school, with students in Year 7 less positive than those in Year 6. Sense of connectedness continues to drop throughout secondary school, reaching the lowest point in Year 9, when only one in two students feels a sense of connectedness. Wellbeing and learning outcomes are optimised for young people when they feel connected to others and experience safe and trusting relationships.</w:t>
      </w:r>
    </w:p>
    <w:p w14:paraId="4D8C7E6F" w14:textId="77777777" w:rsidR="00A035FE" w:rsidRPr="00A035FE" w:rsidRDefault="00A035FE" w:rsidP="00A035FE">
      <w:pPr>
        <w:rPr>
          <w:rFonts w:ascii="Arial" w:hAnsi="Arial" w:cs="Arial"/>
          <w:sz w:val="24"/>
        </w:rPr>
      </w:pPr>
      <w:r w:rsidRPr="00A035FE">
        <w:rPr>
          <w:rFonts w:ascii="Arial" w:hAnsi="Arial" w:cs="Arial"/>
          <w:sz w:val="24"/>
        </w:rPr>
        <w:t>Students who feel connected, safe and secure are more likely to be active participants in their learning and to achieve better physical, emotional, social and educational outcomes (Education Services Australia, 2019).</w:t>
      </w:r>
    </w:p>
    <w:p w14:paraId="21DB598B" w14:textId="77777777" w:rsidR="000F0B51" w:rsidRPr="00A035FE" w:rsidRDefault="00A035FE" w:rsidP="00A035FE">
      <w:pPr>
        <w:rPr>
          <w:rFonts w:ascii="Arial" w:hAnsi="Arial" w:cs="Arial"/>
          <w:sz w:val="24"/>
        </w:rPr>
      </w:pPr>
      <w:r w:rsidRPr="00A035FE">
        <w:rPr>
          <w:rFonts w:ascii="Arial" w:hAnsi="Arial" w:cs="Arial"/>
          <w:sz w:val="24"/>
        </w:rPr>
        <w:t>In Victorian schools, student voice and agency declines almost as much as teacher concern on the transition to Year 7 and falls to its lowest point in Year 9.</w:t>
      </w:r>
    </w:p>
    <w:p w14:paraId="7706EE94" w14:textId="77777777" w:rsidR="00594B3D" w:rsidRPr="00D436A8" w:rsidRDefault="00A218AE" w:rsidP="000C56DC">
      <w:pPr>
        <w:rPr>
          <w:rFonts w:ascii="Arial" w:hAnsi="Arial" w:cs="Arial"/>
          <w:b/>
          <w:sz w:val="24"/>
        </w:rPr>
      </w:pPr>
      <w:r w:rsidRPr="00D436A8">
        <w:rPr>
          <w:rFonts w:ascii="Arial" w:hAnsi="Arial" w:cs="Arial"/>
          <w:b/>
          <w:sz w:val="24"/>
        </w:rPr>
        <w:t>Figure 32. Victorian government school student responses to AtoSS factors (per cent positive responses), 2018</w:t>
      </w:r>
    </w:p>
    <w:tbl>
      <w:tblPr>
        <w:tblStyle w:val="TableGrid"/>
        <w:tblW w:w="5000" w:type="pct"/>
        <w:tblLook w:val="04A0" w:firstRow="1" w:lastRow="0" w:firstColumn="1" w:lastColumn="0" w:noHBand="0" w:noVBand="1"/>
        <w:tblDescription w:val="This table provides information on Victorian government school student responses (Years 4 to 12) to selected AtoSS factors (per cent positive responses), 2018"/>
      </w:tblPr>
      <w:tblGrid>
        <w:gridCol w:w="1831"/>
        <w:gridCol w:w="1026"/>
        <w:gridCol w:w="1026"/>
        <w:gridCol w:w="1026"/>
        <w:gridCol w:w="1026"/>
        <w:gridCol w:w="1027"/>
        <w:gridCol w:w="1027"/>
        <w:gridCol w:w="1027"/>
      </w:tblGrid>
      <w:tr w:rsidR="000F0B51" w:rsidRPr="00054426" w14:paraId="2E39DCCB" w14:textId="77777777" w:rsidTr="000F0B51">
        <w:trPr>
          <w:tblHeader/>
        </w:trPr>
        <w:tc>
          <w:tcPr>
            <w:tcW w:w="625" w:type="pct"/>
          </w:tcPr>
          <w:p w14:paraId="5FFB8FBC" w14:textId="77777777" w:rsidR="000F0B51" w:rsidRDefault="000F0B51" w:rsidP="00962223">
            <w:pPr>
              <w:rPr>
                <w:rFonts w:ascii="Arial" w:hAnsi="Arial" w:cs="Arial"/>
                <w:sz w:val="24"/>
              </w:rPr>
            </w:pPr>
          </w:p>
        </w:tc>
        <w:tc>
          <w:tcPr>
            <w:tcW w:w="625" w:type="pct"/>
          </w:tcPr>
          <w:p w14:paraId="50C615C2" w14:textId="77777777" w:rsidR="000F0B51" w:rsidRPr="00054426" w:rsidRDefault="000F0B51" w:rsidP="00962223">
            <w:pPr>
              <w:rPr>
                <w:rFonts w:ascii="Arial" w:hAnsi="Arial" w:cs="Arial"/>
                <w:sz w:val="24"/>
              </w:rPr>
            </w:pPr>
            <w:r>
              <w:rPr>
                <w:rFonts w:ascii="Arial" w:hAnsi="Arial" w:cs="Arial"/>
                <w:sz w:val="24"/>
              </w:rPr>
              <w:t>Year 6</w:t>
            </w:r>
          </w:p>
        </w:tc>
        <w:tc>
          <w:tcPr>
            <w:tcW w:w="625" w:type="pct"/>
          </w:tcPr>
          <w:p w14:paraId="5A3D93FC" w14:textId="77777777" w:rsidR="000F0B51" w:rsidRDefault="000F0B51" w:rsidP="00962223">
            <w:pPr>
              <w:rPr>
                <w:rFonts w:ascii="Arial" w:hAnsi="Arial" w:cs="Arial"/>
                <w:sz w:val="24"/>
              </w:rPr>
            </w:pPr>
            <w:r>
              <w:rPr>
                <w:rFonts w:ascii="Arial" w:hAnsi="Arial" w:cs="Arial"/>
                <w:sz w:val="24"/>
              </w:rPr>
              <w:t>Year 7</w:t>
            </w:r>
          </w:p>
        </w:tc>
        <w:tc>
          <w:tcPr>
            <w:tcW w:w="625" w:type="pct"/>
          </w:tcPr>
          <w:p w14:paraId="07630297" w14:textId="77777777" w:rsidR="000F0B51" w:rsidRPr="00054426" w:rsidRDefault="000F0B51" w:rsidP="00962223">
            <w:pPr>
              <w:rPr>
                <w:rFonts w:ascii="Arial" w:hAnsi="Arial" w:cs="Arial"/>
                <w:sz w:val="24"/>
              </w:rPr>
            </w:pPr>
            <w:r>
              <w:rPr>
                <w:rFonts w:ascii="Arial" w:hAnsi="Arial" w:cs="Arial"/>
                <w:sz w:val="24"/>
              </w:rPr>
              <w:t>Year 8</w:t>
            </w:r>
          </w:p>
        </w:tc>
        <w:tc>
          <w:tcPr>
            <w:tcW w:w="625" w:type="pct"/>
          </w:tcPr>
          <w:p w14:paraId="7C671EBD" w14:textId="77777777" w:rsidR="000F0B51" w:rsidRDefault="000F0B51" w:rsidP="00962223">
            <w:pPr>
              <w:rPr>
                <w:rFonts w:ascii="Arial" w:hAnsi="Arial" w:cs="Arial"/>
                <w:sz w:val="24"/>
              </w:rPr>
            </w:pPr>
            <w:r>
              <w:rPr>
                <w:rFonts w:ascii="Arial" w:hAnsi="Arial" w:cs="Arial"/>
                <w:sz w:val="24"/>
              </w:rPr>
              <w:t>Year 9</w:t>
            </w:r>
          </w:p>
        </w:tc>
        <w:tc>
          <w:tcPr>
            <w:tcW w:w="625" w:type="pct"/>
          </w:tcPr>
          <w:p w14:paraId="1B13283B" w14:textId="77777777" w:rsidR="000F0B51" w:rsidRPr="00054426" w:rsidRDefault="000F0B51" w:rsidP="00962223">
            <w:pPr>
              <w:rPr>
                <w:rFonts w:ascii="Arial" w:hAnsi="Arial" w:cs="Arial"/>
                <w:sz w:val="24"/>
              </w:rPr>
            </w:pPr>
            <w:r>
              <w:rPr>
                <w:rFonts w:ascii="Arial" w:hAnsi="Arial" w:cs="Arial"/>
                <w:sz w:val="24"/>
              </w:rPr>
              <w:t>Year 10</w:t>
            </w:r>
          </w:p>
        </w:tc>
        <w:tc>
          <w:tcPr>
            <w:tcW w:w="625" w:type="pct"/>
          </w:tcPr>
          <w:p w14:paraId="48FB24BE" w14:textId="77777777" w:rsidR="000F0B51" w:rsidRDefault="000F0B51" w:rsidP="00962223">
            <w:pPr>
              <w:rPr>
                <w:rFonts w:ascii="Arial" w:hAnsi="Arial" w:cs="Arial"/>
                <w:sz w:val="24"/>
              </w:rPr>
            </w:pPr>
            <w:r>
              <w:rPr>
                <w:rFonts w:ascii="Arial" w:hAnsi="Arial" w:cs="Arial"/>
                <w:sz w:val="24"/>
              </w:rPr>
              <w:t>Year 11</w:t>
            </w:r>
          </w:p>
        </w:tc>
        <w:tc>
          <w:tcPr>
            <w:tcW w:w="625" w:type="pct"/>
          </w:tcPr>
          <w:p w14:paraId="65BD6789" w14:textId="77777777" w:rsidR="000F0B51" w:rsidRDefault="000F0B51" w:rsidP="00962223">
            <w:pPr>
              <w:rPr>
                <w:rFonts w:ascii="Arial" w:hAnsi="Arial" w:cs="Arial"/>
                <w:sz w:val="24"/>
              </w:rPr>
            </w:pPr>
            <w:r>
              <w:rPr>
                <w:rFonts w:ascii="Arial" w:hAnsi="Arial" w:cs="Arial"/>
                <w:sz w:val="24"/>
              </w:rPr>
              <w:t>Year 12</w:t>
            </w:r>
          </w:p>
        </w:tc>
      </w:tr>
      <w:tr w:rsidR="000F0B51" w14:paraId="4A1123B1" w14:textId="77777777" w:rsidTr="000F0B51">
        <w:tc>
          <w:tcPr>
            <w:tcW w:w="625" w:type="pct"/>
          </w:tcPr>
          <w:p w14:paraId="7CD83268" w14:textId="77777777" w:rsidR="000F0B51" w:rsidRDefault="000F0B51" w:rsidP="00962223">
            <w:pPr>
              <w:rPr>
                <w:rFonts w:ascii="Arial" w:hAnsi="Arial" w:cs="Arial"/>
                <w:sz w:val="24"/>
              </w:rPr>
            </w:pPr>
            <w:r>
              <w:rPr>
                <w:rFonts w:ascii="Arial" w:hAnsi="Arial" w:cs="Arial"/>
                <w:sz w:val="24"/>
              </w:rPr>
              <w:t>Teacher concern</w:t>
            </w:r>
          </w:p>
        </w:tc>
        <w:tc>
          <w:tcPr>
            <w:tcW w:w="625" w:type="pct"/>
          </w:tcPr>
          <w:p w14:paraId="0D12B7BF" w14:textId="77777777" w:rsidR="000F0B51" w:rsidRDefault="000F0B51" w:rsidP="00962223">
            <w:pPr>
              <w:rPr>
                <w:rFonts w:ascii="Arial" w:hAnsi="Arial" w:cs="Arial"/>
                <w:sz w:val="24"/>
              </w:rPr>
            </w:pPr>
            <w:r>
              <w:rPr>
                <w:rFonts w:ascii="Arial" w:hAnsi="Arial" w:cs="Arial"/>
                <w:sz w:val="24"/>
              </w:rPr>
              <w:t>73%</w:t>
            </w:r>
          </w:p>
        </w:tc>
        <w:tc>
          <w:tcPr>
            <w:tcW w:w="625" w:type="pct"/>
          </w:tcPr>
          <w:p w14:paraId="221FC686" w14:textId="77777777" w:rsidR="000F0B51" w:rsidRDefault="000F0B51" w:rsidP="00962223">
            <w:pPr>
              <w:rPr>
                <w:rFonts w:ascii="Arial" w:hAnsi="Arial" w:cs="Arial"/>
                <w:sz w:val="24"/>
              </w:rPr>
            </w:pPr>
            <w:r>
              <w:rPr>
                <w:rFonts w:ascii="Arial" w:hAnsi="Arial" w:cs="Arial"/>
                <w:sz w:val="24"/>
              </w:rPr>
              <w:t>48%</w:t>
            </w:r>
          </w:p>
        </w:tc>
        <w:tc>
          <w:tcPr>
            <w:tcW w:w="625" w:type="pct"/>
          </w:tcPr>
          <w:p w14:paraId="380FB5A2" w14:textId="77777777" w:rsidR="000F0B51" w:rsidRDefault="000F0B51" w:rsidP="00962223">
            <w:pPr>
              <w:rPr>
                <w:rFonts w:ascii="Arial" w:hAnsi="Arial" w:cs="Arial"/>
                <w:sz w:val="24"/>
              </w:rPr>
            </w:pPr>
            <w:r>
              <w:rPr>
                <w:rFonts w:ascii="Arial" w:hAnsi="Arial" w:cs="Arial"/>
                <w:sz w:val="24"/>
              </w:rPr>
              <w:t>37%</w:t>
            </w:r>
          </w:p>
        </w:tc>
        <w:tc>
          <w:tcPr>
            <w:tcW w:w="625" w:type="pct"/>
          </w:tcPr>
          <w:p w14:paraId="4DB7CF1C" w14:textId="77777777" w:rsidR="000F0B51" w:rsidRDefault="000F0B51" w:rsidP="00962223">
            <w:pPr>
              <w:rPr>
                <w:rFonts w:ascii="Arial" w:hAnsi="Arial" w:cs="Arial"/>
                <w:sz w:val="24"/>
              </w:rPr>
            </w:pPr>
            <w:r>
              <w:rPr>
                <w:rFonts w:ascii="Arial" w:hAnsi="Arial" w:cs="Arial"/>
                <w:sz w:val="24"/>
              </w:rPr>
              <w:t>35%</w:t>
            </w:r>
          </w:p>
        </w:tc>
        <w:tc>
          <w:tcPr>
            <w:tcW w:w="625" w:type="pct"/>
          </w:tcPr>
          <w:p w14:paraId="1F91350C" w14:textId="77777777" w:rsidR="000F0B51" w:rsidRDefault="000F0B51" w:rsidP="00962223">
            <w:pPr>
              <w:rPr>
                <w:rFonts w:ascii="Arial" w:hAnsi="Arial" w:cs="Arial"/>
                <w:sz w:val="24"/>
              </w:rPr>
            </w:pPr>
            <w:r>
              <w:rPr>
                <w:rFonts w:ascii="Arial" w:hAnsi="Arial" w:cs="Arial"/>
                <w:sz w:val="24"/>
              </w:rPr>
              <w:t>37%</w:t>
            </w:r>
          </w:p>
        </w:tc>
        <w:tc>
          <w:tcPr>
            <w:tcW w:w="625" w:type="pct"/>
          </w:tcPr>
          <w:p w14:paraId="20ACD8F7" w14:textId="77777777" w:rsidR="000F0B51" w:rsidRDefault="000F0B51" w:rsidP="00962223">
            <w:pPr>
              <w:rPr>
                <w:rFonts w:ascii="Arial" w:hAnsi="Arial" w:cs="Arial"/>
                <w:sz w:val="24"/>
              </w:rPr>
            </w:pPr>
            <w:r>
              <w:rPr>
                <w:rFonts w:ascii="Arial" w:hAnsi="Arial" w:cs="Arial"/>
                <w:sz w:val="24"/>
              </w:rPr>
              <w:t>41%</w:t>
            </w:r>
          </w:p>
        </w:tc>
        <w:tc>
          <w:tcPr>
            <w:tcW w:w="625" w:type="pct"/>
          </w:tcPr>
          <w:p w14:paraId="220C39C6" w14:textId="77777777" w:rsidR="000F0B51" w:rsidRDefault="000F0B51" w:rsidP="00962223">
            <w:pPr>
              <w:rPr>
                <w:rFonts w:ascii="Arial" w:hAnsi="Arial" w:cs="Arial"/>
                <w:sz w:val="24"/>
              </w:rPr>
            </w:pPr>
            <w:r>
              <w:rPr>
                <w:rFonts w:ascii="Arial" w:hAnsi="Arial" w:cs="Arial"/>
                <w:sz w:val="24"/>
              </w:rPr>
              <w:t>48%</w:t>
            </w:r>
          </w:p>
        </w:tc>
      </w:tr>
      <w:tr w:rsidR="000F0B51" w14:paraId="495FA797" w14:textId="77777777" w:rsidTr="000F0B51">
        <w:tc>
          <w:tcPr>
            <w:tcW w:w="625" w:type="pct"/>
          </w:tcPr>
          <w:p w14:paraId="0E931113" w14:textId="77777777" w:rsidR="000F0B51" w:rsidRDefault="000F0B51" w:rsidP="00962223">
            <w:pPr>
              <w:rPr>
                <w:rFonts w:ascii="Arial" w:hAnsi="Arial" w:cs="Arial"/>
                <w:sz w:val="24"/>
              </w:rPr>
            </w:pPr>
            <w:r>
              <w:rPr>
                <w:rFonts w:ascii="Arial" w:hAnsi="Arial" w:cs="Arial"/>
                <w:sz w:val="24"/>
              </w:rPr>
              <w:t>Differentiated learning challenge</w:t>
            </w:r>
          </w:p>
        </w:tc>
        <w:tc>
          <w:tcPr>
            <w:tcW w:w="625" w:type="pct"/>
          </w:tcPr>
          <w:p w14:paraId="3B02BC3A" w14:textId="77777777" w:rsidR="000F0B51" w:rsidRDefault="000F0B51" w:rsidP="00962223">
            <w:pPr>
              <w:rPr>
                <w:rFonts w:ascii="Arial" w:hAnsi="Arial" w:cs="Arial"/>
                <w:sz w:val="24"/>
              </w:rPr>
            </w:pPr>
            <w:r>
              <w:rPr>
                <w:rFonts w:ascii="Arial" w:hAnsi="Arial" w:cs="Arial"/>
                <w:sz w:val="24"/>
              </w:rPr>
              <w:t>85%</w:t>
            </w:r>
          </w:p>
        </w:tc>
        <w:tc>
          <w:tcPr>
            <w:tcW w:w="625" w:type="pct"/>
          </w:tcPr>
          <w:p w14:paraId="72FBCAFE" w14:textId="77777777" w:rsidR="000F0B51" w:rsidRDefault="000F0B51" w:rsidP="00962223">
            <w:pPr>
              <w:rPr>
                <w:rFonts w:ascii="Arial" w:hAnsi="Arial" w:cs="Arial"/>
                <w:sz w:val="24"/>
              </w:rPr>
            </w:pPr>
            <w:r>
              <w:rPr>
                <w:rFonts w:ascii="Arial" w:hAnsi="Arial" w:cs="Arial"/>
                <w:sz w:val="24"/>
              </w:rPr>
              <w:t>64%</w:t>
            </w:r>
          </w:p>
        </w:tc>
        <w:tc>
          <w:tcPr>
            <w:tcW w:w="625" w:type="pct"/>
          </w:tcPr>
          <w:p w14:paraId="40A76EE1" w14:textId="77777777" w:rsidR="000F0B51" w:rsidRDefault="000F0B51" w:rsidP="00962223">
            <w:pPr>
              <w:rPr>
                <w:rFonts w:ascii="Arial" w:hAnsi="Arial" w:cs="Arial"/>
                <w:sz w:val="24"/>
              </w:rPr>
            </w:pPr>
            <w:r>
              <w:rPr>
                <w:rFonts w:ascii="Arial" w:hAnsi="Arial" w:cs="Arial"/>
                <w:sz w:val="24"/>
              </w:rPr>
              <w:t>57%</w:t>
            </w:r>
          </w:p>
        </w:tc>
        <w:tc>
          <w:tcPr>
            <w:tcW w:w="625" w:type="pct"/>
          </w:tcPr>
          <w:p w14:paraId="72558A46" w14:textId="77777777" w:rsidR="000F0B51" w:rsidRDefault="000F0B51" w:rsidP="00962223">
            <w:pPr>
              <w:rPr>
                <w:rFonts w:ascii="Arial" w:hAnsi="Arial" w:cs="Arial"/>
                <w:sz w:val="24"/>
              </w:rPr>
            </w:pPr>
            <w:r>
              <w:rPr>
                <w:rFonts w:ascii="Arial" w:hAnsi="Arial" w:cs="Arial"/>
                <w:sz w:val="24"/>
              </w:rPr>
              <w:t>54%</w:t>
            </w:r>
          </w:p>
        </w:tc>
        <w:tc>
          <w:tcPr>
            <w:tcW w:w="625" w:type="pct"/>
          </w:tcPr>
          <w:p w14:paraId="56A685C8" w14:textId="77777777" w:rsidR="000F0B51" w:rsidRDefault="000F0B51" w:rsidP="00962223">
            <w:pPr>
              <w:rPr>
                <w:rFonts w:ascii="Arial" w:hAnsi="Arial" w:cs="Arial"/>
                <w:sz w:val="24"/>
              </w:rPr>
            </w:pPr>
            <w:r>
              <w:rPr>
                <w:rFonts w:ascii="Arial" w:hAnsi="Arial" w:cs="Arial"/>
                <w:sz w:val="24"/>
              </w:rPr>
              <w:t>55%</w:t>
            </w:r>
          </w:p>
        </w:tc>
        <w:tc>
          <w:tcPr>
            <w:tcW w:w="625" w:type="pct"/>
          </w:tcPr>
          <w:p w14:paraId="4D67284A" w14:textId="77777777" w:rsidR="000F0B51" w:rsidRDefault="000F0B51" w:rsidP="00962223">
            <w:pPr>
              <w:rPr>
                <w:rFonts w:ascii="Arial" w:hAnsi="Arial" w:cs="Arial"/>
                <w:sz w:val="24"/>
              </w:rPr>
            </w:pPr>
            <w:r>
              <w:rPr>
                <w:rFonts w:ascii="Arial" w:hAnsi="Arial" w:cs="Arial"/>
                <w:sz w:val="24"/>
              </w:rPr>
              <w:t>56%</w:t>
            </w:r>
          </w:p>
        </w:tc>
        <w:tc>
          <w:tcPr>
            <w:tcW w:w="625" w:type="pct"/>
          </w:tcPr>
          <w:p w14:paraId="09818889" w14:textId="77777777" w:rsidR="000F0B51" w:rsidRDefault="000F0B51" w:rsidP="00962223">
            <w:pPr>
              <w:rPr>
                <w:rFonts w:ascii="Arial" w:hAnsi="Arial" w:cs="Arial"/>
                <w:sz w:val="24"/>
              </w:rPr>
            </w:pPr>
            <w:r>
              <w:rPr>
                <w:rFonts w:ascii="Arial" w:hAnsi="Arial" w:cs="Arial"/>
                <w:sz w:val="24"/>
              </w:rPr>
              <w:t>60%</w:t>
            </w:r>
          </w:p>
        </w:tc>
      </w:tr>
      <w:tr w:rsidR="000F0B51" w14:paraId="62E0D65E" w14:textId="77777777" w:rsidTr="000F0B51">
        <w:tc>
          <w:tcPr>
            <w:tcW w:w="625" w:type="pct"/>
          </w:tcPr>
          <w:p w14:paraId="75AD320E" w14:textId="77777777" w:rsidR="000F0B51" w:rsidRDefault="000F0B51" w:rsidP="00962223">
            <w:pPr>
              <w:rPr>
                <w:rFonts w:ascii="Arial" w:hAnsi="Arial" w:cs="Arial"/>
                <w:sz w:val="24"/>
              </w:rPr>
            </w:pPr>
            <w:r>
              <w:rPr>
                <w:rFonts w:ascii="Arial" w:hAnsi="Arial" w:cs="Arial"/>
                <w:sz w:val="24"/>
              </w:rPr>
              <w:t>Sense of connectedness</w:t>
            </w:r>
          </w:p>
        </w:tc>
        <w:tc>
          <w:tcPr>
            <w:tcW w:w="625" w:type="pct"/>
          </w:tcPr>
          <w:p w14:paraId="10663A00" w14:textId="77777777" w:rsidR="000F0B51" w:rsidRDefault="000F0B51" w:rsidP="00962223">
            <w:pPr>
              <w:rPr>
                <w:rFonts w:ascii="Arial" w:hAnsi="Arial" w:cs="Arial"/>
                <w:sz w:val="24"/>
              </w:rPr>
            </w:pPr>
            <w:r>
              <w:rPr>
                <w:rFonts w:ascii="Arial" w:hAnsi="Arial" w:cs="Arial"/>
                <w:sz w:val="24"/>
              </w:rPr>
              <w:t>79%</w:t>
            </w:r>
          </w:p>
        </w:tc>
        <w:tc>
          <w:tcPr>
            <w:tcW w:w="625" w:type="pct"/>
          </w:tcPr>
          <w:p w14:paraId="3CCBCFAB" w14:textId="77777777" w:rsidR="000F0B51" w:rsidRDefault="000F0B51" w:rsidP="00962223">
            <w:pPr>
              <w:rPr>
                <w:rFonts w:ascii="Arial" w:hAnsi="Arial" w:cs="Arial"/>
                <w:sz w:val="24"/>
              </w:rPr>
            </w:pPr>
            <w:r>
              <w:rPr>
                <w:rFonts w:ascii="Arial" w:hAnsi="Arial" w:cs="Arial"/>
                <w:sz w:val="24"/>
              </w:rPr>
              <w:t>66%</w:t>
            </w:r>
          </w:p>
        </w:tc>
        <w:tc>
          <w:tcPr>
            <w:tcW w:w="625" w:type="pct"/>
          </w:tcPr>
          <w:p w14:paraId="71EA9967" w14:textId="77777777" w:rsidR="000F0B51" w:rsidRDefault="000F0B51" w:rsidP="00962223">
            <w:pPr>
              <w:rPr>
                <w:rFonts w:ascii="Arial" w:hAnsi="Arial" w:cs="Arial"/>
                <w:sz w:val="24"/>
              </w:rPr>
            </w:pPr>
            <w:r>
              <w:rPr>
                <w:rFonts w:ascii="Arial" w:hAnsi="Arial" w:cs="Arial"/>
                <w:sz w:val="24"/>
              </w:rPr>
              <w:t>53%</w:t>
            </w:r>
          </w:p>
        </w:tc>
        <w:tc>
          <w:tcPr>
            <w:tcW w:w="625" w:type="pct"/>
          </w:tcPr>
          <w:p w14:paraId="500BECCB" w14:textId="77777777" w:rsidR="000F0B51" w:rsidRDefault="000F0B51" w:rsidP="00962223">
            <w:pPr>
              <w:rPr>
                <w:rFonts w:ascii="Arial" w:hAnsi="Arial" w:cs="Arial"/>
                <w:sz w:val="24"/>
              </w:rPr>
            </w:pPr>
            <w:r>
              <w:rPr>
                <w:rFonts w:ascii="Arial" w:hAnsi="Arial" w:cs="Arial"/>
                <w:sz w:val="24"/>
              </w:rPr>
              <w:t>50%</w:t>
            </w:r>
          </w:p>
        </w:tc>
        <w:tc>
          <w:tcPr>
            <w:tcW w:w="625" w:type="pct"/>
          </w:tcPr>
          <w:p w14:paraId="748802A2" w14:textId="77777777" w:rsidR="000F0B51" w:rsidRDefault="000F0B51" w:rsidP="00962223">
            <w:pPr>
              <w:rPr>
                <w:rFonts w:ascii="Arial" w:hAnsi="Arial" w:cs="Arial"/>
                <w:sz w:val="24"/>
              </w:rPr>
            </w:pPr>
            <w:r>
              <w:rPr>
                <w:rFonts w:ascii="Arial" w:hAnsi="Arial" w:cs="Arial"/>
                <w:sz w:val="24"/>
              </w:rPr>
              <w:t>50%</w:t>
            </w:r>
          </w:p>
        </w:tc>
        <w:tc>
          <w:tcPr>
            <w:tcW w:w="625" w:type="pct"/>
          </w:tcPr>
          <w:p w14:paraId="20D9E75B" w14:textId="77777777" w:rsidR="000F0B51" w:rsidRDefault="000F0B51" w:rsidP="00962223">
            <w:pPr>
              <w:rPr>
                <w:rFonts w:ascii="Arial" w:hAnsi="Arial" w:cs="Arial"/>
                <w:sz w:val="24"/>
              </w:rPr>
            </w:pPr>
            <w:r>
              <w:rPr>
                <w:rFonts w:ascii="Arial" w:hAnsi="Arial" w:cs="Arial"/>
                <w:sz w:val="24"/>
              </w:rPr>
              <w:t>53%</w:t>
            </w:r>
          </w:p>
        </w:tc>
        <w:tc>
          <w:tcPr>
            <w:tcW w:w="625" w:type="pct"/>
          </w:tcPr>
          <w:p w14:paraId="628D541D" w14:textId="77777777" w:rsidR="000F0B51" w:rsidRDefault="000F0B51" w:rsidP="00962223">
            <w:pPr>
              <w:rPr>
                <w:rFonts w:ascii="Arial" w:hAnsi="Arial" w:cs="Arial"/>
                <w:sz w:val="24"/>
              </w:rPr>
            </w:pPr>
            <w:r>
              <w:rPr>
                <w:rFonts w:ascii="Arial" w:hAnsi="Arial" w:cs="Arial"/>
                <w:sz w:val="24"/>
              </w:rPr>
              <w:t>57%</w:t>
            </w:r>
          </w:p>
        </w:tc>
      </w:tr>
      <w:tr w:rsidR="000F0B51" w14:paraId="2FE1506C" w14:textId="77777777" w:rsidTr="000F0B51">
        <w:tc>
          <w:tcPr>
            <w:tcW w:w="625" w:type="pct"/>
          </w:tcPr>
          <w:p w14:paraId="668CBB53" w14:textId="77777777" w:rsidR="000F0B51" w:rsidRDefault="000F0B51" w:rsidP="00962223">
            <w:pPr>
              <w:rPr>
                <w:rFonts w:ascii="Arial" w:hAnsi="Arial" w:cs="Arial"/>
                <w:sz w:val="24"/>
              </w:rPr>
            </w:pPr>
            <w:r>
              <w:rPr>
                <w:rFonts w:ascii="Arial" w:hAnsi="Arial" w:cs="Arial"/>
                <w:sz w:val="24"/>
              </w:rPr>
              <w:t>Student voice and agency</w:t>
            </w:r>
          </w:p>
        </w:tc>
        <w:tc>
          <w:tcPr>
            <w:tcW w:w="625" w:type="pct"/>
          </w:tcPr>
          <w:p w14:paraId="3FFB3D90" w14:textId="77777777" w:rsidR="000F0B51" w:rsidRDefault="000F0B51" w:rsidP="00962223">
            <w:pPr>
              <w:rPr>
                <w:rFonts w:ascii="Arial" w:hAnsi="Arial" w:cs="Arial"/>
                <w:sz w:val="24"/>
              </w:rPr>
            </w:pPr>
            <w:r>
              <w:rPr>
                <w:rFonts w:ascii="Arial" w:hAnsi="Arial" w:cs="Arial"/>
                <w:sz w:val="24"/>
              </w:rPr>
              <w:t>69%</w:t>
            </w:r>
          </w:p>
        </w:tc>
        <w:tc>
          <w:tcPr>
            <w:tcW w:w="625" w:type="pct"/>
          </w:tcPr>
          <w:p w14:paraId="2475920F" w14:textId="77777777" w:rsidR="000F0B51" w:rsidRDefault="000F0B51" w:rsidP="00962223">
            <w:pPr>
              <w:rPr>
                <w:rFonts w:ascii="Arial" w:hAnsi="Arial" w:cs="Arial"/>
                <w:sz w:val="24"/>
              </w:rPr>
            </w:pPr>
            <w:r>
              <w:rPr>
                <w:rFonts w:ascii="Arial" w:hAnsi="Arial" w:cs="Arial"/>
                <w:sz w:val="24"/>
              </w:rPr>
              <w:t>51%</w:t>
            </w:r>
          </w:p>
        </w:tc>
        <w:tc>
          <w:tcPr>
            <w:tcW w:w="625" w:type="pct"/>
          </w:tcPr>
          <w:p w14:paraId="4D710DA2" w14:textId="77777777" w:rsidR="000F0B51" w:rsidRDefault="000F0B51" w:rsidP="00962223">
            <w:pPr>
              <w:rPr>
                <w:rFonts w:ascii="Arial" w:hAnsi="Arial" w:cs="Arial"/>
                <w:sz w:val="24"/>
              </w:rPr>
            </w:pPr>
            <w:r>
              <w:rPr>
                <w:rFonts w:ascii="Arial" w:hAnsi="Arial" w:cs="Arial"/>
                <w:sz w:val="24"/>
              </w:rPr>
              <w:t>40%</w:t>
            </w:r>
          </w:p>
        </w:tc>
        <w:tc>
          <w:tcPr>
            <w:tcW w:w="625" w:type="pct"/>
          </w:tcPr>
          <w:p w14:paraId="0524E4EF" w14:textId="77777777" w:rsidR="000F0B51" w:rsidRDefault="000F0B51" w:rsidP="00962223">
            <w:pPr>
              <w:rPr>
                <w:rFonts w:ascii="Arial" w:hAnsi="Arial" w:cs="Arial"/>
                <w:sz w:val="24"/>
              </w:rPr>
            </w:pPr>
            <w:r>
              <w:rPr>
                <w:rFonts w:ascii="Arial" w:hAnsi="Arial" w:cs="Arial"/>
                <w:sz w:val="24"/>
              </w:rPr>
              <w:t>38%</w:t>
            </w:r>
          </w:p>
        </w:tc>
        <w:tc>
          <w:tcPr>
            <w:tcW w:w="625" w:type="pct"/>
          </w:tcPr>
          <w:p w14:paraId="736F5992" w14:textId="77777777" w:rsidR="000F0B51" w:rsidRDefault="000F0B51" w:rsidP="00962223">
            <w:pPr>
              <w:rPr>
                <w:rFonts w:ascii="Arial" w:hAnsi="Arial" w:cs="Arial"/>
                <w:sz w:val="24"/>
              </w:rPr>
            </w:pPr>
            <w:r>
              <w:rPr>
                <w:rFonts w:ascii="Arial" w:hAnsi="Arial" w:cs="Arial"/>
                <w:sz w:val="24"/>
              </w:rPr>
              <w:t>44%</w:t>
            </w:r>
          </w:p>
        </w:tc>
        <w:tc>
          <w:tcPr>
            <w:tcW w:w="625" w:type="pct"/>
          </w:tcPr>
          <w:p w14:paraId="11CC3173" w14:textId="77777777" w:rsidR="000F0B51" w:rsidRDefault="000F0B51" w:rsidP="00962223">
            <w:pPr>
              <w:rPr>
                <w:rFonts w:ascii="Arial" w:hAnsi="Arial" w:cs="Arial"/>
                <w:sz w:val="24"/>
              </w:rPr>
            </w:pPr>
            <w:r>
              <w:rPr>
                <w:rFonts w:ascii="Arial" w:hAnsi="Arial" w:cs="Arial"/>
                <w:sz w:val="24"/>
              </w:rPr>
              <w:t>48%</w:t>
            </w:r>
          </w:p>
        </w:tc>
        <w:tc>
          <w:tcPr>
            <w:tcW w:w="625" w:type="pct"/>
          </w:tcPr>
          <w:p w14:paraId="6191C28C" w14:textId="77777777" w:rsidR="000F0B51" w:rsidRDefault="000F0B51" w:rsidP="00962223">
            <w:pPr>
              <w:rPr>
                <w:rFonts w:ascii="Arial" w:hAnsi="Arial" w:cs="Arial"/>
                <w:sz w:val="24"/>
              </w:rPr>
            </w:pPr>
            <w:r>
              <w:rPr>
                <w:rFonts w:ascii="Arial" w:hAnsi="Arial" w:cs="Arial"/>
                <w:sz w:val="24"/>
              </w:rPr>
              <w:t>52%</w:t>
            </w:r>
          </w:p>
        </w:tc>
      </w:tr>
    </w:tbl>
    <w:p w14:paraId="71D717B9" w14:textId="77777777" w:rsidR="00A218AE" w:rsidRPr="0084267C" w:rsidRDefault="0084267C" w:rsidP="000C56DC">
      <w:pPr>
        <w:rPr>
          <w:rFonts w:ascii="Arial" w:hAnsi="Arial" w:cs="Arial"/>
          <w:i/>
          <w:sz w:val="24"/>
          <w:highlight w:val="yellow"/>
        </w:rPr>
      </w:pPr>
      <w:r>
        <w:rPr>
          <w:rFonts w:ascii="Arial" w:hAnsi="Arial" w:cs="Arial"/>
          <w:i/>
          <w:sz w:val="24"/>
        </w:rPr>
        <w:t xml:space="preserve">Source: </w:t>
      </w:r>
      <w:r w:rsidRPr="0084267C">
        <w:rPr>
          <w:rFonts w:ascii="Arial" w:hAnsi="Arial" w:cs="Arial"/>
          <w:i/>
          <w:sz w:val="24"/>
        </w:rPr>
        <w:t>Attitudes to School Survey (AtoSS), 2018, DET</w:t>
      </w:r>
    </w:p>
    <w:p w14:paraId="63B601E6" w14:textId="77777777" w:rsidR="0084267C" w:rsidRPr="00F61E69" w:rsidRDefault="0084267C" w:rsidP="00F61E69">
      <w:pPr>
        <w:pStyle w:val="Heading3"/>
        <w:rPr>
          <w:rFonts w:ascii="Arial" w:hAnsi="Arial" w:cs="Arial"/>
          <w:color w:val="auto"/>
          <w:sz w:val="24"/>
        </w:rPr>
      </w:pPr>
      <w:bookmarkStart w:id="44" w:name="_Toc33527769"/>
      <w:r w:rsidRPr="00F61E69">
        <w:rPr>
          <w:rFonts w:ascii="Arial" w:hAnsi="Arial" w:cs="Arial"/>
          <w:color w:val="auto"/>
          <w:sz w:val="24"/>
        </w:rPr>
        <w:lastRenderedPageBreak/>
        <w:t>4.3</w:t>
      </w:r>
      <w:r w:rsidRPr="00F61E69">
        <w:rPr>
          <w:rFonts w:ascii="Arial" w:hAnsi="Arial" w:cs="Arial"/>
          <w:color w:val="auto"/>
          <w:sz w:val="24"/>
        </w:rPr>
        <w:tab/>
        <w:t>Adolescents who have a positive attitude to school are more likely to be high achievers</w:t>
      </w:r>
      <w:bookmarkEnd w:id="44"/>
    </w:p>
    <w:p w14:paraId="5873D1C2" w14:textId="77777777" w:rsidR="0084267C" w:rsidRPr="0084267C" w:rsidRDefault="0084267C" w:rsidP="0084267C">
      <w:pPr>
        <w:rPr>
          <w:rFonts w:ascii="Arial" w:hAnsi="Arial" w:cs="Arial"/>
          <w:sz w:val="24"/>
        </w:rPr>
      </w:pPr>
      <w:r w:rsidRPr="0084267C">
        <w:rPr>
          <w:rFonts w:ascii="Arial" w:hAnsi="Arial" w:cs="Arial"/>
          <w:sz w:val="24"/>
        </w:rPr>
        <w:t>A positive attitude to school is also associated with improved attendance and higher achievement in NAPLAN Reading and Numeracy across all year levels (DET internal analysis). Students with positive attitudes to schooling are:</w:t>
      </w:r>
    </w:p>
    <w:p w14:paraId="6E42ED52" w14:textId="77777777" w:rsidR="0084267C" w:rsidRPr="0084267C" w:rsidRDefault="0084267C" w:rsidP="0084267C">
      <w:pPr>
        <w:pStyle w:val="ListParagraph"/>
        <w:numPr>
          <w:ilvl w:val="0"/>
          <w:numId w:val="14"/>
        </w:numPr>
        <w:rPr>
          <w:rFonts w:ascii="Arial" w:hAnsi="Arial" w:cs="Arial"/>
          <w:sz w:val="24"/>
        </w:rPr>
      </w:pPr>
      <w:r w:rsidRPr="0084267C">
        <w:rPr>
          <w:rFonts w:ascii="Arial" w:hAnsi="Arial" w:cs="Arial"/>
          <w:sz w:val="24"/>
        </w:rPr>
        <w:t>more likely to achieve in the top two bands for NAPLAN Reading and Numeracy and</w:t>
      </w:r>
    </w:p>
    <w:p w14:paraId="18974792" w14:textId="77777777" w:rsidR="0084267C" w:rsidRPr="0084267C" w:rsidRDefault="0084267C" w:rsidP="0084267C">
      <w:pPr>
        <w:pStyle w:val="ListParagraph"/>
        <w:numPr>
          <w:ilvl w:val="0"/>
          <w:numId w:val="14"/>
        </w:numPr>
        <w:rPr>
          <w:rFonts w:ascii="Arial" w:hAnsi="Arial" w:cs="Arial"/>
          <w:sz w:val="24"/>
        </w:rPr>
      </w:pPr>
      <w:r w:rsidRPr="0084267C">
        <w:rPr>
          <w:rFonts w:ascii="Arial" w:hAnsi="Arial" w:cs="Arial"/>
          <w:sz w:val="24"/>
        </w:rPr>
        <w:t>less likely to achieve in the bottom two bands.</w:t>
      </w:r>
    </w:p>
    <w:p w14:paraId="7EA16B5A" w14:textId="77777777" w:rsidR="0084267C" w:rsidRDefault="0084267C" w:rsidP="0084267C">
      <w:pPr>
        <w:rPr>
          <w:rFonts w:ascii="Arial" w:hAnsi="Arial" w:cs="Arial"/>
          <w:sz w:val="24"/>
        </w:rPr>
      </w:pPr>
      <w:r w:rsidRPr="0084267C">
        <w:rPr>
          <w:rFonts w:ascii="Arial" w:hAnsi="Arial" w:cs="Arial"/>
          <w:sz w:val="24"/>
        </w:rPr>
        <w:t>A student’s sense of confidence is also associated with NAPLAN achievement, as shown below</w:t>
      </w:r>
      <w:r>
        <w:rPr>
          <w:rFonts w:ascii="Arial" w:hAnsi="Arial" w:cs="Arial"/>
          <w:sz w:val="24"/>
        </w:rPr>
        <w:t>.</w:t>
      </w:r>
    </w:p>
    <w:p w14:paraId="11A04832" w14:textId="77777777" w:rsidR="0084267C" w:rsidRPr="008A041D" w:rsidRDefault="008A041D" w:rsidP="0084267C">
      <w:pPr>
        <w:rPr>
          <w:rFonts w:ascii="Arial" w:hAnsi="Arial" w:cs="Arial"/>
          <w:b/>
          <w:sz w:val="24"/>
        </w:rPr>
      </w:pPr>
      <w:r w:rsidRPr="00A20CF5">
        <w:rPr>
          <w:rFonts w:ascii="Arial" w:hAnsi="Arial" w:cs="Arial"/>
          <w:b/>
          <w:sz w:val="24"/>
        </w:rPr>
        <w:t>Figure 33. NAPLAN Numeracy achievement by Year level and response to AtoSS sense of confidence factor, 2018</w:t>
      </w:r>
    </w:p>
    <w:tbl>
      <w:tblPr>
        <w:tblStyle w:val="TableGrid"/>
        <w:tblW w:w="5000" w:type="pct"/>
        <w:tblLook w:val="04A0" w:firstRow="1" w:lastRow="0" w:firstColumn="1" w:lastColumn="0" w:noHBand="0" w:noVBand="1"/>
        <w:tblDescription w:val="This table provides information on NAPLAN Numeracy achievement by Year level and response to AtoSS sense of confidence factor, 2018"/>
      </w:tblPr>
      <w:tblGrid>
        <w:gridCol w:w="1290"/>
        <w:gridCol w:w="1290"/>
        <w:gridCol w:w="1288"/>
        <w:gridCol w:w="1287"/>
        <w:gridCol w:w="1287"/>
        <w:gridCol w:w="1287"/>
        <w:gridCol w:w="1287"/>
      </w:tblGrid>
      <w:tr w:rsidR="0031068F" w:rsidRPr="00054426" w14:paraId="16FA4AFD" w14:textId="77777777" w:rsidTr="008A041D">
        <w:trPr>
          <w:tblHeader/>
        </w:trPr>
        <w:tc>
          <w:tcPr>
            <w:tcW w:w="715" w:type="pct"/>
          </w:tcPr>
          <w:p w14:paraId="4CFE5A3D" w14:textId="77777777" w:rsidR="0031068F" w:rsidRDefault="0031068F" w:rsidP="0012306D">
            <w:pPr>
              <w:rPr>
                <w:rFonts w:ascii="Arial" w:hAnsi="Arial" w:cs="Arial"/>
                <w:sz w:val="24"/>
              </w:rPr>
            </w:pPr>
          </w:p>
        </w:tc>
        <w:tc>
          <w:tcPr>
            <w:tcW w:w="715" w:type="pct"/>
          </w:tcPr>
          <w:p w14:paraId="54D8B937" w14:textId="77777777" w:rsidR="0031068F" w:rsidRPr="00054426" w:rsidRDefault="0031068F" w:rsidP="008A041D">
            <w:pPr>
              <w:rPr>
                <w:rFonts w:ascii="Arial" w:hAnsi="Arial" w:cs="Arial"/>
                <w:sz w:val="24"/>
              </w:rPr>
            </w:pPr>
            <w:r>
              <w:rPr>
                <w:rFonts w:ascii="Arial" w:hAnsi="Arial" w:cs="Arial"/>
                <w:sz w:val="24"/>
              </w:rPr>
              <w:t>Year 5 - Confident</w:t>
            </w:r>
          </w:p>
        </w:tc>
        <w:tc>
          <w:tcPr>
            <w:tcW w:w="714" w:type="pct"/>
          </w:tcPr>
          <w:p w14:paraId="194651C4" w14:textId="77777777" w:rsidR="0031068F" w:rsidRDefault="0031068F" w:rsidP="008A041D">
            <w:pPr>
              <w:rPr>
                <w:rFonts w:ascii="Arial" w:hAnsi="Arial" w:cs="Arial"/>
                <w:sz w:val="24"/>
              </w:rPr>
            </w:pPr>
            <w:r>
              <w:rPr>
                <w:rFonts w:ascii="Arial" w:hAnsi="Arial" w:cs="Arial"/>
                <w:sz w:val="24"/>
              </w:rPr>
              <w:t>Year 5 – Not confident</w:t>
            </w:r>
          </w:p>
        </w:tc>
        <w:tc>
          <w:tcPr>
            <w:tcW w:w="714" w:type="pct"/>
          </w:tcPr>
          <w:p w14:paraId="39BB9D6D" w14:textId="77777777" w:rsidR="0031068F" w:rsidRPr="00054426" w:rsidRDefault="0031068F" w:rsidP="0031068F">
            <w:pPr>
              <w:rPr>
                <w:rFonts w:ascii="Arial" w:hAnsi="Arial" w:cs="Arial"/>
                <w:sz w:val="24"/>
              </w:rPr>
            </w:pPr>
            <w:r>
              <w:rPr>
                <w:rFonts w:ascii="Arial" w:hAnsi="Arial" w:cs="Arial"/>
                <w:sz w:val="24"/>
              </w:rPr>
              <w:t>Year 7 - Confident</w:t>
            </w:r>
          </w:p>
        </w:tc>
        <w:tc>
          <w:tcPr>
            <w:tcW w:w="714" w:type="pct"/>
          </w:tcPr>
          <w:p w14:paraId="6D93348A" w14:textId="77777777" w:rsidR="0031068F" w:rsidRDefault="0031068F" w:rsidP="0012306D">
            <w:pPr>
              <w:rPr>
                <w:rFonts w:ascii="Arial" w:hAnsi="Arial" w:cs="Arial"/>
                <w:sz w:val="24"/>
              </w:rPr>
            </w:pPr>
            <w:r>
              <w:rPr>
                <w:rFonts w:ascii="Arial" w:hAnsi="Arial" w:cs="Arial"/>
                <w:sz w:val="24"/>
              </w:rPr>
              <w:t>Year 7 – Not confident</w:t>
            </w:r>
          </w:p>
        </w:tc>
        <w:tc>
          <w:tcPr>
            <w:tcW w:w="714" w:type="pct"/>
          </w:tcPr>
          <w:p w14:paraId="43537916" w14:textId="77777777" w:rsidR="0031068F" w:rsidRPr="00054426" w:rsidRDefault="0031068F" w:rsidP="0031068F">
            <w:pPr>
              <w:rPr>
                <w:rFonts w:ascii="Arial" w:hAnsi="Arial" w:cs="Arial"/>
                <w:sz w:val="24"/>
              </w:rPr>
            </w:pPr>
            <w:r>
              <w:rPr>
                <w:rFonts w:ascii="Arial" w:hAnsi="Arial" w:cs="Arial"/>
                <w:sz w:val="24"/>
              </w:rPr>
              <w:t>Year 9 - Confident</w:t>
            </w:r>
          </w:p>
        </w:tc>
        <w:tc>
          <w:tcPr>
            <w:tcW w:w="714" w:type="pct"/>
          </w:tcPr>
          <w:p w14:paraId="74590AA5" w14:textId="77777777" w:rsidR="0031068F" w:rsidRDefault="0031068F" w:rsidP="0012306D">
            <w:pPr>
              <w:rPr>
                <w:rFonts w:ascii="Arial" w:hAnsi="Arial" w:cs="Arial"/>
                <w:sz w:val="24"/>
              </w:rPr>
            </w:pPr>
            <w:r>
              <w:rPr>
                <w:rFonts w:ascii="Arial" w:hAnsi="Arial" w:cs="Arial"/>
                <w:sz w:val="24"/>
              </w:rPr>
              <w:t>Year 9 – Not confident</w:t>
            </w:r>
          </w:p>
        </w:tc>
      </w:tr>
      <w:tr w:rsidR="008A041D" w14:paraId="6E20B9D6" w14:textId="77777777" w:rsidTr="008A041D">
        <w:tc>
          <w:tcPr>
            <w:tcW w:w="715" w:type="pct"/>
          </w:tcPr>
          <w:p w14:paraId="1B1B86E2" w14:textId="77777777" w:rsidR="008A041D" w:rsidRDefault="008A041D" w:rsidP="0012306D">
            <w:pPr>
              <w:rPr>
                <w:rFonts w:ascii="Arial" w:hAnsi="Arial" w:cs="Arial"/>
                <w:sz w:val="24"/>
              </w:rPr>
            </w:pPr>
            <w:r>
              <w:rPr>
                <w:rFonts w:ascii="Arial" w:hAnsi="Arial" w:cs="Arial"/>
                <w:sz w:val="24"/>
              </w:rPr>
              <w:t>Top two bands</w:t>
            </w:r>
          </w:p>
        </w:tc>
        <w:tc>
          <w:tcPr>
            <w:tcW w:w="715" w:type="pct"/>
          </w:tcPr>
          <w:p w14:paraId="0A123DB5" w14:textId="77777777" w:rsidR="008A041D" w:rsidRDefault="00B31BCA" w:rsidP="0012306D">
            <w:pPr>
              <w:rPr>
                <w:rFonts w:ascii="Arial" w:hAnsi="Arial" w:cs="Arial"/>
                <w:sz w:val="24"/>
              </w:rPr>
            </w:pPr>
            <w:r>
              <w:rPr>
                <w:rFonts w:ascii="Arial" w:hAnsi="Arial" w:cs="Arial"/>
                <w:sz w:val="24"/>
              </w:rPr>
              <w:t>37%</w:t>
            </w:r>
          </w:p>
        </w:tc>
        <w:tc>
          <w:tcPr>
            <w:tcW w:w="714" w:type="pct"/>
          </w:tcPr>
          <w:p w14:paraId="78D605AB" w14:textId="77777777" w:rsidR="008A041D" w:rsidRDefault="00B31BCA" w:rsidP="0012306D">
            <w:pPr>
              <w:rPr>
                <w:rFonts w:ascii="Arial" w:hAnsi="Arial" w:cs="Arial"/>
                <w:sz w:val="24"/>
              </w:rPr>
            </w:pPr>
            <w:r>
              <w:rPr>
                <w:rFonts w:ascii="Arial" w:hAnsi="Arial" w:cs="Arial"/>
                <w:sz w:val="24"/>
              </w:rPr>
              <w:t>13%</w:t>
            </w:r>
          </w:p>
        </w:tc>
        <w:tc>
          <w:tcPr>
            <w:tcW w:w="714" w:type="pct"/>
          </w:tcPr>
          <w:p w14:paraId="45A464CF" w14:textId="77777777" w:rsidR="008A041D" w:rsidRDefault="00B31BCA" w:rsidP="0012306D">
            <w:pPr>
              <w:rPr>
                <w:rFonts w:ascii="Arial" w:hAnsi="Arial" w:cs="Arial"/>
                <w:sz w:val="24"/>
              </w:rPr>
            </w:pPr>
            <w:r>
              <w:rPr>
                <w:rFonts w:ascii="Arial" w:hAnsi="Arial" w:cs="Arial"/>
                <w:sz w:val="24"/>
              </w:rPr>
              <w:t>31%</w:t>
            </w:r>
          </w:p>
        </w:tc>
        <w:tc>
          <w:tcPr>
            <w:tcW w:w="714" w:type="pct"/>
          </w:tcPr>
          <w:p w14:paraId="4EBC446C" w14:textId="77777777" w:rsidR="008A041D" w:rsidRDefault="00B31BCA" w:rsidP="00B31BCA">
            <w:pPr>
              <w:rPr>
                <w:rFonts w:ascii="Arial" w:hAnsi="Arial" w:cs="Arial"/>
                <w:sz w:val="24"/>
              </w:rPr>
            </w:pPr>
            <w:r>
              <w:rPr>
                <w:rFonts w:ascii="Arial" w:hAnsi="Arial" w:cs="Arial"/>
                <w:sz w:val="24"/>
              </w:rPr>
              <w:t>16%</w:t>
            </w:r>
          </w:p>
        </w:tc>
        <w:tc>
          <w:tcPr>
            <w:tcW w:w="714" w:type="pct"/>
          </w:tcPr>
          <w:p w14:paraId="2799BA4E" w14:textId="77777777" w:rsidR="008A041D" w:rsidRDefault="00B31BCA" w:rsidP="0012306D">
            <w:pPr>
              <w:rPr>
                <w:rFonts w:ascii="Arial" w:hAnsi="Arial" w:cs="Arial"/>
                <w:sz w:val="24"/>
              </w:rPr>
            </w:pPr>
            <w:r>
              <w:rPr>
                <w:rFonts w:ascii="Arial" w:hAnsi="Arial" w:cs="Arial"/>
                <w:sz w:val="24"/>
              </w:rPr>
              <w:t>32%</w:t>
            </w:r>
          </w:p>
        </w:tc>
        <w:tc>
          <w:tcPr>
            <w:tcW w:w="714" w:type="pct"/>
          </w:tcPr>
          <w:p w14:paraId="4F8CF85C" w14:textId="77777777" w:rsidR="008A041D" w:rsidRDefault="00B31BCA" w:rsidP="0012306D">
            <w:pPr>
              <w:rPr>
                <w:rFonts w:ascii="Arial" w:hAnsi="Arial" w:cs="Arial"/>
                <w:sz w:val="24"/>
              </w:rPr>
            </w:pPr>
            <w:r>
              <w:rPr>
                <w:rFonts w:ascii="Arial" w:hAnsi="Arial" w:cs="Arial"/>
                <w:sz w:val="24"/>
              </w:rPr>
              <w:t>16%</w:t>
            </w:r>
          </w:p>
        </w:tc>
      </w:tr>
      <w:tr w:rsidR="008A041D" w14:paraId="68C8705A" w14:textId="77777777" w:rsidTr="008A041D">
        <w:tc>
          <w:tcPr>
            <w:tcW w:w="715" w:type="pct"/>
          </w:tcPr>
          <w:p w14:paraId="78862D77" w14:textId="77777777" w:rsidR="008A041D" w:rsidRDefault="008A041D" w:rsidP="0012306D">
            <w:pPr>
              <w:rPr>
                <w:rFonts w:ascii="Arial" w:hAnsi="Arial" w:cs="Arial"/>
                <w:sz w:val="24"/>
              </w:rPr>
            </w:pPr>
            <w:r w:rsidRPr="00A20CF5">
              <w:rPr>
                <w:rFonts w:ascii="Arial" w:hAnsi="Arial" w:cs="Arial"/>
                <w:sz w:val="24"/>
              </w:rPr>
              <w:t>Middle bands</w:t>
            </w:r>
          </w:p>
        </w:tc>
        <w:tc>
          <w:tcPr>
            <w:tcW w:w="715" w:type="pct"/>
          </w:tcPr>
          <w:p w14:paraId="4E8B2FA2" w14:textId="77777777" w:rsidR="008A041D" w:rsidRDefault="00B31BCA" w:rsidP="0012306D">
            <w:pPr>
              <w:rPr>
                <w:rFonts w:ascii="Arial" w:hAnsi="Arial" w:cs="Arial"/>
                <w:sz w:val="24"/>
              </w:rPr>
            </w:pPr>
            <w:r>
              <w:rPr>
                <w:rFonts w:ascii="Arial" w:hAnsi="Arial" w:cs="Arial"/>
                <w:sz w:val="24"/>
              </w:rPr>
              <w:t>52%</w:t>
            </w:r>
          </w:p>
        </w:tc>
        <w:tc>
          <w:tcPr>
            <w:tcW w:w="714" w:type="pct"/>
          </w:tcPr>
          <w:p w14:paraId="4CAF2800" w14:textId="77777777" w:rsidR="008A041D" w:rsidRDefault="00B31BCA" w:rsidP="0012306D">
            <w:pPr>
              <w:rPr>
                <w:rFonts w:ascii="Arial" w:hAnsi="Arial" w:cs="Arial"/>
                <w:sz w:val="24"/>
              </w:rPr>
            </w:pPr>
            <w:r>
              <w:rPr>
                <w:rFonts w:ascii="Arial" w:hAnsi="Arial" w:cs="Arial"/>
                <w:sz w:val="24"/>
              </w:rPr>
              <w:t>62%</w:t>
            </w:r>
          </w:p>
        </w:tc>
        <w:tc>
          <w:tcPr>
            <w:tcW w:w="714" w:type="pct"/>
          </w:tcPr>
          <w:p w14:paraId="769E7325" w14:textId="77777777" w:rsidR="008A041D" w:rsidRDefault="00B31BCA" w:rsidP="0012306D">
            <w:pPr>
              <w:rPr>
                <w:rFonts w:ascii="Arial" w:hAnsi="Arial" w:cs="Arial"/>
                <w:sz w:val="24"/>
              </w:rPr>
            </w:pPr>
            <w:r>
              <w:rPr>
                <w:rFonts w:ascii="Arial" w:hAnsi="Arial" w:cs="Arial"/>
                <w:sz w:val="24"/>
              </w:rPr>
              <w:t>56%</w:t>
            </w:r>
          </w:p>
        </w:tc>
        <w:tc>
          <w:tcPr>
            <w:tcW w:w="714" w:type="pct"/>
          </w:tcPr>
          <w:p w14:paraId="37B448E7" w14:textId="77777777" w:rsidR="008A041D" w:rsidRDefault="00B31BCA" w:rsidP="0012306D">
            <w:pPr>
              <w:rPr>
                <w:rFonts w:ascii="Arial" w:hAnsi="Arial" w:cs="Arial"/>
                <w:sz w:val="24"/>
              </w:rPr>
            </w:pPr>
            <w:r>
              <w:rPr>
                <w:rFonts w:ascii="Arial" w:hAnsi="Arial" w:cs="Arial"/>
                <w:sz w:val="24"/>
              </w:rPr>
              <w:t>64%</w:t>
            </w:r>
          </w:p>
        </w:tc>
        <w:tc>
          <w:tcPr>
            <w:tcW w:w="714" w:type="pct"/>
          </w:tcPr>
          <w:p w14:paraId="1A5DA681" w14:textId="77777777" w:rsidR="008A041D" w:rsidRDefault="00B31BCA" w:rsidP="0012306D">
            <w:pPr>
              <w:rPr>
                <w:rFonts w:ascii="Arial" w:hAnsi="Arial" w:cs="Arial"/>
                <w:sz w:val="24"/>
              </w:rPr>
            </w:pPr>
            <w:r>
              <w:rPr>
                <w:rFonts w:ascii="Arial" w:hAnsi="Arial" w:cs="Arial"/>
                <w:sz w:val="24"/>
              </w:rPr>
              <w:t>55%</w:t>
            </w:r>
          </w:p>
        </w:tc>
        <w:tc>
          <w:tcPr>
            <w:tcW w:w="714" w:type="pct"/>
          </w:tcPr>
          <w:p w14:paraId="15C95B83" w14:textId="77777777" w:rsidR="008A041D" w:rsidRDefault="00B31BCA" w:rsidP="0012306D">
            <w:pPr>
              <w:rPr>
                <w:rFonts w:ascii="Arial" w:hAnsi="Arial" w:cs="Arial"/>
                <w:sz w:val="24"/>
              </w:rPr>
            </w:pPr>
            <w:r>
              <w:rPr>
                <w:rFonts w:ascii="Arial" w:hAnsi="Arial" w:cs="Arial"/>
                <w:sz w:val="24"/>
              </w:rPr>
              <w:t>61%</w:t>
            </w:r>
          </w:p>
        </w:tc>
      </w:tr>
      <w:tr w:rsidR="008A041D" w14:paraId="255284DE" w14:textId="77777777" w:rsidTr="008A041D">
        <w:tc>
          <w:tcPr>
            <w:tcW w:w="715" w:type="pct"/>
          </w:tcPr>
          <w:p w14:paraId="6C8B1CA3" w14:textId="77777777" w:rsidR="008A041D" w:rsidRDefault="008A041D" w:rsidP="0012306D">
            <w:pPr>
              <w:rPr>
                <w:rFonts w:ascii="Arial" w:hAnsi="Arial" w:cs="Arial"/>
                <w:sz w:val="24"/>
              </w:rPr>
            </w:pPr>
            <w:r>
              <w:rPr>
                <w:rFonts w:ascii="Arial" w:hAnsi="Arial" w:cs="Arial"/>
                <w:sz w:val="24"/>
              </w:rPr>
              <w:t>Bottom two bands</w:t>
            </w:r>
          </w:p>
        </w:tc>
        <w:tc>
          <w:tcPr>
            <w:tcW w:w="715" w:type="pct"/>
          </w:tcPr>
          <w:p w14:paraId="2FD6814B" w14:textId="77777777" w:rsidR="008A041D" w:rsidRDefault="00B31BCA" w:rsidP="0012306D">
            <w:pPr>
              <w:rPr>
                <w:rFonts w:ascii="Arial" w:hAnsi="Arial" w:cs="Arial"/>
                <w:sz w:val="24"/>
              </w:rPr>
            </w:pPr>
            <w:r>
              <w:rPr>
                <w:rFonts w:ascii="Arial" w:hAnsi="Arial" w:cs="Arial"/>
                <w:sz w:val="24"/>
              </w:rPr>
              <w:t>11%</w:t>
            </w:r>
          </w:p>
        </w:tc>
        <w:tc>
          <w:tcPr>
            <w:tcW w:w="714" w:type="pct"/>
          </w:tcPr>
          <w:p w14:paraId="532AD943" w14:textId="77777777" w:rsidR="008A041D" w:rsidRDefault="00B31BCA" w:rsidP="0012306D">
            <w:pPr>
              <w:rPr>
                <w:rFonts w:ascii="Arial" w:hAnsi="Arial" w:cs="Arial"/>
                <w:sz w:val="24"/>
              </w:rPr>
            </w:pPr>
            <w:r>
              <w:rPr>
                <w:rFonts w:ascii="Arial" w:hAnsi="Arial" w:cs="Arial"/>
                <w:sz w:val="24"/>
              </w:rPr>
              <w:t>25%</w:t>
            </w:r>
          </w:p>
        </w:tc>
        <w:tc>
          <w:tcPr>
            <w:tcW w:w="714" w:type="pct"/>
          </w:tcPr>
          <w:p w14:paraId="2DDDAFF7" w14:textId="77777777" w:rsidR="008A041D" w:rsidRDefault="00B31BCA" w:rsidP="0012306D">
            <w:pPr>
              <w:rPr>
                <w:rFonts w:ascii="Arial" w:hAnsi="Arial" w:cs="Arial"/>
                <w:sz w:val="24"/>
              </w:rPr>
            </w:pPr>
            <w:r>
              <w:rPr>
                <w:rFonts w:ascii="Arial" w:hAnsi="Arial" w:cs="Arial"/>
                <w:sz w:val="24"/>
              </w:rPr>
              <w:t>13%</w:t>
            </w:r>
          </w:p>
        </w:tc>
        <w:tc>
          <w:tcPr>
            <w:tcW w:w="714" w:type="pct"/>
          </w:tcPr>
          <w:p w14:paraId="2CB45B4B" w14:textId="77777777" w:rsidR="008A041D" w:rsidRDefault="00B31BCA" w:rsidP="0012306D">
            <w:pPr>
              <w:rPr>
                <w:rFonts w:ascii="Arial" w:hAnsi="Arial" w:cs="Arial"/>
                <w:sz w:val="24"/>
              </w:rPr>
            </w:pPr>
            <w:r>
              <w:rPr>
                <w:rFonts w:ascii="Arial" w:hAnsi="Arial" w:cs="Arial"/>
                <w:sz w:val="24"/>
              </w:rPr>
              <w:t>20%</w:t>
            </w:r>
          </w:p>
        </w:tc>
        <w:tc>
          <w:tcPr>
            <w:tcW w:w="714" w:type="pct"/>
          </w:tcPr>
          <w:p w14:paraId="1E1F0771" w14:textId="77777777" w:rsidR="008A041D" w:rsidRDefault="00B31BCA" w:rsidP="0012306D">
            <w:pPr>
              <w:rPr>
                <w:rFonts w:ascii="Arial" w:hAnsi="Arial" w:cs="Arial"/>
                <w:sz w:val="24"/>
              </w:rPr>
            </w:pPr>
            <w:r>
              <w:rPr>
                <w:rFonts w:ascii="Arial" w:hAnsi="Arial" w:cs="Arial"/>
                <w:sz w:val="24"/>
              </w:rPr>
              <w:t>14%</w:t>
            </w:r>
          </w:p>
        </w:tc>
        <w:tc>
          <w:tcPr>
            <w:tcW w:w="714" w:type="pct"/>
          </w:tcPr>
          <w:p w14:paraId="276D408F" w14:textId="77777777" w:rsidR="008A041D" w:rsidRDefault="00B31BCA" w:rsidP="0012306D">
            <w:pPr>
              <w:rPr>
                <w:rFonts w:ascii="Arial" w:hAnsi="Arial" w:cs="Arial"/>
                <w:sz w:val="24"/>
              </w:rPr>
            </w:pPr>
            <w:r>
              <w:rPr>
                <w:rFonts w:ascii="Arial" w:hAnsi="Arial" w:cs="Arial"/>
                <w:sz w:val="24"/>
              </w:rPr>
              <w:t>23%</w:t>
            </w:r>
          </w:p>
        </w:tc>
      </w:tr>
    </w:tbl>
    <w:p w14:paraId="69C00719" w14:textId="77777777" w:rsidR="0084267C" w:rsidRPr="0084267C" w:rsidRDefault="0084267C" w:rsidP="0084267C">
      <w:pPr>
        <w:rPr>
          <w:rFonts w:ascii="Arial" w:hAnsi="Arial" w:cs="Arial"/>
          <w:i/>
          <w:sz w:val="24"/>
        </w:rPr>
      </w:pPr>
      <w:r w:rsidRPr="0084267C">
        <w:rPr>
          <w:rFonts w:ascii="Arial" w:hAnsi="Arial" w:cs="Arial"/>
          <w:i/>
          <w:sz w:val="24"/>
        </w:rPr>
        <w:t xml:space="preserve">NOTE: Numbers may add up to over 100 per cent due to rounding. </w:t>
      </w:r>
    </w:p>
    <w:p w14:paraId="06DD2ABE" w14:textId="77777777" w:rsidR="0084267C" w:rsidRPr="0084267C" w:rsidRDefault="0084267C" w:rsidP="0084267C">
      <w:pPr>
        <w:rPr>
          <w:rFonts w:ascii="Arial" w:hAnsi="Arial" w:cs="Arial"/>
          <w:i/>
          <w:sz w:val="24"/>
        </w:rPr>
      </w:pPr>
      <w:r w:rsidRPr="0084267C">
        <w:rPr>
          <w:rFonts w:ascii="Arial" w:hAnsi="Arial" w:cs="Arial"/>
          <w:i/>
          <w:sz w:val="24"/>
        </w:rPr>
        <w:t>Source: NAPLAN and AToSS linked dataset, 2018, DET</w:t>
      </w:r>
    </w:p>
    <w:p w14:paraId="6DBD7AA3" w14:textId="77777777" w:rsidR="0084267C" w:rsidRPr="00F61E69" w:rsidRDefault="0084267C" w:rsidP="00F61E69">
      <w:pPr>
        <w:pStyle w:val="Heading3"/>
        <w:rPr>
          <w:rFonts w:ascii="Arial" w:hAnsi="Arial" w:cs="Arial"/>
          <w:color w:val="auto"/>
          <w:sz w:val="24"/>
        </w:rPr>
      </w:pPr>
      <w:bookmarkStart w:id="45" w:name="_Toc33527770"/>
      <w:r w:rsidRPr="00F61E69">
        <w:rPr>
          <w:rFonts w:ascii="Arial" w:hAnsi="Arial" w:cs="Arial"/>
          <w:color w:val="auto"/>
          <w:sz w:val="24"/>
        </w:rPr>
        <w:t>4.4</w:t>
      </w:r>
      <w:r w:rsidRPr="00F61E69">
        <w:rPr>
          <w:rFonts w:ascii="Arial" w:hAnsi="Arial" w:cs="Arial"/>
          <w:color w:val="auto"/>
          <w:sz w:val="24"/>
        </w:rPr>
        <w:tab/>
        <w:t>Adolescents’ attitudes towards attendance decline on the transition to secondary school, while absenteeism increases</w:t>
      </w:r>
      <w:bookmarkEnd w:id="45"/>
    </w:p>
    <w:p w14:paraId="1916A139" w14:textId="77777777" w:rsidR="00A20CF5" w:rsidRDefault="0084267C" w:rsidP="0084267C">
      <w:pPr>
        <w:rPr>
          <w:rFonts w:ascii="Arial" w:hAnsi="Arial" w:cs="Arial"/>
          <w:sz w:val="24"/>
        </w:rPr>
      </w:pPr>
      <w:r w:rsidRPr="0084267C">
        <w:rPr>
          <w:rFonts w:ascii="Arial" w:hAnsi="Arial" w:cs="Arial"/>
          <w:sz w:val="24"/>
        </w:rPr>
        <w:t>Absenteeism is a persistent challenge in the adolescent years and has been linked to adverse outcomes associated with heightened risk taking, authority-challenging behaviour, early school leaving and long-term low</w:t>
      </w:r>
      <w:r w:rsidR="00B7319E">
        <w:rPr>
          <w:rFonts w:ascii="Arial" w:hAnsi="Arial" w:cs="Arial"/>
          <w:sz w:val="24"/>
        </w:rPr>
        <w:t>er occupational status (Abbott-</w:t>
      </w:r>
      <w:r w:rsidRPr="0084267C">
        <w:rPr>
          <w:rFonts w:ascii="Arial" w:hAnsi="Arial" w:cs="Arial"/>
          <w:sz w:val="24"/>
        </w:rPr>
        <w:t>Chapman, Johnston, &amp; Jetson, 2014; Braams, van Duijvenvoorde, Peper, &amp; Crone, 2015; Curtis, 2015; Stewart, Bathy, &amp; Fisher, 2016; Schwab, 1999). Conversely, regular school attendance is associated with the development of social skills including making friends, teamwork, communication skills and self-esteem, as well as many abilities necessary to become productive and responsible adults (Australian Institute of Health and Welfare, 2012; Keating &amp; Hertzman, 1999; Zubrick, et al., 2006).</w:t>
      </w:r>
    </w:p>
    <w:p w14:paraId="1433D1AA" w14:textId="77777777" w:rsidR="00A20CF5" w:rsidRDefault="00A20CF5" w:rsidP="0084267C">
      <w:pPr>
        <w:rPr>
          <w:rFonts w:ascii="Arial" w:hAnsi="Arial" w:cs="Arial"/>
          <w:sz w:val="24"/>
        </w:rPr>
      </w:pPr>
    </w:p>
    <w:p w14:paraId="22FF24F3" w14:textId="6B1DE17B" w:rsidR="008B279A" w:rsidRPr="008B279A" w:rsidRDefault="008B279A" w:rsidP="008B279A">
      <w:pPr>
        <w:rPr>
          <w:rFonts w:ascii="Arial" w:hAnsi="Arial" w:cs="Arial"/>
          <w:sz w:val="24"/>
        </w:rPr>
      </w:pPr>
      <w:r w:rsidRPr="0018203F">
        <w:rPr>
          <w:rFonts w:ascii="Arial" w:hAnsi="Arial" w:cs="Arial"/>
          <w:sz w:val="24"/>
        </w:rPr>
        <w:t>As noted in the previous section, Victorian adolescents become consistently less positive in their attitudes to attendance when making the transition from Year 6 to Year 7. While Victoria</w:t>
      </w:r>
      <w:r w:rsidRPr="008B279A">
        <w:rPr>
          <w:rFonts w:ascii="Arial" w:hAnsi="Arial" w:cs="Arial"/>
          <w:sz w:val="24"/>
        </w:rPr>
        <w:t xml:space="preserve"> has the highest rate of attendance</w:t>
      </w:r>
      <w:r w:rsidR="006B2762">
        <w:rPr>
          <w:rFonts w:ascii="Arial" w:hAnsi="Arial" w:cs="Arial"/>
          <w:sz w:val="24"/>
        </w:rPr>
        <w:t xml:space="preserve"> (</w:t>
      </w:r>
      <w:r w:rsidR="006B2762" w:rsidRPr="006B2762">
        <w:rPr>
          <w:rFonts w:ascii="Arial" w:hAnsi="Arial" w:cs="Arial"/>
          <w:sz w:val="24"/>
        </w:rPr>
        <w:t xml:space="preserve">the number of actual full time equivalent student days attended by full time students as a percentage of the </w:t>
      </w:r>
      <w:r w:rsidR="006B2762" w:rsidRPr="006B2762">
        <w:rPr>
          <w:rFonts w:ascii="Arial" w:hAnsi="Arial" w:cs="Arial"/>
          <w:sz w:val="24"/>
        </w:rPr>
        <w:lastRenderedPageBreak/>
        <w:t>total number of possible student attendance days attended over the period</w:t>
      </w:r>
      <w:r w:rsidR="006B2762">
        <w:rPr>
          <w:rFonts w:ascii="Arial" w:hAnsi="Arial" w:cs="Arial"/>
          <w:sz w:val="24"/>
        </w:rPr>
        <w:t>)</w:t>
      </w:r>
      <w:r w:rsidRPr="008B279A">
        <w:rPr>
          <w:rFonts w:ascii="Arial" w:hAnsi="Arial" w:cs="Arial"/>
          <w:sz w:val="24"/>
        </w:rPr>
        <w:t xml:space="preserve"> in Australia, at 97 per cent across Years 1 to 10 (Productivity Commission, 2019), absenteeism remains an issue, particularly in the middle years of schooling.</w:t>
      </w:r>
    </w:p>
    <w:p w14:paraId="31394EFA" w14:textId="77777777" w:rsidR="008B279A" w:rsidRDefault="008B279A" w:rsidP="008B279A">
      <w:pPr>
        <w:rPr>
          <w:rFonts w:ascii="Arial" w:hAnsi="Arial" w:cs="Arial"/>
          <w:sz w:val="24"/>
        </w:rPr>
      </w:pPr>
      <w:r w:rsidRPr="008B279A">
        <w:rPr>
          <w:rFonts w:ascii="Arial" w:hAnsi="Arial" w:cs="Arial"/>
          <w:sz w:val="24"/>
        </w:rPr>
        <w:t xml:space="preserve">In 2018, students from Victorian government schools were absent for an average of 17 days—up from 16 days in 2015. Government school average absenteeism increases steadily on transition from Year 6 (16 days) to Year 7 (17 days) and peaks in Year 9 (23 days) before declining in the senior secondary years (Year 12, 16 days). </w:t>
      </w:r>
      <w:r w:rsidR="0018203F" w:rsidRPr="008B279A">
        <w:rPr>
          <w:rFonts w:ascii="Arial" w:hAnsi="Arial" w:cs="Arial"/>
          <w:sz w:val="24"/>
        </w:rPr>
        <w:t>Absenteeism</w:t>
      </w:r>
      <w:r w:rsidRPr="008B279A">
        <w:rPr>
          <w:rFonts w:ascii="Arial" w:hAnsi="Arial" w:cs="Arial"/>
          <w:sz w:val="24"/>
        </w:rPr>
        <w:t xml:space="preserve"> is more prevalent among Victorian children attending government schools in</w:t>
      </w:r>
      <w:r>
        <w:rPr>
          <w:rFonts w:ascii="Arial" w:hAnsi="Arial" w:cs="Arial"/>
          <w:sz w:val="24"/>
        </w:rPr>
        <w:t xml:space="preserve"> </w:t>
      </w:r>
      <w:r w:rsidRPr="008B279A">
        <w:rPr>
          <w:rFonts w:ascii="Arial" w:hAnsi="Arial" w:cs="Arial"/>
          <w:sz w:val="24"/>
        </w:rPr>
        <w:t>disadvantaged areas and among Aboriginal students in particular. However, it should be noted that absence data does not currently distinguish absence for Sorry Business, (a period of cultural practices following the death of a community member) which affects Aboriginal students. From 2020, DET absence data will distinguish absence for Sorry Business from other absences</w:t>
      </w:r>
      <w:r>
        <w:rPr>
          <w:rFonts w:ascii="Arial" w:hAnsi="Arial" w:cs="Arial"/>
          <w:sz w:val="24"/>
        </w:rPr>
        <w:t>.</w:t>
      </w:r>
    </w:p>
    <w:p w14:paraId="7E979858" w14:textId="77777777" w:rsidR="008B279A" w:rsidRDefault="008B279A" w:rsidP="008B279A">
      <w:pPr>
        <w:rPr>
          <w:rFonts w:ascii="Arial" w:hAnsi="Arial" w:cs="Arial"/>
          <w:b/>
          <w:sz w:val="24"/>
        </w:rPr>
      </w:pPr>
      <w:r w:rsidRPr="0018203F">
        <w:rPr>
          <w:rFonts w:ascii="Arial" w:hAnsi="Arial" w:cs="Arial"/>
          <w:b/>
          <w:sz w:val="24"/>
        </w:rPr>
        <w:t>Figure 34. Average number of student absence days (Victorian government schools), 2018</w:t>
      </w:r>
    </w:p>
    <w:tbl>
      <w:tblPr>
        <w:tblStyle w:val="TableGrid"/>
        <w:tblW w:w="5000" w:type="pct"/>
        <w:tblLook w:val="04A0" w:firstRow="1" w:lastRow="0" w:firstColumn="1" w:lastColumn="0" w:noHBand="0" w:noVBand="1"/>
        <w:tblDescription w:val="This table provides information on average number of student absence days (Victorian government schools), 2018"/>
      </w:tblPr>
      <w:tblGrid>
        <w:gridCol w:w="808"/>
        <w:gridCol w:w="684"/>
        <w:gridCol w:w="684"/>
        <w:gridCol w:w="684"/>
        <w:gridCol w:w="684"/>
        <w:gridCol w:w="684"/>
        <w:gridCol w:w="684"/>
        <w:gridCol w:w="684"/>
        <w:gridCol w:w="684"/>
        <w:gridCol w:w="684"/>
        <w:gridCol w:w="684"/>
        <w:gridCol w:w="684"/>
        <w:gridCol w:w="684"/>
      </w:tblGrid>
      <w:tr w:rsidR="00CF235D" w:rsidRPr="00054426" w14:paraId="34E9CFCC" w14:textId="77777777" w:rsidTr="00CF235D">
        <w:trPr>
          <w:tblHeader/>
        </w:trPr>
        <w:tc>
          <w:tcPr>
            <w:tcW w:w="471" w:type="pct"/>
          </w:tcPr>
          <w:p w14:paraId="18BC6BC5" w14:textId="77777777" w:rsidR="00CF235D" w:rsidRDefault="00CF235D" w:rsidP="00962223">
            <w:pPr>
              <w:rPr>
                <w:rFonts w:ascii="Arial" w:hAnsi="Arial" w:cs="Arial"/>
                <w:sz w:val="24"/>
              </w:rPr>
            </w:pPr>
            <w:r>
              <w:rPr>
                <w:rFonts w:ascii="Arial" w:hAnsi="Arial" w:cs="Arial"/>
                <w:sz w:val="24"/>
              </w:rPr>
              <w:t>Prep</w:t>
            </w:r>
          </w:p>
        </w:tc>
        <w:tc>
          <w:tcPr>
            <w:tcW w:w="391" w:type="pct"/>
          </w:tcPr>
          <w:p w14:paraId="0F7F2B87" w14:textId="77777777" w:rsidR="00CF235D" w:rsidRPr="00054426" w:rsidRDefault="00CF235D" w:rsidP="00CF235D">
            <w:pPr>
              <w:rPr>
                <w:rFonts w:ascii="Arial" w:hAnsi="Arial" w:cs="Arial"/>
                <w:sz w:val="24"/>
              </w:rPr>
            </w:pPr>
            <w:r>
              <w:rPr>
                <w:rFonts w:ascii="Arial" w:hAnsi="Arial" w:cs="Arial"/>
                <w:sz w:val="24"/>
              </w:rPr>
              <w:t>Yr 1</w:t>
            </w:r>
          </w:p>
        </w:tc>
        <w:tc>
          <w:tcPr>
            <w:tcW w:w="391" w:type="pct"/>
          </w:tcPr>
          <w:p w14:paraId="1CB58E0C" w14:textId="77777777" w:rsidR="00CF235D" w:rsidRDefault="00CF235D" w:rsidP="00CF235D">
            <w:pPr>
              <w:rPr>
                <w:rFonts w:ascii="Arial" w:hAnsi="Arial" w:cs="Arial"/>
                <w:sz w:val="24"/>
              </w:rPr>
            </w:pPr>
            <w:r>
              <w:rPr>
                <w:rFonts w:ascii="Arial" w:hAnsi="Arial" w:cs="Arial"/>
                <w:sz w:val="24"/>
              </w:rPr>
              <w:t>Yr 2</w:t>
            </w:r>
          </w:p>
        </w:tc>
        <w:tc>
          <w:tcPr>
            <w:tcW w:w="391" w:type="pct"/>
          </w:tcPr>
          <w:p w14:paraId="7C171814" w14:textId="77777777" w:rsidR="00CF235D" w:rsidRPr="00054426" w:rsidRDefault="00CF235D" w:rsidP="00962223">
            <w:pPr>
              <w:rPr>
                <w:rFonts w:ascii="Arial" w:hAnsi="Arial" w:cs="Arial"/>
                <w:sz w:val="24"/>
              </w:rPr>
            </w:pPr>
            <w:r>
              <w:rPr>
                <w:rFonts w:ascii="Arial" w:hAnsi="Arial" w:cs="Arial"/>
                <w:sz w:val="24"/>
              </w:rPr>
              <w:t>Yr 3</w:t>
            </w:r>
          </w:p>
        </w:tc>
        <w:tc>
          <w:tcPr>
            <w:tcW w:w="391" w:type="pct"/>
          </w:tcPr>
          <w:p w14:paraId="1D03C089" w14:textId="77777777" w:rsidR="00CF235D" w:rsidRDefault="00CF235D" w:rsidP="00962223">
            <w:pPr>
              <w:rPr>
                <w:rFonts w:ascii="Arial" w:hAnsi="Arial" w:cs="Arial"/>
                <w:sz w:val="24"/>
              </w:rPr>
            </w:pPr>
            <w:r>
              <w:rPr>
                <w:rFonts w:ascii="Arial" w:hAnsi="Arial" w:cs="Arial"/>
                <w:sz w:val="24"/>
              </w:rPr>
              <w:t>Yr 4</w:t>
            </w:r>
          </w:p>
        </w:tc>
        <w:tc>
          <w:tcPr>
            <w:tcW w:w="391" w:type="pct"/>
          </w:tcPr>
          <w:p w14:paraId="33FE189E" w14:textId="77777777" w:rsidR="00CF235D" w:rsidRPr="00054426" w:rsidRDefault="00CF235D" w:rsidP="00962223">
            <w:pPr>
              <w:rPr>
                <w:rFonts w:ascii="Arial" w:hAnsi="Arial" w:cs="Arial"/>
                <w:sz w:val="24"/>
              </w:rPr>
            </w:pPr>
            <w:r>
              <w:rPr>
                <w:rFonts w:ascii="Arial" w:hAnsi="Arial" w:cs="Arial"/>
                <w:sz w:val="24"/>
              </w:rPr>
              <w:t>Yr 5</w:t>
            </w:r>
          </w:p>
        </w:tc>
        <w:tc>
          <w:tcPr>
            <w:tcW w:w="391" w:type="pct"/>
          </w:tcPr>
          <w:p w14:paraId="36033EDD" w14:textId="77777777" w:rsidR="00CF235D" w:rsidRDefault="00CF235D" w:rsidP="00962223">
            <w:pPr>
              <w:rPr>
                <w:rFonts w:ascii="Arial" w:hAnsi="Arial" w:cs="Arial"/>
                <w:sz w:val="24"/>
              </w:rPr>
            </w:pPr>
            <w:r>
              <w:rPr>
                <w:rFonts w:ascii="Arial" w:hAnsi="Arial" w:cs="Arial"/>
                <w:sz w:val="24"/>
              </w:rPr>
              <w:t>Yr 6</w:t>
            </w:r>
          </w:p>
        </w:tc>
        <w:tc>
          <w:tcPr>
            <w:tcW w:w="365" w:type="pct"/>
          </w:tcPr>
          <w:p w14:paraId="358F797B" w14:textId="77777777" w:rsidR="00CF235D" w:rsidRDefault="00CF235D" w:rsidP="00962223">
            <w:pPr>
              <w:rPr>
                <w:rFonts w:ascii="Arial" w:hAnsi="Arial" w:cs="Arial"/>
                <w:sz w:val="24"/>
              </w:rPr>
            </w:pPr>
            <w:r>
              <w:rPr>
                <w:rFonts w:ascii="Arial" w:hAnsi="Arial" w:cs="Arial"/>
                <w:sz w:val="24"/>
              </w:rPr>
              <w:t>Yr 7</w:t>
            </w:r>
          </w:p>
        </w:tc>
        <w:tc>
          <w:tcPr>
            <w:tcW w:w="365" w:type="pct"/>
          </w:tcPr>
          <w:p w14:paraId="5C342B50" w14:textId="77777777" w:rsidR="00CF235D" w:rsidRDefault="00CF235D" w:rsidP="00962223">
            <w:pPr>
              <w:rPr>
                <w:rFonts w:ascii="Arial" w:hAnsi="Arial" w:cs="Arial"/>
                <w:sz w:val="24"/>
              </w:rPr>
            </w:pPr>
            <w:r>
              <w:rPr>
                <w:rFonts w:ascii="Arial" w:hAnsi="Arial" w:cs="Arial"/>
                <w:sz w:val="24"/>
              </w:rPr>
              <w:t>Yr 8</w:t>
            </w:r>
          </w:p>
        </w:tc>
        <w:tc>
          <w:tcPr>
            <w:tcW w:w="365" w:type="pct"/>
          </w:tcPr>
          <w:p w14:paraId="586E8EC7" w14:textId="77777777" w:rsidR="00CF235D" w:rsidRDefault="00CF235D" w:rsidP="00962223">
            <w:pPr>
              <w:rPr>
                <w:rFonts w:ascii="Arial" w:hAnsi="Arial" w:cs="Arial"/>
                <w:sz w:val="24"/>
              </w:rPr>
            </w:pPr>
            <w:r>
              <w:rPr>
                <w:rFonts w:ascii="Arial" w:hAnsi="Arial" w:cs="Arial"/>
                <w:sz w:val="24"/>
              </w:rPr>
              <w:t>Yr 9</w:t>
            </w:r>
          </w:p>
        </w:tc>
        <w:tc>
          <w:tcPr>
            <w:tcW w:w="365" w:type="pct"/>
          </w:tcPr>
          <w:p w14:paraId="246845A8" w14:textId="77777777" w:rsidR="00CF235D" w:rsidRDefault="00CF235D" w:rsidP="00962223">
            <w:pPr>
              <w:rPr>
                <w:rFonts w:ascii="Arial" w:hAnsi="Arial" w:cs="Arial"/>
                <w:sz w:val="24"/>
              </w:rPr>
            </w:pPr>
            <w:r>
              <w:rPr>
                <w:rFonts w:ascii="Arial" w:hAnsi="Arial" w:cs="Arial"/>
                <w:sz w:val="24"/>
              </w:rPr>
              <w:t>Yr 10</w:t>
            </w:r>
          </w:p>
        </w:tc>
        <w:tc>
          <w:tcPr>
            <w:tcW w:w="365" w:type="pct"/>
          </w:tcPr>
          <w:p w14:paraId="4F44FDF2" w14:textId="77777777" w:rsidR="00CF235D" w:rsidRDefault="00CF235D" w:rsidP="00962223">
            <w:pPr>
              <w:rPr>
                <w:rFonts w:ascii="Arial" w:hAnsi="Arial" w:cs="Arial"/>
                <w:sz w:val="24"/>
              </w:rPr>
            </w:pPr>
            <w:r>
              <w:rPr>
                <w:rFonts w:ascii="Arial" w:hAnsi="Arial" w:cs="Arial"/>
                <w:sz w:val="24"/>
              </w:rPr>
              <w:t>Yr 11</w:t>
            </w:r>
          </w:p>
        </w:tc>
        <w:tc>
          <w:tcPr>
            <w:tcW w:w="359" w:type="pct"/>
          </w:tcPr>
          <w:p w14:paraId="24CF046F" w14:textId="77777777" w:rsidR="00CF235D" w:rsidRDefault="00CF235D" w:rsidP="00CF235D">
            <w:pPr>
              <w:rPr>
                <w:rFonts w:ascii="Arial" w:hAnsi="Arial" w:cs="Arial"/>
                <w:sz w:val="24"/>
              </w:rPr>
            </w:pPr>
            <w:r>
              <w:rPr>
                <w:rFonts w:ascii="Arial" w:hAnsi="Arial" w:cs="Arial"/>
                <w:sz w:val="24"/>
              </w:rPr>
              <w:t>Yr 12</w:t>
            </w:r>
          </w:p>
        </w:tc>
      </w:tr>
      <w:tr w:rsidR="00CF235D" w14:paraId="19732F89" w14:textId="77777777" w:rsidTr="00CF235D">
        <w:tc>
          <w:tcPr>
            <w:tcW w:w="471" w:type="pct"/>
          </w:tcPr>
          <w:p w14:paraId="08D584CD" w14:textId="77777777" w:rsidR="00CF235D" w:rsidRDefault="00CF235D" w:rsidP="00962223">
            <w:pPr>
              <w:rPr>
                <w:rFonts w:ascii="Arial" w:hAnsi="Arial" w:cs="Arial"/>
                <w:sz w:val="24"/>
              </w:rPr>
            </w:pPr>
            <w:r>
              <w:rPr>
                <w:rFonts w:ascii="Arial" w:hAnsi="Arial" w:cs="Arial"/>
                <w:sz w:val="24"/>
              </w:rPr>
              <w:t>15.2</w:t>
            </w:r>
          </w:p>
        </w:tc>
        <w:tc>
          <w:tcPr>
            <w:tcW w:w="391" w:type="pct"/>
          </w:tcPr>
          <w:p w14:paraId="02546F17" w14:textId="77777777" w:rsidR="00CF235D" w:rsidRDefault="00CF235D" w:rsidP="00962223">
            <w:pPr>
              <w:rPr>
                <w:rFonts w:ascii="Arial" w:hAnsi="Arial" w:cs="Arial"/>
                <w:sz w:val="24"/>
              </w:rPr>
            </w:pPr>
            <w:r>
              <w:rPr>
                <w:rFonts w:ascii="Arial" w:hAnsi="Arial" w:cs="Arial"/>
                <w:sz w:val="24"/>
              </w:rPr>
              <w:t>15.4</w:t>
            </w:r>
          </w:p>
        </w:tc>
        <w:tc>
          <w:tcPr>
            <w:tcW w:w="391" w:type="pct"/>
          </w:tcPr>
          <w:p w14:paraId="7C3664D2" w14:textId="77777777" w:rsidR="00CF235D" w:rsidRDefault="00CF235D" w:rsidP="007310F3">
            <w:pPr>
              <w:rPr>
                <w:rFonts w:ascii="Arial" w:hAnsi="Arial" w:cs="Arial"/>
                <w:sz w:val="24"/>
              </w:rPr>
            </w:pPr>
            <w:r>
              <w:rPr>
                <w:rFonts w:ascii="Arial" w:hAnsi="Arial" w:cs="Arial"/>
                <w:sz w:val="24"/>
              </w:rPr>
              <w:t>14.</w:t>
            </w:r>
            <w:r w:rsidR="007310F3">
              <w:rPr>
                <w:rFonts w:ascii="Arial" w:hAnsi="Arial" w:cs="Arial"/>
                <w:sz w:val="24"/>
              </w:rPr>
              <w:t>8</w:t>
            </w:r>
          </w:p>
        </w:tc>
        <w:tc>
          <w:tcPr>
            <w:tcW w:w="391" w:type="pct"/>
          </w:tcPr>
          <w:p w14:paraId="4DC6D795" w14:textId="77777777" w:rsidR="00CF235D" w:rsidRDefault="007310F3" w:rsidP="00962223">
            <w:pPr>
              <w:rPr>
                <w:rFonts w:ascii="Arial" w:hAnsi="Arial" w:cs="Arial"/>
                <w:sz w:val="24"/>
              </w:rPr>
            </w:pPr>
            <w:r>
              <w:rPr>
                <w:rFonts w:ascii="Arial" w:hAnsi="Arial" w:cs="Arial"/>
                <w:sz w:val="24"/>
              </w:rPr>
              <w:t>14.8</w:t>
            </w:r>
          </w:p>
        </w:tc>
        <w:tc>
          <w:tcPr>
            <w:tcW w:w="391" w:type="pct"/>
          </w:tcPr>
          <w:p w14:paraId="6049534E" w14:textId="77777777" w:rsidR="00CF235D" w:rsidRDefault="007310F3" w:rsidP="00962223">
            <w:pPr>
              <w:rPr>
                <w:rFonts w:ascii="Arial" w:hAnsi="Arial" w:cs="Arial"/>
                <w:sz w:val="24"/>
              </w:rPr>
            </w:pPr>
            <w:r>
              <w:rPr>
                <w:rFonts w:ascii="Arial" w:hAnsi="Arial" w:cs="Arial"/>
                <w:sz w:val="24"/>
              </w:rPr>
              <w:t>15.0</w:t>
            </w:r>
          </w:p>
        </w:tc>
        <w:tc>
          <w:tcPr>
            <w:tcW w:w="391" w:type="pct"/>
          </w:tcPr>
          <w:p w14:paraId="780DD1EA" w14:textId="77777777" w:rsidR="00CF235D" w:rsidRDefault="007310F3" w:rsidP="00962223">
            <w:pPr>
              <w:rPr>
                <w:rFonts w:ascii="Arial" w:hAnsi="Arial" w:cs="Arial"/>
                <w:sz w:val="24"/>
              </w:rPr>
            </w:pPr>
            <w:r>
              <w:rPr>
                <w:rFonts w:ascii="Arial" w:hAnsi="Arial" w:cs="Arial"/>
                <w:sz w:val="24"/>
              </w:rPr>
              <w:t>15.6</w:t>
            </w:r>
          </w:p>
        </w:tc>
        <w:tc>
          <w:tcPr>
            <w:tcW w:w="391" w:type="pct"/>
          </w:tcPr>
          <w:p w14:paraId="453B0481" w14:textId="77777777" w:rsidR="00CF235D" w:rsidRDefault="007310F3" w:rsidP="00962223">
            <w:pPr>
              <w:rPr>
                <w:rFonts w:ascii="Arial" w:hAnsi="Arial" w:cs="Arial"/>
                <w:sz w:val="24"/>
              </w:rPr>
            </w:pPr>
            <w:r>
              <w:rPr>
                <w:rFonts w:ascii="Arial" w:hAnsi="Arial" w:cs="Arial"/>
                <w:sz w:val="24"/>
              </w:rPr>
              <w:t>16.3</w:t>
            </w:r>
          </w:p>
        </w:tc>
        <w:tc>
          <w:tcPr>
            <w:tcW w:w="365" w:type="pct"/>
          </w:tcPr>
          <w:p w14:paraId="0428A481" w14:textId="77777777" w:rsidR="00CF235D" w:rsidRDefault="007310F3" w:rsidP="00962223">
            <w:pPr>
              <w:rPr>
                <w:rFonts w:ascii="Arial" w:hAnsi="Arial" w:cs="Arial"/>
                <w:sz w:val="24"/>
              </w:rPr>
            </w:pPr>
            <w:r>
              <w:rPr>
                <w:rFonts w:ascii="Arial" w:hAnsi="Arial" w:cs="Arial"/>
                <w:sz w:val="24"/>
              </w:rPr>
              <w:t>17.4</w:t>
            </w:r>
          </w:p>
        </w:tc>
        <w:tc>
          <w:tcPr>
            <w:tcW w:w="365" w:type="pct"/>
          </w:tcPr>
          <w:p w14:paraId="263BA1F6" w14:textId="77777777" w:rsidR="00CF235D" w:rsidRDefault="007310F3" w:rsidP="00962223">
            <w:pPr>
              <w:rPr>
                <w:rFonts w:ascii="Arial" w:hAnsi="Arial" w:cs="Arial"/>
                <w:sz w:val="24"/>
              </w:rPr>
            </w:pPr>
            <w:r>
              <w:rPr>
                <w:rFonts w:ascii="Arial" w:hAnsi="Arial" w:cs="Arial"/>
                <w:sz w:val="24"/>
              </w:rPr>
              <w:t>21.3</w:t>
            </w:r>
          </w:p>
        </w:tc>
        <w:tc>
          <w:tcPr>
            <w:tcW w:w="365" w:type="pct"/>
          </w:tcPr>
          <w:p w14:paraId="58C11D94" w14:textId="77777777" w:rsidR="00CF235D" w:rsidRDefault="007310F3" w:rsidP="00962223">
            <w:pPr>
              <w:rPr>
                <w:rFonts w:ascii="Arial" w:hAnsi="Arial" w:cs="Arial"/>
                <w:sz w:val="24"/>
              </w:rPr>
            </w:pPr>
            <w:r>
              <w:rPr>
                <w:rFonts w:ascii="Arial" w:hAnsi="Arial" w:cs="Arial"/>
                <w:sz w:val="24"/>
              </w:rPr>
              <w:t>23.2</w:t>
            </w:r>
          </w:p>
        </w:tc>
        <w:tc>
          <w:tcPr>
            <w:tcW w:w="365" w:type="pct"/>
          </w:tcPr>
          <w:p w14:paraId="03988DFC" w14:textId="77777777" w:rsidR="00CF235D" w:rsidRDefault="007310F3" w:rsidP="00962223">
            <w:pPr>
              <w:rPr>
                <w:rFonts w:ascii="Arial" w:hAnsi="Arial" w:cs="Arial"/>
                <w:sz w:val="24"/>
              </w:rPr>
            </w:pPr>
            <w:r>
              <w:rPr>
                <w:rFonts w:ascii="Arial" w:hAnsi="Arial" w:cs="Arial"/>
                <w:sz w:val="24"/>
              </w:rPr>
              <w:t>20.7</w:t>
            </w:r>
          </w:p>
        </w:tc>
        <w:tc>
          <w:tcPr>
            <w:tcW w:w="365" w:type="pct"/>
          </w:tcPr>
          <w:p w14:paraId="0E8BC083" w14:textId="77777777" w:rsidR="00CF235D" w:rsidRDefault="007310F3" w:rsidP="00962223">
            <w:pPr>
              <w:rPr>
                <w:rFonts w:ascii="Arial" w:hAnsi="Arial" w:cs="Arial"/>
                <w:sz w:val="24"/>
              </w:rPr>
            </w:pPr>
            <w:r>
              <w:rPr>
                <w:rFonts w:ascii="Arial" w:hAnsi="Arial" w:cs="Arial"/>
                <w:sz w:val="24"/>
              </w:rPr>
              <w:t>17.7</w:t>
            </w:r>
          </w:p>
        </w:tc>
        <w:tc>
          <w:tcPr>
            <w:tcW w:w="359" w:type="pct"/>
          </w:tcPr>
          <w:p w14:paraId="22650B67" w14:textId="77777777" w:rsidR="00CF235D" w:rsidRDefault="007310F3" w:rsidP="00962223">
            <w:pPr>
              <w:rPr>
                <w:rFonts w:ascii="Arial" w:hAnsi="Arial" w:cs="Arial"/>
                <w:sz w:val="24"/>
              </w:rPr>
            </w:pPr>
            <w:r>
              <w:rPr>
                <w:rFonts w:ascii="Arial" w:hAnsi="Arial" w:cs="Arial"/>
                <w:sz w:val="24"/>
              </w:rPr>
              <w:t>15.9</w:t>
            </w:r>
          </w:p>
        </w:tc>
      </w:tr>
    </w:tbl>
    <w:p w14:paraId="72F34853" w14:textId="77777777" w:rsidR="008B279A" w:rsidRPr="00577952" w:rsidRDefault="00577952" w:rsidP="008B279A">
      <w:pPr>
        <w:rPr>
          <w:rFonts w:ascii="Arial" w:hAnsi="Arial" w:cs="Arial"/>
          <w:i/>
          <w:sz w:val="24"/>
        </w:rPr>
      </w:pPr>
      <w:r w:rsidRPr="00577952">
        <w:rPr>
          <w:rFonts w:ascii="Arial" w:hAnsi="Arial" w:cs="Arial"/>
          <w:i/>
          <w:sz w:val="24"/>
        </w:rPr>
        <w:t>Source: Victorian government school administrative data, 2018, DET</w:t>
      </w:r>
    </w:p>
    <w:p w14:paraId="7A2A82C6" w14:textId="77777777" w:rsidR="00577952" w:rsidRPr="00577952" w:rsidRDefault="00577952" w:rsidP="00577952">
      <w:pPr>
        <w:pBdr>
          <w:top w:val="single" w:sz="4" w:space="1" w:color="auto"/>
          <w:left w:val="single" w:sz="4" w:space="4" w:color="auto"/>
          <w:bottom w:val="single" w:sz="4" w:space="1" w:color="auto"/>
          <w:right w:val="single" w:sz="4" w:space="4" w:color="auto"/>
        </w:pBdr>
        <w:rPr>
          <w:rFonts w:ascii="Arial" w:hAnsi="Arial" w:cs="Arial"/>
          <w:sz w:val="24"/>
        </w:rPr>
      </w:pPr>
      <w:r w:rsidRPr="00577952">
        <w:rPr>
          <w:rFonts w:ascii="Arial" w:hAnsi="Arial" w:cs="Arial"/>
          <w:sz w:val="24"/>
        </w:rPr>
        <w:t>Victorian absence figures are consistent with the patterns observed in other states, for example Western Australia (Hancock, Shepherd, Lawrence, &amp; Zubrick, 2013), and other countries, such as the United States (Gottfried, 2009), which show that attendance gaps between priority groups and the statewide average remain constant throughout primary school, and widen during secondary school.</w:t>
      </w:r>
    </w:p>
    <w:p w14:paraId="4BE7D20D" w14:textId="77777777" w:rsidR="00577952" w:rsidRDefault="00577952" w:rsidP="00577952">
      <w:pPr>
        <w:pBdr>
          <w:top w:val="single" w:sz="4" w:space="1" w:color="auto"/>
          <w:left w:val="single" w:sz="4" w:space="4" w:color="auto"/>
          <w:bottom w:val="single" w:sz="4" w:space="1" w:color="auto"/>
          <w:right w:val="single" w:sz="4" w:space="4" w:color="auto"/>
        </w:pBdr>
        <w:rPr>
          <w:rFonts w:ascii="Arial" w:hAnsi="Arial" w:cs="Arial"/>
          <w:sz w:val="24"/>
          <w:highlight w:val="yellow"/>
        </w:rPr>
      </w:pPr>
      <w:r w:rsidRPr="00577952">
        <w:rPr>
          <w:rFonts w:ascii="Arial" w:hAnsi="Arial" w:cs="Arial"/>
          <w:sz w:val="24"/>
        </w:rPr>
        <w:t xml:space="preserve">In </w:t>
      </w:r>
      <w:r w:rsidRPr="0018203F">
        <w:rPr>
          <w:rFonts w:ascii="Arial" w:hAnsi="Arial" w:cs="Arial"/>
          <w:i/>
          <w:sz w:val="24"/>
        </w:rPr>
        <w:t>Every Day Counts,</w:t>
      </w:r>
      <w:r w:rsidRPr="00577952">
        <w:rPr>
          <w:rFonts w:ascii="Arial" w:hAnsi="Arial" w:cs="Arial"/>
          <w:sz w:val="24"/>
        </w:rPr>
        <w:t xml:space="preserve"> Hancock, Shepherd, Lawrence and Zubrick (2013) found that even small amounts of unauthorised absences are associated with substantial falls in average NAPLAN test scores. This effect accumulated as more days were missed. Achievement was impacted not only in the year in which the days were missed,</w:t>
      </w:r>
      <w:r>
        <w:rPr>
          <w:rFonts w:ascii="Arial" w:hAnsi="Arial" w:cs="Arial"/>
          <w:sz w:val="24"/>
        </w:rPr>
        <w:t xml:space="preserve"> </w:t>
      </w:r>
      <w:r w:rsidRPr="00577952">
        <w:rPr>
          <w:rFonts w:ascii="Arial" w:hAnsi="Arial" w:cs="Arial"/>
          <w:sz w:val="24"/>
        </w:rPr>
        <w:t>but also in subsequent years.</w:t>
      </w:r>
    </w:p>
    <w:p w14:paraId="17721AC3" w14:textId="77777777" w:rsidR="00A43F1A" w:rsidRPr="00F61E69" w:rsidRDefault="00A43F1A" w:rsidP="00F61E69">
      <w:pPr>
        <w:pStyle w:val="Heading3"/>
        <w:rPr>
          <w:rFonts w:ascii="Arial" w:hAnsi="Arial" w:cs="Arial"/>
          <w:color w:val="auto"/>
          <w:sz w:val="24"/>
        </w:rPr>
      </w:pPr>
      <w:bookmarkStart w:id="46" w:name="_Toc33527771"/>
      <w:r w:rsidRPr="00F61E69">
        <w:rPr>
          <w:rFonts w:ascii="Arial" w:hAnsi="Arial" w:cs="Arial"/>
          <w:color w:val="auto"/>
          <w:sz w:val="24"/>
        </w:rPr>
        <w:t>4.5</w:t>
      </w:r>
      <w:r w:rsidRPr="00F61E69">
        <w:rPr>
          <w:rFonts w:ascii="Arial" w:hAnsi="Arial" w:cs="Arial"/>
          <w:color w:val="auto"/>
          <w:sz w:val="24"/>
        </w:rPr>
        <w:tab/>
        <w:t>Chronic absence peaks in adolescence</w:t>
      </w:r>
      <w:bookmarkEnd w:id="46"/>
    </w:p>
    <w:p w14:paraId="0F795CBF" w14:textId="77777777" w:rsidR="00A43F1A" w:rsidRPr="00A43F1A" w:rsidRDefault="00A43F1A" w:rsidP="00A43F1A">
      <w:pPr>
        <w:rPr>
          <w:rFonts w:ascii="Arial" w:hAnsi="Arial" w:cs="Arial"/>
          <w:sz w:val="24"/>
        </w:rPr>
      </w:pPr>
      <w:r w:rsidRPr="00A43F1A">
        <w:rPr>
          <w:rFonts w:ascii="Arial" w:hAnsi="Arial" w:cs="Arial"/>
          <w:sz w:val="24"/>
        </w:rPr>
        <w:t>Chronic absenteeism (defined by DET as more than 30 days absent per year) is a key risk factor for disengagement from schooling and early leaving. Government school administrative data shows that the majority of reported absence days are attributable to chronically absent students, with these proportions highest among Aboriginal (see above regarding Sorry Business) and disadvantaged students, as well as students who have changed schools three or more times (highly mobile students).</w:t>
      </w:r>
    </w:p>
    <w:p w14:paraId="3DE7BDD0" w14:textId="77777777" w:rsidR="00594B3D" w:rsidRDefault="00A43F1A" w:rsidP="00A43F1A">
      <w:pPr>
        <w:rPr>
          <w:rFonts w:ascii="Arial" w:hAnsi="Arial" w:cs="Arial"/>
          <w:sz w:val="24"/>
        </w:rPr>
      </w:pPr>
      <w:r w:rsidRPr="00A43F1A">
        <w:rPr>
          <w:rFonts w:ascii="Arial" w:hAnsi="Arial" w:cs="Arial"/>
          <w:sz w:val="24"/>
        </w:rPr>
        <w:t xml:space="preserve">Around one in eight (13 per cent) government school students were chronically absent in 2018. Years 8, 9 and 10 had the highest proportion of chronically absent </w:t>
      </w:r>
      <w:r w:rsidRPr="00A43F1A">
        <w:rPr>
          <w:rFonts w:ascii="Arial" w:hAnsi="Arial" w:cs="Arial"/>
          <w:sz w:val="24"/>
        </w:rPr>
        <w:lastRenderedPageBreak/>
        <w:t>students, peaking in Year 9 when over one in five students missed 30 or more days of school.</w:t>
      </w:r>
    </w:p>
    <w:p w14:paraId="7E69B7C4" w14:textId="77777777" w:rsidR="00A43F1A" w:rsidRPr="00467486" w:rsidRDefault="00A43F1A" w:rsidP="00A43F1A">
      <w:pPr>
        <w:rPr>
          <w:rFonts w:ascii="Arial" w:hAnsi="Arial" w:cs="Arial"/>
          <w:b/>
          <w:sz w:val="24"/>
        </w:rPr>
      </w:pPr>
      <w:r w:rsidRPr="00467486">
        <w:rPr>
          <w:rFonts w:ascii="Arial" w:hAnsi="Arial" w:cs="Arial"/>
          <w:b/>
          <w:sz w:val="24"/>
        </w:rPr>
        <w:t>Figure 35. Proportion of government school students who were chronically absent by year level, 2018</w:t>
      </w:r>
    </w:p>
    <w:tbl>
      <w:tblPr>
        <w:tblStyle w:val="TableGrid"/>
        <w:tblW w:w="5000" w:type="pct"/>
        <w:tblLook w:val="04A0" w:firstRow="1" w:lastRow="0" w:firstColumn="1" w:lastColumn="0" w:noHBand="0" w:noVBand="1"/>
        <w:tblDescription w:val="This table provides information on the proportion of government school students who were chronically absent by year leve (Prep to Year 6)l, 2018"/>
      </w:tblPr>
      <w:tblGrid>
        <w:gridCol w:w="1346"/>
        <w:gridCol w:w="1345"/>
        <w:gridCol w:w="1145"/>
        <w:gridCol w:w="1145"/>
        <w:gridCol w:w="1345"/>
        <w:gridCol w:w="1345"/>
        <w:gridCol w:w="1345"/>
      </w:tblGrid>
      <w:tr w:rsidR="0018203F" w:rsidRPr="00054426" w14:paraId="14E85016" w14:textId="77777777" w:rsidTr="0018203F">
        <w:trPr>
          <w:tblHeader/>
        </w:trPr>
        <w:tc>
          <w:tcPr>
            <w:tcW w:w="746" w:type="pct"/>
          </w:tcPr>
          <w:p w14:paraId="38BBC6ED" w14:textId="77777777" w:rsidR="0018203F" w:rsidRDefault="0018203F" w:rsidP="00962223">
            <w:pPr>
              <w:rPr>
                <w:rFonts w:ascii="Arial" w:hAnsi="Arial" w:cs="Arial"/>
                <w:sz w:val="24"/>
              </w:rPr>
            </w:pPr>
            <w:r>
              <w:rPr>
                <w:rFonts w:ascii="Arial" w:hAnsi="Arial" w:cs="Arial"/>
                <w:sz w:val="24"/>
              </w:rPr>
              <w:t>Prep</w:t>
            </w:r>
          </w:p>
        </w:tc>
        <w:tc>
          <w:tcPr>
            <w:tcW w:w="746" w:type="pct"/>
          </w:tcPr>
          <w:p w14:paraId="16CB3B28" w14:textId="77777777" w:rsidR="0018203F" w:rsidRPr="00054426" w:rsidRDefault="0018203F" w:rsidP="00962223">
            <w:pPr>
              <w:rPr>
                <w:rFonts w:ascii="Arial" w:hAnsi="Arial" w:cs="Arial"/>
                <w:sz w:val="24"/>
              </w:rPr>
            </w:pPr>
            <w:r>
              <w:rPr>
                <w:rFonts w:ascii="Arial" w:hAnsi="Arial" w:cs="Arial"/>
                <w:sz w:val="24"/>
              </w:rPr>
              <w:t>Yr 1</w:t>
            </w:r>
          </w:p>
        </w:tc>
        <w:tc>
          <w:tcPr>
            <w:tcW w:w="635" w:type="pct"/>
          </w:tcPr>
          <w:p w14:paraId="0DA924D5" w14:textId="77777777" w:rsidR="0018203F" w:rsidRDefault="0018203F" w:rsidP="00962223">
            <w:pPr>
              <w:rPr>
                <w:rFonts w:ascii="Arial" w:hAnsi="Arial" w:cs="Arial"/>
                <w:sz w:val="24"/>
              </w:rPr>
            </w:pPr>
            <w:r>
              <w:rPr>
                <w:rFonts w:ascii="Arial" w:hAnsi="Arial" w:cs="Arial"/>
                <w:sz w:val="24"/>
              </w:rPr>
              <w:t>Yr 2</w:t>
            </w:r>
          </w:p>
        </w:tc>
        <w:tc>
          <w:tcPr>
            <w:tcW w:w="635" w:type="pct"/>
          </w:tcPr>
          <w:p w14:paraId="2CF6B4CE" w14:textId="77777777" w:rsidR="0018203F" w:rsidRPr="00054426" w:rsidRDefault="0018203F" w:rsidP="00962223">
            <w:pPr>
              <w:rPr>
                <w:rFonts w:ascii="Arial" w:hAnsi="Arial" w:cs="Arial"/>
                <w:sz w:val="24"/>
              </w:rPr>
            </w:pPr>
            <w:r>
              <w:rPr>
                <w:rFonts w:ascii="Arial" w:hAnsi="Arial" w:cs="Arial"/>
                <w:sz w:val="24"/>
              </w:rPr>
              <w:t>Yr 3</w:t>
            </w:r>
          </w:p>
        </w:tc>
        <w:tc>
          <w:tcPr>
            <w:tcW w:w="746" w:type="pct"/>
          </w:tcPr>
          <w:p w14:paraId="0F8309DF" w14:textId="77777777" w:rsidR="0018203F" w:rsidRDefault="0018203F" w:rsidP="00962223">
            <w:pPr>
              <w:rPr>
                <w:rFonts w:ascii="Arial" w:hAnsi="Arial" w:cs="Arial"/>
                <w:sz w:val="24"/>
              </w:rPr>
            </w:pPr>
            <w:r>
              <w:rPr>
                <w:rFonts w:ascii="Arial" w:hAnsi="Arial" w:cs="Arial"/>
                <w:sz w:val="24"/>
              </w:rPr>
              <w:t>Yr 4</w:t>
            </w:r>
          </w:p>
        </w:tc>
        <w:tc>
          <w:tcPr>
            <w:tcW w:w="746" w:type="pct"/>
          </w:tcPr>
          <w:p w14:paraId="311E6AFB" w14:textId="77777777" w:rsidR="0018203F" w:rsidRPr="00054426" w:rsidRDefault="0018203F" w:rsidP="00962223">
            <w:pPr>
              <w:rPr>
                <w:rFonts w:ascii="Arial" w:hAnsi="Arial" w:cs="Arial"/>
                <w:sz w:val="24"/>
              </w:rPr>
            </w:pPr>
            <w:r>
              <w:rPr>
                <w:rFonts w:ascii="Arial" w:hAnsi="Arial" w:cs="Arial"/>
                <w:sz w:val="24"/>
              </w:rPr>
              <w:t>Yr 5</w:t>
            </w:r>
          </w:p>
        </w:tc>
        <w:tc>
          <w:tcPr>
            <w:tcW w:w="746" w:type="pct"/>
          </w:tcPr>
          <w:p w14:paraId="76FAF725" w14:textId="77777777" w:rsidR="0018203F" w:rsidRDefault="0018203F" w:rsidP="00962223">
            <w:pPr>
              <w:rPr>
                <w:rFonts w:ascii="Arial" w:hAnsi="Arial" w:cs="Arial"/>
                <w:sz w:val="24"/>
              </w:rPr>
            </w:pPr>
            <w:r>
              <w:rPr>
                <w:rFonts w:ascii="Arial" w:hAnsi="Arial" w:cs="Arial"/>
                <w:sz w:val="24"/>
              </w:rPr>
              <w:t>Yr 6</w:t>
            </w:r>
          </w:p>
        </w:tc>
      </w:tr>
      <w:tr w:rsidR="0018203F" w14:paraId="69810903" w14:textId="77777777" w:rsidTr="0018203F">
        <w:tc>
          <w:tcPr>
            <w:tcW w:w="746" w:type="pct"/>
          </w:tcPr>
          <w:p w14:paraId="2F552965" w14:textId="77777777" w:rsidR="0018203F" w:rsidRDefault="0018203F" w:rsidP="00962223">
            <w:pPr>
              <w:rPr>
                <w:rFonts w:ascii="Arial" w:hAnsi="Arial" w:cs="Arial"/>
                <w:sz w:val="24"/>
              </w:rPr>
            </w:pPr>
            <w:r>
              <w:rPr>
                <w:rFonts w:ascii="Arial" w:hAnsi="Arial" w:cs="Arial"/>
                <w:sz w:val="24"/>
              </w:rPr>
              <w:t>10.3%</w:t>
            </w:r>
          </w:p>
        </w:tc>
        <w:tc>
          <w:tcPr>
            <w:tcW w:w="746" w:type="pct"/>
          </w:tcPr>
          <w:p w14:paraId="7121D384" w14:textId="77777777" w:rsidR="0018203F" w:rsidRDefault="0018203F" w:rsidP="00962223">
            <w:pPr>
              <w:rPr>
                <w:rFonts w:ascii="Arial" w:hAnsi="Arial" w:cs="Arial"/>
                <w:sz w:val="24"/>
              </w:rPr>
            </w:pPr>
            <w:r>
              <w:rPr>
                <w:rFonts w:ascii="Arial" w:hAnsi="Arial" w:cs="Arial"/>
                <w:sz w:val="24"/>
              </w:rPr>
              <w:t>10.2%</w:t>
            </w:r>
          </w:p>
        </w:tc>
        <w:tc>
          <w:tcPr>
            <w:tcW w:w="635" w:type="pct"/>
          </w:tcPr>
          <w:p w14:paraId="39BC6843" w14:textId="77777777" w:rsidR="0018203F" w:rsidRDefault="0018203F" w:rsidP="00962223">
            <w:pPr>
              <w:rPr>
                <w:rFonts w:ascii="Arial" w:hAnsi="Arial" w:cs="Arial"/>
                <w:sz w:val="24"/>
              </w:rPr>
            </w:pPr>
            <w:r>
              <w:rPr>
                <w:rFonts w:ascii="Arial" w:hAnsi="Arial" w:cs="Arial"/>
                <w:sz w:val="24"/>
              </w:rPr>
              <w:t>9.4%</w:t>
            </w:r>
          </w:p>
        </w:tc>
        <w:tc>
          <w:tcPr>
            <w:tcW w:w="635" w:type="pct"/>
          </w:tcPr>
          <w:p w14:paraId="0BF8AF2E" w14:textId="77777777" w:rsidR="0018203F" w:rsidRDefault="0018203F" w:rsidP="00962223">
            <w:pPr>
              <w:rPr>
                <w:rFonts w:ascii="Arial" w:hAnsi="Arial" w:cs="Arial"/>
                <w:sz w:val="24"/>
              </w:rPr>
            </w:pPr>
            <w:r>
              <w:rPr>
                <w:rFonts w:ascii="Arial" w:hAnsi="Arial" w:cs="Arial"/>
                <w:sz w:val="24"/>
              </w:rPr>
              <w:t>9.5%</w:t>
            </w:r>
          </w:p>
        </w:tc>
        <w:tc>
          <w:tcPr>
            <w:tcW w:w="746" w:type="pct"/>
          </w:tcPr>
          <w:p w14:paraId="5E652D35" w14:textId="77777777" w:rsidR="0018203F" w:rsidRDefault="0018203F" w:rsidP="00962223">
            <w:pPr>
              <w:rPr>
                <w:rFonts w:ascii="Arial" w:hAnsi="Arial" w:cs="Arial"/>
                <w:sz w:val="24"/>
              </w:rPr>
            </w:pPr>
            <w:r>
              <w:rPr>
                <w:rFonts w:ascii="Arial" w:hAnsi="Arial" w:cs="Arial"/>
                <w:sz w:val="24"/>
              </w:rPr>
              <w:t>10.1%</w:t>
            </w:r>
          </w:p>
        </w:tc>
        <w:tc>
          <w:tcPr>
            <w:tcW w:w="746" w:type="pct"/>
          </w:tcPr>
          <w:p w14:paraId="6A843E9E" w14:textId="77777777" w:rsidR="0018203F" w:rsidRDefault="0018203F" w:rsidP="00962223">
            <w:pPr>
              <w:rPr>
                <w:rFonts w:ascii="Arial" w:hAnsi="Arial" w:cs="Arial"/>
                <w:sz w:val="24"/>
              </w:rPr>
            </w:pPr>
            <w:r>
              <w:rPr>
                <w:rFonts w:ascii="Arial" w:hAnsi="Arial" w:cs="Arial"/>
                <w:sz w:val="24"/>
              </w:rPr>
              <w:t>10.9%</w:t>
            </w:r>
          </w:p>
        </w:tc>
        <w:tc>
          <w:tcPr>
            <w:tcW w:w="746" w:type="pct"/>
          </w:tcPr>
          <w:p w14:paraId="6E63109B" w14:textId="77777777" w:rsidR="0018203F" w:rsidRDefault="0018203F" w:rsidP="00962223">
            <w:pPr>
              <w:rPr>
                <w:rFonts w:ascii="Arial" w:hAnsi="Arial" w:cs="Arial"/>
                <w:sz w:val="24"/>
              </w:rPr>
            </w:pPr>
            <w:r>
              <w:rPr>
                <w:rFonts w:ascii="Arial" w:hAnsi="Arial" w:cs="Arial"/>
                <w:sz w:val="24"/>
              </w:rPr>
              <w:t>12.0%</w:t>
            </w:r>
          </w:p>
        </w:tc>
      </w:tr>
    </w:tbl>
    <w:p w14:paraId="164397ED" w14:textId="77777777" w:rsidR="0018203F" w:rsidRDefault="0018203F" w:rsidP="00A43F1A">
      <w:pPr>
        <w:rPr>
          <w:rFonts w:ascii="Arial" w:hAnsi="Arial" w:cs="Arial"/>
          <w:i/>
          <w:sz w:val="24"/>
        </w:rPr>
      </w:pPr>
    </w:p>
    <w:tbl>
      <w:tblPr>
        <w:tblStyle w:val="TableGrid"/>
        <w:tblW w:w="5000" w:type="pct"/>
        <w:tblLook w:val="04A0" w:firstRow="1" w:lastRow="0" w:firstColumn="1" w:lastColumn="0" w:noHBand="0" w:noVBand="1"/>
        <w:tblDescription w:val="This table provides information on the proportion of government school students who were chronically absent by year leve (Year 7 to Year 12)l, 2018"/>
      </w:tblPr>
      <w:tblGrid>
        <w:gridCol w:w="1541"/>
        <w:gridCol w:w="1541"/>
        <w:gridCol w:w="1541"/>
        <w:gridCol w:w="1540"/>
        <w:gridCol w:w="1540"/>
        <w:gridCol w:w="1313"/>
      </w:tblGrid>
      <w:tr w:rsidR="0018203F" w:rsidRPr="00054426" w14:paraId="1169A1C8" w14:textId="77777777" w:rsidTr="0018203F">
        <w:trPr>
          <w:tblHeader/>
        </w:trPr>
        <w:tc>
          <w:tcPr>
            <w:tcW w:w="854" w:type="pct"/>
          </w:tcPr>
          <w:p w14:paraId="3A281ECA" w14:textId="77777777" w:rsidR="0018203F" w:rsidRDefault="0018203F" w:rsidP="00467486">
            <w:pPr>
              <w:rPr>
                <w:rFonts w:ascii="Arial" w:hAnsi="Arial" w:cs="Arial"/>
                <w:sz w:val="24"/>
              </w:rPr>
            </w:pPr>
            <w:r>
              <w:rPr>
                <w:rFonts w:ascii="Arial" w:hAnsi="Arial" w:cs="Arial"/>
                <w:sz w:val="24"/>
              </w:rPr>
              <w:t>Yr 7</w:t>
            </w:r>
          </w:p>
        </w:tc>
        <w:tc>
          <w:tcPr>
            <w:tcW w:w="854" w:type="pct"/>
          </w:tcPr>
          <w:p w14:paraId="3031EDFF" w14:textId="77777777" w:rsidR="0018203F" w:rsidRDefault="0018203F" w:rsidP="00467486">
            <w:pPr>
              <w:rPr>
                <w:rFonts w:ascii="Arial" w:hAnsi="Arial" w:cs="Arial"/>
                <w:sz w:val="24"/>
              </w:rPr>
            </w:pPr>
            <w:r>
              <w:rPr>
                <w:rFonts w:ascii="Arial" w:hAnsi="Arial" w:cs="Arial"/>
                <w:sz w:val="24"/>
              </w:rPr>
              <w:t>Yr 8</w:t>
            </w:r>
          </w:p>
        </w:tc>
        <w:tc>
          <w:tcPr>
            <w:tcW w:w="854" w:type="pct"/>
          </w:tcPr>
          <w:p w14:paraId="06841579" w14:textId="77777777" w:rsidR="0018203F" w:rsidRDefault="0018203F" w:rsidP="00467486">
            <w:pPr>
              <w:rPr>
                <w:rFonts w:ascii="Arial" w:hAnsi="Arial" w:cs="Arial"/>
                <w:sz w:val="24"/>
              </w:rPr>
            </w:pPr>
            <w:r>
              <w:rPr>
                <w:rFonts w:ascii="Arial" w:hAnsi="Arial" w:cs="Arial"/>
                <w:sz w:val="24"/>
              </w:rPr>
              <w:t>Yr 9</w:t>
            </w:r>
          </w:p>
        </w:tc>
        <w:tc>
          <w:tcPr>
            <w:tcW w:w="854" w:type="pct"/>
          </w:tcPr>
          <w:p w14:paraId="14388186" w14:textId="77777777" w:rsidR="0018203F" w:rsidRDefault="0018203F" w:rsidP="00467486">
            <w:pPr>
              <w:rPr>
                <w:rFonts w:ascii="Arial" w:hAnsi="Arial" w:cs="Arial"/>
                <w:sz w:val="24"/>
              </w:rPr>
            </w:pPr>
            <w:r>
              <w:rPr>
                <w:rFonts w:ascii="Arial" w:hAnsi="Arial" w:cs="Arial"/>
                <w:sz w:val="24"/>
              </w:rPr>
              <w:t>Yr 10</w:t>
            </w:r>
          </w:p>
        </w:tc>
        <w:tc>
          <w:tcPr>
            <w:tcW w:w="854" w:type="pct"/>
          </w:tcPr>
          <w:p w14:paraId="56CDBEDB" w14:textId="77777777" w:rsidR="0018203F" w:rsidRDefault="0018203F" w:rsidP="00467486">
            <w:pPr>
              <w:rPr>
                <w:rFonts w:ascii="Arial" w:hAnsi="Arial" w:cs="Arial"/>
                <w:sz w:val="24"/>
              </w:rPr>
            </w:pPr>
            <w:r>
              <w:rPr>
                <w:rFonts w:ascii="Arial" w:hAnsi="Arial" w:cs="Arial"/>
                <w:sz w:val="24"/>
              </w:rPr>
              <w:t>Yr 11</w:t>
            </w:r>
          </w:p>
        </w:tc>
        <w:tc>
          <w:tcPr>
            <w:tcW w:w="728" w:type="pct"/>
          </w:tcPr>
          <w:p w14:paraId="2E1FB4D9" w14:textId="77777777" w:rsidR="0018203F" w:rsidRDefault="0018203F" w:rsidP="00467486">
            <w:pPr>
              <w:rPr>
                <w:rFonts w:ascii="Arial" w:hAnsi="Arial" w:cs="Arial"/>
                <w:sz w:val="24"/>
              </w:rPr>
            </w:pPr>
            <w:r>
              <w:rPr>
                <w:rFonts w:ascii="Arial" w:hAnsi="Arial" w:cs="Arial"/>
                <w:sz w:val="24"/>
              </w:rPr>
              <w:t>Yr 12</w:t>
            </w:r>
          </w:p>
        </w:tc>
      </w:tr>
      <w:tr w:rsidR="0018203F" w14:paraId="14CEB06D" w14:textId="77777777" w:rsidTr="0018203F">
        <w:tc>
          <w:tcPr>
            <w:tcW w:w="854" w:type="pct"/>
          </w:tcPr>
          <w:p w14:paraId="1C702AEF" w14:textId="77777777" w:rsidR="0018203F" w:rsidRDefault="0018203F" w:rsidP="00467486">
            <w:pPr>
              <w:rPr>
                <w:rFonts w:ascii="Arial" w:hAnsi="Arial" w:cs="Arial"/>
                <w:sz w:val="24"/>
              </w:rPr>
            </w:pPr>
            <w:r>
              <w:rPr>
                <w:rFonts w:ascii="Arial" w:hAnsi="Arial" w:cs="Arial"/>
                <w:sz w:val="24"/>
              </w:rPr>
              <w:t>13.9%</w:t>
            </w:r>
          </w:p>
        </w:tc>
        <w:tc>
          <w:tcPr>
            <w:tcW w:w="854" w:type="pct"/>
          </w:tcPr>
          <w:p w14:paraId="162BCBEC" w14:textId="77777777" w:rsidR="0018203F" w:rsidRDefault="0018203F" w:rsidP="00467486">
            <w:pPr>
              <w:rPr>
                <w:rFonts w:ascii="Arial" w:hAnsi="Arial" w:cs="Arial"/>
                <w:sz w:val="24"/>
              </w:rPr>
            </w:pPr>
            <w:r>
              <w:rPr>
                <w:rFonts w:ascii="Arial" w:hAnsi="Arial" w:cs="Arial"/>
                <w:sz w:val="24"/>
              </w:rPr>
              <w:t>19.4%</w:t>
            </w:r>
          </w:p>
        </w:tc>
        <w:tc>
          <w:tcPr>
            <w:tcW w:w="854" w:type="pct"/>
          </w:tcPr>
          <w:p w14:paraId="293ADFF2" w14:textId="77777777" w:rsidR="0018203F" w:rsidRDefault="0018203F" w:rsidP="00467486">
            <w:pPr>
              <w:rPr>
                <w:rFonts w:ascii="Arial" w:hAnsi="Arial" w:cs="Arial"/>
                <w:sz w:val="24"/>
              </w:rPr>
            </w:pPr>
            <w:r>
              <w:rPr>
                <w:rFonts w:ascii="Arial" w:hAnsi="Arial" w:cs="Arial"/>
                <w:sz w:val="24"/>
              </w:rPr>
              <w:t>22.2%</w:t>
            </w:r>
          </w:p>
        </w:tc>
        <w:tc>
          <w:tcPr>
            <w:tcW w:w="854" w:type="pct"/>
          </w:tcPr>
          <w:p w14:paraId="52AE1E21" w14:textId="77777777" w:rsidR="0018203F" w:rsidRDefault="0018203F" w:rsidP="00467486">
            <w:pPr>
              <w:rPr>
                <w:rFonts w:ascii="Arial" w:hAnsi="Arial" w:cs="Arial"/>
                <w:sz w:val="24"/>
              </w:rPr>
            </w:pPr>
            <w:r>
              <w:rPr>
                <w:rFonts w:ascii="Arial" w:hAnsi="Arial" w:cs="Arial"/>
                <w:sz w:val="24"/>
              </w:rPr>
              <w:t>19.8%</w:t>
            </w:r>
          </w:p>
        </w:tc>
        <w:tc>
          <w:tcPr>
            <w:tcW w:w="854" w:type="pct"/>
          </w:tcPr>
          <w:p w14:paraId="7CC6C24F" w14:textId="77777777" w:rsidR="0018203F" w:rsidRDefault="0018203F" w:rsidP="00467486">
            <w:pPr>
              <w:rPr>
                <w:rFonts w:ascii="Arial" w:hAnsi="Arial" w:cs="Arial"/>
                <w:sz w:val="24"/>
              </w:rPr>
            </w:pPr>
            <w:r>
              <w:rPr>
                <w:rFonts w:ascii="Arial" w:hAnsi="Arial" w:cs="Arial"/>
                <w:sz w:val="24"/>
              </w:rPr>
              <w:t>14.2%</w:t>
            </w:r>
          </w:p>
        </w:tc>
        <w:tc>
          <w:tcPr>
            <w:tcW w:w="728" w:type="pct"/>
          </w:tcPr>
          <w:p w14:paraId="7019473C" w14:textId="77777777" w:rsidR="0018203F" w:rsidRDefault="0018203F" w:rsidP="00467486">
            <w:pPr>
              <w:rPr>
                <w:rFonts w:ascii="Arial" w:hAnsi="Arial" w:cs="Arial"/>
                <w:sz w:val="24"/>
              </w:rPr>
            </w:pPr>
            <w:r>
              <w:rPr>
                <w:rFonts w:ascii="Arial" w:hAnsi="Arial" w:cs="Arial"/>
                <w:sz w:val="24"/>
              </w:rPr>
              <w:t>9.4%</w:t>
            </w:r>
          </w:p>
        </w:tc>
      </w:tr>
    </w:tbl>
    <w:p w14:paraId="5853012A" w14:textId="77777777" w:rsidR="00A43F1A" w:rsidRPr="00A43F1A" w:rsidRDefault="00A43F1A" w:rsidP="00A43F1A">
      <w:pPr>
        <w:rPr>
          <w:rFonts w:ascii="Arial" w:hAnsi="Arial" w:cs="Arial"/>
          <w:i/>
          <w:sz w:val="24"/>
        </w:rPr>
      </w:pPr>
      <w:r w:rsidRPr="00A43F1A">
        <w:rPr>
          <w:rFonts w:ascii="Arial" w:hAnsi="Arial" w:cs="Arial"/>
          <w:i/>
          <w:sz w:val="24"/>
        </w:rPr>
        <w:t>Source: Victorian government school administrative data, 2018, DET</w:t>
      </w:r>
    </w:p>
    <w:p w14:paraId="0360919C" w14:textId="77777777" w:rsidR="00C42C5E" w:rsidRPr="00C42C5E" w:rsidRDefault="00C42C5E" w:rsidP="00C42C5E">
      <w:pPr>
        <w:rPr>
          <w:rFonts w:ascii="Arial" w:hAnsi="Arial" w:cs="Arial"/>
          <w:sz w:val="24"/>
        </w:rPr>
      </w:pPr>
      <w:r w:rsidRPr="00C42C5E">
        <w:rPr>
          <w:rFonts w:ascii="Arial" w:hAnsi="Arial" w:cs="Arial"/>
          <w:sz w:val="24"/>
        </w:rPr>
        <w:t>Analysis of linked student attitudes and absence data indicates that chronic absenteeism was more common amongst students who report:</w:t>
      </w:r>
    </w:p>
    <w:p w14:paraId="2ABECFFC" w14:textId="77777777" w:rsidR="00C42C5E" w:rsidRPr="009F030F" w:rsidRDefault="00C42C5E" w:rsidP="00C42C5E">
      <w:pPr>
        <w:pStyle w:val="ListParagraph"/>
        <w:numPr>
          <w:ilvl w:val="0"/>
          <w:numId w:val="14"/>
        </w:numPr>
        <w:rPr>
          <w:rFonts w:ascii="Arial" w:hAnsi="Arial" w:cs="Arial"/>
          <w:sz w:val="24"/>
        </w:rPr>
      </w:pPr>
      <w:r w:rsidRPr="009F030F">
        <w:rPr>
          <w:rFonts w:ascii="Arial" w:hAnsi="Arial" w:cs="Arial"/>
          <w:sz w:val="24"/>
        </w:rPr>
        <w:t>being bullied</w:t>
      </w:r>
    </w:p>
    <w:p w14:paraId="753DC6DE" w14:textId="77777777" w:rsidR="00C42C5E" w:rsidRPr="009F030F" w:rsidRDefault="00C42C5E" w:rsidP="00C42C5E">
      <w:pPr>
        <w:pStyle w:val="ListParagraph"/>
        <w:numPr>
          <w:ilvl w:val="0"/>
          <w:numId w:val="14"/>
        </w:numPr>
        <w:rPr>
          <w:rFonts w:ascii="Arial" w:hAnsi="Arial" w:cs="Arial"/>
          <w:sz w:val="24"/>
        </w:rPr>
      </w:pPr>
      <w:r w:rsidRPr="009F030F">
        <w:rPr>
          <w:rFonts w:ascii="Arial" w:hAnsi="Arial" w:cs="Arial"/>
          <w:sz w:val="24"/>
        </w:rPr>
        <w:t>negative attitudes to attendance</w:t>
      </w:r>
    </w:p>
    <w:p w14:paraId="5E03280F" w14:textId="77777777" w:rsidR="00C42C5E" w:rsidRPr="009F030F" w:rsidRDefault="00C42C5E" w:rsidP="00C42C5E">
      <w:pPr>
        <w:pStyle w:val="ListParagraph"/>
        <w:numPr>
          <w:ilvl w:val="0"/>
          <w:numId w:val="14"/>
        </w:numPr>
        <w:rPr>
          <w:rFonts w:ascii="Arial" w:hAnsi="Arial" w:cs="Arial"/>
          <w:sz w:val="24"/>
        </w:rPr>
      </w:pPr>
      <w:r w:rsidRPr="009F030F">
        <w:rPr>
          <w:rFonts w:ascii="Arial" w:hAnsi="Arial" w:cs="Arial"/>
          <w:sz w:val="24"/>
        </w:rPr>
        <w:t>low levels of resilience</w:t>
      </w:r>
    </w:p>
    <w:p w14:paraId="3A24B991" w14:textId="77777777" w:rsidR="00C42C5E" w:rsidRPr="009F030F" w:rsidRDefault="00C42C5E" w:rsidP="00C42C5E">
      <w:pPr>
        <w:pStyle w:val="ListParagraph"/>
        <w:numPr>
          <w:ilvl w:val="0"/>
          <w:numId w:val="14"/>
        </w:numPr>
        <w:rPr>
          <w:rFonts w:ascii="Arial" w:hAnsi="Arial" w:cs="Arial"/>
          <w:sz w:val="24"/>
        </w:rPr>
      </w:pPr>
      <w:r w:rsidRPr="009F030F">
        <w:rPr>
          <w:rFonts w:ascii="Arial" w:hAnsi="Arial" w:cs="Arial"/>
          <w:sz w:val="24"/>
        </w:rPr>
        <w:t>low sense of confidence in their ability as a learner</w:t>
      </w:r>
    </w:p>
    <w:p w14:paraId="2DEFBBA8" w14:textId="77777777" w:rsidR="00C42C5E" w:rsidRPr="009F030F" w:rsidRDefault="00C42C5E" w:rsidP="00C42C5E">
      <w:pPr>
        <w:pStyle w:val="ListParagraph"/>
        <w:numPr>
          <w:ilvl w:val="0"/>
          <w:numId w:val="14"/>
        </w:numPr>
        <w:rPr>
          <w:rFonts w:ascii="Arial" w:hAnsi="Arial" w:cs="Arial"/>
          <w:sz w:val="24"/>
        </w:rPr>
      </w:pPr>
      <w:r w:rsidRPr="009F030F">
        <w:rPr>
          <w:rFonts w:ascii="Arial" w:hAnsi="Arial" w:cs="Arial"/>
          <w:sz w:val="24"/>
        </w:rPr>
        <w:t>low sense of connectedness to their school.</w:t>
      </w:r>
    </w:p>
    <w:p w14:paraId="60FED68C" w14:textId="77777777" w:rsidR="005F049D" w:rsidRDefault="005F049D" w:rsidP="005F049D">
      <w:pPr>
        <w:rPr>
          <w:rFonts w:ascii="Arial" w:hAnsi="Arial" w:cs="Arial"/>
          <w:sz w:val="24"/>
          <w:highlight w:val="yellow"/>
        </w:rPr>
      </w:pPr>
    </w:p>
    <w:p w14:paraId="2B79B3BE" w14:textId="77777777" w:rsidR="005F049D" w:rsidRPr="00F61E69" w:rsidRDefault="005F049D" w:rsidP="00F61E69">
      <w:pPr>
        <w:pStyle w:val="Heading3"/>
        <w:rPr>
          <w:rFonts w:ascii="Arial" w:hAnsi="Arial" w:cs="Arial"/>
          <w:color w:val="auto"/>
          <w:sz w:val="24"/>
        </w:rPr>
      </w:pPr>
      <w:bookmarkStart w:id="47" w:name="_Toc33527772"/>
      <w:r w:rsidRPr="00F61E69">
        <w:rPr>
          <w:rFonts w:ascii="Arial" w:hAnsi="Arial" w:cs="Arial"/>
          <w:color w:val="auto"/>
          <w:sz w:val="24"/>
        </w:rPr>
        <w:t>4.6</w:t>
      </w:r>
      <w:r w:rsidRPr="00F61E69">
        <w:rPr>
          <w:rFonts w:ascii="Arial" w:hAnsi="Arial" w:cs="Arial"/>
          <w:color w:val="auto"/>
          <w:sz w:val="24"/>
        </w:rPr>
        <w:tab/>
        <w:t>Negative attitudes to attendance and connectedness to schooling are associated with chronic absenteeism</w:t>
      </w:r>
      <w:bookmarkEnd w:id="47"/>
    </w:p>
    <w:p w14:paraId="76F155AA" w14:textId="77777777" w:rsidR="005F049D" w:rsidRPr="005F049D" w:rsidRDefault="005F049D" w:rsidP="005F049D">
      <w:pPr>
        <w:rPr>
          <w:rFonts w:ascii="Arial" w:hAnsi="Arial" w:cs="Arial"/>
          <w:sz w:val="24"/>
        </w:rPr>
      </w:pPr>
      <w:r w:rsidRPr="005F049D">
        <w:rPr>
          <w:rFonts w:ascii="Arial" w:hAnsi="Arial" w:cs="Arial"/>
          <w:sz w:val="24"/>
        </w:rPr>
        <w:t>In Years 10 to 12, chronic absenteeism is higher in students with negative attitudes to attendance: 26 per cent of students who did not have positive attitudes to attendance were chronically absent, compared to only eight per cent of students with positive attitudes to attendance.</w:t>
      </w:r>
    </w:p>
    <w:p w14:paraId="23704C34" w14:textId="77777777" w:rsidR="00E4707B" w:rsidRDefault="005F049D" w:rsidP="005F049D">
      <w:pPr>
        <w:rPr>
          <w:rFonts w:ascii="Arial" w:hAnsi="Arial" w:cs="Arial"/>
          <w:sz w:val="24"/>
        </w:rPr>
      </w:pPr>
      <w:r w:rsidRPr="005F049D">
        <w:rPr>
          <w:rFonts w:ascii="Arial" w:hAnsi="Arial" w:cs="Arial"/>
          <w:sz w:val="24"/>
        </w:rPr>
        <w:t>A lack of connectedness to school is also associated with chronic absenteeism. Of the Year 7 to 9 students who did not have positive feelings of connectedness to school, 20 per cent were chronically absent, compared to only 11 per cent of students who had a positive sense of connectedness to school.</w:t>
      </w:r>
    </w:p>
    <w:p w14:paraId="26281AAB" w14:textId="77777777" w:rsidR="00E4707B" w:rsidRPr="00F61E69" w:rsidRDefault="00E4707B" w:rsidP="005F049D">
      <w:pPr>
        <w:rPr>
          <w:rFonts w:ascii="Arial" w:hAnsi="Arial" w:cs="Arial"/>
          <w:b/>
          <w:sz w:val="24"/>
        </w:rPr>
      </w:pPr>
      <w:r w:rsidRPr="00F61E69">
        <w:rPr>
          <w:rFonts w:ascii="Arial" w:hAnsi="Arial" w:cs="Arial"/>
          <w:b/>
          <w:sz w:val="24"/>
        </w:rPr>
        <w:t>Figure 36. Government school students who are chronically absent by attitudes to attendance and sense of connectedness to schooling, 2018</w:t>
      </w:r>
    </w:p>
    <w:tbl>
      <w:tblPr>
        <w:tblStyle w:val="TableGrid"/>
        <w:tblW w:w="5000" w:type="pct"/>
        <w:tblLook w:val="04A0" w:firstRow="1" w:lastRow="0" w:firstColumn="1" w:lastColumn="0" w:noHBand="0" w:noVBand="1"/>
        <w:tblDescription w:val="This table shows the proportion of government school students who are chronically absent by attitudes to attendance and sense of connectedness to schooling, 2018"/>
      </w:tblPr>
      <w:tblGrid>
        <w:gridCol w:w="1804"/>
        <w:gridCol w:w="1803"/>
        <w:gridCol w:w="1803"/>
        <w:gridCol w:w="1803"/>
        <w:gridCol w:w="1803"/>
      </w:tblGrid>
      <w:tr w:rsidR="00EA5DD1" w14:paraId="059F4C40" w14:textId="77777777" w:rsidTr="00F61E69">
        <w:trPr>
          <w:tblHeader/>
        </w:trPr>
        <w:tc>
          <w:tcPr>
            <w:tcW w:w="1000" w:type="pct"/>
          </w:tcPr>
          <w:p w14:paraId="6B93D94D" w14:textId="77777777" w:rsidR="00EA5DD1" w:rsidRPr="00EA5DD1" w:rsidRDefault="00EA5DD1" w:rsidP="005F049D">
            <w:pPr>
              <w:rPr>
                <w:rFonts w:ascii="Arial" w:hAnsi="Arial" w:cs="Arial"/>
                <w:sz w:val="24"/>
              </w:rPr>
            </w:pPr>
          </w:p>
        </w:tc>
        <w:tc>
          <w:tcPr>
            <w:tcW w:w="1000" w:type="pct"/>
          </w:tcPr>
          <w:p w14:paraId="22044E3E" w14:textId="77777777" w:rsidR="00EA5DD1" w:rsidRPr="00EA5DD1" w:rsidRDefault="00EA5DD1" w:rsidP="005F049D">
            <w:pPr>
              <w:rPr>
                <w:rFonts w:ascii="Arial" w:hAnsi="Arial" w:cs="Arial"/>
                <w:sz w:val="24"/>
              </w:rPr>
            </w:pPr>
            <w:r w:rsidRPr="00EA5DD1">
              <w:rPr>
                <w:rFonts w:ascii="Arial" w:hAnsi="Arial" w:cs="Arial"/>
                <w:sz w:val="24"/>
              </w:rPr>
              <w:t>Years 10 to 12 – Positive attitude to attendance</w:t>
            </w:r>
          </w:p>
        </w:tc>
        <w:tc>
          <w:tcPr>
            <w:tcW w:w="1000" w:type="pct"/>
          </w:tcPr>
          <w:p w14:paraId="1A3A7053" w14:textId="77777777" w:rsidR="00EA5DD1" w:rsidRPr="00EA5DD1" w:rsidRDefault="00EA5DD1" w:rsidP="005F049D">
            <w:pPr>
              <w:rPr>
                <w:rFonts w:ascii="Arial" w:hAnsi="Arial" w:cs="Arial"/>
                <w:sz w:val="24"/>
              </w:rPr>
            </w:pPr>
            <w:r w:rsidRPr="00EA5DD1">
              <w:rPr>
                <w:rFonts w:ascii="Arial" w:hAnsi="Arial" w:cs="Arial"/>
                <w:sz w:val="24"/>
              </w:rPr>
              <w:t>Years 10 to 12 –</w:t>
            </w:r>
            <w:r>
              <w:rPr>
                <w:rFonts w:ascii="Arial" w:hAnsi="Arial" w:cs="Arial"/>
                <w:sz w:val="24"/>
              </w:rPr>
              <w:t xml:space="preserve"> Not p</w:t>
            </w:r>
            <w:r w:rsidRPr="00EA5DD1">
              <w:rPr>
                <w:rFonts w:ascii="Arial" w:hAnsi="Arial" w:cs="Arial"/>
                <w:sz w:val="24"/>
              </w:rPr>
              <w:t>ositive attitude to attendance</w:t>
            </w:r>
          </w:p>
        </w:tc>
        <w:tc>
          <w:tcPr>
            <w:tcW w:w="1000" w:type="pct"/>
          </w:tcPr>
          <w:p w14:paraId="4EF3E4C9" w14:textId="77777777" w:rsidR="00EA5DD1" w:rsidRPr="00EA5DD1" w:rsidRDefault="00EA5DD1" w:rsidP="005F049D">
            <w:pPr>
              <w:rPr>
                <w:rFonts w:ascii="Arial" w:hAnsi="Arial" w:cs="Arial"/>
                <w:sz w:val="24"/>
              </w:rPr>
            </w:pPr>
            <w:r>
              <w:rPr>
                <w:rFonts w:ascii="Arial" w:hAnsi="Arial" w:cs="Arial"/>
                <w:sz w:val="24"/>
              </w:rPr>
              <w:t>Years 7 to 9 – Connected to school</w:t>
            </w:r>
          </w:p>
        </w:tc>
        <w:tc>
          <w:tcPr>
            <w:tcW w:w="1000" w:type="pct"/>
          </w:tcPr>
          <w:p w14:paraId="7D9CDB8B" w14:textId="77777777" w:rsidR="00EA5DD1" w:rsidRPr="00EA5DD1" w:rsidRDefault="00EA5DD1" w:rsidP="005F049D">
            <w:pPr>
              <w:rPr>
                <w:rFonts w:ascii="Arial" w:hAnsi="Arial" w:cs="Arial"/>
                <w:sz w:val="24"/>
              </w:rPr>
            </w:pPr>
            <w:r>
              <w:rPr>
                <w:rFonts w:ascii="Arial" w:hAnsi="Arial" w:cs="Arial"/>
                <w:sz w:val="24"/>
              </w:rPr>
              <w:t>Years 7 to 9 – Not connected to school</w:t>
            </w:r>
          </w:p>
        </w:tc>
      </w:tr>
      <w:tr w:rsidR="00EA5DD1" w14:paraId="2C183416" w14:textId="77777777" w:rsidTr="00732521">
        <w:tc>
          <w:tcPr>
            <w:tcW w:w="1000" w:type="pct"/>
          </w:tcPr>
          <w:p w14:paraId="4B3CE454" w14:textId="77777777" w:rsidR="00EA5DD1" w:rsidRPr="00540DE5" w:rsidRDefault="00540DE5" w:rsidP="005F049D">
            <w:pPr>
              <w:rPr>
                <w:rFonts w:ascii="Arial" w:hAnsi="Arial" w:cs="Arial"/>
                <w:sz w:val="24"/>
              </w:rPr>
            </w:pPr>
            <w:r w:rsidRPr="00540DE5">
              <w:rPr>
                <w:rFonts w:ascii="Arial" w:hAnsi="Arial" w:cs="Arial"/>
                <w:sz w:val="24"/>
              </w:rPr>
              <w:t>Absent 30 days or more</w:t>
            </w:r>
          </w:p>
        </w:tc>
        <w:tc>
          <w:tcPr>
            <w:tcW w:w="1000" w:type="pct"/>
          </w:tcPr>
          <w:p w14:paraId="7A104361" w14:textId="77777777" w:rsidR="00EA5DD1" w:rsidRPr="00540DE5" w:rsidRDefault="00540DE5" w:rsidP="005F049D">
            <w:pPr>
              <w:rPr>
                <w:rFonts w:ascii="Arial" w:hAnsi="Arial" w:cs="Arial"/>
                <w:sz w:val="24"/>
              </w:rPr>
            </w:pPr>
            <w:r w:rsidRPr="00540DE5">
              <w:rPr>
                <w:rFonts w:ascii="Arial" w:hAnsi="Arial" w:cs="Arial"/>
                <w:sz w:val="24"/>
              </w:rPr>
              <w:t>8%</w:t>
            </w:r>
          </w:p>
        </w:tc>
        <w:tc>
          <w:tcPr>
            <w:tcW w:w="1000" w:type="pct"/>
          </w:tcPr>
          <w:p w14:paraId="5CF5CA69" w14:textId="77777777" w:rsidR="00EA5DD1" w:rsidRPr="00540DE5" w:rsidRDefault="00540DE5" w:rsidP="005F049D">
            <w:pPr>
              <w:rPr>
                <w:rFonts w:ascii="Arial" w:hAnsi="Arial" w:cs="Arial"/>
                <w:sz w:val="24"/>
              </w:rPr>
            </w:pPr>
            <w:r w:rsidRPr="00540DE5">
              <w:rPr>
                <w:rFonts w:ascii="Arial" w:hAnsi="Arial" w:cs="Arial"/>
                <w:sz w:val="24"/>
              </w:rPr>
              <w:t>26%</w:t>
            </w:r>
          </w:p>
        </w:tc>
        <w:tc>
          <w:tcPr>
            <w:tcW w:w="1000" w:type="pct"/>
          </w:tcPr>
          <w:p w14:paraId="5C6306D1" w14:textId="77777777" w:rsidR="00EA5DD1" w:rsidRPr="00540DE5" w:rsidRDefault="00540DE5" w:rsidP="005F049D">
            <w:pPr>
              <w:rPr>
                <w:rFonts w:ascii="Arial" w:hAnsi="Arial" w:cs="Arial"/>
                <w:sz w:val="24"/>
              </w:rPr>
            </w:pPr>
            <w:r w:rsidRPr="00540DE5">
              <w:rPr>
                <w:rFonts w:ascii="Arial" w:hAnsi="Arial" w:cs="Arial"/>
                <w:sz w:val="24"/>
              </w:rPr>
              <w:t>11%</w:t>
            </w:r>
          </w:p>
        </w:tc>
        <w:tc>
          <w:tcPr>
            <w:tcW w:w="1000" w:type="pct"/>
          </w:tcPr>
          <w:p w14:paraId="5E09769C" w14:textId="77777777" w:rsidR="00EA5DD1" w:rsidRPr="00540DE5" w:rsidRDefault="00540DE5" w:rsidP="005F049D">
            <w:pPr>
              <w:rPr>
                <w:rFonts w:ascii="Arial" w:hAnsi="Arial" w:cs="Arial"/>
                <w:sz w:val="24"/>
              </w:rPr>
            </w:pPr>
            <w:r w:rsidRPr="00540DE5">
              <w:rPr>
                <w:rFonts w:ascii="Arial" w:hAnsi="Arial" w:cs="Arial"/>
                <w:sz w:val="24"/>
              </w:rPr>
              <w:t>20%</w:t>
            </w:r>
          </w:p>
        </w:tc>
      </w:tr>
      <w:tr w:rsidR="00EA5DD1" w14:paraId="1BFB1608" w14:textId="77777777" w:rsidTr="00732521">
        <w:tc>
          <w:tcPr>
            <w:tcW w:w="1000" w:type="pct"/>
          </w:tcPr>
          <w:p w14:paraId="3792FBAC" w14:textId="77777777" w:rsidR="00EA5DD1" w:rsidRPr="00540DE5" w:rsidRDefault="00540DE5" w:rsidP="005F049D">
            <w:pPr>
              <w:rPr>
                <w:rFonts w:ascii="Arial" w:hAnsi="Arial" w:cs="Arial"/>
                <w:sz w:val="24"/>
              </w:rPr>
            </w:pPr>
            <w:r w:rsidRPr="00540DE5">
              <w:rPr>
                <w:rFonts w:ascii="Arial" w:hAnsi="Arial" w:cs="Arial"/>
                <w:sz w:val="24"/>
              </w:rPr>
              <w:t>Absent less than 30 days</w:t>
            </w:r>
          </w:p>
        </w:tc>
        <w:tc>
          <w:tcPr>
            <w:tcW w:w="1000" w:type="pct"/>
          </w:tcPr>
          <w:p w14:paraId="1CCDBA7F" w14:textId="77777777" w:rsidR="00EA5DD1" w:rsidRPr="00540DE5" w:rsidRDefault="00540DE5" w:rsidP="005F049D">
            <w:pPr>
              <w:rPr>
                <w:rFonts w:ascii="Arial" w:hAnsi="Arial" w:cs="Arial"/>
                <w:sz w:val="24"/>
              </w:rPr>
            </w:pPr>
            <w:r w:rsidRPr="00540DE5">
              <w:rPr>
                <w:rFonts w:ascii="Arial" w:hAnsi="Arial" w:cs="Arial"/>
                <w:sz w:val="24"/>
              </w:rPr>
              <w:t>92%</w:t>
            </w:r>
          </w:p>
        </w:tc>
        <w:tc>
          <w:tcPr>
            <w:tcW w:w="1000" w:type="pct"/>
          </w:tcPr>
          <w:p w14:paraId="1B7858C8" w14:textId="77777777" w:rsidR="00EA5DD1" w:rsidRPr="00540DE5" w:rsidRDefault="00540DE5" w:rsidP="005F049D">
            <w:pPr>
              <w:rPr>
                <w:rFonts w:ascii="Arial" w:hAnsi="Arial" w:cs="Arial"/>
                <w:sz w:val="24"/>
              </w:rPr>
            </w:pPr>
            <w:r w:rsidRPr="00540DE5">
              <w:rPr>
                <w:rFonts w:ascii="Arial" w:hAnsi="Arial" w:cs="Arial"/>
                <w:sz w:val="24"/>
              </w:rPr>
              <w:t>74%</w:t>
            </w:r>
          </w:p>
        </w:tc>
        <w:tc>
          <w:tcPr>
            <w:tcW w:w="1000" w:type="pct"/>
          </w:tcPr>
          <w:p w14:paraId="72F29E6F" w14:textId="77777777" w:rsidR="00EA5DD1" w:rsidRPr="00540DE5" w:rsidRDefault="00540DE5" w:rsidP="005F049D">
            <w:pPr>
              <w:rPr>
                <w:rFonts w:ascii="Arial" w:hAnsi="Arial" w:cs="Arial"/>
                <w:sz w:val="24"/>
              </w:rPr>
            </w:pPr>
            <w:r w:rsidRPr="00540DE5">
              <w:rPr>
                <w:rFonts w:ascii="Arial" w:hAnsi="Arial" w:cs="Arial"/>
                <w:sz w:val="24"/>
              </w:rPr>
              <w:t>89%</w:t>
            </w:r>
          </w:p>
        </w:tc>
        <w:tc>
          <w:tcPr>
            <w:tcW w:w="1000" w:type="pct"/>
          </w:tcPr>
          <w:p w14:paraId="60B507DA" w14:textId="77777777" w:rsidR="00EA5DD1" w:rsidRPr="00540DE5" w:rsidRDefault="00540DE5" w:rsidP="005F049D">
            <w:pPr>
              <w:rPr>
                <w:rFonts w:ascii="Arial" w:hAnsi="Arial" w:cs="Arial"/>
                <w:sz w:val="24"/>
              </w:rPr>
            </w:pPr>
            <w:r w:rsidRPr="00540DE5">
              <w:rPr>
                <w:rFonts w:ascii="Arial" w:hAnsi="Arial" w:cs="Arial"/>
                <w:sz w:val="24"/>
              </w:rPr>
              <w:t>80%</w:t>
            </w:r>
          </w:p>
        </w:tc>
      </w:tr>
    </w:tbl>
    <w:p w14:paraId="0A88F099" w14:textId="77777777" w:rsidR="00E4707B" w:rsidRDefault="00E4707B" w:rsidP="005F049D">
      <w:pPr>
        <w:rPr>
          <w:rFonts w:ascii="Arial" w:hAnsi="Arial" w:cs="Arial"/>
          <w:i/>
          <w:sz w:val="24"/>
          <w:highlight w:val="yellow"/>
        </w:rPr>
      </w:pPr>
      <w:r w:rsidRPr="00E4707B">
        <w:rPr>
          <w:rFonts w:ascii="Arial" w:hAnsi="Arial" w:cs="Arial"/>
          <w:i/>
          <w:sz w:val="24"/>
        </w:rPr>
        <w:lastRenderedPageBreak/>
        <w:t>Source: Victorian government school administrative data and AToSS linked dataset, 2018, DET</w:t>
      </w:r>
    </w:p>
    <w:p w14:paraId="4282E032" w14:textId="77777777" w:rsidR="00E661FE" w:rsidRPr="00E661FE" w:rsidRDefault="00E661FE" w:rsidP="00E661FE">
      <w:pPr>
        <w:pBdr>
          <w:top w:val="single" w:sz="4" w:space="1" w:color="auto"/>
          <w:left w:val="single" w:sz="4" w:space="4" w:color="auto"/>
          <w:bottom w:val="single" w:sz="4" w:space="1" w:color="auto"/>
          <w:right w:val="single" w:sz="4" w:space="4" w:color="auto"/>
        </w:pBdr>
        <w:rPr>
          <w:rFonts w:ascii="Arial" w:hAnsi="Arial" w:cs="Arial"/>
          <w:b/>
          <w:sz w:val="24"/>
        </w:rPr>
      </w:pPr>
      <w:r w:rsidRPr="00E661FE">
        <w:rPr>
          <w:rFonts w:ascii="Arial" w:hAnsi="Arial" w:cs="Arial"/>
          <w:b/>
          <w:sz w:val="24"/>
        </w:rPr>
        <w:t>Mental health and secondary school attendance</w:t>
      </w:r>
    </w:p>
    <w:p w14:paraId="31DFA400" w14:textId="77777777" w:rsidR="00E661FE" w:rsidRDefault="00E661FE" w:rsidP="00E661FE">
      <w:pPr>
        <w:pBdr>
          <w:top w:val="single" w:sz="4" w:space="1" w:color="auto"/>
          <w:left w:val="single" w:sz="4" w:space="4" w:color="auto"/>
          <w:bottom w:val="single" w:sz="4" w:space="1" w:color="auto"/>
          <w:right w:val="single" w:sz="4" w:space="4" w:color="auto"/>
        </w:pBdr>
        <w:rPr>
          <w:rFonts w:ascii="Arial" w:hAnsi="Arial" w:cs="Arial"/>
          <w:sz w:val="24"/>
        </w:rPr>
      </w:pPr>
      <w:r w:rsidRPr="00E661FE">
        <w:rPr>
          <w:rFonts w:ascii="Arial" w:hAnsi="Arial" w:cs="Arial"/>
          <w:sz w:val="24"/>
        </w:rPr>
        <w:t>According to Australian data from the 2013–2014 Australian Child and Adolescent Survey of Mental Health and Wellbeing, students with a mental illness were more frequently absent from school than students without a mental illness (Lawrence, Dawson, Houghton, Goodsell, &amp; Sawyer, 2019). This was particularly pronounced for adolescents in secondary school, where over 16 per cent of all absences from school were attributed to symptoms of mental illness. For adolescents in Years 11 and 12 with a mental illness, the average number of school days missed was 26 (more than five weeks of school), compared with an average of 12 days for students in the same years who did not have a mental disorder. In Years 7 to 10, students with a mental disorder missed an average of 23 days, in contrast to 11 for Year 7-10 students without a mental disorder. For primary school children, the average absence for students with a mental disorder was 12 days, in contrast to eight days for students without a mental disorder. These results stress the importance of mental health prevention, early identification and support programs among adolescents both at, and outside of, school.</w:t>
      </w:r>
    </w:p>
    <w:p w14:paraId="6BA35290" w14:textId="77777777" w:rsidR="00BB68BA" w:rsidRPr="00F61E69" w:rsidRDefault="00BB68BA" w:rsidP="00F61E69">
      <w:pPr>
        <w:pStyle w:val="Heading3"/>
        <w:rPr>
          <w:rFonts w:ascii="Arial" w:hAnsi="Arial" w:cs="Arial"/>
          <w:color w:val="auto"/>
          <w:sz w:val="24"/>
        </w:rPr>
      </w:pPr>
      <w:bookmarkStart w:id="48" w:name="_Toc33527773"/>
      <w:r w:rsidRPr="00F61E69">
        <w:rPr>
          <w:rFonts w:ascii="Arial" w:hAnsi="Arial" w:cs="Arial"/>
          <w:color w:val="auto"/>
          <w:sz w:val="24"/>
        </w:rPr>
        <w:t>4.7</w:t>
      </w:r>
      <w:r w:rsidRPr="00F61E69">
        <w:rPr>
          <w:rFonts w:ascii="Arial" w:hAnsi="Arial" w:cs="Arial"/>
          <w:color w:val="auto"/>
          <w:sz w:val="24"/>
        </w:rPr>
        <w:tab/>
        <w:t>Disengagement increases when adolescents transition to secondary school</w:t>
      </w:r>
      <w:bookmarkEnd w:id="48"/>
    </w:p>
    <w:p w14:paraId="73A351D9" w14:textId="77777777" w:rsidR="00BB68BA" w:rsidRPr="00BB68BA" w:rsidRDefault="00BB68BA" w:rsidP="00BB68BA">
      <w:pPr>
        <w:rPr>
          <w:rFonts w:ascii="Arial" w:hAnsi="Arial" w:cs="Arial"/>
          <w:sz w:val="24"/>
        </w:rPr>
      </w:pPr>
      <w:r w:rsidRPr="00BB68BA">
        <w:rPr>
          <w:rFonts w:ascii="Arial" w:hAnsi="Arial" w:cs="Arial"/>
          <w:sz w:val="24"/>
        </w:rPr>
        <w:t>Adolescents at risk of disengagement from school often experience a range of concerns, including mental health issues, substance addiction, and (as a victim of) family violence (DET, 2018a). These issues often come to the fore in secondary school during the adolescent years. While engaged students are keen to perform well, achieve highly, and consequently look forward to successful post-school lives, disengaged students are more likely to have poorer academic performance and limited success, which can in turn affect their quality of life (Subban, 2016).</w:t>
      </w:r>
    </w:p>
    <w:p w14:paraId="5B87F5A1" w14:textId="77777777" w:rsidR="00BB68BA" w:rsidRPr="00BB68BA" w:rsidRDefault="00BB68BA" w:rsidP="00BB68BA">
      <w:pPr>
        <w:rPr>
          <w:rFonts w:ascii="Arial" w:hAnsi="Arial" w:cs="Arial"/>
          <w:sz w:val="24"/>
        </w:rPr>
      </w:pPr>
      <w:r w:rsidRPr="00BB68BA">
        <w:rPr>
          <w:rFonts w:ascii="Arial" w:hAnsi="Arial" w:cs="Arial"/>
          <w:sz w:val="24"/>
        </w:rPr>
        <w:t>Students who disengage are more likely to have already experienced problems during the primary school years. In particular, students with persistent low wellbeing and behavioural and emotional problems in Years 3 to 5 were twice as likely to disengage in Year 7 (Murdoch Children’s Research Institute, 2018). Conversely, this study found that consistent peer support in Years 3 to 5 was associated with a two-fold (200 per cent) decrease in the odds of disengagement in Year 7.</w:t>
      </w:r>
    </w:p>
    <w:p w14:paraId="09E70ED0" w14:textId="77777777" w:rsidR="00BB68BA" w:rsidRPr="00BB2AC3" w:rsidRDefault="00BB68BA" w:rsidP="00BB2AC3">
      <w:pPr>
        <w:pStyle w:val="Heading3"/>
        <w:rPr>
          <w:rFonts w:ascii="Arial" w:hAnsi="Arial" w:cs="Arial"/>
          <w:color w:val="auto"/>
          <w:sz w:val="24"/>
        </w:rPr>
      </w:pPr>
      <w:bookmarkStart w:id="49" w:name="_Toc33527774"/>
      <w:r w:rsidRPr="00BB2AC3">
        <w:rPr>
          <w:rFonts w:ascii="Arial" w:hAnsi="Arial" w:cs="Arial"/>
          <w:color w:val="auto"/>
          <w:sz w:val="24"/>
        </w:rPr>
        <w:t>4.8</w:t>
      </w:r>
      <w:r w:rsidRPr="00BB2AC3">
        <w:rPr>
          <w:rFonts w:ascii="Arial" w:hAnsi="Arial" w:cs="Arial"/>
          <w:color w:val="auto"/>
          <w:sz w:val="24"/>
        </w:rPr>
        <w:tab/>
        <w:t>Student achievement declines following the transition to secondary school</w:t>
      </w:r>
      <w:bookmarkEnd w:id="49"/>
    </w:p>
    <w:p w14:paraId="002FF591" w14:textId="77777777" w:rsidR="00BB68BA" w:rsidRPr="00BB68BA" w:rsidRDefault="00BB68BA" w:rsidP="00BB68BA">
      <w:pPr>
        <w:rPr>
          <w:rFonts w:ascii="Arial" w:hAnsi="Arial" w:cs="Arial"/>
          <w:sz w:val="24"/>
        </w:rPr>
      </w:pPr>
      <w:r w:rsidRPr="00BB68BA">
        <w:rPr>
          <w:rFonts w:ascii="Arial" w:hAnsi="Arial" w:cs="Arial"/>
          <w:sz w:val="24"/>
        </w:rPr>
        <w:t>NAPLAN achievement in the top three bands is considered an indicator of whether students will meet the challenges of senior secondary certificates.</w:t>
      </w:r>
    </w:p>
    <w:p w14:paraId="4AEC7166" w14:textId="77777777" w:rsidR="00E661FE" w:rsidRDefault="00BB68BA" w:rsidP="00BB68BA">
      <w:pPr>
        <w:rPr>
          <w:rFonts w:ascii="Arial" w:hAnsi="Arial" w:cs="Arial"/>
          <w:sz w:val="24"/>
        </w:rPr>
      </w:pPr>
      <w:r w:rsidRPr="00BB68BA">
        <w:rPr>
          <w:rFonts w:ascii="Arial" w:hAnsi="Arial" w:cs="Arial"/>
          <w:sz w:val="24"/>
        </w:rPr>
        <w:t xml:space="preserve">Victoria is a top performing state in NAPLAN, with strong results across Years 3, 5, 7 and 9 Reading and Numeracy. However, as in every jurisdiction, achievement levels decline from Year 3 onwards. These declines are partially attributable to the normal </w:t>
      </w:r>
      <w:r w:rsidRPr="00BB68BA">
        <w:rPr>
          <w:rFonts w:ascii="Arial" w:hAnsi="Arial" w:cs="Arial"/>
          <w:sz w:val="24"/>
        </w:rPr>
        <w:lastRenderedPageBreak/>
        <w:t>slowing of learning progression, known as the learning curve. However, they also indicate that not all students are acquiring the skills they will need to participate fully in the economy.</w:t>
      </w:r>
    </w:p>
    <w:p w14:paraId="6BC738F6" w14:textId="77777777" w:rsidR="00E661FE" w:rsidRDefault="00BB68BA" w:rsidP="00E661FE">
      <w:pPr>
        <w:rPr>
          <w:rFonts w:ascii="Arial" w:hAnsi="Arial" w:cs="Arial"/>
          <w:b/>
          <w:sz w:val="24"/>
        </w:rPr>
      </w:pPr>
      <w:r w:rsidRPr="00642072">
        <w:rPr>
          <w:rFonts w:ascii="Arial" w:hAnsi="Arial" w:cs="Arial"/>
          <w:b/>
          <w:sz w:val="24"/>
        </w:rPr>
        <w:t>Figure 37. Proportion of students achieving in the top three bands of NAPLAN Reading and Numeracy, Victoria and Australia, 2018</w:t>
      </w:r>
    </w:p>
    <w:tbl>
      <w:tblPr>
        <w:tblStyle w:val="TableGrid"/>
        <w:tblW w:w="0" w:type="auto"/>
        <w:tblLook w:val="04A0" w:firstRow="1" w:lastRow="0" w:firstColumn="1" w:lastColumn="0" w:noHBand="0" w:noVBand="1"/>
        <w:tblDescription w:val="This table shows the proportion of students achieving in the top three bands of NAPLAN Reading, Victoria and Australia, 2018"/>
      </w:tblPr>
      <w:tblGrid>
        <w:gridCol w:w="3005"/>
        <w:gridCol w:w="3003"/>
        <w:gridCol w:w="3008"/>
      </w:tblGrid>
      <w:tr w:rsidR="008B39AC" w:rsidRPr="008B39AC" w14:paraId="32DFE820" w14:textId="77777777" w:rsidTr="008B39AC">
        <w:trPr>
          <w:tblHeader/>
        </w:trPr>
        <w:tc>
          <w:tcPr>
            <w:tcW w:w="3080" w:type="dxa"/>
          </w:tcPr>
          <w:p w14:paraId="54E1149A" w14:textId="77777777" w:rsidR="008B39AC" w:rsidRPr="008B39AC" w:rsidRDefault="008B39AC" w:rsidP="00E661FE">
            <w:pPr>
              <w:rPr>
                <w:rFonts w:ascii="Arial" w:hAnsi="Arial" w:cs="Arial"/>
                <w:sz w:val="24"/>
              </w:rPr>
            </w:pPr>
            <w:r w:rsidRPr="008B39AC">
              <w:rPr>
                <w:rFonts w:ascii="Arial" w:hAnsi="Arial" w:cs="Arial"/>
                <w:sz w:val="24"/>
              </w:rPr>
              <w:t>Reading</w:t>
            </w:r>
          </w:p>
        </w:tc>
        <w:tc>
          <w:tcPr>
            <w:tcW w:w="3081" w:type="dxa"/>
          </w:tcPr>
          <w:p w14:paraId="59E02CB0" w14:textId="77777777" w:rsidR="008B39AC" w:rsidRPr="008B39AC" w:rsidRDefault="008B39AC" w:rsidP="00E661FE">
            <w:pPr>
              <w:rPr>
                <w:rFonts w:ascii="Arial" w:hAnsi="Arial" w:cs="Arial"/>
                <w:sz w:val="24"/>
              </w:rPr>
            </w:pPr>
            <w:r w:rsidRPr="008B39AC">
              <w:rPr>
                <w:rFonts w:ascii="Arial" w:hAnsi="Arial" w:cs="Arial"/>
                <w:sz w:val="24"/>
              </w:rPr>
              <w:t>Victoria</w:t>
            </w:r>
          </w:p>
        </w:tc>
        <w:tc>
          <w:tcPr>
            <w:tcW w:w="3081" w:type="dxa"/>
          </w:tcPr>
          <w:p w14:paraId="081F467D" w14:textId="77777777" w:rsidR="008B39AC" w:rsidRPr="008B39AC" w:rsidRDefault="008B39AC" w:rsidP="00E661FE">
            <w:pPr>
              <w:rPr>
                <w:rFonts w:ascii="Arial" w:hAnsi="Arial" w:cs="Arial"/>
                <w:sz w:val="24"/>
              </w:rPr>
            </w:pPr>
            <w:r w:rsidRPr="008B39AC">
              <w:rPr>
                <w:rFonts w:ascii="Arial" w:hAnsi="Arial" w:cs="Arial"/>
                <w:sz w:val="24"/>
              </w:rPr>
              <w:t>Australia</w:t>
            </w:r>
          </w:p>
        </w:tc>
      </w:tr>
      <w:tr w:rsidR="008B39AC" w:rsidRPr="008B39AC" w14:paraId="73152A5E" w14:textId="77777777" w:rsidTr="008B39AC">
        <w:tc>
          <w:tcPr>
            <w:tcW w:w="3080" w:type="dxa"/>
          </w:tcPr>
          <w:p w14:paraId="52D8EEBD" w14:textId="77777777" w:rsidR="008B39AC" w:rsidRPr="008B39AC" w:rsidRDefault="008B39AC" w:rsidP="00E661FE">
            <w:pPr>
              <w:rPr>
                <w:rFonts w:ascii="Arial" w:hAnsi="Arial" w:cs="Arial"/>
                <w:sz w:val="24"/>
              </w:rPr>
            </w:pPr>
            <w:r w:rsidRPr="008B39AC">
              <w:rPr>
                <w:rFonts w:ascii="Arial" w:hAnsi="Arial" w:cs="Arial"/>
                <w:sz w:val="24"/>
              </w:rPr>
              <w:t>Year 3</w:t>
            </w:r>
          </w:p>
        </w:tc>
        <w:tc>
          <w:tcPr>
            <w:tcW w:w="3081" w:type="dxa"/>
          </w:tcPr>
          <w:p w14:paraId="674B9DB4" w14:textId="77777777" w:rsidR="008B39AC" w:rsidRPr="008B39AC" w:rsidRDefault="008B39AC" w:rsidP="00E661FE">
            <w:pPr>
              <w:rPr>
                <w:rFonts w:ascii="Arial" w:hAnsi="Arial" w:cs="Arial"/>
                <w:sz w:val="24"/>
              </w:rPr>
            </w:pPr>
            <w:r>
              <w:rPr>
                <w:rFonts w:ascii="Arial" w:hAnsi="Arial" w:cs="Arial"/>
                <w:sz w:val="24"/>
              </w:rPr>
              <w:t>80%</w:t>
            </w:r>
          </w:p>
        </w:tc>
        <w:tc>
          <w:tcPr>
            <w:tcW w:w="3081" w:type="dxa"/>
          </w:tcPr>
          <w:p w14:paraId="5AEDE273" w14:textId="77777777" w:rsidR="008B39AC" w:rsidRPr="008B39AC" w:rsidRDefault="008B39AC" w:rsidP="00E661FE">
            <w:pPr>
              <w:rPr>
                <w:rFonts w:ascii="Arial" w:hAnsi="Arial" w:cs="Arial"/>
                <w:sz w:val="24"/>
              </w:rPr>
            </w:pPr>
            <w:r>
              <w:rPr>
                <w:rFonts w:ascii="Arial" w:hAnsi="Arial" w:cs="Arial"/>
                <w:sz w:val="24"/>
              </w:rPr>
              <w:t>76%</w:t>
            </w:r>
          </w:p>
        </w:tc>
      </w:tr>
      <w:tr w:rsidR="008B39AC" w:rsidRPr="008B39AC" w14:paraId="5D8DDCDC" w14:textId="77777777" w:rsidTr="008B39AC">
        <w:tc>
          <w:tcPr>
            <w:tcW w:w="3080" w:type="dxa"/>
          </w:tcPr>
          <w:p w14:paraId="0E075B20" w14:textId="77777777" w:rsidR="008B39AC" w:rsidRPr="008B39AC" w:rsidRDefault="008B39AC" w:rsidP="00E661FE">
            <w:pPr>
              <w:rPr>
                <w:rFonts w:ascii="Arial" w:hAnsi="Arial" w:cs="Arial"/>
                <w:sz w:val="24"/>
              </w:rPr>
            </w:pPr>
            <w:r w:rsidRPr="008B39AC">
              <w:rPr>
                <w:rFonts w:ascii="Arial" w:hAnsi="Arial" w:cs="Arial"/>
                <w:sz w:val="24"/>
              </w:rPr>
              <w:t>Year 5</w:t>
            </w:r>
          </w:p>
        </w:tc>
        <w:tc>
          <w:tcPr>
            <w:tcW w:w="3081" w:type="dxa"/>
          </w:tcPr>
          <w:p w14:paraId="4B3FA195" w14:textId="77777777" w:rsidR="008B39AC" w:rsidRPr="008B39AC" w:rsidRDefault="008B39AC" w:rsidP="00E661FE">
            <w:pPr>
              <w:rPr>
                <w:rFonts w:ascii="Arial" w:hAnsi="Arial" w:cs="Arial"/>
                <w:sz w:val="24"/>
              </w:rPr>
            </w:pPr>
            <w:r>
              <w:rPr>
                <w:rFonts w:ascii="Arial" w:hAnsi="Arial" w:cs="Arial"/>
                <w:sz w:val="24"/>
              </w:rPr>
              <w:t>70%</w:t>
            </w:r>
          </w:p>
        </w:tc>
        <w:tc>
          <w:tcPr>
            <w:tcW w:w="3081" w:type="dxa"/>
          </w:tcPr>
          <w:p w14:paraId="6326AB7E" w14:textId="77777777" w:rsidR="008B39AC" w:rsidRPr="008B39AC" w:rsidRDefault="008B39AC" w:rsidP="00E661FE">
            <w:pPr>
              <w:rPr>
                <w:rFonts w:ascii="Arial" w:hAnsi="Arial" w:cs="Arial"/>
                <w:sz w:val="24"/>
              </w:rPr>
            </w:pPr>
            <w:r>
              <w:rPr>
                <w:rFonts w:ascii="Arial" w:hAnsi="Arial" w:cs="Arial"/>
                <w:sz w:val="24"/>
              </w:rPr>
              <w:t>66%</w:t>
            </w:r>
          </w:p>
        </w:tc>
      </w:tr>
      <w:tr w:rsidR="008B39AC" w:rsidRPr="008B39AC" w14:paraId="351230F2" w14:textId="77777777" w:rsidTr="008B39AC">
        <w:tc>
          <w:tcPr>
            <w:tcW w:w="3080" w:type="dxa"/>
          </w:tcPr>
          <w:p w14:paraId="265EC6D4" w14:textId="77777777" w:rsidR="008B39AC" w:rsidRPr="008B39AC" w:rsidRDefault="008B39AC" w:rsidP="00E661FE">
            <w:pPr>
              <w:rPr>
                <w:rFonts w:ascii="Arial" w:hAnsi="Arial" w:cs="Arial"/>
                <w:sz w:val="24"/>
              </w:rPr>
            </w:pPr>
            <w:r w:rsidRPr="008B39AC">
              <w:rPr>
                <w:rFonts w:ascii="Arial" w:hAnsi="Arial" w:cs="Arial"/>
                <w:sz w:val="24"/>
              </w:rPr>
              <w:t>Year 7</w:t>
            </w:r>
          </w:p>
        </w:tc>
        <w:tc>
          <w:tcPr>
            <w:tcW w:w="3081" w:type="dxa"/>
          </w:tcPr>
          <w:p w14:paraId="1CFE83DE" w14:textId="77777777" w:rsidR="008B39AC" w:rsidRPr="008B39AC" w:rsidRDefault="008B39AC" w:rsidP="00E661FE">
            <w:pPr>
              <w:rPr>
                <w:rFonts w:ascii="Arial" w:hAnsi="Arial" w:cs="Arial"/>
                <w:sz w:val="24"/>
              </w:rPr>
            </w:pPr>
            <w:r>
              <w:rPr>
                <w:rFonts w:ascii="Arial" w:hAnsi="Arial" w:cs="Arial"/>
                <w:sz w:val="24"/>
              </w:rPr>
              <w:t>60%</w:t>
            </w:r>
          </w:p>
        </w:tc>
        <w:tc>
          <w:tcPr>
            <w:tcW w:w="3081" w:type="dxa"/>
          </w:tcPr>
          <w:p w14:paraId="6B158EBF" w14:textId="77777777" w:rsidR="008B39AC" w:rsidRPr="008B39AC" w:rsidRDefault="008B39AC" w:rsidP="00E661FE">
            <w:pPr>
              <w:rPr>
                <w:rFonts w:ascii="Arial" w:hAnsi="Arial" w:cs="Arial"/>
                <w:sz w:val="24"/>
              </w:rPr>
            </w:pPr>
            <w:r>
              <w:rPr>
                <w:rFonts w:ascii="Arial" w:hAnsi="Arial" w:cs="Arial"/>
                <w:sz w:val="24"/>
              </w:rPr>
              <w:t>57%</w:t>
            </w:r>
          </w:p>
        </w:tc>
      </w:tr>
      <w:tr w:rsidR="008B39AC" w:rsidRPr="008B39AC" w14:paraId="5679F74D" w14:textId="77777777" w:rsidTr="008B39AC">
        <w:tc>
          <w:tcPr>
            <w:tcW w:w="3080" w:type="dxa"/>
          </w:tcPr>
          <w:p w14:paraId="15EC7BA0" w14:textId="77777777" w:rsidR="008B39AC" w:rsidRPr="008B39AC" w:rsidRDefault="008B39AC" w:rsidP="00E661FE">
            <w:pPr>
              <w:rPr>
                <w:rFonts w:ascii="Arial" w:hAnsi="Arial" w:cs="Arial"/>
                <w:sz w:val="24"/>
              </w:rPr>
            </w:pPr>
            <w:r w:rsidRPr="008B39AC">
              <w:rPr>
                <w:rFonts w:ascii="Arial" w:hAnsi="Arial" w:cs="Arial"/>
                <w:sz w:val="24"/>
              </w:rPr>
              <w:t>Year 9</w:t>
            </w:r>
          </w:p>
        </w:tc>
        <w:tc>
          <w:tcPr>
            <w:tcW w:w="3081" w:type="dxa"/>
          </w:tcPr>
          <w:p w14:paraId="2C4F5615" w14:textId="77777777" w:rsidR="008B39AC" w:rsidRPr="008B39AC" w:rsidRDefault="008B39AC" w:rsidP="00E661FE">
            <w:pPr>
              <w:rPr>
                <w:rFonts w:ascii="Arial" w:hAnsi="Arial" w:cs="Arial"/>
                <w:sz w:val="24"/>
              </w:rPr>
            </w:pPr>
            <w:r>
              <w:rPr>
                <w:rFonts w:ascii="Arial" w:hAnsi="Arial" w:cs="Arial"/>
                <w:sz w:val="24"/>
              </w:rPr>
              <w:t>53%</w:t>
            </w:r>
          </w:p>
        </w:tc>
        <w:tc>
          <w:tcPr>
            <w:tcW w:w="3081" w:type="dxa"/>
          </w:tcPr>
          <w:p w14:paraId="7AA63CDE" w14:textId="77777777" w:rsidR="008B39AC" w:rsidRPr="008B39AC" w:rsidRDefault="008B39AC" w:rsidP="00E661FE">
            <w:pPr>
              <w:rPr>
                <w:rFonts w:ascii="Arial" w:hAnsi="Arial" w:cs="Arial"/>
                <w:sz w:val="24"/>
              </w:rPr>
            </w:pPr>
            <w:r>
              <w:rPr>
                <w:rFonts w:ascii="Arial" w:hAnsi="Arial" w:cs="Arial"/>
                <w:sz w:val="24"/>
              </w:rPr>
              <w:t>51%</w:t>
            </w:r>
          </w:p>
        </w:tc>
      </w:tr>
    </w:tbl>
    <w:p w14:paraId="2011191F" w14:textId="77777777" w:rsidR="00BB2AC3" w:rsidRDefault="00BB2AC3" w:rsidP="00E661FE">
      <w:pPr>
        <w:rPr>
          <w:rFonts w:ascii="Arial" w:hAnsi="Arial" w:cs="Arial"/>
          <w:b/>
          <w:sz w:val="24"/>
        </w:rPr>
      </w:pPr>
    </w:p>
    <w:tbl>
      <w:tblPr>
        <w:tblStyle w:val="TableGrid"/>
        <w:tblW w:w="0" w:type="auto"/>
        <w:tblLook w:val="04A0" w:firstRow="1" w:lastRow="0" w:firstColumn="1" w:lastColumn="0" w:noHBand="0" w:noVBand="1"/>
        <w:tblDescription w:val="This table shows the proportion of students achieving in the top three bands of NAPLAN Numeracy, Victoria and Australia, 2018"/>
      </w:tblPr>
      <w:tblGrid>
        <w:gridCol w:w="3011"/>
        <w:gridCol w:w="3000"/>
        <w:gridCol w:w="3005"/>
      </w:tblGrid>
      <w:tr w:rsidR="008B39AC" w:rsidRPr="008B39AC" w14:paraId="7BF43677" w14:textId="77777777" w:rsidTr="00962223">
        <w:trPr>
          <w:tblHeader/>
        </w:trPr>
        <w:tc>
          <w:tcPr>
            <w:tcW w:w="3080" w:type="dxa"/>
          </w:tcPr>
          <w:p w14:paraId="4AFD6D10" w14:textId="77777777" w:rsidR="008B39AC" w:rsidRPr="008B39AC" w:rsidRDefault="008B39AC" w:rsidP="00962223">
            <w:pPr>
              <w:rPr>
                <w:rFonts w:ascii="Arial" w:hAnsi="Arial" w:cs="Arial"/>
                <w:sz w:val="24"/>
              </w:rPr>
            </w:pPr>
            <w:r>
              <w:rPr>
                <w:rFonts w:ascii="Arial" w:hAnsi="Arial" w:cs="Arial"/>
                <w:sz w:val="24"/>
              </w:rPr>
              <w:t>Numeracy</w:t>
            </w:r>
          </w:p>
        </w:tc>
        <w:tc>
          <w:tcPr>
            <w:tcW w:w="3081" w:type="dxa"/>
          </w:tcPr>
          <w:p w14:paraId="774DDE7E" w14:textId="77777777" w:rsidR="008B39AC" w:rsidRPr="008B39AC" w:rsidRDefault="008B39AC" w:rsidP="00962223">
            <w:pPr>
              <w:rPr>
                <w:rFonts w:ascii="Arial" w:hAnsi="Arial" w:cs="Arial"/>
                <w:sz w:val="24"/>
              </w:rPr>
            </w:pPr>
            <w:r w:rsidRPr="008B39AC">
              <w:rPr>
                <w:rFonts w:ascii="Arial" w:hAnsi="Arial" w:cs="Arial"/>
                <w:sz w:val="24"/>
              </w:rPr>
              <w:t>Victoria</w:t>
            </w:r>
          </w:p>
        </w:tc>
        <w:tc>
          <w:tcPr>
            <w:tcW w:w="3081" w:type="dxa"/>
          </w:tcPr>
          <w:p w14:paraId="015D8642" w14:textId="77777777" w:rsidR="008B39AC" w:rsidRPr="008B39AC" w:rsidRDefault="008B39AC" w:rsidP="00962223">
            <w:pPr>
              <w:rPr>
                <w:rFonts w:ascii="Arial" w:hAnsi="Arial" w:cs="Arial"/>
                <w:sz w:val="24"/>
              </w:rPr>
            </w:pPr>
            <w:r w:rsidRPr="008B39AC">
              <w:rPr>
                <w:rFonts w:ascii="Arial" w:hAnsi="Arial" w:cs="Arial"/>
                <w:sz w:val="24"/>
              </w:rPr>
              <w:t>Australia</w:t>
            </w:r>
          </w:p>
        </w:tc>
      </w:tr>
      <w:tr w:rsidR="008B39AC" w:rsidRPr="008B39AC" w14:paraId="0BE61FEB" w14:textId="77777777" w:rsidTr="00962223">
        <w:tc>
          <w:tcPr>
            <w:tcW w:w="3080" w:type="dxa"/>
          </w:tcPr>
          <w:p w14:paraId="62DA5EAD" w14:textId="77777777" w:rsidR="008B39AC" w:rsidRPr="008B39AC" w:rsidRDefault="008B39AC" w:rsidP="00962223">
            <w:pPr>
              <w:rPr>
                <w:rFonts w:ascii="Arial" w:hAnsi="Arial" w:cs="Arial"/>
                <w:sz w:val="24"/>
              </w:rPr>
            </w:pPr>
            <w:r w:rsidRPr="008B39AC">
              <w:rPr>
                <w:rFonts w:ascii="Arial" w:hAnsi="Arial" w:cs="Arial"/>
                <w:sz w:val="24"/>
              </w:rPr>
              <w:t>Year 3</w:t>
            </w:r>
          </w:p>
        </w:tc>
        <w:tc>
          <w:tcPr>
            <w:tcW w:w="3081" w:type="dxa"/>
          </w:tcPr>
          <w:p w14:paraId="6E6F0A5B" w14:textId="77777777" w:rsidR="008B39AC" w:rsidRPr="008B39AC" w:rsidRDefault="008B39AC" w:rsidP="00962223">
            <w:pPr>
              <w:rPr>
                <w:rFonts w:ascii="Arial" w:hAnsi="Arial" w:cs="Arial"/>
                <w:sz w:val="24"/>
              </w:rPr>
            </w:pPr>
            <w:r>
              <w:rPr>
                <w:rFonts w:ascii="Arial" w:hAnsi="Arial" w:cs="Arial"/>
                <w:sz w:val="24"/>
              </w:rPr>
              <w:t>72%</w:t>
            </w:r>
          </w:p>
        </w:tc>
        <w:tc>
          <w:tcPr>
            <w:tcW w:w="3081" w:type="dxa"/>
          </w:tcPr>
          <w:p w14:paraId="34ED3A66" w14:textId="77777777" w:rsidR="008B39AC" w:rsidRPr="008B39AC" w:rsidRDefault="008B39AC" w:rsidP="00962223">
            <w:pPr>
              <w:rPr>
                <w:rFonts w:ascii="Arial" w:hAnsi="Arial" w:cs="Arial"/>
                <w:sz w:val="24"/>
              </w:rPr>
            </w:pPr>
            <w:r>
              <w:rPr>
                <w:rFonts w:ascii="Arial" w:hAnsi="Arial" w:cs="Arial"/>
                <w:sz w:val="24"/>
              </w:rPr>
              <w:t>67%</w:t>
            </w:r>
          </w:p>
        </w:tc>
      </w:tr>
      <w:tr w:rsidR="008B39AC" w:rsidRPr="008B39AC" w14:paraId="3DC21156" w14:textId="77777777" w:rsidTr="00962223">
        <w:tc>
          <w:tcPr>
            <w:tcW w:w="3080" w:type="dxa"/>
          </w:tcPr>
          <w:p w14:paraId="16632B14" w14:textId="77777777" w:rsidR="008B39AC" w:rsidRPr="008B39AC" w:rsidRDefault="008B39AC" w:rsidP="00962223">
            <w:pPr>
              <w:rPr>
                <w:rFonts w:ascii="Arial" w:hAnsi="Arial" w:cs="Arial"/>
                <w:sz w:val="24"/>
              </w:rPr>
            </w:pPr>
            <w:r w:rsidRPr="008B39AC">
              <w:rPr>
                <w:rFonts w:ascii="Arial" w:hAnsi="Arial" w:cs="Arial"/>
                <w:sz w:val="24"/>
              </w:rPr>
              <w:t>Year 5</w:t>
            </w:r>
          </w:p>
        </w:tc>
        <w:tc>
          <w:tcPr>
            <w:tcW w:w="3081" w:type="dxa"/>
          </w:tcPr>
          <w:p w14:paraId="75785449" w14:textId="77777777" w:rsidR="008B39AC" w:rsidRPr="008B39AC" w:rsidRDefault="008B39AC" w:rsidP="00962223">
            <w:pPr>
              <w:rPr>
                <w:rFonts w:ascii="Arial" w:hAnsi="Arial" w:cs="Arial"/>
                <w:sz w:val="24"/>
              </w:rPr>
            </w:pPr>
            <w:r>
              <w:rPr>
                <w:rFonts w:ascii="Arial" w:hAnsi="Arial" w:cs="Arial"/>
                <w:sz w:val="24"/>
              </w:rPr>
              <w:t>62%</w:t>
            </w:r>
          </w:p>
        </w:tc>
        <w:tc>
          <w:tcPr>
            <w:tcW w:w="3081" w:type="dxa"/>
          </w:tcPr>
          <w:p w14:paraId="2446734D" w14:textId="77777777" w:rsidR="008B39AC" w:rsidRPr="008B39AC" w:rsidRDefault="008B39AC" w:rsidP="00962223">
            <w:pPr>
              <w:rPr>
                <w:rFonts w:ascii="Arial" w:hAnsi="Arial" w:cs="Arial"/>
                <w:sz w:val="24"/>
              </w:rPr>
            </w:pPr>
            <w:r>
              <w:rPr>
                <w:rFonts w:ascii="Arial" w:hAnsi="Arial" w:cs="Arial"/>
                <w:sz w:val="24"/>
              </w:rPr>
              <w:t>58%</w:t>
            </w:r>
          </w:p>
        </w:tc>
      </w:tr>
      <w:tr w:rsidR="008B39AC" w:rsidRPr="008B39AC" w14:paraId="1F74E90E" w14:textId="77777777" w:rsidTr="00962223">
        <w:tc>
          <w:tcPr>
            <w:tcW w:w="3080" w:type="dxa"/>
          </w:tcPr>
          <w:p w14:paraId="591FEB34" w14:textId="77777777" w:rsidR="008B39AC" w:rsidRPr="008B39AC" w:rsidRDefault="008B39AC" w:rsidP="00962223">
            <w:pPr>
              <w:rPr>
                <w:rFonts w:ascii="Arial" w:hAnsi="Arial" w:cs="Arial"/>
                <w:sz w:val="24"/>
              </w:rPr>
            </w:pPr>
            <w:r w:rsidRPr="008B39AC">
              <w:rPr>
                <w:rFonts w:ascii="Arial" w:hAnsi="Arial" w:cs="Arial"/>
                <w:sz w:val="24"/>
              </w:rPr>
              <w:t>Year 7</w:t>
            </w:r>
          </w:p>
        </w:tc>
        <w:tc>
          <w:tcPr>
            <w:tcW w:w="3081" w:type="dxa"/>
          </w:tcPr>
          <w:p w14:paraId="388F175D" w14:textId="77777777" w:rsidR="008B39AC" w:rsidRPr="008B39AC" w:rsidRDefault="008B39AC" w:rsidP="00962223">
            <w:pPr>
              <w:rPr>
                <w:rFonts w:ascii="Arial" w:hAnsi="Arial" w:cs="Arial"/>
                <w:sz w:val="24"/>
              </w:rPr>
            </w:pPr>
            <w:r>
              <w:rPr>
                <w:rFonts w:ascii="Arial" w:hAnsi="Arial" w:cs="Arial"/>
                <w:sz w:val="24"/>
              </w:rPr>
              <w:t>61%</w:t>
            </w:r>
          </w:p>
        </w:tc>
        <w:tc>
          <w:tcPr>
            <w:tcW w:w="3081" w:type="dxa"/>
          </w:tcPr>
          <w:p w14:paraId="64800CB8" w14:textId="77777777" w:rsidR="008B39AC" w:rsidRPr="008B39AC" w:rsidRDefault="008B39AC" w:rsidP="00962223">
            <w:pPr>
              <w:rPr>
                <w:rFonts w:ascii="Arial" w:hAnsi="Arial" w:cs="Arial"/>
                <w:sz w:val="24"/>
              </w:rPr>
            </w:pPr>
            <w:r>
              <w:rPr>
                <w:rFonts w:ascii="Arial" w:hAnsi="Arial" w:cs="Arial"/>
                <w:sz w:val="24"/>
              </w:rPr>
              <w:t>58%</w:t>
            </w:r>
          </w:p>
        </w:tc>
      </w:tr>
      <w:tr w:rsidR="008B39AC" w:rsidRPr="008B39AC" w14:paraId="5035FDF9" w14:textId="77777777" w:rsidTr="00962223">
        <w:tc>
          <w:tcPr>
            <w:tcW w:w="3080" w:type="dxa"/>
          </w:tcPr>
          <w:p w14:paraId="631D7B60" w14:textId="77777777" w:rsidR="008B39AC" w:rsidRPr="008B39AC" w:rsidRDefault="008B39AC" w:rsidP="00962223">
            <w:pPr>
              <w:rPr>
                <w:rFonts w:ascii="Arial" w:hAnsi="Arial" w:cs="Arial"/>
                <w:sz w:val="24"/>
              </w:rPr>
            </w:pPr>
            <w:r w:rsidRPr="008B39AC">
              <w:rPr>
                <w:rFonts w:ascii="Arial" w:hAnsi="Arial" w:cs="Arial"/>
                <w:sz w:val="24"/>
              </w:rPr>
              <w:t>Year 9</w:t>
            </w:r>
          </w:p>
        </w:tc>
        <w:tc>
          <w:tcPr>
            <w:tcW w:w="3081" w:type="dxa"/>
          </w:tcPr>
          <w:p w14:paraId="7D13020A" w14:textId="77777777" w:rsidR="008B39AC" w:rsidRPr="008B39AC" w:rsidRDefault="008B39AC" w:rsidP="00962223">
            <w:pPr>
              <w:rPr>
                <w:rFonts w:ascii="Arial" w:hAnsi="Arial" w:cs="Arial"/>
                <w:sz w:val="24"/>
              </w:rPr>
            </w:pPr>
            <w:r>
              <w:rPr>
                <w:rFonts w:ascii="Arial" w:hAnsi="Arial" w:cs="Arial"/>
                <w:sz w:val="24"/>
              </w:rPr>
              <w:t>58%</w:t>
            </w:r>
          </w:p>
        </w:tc>
        <w:tc>
          <w:tcPr>
            <w:tcW w:w="3081" w:type="dxa"/>
          </w:tcPr>
          <w:p w14:paraId="5D42369D" w14:textId="77777777" w:rsidR="008B39AC" w:rsidRPr="008B39AC" w:rsidRDefault="008B39AC" w:rsidP="00962223">
            <w:pPr>
              <w:rPr>
                <w:rFonts w:ascii="Arial" w:hAnsi="Arial" w:cs="Arial"/>
                <w:sz w:val="24"/>
              </w:rPr>
            </w:pPr>
            <w:r>
              <w:rPr>
                <w:rFonts w:ascii="Arial" w:hAnsi="Arial" w:cs="Arial"/>
                <w:sz w:val="24"/>
              </w:rPr>
              <w:t>56%</w:t>
            </w:r>
          </w:p>
        </w:tc>
      </w:tr>
    </w:tbl>
    <w:p w14:paraId="425D2A99" w14:textId="77777777" w:rsidR="00BB68BA" w:rsidRPr="00BB68BA" w:rsidRDefault="00BB68BA" w:rsidP="00E661FE">
      <w:pPr>
        <w:rPr>
          <w:rFonts w:ascii="Arial" w:hAnsi="Arial" w:cs="Arial"/>
          <w:i/>
          <w:sz w:val="24"/>
        </w:rPr>
      </w:pPr>
      <w:r w:rsidRPr="00BB68BA">
        <w:rPr>
          <w:rFonts w:ascii="Arial" w:hAnsi="Arial" w:cs="Arial"/>
          <w:i/>
          <w:sz w:val="24"/>
        </w:rPr>
        <w:t>Source: NAPLAN, 2018, Australian Curriculum, Assessment and Reporting Authority (ACARA)</w:t>
      </w:r>
    </w:p>
    <w:p w14:paraId="0B381410" w14:textId="77777777" w:rsidR="00872DA7" w:rsidRDefault="00872DA7" w:rsidP="00E661FE">
      <w:pPr>
        <w:rPr>
          <w:rFonts w:ascii="Arial" w:hAnsi="Arial" w:cs="Arial"/>
          <w:sz w:val="24"/>
        </w:rPr>
      </w:pPr>
      <w:r w:rsidRPr="00872DA7">
        <w:rPr>
          <w:rFonts w:ascii="Arial" w:hAnsi="Arial" w:cs="Arial"/>
          <w:sz w:val="24"/>
        </w:rPr>
        <w:t>The achievement of Victorian students in the top three bands of NAPLAN Reading and Numeracy has increased since 2008 in all year levels bar Year 3 Numeracy. In particular, strong improvements have been registered in the areas where the most effort has been focussed, with large increases in primary literacy a highlight.</w:t>
      </w:r>
    </w:p>
    <w:p w14:paraId="0166738C" w14:textId="77777777" w:rsidR="00594B3D" w:rsidRPr="00E4730E" w:rsidRDefault="00D735BC" w:rsidP="00E661FE">
      <w:pPr>
        <w:rPr>
          <w:rFonts w:ascii="Arial" w:hAnsi="Arial" w:cs="Arial"/>
          <w:b/>
          <w:sz w:val="24"/>
        </w:rPr>
      </w:pPr>
      <w:r w:rsidRPr="00E4730E">
        <w:rPr>
          <w:rFonts w:ascii="Arial" w:hAnsi="Arial" w:cs="Arial"/>
          <w:b/>
          <w:sz w:val="24"/>
        </w:rPr>
        <w:t>Figure 38. Proportion of Victorian students achieving in the top three bands of NAPLAN Reading and Numeracy, 2008 and 2018</w:t>
      </w:r>
    </w:p>
    <w:tbl>
      <w:tblPr>
        <w:tblStyle w:val="TableGrid"/>
        <w:tblW w:w="0" w:type="auto"/>
        <w:tblLook w:val="04A0" w:firstRow="1" w:lastRow="0" w:firstColumn="1" w:lastColumn="0" w:noHBand="0" w:noVBand="1"/>
        <w:tblDescription w:val="This table shows the proportion of Victorian students achieving in the top three bands of NAPLAN Reading, 2008 and 2018"/>
      </w:tblPr>
      <w:tblGrid>
        <w:gridCol w:w="3012"/>
        <w:gridCol w:w="3002"/>
        <w:gridCol w:w="3002"/>
      </w:tblGrid>
      <w:tr w:rsidR="001749B1" w:rsidRPr="008B39AC" w14:paraId="6500E711" w14:textId="77777777" w:rsidTr="00962223">
        <w:trPr>
          <w:tblHeader/>
        </w:trPr>
        <w:tc>
          <w:tcPr>
            <w:tcW w:w="3080" w:type="dxa"/>
          </w:tcPr>
          <w:p w14:paraId="526B6B25" w14:textId="77777777" w:rsidR="001749B1" w:rsidRPr="008B39AC" w:rsidRDefault="001749B1" w:rsidP="00962223">
            <w:pPr>
              <w:rPr>
                <w:rFonts w:ascii="Arial" w:hAnsi="Arial" w:cs="Arial"/>
                <w:sz w:val="24"/>
              </w:rPr>
            </w:pPr>
            <w:r w:rsidRPr="008B39AC">
              <w:rPr>
                <w:rFonts w:ascii="Arial" w:hAnsi="Arial" w:cs="Arial"/>
                <w:sz w:val="24"/>
              </w:rPr>
              <w:t>Reading</w:t>
            </w:r>
          </w:p>
        </w:tc>
        <w:tc>
          <w:tcPr>
            <w:tcW w:w="3081" w:type="dxa"/>
          </w:tcPr>
          <w:p w14:paraId="7DFA4780" w14:textId="77777777" w:rsidR="001749B1" w:rsidRPr="008B39AC" w:rsidRDefault="001749B1" w:rsidP="00962223">
            <w:pPr>
              <w:rPr>
                <w:rFonts w:ascii="Arial" w:hAnsi="Arial" w:cs="Arial"/>
                <w:sz w:val="24"/>
              </w:rPr>
            </w:pPr>
            <w:r>
              <w:rPr>
                <w:rFonts w:ascii="Arial" w:hAnsi="Arial" w:cs="Arial"/>
                <w:sz w:val="24"/>
              </w:rPr>
              <w:t>2008</w:t>
            </w:r>
          </w:p>
        </w:tc>
        <w:tc>
          <w:tcPr>
            <w:tcW w:w="3081" w:type="dxa"/>
          </w:tcPr>
          <w:p w14:paraId="0595F5BC" w14:textId="77777777" w:rsidR="001749B1" w:rsidRPr="008B39AC" w:rsidRDefault="001749B1" w:rsidP="00962223">
            <w:pPr>
              <w:rPr>
                <w:rFonts w:ascii="Arial" w:hAnsi="Arial" w:cs="Arial"/>
                <w:sz w:val="24"/>
              </w:rPr>
            </w:pPr>
            <w:r>
              <w:rPr>
                <w:rFonts w:ascii="Arial" w:hAnsi="Arial" w:cs="Arial"/>
                <w:sz w:val="24"/>
              </w:rPr>
              <w:t>2018</w:t>
            </w:r>
          </w:p>
        </w:tc>
      </w:tr>
      <w:tr w:rsidR="001749B1" w:rsidRPr="008B39AC" w14:paraId="29050537" w14:textId="77777777" w:rsidTr="00962223">
        <w:tc>
          <w:tcPr>
            <w:tcW w:w="3080" w:type="dxa"/>
          </w:tcPr>
          <w:p w14:paraId="6EAD52BC" w14:textId="77777777" w:rsidR="001749B1" w:rsidRPr="008B39AC" w:rsidRDefault="001749B1" w:rsidP="00962223">
            <w:pPr>
              <w:rPr>
                <w:rFonts w:ascii="Arial" w:hAnsi="Arial" w:cs="Arial"/>
                <w:sz w:val="24"/>
              </w:rPr>
            </w:pPr>
            <w:r w:rsidRPr="008B39AC">
              <w:rPr>
                <w:rFonts w:ascii="Arial" w:hAnsi="Arial" w:cs="Arial"/>
                <w:sz w:val="24"/>
              </w:rPr>
              <w:t>Year 3</w:t>
            </w:r>
          </w:p>
        </w:tc>
        <w:tc>
          <w:tcPr>
            <w:tcW w:w="3081" w:type="dxa"/>
          </w:tcPr>
          <w:p w14:paraId="0A4BF527" w14:textId="77777777" w:rsidR="001749B1" w:rsidRPr="008B39AC" w:rsidRDefault="001749B1" w:rsidP="00962223">
            <w:pPr>
              <w:rPr>
                <w:rFonts w:ascii="Arial" w:hAnsi="Arial" w:cs="Arial"/>
                <w:sz w:val="24"/>
              </w:rPr>
            </w:pPr>
            <w:r>
              <w:rPr>
                <w:rFonts w:ascii="Arial" w:hAnsi="Arial" w:cs="Arial"/>
                <w:sz w:val="24"/>
              </w:rPr>
              <w:t>71%</w:t>
            </w:r>
          </w:p>
        </w:tc>
        <w:tc>
          <w:tcPr>
            <w:tcW w:w="3081" w:type="dxa"/>
          </w:tcPr>
          <w:p w14:paraId="1F08A094" w14:textId="77777777" w:rsidR="001749B1" w:rsidRPr="008B39AC" w:rsidRDefault="001749B1" w:rsidP="00962223">
            <w:pPr>
              <w:rPr>
                <w:rFonts w:ascii="Arial" w:hAnsi="Arial" w:cs="Arial"/>
                <w:sz w:val="24"/>
              </w:rPr>
            </w:pPr>
            <w:r>
              <w:rPr>
                <w:rFonts w:ascii="Arial" w:hAnsi="Arial" w:cs="Arial"/>
                <w:sz w:val="24"/>
              </w:rPr>
              <w:t>80%</w:t>
            </w:r>
          </w:p>
        </w:tc>
      </w:tr>
      <w:tr w:rsidR="001749B1" w:rsidRPr="008B39AC" w14:paraId="16F6DAE0" w14:textId="77777777" w:rsidTr="00962223">
        <w:tc>
          <w:tcPr>
            <w:tcW w:w="3080" w:type="dxa"/>
          </w:tcPr>
          <w:p w14:paraId="40A5D257" w14:textId="77777777" w:rsidR="001749B1" w:rsidRPr="008B39AC" w:rsidRDefault="001749B1" w:rsidP="00962223">
            <w:pPr>
              <w:rPr>
                <w:rFonts w:ascii="Arial" w:hAnsi="Arial" w:cs="Arial"/>
                <w:sz w:val="24"/>
              </w:rPr>
            </w:pPr>
            <w:r w:rsidRPr="008B39AC">
              <w:rPr>
                <w:rFonts w:ascii="Arial" w:hAnsi="Arial" w:cs="Arial"/>
                <w:sz w:val="24"/>
              </w:rPr>
              <w:t>Year 5</w:t>
            </w:r>
          </w:p>
        </w:tc>
        <w:tc>
          <w:tcPr>
            <w:tcW w:w="3081" w:type="dxa"/>
          </w:tcPr>
          <w:p w14:paraId="348338C2" w14:textId="77777777" w:rsidR="001749B1" w:rsidRPr="008B39AC" w:rsidRDefault="001749B1" w:rsidP="00962223">
            <w:pPr>
              <w:rPr>
                <w:rFonts w:ascii="Arial" w:hAnsi="Arial" w:cs="Arial"/>
                <w:sz w:val="24"/>
              </w:rPr>
            </w:pPr>
            <w:r>
              <w:rPr>
                <w:rFonts w:ascii="Arial" w:hAnsi="Arial" w:cs="Arial"/>
                <w:sz w:val="24"/>
              </w:rPr>
              <w:t>59%</w:t>
            </w:r>
          </w:p>
        </w:tc>
        <w:tc>
          <w:tcPr>
            <w:tcW w:w="3081" w:type="dxa"/>
          </w:tcPr>
          <w:p w14:paraId="29254C8F" w14:textId="77777777" w:rsidR="001749B1" w:rsidRPr="008B39AC" w:rsidRDefault="001749B1" w:rsidP="00962223">
            <w:pPr>
              <w:rPr>
                <w:rFonts w:ascii="Arial" w:hAnsi="Arial" w:cs="Arial"/>
                <w:sz w:val="24"/>
              </w:rPr>
            </w:pPr>
            <w:r>
              <w:rPr>
                <w:rFonts w:ascii="Arial" w:hAnsi="Arial" w:cs="Arial"/>
                <w:sz w:val="24"/>
              </w:rPr>
              <w:t>70%</w:t>
            </w:r>
          </w:p>
        </w:tc>
      </w:tr>
      <w:tr w:rsidR="001749B1" w:rsidRPr="008B39AC" w14:paraId="6F066FB3" w14:textId="77777777" w:rsidTr="00962223">
        <w:tc>
          <w:tcPr>
            <w:tcW w:w="3080" w:type="dxa"/>
          </w:tcPr>
          <w:p w14:paraId="17377D72" w14:textId="77777777" w:rsidR="001749B1" w:rsidRPr="008B39AC" w:rsidRDefault="001749B1" w:rsidP="00962223">
            <w:pPr>
              <w:rPr>
                <w:rFonts w:ascii="Arial" w:hAnsi="Arial" w:cs="Arial"/>
                <w:sz w:val="24"/>
              </w:rPr>
            </w:pPr>
            <w:r w:rsidRPr="008B39AC">
              <w:rPr>
                <w:rFonts w:ascii="Arial" w:hAnsi="Arial" w:cs="Arial"/>
                <w:sz w:val="24"/>
              </w:rPr>
              <w:t>Year 7</w:t>
            </w:r>
          </w:p>
        </w:tc>
        <w:tc>
          <w:tcPr>
            <w:tcW w:w="3081" w:type="dxa"/>
          </w:tcPr>
          <w:p w14:paraId="46D44F7D" w14:textId="77777777" w:rsidR="001749B1" w:rsidRPr="008B39AC" w:rsidRDefault="001749B1" w:rsidP="00962223">
            <w:pPr>
              <w:rPr>
                <w:rFonts w:ascii="Arial" w:hAnsi="Arial" w:cs="Arial"/>
                <w:sz w:val="24"/>
              </w:rPr>
            </w:pPr>
            <w:r>
              <w:rPr>
                <w:rFonts w:ascii="Arial" w:hAnsi="Arial" w:cs="Arial"/>
                <w:sz w:val="24"/>
              </w:rPr>
              <w:t>56%</w:t>
            </w:r>
          </w:p>
        </w:tc>
        <w:tc>
          <w:tcPr>
            <w:tcW w:w="3081" w:type="dxa"/>
          </w:tcPr>
          <w:p w14:paraId="59FA366A" w14:textId="77777777" w:rsidR="001749B1" w:rsidRPr="008B39AC" w:rsidRDefault="001749B1" w:rsidP="00962223">
            <w:pPr>
              <w:rPr>
                <w:rFonts w:ascii="Arial" w:hAnsi="Arial" w:cs="Arial"/>
                <w:sz w:val="24"/>
              </w:rPr>
            </w:pPr>
            <w:r>
              <w:rPr>
                <w:rFonts w:ascii="Arial" w:hAnsi="Arial" w:cs="Arial"/>
                <w:sz w:val="24"/>
              </w:rPr>
              <w:t>60%</w:t>
            </w:r>
          </w:p>
        </w:tc>
      </w:tr>
      <w:tr w:rsidR="001749B1" w:rsidRPr="008B39AC" w14:paraId="71D40E69" w14:textId="77777777" w:rsidTr="00962223">
        <w:tc>
          <w:tcPr>
            <w:tcW w:w="3080" w:type="dxa"/>
          </w:tcPr>
          <w:p w14:paraId="64F81525" w14:textId="77777777" w:rsidR="001749B1" w:rsidRPr="008B39AC" w:rsidRDefault="001749B1" w:rsidP="00962223">
            <w:pPr>
              <w:rPr>
                <w:rFonts w:ascii="Arial" w:hAnsi="Arial" w:cs="Arial"/>
                <w:sz w:val="24"/>
              </w:rPr>
            </w:pPr>
            <w:r w:rsidRPr="008B39AC">
              <w:rPr>
                <w:rFonts w:ascii="Arial" w:hAnsi="Arial" w:cs="Arial"/>
                <w:sz w:val="24"/>
              </w:rPr>
              <w:t>Year 9</w:t>
            </w:r>
          </w:p>
        </w:tc>
        <w:tc>
          <w:tcPr>
            <w:tcW w:w="3081" w:type="dxa"/>
          </w:tcPr>
          <w:p w14:paraId="1C5014AB" w14:textId="77777777" w:rsidR="001749B1" w:rsidRPr="008B39AC" w:rsidRDefault="001749B1" w:rsidP="00962223">
            <w:pPr>
              <w:rPr>
                <w:rFonts w:ascii="Arial" w:hAnsi="Arial" w:cs="Arial"/>
                <w:sz w:val="24"/>
              </w:rPr>
            </w:pPr>
            <w:r>
              <w:rPr>
                <w:rFonts w:ascii="Arial" w:hAnsi="Arial" w:cs="Arial"/>
                <w:sz w:val="24"/>
              </w:rPr>
              <w:t>49%</w:t>
            </w:r>
          </w:p>
        </w:tc>
        <w:tc>
          <w:tcPr>
            <w:tcW w:w="3081" w:type="dxa"/>
          </w:tcPr>
          <w:p w14:paraId="4735B0FF" w14:textId="77777777" w:rsidR="001749B1" w:rsidRPr="008B39AC" w:rsidRDefault="001749B1" w:rsidP="00962223">
            <w:pPr>
              <w:rPr>
                <w:rFonts w:ascii="Arial" w:hAnsi="Arial" w:cs="Arial"/>
                <w:sz w:val="24"/>
              </w:rPr>
            </w:pPr>
            <w:r>
              <w:rPr>
                <w:rFonts w:ascii="Arial" w:hAnsi="Arial" w:cs="Arial"/>
                <w:sz w:val="24"/>
              </w:rPr>
              <w:t>53%</w:t>
            </w:r>
          </w:p>
        </w:tc>
      </w:tr>
    </w:tbl>
    <w:p w14:paraId="6F39C1EF" w14:textId="77777777" w:rsidR="001749B1" w:rsidRDefault="001749B1" w:rsidP="00E661FE">
      <w:pPr>
        <w:rPr>
          <w:rFonts w:ascii="Arial" w:hAnsi="Arial" w:cs="Arial"/>
          <w:b/>
          <w:sz w:val="24"/>
          <w:highlight w:val="yellow"/>
        </w:rPr>
      </w:pPr>
    </w:p>
    <w:tbl>
      <w:tblPr>
        <w:tblStyle w:val="TableGrid"/>
        <w:tblW w:w="0" w:type="auto"/>
        <w:tblLook w:val="04A0" w:firstRow="1" w:lastRow="0" w:firstColumn="1" w:lastColumn="0" w:noHBand="0" w:noVBand="1"/>
        <w:tblDescription w:val="This table shows the proportion of Victorian students achieving in the top three bands of NAPLAN Numeracy, 2008 and 2018"/>
      </w:tblPr>
      <w:tblGrid>
        <w:gridCol w:w="3018"/>
        <w:gridCol w:w="2999"/>
        <w:gridCol w:w="2999"/>
      </w:tblGrid>
      <w:tr w:rsidR="001749B1" w:rsidRPr="008B39AC" w14:paraId="44790470" w14:textId="77777777" w:rsidTr="00962223">
        <w:trPr>
          <w:tblHeader/>
        </w:trPr>
        <w:tc>
          <w:tcPr>
            <w:tcW w:w="3080" w:type="dxa"/>
          </w:tcPr>
          <w:p w14:paraId="15D1EE54" w14:textId="77777777" w:rsidR="001749B1" w:rsidRPr="008B39AC" w:rsidRDefault="001749B1" w:rsidP="00962223">
            <w:pPr>
              <w:rPr>
                <w:rFonts w:ascii="Arial" w:hAnsi="Arial" w:cs="Arial"/>
                <w:sz w:val="24"/>
              </w:rPr>
            </w:pPr>
            <w:r>
              <w:rPr>
                <w:rFonts w:ascii="Arial" w:hAnsi="Arial" w:cs="Arial"/>
                <w:sz w:val="24"/>
              </w:rPr>
              <w:t>Numeracy</w:t>
            </w:r>
          </w:p>
        </w:tc>
        <w:tc>
          <w:tcPr>
            <w:tcW w:w="3081" w:type="dxa"/>
          </w:tcPr>
          <w:p w14:paraId="31B0D3C6" w14:textId="77777777" w:rsidR="001749B1" w:rsidRPr="008B39AC" w:rsidRDefault="001749B1" w:rsidP="00962223">
            <w:pPr>
              <w:rPr>
                <w:rFonts w:ascii="Arial" w:hAnsi="Arial" w:cs="Arial"/>
                <w:sz w:val="24"/>
              </w:rPr>
            </w:pPr>
            <w:r>
              <w:rPr>
                <w:rFonts w:ascii="Arial" w:hAnsi="Arial" w:cs="Arial"/>
                <w:sz w:val="24"/>
              </w:rPr>
              <w:t>2008</w:t>
            </w:r>
          </w:p>
        </w:tc>
        <w:tc>
          <w:tcPr>
            <w:tcW w:w="3081" w:type="dxa"/>
          </w:tcPr>
          <w:p w14:paraId="67B922CD" w14:textId="77777777" w:rsidR="001749B1" w:rsidRPr="008B39AC" w:rsidRDefault="001749B1" w:rsidP="00962223">
            <w:pPr>
              <w:rPr>
                <w:rFonts w:ascii="Arial" w:hAnsi="Arial" w:cs="Arial"/>
                <w:sz w:val="24"/>
              </w:rPr>
            </w:pPr>
            <w:r>
              <w:rPr>
                <w:rFonts w:ascii="Arial" w:hAnsi="Arial" w:cs="Arial"/>
                <w:sz w:val="24"/>
              </w:rPr>
              <w:t>2018</w:t>
            </w:r>
          </w:p>
        </w:tc>
      </w:tr>
      <w:tr w:rsidR="001749B1" w:rsidRPr="008B39AC" w14:paraId="367330C6" w14:textId="77777777" w:rsidTr="00962223">
        <w:tc>
          <w:tcPr>
            <w:tcW w:w="3080" w:type="dxa"/>
          </w:tcPr>
          <w:p w14:paraId="71AC2117" w14:textId="77777777" w:rsidR="001749B1" w:rsidRPr="008B39AC" w:rsidRDefault="001749B1" w:rsidP="00962223">
            <w:pPr>
              <w:rPr>
                <w:rFonts w:ascii="Arial" w:hAnsi="Arial" w:cs="Arial"/>
                <w:sz w:val="24"/>
              </w:rPr>
            </w:pPr>
            <w:r w:rsidRPr="008B39AC">
              <w:rPr>
                <w:rFonts w:ascii="Arial" w:hAnsi="Arial" w:cs="Arial"/>
                <w:sz w:val="24"/>
              </w:rPr>
              <w:t>Year 3</w:t>
            </w:r>
          </w:p>
        </w:tc>
        <w:tc>
          <w:tcPr>
            <w:tcW w:w="3081" w:type="dxa"/>
          </w:tcPr>
          <w:p w14:paraId="737E587A" w14:textId="77777777" w:rsidR="001749B1" w:rsidRPr="008B39AC" w:rsidRDefault="001B4BE3" w:rsidP="00962223">
            <w:pPr>
              <w:rPr>
                <w:rFonts w:ascii="Arial" w:hAnsi="Arial" w:cs="Arial"/>
                <w:sz w:val="24"/>
              </w:rPr>
            </w:pPr>
            <w:r>
              <w:rPr>
                <w:rFonts w:ascii="Arial" w:hAnsi="Arial" w:cs="Arial"/>
                <w:sz w:val="24"/>
              </w:rPr>
              <w:t>72%</w:t>
            </w:r>
          </w:p>
        </w:tc>
        <w:tc>
          <w:tcPr>
            <w:tcW w:w="3081" w:type="dxa"/>
          </w:tcPr>
          <w:p w14:paraId="51153A87" w14:textId="77777777" w:rsidR="001749B1" w:rsidRPr="008B39AC" w:rsidRDefault="001749B1" w:rsidP="00962223">
            <w:pPr>
              <w:rPr>
                <w:rFonts w:ascii="Arial" w:hAnsi="Arial" w:cs="Arial"/>
                <w:sz w:val="24"/>
              </w:rPr>
            </w:pPr>
            <w:r>
              <w:rPr>
                <w:rFonts w:ascii="Arial" w:hAnsi="Arial" w:cs="Arial"/>
                <w:sz w:val="24"/>
              </w:rPr>
              <w:t>72%</w:t>
            </w:r>
          </w:p>
        </w:tc>
      </w:tr>
      <w:tr w:rsidR="001749B1" w:rsidRPr="008B39AC" w14:paraId="512DE7C8" w14:textId="77777777" w:rsidTr="00962223">
        <w:tc>
          <w:tcPr>
            <w:tcW w:w="3080" w:type="dxa"/>
          </w:tcPr>
          <w:p w14:paraId="7C22ECB3" w14:textId="77777777" w:rsidR="001749B1" w:rsidRPr="008B39AC" w:rsidRDefault="001749B1" w:rsidP="00962223">
            <w:pPr>
              <w:rPr>
                <w:rFonts w:ascii="Arial" w:hAnsi="Arial" w:cs="Arial"/>
                <w:sz w:val="24"/>
              </w:rPr>
            </w:pPr>
            <w:r w:rsidRPr="008B39AC">
              <w:rPr>
                <w:rFonts w:ascii="Arial" w:hAnsi="Arial" w:cs="Arial"/>
                <w:sz w:val="24"/>
              </w:rPr>
              <w:t>Year 5</w:t>
            </w:r>
          </w:p>
        </w:tc>
        <w:tc>
          <w:tcPr>
            <w:tcW w:w="3081" w:type="dxa"/>
          </w:tcPr>
          <w:p w14:paraId="62DF87E3" w14:textId="77777777" w:rsidR="001749B1" w:rsidRPr="008B39AC" w:rsidRDefault="001B4BE3" w:rsidP="00962223">
            <w:pPr>
              <w:rPr>
                <w:rFonts w:ascii="Arial" w:hAnsi="Arial" w:cs="Arial"/>
                <w:sz w:val="24"/>
              </w:rPr>
            </w:pPr>
            <w:r>
              <w:rPr>
                <w:rFonts w:ascii="Arial" w:hAnsi="Arial" w:cs="Arial"/>
                <w:sz w:val="24"/>
              </w:rPr>
              <w:t>54%</w:t>
            </w:r>
          </w:p>
        </w:tc>
        <w:tc>
          <w:tcPr>
            <w:tcW w:w="3081" w:type="dxa"/>
          </w:tcPr>
          <w:p w14:paraId="346CE8DB" w14:textId="77777777" w:rsidR="001749B1" w:rsidRPr="008B39AC" w:rsidRDefault="001749B1" w:rsidP="00962223">
            <w:pPr>
              <w:rPr>
                <w:rFonts w:ascii="Arial" w:hAnsi="Arial" w:cs="Arial"/>
                <w:sz w:val="24"/>
              </w:rPr>
            </w:pPr>
            <w:r>
              <w:rPr>
                <w:rFonts w:ascii="Arial" w:hAnsi="Arial" w:cs="Arial"/>
                <w:sz w:val="24"/>
              </w:rPr>
              <w:t>62%</w:t>
            </w:r>
          </w:p>
        </w:tc>
      </w:tr>
      <w:tr w:rsidR="001749B1" w:rsidRPr="008B39AC" w14:paraId="1023A8C8" w14:textId="77777777" w:rsidTr="00962223">
        <w:tc>
          <w:tcPr>
            <w:tcW w:w="3080" w:type="dxa"/>
          </w:tcPr>
          <w:p w14:paraId="6921D5C5" w14:textId="77777777" w:rsidR="001749B1" w:rsidRPr="008B39AC" w:rsidRDefault="001749B1" w:rsidP="00962223">
            <w:pPr>
              <w:rPr>
                <w:rFonts w:ascii="Arial" w:hAnsi="Arial" w:cs="Arial"/>
                <w:sz w:val="24"/>
              </w:rPr>
            </w:pPr>
            <w:r w:rsidRPr="008B39AC">
              <w:rPr>
                <w:rFonts w:ascii="Arial" w:hAnsi="Arial" w:cs="Arial"/>
                <w:sz w:val="24"/>
              </w:rPr>
              <w:t>Year 7</w:t>
            </w:r>
          </w:p>
        </w:tc>
        <w:tc>
          <w:tcPr>
            <w:tcW w:w="3081" w:type="dxa"/>
          </w:tcPr>
          <w:p w14:paraId="5212D8E8" w14:textId="77777777" w:rsidR="001749B1" w:rsidRPr="008B39AC" w:rsidRDefault="001B4BE3" w:rsidP="00962223">
            <w:pPr>
              <w:rPr>
                <w:rFonts w:ascii="Arial" w:hAnsi="Arial" w:cs="Arial"/>
                <w:sz w:val="24"/>
              </w:rPr>
            </w:pPr>
            <w:r>
              <w:rPr>
                <w:rFonts w:ascii="Arial" w:hAnsi="Arial" w:cs="Arial"/>
                <w:sz w:val="24"/>
              </w:rPr>
              <w:t>59%</w:t>
            </w:r>
          </w:p>
        </w:tc>
        <w:tc>
          <w:tcPr>
            <w:tcW w:w="3081" w:type="dxa"/>
          </w:tcPr>
          <w:p w14:paraId="38181D2A" w14:textId="77777777" w:rsidR="001749B1" w:rsidRPr="008B39AC" w:rsidRDefault="001749B1" w:rsidP="00962223">
            <w:pPr>
              <w:rPr>
                <w:rFonts w:ascii="Arial" w:hAnsi="Arial" w:cs="Arial"/>
                <w:sz w:val="24"/>
              </w:rPr>
            </w:pPr>
            <w:r>
              <w:rPr>
                <w:rFonts w:ascii="Arial" w:hAnsi="Arial" w:cs="Arial"/>
                <w:sz w:val="24"/>
              </w:rPr>
              <w:t>61%</w:t>
            </w:r>
          </w:p>
        </w:tc>
      </w:tr>
      <w:tr w:rsidR="001749B1" w:rsidRPr="008B39AC" w14:paraId="7985C4E8" w14:textId="77777777" w:rsidTr="00962223">
        <w:tc>
          <w:tcPr>
            <w:tcW w:w="3080" w:type="dxa"/>
          </w:tcPr>
          <w:p w14:paraId="430EAFF0" w14:textId="77777777" w:rsidR="001749B1" w:rsidRPr="008B39AC" w:rsidRDefault="001749B1" w:rsidP="00962223">
            <w:pPr>
              <w:rPr>
                <w:rFonts w:ascii="Arial" w:hAnsi="Arial" w:cs="Arial"/>
                <w:sz w:val="24"/>
              </w:rPr>
            </w:pPr>
            <w:r w:rsidRPr="008B39AC">
              <w:rPr>
                <w:rFonts w:ascii="Arial" w:hAnsi="Arial" w:cs="Arial"/>
                <w:sz w:val="24"/>
              </w:rPr>
              <w:t>Year 9</w:t>
            </w:r>
          </w:p>
        </w:tc>
        <w:tc>
          <w:tcPr>
            <w:tcW w:w="3081" w:type="dxa"/>
          </w:tcPr>
          <w:p w14:paraId="25805545" w14:textId="77777777" w:rsidR="001749B1" w:rsidRPr="008B39AC" w:rsidRDefault="001B4BE3" w:rsidP="00962223">
            <w:pPr>
              <w:rPr>
                <w:rFonts w:ascii="Arial" w:hAnsi="Arial" w:cs="Arial"/>
                <w:sz w:val="24"/>
              </w:rPr>
            </w:pPr>
            <w:r>
              <w:rPr>
                <w:rFonts w:ascii="Arial" w:hAnsi="Arial" w:cs="Arial"/>
                <w:sz w:val="24"/>
              </w:rPr>
              <w:t>53%</w:t>
            </w:r>
          </w:p>
        </w:tc>
        <w:tc>
          <w:tcPr>
            <w:tcW w:w="3081" w:type="dxa"/>
          </w:tcPr>
          <w:p w14:paraId="4753EBB1" w14:textId="77777777" w:rsidR="001749B1" w:rsidRPr="008B39AC" w:rsidRDefault="001749B1" w:rsidP="00962223">
            <w:pPr>
              <w:rPr>
                <w:rFonts w:ascii="Arial" w:hAnsi="Arial" w:cs="Arial"/>
                <w:sz w:val="24"/>
              </w:rPr>
            </w:pPr>
            <w:r>
              <w:rPr>
                <w:rFonts w:ascii="Arial" w:hAnsi="Arial" w:cs="Arial"/>
                <w:sz w:val="24"/>
              </w:rPr>
              <w:t>58%</w:t>
            </w:r>
          </w:p>
        </w:tc>
      </w:tr>
    </w:tbl>
    <w:p w14:paraId="1BDFEFCB" w14:textId="77777777" w:rsidR="00D735BC" w:rsidRPr="00D735BC" w:rsidRDefault="00D735BC" w:rsidP="00D735BC">
      <w:pPr>
        <w:rPr>
          <w:rFonts w:ascii="Arial" w:hAnsi="Arial" w:cs="Arial"/>
          <w:i/>
          <w:sz w:val="24"/>
        </w:rPr>
      </w:pPr>
      <w:r w:rsidRPr="00D735BC">
        <w:rPr>
          <w:rFonts w:ascii="Arial" w:hAnsi="Arial" w:cs="Arial"/>
          <w:i/>
          <w:sz w:val="24"/>
        </w:rPr>
        <w:t>Source: NAPLAN, 2008 and 2018, ACARA</w:t>
      </w:r>
    </w:p>
    <w:p w14:paraId="78FF0DCB" w14:textId="77777777" w:rsidR="00D735BC" w:rsidRDefault="00D735BC" w:rsidP="00D735BC">
      <w:pPr>
        <w:rPr>
          <w:rFonts w:ascii="Arial" w:hAnsi="Arial" w:cs="Arial"/>
          <w:sz w:val="24"/>
        </w:rPr>
      </w:pPr>
      <w:r w:rsidRPr="00D735BC">
        <w:rPr>
          <w:rFonts w:ascii="Arial" w:hAnsi="Arial" w:cs="Arial"/>
          <w:sz w:val="24"/>
        </w:rPr>
        <w:t>Despite these improvements, increasing performance in the secondary years remains a focus, as only half of Year 7 and Year 9 students are currently achieving in the top three bands for both domains.</w:t>
      </w:r>
    </w:p>
    <w:p w14:paraId="6994088A" w14:textId="77777777" w:rsidR="00ED2F56" w:rsidRPr="00EC7B84" w:rsidRDefault="00ED2F56" w:rsidP="00EC7B84">
      <w:pPr>
        <w:pStyle w:val="Heading3"/>
        <w:rPr>
          <w:rFonts w:ascii="Arial" w:hAnsi="Arial" w:cs="Arial"/>
          <w:color w:val="auto"/>
          <w:sz w:val="24"/>
        </w:rPr>
      </w:pPr>
      <w:bookmarkStart w:id="50" w:name="_Toc33527775"/>
      <w:r w:rsidRPr="00EC7B84">
        <w:rPr>
          <w:rFonts w:ascii="Arial" w:hAnsi="Arial" w:cs="Arial"/>
          <w:color w:val="auto"/>
          <w:sz w:val="24"/>
        </w:rPr>
        <w:lastRenderedPageBreak/>
        <w:t>4.9</w:t>
      </w:r>
      <w:r w:rsidRPr="00EC7B84">
        <w:rPr>
          <w:rFonts w:ascii="Arial" w:hAnsi="Arial" w:cs="Arial"/>
          <w:color w:val="auto"/>
          <w:sz w:val="24"/>
        </w:rPr>
        <w:tab/>
        <w:t>Educational outcomes for Aboriginal students are improving</w:t>
      </w:r>
      <w:bookmarkEnd w:id="50"/>
    </w:p>
    <w:p w14:paraId="6F188925" w14:textId="77777777" w:rsidR="00ED2F56" w:rsidRPr="00ED2F56" w:rsidRDefault="00ED2F56" w:rsidP="00ED2F56">
      <w:pPr>
        <w:rPr>
          <w:rFonts w:ascii="Arial" w:hAnsi="Arial" w:cs="Arial"/>
          <w:sz w:val="24"/>
        </w:rPr>
      </w:pPr>
      <w:r w:rsidRPr="00ED2F56">
        <w:rPr>
          <w:rFonts w:ascii="Arial" w:hAnsi="Arial" w:cs="Arial"/>
          <w:sz w:val="24"/>
        </w:rPr>
        <w:t>Between 2008 and 2018, the proportion of Aboriginal students achieving in the top three bands of Reading and Numeracy improved in every year level except Year 3 Numeracy.</w:t>
      </w:r>
    </w:p>
    <w:p w14:paraId="1B5249AE" w14:textId="77777777" w:rsidR="00E45E75" w:rsidRDefault="00ED2F56" w:rsidP="00ED2F56">
      <w:pPr>
        <w:rPr>
          <w:rFonts w:ascii="Arial" w:hAnsi="Arial" w:cs="Arial"/>
          <w:sz w:val="24"/>
        </w:rPr>
      </w:pPr>
      <w:r w:rsidRPr="00ED2F56">
        <w:rPr>
          <w:rFonts w:ascii="Arial" w:hAnsi="Arial" w:cs="Arial"/>
          <w:sz w:val="24"/>
        </w:rPr>
        <w:t>While performance can fluctuate from year to year due to the small size of the cohort in Victoria, these changes follow an overall trend of improvement over the last 10 years. Significant disparities in performance between Aboriginal and non-Aboriginal students remain.</w:t>
      </w:r>
    </w:p>
    <w:p w14:paraId="3EE147CA" w14:textId="77777777" w:rsidR="00E45E75" w:rsidRDefault="00644B3B" w:rsidP="00D735BC">
      <w:pPr>
        <w:rPr>
          <w:rFonts w:ascii="Arial" w:hAnsi="Arial" w:cs="Arial"/>
          <w:b/>
          <w:sz w:val="24"/>
        </w:rPr>
      </w:pPr>
      <w:r w:rsidRPr="00EC7B84">
        <w:rPr>
          <w:rFonts w:ascii="Arial" w:hAnsi="Arial" w:cs="Arial"/>
          <w:b/>
          <w:sz w:val="24"/>
        </w:rPr>
        <w:t>Figure 39. Proportion of Victorian students in the top three bands of NAPLAN Reading, by Aboriginal status, 2008 and 2018</w:t>
      </w:r>
    </w:p>
    <w:tbl>
      <w:tblPr>
        <w:tblStyle w:val="TableGrid"/>
        <w:tblW w:w="0" w:type="auto"/>
        <w:tblLook w:val="04A0" w:firstRow="1" w:lastRow="0" w:firstColumn="1" w:lastColumn="0" w:noHBand="0" w:noVBand="1"/>
        <w:tblDescription w:val="This table shows the proportion of Victorian Aboriginal students achieving in the top three bands of NAPLAN Reading, 2008 and 2018"/>
      </w:tblPr>
      <w:tblGrid>
        <w:gridCol w:w="3018"/>
        <w:gridCol w:w="2999"/>
        <w:gridCol w:w="2999"/>
      </w:tblGrid>
      <w:tr w:rsidR="00E50905" w:rsidRPr="008B39AC" w14:paraId="110B2A33" w14:textId="77777777" w:rsidTr="00962223">
        <w:trPr>
          <w:tblHeader/>
        </w:trPr>
        <w:tc>
          <w:tcPr>
            <w:tcW w:w="3080" w:type="dxa"/>
          </w:tcPr>
          <w:p w14:paraId="638BF755" w14:textId="77777777" w:rsidR="00E50905" w:rsidRPr="008B39AC" w:rsidRDefault="00E50905" w:rsidP="00962223">
            <w:pPr>
              <w:rPr>
                <w:rFonts w:ascii="Arial" w:hAnsi="Arial" w:cs="Arial"/>
                <w:sz w:val="24"/>
              </w:rPr>
            </w:pPr>
            <w:r>
              <w:rPr>
                <w:rFonts w:ascii="Arial" w:hAnsi="Arial" w:cs="Arial"/>
                <w:sz w:val="24"/>
              </w:rPr>
              <w:t>Aboriginal</w:t>
            </w:r>
          </w:p>
        </w:tc>
        <w:tc>
          <w:tcPr>
            <w:tcW w:w="3081" w:type="dxa"/>
          </w:tcPr>
          <w:p w14:paraId="0B9C67C0" w14:textId="77777777" w:rsidR="00E50905" w:rsidRPr="008B39AC" w:rsidRDefault="00E50905" w:rsidP="00962223">
            <w:pPr>
              <w:rPr>
                <w:rFonts w:ascii="Arial" w:hAnsi="Arial" w:cs="Arial"/>
                <w:sz w:val="24"/>
              </w:rPr>
            </w:pPr>
            <w:r>
              <w:rPr>
                <w:rFonts w:ascii="Arial" w:hAnsi="Arial" w:cs="Arial"/>
                <w:sz w:val="24"/>
              </w:rPr>
              <w:t>2008</w:t>
            </w:r>
          </w:p>
        </w:tc>
        <w:tc>
          <w:tcPr>
            <w:tcW w:w="3081" w:type="dxa"/>
          </w:tcPr>
          <w:p w14:paraId="0A44EB7F" w14:textId="77777777" w:rsidR="00E50905" w:rsidRPr="008B39AC" w:rsidRDefault="00E50905" w:rsidP="00962223">
            <w:pPr>
              <w:rPr>
                <w:rFonts w:ascii="Arial" w:hAnsi="Arial" w:cs="Arial"/>
                <w:sz w:val="24"/>
              </w:rPr>
            </w:pPr>
            <w:r>
              <w:rPr>
                <w:rFonts w:ascii="Arial" w:hAnsi="Arial" w:cs="Arial"/>
                <w:sz w:val="24"/>
              </w:rPr>
              <w:t>2018</w:t>
            </w:r>
          </w:p>
        </w:tc>
      </w:tr>
      <w:tr w:rsidR="00E50905" w:rsidRPr="008B39AC" w14:paraId="3EEC1092" w14:textId="77777777" w:rsidTr="00962223">
        <w:tc>
          <w:tcPr>
            <w:tcW w:w="3080" w:type="dxa"/>
          </w:tcPr>
          <w:p w14:paraId="745EAFCE" w14:textId="77777777" w:rsidR="00E50905" w:rsidRPr="008B39AC" w:rsidRDefault="00E50905" w:rsidP="00962223">
            <w:pPr>
              <w:rPr>
                <w:rFonts w:ascii="Arial" w:hAnsi="Arial" w:cs="Arial"/>
                <w:sz w:val="24"/>
              </w:rPr>
            </w:pPr>
            <w:r w:rsidRPr="008B39AC">
              <w:rPr>
                <w:rFonts w:ascii="Arial" w:hAnsi="Arial" w:cs="Arial"/>
                <w:sz w:val="24"/>
              </w:rPr>
              <w:t>Year 3</w:t>
            </w:r>
          </w:p>
        </w:tc>
        <w:tc>
          <w:tcPr>
            <w:tcW w:w="3081" w:type="dxa"/>
          </w:tcPr>
          <w:p w14:paraId="6F8B6466" w14:textId="77777777" w:rsidR="00E50905" w:rsidRPr="008B39AC" w:rsidRDefault="00E26553" w:rsidP="00962223">
            <w:pPr>
              <w:rPr>
                <w:rFonts w:ascii="Arial" w:hAnsi="Arial" w:cs="Arial"/>
                <w:sz w:val="24"/>
              </w:rPr>
            </w:pPr>
            <w:r>
              <w:rPr>
                <w:rFonts w:ascii="Arial" w:hAnsi="Arial" w:cs="Arial"/>
                <w:sz w:val="24"/>
              </w:rPr>
              <w:t>45%</w:t>
            </w:r>
          </w:p>
        </w:tc>
        <w:tc>
          <w:tcPr>
            <w:tcW w:w="3081" w:type="dxa"/>
          </w:tcPr>
          <w:p w14:paraId="519792EB" w14:textId="77777777" w:rsidR="00E50905" w:rsidRPr="008B39AC" w:rsidRDefault="00E26553" w:rsidP="00962223">
            <w:pPr>
              <w:rPr>
                <w:rFonts w:ascii="Arial" w:hAnsi="Arial" w:cs="Arial"/>
                <w:sz w:val="24"/>
              </w:rPr>
            </w:pPr>
            <w:r>
              <w:rPr>
                <w:rFonts w:ascii="Arial" w:hAnsi="Arial" w:cs="Arial"/>
                <w:sz w:val="24"/>
              </w:rPr>
              <w:t>56%</w:t>
            </w:r>
          </w:p>
        </w:tc>
      </w:tr>
      <w:tr w:rsidR="00E50905" w:rsidRPr="008B39AC" w14:paraId="6291D4D9" w14:textId="77777777" w:rsidTr="00962223">
        <w:tc>
          <w:tcPr>
            <w:tcW w:w="3080" w:type="dxa"/>
          </w:tcPr>
          <w:p w14:paraId="01448AA8" w14:textId="77777777" w:rsidR="00E50905" w:rsidRPr="008B39AC" w:rsidRDefault="00E50905" w:rsidP="00962223">
            <w:pPr>
              <w:rPr>
                <w:rFonts w:ascii="Arial" w:hAnsi="Arial" w:cs="Arial"/>
                <w:sz w:val="24"/>
              </w:rPr>
            </w:pPr>
            <w:r w:rsidRPr="008B39AC">
              <w:rPr>
                <w:rFonts w:ascii="Arial" w:hAnsi="Arial" w:cs="Arial"/>
                <w:sz w:val="24"/>
              </w:rPr>
              <w:t>Year 5</w:t>
            </w:r>
          </w:p>
        </w:tc>
        <w:tc>
          <w:tcPr>
            <w:tcW w:w="3081" w:type="dxa"/>
          </w:tcPr>
          <w:p w14:paraId="3D880BCC" w14:textId="77777777" w:rsidR="00E50905" w:rsidRPr="008B39AC" w:rsidRDefault="00E26553" w:rsidP="00962223">
            <w:pPr>
              <w:rPr>
                <w:rFonts w:ascii="Arial" w:hAnsi="Arial" w:cs="Arial"/>
                <w:sz w:val="24"/>
              </w:rPr>
            </w:pPr>
            <w:r>
              <w:rPr>
                <w:rFonts w:ascii="Arial" w:hAnsi="Arial" w:cs="Arial"/>
                <w:sz w:val="24"/>
              </w:rPr>
              <w:t>32%</w:t>
            </w:r>
          </w:p>
        </w:tc>
        <w:tc>
          <w:tcPr>
            <w:tcW w:w="3081" w:type="dxa"/>
          </w:tcPr>
          <w:p w14:paraId="273976DD" w14:textId="77777777" w:rsidR="00E50905" w:rsidRPr="008B39AC" w:rsidRDefault="00E26553" w:rsidP="00962223">
            <w:pPr>
              <w:rPr>
                <w:rFonts w:ascii="Arial" w:hAnsi="Arial" w:cs="Arial"/>
                <w:sz w:val="24"/>
              </w:rPr>
            </w:pPr>
            <w:r>
              <w:rPr>
                <w:rFonts w:ascii="Arial" w:hAnsi="Arial" w:cs="Arial"/>
                <w:sz w:val="24"/>
              </w:rPr>
              <w:t>41%</w:t>
            </w:r>
          </w:p>
        </w:tc>
      </w:tr>
      <w:tr w:rsidR="00E50905" w:rsidRPr="008B39AC" w14:paraId="29DCB1A0" w14:textId="77777777" w:rsidTr="00962223">
        <w:tc>
          <w:tcPr>
            <w:tcW w:w="3080" w:type="dxa"/>
          </w:tcPr>
          <w:p w14:paraId="0F9F7D80" w14:textId="77777777" w:rsidR="00E50905" w:rsidRPr="008B39AC" w:rsidRDefault="00E50905" w:rsidP="00962223">
            <w:pPr>
              <w:rPr>
                <w:rFonts w:ascii="Arial" w:hAnsi="Arial" w:cs="Arial"/>
                <w:sz w:val="24"/>
              </w:rPr>
            </w:pPr>
            <w:r w:rsidRPr="008B39AC">
              <w:rPr>
                <w:rFonts w:ascii="Arial" w:hAnsi="Arial" w:cs="Arial"/>
                <w:sz w:val="24"/>
              </w:rPr>
              <w:t>Year 7</w:t>
            </w:r>
          </w:p>
        </w:tc>
        <w:tc>
          <w:tcPr>
            <w:tcW w:w="3081" w:type="dxa"/>
          </w:tcPr>
          <w:p w14:paraId="749E43DB" w14:textId="77777777" w:rsidR="00E50905" w:rsidRPr="008B39AC" w:rsidRDefault="00E26553" w:rsidP="00962223">
            <w:pPr>
              <w:rPr>
                <w:rFonts w:ascii="Arial" w:hAnsi="Arial" w:cs="Arial"/>
                <w:sz w:val="24"/>
              </w:rPr>
            </w:pPr>
            <w:r>
              <w:rPr>
                <w:rFonts w:ascii="Arial" w:hAnsi="Arial" w:cs="Arial"/>
                <w:sz w:val="24"/>
              </w:rPr>
              <w:t>21%</w:t>
            </w:r>
          </w:p>
        </w:tc>
        <w:tc>
          <w:tcPr>
            <w:tcW w:w="3081" w:type="dxa"/>
          </w:tcPr>
          <w:p w14:paraId="769E16C6" w14:textId="77777777" w:rsidR="00E50905" w:rsidRPr="008B39AC" w:rsidRDefault="00E26553" w:rsidP="00962223">
            <w:pPr>
              <w:rPr>
                <w:rFonts w:ascii="Arial" w:hAnsi="Arial" w:cs="Arial"/>
                <w:sz w:val="24"/>
              </w:rPr>
            </w:pPr>
            <w:r>
              <w:rPr>
                <w:rFonts w:ascii="Arial" w:hAnsi="Arial" w:cs="Arial"/>
                <w:sz w:val="24"/>
              </w:rPr>
              <w:t>26%</w:t>
            </w:r>
          </w:p>
        </w:tc>
      </w:tr>
      <w:tr w:rsidR="00E50905" w:rsidRPr="008B39AC" w14:paraId="354F538F" w14:textId="77777777" w:rsidTr="00962223">
        <w:tc>
          <w:tcPr>
            <w:tcW w:w="3080" w:type="dxa"/>
          </w:tcPr>
          <w:p w14:paraId="12971F2B" w14:textId="77777777" w:rsidR="00E50905" w:rsidRPr="008B39AC" w:rsidRDefault="00E50905" w:rsidP="00962223">
            <w:pPr>
              <w:rPr>
                <w:rFonts w:ascii="Arial" w:hAnsi="Arial" w:cs="Arial"/>
                <w:sz w:val="24"/>
              </w:rPr>
            </w:pPr>
            <w:r w:rsidRPr="008B39AC">
              <w:rPr>
                <w:rFonts w:ascii="Arial" w:hAnsi="Arial" w:cs="Arial"/>
                <w:sz w:val="24"/>
              </w:rPr>
              <w:t>Year 9</w:t>
            </w:r>
          </w:p>
        </w:tc>
        <w:tc>
          <w:tcPr>
            <w:tcW w:w="3081" w:type="dxa"/>
          </w:tcPr>
          <w:p w14:paraId="4A937881" w14:textId="77777777" w:rsidR="00E50905" w:rsidRPr="008B39AC" w:rsidRDefault="00E26553" w:rsidP="00962223">
            <w:pPr>
              <w:rPr>
                <w:rFonts w:ascii="Arial" w:hAnsi="Arial" w:cs="Arial"/>
                <w:sz w:val="24"/>
              </w:rPr>
            </w:pPr>
            <w:r>
              <w:rPr>
                <w:rFonts w:ascii="Arial" w:hAnsi="Arial" w:cs="Arial"/>
                <w:sz w:val="24"/>
              </w:rPr>
              <w:t>20%</w:t>
            </w:r>
          </w:p>
        </w:tc>
        <w:tc>
          <w:tcPr>
            <w:tcW w:w="3081" w:type="dxa"/>
          </w:tcPr>
          <w:p w14:paraId="1682DC6F" w14:textId="77777777" w:rsidR="00E50905" w:rsidRPr="008B39AC" w:rsidRDefault="00E26553" w:rsidP="00962223">
            <w:pPr>
              <w:rPr>
                <w:rFonts w:ascii="Arial" w:hAnsi="Arial" w:cs="Arial"/>
                <w:sz w:val="24"/>
              </w:rPr>
            </w:pPr>
            <w:r>
              <w:rPr>
                <w:rFonts w:ascii="Arial" w:hAnsi="Arial" w:cs="Arial"/>
                <w:sz w:val="24"/>
              </w:rPr>
              <w:t>25%</w:t>
            </w:r>
          </w:p>
        </w:tc>
      </w:tr>
    </w:tbl>
    <w:p w14:paraId="3F45687F" w14:textId="77777777" w:rsidR="00E50905" w:rsidRDefault="00E50905" w:rsidP="00D735BC">
      <w:pPr>
        <w:rPr>
          <w:rFonts w:ascii="Arial" w:hAnsi="Arial" w:cs="Arial"/>
          <w:i/>
          <w:sz w:val="24"/>
        </w:rPr>
      </w:pPr>
    </w:p>
    <w:tbl>
      <w:tblPr>
        <w:tblStyle w:val="TableGrid"/>
        <w:tblW w:w="0" w:type="auto"/>
        <w:tblLook w:val="04A0" w:firstRow="1" w:lastRow="0" w:firstColumn="1" w:lastColumn="0" w:noHBand="0" w:noVBand="1"/>
        <w:tblDescription w:val="This table shows the proportion of Victorian non-Aboriginal students achieving in the top three bands of NAPLAN Reading, 2008 and 2018"/>
      </w:tblPr>
      <w:tblGrid>
        <w:gridCol w:w="3018"/>
        <w:gridCol w:w="2999"/>
        <w:gridCol w:w="2999"/>
      </w:tblGrid>
      <w:tr w:rsidR="00E26553" w:rsidRPr="008B39AC" w14:paraId="39105C9E" w14:textId="77777777" w:rsidTr="00962223">
        <w:trPr>
          <w:tblHeader/>
        </w:trPr>
        <w:tc>
          <w:tcPr>
            <w:tcW w:w="3080" w:type="dxa"/>
          </w:tcPr>
          <w:p w14:paraId="64C697EB" w14:textId="77777777" w:rsidR="00E26553" w:rsidRPr="008B39AC" w:rsidRDefault="00E26553" w:rsidP="00962223">
            <w:pPr>
              <w:rPr>
                <w:rFonts w:ascii="Arial" w:hAnsi="Arial" w:cs="Arial"/>
                <w:sz w:val="24"/>
              </w:rPr>
            </w:pPr>
            <w:r>
              <w:rPr>
                <w:rFonts w:ascii="Arial" w:hAnsi="Arial" w:cs="Arial"/>
                <w:sz w:val="24"/>
              </w:rPr>
              <w:t>Non-Aboriginal</w:t>
            </w:r>
          </w:p>
        </w:tc>
        <w:tc>
          <w:tcPr>
            <w:tcW w:w="3081" w:type="dxa"/>
          </w:tcPr>
          <w:p w14:paraId="31BEECA9" w14:textId="77777777" w:rsidR="00E26553" w:rsidRPr="008B39AC" w:rsidRDefault="00E26553" w:rsidP="00962223">
            <w:pPr>
              <w:rPr>
                <w:rFonts w:ascii="Arial" w:hAnsi="Arial" w:cs="Arial"/>
                <w:sz w:val="24"/>
              </w:rPr>
            </w:pPr>
            <w:r>
              <w:rPr>
                <w:rFonts w:ascii="Arial" w:hAnsi="Arial" w:cs="Arial"/>
                <w:sz w:val="24"/>
              </w:rPr>
              <w:t>2008</w:t>
            </w:r>
          </w:p>
        </w:tc>
        <w:tc>
          <w:tcPr>
            <w:tcW w:w="3081" w:type="dxa"/>
          </w:tcPr>
          <w:p w14:paraId="0489E484" w14:textId="77777777" w:rsidR="00E26553" w:rsidRPr="008B39AC" w:rsidRDefault="00E26553" w:rsidP="00962223">
            <w:pPr>
              <w:rPr>
                <w:rFonts w:ascii="Arial" w:hAnsi="Arial" w:cs="Arial"/>
                <w:sz w:val="24"/>
              </w:rPr>
            </w:pPr>
            <w:r>
              <w:rPr>
                <w:rFonts w:ascii="Arial" w:hAnsi="Arial" w:cs="Arial"/>
                <w:sz w:val="24"/>
              </w:rPr>
              <w:t>2018</w:t>
            </w:r>
          </w:p>
        </w:tc>
      </w:tr>
      <w:tr w:rsidR="00E26553" w:rsidRPr="008B39AC" w14:paraId="49EE7A72" w14:textId="77777777" w:rsidTr="00962223">
        <w:tc>
          <w:tcPr>
            <w:tcW w:w="3080" w:type="dxa"/>
          </w:tcPr>
          <w:p w14:paraId="43BDE9DF" w14:textId="77777777" w:rsidR="00E26553" w:rsidRPr="008B39AC" w:rsidRDefault="00E26553" w:rsidP="00962223">
            <w:pPr>
              <w:rPr>
                <w:rFonts w:ascii="Arial" w:hAnsi="Arial" w:cs="Arial"/>
                <w:sz w:val="24"/>
              </w:rPr>
            </w:pPr>
            <w:r w:rsidRPr="008B39AC">
              <w:rPr>
                <w:rFonts w:ascii="Arial" w:hAnsi="Arial" w:cs="Arial"/>
                <w:sz w:val="24"/>
              </w:rPr>
              <w:t>Year 3</w:t>
            </w:r>
          </w:p>
        </w:tc>
        <w:tc>
          <w:tcPr>
            <w:tcW w:w="3081" w:type="dxa"/>
          </w:tcPr>
          <w:p w14:paraId="67C1ECFF" w14:textId="77777777" w:rsidR="00E26553" w:rsidRPr="008B39AC" w:rsidRDefault="007966A7" w:rsidP="00962223">
            <w:pPr>
              <w:rPr>
                <w:rFonts w:ascii="Arial" w:hAnsi="Arial" w:cs="Arial"/>
                <w:sz w:val="24"/>
              </w:rPr>
            </w:pPr>
            <w:r>
              <w:rPr>
                <w:rFonts w:ascii="Arial" w:hAnsi="Arial" w:cs="Arial"/>
                <w:sz w:val="24"/>
              </w:rPr>
              <w:t>71%</w:t>
            </w:r>
          </w:p>
        </w:tc>
        <w:tc>
          <w:tcPr>
            <w:tcW w:w="3081" w:type="dxa"/>
          </w:tcPr>
          <w:p w14:paraId="15ADDC70" w14:textId="77777777" w:rsidR="00E26553" w:rsidRPr="008B39AC" w:rsidRDefault="007966A7" w:rsidP="00962223">
            <w:pPr>
              <w:rPr>
                <w:rFonts w:ascii="Arial" w:hAnsi="Arial" w:cs="Arial"/>
                <w:sz w:val="24"/>
              </w:rPr>
            </w:pPr>
            <w:r>
              <w:rPr>
                <w:rFonts w:ascii="Arial" w:hAnsi="Arial" w:cs="Arial"/>
                <w:sz w:val="24"/>
              </w:rPr>
              <w:t>81%</w:t>
            </w:r>
          </w:p>
        </w:tc>
      </w:tr>
      <w:tr w:rsidR="00E26553" w:rsidRPr="008B39AC" w14:paraId="436D8506" w14:textId="77777777" w:rsidTr="00962223">
        <w:tc>
          <w:tcPr>
            <w:tcW w:w="3080" w:type="dxa"/>
          </w:tcPr>
          <w:p w14:paraId="5CDC455F" w14:textId="77777777" w:rsidR="00E26553" w:rsidRPr="008B39AC" w:rsidRDefault="00E26553" w:rsidP="00962223">
            <w:pPr>
              <w:rPr>
                <w:rFonts w:ascii="Arial" w:hAnsi="Arial" w:cs="Arial"/>
                <w:sz w:val="24"/>
              </w:rPr>
            </w:pPr>
            <w:r w:rsidRPr="008B39AC">
              <w:rPr>
                <w:rFonts w:ascii="Arial" w:hAnsi="Arial" w:cs="Arial"/>
                <w:sz w:val="24"/>
              </w:rPr>
              <w:t>Year 5</w:t>
            </w:r>
          </w:p>
        </w:tc>
        <w:tc>
          <w:tcPr>
            <w:tcW w:w="3081" w:type="dxa"/>
          </w:tcPr>
          <w:p w14:paraId="095E452D" w14:textId="77777777" w:rsidR="00E26553" w:rsidRPr="008B39AC" w:rsidRDefault="00EC7B84" w:rsidP="00962223">
            <w:pPr>
              <w:rPr>
                <w:rFonts w:ascii="Arial" w:hAnsi="Arial" w:cs="Arial"/>
                <w:sz w:val="24"/>
              </w:rPr>
            </w:pPr>
            <w:r>
              <w:rPr>
                <w:rFonts w:ascii="Arial" w:hAnsi="Arial" w:cs="Arial"/>
                <w:sz w:val="24"/>
              </w:rPr>
              <w:t>59%</w:t>
            </w:r>
          </w:p>
        </w:tc>
        <w:tc>
          <w:tcPr>
            <w:tcW w:w="3081" w:type="dxa"/>
          </w:tcPr>
          <w:p w14:paraId="009085E6" w14:textId="77777777" w:rsidR="00E26553" w:rsidRPr="008B39AC" w:rsidRDefault="007966A7" w:rsidP="00962223">
            <w:pPr>
              <w:rPr>
                <w:rFonts w:ascii="Arial" w:hAnsi="Arial" w:cs="Arial"/>
                <w:sz w:val="24"/>
              </w:rPr>
            </w:pPr>
            <w:r>
              <w:rPr>
                <w:rFonts w:ascii="Arial" w:hAnsi="Arial" w:cs="Arial"/>
                <w:sz w:val="24"/>
              </w:rPr>
              <w:t>71%</w:t>
            </w:r>
          </w:p>
        </w:tc>
      </w:tr>
      <w:tr w:rsidR="00E26553" w:rsidRPr="008B39AC" w14:paraId="021806DC" w14:textId="77777777" w:rsidTr="00962223">
        <w:tc>
          <w:tcPr>
            <w:tcW w:w="3080" w:type="dxa"/>
          </w:tcPr>
          <w:p w14:paraId="5B95010F" w14:textId="77777777" w:rsidR="00E26553" w:rsidRPr="008B39AC" w:rsidRDefault="00E26553" w:rsidP="00962223">
            <w:pPr>
              <w:rPr>
                <w:rFonts w:ascii="Arial" w:hAnsi="Arial" w:cs="Arial"/>
                <w:sz w:val="24"/>
              </w:rPr>
            </w:pPr>
            <w:r w:rsidRPr="008B39AC">
              <w:rPr>
                <w:rFonts w:ascii="Arial" w:hAnsi="Arial" w:cs="Arial"/>
                <w:sz w:val="24"/>
              </w:rPr>
              <w:t>Year 7</w:t>
            </w:r>
          </w:p>
        </w:tc>
        <w:tc>
          <w:tcPr>
            <w:tcW w:w="3081" w:type="dxa"/>
          </w:tcPr>
          <w:p w14:paraId="7E56857F" w14:textId="77777777" w:rsidR="00E26553" w:rsidRPr="008B39AC" w:rsidRDefault="007966A7" w:rsidP="00962223">
            <w:pPr>
              <w:rPr>
                <w:rFonts w:ascii="Arial" w:hAnsi="Arial" w:cs="Arial"/>
                <w:sz w:val="24"/>
              </w:rPr>
            </w:pPr>
            <w:r>
              <w:rPr>
                <w:rFonts w:ascii="Arial" w:hAnsi="Arial" w:cs="Arial"/>
                <w:sz w:val="24"/>
              </w:rPr>
              <w:t>56%</w:t>
            </w:r>
          </w:p>
        </w:tc>
        <w:tc>
          <w:tcPr>
            <w:tcW w:w="3081" w:type="dxa"/>
          </w:tcPr>
          <w:p w14:paraId="584C4C4D" w14:textId="77777777" w:rsidR="00E26553" w:rsidRPr="008B39AC" w:rsidRDefault="007966A7" w:rsidP="00962223">
            <w:pPr>
              <w:rPr>
                <w:rFonts w:ascii="Arial" w:hAnsi="Arial" w:cs="Arial"/>
                <w:sz w:val="24"/>
              </w:rPr>
            </w:pPr>
            <w:r>
              <w:rPr>
                <w:rFonts w:ascii="Arial" w:hAnsi="Arial" w:cs="Arial"/>
                <w:sz w:val="24"/>
              </w:rPr>
              <w:t>50%</w:t>
            </w:r>
          </w:p>
        </w:tc>
      </w:tr>
      <w:tr w:rsidR="00E26553" w:rsidRPr="008B39AC" w14:paraId="525A647E" w14:textId="77777777" w:rsidTr="00962223">
        <w:tc>
          <w:tcPr>
            <w:tcW w:w="3080" w:type="dxa"/>
          </w:tcPr>
          <w:p w14:paraId="6ECBD413" w14:textId="77777777" w:rsidR="00E26553" w:rsidRPr="008B39AC" w:rsidRDefault="00E26553" w:rsidP="00962223">
            <w:pPr>
              <w:rPr>
                <w:rFonts w:ascii="Arial" w:hAnsi="Arial" w:cs="Arial"/>
                <w:sz w:val="24"/>
              </w:rPr>
            </w:pPr>
            <w:r w:rsidRPr="008B39AC">
              <w:rPr>
                <w:rFonts w:ascii="Arial" w:hAnsi="Arial" w:cs="Arial"/>
                <w:sz w:val="24"/>
              </w:rPr>
              <w:t>Year 9</w:t>
            </w:r>
          </w:p>
        </w:tc>
        <w:tc>
          <w:tcPr>
            <w:tcW w:w="3081" w:type="dxa"/>
          </w:tcPr>
          <w:p w14:paraId="1C93D8EA" w14:textId="77777777" w:rsidR="00E26553" w:rsidRPr="008B39AC" w:rsidRDefault="007966A7" w:rsidP="00962223">
            <w:pPr>
              <w:rPr>
                <w:rFonts w:ascii="Arial" w:hAnsi="Arial" w:cs="Arial"/>
                <w:sz w:val="24"/>
              </w:rPr>
            </w:pPr>
            <w:r>
              <w:rPr>
                <w:rFonts w:ascii="Arial" w:hAnsi="Arial" w:cs="Arial"/>
                <w:sz w:val="24"/>
              </w:rPr>
              <w:t>60%</w:t>
            </w:r>
          </w:p>
        </w:tc>
        <w:tc>
          <w:tcPr>
            <w:tcW w:w="3081" w:type="dxa"/>
          </w:tcPr>
          <w:p w14:paraId="6EF544B9" w14:textId="77777777" w:rsidR="00E26553" w:rsidRPr="008B39AC" w:rsidRDefault="007966A7" w:rsidP="00962223">
            <w:pPr>
              <w:rPr>
                <w:rFonts w:ascii="Arial" w:hAnsi="Arial" w:cs="Arial"/>
                <w:sz w:val="24"/>
              </w:rPr>
            </w:pPr>
            <w:r>
              <w:rPr>
                <w:rFonts w:ascii="Arial" w:hAnsi="Arial" w:cs="Arial"/>
                <w:sz w:val="24"/>
              </w:rPr>
              <w:t>54%</w:t>
            </w:r>
          </w:p>
        </w:tc>
      </w:tr>
    </w:tbl>
    <w:p w14:paraId="70CE1634" w14:textId="77777777" w:rsidR="00644B3B" w:rsidRPr="00644B3B" w:rsidRDefault="00644B3B" w:rsidP="00D735BC">
      <w:pPr>
        <w:rPr>
          <w:rFonts w:ascii="Arial" w:hAnsi="Arial" w:cs="Arial"/>
          <w:i/>
          <w:sz w:val="24"/>
        </w:rPr>
      </w:pPr>
      <w:r w:rsidRPr="00644B3B">
        <w:rPr>
          <w:rFonts w:ascii="Arial" w:hAnsi="Arial" w:cs="Arial"/>
          <w:i/>
          <w:sz w:val="24"/>
        </w:rPr>
        <w:t>Source: NAPLAN data, 2008 and 2018, ACARA</w:t>
      </w:r>
    </w:p>
    <w:p w14:paraId="2D36C054" w14:textId="77777777" w:rsidR="00E45E75" w:rsidRPr="005F18C8" w:rsidRDefault="00644B3B" w:rsidP="00D735BC">
      <w:pPr>
        <w:rPr>
          <w:rFonts w:ascii="Arial" w:hAnsi="Arial" w:cs="Arial"/>
          <w:b/>
          <w:sz w:val="24"/>
        </w:rPr>
      </w:pPr>
      <w:r w:rsidRPr="005F18C8">
        <w:rPr>
          <w:rFonts w:ascii="Arial" w:hAnsi="Arial" w:cs="Arial"/>
          <w:b/>
          <w:sz w:val="24"/>
        </w:rPr>
        <w:t>Figure 40. Proportion of Victorian students in the top three bands of NAPLAN Numeracy, by Aboriginal status, 2008 and 2018</w:t>
      </w:r>
    </w:p>
    <w:tbl>
      <w:tblPr>
        <w:tblStyle w:val="TableGrid"/>
        <w:tblW w:w="0" w:type="auto"/>
        <w:tblLook w:val="04A0" w:firstRow="1" w:lastRow="0" w:firstColumn="1" w:lastColumn="0" w:noHBand="0" w:noVBand="1"/>
        <w:tblDescription w:val="This table shows the proportion of Victorian Aboriginal students achieving in the top three bands of NAPLAN Numeracy, 2008 and 2018"/>
      </w:tblPr>
      <w:tblGrid>
        <w:gridCol w:w="3018"/>
        <w:gridCol w:w="2999"/>
        <w:gridCol w:w="2999"/>
      </w:tblGrid>
      <w:tr w:rsidR="006619CF" w:rsidRPr="008B39AC" w14:paraId="030D5587" w14:textId="77777777" w:rsidTr="00962223">
        <w:trPr>
          <w:tblHeader/>
        </w:trPr>
        <w:tc>
          <w:tcPr>
            <w:tcW w:w="3080" w:type="dxa"/>
          </w:tcPr>
          <w:p w14:paraId="287D1EAC" w14:textId="77777777" w:rsidR="006619CF" w:rsidRPr="008B39AC" w:rsidRDefault="006619CF" w:rsidP="00962223">
            <w:pPr>
              <w:rPr>
                <w:rFonts w:ascii="Arial" w:hAnsi="Arial" w:cs="Arial"/>
                <w:sz w:val="24"/>
              </w:rPr>
            </w:pPr>
            <w:r>
              <w:rPr>
                <w:rFonts w:ascii="Arial" w:hAnsi="Arial" w:cs="Arial"/>
                <w:sz w:val="24"/>
              </w:rPr>
              <w:t>Aboriginal</w:t>
            </w:r>
          </w:p>
        </w:tc>
        <w:tc>
          <w:tcPr>
            <w:tcW w:w="3081" w:type="dxa"/>
          </w:tcPr>
          <w:p w14:paraId="630E8340" w14:textId="77777777" w:rsidR="006619CF" w:rsidRPr="008B39AC" w:rsidRDefault="006619CF" w:rsidP="00962223">
            <w:pPr>
              <w:rPr>
                <w:rFonts w:ascii="Arial" w:hAnsi="Arial" w:cs="Arial"/>
                <w:sz w:val="24"/>
              </w:rPr>
            </w:pPr>
            <w:r>
              <w:rPr>
                <w:rFonts w:ascii="Arial" w:hAnsi="Arial" w:cs="Arial"/>
                <w:sz w:val="24"/>
              </w:rPr>
              <w:t>2008</w:t>
            </w:r>
          </w:p>
        </w:tc>
        <w:tc>
          <w:tcPr>
            <w:tcW w:w="3081" w:type="dxa"/>
          </w:tcPr>
          <w:p w14:paraId="3ECE1520" w14:textId="77777777" w:rsidR="006619CF" w:rsidRPr="008B39AC" w:rsidRDefault="006619CF" w:rsidP="00962223">
            <w:pPr>
              <w:rPr>
                <w:rFonts w:ascii="Arial" w:hAnsi="Arial" w:cs="Arial"/>
                <w:sz w:val="24"/>
              </w:rPr>
            </w:pPr>
            <w:r>
              <w:rPr>
                <w:rFonts w:ascii="Arial" w:hAnsi="Arial" w:cs="Arial"/>
                <w:sz w:val="24"/>
              </w:rPr>
              <w:t>2018</w:t>
            </w:r>
          </w:p>
        </w:tc>
      </w:tr>
      <w:tr w:rsidR="006619CF" w:rsidRPr="008B39AC" w14:paraId="5FA04850" w14:textId="77777777" w:rsidTr="00962223">
        <w:tc>
          <w:tcPr>
            <w:tcW w:w="3080" w:type="dxa"/>
          </w:tcPr>
          <w:p w14:paraId="3196DAE9" w14:textId="77777777" w:rsidR="006619CF" w:rsidRPr="008B39AC" w:rsidRDefault="006619CF" w:rsidP="00962223">
            <w:pPr>
              <w:rPr>
                <w:rFonts w:ascii="Arial" w:hAnsi="Arial" w:cs="Arial"/>
                <w:sz w:val="24"/>
              </w:rPr>
            </w:pPr>
            <w:r w:rsidRPr="008B39AC">
              <w:rPr>
                <w:rFonts w:ascii="Arial" w:hAnsi="Arial" w:cs="Arial"/>
                <w:sz w:val="24"/>
              </w:rPr>
              <w:t>Year 3</w:t>
            </w:r>
          </w:p>
        </w:tc>
        <w:tc>
          <w:tcPr>
            <w:tcW w:w="3081" w:type="dxa"/>
          </w:tcPr>
          <w:p w14:paraId="0358DF56" w14:textId="77777777" w:rsidR="006619CF" w:rsidRPr="008B39AC" w:rsidRDefault="005F18C8" w:rsidP="00962223">
            <w:pPr>
              <w:rPr>
                <w:rFonts w:ascii="Arial" w:hAnsi="Arial" w:cs="Arial"/>
                <w:sz w:val="24"/>
              </w:rPr>
            </w:pPr>
            <w:r>
              <w:rPr>
                <w:rFonts w:ascii="Arial" w:hAnsi="Arial" w:cs="Arial"/>
                <w:sz w:val="24"/>
              </w:rPr>
              <w:t>48%</w:t>
            </w:r>
          </w:p>
        </w:tc>
        <w:tc>
          <w:tcPr>
            <w:tcW w:w="3081" w:type="dxa"/>
          </w:tcPr>
          <w:p w14:paraId="037CA3B0" w14:textId="77777777" w:rsidR="006619CF" w:rsidRPr="008B39AC" w:rsidRDefault="005F18C8" w:rsidP="00962223">
            <w:pPr>
              <w:rPr>
                <w:rFonts w:ascii="Arial" w:hAnsi="Arial" w:cs="Arial"/>
                <w:sz w:val="24"/>
              </w:rPr>
            </w:pPr>
            <w:r>
              <w:rPr>
                <w:rFonts w:ascii="Arial" w:hAnsi="Arial" w:cs="Arial"/>
                <w:sz w:val="24"/>
              </w:rPr>
              <w:t>45%</w:t>
            </w:r>
          </w:p>
        </w:tc>
      </w:tr>
      <w:tr w:rsidR="006619CF" w:rsidRPr="008B39AC" w14:paraId="68CA26E7" w14:textId="77777777" w:rsidTr="00962223">
        <w:tc>
          <w:tcPr>
            <w:tcW w:w="3080" w:type="dxa"/>
          </w:tcPr>
          <w:p w14:paraId="230319CE" w14:textId="77777777" w:rsidR="006619CF" w:rsidRPr="008B39AC" w:rsidRDefault="006619CF" w:rsidP="00962223">
            <w:pPr>
              <w:rPr>
                <w:rFonts w:ascii="Arial" w:hAnsi="Arial" w:cs="Arial"/>
                <w:sz w:val="24"/>
              </w:rPr>
            </w:pPr>
            <w:r w:rsidRPr="008B39AC">
              <w:rPr>
                <w:rFonts w:ascii="Arial" w:hAnsi="Arial" w:cs="Arial"/>
                <w:sz w:val="24"/>
              </w:rPr>
              <w:t>Year 5</w:t>
            </w:r>
          </w:p>
        </w:tc>
        <w:tc>
          <w:tcPr>
            <w:tcW w:w="3081" w:type="dxa"/>
          </w:tcPr>
          <w:p w14:paraId="4901A729" w14:textId="77777777" w:rsidR="006619CF" w:rsidRPr="008B39AC" w:rsidRDefault="005F18C8" w:rsidP="00962223">
            <w:pPr>
              <w:rPr>
                <w:rFonts w:ascii="Arial" w:hAnsi="Arial" w:cs="Arial"/>
                <w:sz w:val="24"/>
              </w:rPr>
            </w:pPr>
            <w:r>
              <w:rPr>
                <w:rFonts w:ascii="Arial" w:hAnsi="Arial" w:cs="Arial"/>
                <w:sz w:val="24"/>
              </w:rPr>
              <w:t>25%</w:t>
            </w:r>
          </w:p>
        </w:tc>
        <w:tc>
          <w:tcPr>
            <w:tcW w:w="3081" w:type="dxa"/>
          </w:tcPr>
          <w:p w14:paraId="5F76B9FE" w14:textId="77777777" w:rsidR="006619CF" w:rsidRPr="008B39AC" w:rsidRDefault="005F18C8" w:rsidP="00962223">
            <w:pPr>
              <w:rPr>
                <w:rFonts w:ascii="Arial" w:hAnsi="Arial" w:cs="Arial"/>
                <w:sz w:val="24"/>
              </w:rPr>
            </w:pPr>
            <w:r>
              <w:rPr>
                <w:rFonts w:ascii="Arial" w:hAnsi="Arial" w:cs="Arial"/>
                <w:sz w:val="24"/>
              </w:rPr>
              <w:t>32%</w:t>
            </w:r>
          </w:p>
        </w:tc>
      </w:tr>
      <w:tr w:rsidR="006619CF" w:rsidRPr="008B39AC" w14:paraId="5B53DEBF" w14:textId="77777777" w:rsidTr="00962223">
        <w:tc>
          <w:tcPr>
            <w:tcW w:w="3080" w:type="dxa"/>
          </w:tcPr>
          <w:p w14:paraId="2E435FC2" w14:textId="77777777" w:rsidR="006619CF" w:rsidRPr="008B39AC" w:rsidRDefault="006619CF" w:rsidP="00962223">
            <w:pPr>
              <w:rPr>
                <w:rFonts w:ascii="Arial" w:hAnsi="Arial" w:cs="Arial"/>
                <w:sz w:val="24"/>
              </w:rPr>
            </w:pPr>
            <w:r w:rsidRPr="008B39AC">
              <w:rPr>
                <w:rFonts w:ascii="Arial" w:hAnsi="Arial" w:cs="Arial"/>
                <w:sz w:val="24"/>
              </w:rPr>
              <w:t>Year 7</w:t>
            </w:r>
          </w:p>
        </w:tc>
        <w:tc>
          <w:tcPr>
            <w:tcW w:w="3081" w:type="dxa"/>
          </w:tcPr>
          <w:p w14:paraId="69BD6845" w14:textId="77777777" w:rsidR="006619CF" w:rsidRPr="008B39AC" w:rsidRDefault="005F18C8" w:rsidP="00962223">
            <w:pPr>
              <w:rPr>
                <w:rFonts w:ascii="Arial" w:hAnsi="Arial" w:cs="Arial"/>
                <w:sz w:val="24"/>
              </w:rPr>
            </w:pPr>
            <w:r>
              <w:rPr>
                <w:rFonts w:ascii="Arial" w:hAnsi="Arial" w:cs="Arial"/>
                <w:sz w:val="24"/>
              </w:rPr>
              <w:t>23%</w:t>
            </w:r>
          </w:p>
        </w:tc>
        <w:tc>
          <w:tcPr>
            <w:tcW w:w="3081" w:type="dxa"/>
          </w:tcPr>
          <w:p w14:paraId="22561442" w14:textId="77777777" w:rsidR="006619CF" w:rsidRPr="008B39AC" w:rsidRDefault="005F18C8" w:rsidP="00962223">
            <w:pPr>
              <w:rPr>
                <w:rFonts w:ascii="Arial" w:hAnsi="Arial" w:cs="Arial"/>
                <w:sz w:val="24"/>
              </w:rPr>
            </w:pPr>
            <w:r>
              <w:rPr>
                <w:rFonts w:ascii="Arial" w:hAnsi="Arial" w:cs="Arial"/>
                <w:sz w:val="24"/>
              </w:rPr>
              <w:t>26%</w:t>
            </w:r>
          </w:p>
        </w:tc>
      </w:tr>
      <w:tr w:rsidR="006619CF" w:rsidRPr="008B39AC" w14:paraId="193B28A4" w14:textId="77777777" w:rsidTr="00962223">
        <w:tc>
          <w:tcPr>
            <w:tcW w:w="3080" w:type="dxa"/>
          </w:tcPr>
          <w:p w14:paraId="3B953D1F" w14:textId="77777777" w:rsidR="006619CF" w:rsidRPr="008B39AC" w:rsidRDefault="006619CF" w:rsidP="00962223">
            <w:pPr>
              <w:rPr>
                <w:rFonts w:ascii="Arial" w:hAnsi="Arial" w:cs="Arial"/>
                <w:sz w:val="24"/>
              </w:rPr>
            </w:pPr>
            <w:r w:rsidRPr="008B39AC">
              <w:rPr>
                <w:rFonts w:ascii="Arial" w:hAnsi="Arial" w:cs="Arial"/>
                <w:sz w:val="24"/>
              </w:rPr>
              <w:t>Year 9</w:t>
            </w:r>
          </w:p>
        </w:tc>
        <w:tc>
          <w:tcPr>
            <w:tcW w:w="3081" w:type="dxa"/>
          </w:tcPr>
          <w:p w14:paraId="6756B224" w14:textId="77777777" w:rsidR="006619CF" w:rsidRPr="008B39AC" w:rsidRDefault="005F18C8" w:rsidP="00962223">
            <w:pPr>
              <w:rPr>
                <w:rFonts w:ascii="Arial" w:hAnsi="Arial" w:cs="Arial"/>
                <w:sz w:val="24"/>
              </w:rPr>
            </w:pPr>
            <w:r>
              <w:rPr>
                <w:rFonts w:ascii="Arial" w:hAnsi="Arial" w:cs="Arial"/>
                <w:sz w:val="24"/>
              </w:rPr>
              <w:t>16%</w:t>
            </w:r>
          </w:p>
        </w:tc>
        <w:tc>
          <w:tcPr>
            <w:tcW w:w="3081" w:type="dxa"/>
          </w:tcPr>
          <w:p w14:paraId="03FCEDCB" w14:textId="77777777" w:rsidR="006619CF" w:rsidRPr="008B39AC" w:rsidRDefault="005F18C8" w:rsidP="00962223">
            <w:pPr>
              <w:rPr>
                <w:rFonts w:ascii="Arial" w:hAnsi="Arial" w:cs="Arial"/>
                <w:sz w:val="24"/>
              </w:rPr>
            </w:pPr>
            <w:r>
              <w:rPr>
                <w:rFonts w:ascii="Arial" w:hAnsi="Arial" w:cs="Arial"/>
                <w:sz w:val="24"/>
              </w:rPr>
              <w:t>28%</w:t>
            </w:r>
          </w:p>
        </w:tc>
      </w:tr>
    </w:tbl>
    <w:p w14:paraId="0D92CF48" w14:textId="77777777" w:rsidR="006619CF" w:rsidRDefault="006619CF" w:rsidP="008976A7">
      <w:pPr>
        <w:rPr>
          <w:rFonts w:ascii="Arial" w:hAnsi="Arial" w:cs="Arial"/>
          <w:i/>
          <w:sz w:val="24"/>
        </w:rPr>
      </w:pPr>
    </w:p>
    <w:tbl>
      <w:tblPr>
        <w:tblStyle w:val="TableGrid"/>
        <w:tblW w:w="0" w:type="auto"/>
        <w:tblLook w:val="04A0" w:firstRow="1" w:lastRow="0" w:firstColumn="1" w:lastColumn="0" w:noHBand="0" w:noVBand="1"/>
        <w:tblDescription w:val="This table shows the proportion of Victorian non-Aboriginal students achieving in the top three bands of NAPLAN Numeracy, 2008 and 2018"/>
      </w:tblPr>
      <w:tblGrid>
        <w:gridCol w:w="3018"/>
        <w:gridCol w:w="2999"/>
        <w:gridCol w:w="2999"/>
      </w:tblGrid>
      <w:tr w:rsidR="006619CF" w:rsidRPr="008B39AC" w14:paraId="13208150" w14:textId="77777777" w:rsidTr="00962223">
        <w:trPr>
          <w:tblHeader/>
        </w:trPr>
        <w:tc>
          <w:tcPr>
            <w:tcW w:w="3080" w:type="dxa"/>
          </w:tcPr>
          <w:p w14:paraId="5426BD5E" w14:textId="77777777" w:rsidR="006619CF" w:rsidRPr="008B39AC" w:rsidRDefault="006619CF" w:rsidP="00962223">
            <w:pPr>
              <w:rPr>
                <w:rFonts w:ascii="Arial" w:hAnsi="Arial" w:cs="Arial"/>
                <w:sz w:val="24"/>
              </w:rPr>
            </w:pPr>
            <w:r>
              <w:rPr>
                <w:rFonts w:ascii="Arial" w:hAnsi="Arial" w:cs="Arial"/>
                <w:sz w:val="24"/>
              </w:rPr>
              <w:t>Non-Aboriginal</w:t>
            </w:r>
          </w:p>
        </w:tc>
        <w:tc>
          <w:tcPr>
            <w:tcW w:w="3081" w:type="dxa"/>
          </w:tcPr>
          <w:p w14:paraId="6D3BB289" w14:textId="77777777" w:rsidR="006619CF" w:rsidRPr="008B39AC" w:rsidRDefault="006619CF" w:rsidP="00962223">
            <w:pPr>
              <w:rPr>
                <w:rFonts w:ascii="Arial" w:hAnsi="Arial" w:cs="Arial"/>
                <w:sz w:val="24"/>
              </w:rPr>
            </w:pPr>
            <w:r>
              <w:rPr>
                <w:rFonts w:ascii="Arial" w:hAnsi="Arial" w:cs="Arial"/>
                <w:sz w:val="24"/>
              </w:rPr>
              <w:t>2008</w:t>
            </w:r>
          </w:p>
        </w:tc>
        <w:tc>
          <w:tcPr>
            <w:tcW w:w="3081" w:type="dxa"/>
          </w:tcPr>
          <w:p w14:paraId="263D277C" w14:textId="77777777" w:rsidR="006619CF" w:rsidRPr="008B39AC" w:rsidRDefault="006619CF" w:rsidP="00962223">
            <w:pPr>
              <w:rPr>
                <w:rFonts w:ascii="Arial" w:hAnsi="Arial" w:cs="Arial"/>
                <w:sz w:val="24"/>
              </w:rPr>
            </w:pPr>
            <w:r>
              <w:rPr>
                <w:rFonts w:ascii="Arial" w:hAnsi="Arial" w:cs="Arial"/>
                <w:sz w:val="24"/>
              </w:rPr>
              <w:t>2018</w:t>
            </w:r>
          </w:p>
        </w:tc>
      </w:tr>
      <w:tr w:rsidR="006619CF" w:rsidRPr="008B39AC" w14:paraId="53A854FE" w14:textId="77777777" w:rsidTr="00962223">
        <w:tc>
          <w:tcPr>
            <w:tcW w:w="3080" w:type="dxa"/>
          </w:tcPr>
          <w:p w14:paraId="610D958E" w14:textId="77777777" w:rsidR="006619CF" w:rsidRPr="008B39AC" w:rsidRDefault="006619CF" w:rsidP="00962223">
            <w:pPr>
              <w:rPr>
                <w:rFonts w:ascii="Arial" w:hAnsi="Arial" w:cs="Arial"/>
                <w:sz w:val="24"/>
              </w:rPr>
            </w:pPr>
            <w:r w:rsidRPr="008B39AC">
              <w:rPr>
                <w:rFonts w:ascii="Arial" w:hAnsi="Arial" w:cs="Arial"/>
                <w:sz w:val="24"/>
              </w:rPr>
              <w:t>Year 3</w:t>
            </w:r>
          </w:p>
        </w:tc>
        <w:tc>
          <w:tcPr>
            <w:tcW w:w="3081" w:type="dxa"/>
          </w:tcPr>
          <w:p w14:paraId="612F4AF7" w14:textId="77777777" w:rsidR="006619CF" w:rsidRPr="008B39AC" w:rsidRDefault="005F18C8" w:rsidP="00962223">
            <w:pPr>
              <w:rPr>
                <w:rFonts w:ascii="Arial" w:hAnsi="Arial" w:cs="Arial"/>
                <w:sz w:val="24"/>
              </w:rPr>
            </w:pPr>
            <w:r>
              <w:rPr>
                <w:rFonts w:ascii="Arial" w:hAnsi="Arial" w:cs="Arial"/>
                <w:sz w:val="24"/>
              </w:rPr>
              <w:t>73%</w:t>
            </w:r>
          </w:p>
        </w:tc>
        <w:tc>
          <w:tcPr>
            <w:tcW w:w="3081" w:type="dxa"/>
          </w:tcPr>
          <w:p w14:paraId="6E5BD286" w14:textId="77777777" w:rsidR="006619CF" w:rsidRPr="008B39AC" w:rsidRDefault="005F18C8" w:rsidP="00962223">
            <w:pPr>
              <w:rPr>
                <w:rFonts w:ascii="Arial" w:hAnsi="Arial" w:cs="Arial"/>
                <w:sz w:val="24"/>
              </w:rPr>
            </w:pPr>
            <w:r>
              <w:rPr>
                <w:rFonts w:ascii="Arial" w:hAnsi="Arial" w:cs="Arial"/>
                <w:sz w:val="24"/>
              </w:rPr>
              <w:t>72%</w:t>
            </w:r>
          </w:p>
        </w:tc>
      </w:tr>
      <w:tr w:rsidR="006619CF" w:rsidRPr="008B39AC" w14:paraId="4099B671" w14:textId="77777777" w:rsidTr="00962223">
        <w:tc>
          <w:tcPr>
            <w:tcW w:w="3080" w:type="dxa"/>
          </w:tcPr>
          <w:p w14:paraId="7BD166EB" w14:textId="77777777" w:rsidR="006619CF" w:rsidRPr="008B39AC" w:rsidRDefault="006619CF" w:rsidP="00962223">
            <w:pPr>
              <w:rPr>
                <w:rFonts w:ascii="Arial" w:hAnsi="Arial" w:cs="Arial"/>
                <w:sz w:val="24"/>
              </w:rPr>
            </w:pPr>
            <w:r w:rsidRPr="008B39AC">
              <w:rPr>
                <w:rFonts w:ascii="Arial" w:hAnsi="Arial" w:cs="Arial"/>
                <w:sz w:val="24"/>
              </w:rPr>
              <w:t>Year 5</w:t>
            </w:r>
          </w:p>
        </w:tc>
        <w:tc>
          <w:tcPr>
            <w:tcW w:w="3081" w:type="dxa"/>
          </w:tcPr>
          <w:p w14:paraId="2B662CA0" w14:textId="77777777" w:rsidR="006619CF" w:rsidRPr="008B39AC" w:rsidRDefault="005F18C8" w:rsidP="00962223">
            <w:pPr>
              <w:rPr>
                <w:rFonts w:ascii="Arial" w:hAnsi="Arial" w:cs="Arial"/>
                <w:sz w:val="24"/>
              </w:rPr>
            </w:pPr>
            <w:r>
              <w:rPr>
                <w:rFonts w:ascii="Arial" w:hAnsi="Arial" w:cs="Arial"/>
                <w:sz w:val="24"/>
              </w:rPr>
              <w:t>54%</w:t>
            </w:r>
          </w:p>
        </w:tc>
        <w:tc>
          <w:tcPr>
            <w:tcW w:w="3081" w:type="dxa"/>
          </w:tcPr>
          <w:p w14:paraId="09CAB54B" w14:textId="77777777" w:rsidR="006619CF" w:rsidRPr="008B39AC" w:rsidRDefault="005F18C8" w:rsidP="00962223">
            <w:pPr>
              <w:rPr>
                <w:rFonts w:ascii="Arial" w:hAnsi="Arial" w:cs="Arial"/>
                <w:sz w:val="24"/>
              </w:rPr>
            </w:pPr>
            <w:r>
              <w:rPr>
                <w:rFonts w:ascii="Arial" w:hAnsi="Arial" w:cs="Arial"/>
                <w:sz w:val="24"/>
              </w:rPr>
              <w:t>63%</w:t>
            </w:r>
          </w:p>
        </w:tc>
      </w:tr>
      <w:tr w:rsidR="006619CF" w:rsidRPr="008B39AC" w14:paraId="4184D5FB" w14:textId="77777777" w:rsidTr="00962223">
        <w:tc>
          <w:tcPr>
            <w:tcW w:w="3080" w:type="dxa"/>
          </w:tcPr>
          <w:p w14:paraId="63F8EFBB" w14:textId="77777777" w:rsidR="006619CF" w:rsidRPr="008B39AC" w:rsidRDefault="006619CF" w:rsidP="00962223">
            <w:pPr>
              <w:rPr>
                <w:rFonts w:ascii="Arial" w:hAnsi="Arial" w:cs="Arial"/>
                <w:sz w:val="24"/>
              </w:rPr>
            </w:pPr>
            <w:r w:rsidRPr="008B39AC">
              <w:rPr>
                <w:rFonts w:ascii="Arial" w:hAnsi="Arial" w:cs="Arial"/>
                <w:sz w:val="24"/>
              </w:rPr>
              <w:t>Year 7</w:t>
            </w:r>
          </w:p>
        </w:tc>
        <w:tc>
          <w:tcPr>
            <w:tcW w:w="3081" w:type="dxa"/>
          </w:tcPr>
          <w:p w14:paraId="6011BB3D" w14:textId="77777777" w:rsidR="006619CF" w:rsidRPr="008B39AC" w:rsidRDefault="005F18C8" w:rsidP="00962223">
            <w:pPr>
              <w:rPr>
                <w:rFonts w:ascii="Arial" w:hAnsi="Arial" w:cs="Arial"/>
                <w:sz w:val="24"/>
              </w:rPr>
            </w:pPr>
            <w:r>
              <w:rPr>
                <w:rFonts w:ascii="Arial" w:hAnsi="Arial" w:cs="Arial"/>
                <w:sz w:val="24"/>
              </w:rPr>
              <w:t>60%</w:t>
            </w:r>
          </w:p>
        </w:tc>
        <w:tc>
          <w:tcPr>
            <w:tcW w:w="3081" w:type="dxa"/>
          </w:tcPr>
          <w:p w14:paraId="2348F8FD" w14:textId="77777777" w:rsidR="006619CF" w:rsidRPr="008B39AC" w:rsidRDefault="005F18C8" w:rsidP="00962223">
            <w:pPr>
              <w:rPr>
                <w:rFonts w:ascii="Arial" w:hAnsi="Arial" w:cs="Arial"/>
                <w:sz w:val="24"/>
              </w:rPr>
            </w:pPr>
            <w:r>
              <w:rPr>
                <w:rFonts w:ascii="Arial" w:hAnsi="Arial" w:cs="Arial"/>
                <w:sz w:val="24"/>
              </w:rPr>
              <w:t>62%</w:t>
            </w:r>
          </w:p>
        </w:tc>
      </w:tr>
      <w:tr w:rsidR="006619CF" w:rsidRPr="008B39AC" w14:paraId="6BD52F08" w14:textId="77777777" w:rsidTr="00962223">
        <w:tc>
          <w:tcPr>
            <w:tcW w:w="3080" w:type="dxa"/>
          </w:tcPr>
          <w:p w14:paraId="2011D062" w14:textId="77777777" w:rsidR="006619CF" w:rsidRPr="008B39AC" w:rsidRDefault="006619CF" w:rsidP="00962223">
            <w:pPr>
              <w:rPr>
                <w:rFonts w:ascii="Arial" w:hAnsi="Arial" w:cs="Arial"/>
                <w:sz w:val="24"/>
              </w:rPr>
            </w:pPr>
            <w:r w:rsidRPr="008B39AC">
              <w:rPr>
                <w:rFonts w:ascii="Arial" w:hAnsi="Arial" w:cs="Arial"/>
                <w:sz w:val="24"/>
              </w:rPr>
              <w:t>Year 9</w:t>
            </w:r>
          </w:p>
        </w:tc>
        <w:tc>
          <w:tcPr>
            <w:tcW w:w="3081" w:type="dxa"/>
          </w:tcPr>
          <w:p w14:paraId="6673FD0A" w14:textId="77777777" w:rsidR="006619CF" w:rsidRPr="008B39AC" w:rsidRDefault="005F18C8" w:rsidP="00962223">
            <w:pPr>
              <w:rPr>
                <w:rFonts w:ascii="Arial" w:hAnsi="Arial" w:cs="Arial"/>
                <w:sz w:val="24"/>
              </w:rPr>
            </w:pPr>
            <w:r>
              <w:rPr>
                <w:rFonts w:ascii="Arial" w:hAnsi="Arial" w:cs="Arial"/>
                <w:sz w:val="24"/>
              </w:rPr>
              <w:t>53%</w:t>
            </w:r>
          </w:p>
        </w:tc>
        <w:tc>
          <w:tcPr>
            <w:tcW w:w="3081" w:type="dxa"/>
          </w:tcPr>
          <w:p w14:paraId="0ABF66BE" w14:textId="77777777" w:rsidR="006619CF" w:rsidRPr="008B39AC" w:rsidRDefault="005F18C8" w:rsidP="00962223">
            <w:pPr>
              <w:rPr>
                <w:rFonts w:ascii="Arial" w:hAnsi="Arial" w:cs="Arial"/>
                <w:sz w:val="24"/>
              </w:rPr>
            </w:pPr>
            <w:r>
              <w:rPr>
                <w:rFonts w:ascii="Arial" w:hAnsi="Arial" w:cs="Arial"/>
                <w:sz w:val="24"/>
              </w:rPr>
              <w:t>58%</w:t>
            </w:r>
          </w:p>
        </w:tc>
      </w:tr>
    </w:tbl>
    <w:p w14:paraId="6C7A45F5" w14:textId="77777777" w:rsidR="008976A7" w:rsidRDefault="008976A7" w:rsidP="008976A7">
      <w:pPr>
        <w:rPr>
          <w:rFonts w:ascii="Arial" w:hAnsi="Arial" w:cs="Arial"/>
          <w:i/>
          <w:sz w:val="24"/>
        </w:rPr>
      </w:pPr>
      <w:r w:rsidRPr="00644B3B">
        <w:rPr>
          <w:rFonts w:ascii="Arial" w:hAnsi="Arial" w:cs="Arial"/>
          <w:i/>
          <w:sz w:val="24"/>
        </w:rPr>
        <w:t>Source: NAPLAN data, 2008 and 2018, ACARA</w:t>
      </w:r>
    </w:p>
    <w:p w14:paraId="29DAB22E" w14:textId="77777777" w:rsidR="008976A7" w:rsidRDefault="008976A7" w:rsidP="008976A7">
      <w:pPr>
        <w:rPr>
          <w:rFonts w:ascii="Arial" w:hAnsi="Arial" w:cs="Arial"/>
          <w:b/>
          <w:sz w:val="24"/>
        </w:rPr>
      </w:pPr>
      <w:r w:rsidRPr="008976A7">
        <w:rPr>
          <w:rFonts w:ascii="Arial" w:hAnsi="Arial" w:cs="Arial"/>
          <w:b/>
          <w:sz w:val="24"/>
        </w:rPr>
        <w:t>There was a decrease in the proportion of Aboriginal students who report being bullied across all year lev</w:t>
      </w:r>
      <w:r w:rsidR="007D3F88">
        <w:rPr>
          <w:rFonts w:ascii="Arial" w:hAnsi="Arial" w:cs="Arial"/>
          <w:b/>
          <w:sz w:val="24"/>
        </w:rPr>
        <w:t>el groups between 2017 and 2018.</w:t>
      </w:r>
    </w:p>
    <w:p w14:paraId="45F25106" w14:textId="77777777" w:rsidR="007D3F88" w:rsidRPr="007D3F88" w:rsidRDefault="007D3F88" w:rsidP="007D3F88">
      <w:pPr>
        <w:pStyle w:val="ListParagraph"/>
        <w:numPr>
          <w:ilvl w:val="0"/>
          <w:numId w:val="19"/>
        </w:numPr>
        <w:rPr>
          <w:rFonts w:ascii="Arial" w:hAnsi="Arial" w:cs="Arial"/>
          <w:sz w:val="24"/>
        </w:rPr>
      </w:pPr>
      <w:r w:rsidRPr="007D3F88">
        <w:rPr>
          <w:rFonts w:ascii="Arial" w:hAnsi="Arial" w:cs="Arial"/>
          <w:sz w:val="24"/>
        </w:rPr>
        <w:t>Year</w:t>
      </w:r>
      <w:r w:rsidR="00DC683D">
        <w:rPr>
          <w:rFonts w:ascii="Arial" w:hAnsi="Arial" w:cs="Arial"/>
          <w:sz w:val="24"/>
        </w:rPr>
        <w:t>s 4 to 6: 1.75 percentage point decrease</w:t>
      </w:r>
    </w:p>
    <w:p w14:paraId="7C1B2380" w14:textId="77777777" w:rsidR="007D3F88" w:rsidRPr="007D3F88" w:rsidRDefault="007D3F88" w:rsidP="007D3F88">
      <w:pPr>
        <w:pStyle w:val="ListParagraph"/>
        <w:numPr>
          <w:ilvl w:val="0"/>
          <w:numId w:val="19"/>
        </w:numPr>
        <w:rPr>
          <w:rFonts w:ascii="Arial" w:hAnsi="Arial" w:cs="Arial"/>
          <w:sz w:val="24"/>
        </w:rPr>
      </w:pPr>
      <w:r w:rsidRPr="007D3F88">
        <w:rPr>
          <w:rFonts w:ascii="Arial" w:hAnsi="Arial" w:cs="Arial"/>
          <w:sz w:val="24"/>
        </w:rPr>
        <w:t>Year</w:t>
      </w:r>
      <w:r w:rsidR="00DC683D">
        <w:rPr>
          <w:rFonts w:ascii="Arial" w:hAnsi="Arial" w:cs="Arial"/>
          <w:sz w:val="24"/>
        </w:rPr>
        <w:t>s 7 to 9: 2.25 percentage point decrease</w:t>
      </w:r>
    </w:p>
    <w:p w14:paraId="382DDAEA" w14:textId="77777777" w:rsidR="007D3F88" w:rsidRPr="007D3F88" w:rsidRDefault="007D3F88" w:rsidP="007D3F88">
      <w:pPr>
        <w:pStyle w:val="ListParagraph"/>
        <w:numPr>
          <w:ilvl w:val="0"/>
          <w:numId w:val="19"/>
        </w:numPr>
        <w:rPr>
          <w:rFonts w:ascii="Arial" w:hAnsi="Arial" w:cs="Arial"/>
          <w:sz w:val="24"/>
        </w:rPr>
      </w:pPr>
      <w:r w:rsidRPr="007D3F88">
        <w:rPr>
          <w:rFonts w:ascii="Arial" w:hAnsi="Arial" w:cs="Arial"/>
          <w:sz w:val="24"/>
        </w:rPr>
        <w:lastRenderedPageBreak/>
        <w:t xml:space="preserve">Years </w:t>
      </w:r>
      <w:r w:rsidR="00DC683D">
        <w:rPr>
          <w:rFonts w:ascii="Arial" w:hAnsi="Arial" w:cs="Arial"/>
          <w:sz w:val="24"/>
        </w:rPr>
        <w:t>10 to 12: 5.62 percentage point decrease</w:t>
      </w:r>
    </w:p>
    <w:p w14:paraId="52340EC2" w14:textId="77777777" w:rsidR="007D3F88" w:rsidRPr="008976A7" w:rsidRDefault="007D3F88" w:rsidP="008976A7">
      <w:pPr>
        <w:rPr>
          <w:rFonts w:ascii="Arial" w:hAnsi="Arial" w:cs="Arial"/>
          <w:b/>
          <w:sz w:val="24"/>
        </w:rPr>
      </w:pPr>
    </w:p>
    <w:p w14:paraId="32271AD1" w14:textId="77777777" w:rsidR="008976A7" w:rsidRDefault="00A46110" w:rsidP="00D735BC">
      <w:pPr>
        <w:rPr>
          <w:rFonts w:ascii="Arial" w:hAnsi="Arial" w:cs="Arial"/>
          <w:b/>
          <w:sz w:val="24"/>
        </w:rPr>
      </w:pPr>
      <w:r w:rsidRPr="00A46110">
        <w:rPr>
          <w:rFonts w:ascii="Arial" w:hAnsi="Arial" w:cs="Arial"/>
          <w:b/>
          <w:sz w:val="24"/>
        </w:rPr>
        <w:t>Number of Victorian government schools that have undertaken Cultural Understanding and Safet</w:t>
      </w:r>
      <w:r>
        <w:rPr>
          <w:rFonts w:ascii="Arial" w:hAnsi="Arial" w:cs="Arial"/>
          <w:b/>
          <w:sz w:val="24"/>
        </w:rPr>
        <w:t>y Training (as at 1 March 2019): 386</w:t>
      </w:r>
    </w:p>
    <w:p w14:paraId="213CA4CF" w14:textId="77777777" w:rsidR="00A46110" w:rsidRDefault="00A46110" w:rsidP="00D735BC">
      <w:pPr>
        <w:rPr>
          <w:rFonts w:ascii="Arial" w:hAnsi="Arial" w:cs="Arial"/>
          <w:b/>
          <w:sz w:val="24"/>
        </w:rPr>
      </w:pPr>
      <w:r w:rsidRPr="00A46110">
        <w:rPr>
          <w:rFonts w:ascii="Arial" w:hAnsi="Arial" w:cs="Arial"/>
          <w:b/>
          <w:sz w:val="24"/>
        </w:rPr>
        <w:t>The number of Aboriginal people on school councils has risen</w:t>
      </w:r>
      <w:r>
        <w:rPr>
          <w:rFonts w:ascii="Arial" w:hAnsi="Arial" w:cs="Arial"/>
          <w:b/>
          <w:sz w:val="24"/>
        </w:rPr>
        <w:t>:</w:t>
      </w:r>
    </w:p>
    <w:p w14:paraId="2E8B6DB8" w14:textId="77777777" w:rsidR="00A46110" w:rsidRPr="00A46110" w:rsidRDefault="00A46110" w:rsidP="00A46110">
      <w:pPr>
        <w:pStyle w:val="ListParagraph"/>
        <w:numPr>
          <w:ilvl w:val="0"/>
          <w:numId w:val="20"/>
        </w:numPr>
        <w:rPr>
          <w:rFonts w:ascii="Arial" w:hAnsi="Arial" w:cs="Arial"/>
          <w:sz w:val="24"/>
        </w:rPr>
      </w:pPr>
      <w:r w:rsidRPr="00A46110">
        <w:rPr>
          <w:rFonts w:ascii="Arial" w:hAnsi="Arial" w:cs="Arial"/>
          <w:sz w:val="24"/>
        </w:rPr>
        <w:t>2017: 110</w:t>
      </w:r>
    </w:p>
    <w:p w14:paraId="35FD017D" w14:textId="77777777" w:rsidR="00A46110" w:rsidRPr="00A46110" w:rsidRDefault="00A46110" w:rsidP="00A46110">
      <w:pPr>
        <w:pStyle w:val="ListParagraph"/>
        <w:numPr>
          <w:ilvl w:val="0"/>
          <w:numId w:val="20"/>
        </w:numPr>
        <w:rPr>
          <w:rFonts w:ascii="Arial" w:hAnsi="Arial" w:cs="Arial"/>
          <w:sz w:val="24"/>
        </w:rPr>
      </w:pPr>
      <w:r w:rsidRPr="00A46110">
        <w:rPr>
          <w:rFonts w:ascii="Arial" w:hAnsi="Arial" w:cs="Arial"/>
          <w:sz w:val="24"/>
        </w:rPr>
        <w:t>2018: 164</w:t>
      </w:r>
    </w:p>
    <w:p w14:paraId="462EE37D" w14:textId="77777777" w:rsidR="0035150A" w:rsidRDefault="0035150A" w:rsidP="0035150A">
      <w:pPr>
        <w:rPr>
          <w:rFonts w:ascii="Arial" w:hAnsi="Arial" w:cs="Arial"/>
          <w:i/>
          <w:sz w:val="24"/>
        </w:rPr>
      </w:pPr>
      <w:r w:rsidRPr="0035150A">
        <w:rPr>
          <w:rFonts w:ascii="Arial" w:hAnsi="Arial" w:cs="Arial"/>
          <w:i/>
          <w:sz w:val="24"/>
        </w:rPr>
        <w:t>Source: Victorian government school administrative data, 2018</w:t>
      </w:r>
    </w:p>
    <w:p w14:paraId="0FDA0C67" w14:textId="77777777" w:rsidR="0035150A" w:rsidRDefault="0035150A" w:rsidP="0035150A">
      <w:pPr>
        <w:rPr>
          <w:rFonts w:ascii="Arial" w:hAnsi="Arial" w:cs="Arial"/>
          <w:b/>
          <w:sz w:val="24"/>
        </w:rPr>
      </w:pPr>
      <w:r w:rsidRPr="0035150A">
        <w:rPr>
          <w:rFonts w:ascii="Arial" w:hAnsi="Arial" w:cs="Arial"/>
          <w:b/>
          <w:sz w:val="24"/>
        </w:rPr>
        <w:t>Year 7-9 Aboriginal students’ perceptions of their schooling increased between 2017 and 2018, more than the increase seen in statewide results</w:t>
      </w:r>
    </w:p>
    <w:p w14:paraId="3B1A84AA" w14:textId="77777777" w:rsidR="004A380A" w:rsidRPr="004A380A" w:rsidRDefault="004A380A" w:rsidP="004A380A">
      <w:pPr>
        <w:pStyle w:val="ListParagraph"/>
        <w:numPr>
          <w:ilvl w:val="0"/>
          <w:numId w:val="21"/>
        </w:numPr>
        <w:rPr>
          <w:rFonts w:ascii="Arial" w:hAnsi="Arial" w:cs="Arial"/>
          <w:sz w:val="24"/>
        </w:rPr>
      </w:pPr>
      <w:r w:rsidRPr="004A380A">
        <w:rPr>
          <w:rFonts w:ascii="Arial" w:hAnsi="Arial" w:cs="Arial"/>
          <w:sz w:val="24"/>
        </w:rPr>
        <w:t>Stimulating learning environment 2017: 49 per cent</w:t>
      </w:r>
    </w:p>
    <w:p w14:paraId="03603EE9" w14:textId="77777777" w:rsidR="004A380A" w:rsidRPr="004A380A" w:rsidRDefault="004A380A" w:rsidP="004A380A">
      <w:pPr>
        <w:pStyle w:val="ListParagraph"/>
        <w:numPr>
          <w:ilvl w:val="0"/>
          <w:numId w:val="21"/>
        </w:numPr>
        <w:rPr>
          <w:rFonts w:ascii="Arial" w:hAnsi="Arial" w:cs="Arial"/>
          <w:sz w:val="24"/>
        </w:rPr>
      </w:pPr>
      <w:r w:rsidRPr="004A380A">
        <w:rPr>
          <w:rFonts w:ascii="Arial" w:hAnsi="Arial" w:cs="Arial"/>
          <w:sz w:val="24"/>
        </w:rPr>
        <w:t>Stimulating learning environment 2018: 54 per cent</w:t>
      </w:r>
    </w:p>
    <w:p w14:paraId="1E5A1942" w14:textId="77777777" w:rsidR="004A380A" w:rsidRPr="004A380A" w:rsidRDefault="004A380A" w:rsidP="004A380A">
      <w:pPr>
        <w:pStyle w:val="ListParagraph"/>
        <w:numPr>
          <w:ilvl w:val="0"/>
          <w:numId w:val="21"/>
        </w:numPr>
        <w:rPr>
          <w:rFonts w:ascii="Arial" w:hAnsi="Arial" w:cs="Arial"/>
          <w:sz w:val="24"/>
        </w:rPr>
      </w:pPr>
      <w:r w:rsidRPr="004A380A">
        <w:rPr>
          <w:rFonts w:ascii="Arial" w:hAnsi="Arial" w:cs="Arial"/>
          <w:sz w:val="24"/>
        </w:rPr>
        <w:t>Sense of connectedness 2017: 48 per cent</w:t>
      </w:r>
    </w:p>
    <w:p w14:paraId="0187BDB1" w14:textId="77777777" w:rsidR="004A380A" w:rsidRPr="004A380A" w:rsidRDefault="004A380A" w:rsidP="004A380A">
      <w:pPr>
        <w:pStyle w:val="ListParagraph"/>
        <w:numPr>
          <w:ilvl w:val="0"/>
          <w:numId w:val="21"/>
        </w:numPr>
        <w:rPr>
          <w:rFonts w:ascii="Arial" w:hAnsi="Arial" w:cs="Arial"/>
          <w:sz w:val="24"/>
        </w:rPr>
      </w:pPr>
      <w:r w:rsidRPr="004A380A">
        <w:rPr>
          <w:rFonts w:ascii="Arial" w:hAnsi="Arial" w:cs="Arial"/>
          <w:sz w:val="24"/>
        </w:rPr>
        <w:t>Sense of connectedness 2018: 53 per cent</w:t>
      </w:r>
    </w:p>
    <w:p w14:paraId="4F84D211" w14:textId="77777777" w:rsidR="0012306D" w:rsidRDefault="0012306D" w:rsidP="004A380A">
      <w:pPr>
        <w:rPr>
          <w:rFonts w:ascii="Arial" w:hAnsi="Arial" w:cs="Arial"/>
          <w:i/>
          <w:sz w:val="24"/>
        </w:rPr>
      </w:pPr>
      <w:r w:rsidRPr="004A380A">
        <w:rPr>
          <w:rFonts w:ascii="Arial" w:hAnsi="Arial" w:cs="Arial"/>
          <w:i/>
          <w:sz w:val="24"/>
        </w:rPr>
        <w:t>Source: AtoSS, 2018, DET</w:t>
      </w:r>
    </w:p>
    <w:p w14:paraId="357BBACE" w14:textId="77777777" w:rsidR="004E47C6" w:rsidRDefault="00714310" w:rsidP="004A380A">
      <w:pPr>
        <w:rPr>
          <w:rFonts w:ascii="Arial" w:hAnsi="Arial" w:cs="Arial"/>
          <w:b/>
          <w:sz w:val="24"/>
        </w:rPr>
      </w:pPr>
      <w:r w:rsidRPr="00714310">
        <w:rPr>
          <w:rFonts w:ascii="Arial" w:hAnsi="Arial" w:cs="Arial"/>
          <w:b/>
          <w:sz w:val="24"/>
        </w:rPr>
        <w:t>Victorian Certificate of Education (VCE), Victorian Certificate of Applied Learning (VCAL), and Vocational Education and Training (VET) in Schools – Completions</w:t>
      </w:r>
      <w:r>
        <w:rPr>
          <w:rFonts w:ascii="Arial" w:hAnsi="Arial" w:cs="Arial"/>
          <w:b/>
          <w:sz w:val="24"/>
        </w:rPr>
        <w:t>:</w:t>
      </w:r>
    </w:p>
    <w:p w14:paraId="66BA53F7" w14:textId="77777777" w:rsidR="00714310" w:rsidRPr="00714310" w:rsidRDefault="00714310" w:rsidP="00714310">
      <w:pPr>
        <w:pStyle w:val="ListParagraph"/>
        <w:numPr>
          <w:ilvl w:val="0"/>
          <w:numId w:val="22"/>
        </w:numPr>
        <w:rPr>
          <w:rFonts w:ascii="Arial" w:hAnsi="Arial" w:cs="Arial"/>
          <w:sz w:val="24"/>
        </w:rPr>
      </w:pPr>
      <w:r w:rsidRPr="00714310">
        <w:rPr>
          <w:rFonts w:ascii="Arial" w:hAnsi="Arial" w:cs="Arial"/>
          <w:sz w:val="24"/>
        </w:rPr>
        <w:t>2017: 49 per cent</w:t>
      </w:r>
    </w:p>
    <w:p w14:paraId="1534107C" w14:textId="77777777" w:rsidR="00714310" w:rsidRPr="00714310" w:rsidRDefault="00714310" w:rsidP="00714310">
      <w:pPr>
        <w:pStyle w:val="ListParagraph"/>
        <w:numPr>
          <w:ilvl w:val="0"/>
          <w:numId w:val="22"/>
        </w:numPr>
        <w:rPr>
          <w:rFonts w:ascii="Arial" w:hAnsi="Arial" w:cs="Arial"/>
          <w:sz w:val="24"/>
        </w:rPr>
      </w:pPr>
      <w:r w:rsidRPr="00714310">
        <w:rPr>
          <w:rFonts w:ascii="Arial" w:hAnsi="Arial" w:cs="Arial"/>
          <w:sz w:val="24"/>
        </w:rPr>
        <w:t>2018: 54 per cent</w:t>
      </w:r>
    </w:p>
    <w:p w14:paraId="09693227" w14:textId="77777777" w:rsidR="00E45E75" w:rsidRPr="00714310" w:rsidRDefault="00714310" w:rsidP="00D735BC">
      <w:pPr>
        <w:rPr>
          <w:rFonts w:ascii="Arial" w:hAnsi="Arial" w:cs="Arial"/>
          <w:i/>
          <w:sz w:val="24"/>
        </w:rPr>
      </w:pPr>
      <w:r w:rsidRPr="00714310">
        <w:rPr>
          <w:rFonts w:ascii="Arial" w:hAnsi="Arial" w:cs="Arial"/>
          <w:i/>
          <w:sz w:val="24"/>
        </w:rPr>
        <w:t>Source: Completions data, 2017 and 2018, Victorian Curriculum and Assessment Authority (VCAA)</w:t>
      </w:r>
    </w:p>
    <w:p w14:paraId="23B5B220" w14:textId="77777777" w:rsidR="001C7DDF" w:rsidRPr="001C7DDF" w:rsidRDefault="001C7DDF">
      <w:pPr>
        <w:rPr>
          <w:rFonts w:ascii="Arial" w:hAnsi="Arial" w:cs="Arial"/>
          <w:b/>
          <w:sz w:val="24"/>
        </w:rPr>
      </w:pPr>
      <w:r w:rsidRPr="001C7DDF">
        <w:rPr>
          <w:rFonts w:ascii="Arial" w:hAnsi="Arial" w:cs="Arial"/>
          <w:b/>
          <w:sz w:val="24"/>
        </w:rPr>
        <w:t>Aboriginal Year 12 completers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Description w:val="This table shows the proportion of Victorian Aboriginal Year 12 completers entering specified post-school destinations, 2017 and 2018"/>
      </w:tblPr>
      <w:tblGrid>
        <w:gridCol w:w="4542"/>
        <w:gridCol w:w="2238"/>
        <w:gridCol w:w="2236"/>
      </w:tblGrid>
      <w:tr w:rsidR="001C7DDF" w14:paraId="2B5B7310" w14:textId="77777777" w:rsidTr="001C7DDF">
        <w:trPr>
          <w:trHeight w:val="449"/>
          <w:tblHeader/>
        </w:trPr>
        <w:tc>
          <w:tcPr>
            <w:tcW w:w="2519" w:type="pct"/>
            <w:shd w:val="clear" w:color="auto" w:fill="auto"/>
          </w:tcPr>
          <w:p w14:paraId="0C7F32B2" w14:textId="77777777" w:rsidR="001C7DDF" w:rsidRPr="001C7DDF" w:rsidRDefault="00DC683D" w:rsidP="001C7DDF">
            <w:pPr>
              <w:pStyle w:val="TableParagraph"/>
              <w:spacing w:before="115"/>
              <w:ind w:right="757"/>
              <w:rPr>
                <w:rFonts w:ascii="Arial" w:hAnsi="Arial" w:cs="Arial"/>
                <w:sz w:val="24"/>
                <w:szCs w:val="24"/>
              </w:rPr>
            </w:pPr>
            <w:r>
              <w:rPr>
                <w:rFonts w:ascii="Arial" w:hAnsi="Arial" w:cs="Arial"/>
                <w:sz w:val="24"/>
                <w:szCs w:val="24"/>
              </w:rPr>
              <w:t>Destination</w:t>
            </w:r>
          </w:p>
        </w:tc>
        <w:tc>
          <w:tcPr>
            <w:tcW w:w="1241" w:type="pct"/>
            <w:shd w:val="clear" w:color="auto" w:fill="auto"/>
          </w:tcPr>
          <w:p w14:paraId="06C88B91" w14:textId="77777777" w:rsidR="001C7DDF" w:rsidRPr="001C7DDF" w:rsidRDefault="001C7DDF" w:rsidP="001C7DDF">
            <w:pPr>
              <w:pStyle w:val="TableParagraph"/>
              <w:spacing w:before="125"/>
              <w:jc w:val="both"/>
              <w:rPr>
                <w:rFonts w:ascii="Arial" w:hAnsi="Arial" w:cs="Arial"/>
                <w:sz w:val="24"/>
                <w:szCs w:val="24"/>
              </w:rPr>
            </w:pPr>
            <w:r w:rsidRPr="001C7DDF">
              <w:rPr>
                <w:rFonts w:ascii="Arial" w:hAnsi="Arial" w:cs="Arial"/>
                <w:sz w:val="24"/>
                <w:szCs w:val="24"/>
              </w:rPr>
              <w:t>2017</w:t>
            </w:r>
          </w:p>
        </w:tc>
        <w:tc>
          <w:tcPr>
            <w:tcW w:w="1240" w:type="pct"/>
            <w:shd w:val="clear" w:color="auto" w:fill="auto"/>
          </w:tcPr>
          <w:p w14:paraId="569EF64B" w14:textId="77777777" w:rsidR="001C7DDF" w:rsidRPr="001C7DDF" w:rsidRDefault="001C7DDF" w:rsidP="001C7DDF">
            <w:pPr>
              <w:pStyle w:val="TableParagraph"/>
              <w:spacing w:before="125"/>
              <w:ind w:right="457"/>
              <w:jc w:val="both"/>
              <w:rPr>
                <w:rFonts w:ascii="Arial" w:hAnsi="Arial" w:cs="Arial"/>
                <w:sz w:val="24"/>
                <w:szCs w:val="24"/>
              </w:rPr>
            </w:pPr>
            <w:r w:rsidRPr="001C7DDF">
              <w:rPr>
                <w:rFonts w:ascii="Arial" w:hAnsi="Arial" w:cs="Arial"/>
                <w:sz w:val="24"/>
                <w:szCs w:val="24"/>
              </w:rPr>
              <w:t>2018</w:t>
            </w:r>
          </w:p>
        </w:tc>
      </w:tr>
      <w:tr w:rsidR="001C7DDF" w14:paraId="5CE9C870" w14:textId="77777777" w:rsidTr="001C7DDF">
        <w:trPr>
          <w:trHeight w:val="450"/>
        </w:trPr>
        <w:tc>
          <w:tcPr>
            <w:tcW w:w="2519" w:type="pct"/>
            <w:shd w:val="clear" w:color="auto" w:fill="auto"/>
          </w:tcPr>
          <w:p w14:paraId="6E5A0227" w14:textId="77777777" w:rsidR="001C7DDF" w:rsidRPr="001C7DDF" w:rsidRDefault="001C7DDF" w:rsidP="001C7DDF">
            <w:pPr>
              <w:pStyle w:val="TableParagraph"/>
              <w:spacing w:before="145"/>
              <w:ind w:right="291"/>
              <w:rPr>
                <w:rFonts w:ascii="Arial" w:hAnsi="Arial" w:cs="Arial"/>
                <w:sz w:val="24"/>
                <w:szCs w:val="24"/>
              </w:rPr>
            </w:pPr>
            <w:r w:rsidRPr="001C7DDF">
              <w:rPr>
                <w:rFonts w:ascii="Arial" w:hAnsi="Arial" w:cs="Arial"/>
                <w:sz w:val="24"/>
                <w:szCs w:val="24"/>
              </w:rPr>
              <w:t>Bachelor degree</w:t>
            </w:r>
          </w:p>
        </w:tc>
        <w:tc>
          <w:tcPr>
            <w:tcW w:w="1241" w:type="pct"/>
            <w:shd w:val="clear" w:color="auto" w:fill="auto"/>
          </w:tcPr>
          <w:p w14:paraId="0E118E1A" w14:textId="77777777" w:rsidR="001C7DDF" w:rsidRPr="001C7DDF" w:rsidRDefault="001C7DDF" w:rsidP="001C7DDF">
            <w:pPr>
              <w:pStyle w:val="TableParagraph"/>
              <w:spacing w:before="125"/>
              <w:jc w:val="both"/>
              <w:rPr>
                <w:rFonts w:ascii="Arial" w:hAnsi="Arial" w:cs="Arial"/>
                <w:sz w:val="24"/>
                <w:szCs w:val="24"/>
              </w:rPr>
            </w:pPr>
            <w:r w:rsidRPr="001C7DDF">
              <w:rPr>
                <w:rFonts w:ascii="Arial" w:hAnsi="Arial" w:cs="Arial"/>
                <w:sz w:val="24"/>
                <w:szCs w:val="24"/>
              </w:rPr>
              <w:t>28%</w:t>
            </w:r>
          </w:p>
        </w:tc>
        <w:tc>
          <w:tcPr>
            <w:tcW w:w="1240" w:type="pct"/>
            <w:shd w:val="clear" w:color="auto" w:fill="auto"/>
          </w:tcPr>
          <w:p w14:paraId="52853FB4" w14:textId="77777777" w:rsidR="001C7DDF" w:rsidRPr="001C7DDF" w:rsidRDefault="001C7DDF" w:rsidP="001C7DDF">
            <w:pPr>
              <w:pStyle w:val="TableParagraph"/>
              <w:spacing w:before="125"/>
              <w:ind w:right="457"/>
              <w:jc w:val="both"/>
              <w:rPr>
                <w:rFonts w:ascii="Arial" w:hAnsi="Arial" w:cs="Arial"/>
                <w:sz w:val="24"/>
                <w:szCs w:val="24"/>
              </w:rPr>
            </w:pPr>
            <w:r w:rsidRPr="001C7DDF">
              <w:rPr>
                <w:rFonts w:ascii="Arial" w:hAnsi="Arial" w:cs="Arial"/>
                <w:sz w:val="24"/>
                <w:szCs w:val="24"/>
              </w:rPr>
              <w:t>33%</w:t>
            </w:r>
          </w:p>
        </w:tc>
      </w:tr>
      <w:tr w:rsidR="001C7DDF" w14:paraId="3B004088" w14:textId="77777777" w:rsidTr="001C7DDF">
        <w:trPr>
          <w:trHeight w:val="450"/>
        </w:trPr>
        <w:tc>
          <w:tcPr>
            <w:tcW w:w="2519" w:type="pct"/>
            <w:shd w:val="clear" w:color="auto" w:fill="auto"/>
          </w:tcPr>
          <w:p w14:paraId="0FBB47AF" w14:textId="77777777" w:rsidR="001C7DDF" w:rsidRPr="001C7DDF" w:rsidRDefault="001C7DDF" w:rsidP="001C7DDF">
            <w:pPr>
              <w:pStyle w:val="TableParagraph"/>
              <w:spacing w:before="145"/>
              <w:ind w:right="291"/>
              <w:rPr>
                <w:rFonts w:ascii="Arial" w:hAnsi="Arial" w:cs="Arial"/>
                <w:sz w:val="24"/>
                <w:szCs w:val="24"/>
              </w:rPr>
            </w:pPr>
            <w:r w:rsidRPr="001C7DDF">
              <w:rPr>
                <w:rFonts w:ascii="Arial" w:hAnsi="Arial" w:cs="Arial"/>
                <w:sz w:val="24"/>
                <w:szCs w:val="24"/>
              </w:rPr>
              <w:t>Certificate/Diploma</w:t>
            </w:r>
          </w:p>
        </w:tc>
        <w:tc>
          <w:tcPr>
            <w:tcW w:w="1241" w:type="pct"/>
            <w:shd w:val="clear" w:color="auto" w:fill="auto"/>
          </w:tcPr>
          <w:p w14:paraId="1EB9B3A2" w14:textId="77777777" w:rsidR="001C7DDF" w:rsidRPr="001C7DDF" w:rsidRDefault="001C7DDF" w:rsidP="001C7DDF">
            <w:pPr>
              <w:pStyle w:val="TableParagraph"/>
              <w:spacing w:before="125"/>
              <w:jc w:val="both"/>
              <w:rPr>
                <w:rFonts w:ascii="Arial" w:hAnsi="Arial" w:cs="Arial"/>
                <w:sz w:val="24"/>
                <w:szCs w:val="24"/>
              </w:rPr>
            </w:pPr>
            <w:r w:rsidRPr="001C7DDF">
              <w:rPr>
                <w:rFonts w:ascii="Arial" w:hAnsi="Arial" w:cs="Arial"/>
                <w:sz w:val="24"/>
                <w:szCs w:val="24"/>
              </w:rPr>
              <w:t>13%</w:t>
            </w:r>
          </w:p>
        </w:tc>
        <w:tc>
          <w:tcPr>
            <w:tcW w:w="1240" w:type="pct"/>
            <w:shd w:val="clear" w:color="auto" w:fill="auto"/>
          </w:tcPr>
          <w:p w14:paraId="552D0406" w14:textId="77777777" w:rsidR="001C7DDF" w:rsidRPr="001C7DDF" w:rsidRDefault="001C7DDF" w:rsidP="001C7DDF">
            <w:pPr>
              <w:pStyle w:val="TableParagraph"/>
              <w:spacing w:before="125"/>
              <w:ind w:right="457"/>
              <w:jc w:val="both"/>
              <w:rPr>
                <w:rFonts w:ascii="Arial" w:hAnsi="Arial" w:cs="Arial"/>
                <w:sz w:val="24"/>
                <w:szCs w:val="24"/>
              </w:rPr>
            </w:pPr>
            <w:r w:rsidRPr="001C7DDF">
              <w:rPr>
                <w:rFonts w:ascii="Arial" w:hAnsi="Arial" w:cs="Arial"/>
                <w:sz w:val="24"/>
                <w:szCs w:val="24"/>
              </w:rPr>
              <w:t>17%</w:t>
            </w:r>
          </w:p>
        </w:tc>
      </w:tr>
      <w:tr w:rsidR="001C7DDF" w14:paraId="2E794867" w14:textId="77777777" w:rsidTr="001C7DDF">
        <w:trPr>
          <w:trHeight w:val="450"/>
        </w:trPr>
        <w:tc>
          <w:tcPr>
            <w:tcW w:w="2519" w:type="pct"/>
            <w:shd w:val="clear" w:color="auto" w:fill="auto"/>
          </w:tcPr>
          <w:p w14:paraId="13B87FE5" w14:textId="77777777" w:rsidR="001C7DDF" w:rsidRPr="001C7DDF" w:rsidRDefault="001C7DDF" w:rsidP="001C7DDF">
            <w:pPr>
              <w:pStyle w:val="TableParagraph"/>
              <w:spacing w:before="145"/>
              <w:ind w:right="291"/>
              <w:rPr>
                <w:rFonts w:ascii="Arial" w:hAnsi="Arial" w:cs="Arial"/>
                <w:sz w:val="24"/>
                <w:szCs w:val="24"/>
              </w:rPr>
            </w:pPr>
            <w:r w:rsidRPr="001C7DDF">
              <w:rPr>
                <w:rFonts w:ascii="Arial" w:hAnsi="Arial" w:cs="Arial"/>
                <w:sz w:val="24"/>
                <w:szCs w:val="24"/>
              </w:rPr>
              <w:t>Apprenticeship/Traineeship</w:t>
            </w:r>
          </w:p>
        </w:tc>
        <w:tc>
          <w:tcPr>
            <w:tcW w:w="1241" w:type="pct"/>
            <w:shd w:val="clear" w:color="auto" w:fill="auto"/>
          </w:tcPr>
          <w:p w14:paraId="280F298B" w14:textId="77777777" w:rsidR="001C7DDF" w:rsidRPr="001C7DDF" w:rsidRDefault="001C7DDF" w:rsidP="001C7DDF">
            <w:pPr>
              <w:pStyle w:val="TableParagraph"/>
              <w:spacing w:before="125"/>
              <w:jc w:val="both"/>
              <w:rPr>
                <w:rFonts w:ascii="Arial" w:hAnsi="Arial" w:cs="Arial"/>
                <w:sz w:val="24"/>
                <w:szCs w:val="24"/>
              </w:rPr>
            </w:pPr>
            <w:r w:rsidRPr="001C7DDF">
              <w:rPr>
                <w:rFonts w:ascii="Arial" w:hAnsi="Arial" w:cs="Arial"/>
                <w:sz w:val="24"/>
                <w:szCs w:val="24"/>
              </w:rPr>
              <w:t>17%</w:t>
            </w:r>
          </w:p>
        </w:tc>
        <w:tc>
          <w:tcPr>
            <w:tcW w:w="1240" w:type="pct"/>
            <w:shd w:val="clear" w:color="auto" w:fill="auto"/>
          </w:tcPr>
          <w:p w14:paraId="68B9798F" w14:textId="77777777" w:rsidR="001C7DDF" w:rsidRPr="001C7DDF" w:rsidRDefault="001C7DDF" w:rsidP="001C7DDF">
            <w:pPr>
              <w:pStyle w:val="TableParagraph"/>
              <w:spacing w:before="125"/>
              <w:ind w:right="457"/>
              <w:jc w:val="both"/>
              <w:rPr>
                <w:rFonts w:ascii="Arial" w:hAnsi="Arial" w:cs="Arial"/>
                <w:sz w:val="24"/>
                <w:szCs w:val="24"/>
              </w:rPr>
            </w:pPr>
            <w:r w:rsidRPr="001C7DDF">
              <w:rPr>
                <w:rFonts w:ascii="Arial" w:hAnsi="Arial" w:cs="Arial"/>
                <w:sz w:val="24"/>
                <w:szCs w:val="24"/>
              </w:rPr>
              <w:t>16%</w:t>
            </w:r>
          </w:p>
        </w:tc>
      </w:tr>
      <w:tr w:rsidR="001C7DDF" w14:paraId="4A669BCE" w14:textId="77777777" w:rsidTr="001C7DDF">
        <w:trPr>
          <w:trHeight w:val="450"/>
        </w:trPr>
        <w:tc>
          <w:tcPr>
            <w:tcW w:w="2519" w:type="pct"/>
            <w:shd w:val="clear" w:color="auto" w:fill="auto"/>
          </w:tcPr>
          <w:p w14:paraId="7DDB6F01" w14:textId="77777777" w:rsidR="001C7DDF" w:rsidRPr="001C7DDF" w:rsidRDefault="001C7DDF" w:rsidP="001C7DDF">
            <w:pPr>
              <w:pStyle w:val="TableParagraph"/>
              <w:spacing w:before="145"/>
              <w:ind w:right="291"/>
              <w:rPr>
                <w:rFonts w:ascii="Arial" w:hAnsi="Arial" w:cs="Arial"/>
                <w:sz w:val="24"/>
                <w:szCs w:val="24"/>
              </w:rPr>
            </w:pPr>
            <w:r w:rsidRPr="001C7DDF">
              <w:rPr>
                <w:rFonts w:ascii="Arial" w:hAnsi="Arial" w:cs="Arial"/>
                <w:sz w:val="24"/>
                <w:szCs w:val="24"/>
              </w:rPr>
              <w:t>Employed</w:t>
            </w:r>
          </w:p>
        </w:tc>
        <w:tc>
          <w:tcPr>
            <w:tcW w:w="1241" w:type="pct"/>
            <w:shd w:val="clear" w:color="auto" w:fill="auto"/>
          </w:tcPr>
          <w:p w14:paraId="663E8687" w14:textId="77777777" w:rsidR="001C7DDF" w:rsidRPr="001C7DDF" w:rsidRDefault="001C7DDF" w:rsidP="001C7DDF">
            <w:pPr>
              <w:pStyle w:val="TableParagraph"/>
              <w:spacing w:before="125"/>
              <w:jc w:val="both"/>
              <w:rPr>
                <w:rFonts w:ascii="Arial" w:hAnsi="Arial" w:cs="Arial"/>
                <w:sz w:val="24"/>
                <w:szCs w:val="24"/>
              </w:rPr>
            </w:pPr>
            <w:r w:rsidRPr="001C7DDF">
              <w:rPr>
                <w:rFonts w:ascii="Arial" w:hAnsi="Arial" w:cs="Arial"/>
                <w:sz w:val="24"/>
                <w:szCs w:val="24"/>
              </w:rPr>
              <w:t>28%</w:t>
            </w:r>
          </w:p>
        </w:tc>
        <w:tc>
          <w:tcPr>
            <w:tcW w:w="1240" w:type="pct"/>
            <w:shd w:val="clear" w:color="auto" w:fill="auto"/>
          </w:tcPr>
          <w:p w14:paraId="07BBCAFA" w14:textId="77777777" w:rsidR="001C7DDF" w:rsidRPr="001C7DDF" w:rsidRDefault="001C7DDF" w:rsidP="001C7DDF">
            <w:pPr>
              <w:pStyle w:val="TableParagraph"/>
              <w:spacing w:before="125"/>
              <w:ind w:right="457"/>
              <w:jc w:val="both"/>
              <w:rPr>
                <w:rFonts w:ascii="Arial" w:hAnsi="Arial" w:cs="Arial"/>
                <w:sz w:val="24"/>
                <w:szCs w:val="24"/>
              </w:rPr>
            </w:pPr>
            <w:r w:rsidRPr="001C7DDF">
              <w:rPr>
                <w:rFonts w:ascii="Arial" w:hAnsi="Arial" w:cs="Arial"/>
                <w:sz w:val="24"/>
                <w:szCs w:val="24"/>
              </w:rPr>
              <w:t>25%</w:t>
            </w:r>
          </w:p>
        </w:tc>
      </w:tr>
      <w:tr w:rsidR="001C7DDF" w14:paraId="4C0D9220" w14:textId="77777777" w:rsidTr="001C7DDF">
        <w:trPr>
          <w:trHeight w:val="450"/>
        </w:trPr>
        <w:tc>
          <w:tcPr>
            <w:tcW w:w="2519" w:type="pct"/>
            <w:shd w:val="clear" w:color="auto" w:fill="auto"/>
          </w:tcPr>
          <w:p w14:paraId="5D741682" w14:textId="77777777" w:rsidR="001C7DDF" w:rsidRPr="001C7DDF" w:rsidRDefault="001C7DDF" w:rsidP="001C7DDF">
            <w:pPr>
              <w:pStyle w:val="TableParagraph"/>
              <w:spacing w:before="145"/>
              <w:ind w:right="291"/>
              <w:rPr>
                <w:rFonts w:ascii="Arial" w:hAnsi="Arial" w:cs="Arial"/>
                <w:sz w:val="24"/>
                <w:szCs w:val="24"/>
              </w:rPr>
            </w:pPr>
            <w:r w:rsidRPr="001C7DDF">
              <w:rPr>
                <w:rFonts w:ascii="Arial" w:hAnsi="Arial" w:cs="Arial"/>
                <w:sz w:val="24"/>
                <w:szCs w:val="24"/>
              </w:rPr>
              <w:t>Looking for work</w:t>
            </w:r>
          </w:p>
        </w:tc>
        <w:tc>
          <w:tcPr>
            <w:tcW w:w="1241" w:type="pct"/>
            <w:shd w:val="clear" w:color="auto" w:fill="auto"/>
          </w:tcPr>
          <w:p w14:paraId="49906FEA" w14:textId="77777777" w:rsidR="001C7DDF" w:rsidRPr="001C7DDF" w:rsidRDefault="001C7DDF" w:rsidP="001C7DDF">
            <w:pPr>
              <w:pStyle w:val="TableParagraph"/>
              <w:spacing w:before="125"/>
              <w:jc w:val="both"/>
              <w:rPr>
                <w:rFonts w:ascii="Arial" w:hAnsi="Arial" w:cs="Arial"/>
                <w:sz w:val="24"/>
                <w:szCs w:val="24"/>
              </w:rPr>
            </w:pPr>
            <w:r w:rsidRPr="001C7DDF">
              <w:rPr>
                <w:rFonts w:ascii="Arial" w:hAnsi="Arial" w:cs="Arial"/>
                <w:sz w:val="24"/>
                <w:szCs w:val="24"/>
              </w:rPr>
              <w:t>12%</w:t>
            </w:r>
          </w:p>
        </w:tc>
        <w:tc>
          <w:tcPr>
            <w:tcW w:w="1240" w:type="pct"/>
            <w:shd w:val="clear" w:color="auto" w:fill="auto"/>
          </w:tcPr>
          <w:p w14:paraId="4522330F" w14:textId="77777777" w:rsidR="001C7DDF" w:rsidRPr="001C7DDF" w:rsidRDefault="001C7DDF" w:rsidP="001C7DDF">
            <w:pPr>
              <w:pStyle w:val="TableParagraph"/>
              <w:spacing w:before="125"/>
              <w:ind w:right="457"/>
              <w:jc w:val="both"/>
              <w:rPr>
                <w:rFonts w:ascii="Arial" w:hAnsi="Arial" w:cs="Arial"/>
                <w:sz w:val="24"/>
                <w:szCs w:val="24"/>
              </w:rPr>
            </w:pPr>
            <w:r w:rsidRPr="001C7DDF">
              <w:rPr>
                <w:rFonts w:ascii="Arial" w:hAnsi="Arial" w:cs="Arial"/>
                <w:sz w:val="24"/>
                <w:szCs w:val="24"/>
              </w:rPr>
              <w:t>9%</w:t>
            </w:r>
          </w:p>
        </w:tc>
      </w:tr>
      <w:tr w:rsidR="001C7DDF" w14:paraId="6C72F05F" w14:textId="77777777" w:rsidTr="001C7DDF">
        <w:trPr>
          <w:trHeight w:val="509"/>
        </w:trPr>
        <w:tc>
          <w:tcPr>
            <w:tcW w:w="2519" w:type="pct"/>
            <w:shd w:val="clear" w:color="auto" w:fill="auto"/>
          </w:tcPr>
          <w:p w14:paraId="3FABC0FF" w14:textId="77777777" w:rsidR="001C7DDF" w:rsidRPr="001C7DDF" w:rsidRDefault="001C7DDF" w:rsidP="001C7DDF">
            <w:pPr>
              <w:pStyle w:val="TableParagraph"/>
              <w:spacing w:before="86" w:line="223" w:lineRule="auto"/>
              <w:ind w:right="550"/>
              <w:rPr>
                <w:rFonts w:ascii="Arial" w:hAnsi="Arial" w:cs="Arial"/>
                <w:sz w:val="24"/>
                <w:szCs w:val="24"/>
              </w:rPr>
            </w:pPr>
            <w:r w:rsidRPr="001C7DDF">
              <w:rPr>
                <w:rFonts w:ascii="Arial" w:hAnsi="Arial" w:cs="Arial"/>
                <w:sz w:val="24"/>
                <w:szCs w:val="24"/>
              </w:rPr>
              <w:t>Not in labour force, education or training</w:t>
            </w:r>
          </w:p>
        </w:tc>
        <w:tc>
          <w:tcPr>
            <w:tcW w:w="1241" w:type="pct"/>
            <w:shd w:val="clear" w:color="auto" w:fill="auto"/>
          </w:tcPr>
          <w:p w14:paraId="3B17DBA4" w14:textId="77777777" w:rsidR="001C7DDF" w:rsidRPr="001C7DDF" w:rsidRDefault="001C7DDF" w:rsidP="001C7DDF">
            <w:pPr>
              <w:pStyle w:val="TableParagraph"/>
              <w:spacing w:before="155"/>
              <w:jc w:val="both"/>
              <w:rPr>
                <w:rFonts w:ascii="Arial" w:hAnsi="Arial" w:cs="Arial"/>
                <w:sz w:val="24"/>
                <w:szCs w:val="24"/>
              </w:rPr>
            </w:pPr>
            <w:r w:rsidRPr="001C7DDF">
              <w:rPr>
                <w:rFonts w:ascii="Arial" w:hAnsi="Arial" w:cs="Arial"/>
                <w:sz w:val="24"/>
                <w:szCs w:val="24"/>
              </w:rPr>
              <w:t>3%</w:t>
            </w:r>
          </w:p>
        </w:tc>
        <w:tc>
          <w:tcPr>
            <w:tcW w:w="1240" w:type="pct"/>
            <w:shd w:val="clear" w:color="auto" w:fill="auto"/>
          </w:tcPr>
          <w:p w14:paraId="1D51F6BA" w14:textId="77777777" w:rsidR="001C7DDF" w:rsidRPr="001C7DDF" w:rsidRDefault="001C7DDF" w:rsidP="001C7DDF">
            <w:pPr>
              <w:pStyle w:val="TableParagraph"/>
              <w:spacing w:before="155"/>
              <w:ind w:right="457"/>
              <w:jc w:val="both"/>
              <w:rPr>
                <w:rFonts w:ascii="Arial" w:hAnsi="Arial" w:cs="Arial"/>
                <w:sz w:val="24"/>
                <w:szCs w:val="24"/>
              </w:rPr>
            </w:pPr>
            <w:r w:rsidRPr="001C7DDF">
              <w:rPr>
                <w:rFonts w:ascii="Arial" w:hAnsi="Arial" w:cs="Arial"/>
                <w:sz w:val="24"/>
                <w:szCs w:val="24"/>
              </w:rPr>
              <w:t>1%</w:t>
            </w:r>
          </w:p>
        </w:tc>
      </w:tr>
    </w:tbl>
    <w:p w14:paraId="107C4C33" w14:textId="77777777" w:rsidR="001C7DDF" w:rsidRPr="00AA6681" w:rsidRDefault="00AA6681">
      <w:pPr>
        <w:rPr>
          <w:rFonts w:ascii="Arial" w:hAnsi="Arial" w:cs="Arial"/>
          <w:i/>
          <w:sz w:val="24"/>
        </w:rPr>
      </w:pPr>
      <w:r w:rsidRPr="00AA6681">
        <w:rPr>
          <w:rFonts w:ascii="Arial" w:hAnsi="Arial" w:cs="Arial"/>
          <w:i/>
          <w:sz w:val="24"/>
        </w:rPr>
        <w:t>NOTE: Numbers may add up to over 100 per cent due to rounding. Source: On Track Survey (DET, 2018b)</w:t>
      </w:r>
    </w:p>
    <w:p w14:paraId="0B83F25C" w14:textId="77777777" w:rsidR="00825B56" w:rsidRPr="00703D76" w:rsidRDefault="00825B56" w:rsidP="00703D76">
      <w:pPr>
        <w:pStyle w:val="Heading3"/>
        <w:rPr>
          <w:rFonts w:ascii="Arial" w:hAnsi="Arial" w:cs="Arial"/>
          <w:color w:val="auto"/>
          <w:sz w:val="24"/>
        </w:rPr>
      </w:pPr>
      <w:bookmarkStart w:id="51" w:name="_Toc33527776"/>
      <w:r w:rsidRPr="00703D76">
        <w:rPr>
          <w:rFonts w:ascii="Arial" w:hAnsi="Arial" w:cs="Arial"/>
          <w:color w:val="auto"/>
          <w:sz w:val="24"/>
        </w:rPr>
        <w:lastRenderedPageBreak/>
        <w:t>4.10</w:t>
      </w:r>
      <w:r w:rsidRPr="00703D76">
        <w:rPr>
          <w:rFonts w:ascii="Arial" w:hAnsi="Arial" w:cs="Arial"/>
          <w:color w:val="auto"/>
          <w:sz w:val="24"/>
        </w:rPr>
        <w:tab/>
        <w:t>Adolescent subject choice continues to reflect historical gender biases</w:t>
      </w:r>
      <w:bookmarkEnd w:id="51"/>
    </w:p>
    <w:p w14:paraId="5FF55EE1" w14:textId="77777777" w:rsidR="00825B56" w:rsidRPr="00825B56" w:rsidRDefault="00825B56" w:rsidP="00825B56">
      <w:pPr>
        <w:rPr>
          <w:rFonts w:ascii="Arial" w:hAnsi="Arial" w:cs="Arial"/>
          <w:sz w:val="24"/>
        </w:rPr>
      </w:pPr>
      <w:r w:rsidRPr="00825B56">
        <w:rPr>
          <w:rFonts w:ascii="Arial" w:hAnsi="Arial" w:cs="Arial"/>
          <w:sz w:val="24"/>
        </w:rPr>
        <w:t>In the transition to senior secondary schooling and post-compulsory schooling, adolescents exercise further autonomy and choice in their schooling options, subject enrolments and post-school destinations. The gender differences in engagement with science, technology, engineering, and mathematics (STEM) related subjects</w:t>
      </w:r>
      <w:r>
        <w:rPr>
          <w:rFonts w:ascii="Arial" w:hAnsi="Arial" w:cs="Arial"/>
          <w:sz w:val="24"/>
        </w:rPr>
        <w:t xml:space="preserve"> </w:t>
      </w:r>
      <w:r w:rsidRPr="00825B56">
        <w:rPr>
          <w:rFonts w:ascii="Arial" w:hAnsi="Arial" w:cs="Arial"/>
          <w:sz w:val="24"/>
        </w:rPr>
        <w:t>are echoed in international research, which has found that at age 15 girls are three times more likely to expect careers in fields related to healthcare, and are less likely to expect a career in fields such as engineering or software development than their male counterparts (Justman &amp; Méndez, 2016). These expectations influence tertiary enrolment patterns, resulting in occupational segregation and unequal wages (OECD, 2017).</w:t>
      </w:r>
    </w:p>
    <w:p w14:paraId="6345C510" w14:textId="77777777" w:rsidR="001C7DDF" w:rsidRDefault="00825B56" w:rsidP="00825B56">
      <w:pPr>
        <w:rPr>
          <w:rFonts w:ascii="Arial" w:hAnsi="Arial" w:cs="Arial"/>
          <w:sz w:val="24"/>
        </w:rPr>
      </w:pPr>
      <w:r w:rsidRPr="00825B56">
        <w:rPr>
          <w:rFonts w:ascii="Arial" w:hAnsi="Arial" w:cs="Arial"/>
          <w:sz w:val="24"/>
        </w:rPr>
        <w:t>According to 2018 VCE enrolments, while the gender ratio is spread relatively evenly in Further Mathematics, there is a skew towards male students in Mathematical Methods and Specialist Mathematics. The proportion of female students in Mathematical Methods has increased slightly (from 41 per cent to 43 per cent) but otherwise these trends have been stable since 2015.</w:t>
      </w:r>
    </w:p>
    <w:p w14:paraId="4E99D5FD" w14:textId="77777777" w:rsidR="007A3787" w:rsidRDefault="00825B56" w:rsidP="00825B56">
      <w:pPr>
        <w:rPr>
          <w:rFonts w:ascii="Arial" w:hAnsi="Arial" w:cs="Arial"/>
          <w:b/>
          <w:sz w:val="24"/>
        </w:rPr>
      </w:pPr>
      <w:r w:rsidRPr="002E4BE9">
        <w:rPr>
          <w:rFonts w:ascii="Arial" w:hAnsi="Arial" w:cs="Arial"/>
          <w:b/>
          <w:sz w:val="24"/>
        </w:rPr>
        <w:t>Figure 41. Student enrolments in VCE Mathematics subjects, by gender, 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Description w:val="This table shows the number of student enrolments in VCE Mathematics subjects, by gender, 2018"/>
      </w:tblPr>
      <w:tblGrid>
        <w:gridCol w:w="4542"/>
        <w:gridCol w:w="2238"/>
        <w:gridCol w:w="2236"/>
      </w:tblGrid>
      <w:tr w:rsidR="00130784" w14:paraId="475A3E72" w14:textId="77777777" w:rsidTr="00962223">
        <w:trPr>
          <w:trHeight w:val="449"/>
          <w:tblHeader/>
        </w:trPr>
        <w:tc>
          <w:tcPr>
            <w:tcW w:w="2519" w:type="pct"/>
            <w:shd w:val="clear" w:color="auto" w:fill="auto"/>
          </w:tcPr>
          <w:p w14:paraId="7EB328F1" w14:textId="77777777" w:rsidR="00130784" w:rsidRPr="001C7DDF" w:rsidRDefault="00130784" w:rsidP="00962223">
            <w:pPr>
              <w:pStyle w:val="TableParagraph"/>
              <w:spacing w:before="115"/>
              <w:ind w:right="757"/>
              <w:rPr>
                <w:rFonts w:ascii="Arial" w:hAnsi="Arial" w:cs="Arial"/>
                <w:sz w:val="24"/>
                <w:szCs w:val="24"/>
              </w:rPr>
            </w:pPr>
          </w:p>
        </w:tc>
        <w:tc>
          <w:tcPr>
            <w:tcW w:w="1241" w:type="pct"/>
            <w:shd w:val="clear" w:color="auto" w:fill="auto"/>
          </w:tcPr>
          <w:p w14:paraId="3A36A42E" w14:textId="77777777" w:rsidR="00130784" w:rsidRPr="001C7DDF" w:rsidRDefault="00130784" w:rsidP="00130784">
            <w:pPr>
              <w:pStyle w:val="TableParagraph"/>
              <w:spacing w:before="125"/>
              <w:jc w:val="both"/>
              <w:rPr>
                <w:rFonts w:ascii="Arial" w:hAnsi="Arial" w:cs="Arial"/>
                <w:sz w:val="24"/>
                <w:szCs w:val="24"/>
              </w:rPr>
            </w:pPr>
            <w:r>
              <w:rPr>
                <w:rFonts w:ascii="Arial" w:hAnsi="Arial" w:cs="Arial"/>
                <w:sz w:val="24"/>
                <w:szCs w:val="24"/>
              </w:rPr>
              <w:t>Male</w:t>
            </w:r>
          </w:p>
        </w:tc>
        <w:tc>
          <w:tcPr>
            <w:tcW w:w="1240" w:type="pct"/>
            <w:shd w:val="clear" w:color="auto" w:fill="auto"/>
          </w:tcPr>
          <w:p w14:paraId="5D4551A6" w14:textId="77777777" w:rsidR="00130784" w:rsidRPr="001C7DDF" w:rsidRDefault="00130784" w:rsidP="00962223">
            <w:pPr>
              <w:pStyle w:val="TableParagraph"/>
              <w:spacing w:before="125"/>
              <w:ind w:right="457"/>
              <w:jc w:val="both"/>
              <w:rPr>
                <w:rFonts w:ascii="Arial" w:hAnsi="Arial" w:cs="Arial"/>
                <w:sz w:val="24"/>
                <w:szCs w:val="24"/>
              </w:rPr>
            </w:pPr>
            <w:r>
              <w:rPr>
                <w:rFonts w:ascii="Arial" w:hAnsi="Arial" w:cs="Arial"/>
                <w:sz w:val="24"/>
                <w:szCs w:val="24"/>
              </w:rPr>
              <w:t>Female</w:t>
            </w:r>
          </w:p>
        </w:tc>
      </w:tr>
      <w:tr w:rsidR="00130784" w14:paraId="2333CAAA" w14:textId="77777777" w:rsidTr="00962223">
        <w:trPr>
          <w:trHeight w:val="450"/>
        </w:trPr>
        <w:tc>
          <w:tcPr>
            <w:tcW w:w="2519" w:type="pct"/>
            <w:shd w:val="clear" w:color="auto" w:fill="auto"/>
          </w:tcPr>
          <w:p w14:paraId="6C1A7FE4" w14:textId="77777777" w:rsidR="00130784" w:rsidRPr="001C7DDF" w:rsidRDefault="00703D76" w:rsidP="00962223">
            <w:pPr>
              <w:pStyle w:val="TableParagraph"/>
              <w:spacing w:before="145"/>
              <w:ind w:right="291"/>
              <w:rPr>
                <w:rFonts w:ascii="Arial" w:hAnsi="Arial" w:cs="Arial"/>
                <w:sz w:val="24"/>
                <w:szCs w:val="24"/>
              </w:rPr>
            </w:pPr>
            <w:r>
              <w:rPr>
                <w:rFonts w:ascii="Arial" w:hAnsi="Arial" w:cs="Arial"/>
                <w:sz w:val="24"/>
                <w:szCs w:val="24"/>
              </w:rPr>
              <w:t>General M</w:t>
            </w:r>
            <w:r w:rsidR="00130784">
              <w:rPr>
                <w:rFonts w:ascii="Arial" w:hAnsi="Arial" w:cs="Arial"/>
                <w:sz w:val="24"/>
                <w:szCs w:val="24"/>
              </w:rPr>
              <w:t>aths</w:t>
            </w:r>
          </w:p>
        </w:tc>
        <w:tc>
          <w:tcPr>
            <w:tcW w:w="1241" w:type="pct"/>
            <w:shd w:val="clear" w:color="auto" w:fill="auto"/>
          </w:tcPr>
          <w:p w14:paraId="4FA93DEC" w14:textId="77777777" w:rsidR="00130784" w:rsidRPr="001C7DDF" w:rsidRDefault="00130784" w:rsidP="00962223">
            <w:pPr>
              <w:pStyle w:val="TableParagraph"/>
              <w:spacing w:before="125"/>
              <w:jc w:val="both"/>
              <w:rPr>
                <w:rFonts w:ascii="Arial" w:hAnsi="Arial" w:cs="Arial"/>
                <w:sz w:val="24"/>
                <w:szCs w:val="24"/>
              </w:rPr>
            </w:pPr>
            <w:r>
              <w:rPr>
                <w:rFonts w:ascii="Arial" w:hAnsi="Arial" w:cs="Arial"/>
                <w:sz w:val="24"/>
                <w:szCs w:val="24"/>
              </w:rPr>
              <w:t>9,128</w:t>
            </w:r>
          </w:p>
        </w:tc>
        <w:tc>
          <w:tcPr>
            <w:tcW w:w="1240" w:type="pct"/>
            <w:shd w:val="clear" w:color="auto" w:fill="auto"/>
          </w:tcPr>
          <w:p w14:paraId="2AB95663" w14:textId="77777777" w:rsidR="00130784" w:rsidRPr="001C7DDF" w:rsidRDefault="00F70EC2" w:rsidP="00962223">
            <w:pPr>
              <w:pStyle w:val="TableParagraph"/>
              <w:spacing w:before="125"/>
              <w:ind w:right="457"/>
              <w:jc w:val="both"/>
              <w:rPr>
                <w:rFonts w:ascii="Arial" w:hAnsi="Arial" w:cs="Arial"/>
                <w:sz w:val="24"/>
                <w:szCs w:val="24"/>
              </w:rPr>
            </w:pPr>
            <w:r>
              <w:rPr>
                <w:rFonts w:ascii="Arial" w:hAnsi="Arial" w:cs="Arial"/>
                <w:sz w:val="24"/>
                <w:szCs w:val="24"/>
              </w:rPr>
              <w:t>10,226</w:t>
            </w:r>
          </w:p>
        </w:tc>
      </w:tr>
      <w:tr w:rsidR="00130784" w14:paraId="0E7CC5D2" w14:textId="77777777" w:rsidTr="00962223">
        <w:trPr>
          <w:trHeight w:val="450"/>
        </w:trPr>
        <w:tc>
          <w:tcPr>
            <w:tcW w:w="2519" w:type="pct"/>
            <w:shd w:val="clear" w:color="auto" w:fill="auto"/>
          </w:tcPr>
          <w:p w14:paraId="14F2A62A" w14:textId="77777777" w:rsidR="00130784" w:rsidRPr="001C7DDF" w:rsidRDefault="00703D76" w:rsidP="00962223">
            <w:pPr>
              <w:pStyle w:val="TableParagraph"/>
              <w:spacing w:before="145"/>
              <w:ind w:right="291"/>
              <w:rPr>
                <w:rFonts w:ascii="Arial" w:hAnsi="Arial" w:cs="Arial"/>
                <w:sz w:val="24"/>
                <w:szCs w:val="24"/>
              </w:rPr>
            </w:pPr>
            <w:r>
              <w:rPr>
                <w:rFonts w:ascii="Arial" w:hAnsi="Arial" w:cs="Arial"/>
                <w:sz w:val="24"/>
                <w:szCs w:val="24"/>
              </w:rPr>
              <w:t>Further M</w:t>
            </w:r>
            <w:r w:rsidR="00130784">
              <w:rPr>
                <w:rFonts w:ascii="Arial" w:hAnsi="Arial" w:cs="Arial"/>
                <w:sz w:val="24"/>
                <w:szCs w:val="24"/>
              </w:rPr>
              <w:t>aths</w:t>
            </w:r>
          </w:p>
        </w:tc>
        <w:tc>
          <w:tcPr>
            <w:tcW w:w="1241" w:type="pct"/>
            <w:shd w:val="clear" w:color="auto" w:fill="auto"/>
          </w:tcPr>
          <w:p w14:paraId="3BDD5AE5" w14:textId="77777777" w:rsidR="00130784" w:rsidRPr="001C7DDF" w:rsidRDefault="00130784" w:rsidP="00962223">
            <w:pPr>
              <w:pStyle w:val="TableParagraph"/>
              <w:spacing w:before="125"/>
              <w:jc w:val="both"/>
              <w:rPr>
                <w:rFonts w:ascii="Arial" w:hAnsi="Arial" w:cs="Arial"/>
                <w:sz w:val="24"/>
                <w:szCs w:val="24"/>
              </w:rPr>
            </w:pPr>
            <w:r>
              <w:rPr>
                <w:rFonts w:ascii="Arial" w:hAnsi="Arial" w:cs="Arial"/>
                <w:sz w:val="24"/>
                <w:szCs w:val="24"/>
              </w:rPr>
              <w:t>7,998</w:t>
            </w:r>
          </w:p>
        </w:tc>
        <w:tc>
          <w:tcPr>
            <w:tcW w:w="1240" w:type="pct"/>
            <w:shd w:val="clear" w:color="auto" w:fill="auto"/>
          </w:tcPr>
          <w:p w14:paraId="35F4E187" w14:textId="77777777" w:rsidR="00130784" w:rsidRPr="001C7DDF" w:rsidRDefault="00F70EC2" w:rsidP="00962223">
            <w:pPr>
              <w:pStyle w:val="TableParagraph"/>
              <w:spacing w:before="125"/>
              <w:ind w:right="457"/>
              <w:jc w:val="both"/>
              <w:rPr>
                <w:rFonts w:ascii="Arial" w:hAnsi="Arial" w:cs="Arial"/>
                <w:sz w:val="24"/>
                <w:szCs w:val="24"/>
              </w:rPr>
            </w:pPr>
            <w:r>
              <w:rPr>
                <w:rFonts w:ascii="Arial" w:hAnsi="Arial" w:cs="Arial"/>
                <w:sz w:val="24"/>
                <w:szCs w:val="24"/>
              </w:rPr>
              <w:t>8,745</w:t>
            </w:r>
          </w:p>
        </w:tc>
      </w:tr>
      <w:tr w:rsidR="00130784" w14:paraId="5EC623CC" w14:textId="77777777" w:rsidTr="00962223">
        <w:trPr>
          <w:trHeight w:val="450"/>
        </w:trPr>
        <w:tc>
          <w:tcPr>
            <w:tcW w:w="2519" w:type="pct"/>
            <w:shd w:val="clear" w:color="auto" w:fill="auto"/>
          </w:tcPr>
          <w:p w14:paraId="63BDD198" w14:textId="77777777" w:rsidR="00130784" w:rsidRPr="001C7DDF" w:rsidRDefault="00130784" w:rsidP="00962223">
            <w:pPr>
              <w:pStyle w:val="TableParagraph"/>
              <w:spacing w:before="145"/>
              <w:ind w:right="291"/>
              <w:rPr>
                <w:rFonts w:ascii="Arial" w:hAnsi="Arial" w:cs="Arial"/>
                <w:sz w:val="24"/>
                <w:szCs w:val="24"/>
              </w:rPr>
            </w:pPr>
            <w:r>
              <w:rPr>
                <w:rFonts w:ascii="Arial" w:hAnsi="Arial" w:cs="Arial"/>
                <w:sz w:val="24"/>
                <w:szCs w:val="24"/>
              </w:rPr>
              <w:t>Maths methods</w:t>
            </w:r>
          </w:p>
        </w:tc>
        <w:tc>
          <w:tcPr>
            <w:tcW w:w="1241" w:type="pct"/>
            <w:shd w:val="clear" w:color="auto" w:fill="auto"/>
          </w:tcPr>
          <w:p w14:paraId="041E98ED" w14:textId="77777777" w:rsidR="00130784" w:rsidRPr="001C7DDF" w:rsidRDefault="00130784" w:rsidP="00962223">
            <w:pPr>
              <w:pStyle w:val="TableParagraph"/>
              <w:spacing w:before="125"/>
              <w:jc w:val="both"/>
              <w:rPr>
                <w:rFonts w:ascii="Arial" w:hAnsi="Arial" w:cs="Arial"/>
                <w:sz w:val="24"/>
                <w:szCs w:val="24"/>
              </w:rPr>
            </w:pPr>
            <w:r>
              <w:rPr>
                <w:rFonts w:ascii="Arial" w:hAnsi="Arial" w:cs="Arial"/>
                <w:sz w:val="24"/>
                <w:szCs w:val="24"/>
              </w:rPr>
              <w:t>10,647</w:t>
            </w:r>
          </w:p>
        </w:tc>
        <w:tc>
          <w:tcPr>
            <w:tcW w:w="1240" w:type="pct"/>
            <w:shd w:val="clear" w:color="auto" w:fill="auto"/>
          </w:tcPr>
          <w:p w14:paraId="24DD745F" w14:textId="77777777" w:rsidR="00130784" w:rsidRPr="001C7DDF" w:rsidRDefault="00F70EC2" w:rsidP="00962223">
            <w:pPr>
              <w:pStyle w:val="TableParagraph"/>
              <w:spacing w:before="125"/>
              <w:ind w:right="457"/>
              <w:jc w:val="both"/>
              <w:rPr>
                <w:rFonts w:ascii="Arial" w:hAnsi="Arial" w:cs="Arial"/>
                <w:sz w:val="24"/>
                <w:szCs w:val="24"/>
              </w:rPr>
            </w:pPr>
            <w:r>
              <w:rPr>
                <w:rFonts w:ascii="Arial" w:hAnsi="Arial" w:cs="Arial"/>
                <w:sz w:val="24"/>
                <w:szCs w:val="24"/>
              </w:rPr>
              <w:t>8,410</w:t>
            </w:r>
          </w:p>
        </w:tc>
      </w:tr>
      <w:tr w:rsidR="00130784" w14:paraId="5EC6EE1B" w14:textId="77777777" w:rsidTr="00962223">
        <w:trPr>
          <w:trHeight w:val="450"/>
        </w:trPr>
        <w:tc>
          <w:tcPr>
            <w:tcW w:w="2519" w:type="pct"/>
            <w:shd w:val="clear" w:color="auto" w:fill="auto"/>
          </w:tcPr>
          <w:p w14:paraId="7258274B" w14:textId="77777777" w:rsidR="00130784" w:rsidRPr="001C7DDF" w:rsidRDefault="00130784" w:rsidP="00962223">
            <w:pPr>
              <w:pStyle w:val="TableParagraph"/>
              <w:spacing w:before="145"/>
              <w:ind w:right="291"/>
              <w:rPr>
                <w:rFonts w:ascii="Arial" w:hAnsi="Arial" w:cs="Arial"/>
                <w:sz w:val="24"/>
                <w:szCs w:val="24"/>
              </w:rPr>
            </w:pPr>
            <w:r>
              <w:rPr>
                <w:rFonts w:ascii="Arial" w:hAnsi="Arial" w:cs="Arial"/>
                <w:sz w:val="24"/>
                <w:szCs w:val="24"/>
              </w:rPr>
              <w:t>Spe</w:t>
            </w:r>
            <w:r w:rsidR="00703D76">
              <w:rPr>
                <w:rFonts w:ascii="Arial" w:hAnsi="Arial" w:cs="Arial"/>
                <w:sz w:val="24"/>
                <w:szCs w:val="24"/>
              </w:rPr>
              <w:t>cialist M</w:t>
            </w:r>
            <w:r>
              <w:rPr>
                <w:rFonts w:ascii="Arial" w:hAnsi="Arial" w:cs="Arial"/>
                <w:sz w:val="24"/>
                <w:szCs w:val="24"/>
              </w:rPr>
              <w:t>aths</w:t>
            </w:r>
          </w:p>
        </w:tc>
        <w:tc>
          <w:tcPr>
            <w:tcW w:w="1241" w:type="pct"/>
            <w:shd w:val="clear" w:color="auto" w:fill="auto"/>
          </w:tcPr>
          <w:p w14:paraId="3AE84E73" w14:textId="77777777" w:rsidR="00130784" w:rsidRPr="001C7DDF" w:rsidRDefault="00130784" w:rsidP="00962223">
            <w:pPr>
              <w:pStyle w:val="TableParagraph"/>
              <w:spacing w:before="125"/>
              <w:jc w:val="both"/>
              <w:rPr>
                <w:rFonts w:ascii="Arial" w:hAnsi="Arial" w:cs="Arial"/>
                <w:sz w:val="24"/>
                <w:szCs w:val="24"/>
              </w:rPr>
            </w:pPr>
            <w:r>
              <w:rPr>
                <w:rFonts w:ascii="Arial" w:hAnsi="Arial" w:cs="Arial"/>
                <w:sz w:val="24"/>
                <w:szCs w:val="24"/>
              </w:rPr>
              <w:t>3,287</w:t>
            </w:r>
          </w:p>
        </w:tc>
        <w:tc>
          <w:tcPr>
            <w:tcW w:w="1240" w:type="pct"/>
            <w:shd w:val="clear" w:color="auto" w:fill="auto"/>
          </w:tcPr>
          <w:p w14:paraId="7D166252" w14:textId="77777777" w:rsidR="00130784" w:rsidRPr="001C7DDF" w:rsidRDefault="00F70EC2" w:rsidP="00962223">
            <w:pPr>
              <w:pStyle w:val="TableParagraph"/>
              <w:spacing w:before="125"/>
              <w:ind w:right="457"/>
              <w:jc w:val="both"/>
              <w:rPr>
                <w:rFonts w:ascii="Arial" w:hAnsi="Arial" w:cs="Arial"/>
                <w:sz w:val="24"/>
                <w:szCs w:val="24"/>
              </w:rPr>
            </w:pPr>
            <w:r>
              <w:rPr>
                <w:rFonts w:ascii="Arial" w:hAnsi="Arial" w:cs="Arial"/>
                <w:sz w:val="24"/>
                <w:szCs w:val="24"/>
              </w:rPr>
              <w:t>1,940</w:t>
            </w:r>
          </w:p>
        </w:tc>
      </w:tr>
    </w:tbl>
    <w:p w14:paraId="10A967A4" w14:textId="77777777" w:rsidR="007A3787" w:rsidRPr="007A3787" w:rsidRDefault="007A3787" w:rsidP="00825B56">
      <w:pPr>
        <w:rPr>
          <w:rFonts w:ascii="Arial" w:hAnsi="Arial" w:cs="Arial"/>
          <w:i/>
          <w:sz w:val="24"/>
        </w:rPr>
      </w:pPr>
      <w:r w:rsidRPr="007A3787">
        <w:rPr>
          <w:rFonts w:ascii="Arial" w:hAnsi="Arial" w:cs="Arial"/>
          <w:i/>
          <w:sz w:val="24"/>
        </w:rPr>
        <w:t>Source: VCE enrolment data, 2018, VCAA</w:t>
      </w:r>
    </w:p>
    <w:p w14:paraId="4DF9AC49" w14:textId="77777777" w:rsidR="007A3787" w:rsidRDefault="007A3787" w:rsidP="007A3787">
      <w:pPr>
        <w:rPr>
          <w:rFonts w:ascii="Arial" w:hAnsi="Arial" w:cs="Arial"/>
          <w:sz w:val="24"/>
        </w:rPr>
      </w:pPr>
      <w:r w:rsidRPr="007A3787">
        <w:rPr>
          <w:rFonts w:ascii="Arial" w:hAnsi="Arial" w:cs="Arial"/>
          <w:sz w:val="24"/>
        </w:rPr>
        <w:t>In science, psychology continues to be the most popular subject among senior secondary school students, followed by biology. Female student enrolments in science subjects tend to be concentrated in biology and psychology (76 per cent), while male student enrolments tend to be more evenly spread across biology, chemistry, physics and psychology. As with previous years, there were more female than male students enrolled in psychology and biology and more male than female students enrolled in physics in 2018.</w:t>
      </w:r>
    </w:p>
    <w:tbl>
      <w:tblPr>
        <w:tblStyle w:val="TableGrid"/>
        <w:tblW w:w="5000" w:type="pct"/>
        <w:tblLook w:val="04A0" w:firstRow="1" w:lastRow="0" w:firstColumn="1" w:lastColumn="0" w:noHBand="0" w:noVBand="1"/>
        <w:tblDescription w:val="This table shows the ratio of female to male VCE subject enrolments for selected subjects in 2008 and 2018"/>
      </w:tblPr>
      <w:tblGrid>
        <w:gridCol w:w="7036"/>
        <w:gridCol w:w="990"/>
        <w:gridCol w:w="990"/>
      </w:tblGrid>
      <w:tr w:rsidR="00000F88" w14:paraId="5A3186B7" w14:textId="77777777" w:rsidTr="00FC582B">
        <w:trPr>
          <w:tblHeader/>
        </w:trPr>
        <w:tc>
          <w:tcPr>
            <w:tcW w:w="3901" w:type="pct"/>
          </w:tcPr>
          <w:p w14:paraId="7E533EB6" w14:textId="77777777" w:rsidR="00000F88" w:rsidRDefault="00000F88" w:rsidP="007A3787">
            <w:pPr>
              <w:rPr>
                <w:rFonts w:ascii="Arial" w:hAnsi="Arial" w:cs="Arial"/>
                <w:sz w:val="24"/>
              </w:rPr>
            </w:pPr>
            <w:r>
              <w:rPr>
                <w:rFonts w:ascii="Arial" w:hAnsi="Arial" w:cs="Arial"/>
                <w:sz w:val="24"/>
              </w:rPr>
              <w:t>Ratio of female to male VCE subject enrolments</w:t>
            </w:r>
          </w:p>
        </w:tc>
        <w:tc>
          <w:tcPr>
            <w:tcW w:w="549" w:type="pct"/>
          </w:tcPr>
          <w:p w14:paraId="5A99D649" w14:textId="77777777" w:rsidR="00000F88" w:rsidRDefault="00000F88" w:rsidP="007A3787">
            <w:pPr>
              <w:rPr>
                <w:rFonts w:ascii="Arial" w:hAnsi="Arial" w:cs="Arial"/>
                <w:sz w:val="24"/>
              </w:rPr>
            </w:pPr>
            <w:r>
              <w:rPr>
                <w:rFonts w:ascii="Arial" w:hAnsi="Arial" w:cs="Arial"/>
                <w:sz w:val="24"/>
              </w:rPr>
              <w:t>2008</w:t>
            </w:r>
          </w:p>
        </w:tc>
        <w:tc>
          <w:tcPr>
            <w:tcW w:w="549" w:type="pct"/>
          </w:tcPr>
          <w:p w14:paraId="5ABE8642" w14:textId="77777777" w:rsidR="00000F88" w:rsidRDefault="00000F88" w:rsidP="007A3787">
            <w:pPr>
              <w:rPr>
                <w:rFonts w:ascii="Arial" w:hAnsi="Arial" w:cs="Arial"/>
                <w:sz w:val="24"/>
              </w:rPr>
            </w:pPr>
            <w:r>
              <w:rPr>
                <w:rFonts w:ascii="Arial" w:hAnsi="Arial" w:cs="Arial"/>
                <w:sz w:val="24"/>
              </w:rPr>
              <w:t>2018</w:t>
            </w:r>
          </w:p>
        </w:tc>
      </w:tr>
      <w:tr w:rsidR="00000F88" w14:paraId="6B3C70CB" w14:textId="77777777" w:rsidTr="00AB057A">
        <w:tc>
          <w:tcPr>
            <w:tcW w:w="3901" w:type="pct"/>
          </w:tcPr>
          <w:p w14:paraId="3909F42C" w14:textId="77777777" w:rsidR="00000F88" w:rsidRDefault="00000F88" w:rsidP="007A3787">
            <w:pPr>
              <w:rPr>
                <w:rFonts w:ascii="Arial" w:hAnsi="Arial" w:cs="Arial"/>
                <w:sz w:val="24"/>
              </w:rPr>
            </w:pPr>
            <w:r>
              <w:rPr>
                <w:rFonts w:ascii="Arial" w:hAnsi="Arial" w:cs="Arial"/>
                <w:sz w:val="24"/>
              </w:rPr>
              <w:t>Dance</w:t>
            </w:r>
          </w:p>
        </w:tc>
        <w:tc>
          <w:tcPr>
            <w:tcW w:w="549" w:type="pct"/>
          </w:tcPr>
          <w:p w14:paraId="4DE8FFB8" w14:textId="77777777" w:rsidR="00000F88" w:rsidRDefault="00000F88" w:rsidP="007A3787">
            <w:pPr>
              <w:rPr>
                <w:rFonts w:ascii="Arial" w:hAnsi="Arial" w:cs="Arial"/>
                <w:sz w:val="24"/>
              </w:rPr>
            </w:pPr>
            <w:r>
              <w:rPr>
                <w:rFonts w:ascii="Arial" w:hAnsi="Arial" w:cs="Arial"/>
                <w:sz w:val="24"/>
              </w:rPr>
              <w:t>10.6</w:t>
            </w:r>
          </w:p>
        </w:tc>
        <w:tc>
          <w:tcPr>
            <w:tcW w:w="549" w:type="pct"/>
          </w:tcPr>
          <w:p w14:paraId="7EA71779" w14:textId="77777777" w:rsidR="00000F88" w:rsidRDefault="00000F88" w:rsidP="007A3787">
            <w:pPr>
              <w:rPr>
                <w:rFonts w:ascii="Arial" w:hAnsi="Arial" w:cs="Arial"/>
                <w:sz w:val="24"/>
              </w:rPr>
            </w:pPr>
            <w:r>
              <w:rPr>
                <w:rFonts w:ascii="Arial" w:hAnsi="Arial" w:cs="Arial"/>
                <w:sz w:val="24"/>
              </w:rPr>
              <w:t>5.5</w:t>
            </w:r>
          </w:p>
        </w:tc>
      </w:tr>
      <w:tr w:rsidR="00000F88" w14:paraId="43E63695" w14:textId="77777777" w:rsidTr="00AB057A">
        <w:tc>
          <w:tcPr>
            <w:tcW w:w="3901" w:type="pct"/>
          </w:tcPr>
          <w:p w14:paraId="08C0150F" w14:textId="77777777" w:rsidR="00000F88" w:rsidRDefault="00000F88" w:rsidP="007A3787">
            <w:pPr>
              <w:rPr>
                <w:rFonts w:ascii="Arial" w:hAnsi="Arial" w:cs="Arial"/>
                <w:sz w:val="24"/>
              </w:rPr>
            </w:pPr>
            <w:r>
              <w:rPr>
                <w:rFonts w:ascii="Arial" w:hAnsi="Arial" w:cs="Arial"/>
                <w:sz w:val="24"/>
              </w:rPr>
              <w:t>Sociology</w:t>
            </w:r>
          </w:p>
        </w:tc>
        <w:tc>
          <w:tcPr>
            <w:tcW w:w="549" w:type="pct"/>
          </w:tcPr>
          <w:p w14:paraId="4BF496EC" w14:textId="77777777" w:rsidR="00000F88" w:rsidRDefault="00000F88" w:rsidP="007A3787">
            <w:pPr>
              <w:rPr>
                <w:rFonts w:ascii="Arial" w:hAnsi="Arial" w:cs="Arial"/>
                <w:sz w:val="24"/>
              </w:rPr>
            </w:pPr>
            <w:r>
              <w:rPr>
                <w:rFonts w:ascii="Arial" w:hAnsi="Arial" w:cs="Arial"/>
                <w:sz w:val="24"/>
              </w:rPr>
              <w:t>4.3</w:t>
            </w:r>
          </w:p>
        </w:tc>
        <w:tc>
          <w:tcPr>
            <w:tcW w:w="549" w:type="pct"/>
          </w:tcPr>
          <w:p w14:paraId="014EB79A" w14:textId="77777777" w:rsidR="00000F88" w:rsidRDefault="00000F88" w:rsidP="007A3787">
            <w:pPr>
              <w:rPr>
                <w:rFonts w:ascii="Arial" w:hAnsi="Arial" w:cs="Arial"/>
                <w:sz w:val="24"/>
              </w:rPr>
            </w:pPr>
            <w:r>
              <w:rPr>
                <w:rFonts w:ascii="Arial" w:hAnsi="Arial" w:cs="Arial"/>
                <w:sz w:val="24"/>
              </w:rPr>
              <w:t>3.3</w:t>
            </w:r>
          </w:p>
        </w:tc>
      </w:tr>
      <w:tr w:rsidR="00000F88" w14:paraId="285A59D7" w14:textId="77777777" w:rsidTr="00AB057A">
        <w:tc>
          <w:tcPr>
            <w:tcW w:w="3901" w:type="pct"/>
          </w:tcPr>
          <w:p w14:paraId="71C8CF57" w14:textId="77777777" w:rsidR="00000F88" w:rsidRDefault="00000F88" w:rsidP="007A3787">
            <w:pPr>
              <w:rPr>
                <w:rFonts w:ascii="Arial" w:hAnsi="Arial" w:cs="Arial"/>
                <w:sz w:val="24"/>
              </w:rPr>
            </w:pPr>
            <w:r>
              <w:rPr>
                <w:rFonts w:ascii="Arial" w:hAnsi="Arial" w:cs="Arial"/>
                <w:sz w:val="24"/>
              </w:rPr>
              <w:t>Health and Human Development and Literature</w:t>
            </w:r>
          </w:p>
        </w:tc>
        <w:tc>
          <w:tcPr>
            <w:tcW w:w="549" w:type="pct"/>
          </w:tcPr>
          <w:p w14:paraId="3FC72069" w14:textId="77777777" w:rsidR="00000F88" w:rsidRDefault="00000F88" w:rsidP="007A3787">
            <w:pPr>
              <w:rPr>
                <w:rFonts w:ascii="Arial" w:hAnsi="Arial" w:cs="Arial"/>
                <w:sz w:val="24"/>
              </w:rPr>
            </w:pPr>
            <w:r>
              <w:rPr>
                <w:rFonts w:ascii="Arial" w:hAnsi="Arial" w:cs="Arial"/>
                <w:sz w:val="24"/>
              </w:rPr>
              <w:t>3.3</w:t>
            </w:r>
          </w:p>
        </w:tc>
        <w:tc>
          <w:tcPr>
            <w:tcW w:w="549" w:type="pct"/>
          </w:tcPr>
          <w:p w14:paraId="553333E2" w14:textId="77777777" w:rsidR="00000F88" w:rsidRDefault="00000F88" w:rsidP="007A3787">
            <w:pPr>
              <w:rPr>
                <w:rFonts w:ascii="Arial" w:hAnsi="Arial" w:cs="Arial"/>
                <w:sz w:val="24"/>
              </w:rPr>
            </w:pPr>
            <w:r>
              <w:rPr>
                <w:rFonts w:ascii="Arial" w:hAnsi="Arial" w:cs="Arial"/>
                <w:sz w:val="24"/>
              </w:rPr>
              <w:t>2.7</w:t>
            </w:r>
          </w:p>
        </w:tc>
      </w:tr>
      <w:tr w:rsidR="00000F88" w14:paraId="1B82AE00" w14:textId="77777777" w:rsidTr="00AB057A">
        <w:tc>
          <w:tcPr>
            <w:tcW w:w="3901" w:type="pct"/>
          </w:tcPr>
          <w:p w14:paraId="2D3566CC" w14:textId="77777777" w:rsidR="00000F88" w:rsidRDefault="00000F88" w:rsidP="007A3787">
            <w:pPr>
              <w:rPr>
                <w:rFonts w:ascii="Arial" w:hAnsi="Arial" w:cs="Arial"/>
                <w:sz w:val="24"/>
              </w:rPr>
            </w:pPr>
            <w:r>
              <w:rPr>
                <w:rFonts w:ascii="Arial" w:hAnsi="Arial" w:cs="Arial"/>
                <w:sz w:val="24"/>
              </w:rPr>
              <w:t>Art and Studio Arts</w:t>
            </w:r>
          </w:p>
        </w:tc>
        <w:tc>
          <w:tcPr>
            <w:tcW w:w="549" w:type="pct"/>
          </w:tcPr>
          <w:p w14:paraId="74B563D7" w14:textId="77777777" w:rsidR="00000F88" w:rsidRDefault="00000F88" w:rsidP="007A3787">
            <w:pPr>
              <w:rPr>
                <w:rFonts w:ascii="Arial" w:hAnsi="Arial" w:cs="Arial"/>
                <w:sz w:val="24"/>
              </w:rPr>
            </w:pPr>
            <w:r>
              <w:rPr>
                <w:rFonts w:ascii="Arial" w:hAnsi="Arial" w:cs="Arial"/>
                <w:sz w:val="24"/>
              </w:rPr>
              <w:t>2.3</w:t>
            </w:r>
          </w:p>
        </w:tc>
        <w:tc>
          <w:tcPr>
            <w:tcW w:w="549" w:type="pct"/>
          </w:tcPr>
          <w:p w14:paraId="6DC43719" w14:textId="77777777" w:rsidR="00000F88" w:rsidRDefault="00000F88" w:rsidP="007A3787">
            <w:pPr>
              <w:rPr>
                <w:rFonts w:ascii="Arial" w:hAnsi="Arial" w:cs="Arial"/>
                <w:sz w:val="24"/>
              </w:rPr>
            </w:pPr>
            <w:r>
              <w:rPr>
                <w:rFonts w:ascii="Arial" w:hAnsi="Arial" w:cs="Arial"/>
                <w:sz w:val="24"/>
              </w:rPr>
              <w:t>2.6</w:t>
            </w:r>
          </w:p>
        </w:tc>
      </w:tr>
    </w:tbl>
    <w:p w14:paraId="7F59E979" w14:textId="77777777" w:rsidR="007A3787" w:rsidRDefault="007A3787" w:rsidP="007A3787">
      <w:pPr>
        <w:rPr>
          <w:rFonts w:ascii="Arial" w:hAnsi="Arial" w:cs="Arial"/>
          <w:sz w:val="24"/>
        </w:rPr>
      </w:pPr>
    </w:p>
    <w:tbl>
      <w:tblPr>
        <w:tblStyle w:val="TableGrid"/>
        <w:tblW w:w="5000" w:type="pct"/>
        <w:tblLook w:val="04A0" w:firstRow="1" w:lastRow="0" w:firstColumn="1" w:lastColumn="0" w:noHBand="0" w:noVBand="1"/>
        <w:tblDescription w:val="This table shows the ratio of male to female VCE subject enrolments for selected subjects in 2008 and 2018"/>
      </w:tblPr>
      <w:tblGrid>
        <w:gridCol w:w="7036"/>
        <w:gridCol w:w="990"/>
        <w:gridCol w:w="990"/>
      </w:tblGrid>
      <w:tr w:rsidR="00A03E05" w14:paraId="7E78D514" w14:textId="77777777" w:rsidTr="00FC582B">
        <w:trPr>
          <w:tblHeader/>
        </w:trPr>
        <w:tc>
          <w:tcPr>
            <w:tcW w:w="3901" w:type="pct"/>
          </w:tcPr>
          <w:p w14:paraId="375EBEFE" w14:textId="77777777" w:rsidR="00A03E05" w:rsidRDefault="00A03E05" w:rsidP="00962223">
            <w:pPr>
              <w:rPr>
                <w:rFonts w:ascii="Arial" w:hAnsi="Arial" w:cs="Arial"/>
                <w:sz w:val="24"/>
              </w:rPr>
            </w:pPr>
            <w:r>
              <w:rPr>
                <w:rFonts w:ascii="Arial" w:hAnsi="Arial" w:cs="Arial"/>
                <w:sz w:val="24"/>
              </w:rPr>
              <w:t>Ratio of male to female VCE subject enrolments</w:t>
            </w:r>
          </w:p>
        </w:tc>
        <w:tc>
          <w:tcPr>
            <w:tcW w:w="549" w:type="pct"/>
          </w:tcPr>
          <w:p w14:paraId="48D1EFD0" w14:textId="77777777" w:rsidR="00A03E05" w:rsidRDefault="00A03E05" w:rsidP="00962223">
            <w:pPr>
              <w:rPr>
                <w:rFonts w:ascii="Arial" w:hAnsi="Arial" w:cs="Arial"/>
                <w:sz w:val="24"/>
              </w:rPr>
            </w:pPr>
            <w:r>
              <w:rPr>
                <w:rFonts w:ascii="Arial" w:hAnsi="Arial" w:cs="Arial"/>
                <w:sz w:val="24"/>
              </w:rPr>
              <w:t>2008</w:t>
            </w:r>
          </w:p>
        </w:tc>
        <w:tc>
          <w:tcPr>
            <w:tcW w:w="549" w:type="pct"/>
          </w:tcPr>
          <w:p w14:paraId="38E9DABA" w14:textId="77777777" w:rsidR="00A03E05" w:rsidRDefault="00A03E05" w:rsidP="00962223">
            <w:pPr>
              <w:rPr>
                <w:rFonts w:ascii="Arial" w:hAnsi="Arial" w:cs="Arial"/>
                <w:sz w:val="24"/>
              </w:rPr>
            </w:pPr>
            <w:r>
              <w:rPr>
                <w:rFonts w:ascii="Arial" w:hAnsi="Arial" w:cs="Arial"/>
                <w:sz w:val="24"/>
              </w:rPr>
              <w:t>2018</w:t>
            </w:r>
          </w:p>
        </w:tc>
      </w:tr>
      <w:tr w:rsidR="00A03E05" w14:paraId="4A2BEA55" w14:textId="77777777" w:rsidTr="00AB057A">
        <w:tc>
          <w:tcPr>
            <w:tcW w:w="3901" w:type="pct"/>
          </w:tcPr>
          <w:p w14:paraId="7C93535A" w14:textId="77777777" w:rsidR="00A03E05" w:rsidRDefault="00A03E05" w:rsidP="00962223">
            <w:pPr>
              <w:rPr>
                <w:rFonts w:ascii="Arial" w:hAnsi="Arial" w:cs="Arial"/>
                <w:sz w:val="24"/>
              </w:rPr>
            </w:pPr>
            <w:r>
              <w:rPr>
                <w:rFonts w:ascii="Arial" w:hAnsi="Arial" w:cs="Arial"/>
                <w:sz w:val="24"/>
              </w:rPr>
              <w:t>Systems Engineering</w:t>
            </w:r>
          </w:p>
        </w:tc>
        <w:tc>
          <w:tcPr>
            <w:tcW w:w="549" w:type="pct"/>
          </w:tcPr>
          <w:p w14:paraId="3AF1A3E6" w14:textId="77777777" w:rsidR="00A03E05" w:rsidRDefault="00A03E05" w:rsidP="00962223">
            <w:pPr>
              <w:rPr>
                <w:rFonts w:ascii="Arial" w:hAnsi="Arial" w:cs="Arial"/>
                <w:sz w:val="24"/>
              </w:rPr>
            </w:pPr>
            <w:r>
              <w:rPr>
                <w:rFonts w:ascii="Arial" w:hAnsi="Arial" w:cs="Arial"/>
                <w:sz w:val="24"/>
              </w:rPr>
              <w:t>35.0</w:t>
            </w:r>
          </w:p>
        </w:tc>
        <w:tc>
          <w:tcPr>
            <w:tcW w:w="549" w:type="pct"/>
          </w:tcPr>
          <w:p w14:paraId="6329804D" w14:textId="77777777" w:rsidR="00A03E05" w:rsidRDefault="00A03E05" w:rsidP="00962223">
            <w:pPr>
              <w:rPr>
                <w:rFonts w:ascii="Arial" w:hAnsi="Arial" w:cs="Arial"/>
                <w:sz w:val="24"/>
              </w:rPr>
            </w:pPr>
            <w:r>
              <w:rPr>
                <w:rFonts w:ascii="Arial" w:hAnsi="Arial" w:cs="Arial"/>
                <w:sz w:val="24"/>
              </w:rPr>
              <w:t>17.0</w:t>
            </w:r>
          </w:p>
        </w:tc>
      </w:tr>
      <w:tr w:rsidR="00A03E05" w14:paraId="797B2CAF" w14:textId="77777777" w:rsidTr="00AB057A">
        <w:tc>
          <w:tcPr>
            <w:tcW w:w="3901" w:type="pct"/>
          </w:tcPr>
          <w:p w14:paraId="11C988FC" w14:textId="77777777" w:rsidR="00A03E05" w:rsidRDefault="00A03E05" w:rsidP="00962223">
            <w:pPr>
              <w:rPr>
                <w:rFonts w:ascii="Arial" w:hAnsi="Arial" w:cs="Arial"/>
                <w:sz w:val="24"/>
              </w:rPr>
            </w:pPr>
            <w:r>
              <w:rPr>
                <w:rFonts w:ascii="Arial" w:hAnsi="Arial" w:cs="Arial"/>
                <w:sz w:val="24"/>
              </w:rPr>
              <w:lastRenderedPageBreak/>
              <w:t>Physics</w:t>
            </w:r>
          </w:p>
        </w:tc>
        <w:tc>
          <w:tcPr>
            <w:tcW w:w="549" w:type="pct"/>
          </w:tcPr>
          <w:p w14:paraId="7B98F7AC" w14:textId="77777777" w:rsidR="00A03E05" w:rsidRDefault="00A03E05" w:rsidP="00962223">
            <w:pPr>
              <w:rPr>
                <w:rFonts w:ascii="Arial" w:hAnsi="Arial" w:cs="Arial"/>
                <w:sz w:val="24"/>
              </w:rPr>
            </w:pPr>
            <w:r>
              <w:rPr>
                <w:rFonts w:ascii="Arial" w:hAnsi="Arial" w:cs="Arial"/>
                <w:sz w:val="24"/>
              </w:rPr>
              <w:t>3.1</w:t>
            </w:r>
          </w:p>
        </w:tc>
        <w:tc>
          <w:tcPr>
            <w:tcW w:w="549" w:type="pct"/>
          </w:tcPr>
          <w:p w14:paraId="3662704E" w14:textId="77777777" w:rsidR="00A03E05" w:rsidRDefault="00A03E05" w:rsidP="00962223">
            <w:pPr>
              <w:rPr>
                <w:rFonts w:ascii="Arial" w:hAnsi="Arial" w:cs="Arial"/>
                <w:sz w:val="24"/>
              </w:rPr>
            </w:pPr>
            <w:r>
              <w:rPr>
                <w:rFonts w:ascii="Arial" w:hAnsi="Arial" w:cs="Arial"/>
                <w:sz w:val="24"/>
              </w:rPr>
              <w:t>3.5</w:t>
            </w:r>
          </w:p>
        </w:tc>
      </w:tr>
      <w:tr w:rsidR="00A03E05" w14:paraId="29EC4DF3" w14:textId="77777777" w:rsidTr="00AB057A">
        <w:tc>
          <w:tcPr>
            <w:tcW w:w="3901" w:type="pct"/>
          </w:tcPr>
          <w:p w14:paraId="056E394D" w14:textId="77777777" w:rsidR="00A03E05" w:rsidRDefault="00A03E05" w:rsidP="00962223">
            <w:pPr>
              <w:rPr>
                <w:rFonts w:ascii="Arial" w:hAnsi="Arial" w:cs="Arial"/>
                <w:sz w:val="24"/>
              </w:rPr>
            </w:pPr>
            <w:r>
              <w:rPr>
                <w:rFonts w:ascii="Arial" w:hAnsi="Arial" w:cs="Arial"/>
                <w:sz w:val="24"/>
              </w:rPr>
              <w:t>Product Design and Technology</w:t>
            </w:r>
          </w:p>
        </w:tc>
        <w:tc>
          <w:tcPr>
            <w:tcW w:w="549" w:type="pct"/>
          </w:tcPr>
          <w:p w14:paraId="7098FF09" w14:textId="77777777" w:rsidR="00A03E05" w:rsidRDefault="00A03E05" w:rsidP="00962223">
            <w:pPr>
              <w:rPr>
                <w:rFonts w:ascii="Arial" w:hAnsi="Arial" w:cs="Arial"/>
                <w:sz w:val="24"/>
              </w:rPr>
            </w:pPr>
            <w:r>
              <w:rPr>
                <w:rFonts w:ascii="Arial" w:hAnsi="Arial" w:cs="Arial"/>
                <w:sz w:val="24"/>
              </w:rPr>
              <w:t>2.2</w:t>
            </w:r>
          </w:p>
        </w:tc>
        <w:tc>
          <w:tcPr>
            <w:tcW w:w="549" w:type="pct"/>
          </w:tcPr>
          <w:p w14:paraId="387CE1B9" w14:textId="77777777" w:rsidR="00A03E05" w:rsidRDefault="00A03E05" w:rsidP="00962223">
            <w:pPr>
              <w:rPr>
                <w:rFonts w:ascii="Arial" w:hAnsi="Arial" w:cs="Arial"/>
                <w:sz w:val="24"/>
              </w:rPr>
            </w:pPr>
            <w:r>
              <w:rPr>
                <w:rFonts w:ascii="Arial" w:hAnsi="Arial" w:cs="Arial"/>
                <w:sz w:val="24"/>
              </w:rPr>
              <w:t>2.5</w:t>
            </w:r>
          </w:p>
        </w:tc>
      </w:tr>
      <w:tr w:rsidR="00A03E05" w14:paraId="5C5EEE29" w14:textId="77777777" w:rsidTr="00AB057A">
        <w:tc>
          <w:tcPr>
            <w:tcW w:w="3901" w:type="pct"/>
          </w:tcPr>
          <w:p w14:paraId="697731A6" w14:textId="77777777" w:rsidR="00A03E05" w:rsidRDefault="00A03E05" w:rsidP="00962223">
            <w:pPr>
              <w:rPr>
                <w:rFonts w:ascii="Arial" w:hAnsi="Arial" w:cs="Arial"/>
                <w:sz w:val="24"/>
              </w:rPr>
            </w:pPr>
            <w:r>
              <w:rPr>
                <w:rFonts w:ascii="Arial" w:hAnsi="Arial" w:cs="Arial"/>
                <w:sz w:val="24"/>
              </w:rPr>
              <w:t>Economics</w:t>
            </w:r>
          </w:p>
        </w:tc>
        <w:tc>
          <w:tcPr>
            <w:tcW w:w="549" w:type="pct"/>
          </w:tcPr>
          <w:p w14:paraId="1CB8AD5C" w14:textId="77777777" w:rsidR="00A03E05" w:rsidRDefault="00A03E05" w:rsidP="00962223">
            <w:pPr>
              <w:rPr>
                <w:rFonts w:ascii="Arial" w:hAnsi="Arial" w:cs="Arial"/>
                <w:sz w:val="24"/>
              </w:rPr>
            </w:pPr>
            <w:r>
              <w:rPr>
                <w:rFonts w:ascii="Arial" w:hAnsi="Arial" w:cs="Arial"/>
                <w:sz w:val="24"/>
              </w:rPr>
              <w:t>1.5</w:t>
            </w:r>
          </w:p>
        </w:tc>
        <w:tc>
          <w:tcPr>
            <w:tcW w:w="549" w:type="pct"/>
          </w:tcPr>
          <w:p w14:paraId="73DF6627" w14:textId="77777777" w:rsidR="00A03E05" w:rsidRDefault="00A03E05" w:rsidP="00962223">
            <w:pPr>
              <w:rPr>
                <w:rFonts w:ascii="Arial" w:hAnsi="Arial" w:cs="Arial"/>
                <w:sz w:val="24"/>
              </w:rPr>
            </w:pPr>
            <w:r>
              <w:rPr>
                <w:rFonts w:ascii="Arial" w:hAnsi="Arial" w:cs="Arial"/>
                <w:sz w:val="24"/>
              </w:rPr>
              <w:t>1.9</w:t>
            </w:r>
          </w:p>
        </w:tc>
      </w:tr>
    </w:tbl>
    <w:p w14:paraId="40E38ECF" w14:textId="77777777" w:rsidR="007A3787" w:rsidRPr="007A3787" w:rsidRDefault="007A3787" w:rsidP="007A3787">
      <w:pPr>
        <w:rPr>
          <w:rFonts w:ascii="Arial" w:hAnsi="Arial" w:cs="Arial"/>
          <w:i/>
          <w:sz w:val="24"/>
        </w:rPr>
      </w:pPr>
      <w:r w:rsidRPr="007A3787">
        <w:rPr>
          <w:rFonts w:ascii="Arial" w:hAnsi="Arial" w:cs="Arial"/>
          <w:i/>
          <w:sz w:val="24"/>
        </w:rPr>
        <w:t>Source: VCE enrolment data, Victorian Curriculum and Assessment Authority, 2018</w:t>
      </w:r>
    </w:p>
    <w:p w14:paraId="74EA74F6" w14:textId="77777777" w:rsidR="007A3787" w:rsidRPr="007A3787" w:rsidRDefault="007A3787" w:rsidP="007A3787">
      <w:pPr>
        <w:rPr>
          <w:rFonts w:ascii="Arial" w:hAnsi="Arial" w:cs="Arial"/>
          <w:sz w:val="24"/>
        </w:rPr>
      </w:pPr>
      <w:r w:rsidRPr="007A3787">
        <w:rPr>
          <w:rFonts w:ascii="Arial" w:hAnsi="Arial" w:cs="Arial"/>
          <w:sz w:val="24"/>
        </w:rPr>
        <w:t>Subjects including Dance, Sociology, Health and Human Development, and Literature continue to be much more popular among female students. However, the number of male students enrolling in these subjects has steadily increased over the past ten years. For instance, in 2008 there were 10.6 female students enrolled in Dance for every one male enrolled. By 2018, this ratio had declined to 5.5 female enrolments for every male enrolment. Likewise, Systems Engineering which is especially popular among male students, has seen a steady increase in female student enrolments.</w:t>
      </w:r>
      <w:r w:rsidR="0092029E">
        <w:rPr>
          <w:rFonts w:ascii="Arial" w:hAnsi="Arial" w:cs="Arial"/>
          <w:sz w:val="24"/>
        </w:rPr>
        <w:t xml:space="preserve"> </w:t>
      </w:r>
      <w:r w:rsidRPr="007A3787">
        <w:rPr>
          <w:rFonts w:ascii="Arial" w:hAnsi="Arial" w:cs="Arial"/>
          <w:sz w:val="24"/>
        </w:rPr>
        <w:t xml:space="preserve">Other subjects have seen little to no shift in </w:t>
      </w:r>
      <w:r w:rsidR="0092029E" w:rsidRPr="007A3787">
        <w:rPr>
          <w:rFonts w:ascii="Arial" w:hAnsi="Arial" w:cs="Arial"/>
          <w:sz w:val="24"/>
        </w:rPr>
        <w:t>historical</w:t>
      </w:r>
      <w:r w:rsidRPr="007A3787">
        <w:rPr>
          <w:rFonts w:ascii="Arial" w:hAnsi="Arial" w:cs="Arial"/>
          <w:sz w:val="24"/>
        </w:rPr>
        <w:t xml:space="preserve"> gender enrolment patterns over the past decade. These include Art and Studio Arts (which are preferred by female students) and Physics, Product Design and Technology, and Economics subjects (which are preferred by male students).</w:t>
      </w:r>
    </w:p>
    <w:p w14:paraId="6195F26F" w14:textId="77777777" w:rsidR="007A3787" w:rsidRPr="007A3787" w:rsidRDefault="007A3787" w:rsidP="007A3787">
      <w:pPr>
        <w:rPr>
          <w:rFonts w:ascii="Arial" w:hAnsi="Arial" w:cs="Arial"/>
          <w:sz w:val="24"/>
        </w:rPr>
      </w:pPr>
      <w:r w:rsidRPr="007A3787">
        <w:rPr>
          <w:rFonts w:ascii="Arial" w:hAnsi="Arial" w:cs="Arial"/>
          <w:sz w:val="24"/>
        </w:rPr>
        <w:t>Although there remain clear gender differences in subject enrolments, this does not predict the proportion of female and male students attaining study scores of 40 or above. For example, while male students are three times more likely to be enrolled in Physics than their female peers, there is little gender difference in the achievement of VCE study scores over 40. However, for Mathematical Methods and Specialist Mathematics, males are more likely to be enrolled as well as achieve study scores above 40. The challenge remains to further support female participation in STEM.</w:t>
      </w:r>
    </w:p>
    <w:p w14:paraId="508269E9" w14:textId="77777777" w:rsidR="00AB057A" w:rsidRPr="00AB057A" w:rsidRDefault="00AB057A" w:rsidP="00723798">
      <w:pPr>
        <w:pBdr>
          <w:top w:val="single" w:sz="4" w:space="1" w:color="auto"/>
          <w:left w:val="single" w:sz="4" w:space="4" w:color="auto"/>
          <w:bottom w:val="single" w:sz="4" w:space="1" w:color="auto"/>
          <w:right w:val="single" w:sz="4" w:space="4" w:color="auto"/>
        </w:pBdr>
        <w:rPr>
          <w:rFonts w:ascii="Arial" w:hAnsi="Arial" w:cs="Arial"/>
          <w:b/>
          <w:sz w:val="24"/>
        </w:rPr>
      </w:pPr>
      <w:r>
        <w:rPr>
          <w:rFonts w:ascii="Arial" w:hAnsi="Arial" w:cs="Arial"/>
          <w:b/>
          <w:sz w:val="24"/>
        </w:rPr>
        <w:t xml:space="preserve">STEM </w:t>
      </w:r>
      <w:r w:rsidRPr="00AB057A">
        <w:rPr>
          <w:rFonts w:ascii="Arial" w:hAnsi="Arial" w:cs="Arial"/>
          <w:b/>
          <w:sz w:val="24"/>
        </w:rPr>
        <w:t>Education in Victoria</w:t>
      </w:r>
    </w:p>
    <w:p w14:paraId="3625E477" w14:textId="77777777" w:rsidR="00AB057A" w:rsidRPr="00AB057A" w:rsidRDefault="00AB057A" w:rsidP="00723798">
      <w:pPr>
        <w:pBdr>
          <w:top w:val="single" w:sz="4" w:space="1" w:color="auto"/>
          <w:left w:val="single" w:sz="4" w:space="4" w:color="auto"/>
          <w:bottom w:val="single" w:sz="4" w:space="1" w:color="auto"/>
          <w:right w:val="single" w:sz="4" w:space="4" w:color="auto"/>
        </w:pBdr>
        <w:rPr>
          <w:rFonts w:ascii="Arial" w:hAnsi="Arial" w:cs="Arial"/>
          <w:sz w:val="24"/>
        </w:rPr>
      </w:pPr>
      <w:r w:rsidRPr="00AB057A">
        <w:rPr>
          <w:rFonts w:ascii="Arial" w:hAnsi="Arial" w:cs="Arial"/>
          <w:sz w:val="24"/>
        </w:rPr>
        <w:t>STEM—science, technology, engineering and mathematics—covers a wide range of disciplines and skills, which are increasingly in demand in our rapidly changing world. STEM skills and knowledge are important for all stages of our learning, jobs and everyday lives.</w:t>
      </w:r>
    </w:p>
    <w:p w14:paraId="66BA7462" w14:textId="77777777" w:rsidR="00AB057A" w:rsidRPr="00AB057A" w:rsidRDefault="00AB057A" w:rsidP="00723798">
      <w:pPr>
        <w:pBdr>
          <w:top w:val="single" w:sz="4" w:space="1" w:color="auto"/>
          <w:left w:val="single" w:sz="4" w:space="4" w:color="auto"/>
          <w:bottom w:val="single" w:sz="4" w:space="1" w:color="auto"/>
          <w:right w:val="single" w:sz="4" w:space="4" w:color="auto"/>
        </w:pBdr>
        <w:rPr>
          <w:rFonts w:ascii="Arial" w:hAnsi="Arial" w:cs="Arial"/>
          <w:b/>
          <w:sz w:val="24"/>
        </w:rPr>
      </w:pPr>
      <w:r w:rsidRPr="00AB057A">
        <w:rPr>
          <w:rFonts w:ascii="Arial" w:hAnsi="Arial" w:cs="Arial"/>
          <w:b/>
          <w:sz w:val="24"/>
        </w:rPr>
        <w:t>Tech Schools Initiative</w:t>
      </w:r>
    </w:p>
    <w:p w14:paraId="1A0FB490" w14:textId="77777777" w:rsidR="00AB057A" w:rsidRPr="00AB057A" w:rsidRDefault="00AB057A" w:rsidP="00723798">
      <w:pPr>
        <w:pBdr>
          <w:top w:val="single" w:sz="4" w:space="1" w:color="auto"/>
          <w:left w:val="single" w:sz="4" w:space="4" w:color="auto"/>
          <w:bottom w:val="single" w:sz="4" w:space="1" w:color="auto"/>
          <w:right w:val="single" w:sz="4" w:space="4" w:color="auto"/>
        </w:pBdr>
        <w:rPr>
          <w:rFonts w:ascii="Arial" w:hAnsi="Arial" w:cs="Arial"/>
          <w:sz w:val="24"/>
        </w:rPr>
      </w:pPr>
      <w:r w:rsidRPr="00AB057A">
        <w:rPr>
          <w:rFonts w:ascii="Arial" w:hAnsi="Arial" w:cs="Arial"/>
          <w:sz w:val="24"/>
        </w:rPr>
        <w:t>Victoria invested to build 10 state-of-the-art Tech Schools that use leading-edge technology, discovery and innovation to deliver STEM education to Victorian students. The Tech Schools initiative is bringing together schools, TAFEs, universities, and industry to provide students with access to innovative shared learning environments and leading-edge technology. Tech Schools challenge students to solve real-world problems and prepare them for the future world of work.</w:t>
      </w:r>
    </w:p>
    <w:p w14:paraId="678EAD6F" w14:textId="77777777" w:rsidR="00AB057A" w:rsidRPr="00AB057A" w:rsidRDefault="00AB057A" w:rsidP="00723798">
      <w:pPr>
        <w:pBdr>
          <w:top w:val="single" w:sz="4" w:space="1" w:color="auto"/>
          <w:left w:val="single" w:sz="4" w:space="4" w:color="auto"/>
          <w:bottom w:val="single" w:sz="4" w:space="1" w:color="auto"/>
          <w:right w:val="single" w:sz="4" w:space="4" w:color="auto"/>
        </w:pBdr>
        <w:rPr>
          <w:rFonts w:ascii="Arial" w:hAnsi="Arial" w:cs="Arial"/>
          <w:sz w:val="24"/>
        </w:rPr>
      </w:pPr>
      <w:r w:rsidRPr="00AB057A">
        <w:rPr>
          <w:rFonts w:ascii="Arial" w:hAnsi="Arial" w:cs="Arial"/>
          <w:sz w:val="24"/>
        </w:rPr>
        <w:t>Students are still enrolled in their local secondary school, but can attend classes at a Tech School campus that is shared with other schools in their region. Tech Schools</w:t>
      </w:r>
      <w:r w:rsidR="009E6BC6">
        <w:rPr>
          <w:rFonts w:ascii="Arial" w:hAnsi="Arial" w:cs="Arial"/>
          <w:sz w:val="24"/>
        </w:rPr>
        <w:t xml:space="preserve"> </w:t>
      </w:r>
      <w:r w:rsidRPr="00AB057A">
        <w:rPr>
          <w:rFonts w:ascii="Arial" w:hAnsi="Arial" w:cs="Arial"/>
          <w:sz w:val="24"/>
        </w:rPr>
        <w:t xml:space="preserve">are designed to be co-located on TAFE or university campuses, as a way of </w:t>
      </w:r>
      <w:r w:rsidRPr="00AB057A">
        <w:rPr>
          <w:rFonts w:ascii="Arial" w:hAnsi="Arial" w:cs="Arial"/>
          <w:sz w:val="24"/>
        </w:rPr>
        <w:lastRenderedPageBreak/>
        <w:t>introducing students to the tertiary education environment and raising awareness of pathways into further education and training.</w:t>
      </w:r>
    </w:p>
    <w:p w14:paraId="67A07335" w14:textId="77777777" w:rsidR="00AB057A" w:rsidRPr="00AB057A" w:rsidRDefault="00AB057A" w:rsidP="00723798">
      <w:pPr>
        <w:pBdr>
          <w:top w:val="single" w:sz="4" w:space="1" w:color="auto"/>
          <w:left w:val="single" w:sz="4" w:space="4" w:color="auto"/>
          <w:bottom w:val="single" w:sz="4" w:space="1" w:color="auto"/>
          <w:right w:val="single" w:sz="4" w:space="4" w:color="auto"/>
        </w:pBdr>
        <w:rPr>
          <w:rFonts w:ascii="Arial" w:hAnsi="Arial" w:cs="Arial"/>
          <w:b/>
          <w:sz w:val="24"/>
        </w:rPr>
      </w:pPr>
      <w:r w:rsidRPr="00AB057A">
        <w:rPr>
          <w:rFonts w:ascii="Arial" w:hAnsi="Arial" w:cs="Arial"/>
          <w:b/>
          <w:sz w:val="24"/>
        </w:rPr>
        <w:t>Expanding the Primary Mathematics and Science Specialists initiative</w:t>
      </w:r>
    </w:p>
    <w:p w14:paraId="1170AA13" w14:textId="77777777" w:rsidR="00723798" w:rsidRDefault="00AB057A" w:rsidP="00723798">
      <w:pPr>
        <w:pBdr>
          <w:top w:val="single" w:sz="4" w:space="1" w:color="auto"/>
          <w:left w:val="single" w:sz="4" w:space="4" w:color="auto"/>
          <w:bottom w:val="single" w:sz="4" w:space="1" w:color="auto"/>
          <w:right w:val="single" w:sz="4" w:space="4" w:color="auto"/>
        </w:pBdr>
        <w:rPr>
          <w:rFonts w:ascii="Arial" w:hAnsi="Arial" w:cs="Arial"/>
          <w:sz w:val="24"/>
        </w:rPr>
      </w:pPr>
      <w:r w:rsidRPr="00AB057A">
        <w:rPr>
          <w:rFonts w:ascii="Arial" w:hAnsi="Arial" w:cs="Arial"/>
          <w:sz w:val="24"/>
        </w:rPr>
        <w:t>To build STEM expertise in the early years of schooling, 200 primary school teachers are being trained as mathematics and science specialists. The program targets disadvantaged schools—including low socioeconomic status, rural and regional schools—as well as schools with low achievement in mathematics and science.</w:t>
      </w:r>
    </w:p>
    <w:p w14:paraId="2A394B02" w14:textId="77777777" w:rsidR="00723798" w:rsidRPr="00E85D86" w:rsidRDefault="00723798" w:rsidP="00E85D86">
      <w:pPr>
        <w:pStyle w:val="Heading3"/>
        <w:rPr>
          <w:rFonts w:ascii="Arial" w:hAnsi="Arial" w:cs="Arial"/>
          <w:color w:val="auto"/>
          <w:sz w:val="24"/>
        </w:rPr>
      </w:pPr>
      <w:bookmarkStart w:id="52" w:name="_Toc33527777"/>
      <w:r w:rsidRPr="00E85D86">
        <w:rPr>
          <w:rFonts w:ascii="Arial" w:hAnsi="Arial" w:cs="Arial"/>
          <w:color w:val="auto"/>
          <w:sz w:val="24"/>
        </w:rPr>
        <w:t>4.11</w:t>
      </w:r>
      <w:r w:rsidRPr="00E85D86">
        <w:rPr>
          <w:rFonts w:ascii="Arial" w:hAnsi="Arial" w:cs="Arial"/>
          <w:color w:val="auto"/>
          <w:sz w:val="24"/>
        </w:rPr>
        <w:tab/>
        <w:t>Four in five adolescents complete secondary schooling</w:t>
      </w:r>
      <w:bookmarkEnd w:id="52"/>
    </w:p>
    <w:p w14:paraId="72FF56BA" w14:textId="77777777" w:rsidR="00723798" w:rsidRPr="00723798" w:rsidRDefault="00723798" w:rsidP="00723798">
      <w:pPr>
        <w:rPr>
          <w:rFonts w:ascii="Arial" w:hAnsi="Arial" w:cs="Arial"/>
          <w:sz w:val="24"/>
        </w:rPr>
      </w:pPr>
      <w:r w:rsidRPr="00723798">
        <w:rPr>
          <w:rFonts w:ascii="Arial" w:hAnsi="Arial" w:cs="Arial"/>
          <w:sz w:val="24"/>
        </w:rPr>
        <w:t>Completing secondary education is vital to ensuring young Australians are successful learners, informed citizens and confident individuals (Lamb &amp; Huo, 2017). It not only improves the personal outcomes of individuals in terms of employment, income and career choice, but increases the likelihood of ongoing economic prosperity for the broader community.</w:t>
      </w:r>
    </w:p>
    <w:p w14:paraId="48AF16F4" w14:textId="77777777" w:rsidR="00723798" w:rsidRPr="00723798" w:rsidRDefault="00723798" w:rsidP="00723798">
      <w:pPr>
        <w:rPr>
          <w:rFonts w:ascii="Arial" w:hAnsi="Arial" w:cs="Arial"/>
          <w:sz w:val="24"/>
        </w:rPr>
      </w:pPr>
      <w:r w:rsidRPr="00723798">
        <w:rPr>
          <w:rFonts w:ascii="Arial" w:hAnsi="Arial" w:cs="Arial"/>
          <w:sz w:val="24"/>
        </w:rPr>
        <w:t>The literature concerning student decisions to remain at school can be viewed in terms of the influences on disengagement with schooling. These influences are broadly related to: national and state policies, the local community, the student’s family and peers, features of the school and its programs, and attributes of the individual student (Lamb, Walstab, Teese, Vickers, &amp; Rumberger, 2004). Young people who do not complete secondary school and do not pursue any further qualifications are at greater risk</w:t>
      </w:r>
      <w:r>
        <w:rPr>
          <w:rFonts w:ascii="Arial" w:hAnsi="Arial" w:cs="Arial"/>
          <w:sz w:val="24"/>
        </w:rPr>
        <w:t xml:space="preserve"> </w:t>
      </w:r>
      <w:r w:rsidRPr="00723798">
        <w:rPr>
          <w:rFonts w:ascii="Arial" w:hAnsi="Arial" w:cs="Arial"/>
          <w:sz w:val="24"/>
        </w:rPr>
        <w:t>of homelessness, drug and alcohol abuse, and criminal activity, as well as poorer physical and mental health, and higher mortality rates (Black, 2007). Monitoring VCE achievement and engagement is therefore critical to ensuring the majority of students are getting the best possible start to their adult life.</w:t>
      </w:r>
    </w:p>
    <w:p w14:paraId="00107260" w14:textId="77777777" w:rsidR="00723798" w:rsidRPr="00723798" w:rsidRDefault="00723798" w:rsidP="00723798">
      <w:pPr>
        <w:rPr>
          <w:rFonts w:ascii="Arial" w:hAnsi="Arial" w:cs="Arial"/>
          <w:sz w:val="24"/>
        </w:rPr>
      </w:pPr>
      <w:r w:rsidRPr="00723798">
        <w:rPr>
          <w:rFonts w:ascii="Arial" w:hAnsi="Arial" w:cs="Arial"/>
          <w:sz w:val="24"/>
        </w:rPr>
        <w:t>According to the 2018 DET AtoSS responses, the parents of more than four in five Victorian government secondary school students have expectations that their child will stay in school until Year 12 is completed.</w:t>
      </w:r>
    </w:p>
    <w:p w14:paraId="1200774A" w14:textId="77777777" w:rsidR="00723798" w:rsidRDefault="00723798" w:rsidP="00723798">
      <w:pPr>
        <w:rPr>
          <w:rFonts w:ascii="Arial" w:hAnsi="Arial" w:cs="Arial"/>
          <w:sz w:val="24"/>
        </w:rPr>
      </w:pPr>
      <w:r w:rsidRPr="00E0453C">
        <w:rPr>
          <w:rFonts w:ascii="Arial" w:hAnsi="Arial" w:cs="Arial"/>
          <w:sz w:val="24"/>
        </w:rPr>
        <w:t>This is consistent with national data indicating that around four in five Victorian students attain Year 12. Attainment rates increase with socioeconomic status. However, attainment rates for low socioeconomic status schools have consistently increased over the last 10 years, showing promising improvements (Productivity Commission, 2019).</w:t>
      </w:r>
    </w:p>
    <w:p w14:paraId="36ECFE05" w14:textId="77777777" w:rsidR="00723798" w:rsidRDefault="00723798" w:rsidP="00723798">
      <w:pPr>
        <w:rPr>
          <w:rFonts w:ascii="Arial" w:hAnsi="Arial" w:cs="Arial"/>
          <w:b/>
          <w:sz w:val="24"/>
        </w:rPr>
      </w:pPr>
      <w:r w:rsidRPr="00562290">
        <w:rPr>
          <w:rFonts w:ascii="Arial" w:hAnsi="Arial" w:cs="Arial"/>
          <w:b/>
          <w:sz w:val="24"/>
        </w:rPr>
        <w:t>Figure 42. Year 12 attainment rates, by school socioeconomic status, all schools, Victoria, 2008–2017</w:t>
      </w:r>
    </w:p>
    <w:tbl>
      <w:tblPr>
        <w:tblStyle w:val="TableGrid"/>
        <w:tblW w:w="5000" w:type="pct"/>
        <w:tblLook w:val="04A0" w:firstRow="1" w:lastRow="0" w:firstColumn="1" w:lastColumn="0" w:noHBand="0" w:noVBand="1"/>
        <w:tblDescription w:val="This table shows the Year 12 attainment rates, by school socioeconomic status, all schools, Victoria, 2008–2017"/>
      </w:tblPr>
      <w:tblGrid>
        <w:gridCol w:w="1147"/>
        <w:gridCol w:w="5781"/>
        <w:gridCol w:w="2088"/>
      </w:tblGrid>
      <w:tr w:rsidR="00562290" w:rsidRPr="00562290" w14:paraId="226DBF21" w14:textId="77777777" w:rsidTr="00562290">
        <w:trPr>
          <w:tblHeader/>
        </w:trPr>
        <w:tc>
          <w:tcPr>
            <w:tcW w:w="636" w:type="pct"/>
          </w:tcPr>
          <w:p w14:paraId="3CD9C66D" w14:textId="77777777" w:rsidR="00562290" w:rsidRPr="00562290" w:rsidRDefault="00562290" w:rsidP="0076535B">
            <w:pPr>
              <w:rPr>
                <w:rFonts w:ascii="Arial" w:hAnsi="Arial" w:cs="Arial"/>
                <w:sz w:val="24"/>
              </w:rPr>
            </w:pPr>
          </w:p>
        </w:tc>
        <w:tc>
          <w:tcPr>
            <w:tcW w:w="3206" w:type="pct"/>
          </w:tcPr>
          <w:p w14:paraId="099E053D" w14:textId="77777777" w:rsidR="00562290" w:rsidRPr="00562290" w:rsidRDefault="00562290" w:rsidP="0076535B">
            <w:pPr>
              <w:rPr>
                <w:rFonts w:ascii="Arial" w:hAnsi="Arial" w:cs="Arial"/>
                <w:sz w:val="24"/>
              </w:rPr>
            </w:pPr>
            <w:r w:rsidRPr="00562290">
              <w:rPr>
                <w:rFonts w:ascii="Arial" w:hAnsi="Arial" w:cs="Arial"/>
                <w:sz w:val="24"/>
              </w:rPr>
              <w:t>Low socioeconomic status school</w:t>
            </w:r>
          </w:p>
        </w:tc>
        <w:tc>
          <w:tcPr>
            <w:tcW w:w="1158" w:type="pct"/>
          </w:tcPr>
          <w:p w14:paraId="0E3BAD23" w14:textId="77777777" w:rsidR="00562290" w:rsidRPr="00562290" w:rsidRDefault="00562290" w:rsidP="0076535B">
            <w:pPr>
              <w:rPr>
                <w:rFonts w:ascii="Arial" w:hAnsi="Arial" w:cs="Arial"/>
                <w:sz w:val="24"/>
              </w:rPr>
            </w:pPr>
            <w:r w:rsidRPr="00562290">
              <w:rPr>
                <w:rFonts w:ascii="Arial" w:hAnsi="Arial" w:cs="Arial"/>
                <w:sz w:val="24"/>
              </w:rPr>
              <w:t>All schools</w:t>
            </w:r>
          </w:p>
        </w:tc>
      </w:tr>
      <w:tr w:rsidR="00562290" w:rsidRPr="00562290" w14:paraId="5430764B" w14:textId="77777777" w:rsidTr="00562290">
        <w:tc>
          <w:tcPr>
            <w:tcW w:w="636" w:type="pct"/>
          </w:tcPr>
          <w:p w14:paraId="674A1D4B" w14:textId="77777777" w:rsidR="00562290" w:rsidRPr="00562290" w:rsidRDefault="00562290" w:rsidP="0076535B">
            <w:pPr>
              <w:rPr>
                <w:rFonts w:ascii="Arial" w:hAnsi="Arial" w:cs="Arial"/>
                <w:sz w:val="24"/>
              </w:rPr>
            </w:pPr>
            <w:r w:rsidRPr="00562290">
              <w:rPr>
                <w:rFonts w:ascii="Arial" w:hAnsi="Arial" w:cs="Arial"/>
                <w:sz w:val="24"/>
              </w:rPr>
              <w:t>2008</w:t>
            </w:r>
          </w:p>
        </w:tc>
        <w:tc>
          <w:tcPr>
            <w:tcW w:w="3206" w:type="pct"/>
          </w:tcPr>
          <w:p w14:paraId="2152AAF4" w14:textId="77777777" w:rsidR="00562290" w:rsidRPr="00562290" w:rsidRDefault="00562290" w:rsidP="0076535B">
            <w:pPr>
              <w:rPr>
                <w:rFonts w:ascii="Arial" w:hAnsi="Arial" w:cs="Arial"/>
                <w:sz w:val="24"/>
              </w:rPr>
            </w:pPr>
            <w:r w:rsidRPr="00562290">
              <w:rPr>
                <w:rFonts w:ascii="Arial" w:hAnsi="Arial" w:cs="Arial"/>
                <w:sz w:val="24"/>
              </w:rPr>
              <w:t>67%</w:t>
            </w:r>
          </w:p>
        </w:tc>
        <w:tc>
          <w:tcPr>
            <w:tcW w:w="1158" w:type="pct"/>
          </w:tcPr>
          <w:p w14:paraId="7B750AE9" w14:textId="77777777" w:rsidR="00562290" w:rsidRPr="00562290" w:rsidRDefault="00562290" w:rsidP="0076535B">
            <w:pPr>
              <w:rPr>
                <w:rFonts w:ascii="Arial" w:hAnsi="Arial" w:cs="Arial"/>
                <w:sz w:val="24"/>
              </w:rPr>
            </w:pPr>
            <w:r w:rsidRPr="00562290">
              <w:rPr>
                <w:rFonts w:ascii="Arial" w:hAnsi="Arial" w:cs="Arial"/>
                <w:sz w:val="24"/>
              </w:rPr>
              <w:t>75%</w:t>
            </w:r>
          </w:p>
        </w:tc>
      </w:tr>
      <w:tr w:rsidR="00562290" w:rsidRPr="00562290" w14:paraId="7FBE0144" w14:textId="77777777" w:rsidTr="00562290">
        <w:tc>
          <w:tcPr>
            <w:tcW w:w="636" w:type="pct"/>
          </w:tcPr>
          <w:p w14:paraId="6236F994" w14:textId="77777777" w:rsidR="00562290" w:rsidRPr="00562290" w:rsidRDefault="00562290" w:rsidP="0076535B">
            <w:pPr>
              <w:rPr>
                <w:rFonts w:ascii="Arial" w:hAnsi="Arial" w:cs="Arial"/>
                <w:sz w:val="24"/>
              </w:rPr>
            </w:pPr>
            <w:r w:rsidRPr="00562290">
              <w:rPr>
                <w:rFonts w:ascii="Arial" w:hAnsi="Arial" w:cs="Arial"/>
                <w:sz w:val="24"/>
              </w:rPr>
              <w:t>2009</w:t>
            </w:r>
          </w:p>
        </w:tc>
        <w:tc>
          <w:tcPr>
            <w:tcW w:w="3206" w:type="pct"/>
          </w:tcPr>
          <w:p w14:paraId="721196E7" w14:textId="77777777" w:rsidR="00562290" w:rsidRPr="00562290" w:rsidRDefault="00562290" w:rsidP="0076535B">
            <w:pPr>
              <w:rPr>
                <w:rFonts w:ascii="Arial" w:hAnsi="Arial" w:cs="Arial"/>
                <w:sz w:val="24"/>
              </w:rPr>
            </w:pPr>
            <w:r w:rsidRPr="00562290">
              <w:rPr>
                <w:rFonts w:ascii="Arial" w:hAnsi="Arial" w:cs="Arial"/>
                <w:sz w:val="24"/>
              </w:rPr>
              <w:t>69%</w:t>
            </w:r>
          </w:p>
        </w:tc>
        <w:tc>
          <w:tcPr>
            <w:tcW w:w="1158" w:type="pct"/>
          </w:tcPr>
          <w:p w14:paraId="27D70A97" w14:textId="77777777" w:rsidR="00562290" w:rsidRPr="00562290" w:rsidRDefault="00562290" w:rsidP="0076535B">
            <w:pPr>
              <w:rPr>
                <w:rFonts w:ascii="Arial" w:hAnsi="Arial" w:cs="Arial"/>
                <w:sz w:val="24"/>
              </w:rPr>
            </w:pPr>
            <w:r w:rsidRPr="00562290">
              <w:rPr>
                <w:rFonts w:ascii="Arial" w:hAnsi="Arial" w:cs="Arial"/>
                <w:sz w:val="24"/>
              </w:rPr>
              <w:t>76%</w:t>
            </w:r>
          </w:p>
        </w:tc>
      </w:tr>
      <w:tr w:rsidR="00562290" w:rsidRPr="00562290" w14:paraId="0D6170F8" w14:textId="77777777" w:rsidTr="00562290">
        <w:tc>
          <w:tcPr>
            <w:tcW w:w="636" w:type="pct"/>
          </w:tcPr>
          <w:p w14:paraId="374399AC" w14:textId="77777777" w:rsidR="00562290" w:rsidRPr="00562290" w:rsidRDefault="00562290" w:rsidP="0076535B">
            <w:pPr>
              <w:rPr>
                <w:rFonts w:ascii="Arial" w:hAnsi="Arial" w:cs="Arial"/>
                <w:sz w:val="24"/>
              </w:rPr>
            </w:pPr>
            <w:r w:rsidRPr="00562290">
              <w:rPr>
                <w:rFonts w:ascii="Arial" w:hAnsi="Arial" w:cs="Arial"/>
                <w:sz w:val="24"/>
              </w:rPr>
              <w:t>2010</w:t>
            </w:r>
          </w:p>
        </w:tc>
        <w:tc>
          <w:tcPr>
            <w:tcW w:w="3206" w:type="pct"/>
          </w:tcPr>
          <w:p w14:paraId="376B1AA6" w14:textId="77777777" w:rsidR="00562290" w:rsidRPr="00562290" w:rsidRDefault="00562290" w:rsidP="0076535B">
            <w:pPr>
              <w:rPr>
                <w:rFonts w:ascii="Arial" w:hAnsi="Arial" w:cs="Arial"/>
                <w:sz w:val="24"/>
              </w:rPr>
            </w:pPr>
            <w:r w:rsidRPr="00562290">
              <w:rPr>
                <w:rFonts w:ascii="Arial" w:hAnsi="Arial" w:cs="Arial"/>
                <w:sz w:val="24"/>
              </w:rPr>
              <w:t>69%</w:t>
            </w:r>
          </w:p>
        </w:tc>
        <w:tc>
          <w:tcPr>
            <w:tcW w:w="1158" w:type="pct"/>
          </w:tcPr>
          <w:p w14:paraId="22EA30DE" w14:textId="77777777" w:rsidR="00562290" w:rsidRPr="00562290" w:rsidRDefault="00562290" w:rsidP="0076535B">
            <w:pPr>
              <w:rPr>
                <w:rFonts w:ascii="Arial" w:hAnsi="Arial" w:cs="Arial"/>
                <w:sz w:val="24"/>
              </w:rPr>
            </w:pPr>
            <w:r w:rsidRPr="00562290">
              <w:rPr>
                <w:rFonts w:ascii="Arial" w:hAnsi="Arial" w:cs="Arial"/>
                <w:sz w:val="24"/>
              </w:rPr>
              <w:t>77%</w:t>
            </w:r>
          </w:p>
        </w:tc>
      </w:tr>
      <w:tr w:rsidR="00562290" w:rsidRPr="00562290" w14:paraId="5FE5563C" w14:textId="77777777" w:rsidTr="00562290">
        <w:tc>
          <w:tcPr>
            <w:tcW w:w="636" w:type="pct"/>
          </w:tcPr>
          <w:p w14:paraId="6E379609" w14:textId="77777777" w:rsidR="00562290" w:rsidRPr="00562290" w:rsidRDefault="00562290" w:rsidP="0076535B">
            <w:pPr>
              <w:rPr>
                <w:rFonts w:ascii="Arial" w:hAnsi="Arial" w:cs="Arial"/>
                <w:sz w:val="24"/>
              </w:rPr>
            </w:pPr>
            <w:r w:rsidRPr="00562290">
              <w:rPr>
                <w:rFonts w:ascii="Arial" w:hAnsi="Arial" w:cs="Arial"/>
                <w:sz w:val="24"/>
              </w:rPr>
              <w:t>2011</w:t>
            </w:r>
          </w:p>
        </w:tc>
        <w:tc>
          <w:tcPr>
            <w:tcW w:w="3206" w:type="pct"/>
          </w:tcPr>
          <w:p w14:paraId="6583BD18" w14:textId="77777777" w:rsidR="00562290" w:rsidRPr="00562290" w:rsidRDefault="00562290" w:rsidP="0076535B">
            <w:pPr>
              <w:rPr>
                <w:rFonts w:ascii="Arial" w:hAnsi="Arial" w:cs="Arial"/>
                <w:sz w:val="24"/>
              </w:rPr>
            </w:pPr>
            <w:r w:rsidRPr="00562290">
              <w:rPr>
                <w:rFonts w:ascii="Arial" w:hAnsi="Arial" w:cs="Arial"/>
                <w:sz w:val="24"/>
              </w:rPr>
              <w:t>71%</w:t>
            </w:r>
          </w:p>
        </w:tc>
        <w:tc>
          <w:tcPr>
            <w:tcW w:w="1158" w:type="pct"/>
          </w:tcPr>
          <w:p w14:paraId="09FA3C3B" w14:textId="77777777" w:rsidR="00562290" w:rsidRPr="00562290" w:rsidRDefault="00562290" w:rsidP="0076535B">
            <w:pPr>
              <w:rPr>
                <w:rFonts w:ascii="Arial" w:hAnsi="Arial" w:cs="Arial"/>
                <w:sz w:val="24"/>
              </w:rPr>
            </w:pPr>
            <w:r w:rsidRPr="00562290">
              <w:rPr>
                <w:rFonts w:ascii="Arial" w:hAnsi="Arial" w:cs="Arial"/>
                <w:sz w:val="24"/>
              </w:rPr>
              <w:t>78%</w:t>
            </w:r>
          </w:p>
        </w:tc>
      </w:tr>
      <w:tr w:rsidR="00562290" w:rsidRPr="00562290" w14:paraId="1E806FAD" w14:textId="77777777" w:rsidTr="00562290">
        <w:tc>
          <w:tcPr>
            <w:tcW w:w="636" w:type="pct"/>
          </w:tcPr>
          <w:p w14:paraId="7C2A1B7A" w14:textId="77777777" w:rsidR="00562290" w:rsidRPr="00562290" w:rsidRDefault="00562290" w:rsidP="0076535B">
            <w:pPr>
              <w:rPr>
                <w:rFonts w:ascii="Arial" w:hAnsi="Arial" w:cs="Arial"/>
                <w:sz w:val="24"/>
              </w:rPr>
            </w:pPr>
            <w:r w:rsidRPr="00562290">
              <w:rPr>
                <w:rFonts w:ascii="Arial" w:hAnsi="Arial" w:cs="Arial"/>
                <w:sz w:val="24"/>
              </w:rPr>
              <w:lastRenderedPageBreak/>
              <w:t>2012</w:t>
            </w:r>
          </w:p>
        </w:tc>
        <w:tc>
          <w:tcPr>
            <w:tcW w:w="3206" w:type="pct"/>
          </w:tcPr>
          <w:p w14:paraId="766D15CC" w14:textId="77777777" w:rsidR="00562290" w:rsidRPr="00562290" w:rsidRDefault="00562290" w:rsidP="0076535B">
            <w:pPr>
              <w:rPr>
                <w:rFonts w:ascii="Arial" w:hAnsi="Arial" w:cs="Arial"/>
                <w:sz w:val="24"/>
              </w:rPr>
            </w:pPr>
            <w:r w:rsidRPr="00562290">
              <w:rPr>
                <w:rFonts w:ascii="Arial" w:hAnsi="Arial" w:cs="Arial"/>
                <w:sz w:val="24"/>
              </w:rPr>
              <w:t>72%</w:t>
            </w:r>
          </w:p>
        </w:tc>
        <w:tc>
          <w:tcPr>
            <w:tcW w:w="1158" w:type="pct"/>
          </w:tcPr>
          <w:p w14:paraId="51EA2453" w14:textId="77777777" w:rsidR="00562290" w:rsidRPr="00562290" w:rsidRDefault="00562290" w:rsidP="0076535B">
            <w:pPr>
              <w:rPr>
                <w:rFonts w:ascii="Arial" w:hAnsi="Arial" w:cs="Arial"/>
                <w:sz w:val="24"/>
              </w:rPr>
            </w:pPr>
            <w:r w:rsidRPr="00562290">
              <w:rPr>
                <w:rFonts w:ascii="Arial" w:hAnsi="Arial" w:cs="Arial"/>
                <w:sz w:val="24"/>
              </w:rPr>
              <w:t>80%</w:t>
            </w:r>
          </w:p>
        </w:tc>
      </w:tr>
      <w:tr w:rsidR="00562290" w:rsidRPr="00562290" w14:paraId="57F8C826" w14:textId="77777777" w:rsidTr="00562290">
        <w:tc>
          <w:tcPr>
            <w:tcW w:w="636" w:type="pct"/>
          </w:tcPr>
          <w:p w14:paraId="40490C6D" w14:textId="77777777" w:rsidR="00562290" w:rsidRPr="00562290" w:rsidRDefault="00562290" w:rsidP="0076535B">
            <w:pPr>
              <w:rPr>
                <w:rFonts w:ascii="Arial" w:hAnsi="Arial" w:cs="Arial"/>
                <w:sz w:val="24"/>
              </w:rPr>
            </w:pPr>
            <w:r w:rsidRPr="00562290">
              <w:rPr>
                <w:rFonts w:ascii="Arial" w:hAnsi="Arial" w:cs="Arial"/>
                <w:sz w:val="24"/>
              </w:rPr>
              <w:t>2013</w:t>
            </w:r>
          </w:p>
        </w:tc>
        <w:tc>
          <w:tcPr>
            <w:tcW w:w="3206" w:type="pct"/>
          </w:tcPr>
          <w:p w14:paraId="4D6E7D80" w14:textId="77777777" w:rsidR="00562290" w:rsidRPr="00562290" w:rsidRDefault="00562290" w:rsidP="0076535B">
            <w:pPr>
              <w:rPr>
                <w:rFonts w:ascii="Arial" w:hAnsi="Arial" w:cs="Arial"/>
                <w:sz w:val="24"/>
              </w:rPr>
            </w:pPr>
            <w:r w:rsidRPr="00562290">
              <w:rPr>
                <w:rFonts w:ascii="Arial" w:hAnsi="Arial" w:cs="Arial"/>
                <w:sz w:val="24"/>
              </w:rPr>
              <w:t>75%</w:t>
            </w:r>
          </w:p>
        </w:tc>
        <w:tc>
          <w:tcPr>
            <w:tcW w:w="1158" w:type="pct"/>
          </w:tcPr>
          <w:p w14:paraId="22D1716B" w14:textId="77777777" w:rsidR="00562290" w:rsidRPr="00562290" w:rsidRDefault="00562290" w:rsidP="0076535B">
            <w:pPr>
              <w:rPr>
                <w:rFonts w:ascii="Arial" w:hAnsi="Arial" w:cs="Arial"/>
                <w:sz w:val="24"/>
              </w:rPr>
            </w:pPr>
            <w:r w:rsidRPr="00562290">
              <w:rPr>
                <w:rFonts w:ascii="Arial" w:hAnsi="Arial" w:cs="Arial"/>
                <w:sz w:val="24"/>
              </w:rPr>
              <w:t>81%</w:t>
            </w:r>
          </w:p>
        </w:tc>
      </w:tr>
      <w:tr w:rsidR="00562290" w:rsidRPr="00562290" w14:paraId="5108E953" w14:textId="77777777" w:rsidTr="00562290">
        <w:tc>
          <w:tcPr>
            <w:tcW w:w="636" w:type="pct"/>
          </w:tcPr>
          <w:p w14:paraId="7E232F12" w14:textId="77777777" w:rsidR="00562290" w:rsidRPr="00562290" w:rsidRDefault="00562290" w:rsidP="0076535B">
            <w:pPr>
              <w:rPr>
                <w:rFonts w:ascii="Arial" w:hAnsi="Arial" w:cs="Arial"/>
                <w:sz w:val="24"/>
              </w:rPr>
            </w:pPr>
            <w:r w:rsidRPr="00562290">
              <w:rPr>
                <w:rFonts w:ascii="Arial" w:hAnsi="Arial" w:cs="Arial"/>
                <w:sz w:val="24"/>
              </w:rPr>
              <w:t>2014</w:t>
            </w:r>
          </w:p>
        </w:tc>
        <w:tc>
          <w:tcPr>
            <w:tcW w:w="3206" w:type="pct"/>
          </w:tcPr>
          <w:p w14:paraId="26D1BA81" w14:textId="77777777" w:rsidR="00562290" w:rsidRPr="00562290" w:rsidRDefault="00562290" w:rsidP="0076535B">
            <w:pPr>
              <w:rPr>
                <w:rFonts w:ascii="Arial" w:hAnsi="Arial" w:cs="Arial"/>
                <w:sz w:val="24"/>
              </w:rPr>
            </w:pPr>
            <w:r w:rsidRPr="00562290">
              <w:rPr>
                <w:rFonts w:ascii="Arial" w:hAnsi="Arial" w:cs="Arial"/>
                <w:sz w:val="24"/>
              </w:rPr>
              <w:t>76%</w:t>
            </w:r>
          </w:p>
        </w:tc>
        <w:tc>
          <w:tcPr>
            <w:tcW w:w="1158" w:type="pct"/>
          </w:tcPr>
          <w:p w14:paraId="56ECAF2B" w14:textId="77777777" w:rsidR="00562290" w:rsidRPr="00562290" w:rsidRDefault="00562290" w:rsidP="0076535B">
            <w:pPr>
              <w:rPr>
                <w:rFonts w:ascii="Arial" w:hAnsi="Arial" w:cs="Arial"/>
                <w:sz w:val="24"/>
              </w:rPr>
            </w:pPr>
            <w:r w:rsidRPr="00562290">
              <w:rPr>
                <w:rFonts w:ascii="Arial" w:hAnsi="Arial" w:cs="Arial"/>
                <w:sz w:val="24"/>
              </w:rPr>
              <w:t>82%</w:t>
            </w:r>
          </w:p>
        </w:tc>
      </w:tr>
      <w:tr w:rsidR="00562290" w:rsidRPr="00562290" w14:paraId="34ED638A" w14:textId="77777777" w:rsidTr="00562290">
        <w:tc>
          <w:tcPr>
            <w:tcW w:w="636" w:type="pct"/>
          </w:tcPr>
          <w:p w14:paraId="5DEBF3C9" w14:textId="77777777" w:rsidR="00562290" w:rsidRPr="00562290" w:rsidRDefault="00562290" w:rsidP="0076535B">
            <w:pPr>
              <w:rPr>
                <w:rFonts w:ascii="Arial" w:hAnsi="Arial" w:cs="Arial"/>
                <w:sz w:val="24"/>
              </w:rPr>
            </w:pPr>
            <w:r w:rsidRPr="00562290">
              <w:rPr>
                <w:rFonts w:ascii="Arial" w:hAnsi="Arial" w:cs="Arial"/>
                <w:sz w:val="24"/>
              </w:rPr>
              <w:t>2015</w:t>
            </w:r>
          </w:p>
        </w:tc>
        <w:tc>
          <w:tcPr>
            <w:tcW w:w="3206" w:type="pct"/>
          </w:tcPr>
          <w:p w14:paraId="3FF44FAB" w14:textId="77777777" w:rsidR="00562290" w:rsidRPr="00562290" w:rsidRDefault="00562290" w:rsidP="0076535B">
            <w:pPr>
              <w:rPr>
                <w:rFonts w:ascii="Arial" w:hAnsi="Arial" w:cs="Arial"/>
                <w:sz w:val="24"/>
              </w:rPr>
            </w:pPr>
            <w:r w:rsidRPr="00562290">
              <w:rPr>
                <w:rFonts w:ascii="Arial" w:hAnsi="Arial" w:cs="Arial"/>
                <w:sz w:val="24"/>
              </w:rPr>
              <w:t>76%</w:t>
            </w:r>
          </w:p>
        </w:tc>
        <w:tc>
          <w:tcPr>
            <w:tcW w:w="1158" w:type="pct"/>
          </w:tcPr>
          <w:p w14:paraId="1AA1314F" w14:textId="77777777" w:rsidR="00562290" w:rsidRPr="00562290" w:rsidRDefault="00562290" w:rsidP="0076535B">
            <w:pPr>
              <w:rPr>
                <w:rFonts w:ascii="Arial" w:hAnsi="Arial" w:cs="Arial"/>
                <w:sz w:val="24"/>
              </w:rPr>
            </w:pPr>
            <w:r w:rsidRPr="00562290">
              <w:rPr>
                <w:rFonts w:ascii="Arial" w:hAnsi="Arial" w:cs="Arial"/>
                <w:sz w:val="24"/>
              </w:rPr>
              <w:t>82%</w:t>
            </w:r>
          </w:p>
        </w:tc>
      </w:tr>
      <w:tr w:rsidR="00562290" w:rsidRPr="00562290" w14:paraId="4DF66552" w14:textId="77777777" w:rsidTr="00562290">
        <w:tc>
          <w:tcPr>
            <w:tcW w:w="636" w:type="pct"/>
          </w:tcPr>
          <w:p w14:paraId="121075AF" w14:textId="77777777" w:rsidR="00562290" w:rsidRPr="00562290" w:rsidRDefault="00562290" w:rsidP="0076535B">
            <w:pPr>
              <w:rPr>
                <w:rFonts w:ascii="Arial" w:hAnsi="Arial" w:cs="Arial"/>
                <w:sz w:val="24"/>
              </w:rPr>
            </w:pPr>
            <w:r w:rsidRPr="00562290">
              <w:rPr>
                <w:rFonts w:ascii="Arial" w:hAnsi="Arial" w:cs="Arial"/>
                <w:sz w:val="24"/>
              </w:rPr>
              <w:t>2016</w:t>
            </w:r>
          </w:p>
        </w:tc>
        <w:tc>
          <w:tcPr>
            <w:tcW w:w="3206" w:type="pct"/>
          </w:tcPr>
          <w:p w14:paraId="1C7F782B" w14:textId="77777777" w:rsidR="00562290" w:rsidRPr="00562290" w:rsidRDefault="00562290" w:rsidP="0076535B">
            <w:pPr>
              <w:rPr>
                <w:rFonts w:ascii="Arial" w:hAnsi="Arial" w:cs="Arial"/>
                <w:sz w:val="24"/>
              </w:rPr>
            </w:pPr>
            <w:r w:rsidRPr="00562290">
              <w:rPr>
                <w:rFonts w:ascii="Arial" w:hAnsi="Arial" w:cs="Arial"/>
                <w:sz w:val="24"/>
              </w:rPr>
              <w:t>76%</w:t>
            </w:r>
          </w:p>
        </w:tc>
        <w:tc>
          <w:tcPr>
            <w:tcW w:w="1158" w:type="pct"/>
          </w:tcPr>
          <w:p w14:paraId="6131C8EF" w14:textId="77777777" w:rsidR="00562290" w:rsidRPr="00562290" w:rsidRDefault="00562290" w:rsidP="0076535B">
            <w:pPr>
              <w:rPr>
                <w:rFonts w:ascii="Arial" w:hAnsi="Arial" w:cs="Arial"/>
                <w:sz w:val="24"/>
              </w:rPr>
            </w:pPr>
            <w:r w:rsidRPr="00562290">
              <w:rPr>
                <w:rFonts w:ascii="Arial" w:hAnsi="Arial" w:cs="Arial"/>
                <w:sz w:val="24"/>
              </w:rPr>
              <w:t>80%</w:t>
            </w:r>
          </w:p>
        </w:tc>
      </w:tr>
      <w:tr w:rsidR="00562290" w:rsidRPr="00562290" w14:paraId="6E61B7DE" w14:textId="77777777" w:rsidTr="00562290">
        <w:tc>
          <w:tcPr>
            <w:tcW w:w="636" w:type="pct"/>
          </w:tcPr>
          <w:p w14:paraId="0099D53B" w14:textId="77777777" w:rsidR="00562290" w:rsidRPr="00562290" w:rsidRDefault="00562290" w:rsidP="0076535B">
            <w:pPr>
              <w:rPr>
                <w:rFonts w:ascii="Arial" w:hAnsi="Arial" w:cs="Arial"/>
                <w:sz w:val="24"/>
              </w:rPr>
            </w:pPr>
            <w:r w:rsidRPr="00562290">
              <w:rPr>
                <w:rFonts w:ascii="Arial" w:hAnsi="Arial" w:cs="Arial"/>
                <w:sz w:val="24"/>
              </w:rPr>
              <w:t>2017</w:t>
            </w:r>
          </w:p>
        </w:tc>
        <w:tc>
          <w:tcPr>
            <w:tcW w:w="3206" w:type="pct"/>
          </w:tcPr>
          <w:p w14:paraId="2895F521" w14:textId="77777777" w:rsidR="00562290" w:rsidRPr="00562290" w:rsidRDefault="00562290" w:rsidP="0076535B">
            <w:pPr>
              <w:rPr>
                <w:rFonts w:ascii="Arial" w:hAnsi="Arial" w:cs="Arial"/>
                <w:sz w:val="24"/>
              </w:rPr>
            </w:pPr>
            <w:r w:rsidRPr="00562290">
              <w:rPr>
                <w:rFonts w:ascii="Arial" w:hAnsi="Arial" w:cs="Arial"/>
                <w:sz w:val="24"/>
              </w:rPr>
              <w:t>77%</w:t>
            </w:r>
          </w:p>
        </w:tc>
        <w:tc>
          <w:tcPr>
            <w:tcW w:w="1158" w:type="pct"/>
          </w:tcPr>
          <w:p w14:paraId="1BE9AB6A" w14:textId="77777777" w:rsidR="00562290" w:rsidRPr="00562290" w:rsidRDefault="00562290" w:rsidP="0076535B">
            <w:pPr>
              <w:rPr>
                <w:rFonts w:ascii="Arial" w:hAnsi="Arial" w:cs="Arial"/>
                <w:sz w:val="24"/>
              </w:rPr>
            </w:pPr>
            <w:r w:rsidRPr="00562290">
              <w:rPr>
                <w:rFonts w:ascii="Arial" w:hAnsi="Arial" w:cs="Arial"/>
                <w:sz w:val="24"/>
              </w:rPr>
              <w:t>81%</w:t>
            </w:r>
          </w:p>
        </w:tc>
      </w:tr>
    </w:tbl>
    <w:p w14:paraId="35D7A43E" w14:textId="77777777" w:rsidR="00723798" w:rsidRDefault="00723798" w:rsidP="00723798">
      <w:pPr>
        <w:rPr>
          <w:rFonts w:ascii="Arial" w:hAnsi="Arial" w:cs="Arial"/>
          <w:i/>
          <w:sz w:val="24"/>
        </w:rPr>
      </w:pPr>
      <w:r w:rsidRPr="00723798">
        <w:rPr>
          <w:rFonts w:ascii="Arial" w:hAnsi="Arial" w:cs="Arial"/>
          <w:i/>
          <w:sz w:val="24"/>
        </w:rPr>
        <w:t>Source: Report on Government Services, 2018 (Productivity Commission, 2019)</w:t>
      </w:r>
    </w:p>
    <w:p w14:paraId="2CC49FA3" w14:textId="77777777" w:rsidR="00706EEA" w:rsidRDefault="00706EEA" w:rsidP="00723798">
      <w:pPr>
        <w:rPr>
          <w:rFonts w:ascii="Arial" w:hAnsi="Arial" w:cs="Arial"/>
          <w:sz w:val="24"/>
        </w:rPr>
      </w:pPr>
      <w:r w:rsidRPr="00706EEA">
        <w:rPr>
          <w:rFonts w:ascii="Arial" w:hAnsi="Arial" w:cs="Arial"/>
          <w:sz w:val="24"/>
        </w:rPr>
        <w:t>The ABS Survey of Education and Work indicates that in 2018, 91 per cent of Victorians aged 20 to 24 years had achieved a Year 12 or equivalent (Certificate II) qualification</w:t>
      </w:r>
      <w:r>
        <w:rPr>
          <w:rFonts w:ascii="Arial" w:hAnsi="Arial" w:cs="Arial"/>
          <w:sz w:val="24"/>
        </w:rPr>
        <w:t>.</w:t>
      </w:r>
    </w:p>
    <w:p w14:paraId="0E2D0423" w14:textId="77777777" w:rsidR="00706EEA" w:rsidRPr="00E575A8" w:rsidRDefault="00706EEA" w:rsidP="00E575A8">
      <w:pPr>
        <w:pStyle w:val="Heading3"/>
        <w:rPr>
          <w:rFonts w:ascii="Arial" w:hAnsi="Arial" w:cs="Arial"/>
          <w:color w:val="000000" w:themeColor="text1"/>
          <w:sz w:val="24"/>
        </w:rPr>
      </w:pPr>
      <w:bookmarkStart w:id="53" w:name="_Toc33527778"/>
      <w:r w:rsidRPr="00E575A8">
        <w:rPr>
          <w:rFonts w:ascii="Arial" w:hAnsi="Arial" w:cs="Arial"/>
          <w:color w:val="000000" w:themeColor="text1"/>
          <w:sz w:val="24"/>
        </w:rPr>
        <w:t>4.12</w:t>
      </w:r>
      <w:r w:rsidRPr="00E575A8">
        <w:rPr>
          <w:rFonts w:ascii="Arial" w:hAnsi="Arial" w:cs="Arial"/>
          <w:color w:val="000000" w:themeColor="text1"/>
          <w:sz w:val="24"/>
        </w:rPr>
        <w:tab/>
        <w:t>The majority of Year 12 completers and non-completers choose further education or training as their next destination</w:t>
      </w:r>
      <w:bookmarkEnd w:id="53"/>
    </w:p>
    <w:p w14:paraId="700476F9" w14:textId="77777777" w:rsidR="00706EEA" w:rsidRDefault="00706EEA" w:rsidP="00706EEA">
      <w:pPr>
        <w:rPr>
          <w:rFonts w:ascii="Arial" w:hAnsi="Arial" w:cs="Arial"/>
          <w:sz w:val="24"/>
        </w:rPr>
      </w:pPr>
      <w:r w:rsidRPr="00706EEA">
        <w:rPr>
          <w:rFonts w:ascii="Arial" w:hAnsi="Arial" w:cs="Arial"/>
          <w:sz w:val="24"/>
        </w:rPr>
        <w:t>Since 2003, the annual On Track survey has been tracking what’s next for students who finish Year 12 and for those who do not. Between May and June 2018, the Department surveyed 28,184 (or 49 per cent of the) students who completed Year 12 and 2,386 students who had left school in Years 10, 11 or 12 (i.e. 28 per cent of the Year 12 non-completer cohort).</w:t>
      </w:r>
    </w:p>
    <w:p w14:paraId="76551A80" w14:textId="77777777" w:rsidR="00142E6F" w:rsidRDefault="00142E6F" w:rsidP="00142E6F">
      <w:pPr>
        <w:rPr>
          <w:rFonts w:ascii="Arial" w:hAnsi="Arial" w:cs="Arial"/>
          <w:b/>
          <w:sz w:val="24"/>
        </w:rPr>
      </w:pPr>
      <w:r w:rsidRPr="00C375F5">
        <w:rPr>
          <w:rFonts w:ascii="Arial" w:hAnsi="Arial" w:cs="Arial"/>
          <w:b/>
          <w:sz w:val="24"/>
        </w:rPr>
        <w:t>Figure 43. Destination patterns of Year 12 completers and Year 12 non-completers, 2018</w:t>
      </w:r>
    </w:p>
    <w:p w14:paraId="39E69E01" w14:textId="77777777" w:rsidR="00BB212E" w:rsidRPr="00830DB5" w:rsidRDefault="00BB212E" w:rsidP="00142E6F">
      <w:pPr>
        <w:rPr>
          <w:rFonts w:ascii="Arial" w:hAnsi="Arial" w:cs="Arial"/>
          <w:sz w:val="24"/>
        </w:rPr>
      </w:pPr>
      <w:r w:rsidRPr="00830DB5">
        <w:rPr>
          <w:rFonts w:ascii="Arial" w:hAnsi="Arial" w:cs="Arial"/>
          <w:sz w:val="24"/>
        </w:rPr>
        <w:t>28,184 Year 12 completers surveyed (10% deferred tertiary study)</w:t>
      </w:r>
    </w:p>
    <w:p w14:paraId="5F486FCB" w14:textId="77777777" w:rsidR="00BB212E" w:rsidRPr="00830DB5" w:rsidRDefault="00BB212E" w:rsidP="00BB212E">
      <w:pPr>
        <w:pStyle w:val="ListParagraph"/>
        <w:numPr>
          <w:ilvl w:val="0"/>
          <w:numId w:val="42"/>
        </w:numPr>
        <w:rPr>
          <w:rFonts w:ascii="Arial" w:hAnsi="Arial" w:cs="Arial"/>
          <w:sz w:val="24"/>
        </w:rPr>
      </w:pPr>
      <w:r w:rsidRPr="00830DB5">
        <w:rPr>
          <w:rFonts w:ascii="Arial" w:hAnsi="Arial" w:cs="Arial"/>
          <w:sz w:val="24"/>
        </w:rPr>
        <w:t>75% in Education and Training</w:t>
      </w:r>
    </w:p>
    <w:p w14:paraId="78F59A01" w14:textId="77777777" w:rsidR="00BB212E" w:rsidRPr="00830DB5" w:rsidRDefault="00BB212E" w:rsidP="00BB212E">
      <w:pPr>
        <w:pStyle w:val="ListParagraph"/>
        <w:numPr>
          <w:ilvl w:val="1"/>
          <w:numId w:val="42"/>
        </w:numPr>
        <w:rPr>
          <w:rFonts w:ascii="Arial" w:hAnsi="Arial" w:cs="Arial"/>
          <w:sz w:val="24"/>
        </w:rPr>
      </w:pPr>
      <w:r w:rsidRPr="00830DB5">
        <w:rPr>
          <w:rFonts w:ascii="Arial" w:hAnsi="Arial" w:cs="Arial"/>
          <w:sz w:val="24"/>
        </w:rPr>
        <w:t>55% Bachelor degree</w:t>
      </w:r>
    </w:p>
    <w:p w14:paraId="012221B6" w14:textId="77777777" w:rsidR="00BB212E" w:rsidRPr="00830DB5" w:rsidRDefault="00BB212E" w:rsidP="00BB212E">
      <w:pPr>
        <w:pStyle w:val="ListParagraph"/>
        <w:numPr>
          <w:ilvl w:val="1"/>
          <w:numId w:val="42"/>
        </w:numPr>
        <w:rPr>
          <w:rFonts w:ascii="Arial" w:hAnsi="Arial" w:cs="Arial"/>
          <w:sz w:val="24"/>
        </w:rPr>
      </w:pPr>
      <w:r w:rsidRPr="00830DB5">
        <w:rPr>
          <w:rFonts w:ascii="Arial" w:hAnsi="Arial" w:cs="Arial"/>
          <w:sz w:val="24"/>
        </w:rPr>
        <w:t>12% Certificate/Diploma</w:t>
      </w:r>
    </w:p>
    <w:p w14:paraId="1573F4A6" w14:textId="77777777" w:rsidR="00BB212E" w:rsidRPr="00830DB5" w:rsidRDefault="00BB212E" w:rsidP="00BB212E">
      <w:pPr>
        <w:pStyle w:val="ListParagraph"/>
        <w:numPr>
          <w:ilvl w:val="1"/>
          <w:numId w:val="42"/>
        </w:numPr>
        <w:rPr>
          <w:rFonts w:ascii="Arial" w:hAnsi="Arial" w:cs="Arial"/>
          <w:sz w:val="24"/>
        </w:rPr>
      </w:pPr>
      <w:r w:rsidRPr="00830DB5">
        <w:rPr>
          <w:rFonts w:ascii="Arial" w:hAnsi="Arial" w:cs="Arial"/>
          <w:sz w:val="24"/>
        </w:rPr>
        <w:t>8% Apprenticeship/Traineeship</w:t>
      </w:r>
    </w:p>
    <w:p w14:paraId="1C7D3A42" w14:textId="77777777" w:rsidR="00BB212E" w:rsidRPr="00830DB5" w:rsidRDefault="00BB212E" w:rsidP="00BB212E">
      <w:pPr>
        <w:pStyle w:val="ListParagraph"/>
        <w:numPr>
          <w:ilvl w:val="0"/>
          <w:numId w:val="42"/>
        </w:numPr>
        <w:rPr>
          <w:rFonts w:ascii="Arial" w:hAnsi="Arial" w:cs="Arial"/>
          <w:sz w:val="24"/>
        </w:rPr>
      </w:pPr>
      <w:r w:rsidRPr="00830DB5">
        <w:rPr>
          <w:rFonts w:ascii="Arial" w:hAnsi="Arial" w:cs="Arial"/>
          <w:sz w:val="24"/>
        </w:rPr>
        <w:t>25% not in Education and Training</w:t>
      </w:r>
    </w:p>
    <w:p w14:paraId="0B30AC91" w14:textId="77777777" w:rsidR="00BB212E" w:rsidRPr="00830DB5" w:rsidRDefault="00BB212E" w:rsidP="00BB212E">
      <w:pPr>
        <w:pStyle w:val="ListParagraph"/>
        <w:numPr>
          <w:ilvl w:val="1"/>
          <w:numId w:val="42"/>
        </w:numPr>
        <w:rPr>
          <w:rFonts w:ascii="Arial" w:hAnsi="Arial" w:cs="Arial"/>
          <w:sz w:val="24"/>
        </w:rPr>
      </w:pPr>
      <w:r w:rsidRPr="00830DB5">
        <w:rPr>
          <w:rFonts w:ascii="Arial" w:hAnsi="Arial" w:cs="Arial"/>
          <w:sz w:val="24"/>
        </w:rPr>
        <w:t>4% employed full-time</w:t>
      </w:r>
    </w:p>
    <w:p w14:paraId="6558E372" w14:textId="77777777" w:rsidR="00BB212E" w:rsidRPr="00830DB5" w:rsidRDefault="00BB212E" w:rsidP="00BB212E">
      <w:pPr>
        <w:pStyle w:val="ListParagraph"/>
        <w:numPr>
          <w:ilvl w:val="1"/>
          <w:numId w:val="42"/>
        </w:numPr>
        <w:rPr>
          <w:rFonts w:ascii="Arial" w:hAnsi="Arial" w:cs="Arial"/>
          <w:sz w:val="24"/>
        </w:rPr>
      </w:pPr>
      <w:r w:rsidRPr="00830DB5">
        <w:rPr>
          <w:rFonts w:ascii="Arial" w:hAnsi="Arial" w:cs="Arial"/>
          <w:sz w:val="24"/>
        </w:rPr>
        <w:t>7% employed part-time</w:t>
      </w:r>
    </w:p>
    <w:p w14:paraId="1E1A676B" w14:textId="77777777" w:rsidR="00BB212E" w:rsidRPr="00830DB5" w:rsidRDefault="00BB212E" w:rsidP="00BB212E">
      <w:pPr>
        <w:pStyle w:val="ListParagraph"/>
        <w:numPr>
          <w:ilvl w:val="1"/>
          <w:numId w:val="42"/>
        </w:numPr>
        <w:rPr>
          <w:rFonts w:ascii="Arial" w:hAnsi="Arial" w:cs="Arial"/>
          <w:sz w:val="24"/>
        </w:rPr>
      </w:pPr>
      <w:r w:rsidRPr="00830DB5">
        <w:rPr>
          <w:rFonts w:ascii="Arial" w:hAnsi="Arial" w:cs="Arial"/>
          <w:sz w:val="24"/>
        </w:rPr>
        <w:t>3% looking for work</w:t>
      </w:r>
    </w:p>
    <w:p w14:paraId="75FE2B51" w14:textId="77777777" w:rsidR="00BB212E" w:rsidRPr="00830DB5" w:rsidRDefault="00BB212E" w:rsidP="00BB212E">
      <w:pPr>
        <w:pStyle w:val="ListParagraph"/>
        <w:numPr>
          <w:ilvl w:val="1"/>
          <w:numId w:val="42"/>
        </w:numPr>
        <w:rPr>
          <w:rFonts w:ascii="Arial" w:hAnsi="Arial" w:cs="Arial"/>
          <w:sz w:val="24"/>
        </w:rPr>
      </w:pPr>
      <w:r w:rsidRPr="00830DB5">
        <w:rPr>
          <w:rFonts w:ascii="Arial" w:hAnsi="Arial" w:cs="Arial"/>
          <w:sz w:val="24"/>
        </w:rPr>
        <w:t>0.4% not in the labour force, education or training</w:t>
      </w:r>
    </w:p>
    <w:p w14:paraId="32D0AC27" w14:textId="77777777" w:rsidR="00C375F5" w:rsidRPr="00830DB5" w:rsidRDefault="00C375F5" w:rsidP="00142E6F">
      <w:pPr>
        <w:rPr>
          <w:rFonts w:ascii="Arial" w:hAnsi="Arial" w:cs="Arial"/>
          <w:i/>
          <w:sz w:val="24"/>
        </w:rPr>
      </w:pPr>
    </w:p>
    <w:p w14:paraId="0A691309" w14:textId="77777777" w:rsidR="00C375F5" w:rsidRPr="00830DB5" w:rsidRDefault="00C375F5" w:rsidP="00C375F5">
      <w:pPr>
        <w:rPr>
          <w:rFonts w:ascii="Arial" w:hAnsi="Arial" w:cs="Arial"/>
          <w:sz w:val="24"/>
        </w:rPr>
      </w:pPr>
      <w:r w:rsidRPr="00830DB5">
        <w:rPr>
          <w:rFonts w:ascii="Arial" w:hAnsi="Arial" w:cs="Arial"/>
          <w:sz w:val="24"/>
        </w:rPr>
        <w:t xml:space="preserve">2,386 Year 12 non-completers surveyed </w:t>
      </w:r>
    </w:p>
    <w:p w14:paraId="7C0C02F4" w14:textId="77777777" w:rsidR="00C375F5" w:rsidRPr="004B4339" w:rsidRDefault="00C375F5" w:rsidP="00C375F5">
      <w:pPr>
        <w:pStyle w:val="ListParagraph"/>
        <w:numPr>
          <w:ilvl w:val="0"/>
          <w:numId w:val="42"/>
        </w:numPr>
        <w:rPr>
          <w:rFonts w:ascii="Arial" w:hAnsi="Arial" w:cs="Arial"/>
          <w:sz w:val="24"/>
        </w:rPr>
      </w:pPr>
      <w:r>
        <w:rPr>
          <w:rFonts w:ascii="Arial" w:hAnsi="Arial" w:cs="Arial"/>
          <w:sz w:val="24"/>
        </w:rPr>
        <w:t>53</w:t>
      </w:r>
      <w:r w:rsidRPr="004B4339">
        <w:rPr>
          <w:rFonts w:ascii="Arial" w:hAnsi="Arial" w:cs="Arial"/>
          <w:sz w:val="24"/>
        </w:rPr>
        <w:t>% in Education and Training</w:t>
      </w:r>
    </w:p>
    <w:p w14:paraId="73DA3DCD" w14:textId="77777777" w:rsidR="00C375F5" w:rsidRPr="004B4339" w:rsidRDefault="00C375F5" w:rsidP="00C375F5">
      <w:pPr>
        <w:pStyle w:val="ListParagraph"/>
        <w:numPr>
          <w:ilvl w:val="1"/>
          <w:numId w:val="42"/>
        </w:numPr>
        <w:rPr>
          <w:rFonts w:ascii="Arial" w:hAnsi="Arial" w:cs="Arial"/>
          <w:sz w:val="24"/>
        </w:rPr>
      </w:pPr>
      <w:r>
        <w:rPr>
          <w:rFonts w:ascii="Arial" w:hAnsi="Arial" w:cs="Arial"/>
          <w:sz w:val="24"/>
        </w:rPr>
        <w:t>1</w:t>
      </w:r>
      <w:r w:rsidRPr="004B4339">
        <w:rPr>
          <w:rFonts w:ascii="Arial" w:hAnsi="Arial" w:cs="Arial"/>
          <w:sz w:val="24"/>
        </w:rPr>
        <w:t>% Bachelor degree</w:t>
      </w:r>
    </w:p>
    <w:p w14:paraId="1681E8B9" w14:textId="77777777" w:rsidR="00C375F5" w:rsidRPr="004B4339" w:rsidRDefault="00C375F5" w:rsidP="00C375F5">
      <w:pPr>
        <w:pStyle w:val="ListParagraph"/>
        <w:numPr>
          <w:ilvl w:val="1"/>
          <w:numId w:val="42"/>
        </w:numPr>
        <w:rPr>
          <w:rFonts w:ascii="Arial" w:hAnsi="Arial" w:cs="Arial"/>
          <w:sz w:val="24"/>
        </w:rPr>
      </w:pPr>
      <w:r>
        <w:rPr>
          <w:rFonts w:ascii="Arial" w:hAnsi="Arial" w:cs="Arial"/>
          <w:sz w:val="24"/>
        </w:rPr>
        <w:t>20</w:t>
      </w:r>
      <w:r w:rsidRPr="004B4339">
        <w:rPr>
          <w:rFonts w:ascii="Arial" w:hAnsi="Arial" w:cs="Arial"/>
          <w:sz w:val="24"/>
        </w:rPr>
        <w:t>% Certificate/Diploma</w:t>
      </w:r>
    </w:p>
    <w:p w14:paraId="10C9AF71" w14:textId="77777777" w:rsidR="00C375F5" w:rsidRPr="004B4339" w:rsidRDefault="00C375F5" w:rsidP="00C375F5">
      <w:pPr>
        <w:pStyle w:val="ListParagraph"/>
        <w:numPr>
          <w:ilvl w:val="1"/>
          <w:numId w:val="42"/>
        </w:numPr>
        <w:rPr>
          <w:rFonts w:ascii="Arial" w:hAnsi="Arial" w:cs="Arial"/>
          <w:sz w:val="24"/>
        </w:rPr>
      </w:pPr>
      <w:r>
        <w:rPr>
          <w:rFonts w:ascii="Arial" w:hAnsi="Arial" w:cs="Arial"/>
          <w:sz w:val="24"/>
        </w:rPr>
        <w:t>32</w:t>
      </w:r>
      <w:r w:rsidRPr="004B4339">
        <w:rPr>
          <w:rFonts w:ascii="Arial" w:hAnsi="Arial" w:cs="Arial"/>
          <w:sz w:val="24"/>
        </w:rPr>
        <w:t>% Apprenticeship/Traineeship</w:t>
      </w:r>
    </w:p>
    <w:p w14:paraId="245C384D" w14:textId="77777777" w:rsidR="00C375F5" w:rsidRPr="004B4339" w:rsidRDefault="00C375F5" w:rsidP="00C375F5">
      <w:pPr>
        <w:pStyle w:val="ListParagraph"/>
        <w:numPr>
          <w:ilvl w:val="0"/>
          <w:numId w:val="42"/>
        </w:numPr>
        <w:rPr>
          <w:rFonts w:ascii="Arial" w:hAnsi="Arial" w:cs="Arial"/>
          <w:sz w:val="24"/>
        </w:rPr>
      </w:pPr>
      <w:r>
        <w:rPr>
          <w:rFonts w:ascii="Arial" w:hAnsi="Arial" w:cs="Arial"/>
          <w:sz w:val="24"/>
        </w:rPr>
        <w:t>47</w:t>
      </w:r>
      <w:r w:rsidRPr="004B4339">
        <w:rPr>
          <w:rFonts w:ascii="Arial" w:hAnsi="Arial" w:cs="Arial"/>
          <w:sz w:val="24"/>
        </w:rPr>
        <w:t>% not in Education and Training</w:t>
      </w:r>
    </w:p>
    <w:p w14:paraId="00E8A8EF" w14:textId="77777777" w:rsidR="00C375F5" w:rsidRPr="004B4339" w:rsidRDefault="00C375F5" w:rsidP="00C375F5">
      <w:pPr>
        <w:pStyle w:val="ListParagraph"/>
        <w:numPr>
          <w:ilvl w:val="1"/>
          <w:numId w:val="42"/>
        </w:numPr>
        <w:rPr>
          <w:rFonts w:ascii="Arial" w:hAnsi="Arial" w:cs="Arial"/>
          <w:sz w:val="24"/>
        </w:rPr>
      </w:pPr>
      <w:r>
        <w:rPr>
          <w:rFonts w:ascii="Arial" w:hAnsi="Arial" w:cs="Arial"/>
          <w:sz w:val="24"/>
        </w:rPr>
        <w:t>11</w:t>
      </w:r>
      <w:r w:rsidRPr="004B4339">
        <w:rPr>
          <w:rFonts w:ascii="Arial" w:hAnsi="Arial" w:cs="Arial"/>
          <w:sz w:val="24"/>
        </w:rPr>
        <w:t>% employed full-time</w:t>
      </w:r>
    </w:p>
    <w:p w14:paraId="78A58CD2" w14:textId="77777777" w:rsidR="00C375F5" w:rsidRPr="004B4339" w:rsidRDefault="00C375F5" w:rsidP="00C375F5">
      <w:pPr>
        <w:pStyle w:val="ListParagraph"/>
        <w:numPr>
          <w:ilvl w:val="1"/>
          <w:numId w:val="42"/>
        </w:numPr>
        <w:rPr>
          <w:rFonts w:ascii="Arial" w:hAnsi="Arial" w:cs="Arial"/>
          <w:sz w:val="24"/>
        </w:rPr>
      </w:pPr>
      <w:r>
        <w:rPr>
          <w:rFonts w:ascii="Arial" w:hAnsi="Arial" w:cs="Arial"/>
          <w:sz w:val="24"/>
        </w:rPr>
        <w:t>16</w:t>
      </w:r>
      <w:r w:rsidRPr="004B4339">
        <w:rPr>
          <w:rFonts w:ascii="Arial" w:hAnsi="Arial" w:cs="Arial"/>
          <w:sz w:val="24"/>
        </w:rPr>
        <w:t>% employed part-time</w:t>
      </w:r>
    </w:p>
    <w:p w14:paraId="021856BF" w14:textId="77777777" w:rsidR="00C375F5" w:rsidRPr="004B4339" w:rsidRDefault="00C375F5" w:rsidP="00C375F5">
      <w:pPr>
        <w:pStyle w:val="ListParagraph"/>
        <w:numPr>
          <w:ilvl w:val="1"/>
          <w:numId w:val="42"/>
        </w:numPr>
        <w:rPr>
          <w:rFonts w:ascii="Arial" w:hAnsi="Arial" w:cs="Arial"/>
          <w:sz w:val="24"/>
        </w:rPr>
      </w:pPr>
      <w:r>
        <w:rPr>
          <w:rFonts w:ascii="Arial" w:hAnsi="Arial" w:cs="Arial"/>
          <w:sz w:val="24"/>
        </w:rPr>
        <w:t>15</w:t>
      </w:r>
      <w:r w:rsidRPr="004B4339">
        <w:rPr>
          <w:rFonts w:ascii="Arial" w:hAnsi="Arial" w:cs="Arial"/>
          <w:sz w:val="24"/>
        </w:rPr>
        <w:t>% looking for work</w:t>
      </w:r>
    </w:p>
    <w:p w14:paraId="7AC47F2D" w14:textId="77777777" w:rsidR="00C375F5" w:rsidRPr="004B4339" w:rsidRDefault="00C375F5" w:rsidP="00C375F5">
      <w:pPr>
        <w:pStyle w:val="ListParagraph"/>
        <w:numPr>
          <w:ilvl w:val="1"/>
          <w:numId w:val="42"/>
        </w:numPr>
        <w:rPr>
          <w:rFonts w:ascii="Arial" w:hAnsi="Arial" w:cs="Arial"/>
          <w:sz w:val="24"/>
        </w:rPr>
      </w:pPr>
      <w:r>
        <w:rPr>
          <w:rFonts w:ascii="Arial" w:hAnsi="Arial" w:cs="Arial"/>
          <w:sz w:val="24"/>
        </w:rPr>
        <w:lastRenderedPageBreak/>
        <w:t>5</w:t>
      </w:r>
      <w:r w:rsidRPr="004B4339">
        <w:rPr>
          <w:rFonts w:ascii="Arial" w:hAnsi="Arial" w:cs="Arial"/>
          <w:sz w:val="24"/>
        </w:rPr>
        <w:t>% not in the labour force, education or training</w:t>
      </w:r>
    </w:p>
    <w:p w14:paraId="5F4FDE7B" w14:textId="77777777" w:rsidR="00142E6F" w:rsidRPr="00142E6F" w:rsidRDefault="00142E6F" w:rsidP="00142E6F">
      <w:pPr>
        <w:rPr>
          <w:rFonts w:ascii="Arial" w:hAnsi="Arial" w:cs="Arial"/>
          <w:i/>
          <w:sz w:val="24"/>
        </w:rPr>
      </w:pPr>
      <w:r w:rsidRPr="00142E6F">
        <w:rPr>
          <w:rFonts w:ascii="Arial" w:hAnsi="Arial" w:cs="Arial"/>
          <w:i/>
          <w:sz w:val="24"/>
        </w:rPr>
        <w:t>Source: On Track Survey, 2018 (DET, 2018b)</w:t>
      </w:r>
    </w:p>
    <w:p w14:paraId="1616EC47" w14:textId="77777777" w:rsidR="00142E6F" w:rsidRPr="00142E6F" w:rsidRDefault="00142E6F" w:rsidP="00142E6F">
      <w:pPr>
        <w:rPr>
          <w:rFonts w:ascii="Arial" w:hAnsi="Arial" w:cs="Arial"/>
          <w:sz w:val="24"/>
        </w:rPr>
      </w:pPr>
      <w:r w:rsidRPr="00142E6F">
        <w:rPr>
          <w:rFonts w:ascii="Arial" w:hAnsi="Arial" w:cs="Arial"/>
          <w:sz w:val="24"/>
        </w:rPr>
        <w:t>The majority (75 per cent) of Year 12 completers continue on to further education and training after school. A Bachelor's degree continues to be the preferred pathway for this cohort, with the proportion of Year 12 completers pursuing this qualification (55 per cent in 2018) remaining relatively stable since 2014 (54 per cent). While</w:t>
      </w:r>
      <w:r>
        <w:rPr>
          <w:rFonts w:ascii="Arial" w:hAnsi="Arial" w:cs="Arial"/>
          <w:sz w:val="24"/>
        </w:rPr>
        <w:t xml:space="preserve"> </w:t>
      </w:r>
      <w:r w:rsidRPr="00142E6F">
        <w:rPr>
          <w:rFonts w:ascii="Arial" w:hAnsi="Arial" w:cs="Arial"/>
          <w:sz w:val="24"/>
        </w:rPr>
        <w:t>the proportion of Year 12 completers in employment is rising, those undertaking certificates or diplomas is decreasing.</w:t>
      </w:r>
    </w:p>
    <w:p w14:paraId="0873203C" w14:textId="77777777" w:rsidR="0027146A" w:rsidRDefault="00142E6F" w:rsidP="00142E6F">
      <w:pPr>
        <w:rPr>
          <w:rFonts w:ascii="Arial" w:hAnsi="Arial" w:cs="Arial"/>
          <w:sz w:val="24"/>
        </w:rPr>
      </w:pPr>
      <w:r w:rsidRPr="00142E6F">
        <w:rPr>
          <w:rFonts w:ascii="Arial" w:hAnsi="Arial" w:cs="Arial"/>
          <w:sz w:val="24"/>
        </w:rPr>
        <w:t>Adolescents leaving secondary school before completing Year 12 are more likely</w:t>
      </w:r>
      <w:r>
        <w:rPr>
          <w:rFonts w:ascii="Arial" w:hAnsi="Arial" w:cs="Arial"/>
          <w:sz w:val="24"/>
        </w:rPr>
        <w:t xml:space="preserve"> </w:t>
      </w:r>
      <w:r w:rsidRPr="00142E6F">
        <w:rPr>
          <w:rFonts w:ascii="Arial" w:hAnsi="Arial" w:cs="Arial"/>
          <w:sz w:val="24"/>
        </w:rPr>
        <w:t>to not be engaged in education, training or work than Year 12 completers (five per cent compared to 0.4 per cent). In 2018, Year 12 non-completers were most likely to be undertaking an apprenticeship or traineeship (32 per cent), certificate/diploma</w:t>
      </w:r>
      <w:r w:rsidR="00220DC9">
        <w:rPr>
          <w:rFonts w:ascii="Arial" w:hAnsi="Arial" w:cs="Arial"/>
          <w:sz w:val="24"/>
        </w:rPr>
        <w:t xml:space="preserve"> </w:t>
      </w:r>
      <w:r w:rsidRPr="00142E6F">
        <w:rPr>
          <w:rFonts w:ascii="Arial" w:hAnsi="Arial" w:cs="Arial"/>
          <w:sz w:val="24"/>
        </w:rPr>
        <w:t xml:space="preserve">(20 per cent) or be in employment (27 per cent). Since 2014, the proportion of non-completers doing an apprenticeship or in employment has risen. Less than one per cent of non-completers undertake a Bachelor’s degree, a consistent proportion from 2014 to 2018. </w:t>
      </w:r>
    </w:p>
    <w:p w14:paraId="43A8595D" w14:textId="77777777" w:rsidR="00D51351" w:rsidRDefault="00D51351" w:rsidP="00142E6F">
      <w:pPr>
        <w:rPr>
          <w:rFonts w:ascii="Arial" w:hAnsi="Arial" w:cs="Arial"/>
          <w:b/>
          <w:sz w:val="24"/>
        </w:rPr>
      </w:pPr>
    </w:p>
    <w:p w14:paraId="2C792E23" w14:textId="77777777" w:rsidR="0027146A" w:rsidRPr="0027146A" w:rsidRDefault="0027146A" w:rsidP="00142E6F">
      <w:pPr>
        <w:rPr>
          <w:rFonts w:ascii="Arial" w:hAnsi="Arial" w:cs="Arial"/>
          <w:b/>
          <w:sz w:val="24"/>
        </w:rPr>
      </w:pPr>
      <w:r w:rsidRPr="0027146A">
        <w:rPr>
          <w:rFonts w:ascii="Arial" w:hAnsi="Arial" w:cs="Arial"/>
          <w:b/>
          <w:sz w:val="24"/>
        </w:rPr>
        <w:t>Reasons for leaving school before completing Year 12, On Track, 2018</w:t>
      </w:r>
    </w:p>
    <w:p w14:paraId="3FEBB707" w14:textId="77777777" w:rsidR="0027146A" w:rsidRDefault="0027146A" w:rsidP="00142E6F">
      <w:pPr>
        <w:rPr>
          <w:rFonts w:ascii="Arial" w:hAnsi="Arial" w:cs="Arial"/>
          <w:sz w:val="24"/>
        </w:rPr>
      </w:pPr>
      <w:r>
        <w:rPr>
          <w:rFonts w:ascii="Arial" w:hAnsi="Arial" w:cs="Arial"/>
          <w:sz w:val="24"/>
        </w:rPr>
        <w:t>Push factors</w:t>
      </w:r>
    </w:p>
    <w:p w14:paraId="50D957DE" w14:textId="77777777" w:rsidR="0027146A" w:rsidRPr="0027146A" w:rsidRDefault="0027146A" w:rsidP="0027146A">
      <w:pPr>
        <w:pStyle w:val="ListParagraph"/>
        <w:numPr>
          <w:ilvl w:val="0"/>
          <w:numId w:val="14"/>
        </w:numPr>
        <w:rPr>
          <w:rFonts w:ascii="Arial" w:hAnsi="Arial" w:cs="Arial"/>
          <w:sz w:val="24"/>
        </w:rPr>
      </w:pPr>
      <w:r w:rsidRPr="0027146A">
        <w:rPr>
          <w:rFonts w:ascii="Arial" w:hAnsi="Arial" w:cs="Arial"/>
          <w:sz w:val="24"/>
        </w:rPr>
        <w:t>School was not for me/not a good environment; I was not learning: 11%</w:t>
      </w:r>
    </w:p>
    <w:p w14:paraId="3D0CAEB3" w14:textId="77777777" w:rsidR="0027146A" w:rsidRPr="0027146A" w:rsidRDefault="0027146A" w:rsidP="0027146A">
      <w:pPr>
        <w:pStyle w:val="ListParagraph"/>
        <w:numPr>
          <w:ilvl w:val="0"/>
          <w:numId w:val="14"/>
        </w:numPr>
        <w:rPr>
          <w:rFonts w:ascii="Arial" w:hAnsi="Arial" w:cs="Arial"/>
          <w:sz w:val="24"/>
        </w:rPr>
      </w:pPr>
      <w:r w:rsidRPr="0027146A">
        <w:rPr>
          <w:rFonts w:ascii="Arial" w:hAnsi="Arial" w:cs="Arial"/>
          <w:sz w:val="24"/>
        </w:rPr>
        <w:t>Did not like school/teachers; not interested in going: 10%</w:t>
      </w:r>
    </w:p>
    <w:p w14:paraId="2A96D4B5" w14:textId="77777777" w:rsidR="0027146A" w:rsidRPr="0027146A" w:rsidRDefault="0027146A" w:rsidP="0027146A">
      <w:pPr>
        <w:pStyle w:val="ListParagraph"/>
        <w:numPr>
          <w:ilvl w:val="0"/>
          <w:numId w:val="14"/>
        </w:numPr>
        <w:rPr>
          <w:rFonts w:ascii="Arial" w:hAnsi="Arial" w:cs="Arial"/>
          <w:sz w:val="24"/>
        </w:rPr>
      </w:pPr>
      <w:r w:rsidRPr="0027146A">
        <w:rPr>
          <w:rFonts w:ascii="Arial" w:hAnsi="Arial" w:cs="Arial"/>
          <w:sz w:val="24"/>
        </w:rPr>
        <w:t>Not coping well at school; failed/failing subjects; found school too hard: 6%</w:t>
      </w:r>
    </w:p>
    <w:p w14:paraId="776AE8C3" w14:textId="77777777" w:rsidR="00A57D7A" w:rsidRDefault="00A57D7A" w:rsidP="00142E6F">
      <w:pPr>
        <w:rPr>
          <w:rFonts w:ascii="Arial" w:hAnsi="Arial" w:cs="Arial"/>
          <w:sz w:val="24"/>
        </w:rPr>
      </w:pPr>
    </w:p>
    <w:p w14:paraId="5B7065D8" w14:textId="77777777" w:rsidR="0027146A" w:rsidRDefault="0027146A" w:rsidP="00142E6F">
      <w:pPr>
        <w:rPr>
          <w:rFonts w:ascii="Arial" w:hAnsi="Arial" w:cs="Arial"/>
          <w:sz w:val="24"/>
        </w:rPr>
      </w:pPr>
      <w:r>
        <w:rPr>
          <w:rFonts w:ascii="Arial" w:hAnsi="Arial" w:cs="Arial"/>
          <w:sz w:val="24"/>
        </w:rPr>
        <w:t>Pull factors</w:t>
      </w:r>
    </w:p>
    <w:p w14:paraId="01FFE39E" w14:textId="77777777" w:rsidR="00A57D7A" w:rsidRDefault="00A57D7A" w:rsidP="00A57D7A">
      <w:pPr>
        <w:pStyle w:val="ListParagraph"/>
        <w:numPr>
          <w:ilvl w:val="0"/>
          <w:numId w:val="14"/>
        </w:numPr>
        <w:rPr>
          <w:rFonts w:ascii="Arial" w:hAnsi="Arial" w:cs="Arial"/>
          <w:sz w:val="24"/>
        </w:rPr>
      </w:pPr>
      <w:r w:rsidRPr="00A57D7A">
        <w:rPr>
          <w:rFonts w:ascii="Arial" w:hAnsi="Arial" w:cs="Arial"/>
          <w:sz w:val="24"/>
        </w:rPr>
        <w:t>Work or career reasons</w:t>
      </w:r>
      <w:r>
        <w:rPr>
          <w:rFonts w:ascii="Arial" w:hAnsi="Arial" w:cs="Arial"/>
          <w:sz w:val="24"/>
        </w:rPr>
        <w:t>: 22%</w:t>
      </w:r>
    </w:p>
    <w:p w14:paraId="50CBD733" w14:textId="77777777" w:rsidR="001C3BAE" w:rsidRDefault="00A57D7A" w:rsidP="00A57D7A">
      <w:pPr>
        <w:pStyle w:val="ListParagraph"/>
        <w:numPr>
          <w:ilvl w:val="0"/>
          <w:numId w:val="14"/>
        </w:numPr>
        <w:rPr>
          <w:rFonts w:ascii="Arial" w:hAnsi="Arial" w:cs="Arial"/>
          <w:sz w:val="24"/>
        </w:rPr>
      </w:pPr>
      <w:r w:rsidRPr="00A57D7A">
        <w:rPr>
          <w:rFonts w:ascii="Arial" w:hAnsi="Arial" w:cs="Arial"/>
          <w:sz w:val="24"/>
        </w:rPr>
        <w:t>Study elsewhere/TAFE/different course</w:t>
      </w:r>
      <w:r>
        <w:rPr>
          <w:rFonts w:ascii="Arial" w:hAnsi="Arial" w:cs="Arial"/>
          <w:sz w:val="24"/>
        </w:rPr>
        <w:t>: 4%</w:t>
      </w:r>
    </w:p>
    <w:p w14:paraId="370B9F37" w14:textId="77777777" w:rsidR="001C3BAE" w:rsidRPr="001C3BAE" w:rsidRDefault="001C3BAE" w:rsidP="00B44903">
      <w:pPr>
        <w:rPr>
          <w:rFonts w:ascii="Arial" w:hAnsi="Arial" w:cs="Arial"/>
          <w:i/>
          <w:sz w:val="24"/>
        </w:rPr>
      </w:pPr>
      <w:r w:rsidRPr="001C3BAE">
        <w:rPr>
          <w:rFonts w:ascii="Arial" w:hAnsi="Arial" w:cs="Arial"/>
          <w:i/>
          <w:sz w:val="24"/>
        </w:rPr>
        <w:t>Source: On Track Survey, 2018 (DET, 2018b)</w:t>
      </w:r>
    </w:p>
    <w:p w14:paraId="53E7C9BC" w14:textId="77777777" w:rsidR="001C3BAE" w:rsidRPr="001C3BAE" w:rsidRDefault="001C3BAE" w:rsidP="00B44903">
      <w:pPr>
        <w:rPr>
          <w:rFonts w:ascii="Arial" w:hAnsi="Arial" w:cs="Arial"/>
          <w:sz w:val="24"/>
        </w:rPr>
      </w:pPr>
      <w:r w:rsidRPr="001C3BAE">
        <w:rPr>
          <w:rFonts w:ascii="Arial" w:hAnsi="Arial" w:cs="Arial"/>
          <w:sz w:val="24"/>
        </w:rPr>
        <w:t>The transition from school to further education and employment can present a particular challenge to some refugee and migrant youth who have experienced disrupted schooling, and may be ineligible for Australian Government support to undertake higher education and training (VicHealth, 2017).</w:t>
      </w:r>
    </w:p>
    <w:p w14:paraId="7E331972" w14:textId="77777777" w:rsidR="0052060B" w:rsidRDefault="001C3BAE" w:rsidP="00B44903">
      <w:pPr>
        <w:rPr>
          <w:rFonts w:ascii="Arial" w:hAnsi="Arial" w:cs="Arial"/>
          <w:sz w:val="24"/>
        </w:rPr>
      </w:pPr>
      <w:r w:rsidRPr="001C3BAE">
        <w:rPr>
          <w:rFonts w:ascii="Arial" w:hAnsi="Arial" w:cs="Arial"/>
          <w:sz w:val="24"/>
        </w:rPr>
        <w:t>Of the students completing the VCAL who were surveyed, 55 per cent were in education and training post-school. Of these VCAL completers continuing onto education and training, most undertake an apprenticeship/traineeship (31 per cent) or a Certificate/ Diploma (23 per cent). Only one per cent undertake a Bachelor degree. Of the VCAL completers not in education or training, most are employed part-time (19 per cent) or full time (13 per cent), while just over one in 10 (12 per cent) are looking for work.</w:t>
      </w:r>
    </w:p>
    <w:p w14:paraId="096416B0" w14:textId="77777777" w:rsidR="004026A7" w:rsidRDefault="004026A7" w:rsidP="00B44903">
      <w:pPr>
        <w:rPr>
          <w:rFonts w:ascii="Arial" w:hAnsi="Arial" w:cs="Arial"/>
          <w:b/>
          <w:sz w:val="24"/>
        </w:rPr>
      </w:pPr>
      <w:r w:rsidRPr="004026A7">
        <w:rPr>
          <w:rFonts w:ascii="Arial" w:hAnsi="Arial" w:cs="Arial"/>
          <w:b/>
          <w:sz w:val="24"/>
        </w:rPr>
        <w:lastRenderedPageBreak/>
        <w:t>2,518 VCAL completers surveyed (does not add up to 100% due to rounding)</w:t>
      </w:r>
    </w:p>
    <w:p w14:paraId="5FC7238B" w14:textId="77777777" w:rsidR="004026A7" w:rsidRDefault="00830DB5" w:rsidP="00B44903">
      <w:pPr>
        <w:rPr>
          <w:rFonts w:ascii="Arial" w:hAnsi="Arial" w:cs="Arial"/>
          <w:sz w:val="24"/>
        </w:rPr>
      </w:pPr>
      <w:r>
        <w:rPr>
          <w:rFonts w:ascii="Arial" w:hAnsi="Arial" w:cs="Arial"/>
          <w:sz w:val="24"/>
        </w:rPr>
        <w:t>55% in Education or T</w:t>
      </w:r>
      <w:r w:rsidR="004026A7" w:rsidRPr="004026A7">
        <w:rPr>
          <w:rFonts w:ascii="Arial" w:hAnsi="Arial" w:cs="Arial"/>
          <w:sz w:val="24"/>
        </w:rPr>
        <w:t xml:space="preserve">raining </w:t>
      </w:r>
    </w:p>
    <w:p w14:paraId="75AB81E1" w14:textId="77777777" w:rsidR="004026A7" w:rsidRDefault="004026A7" w:rsidP="004026A7">
      <w:pPr>
        <w:pStyle w:val="ListParagraph"/>
        <w:numPr>
          <w:ilvl w:val="0"/>
          <w:numId w:val="24"/>
        </w:numPr>
        <w:rPr>
          <w:rFonts w:ascii="Arial" w:hAnsi="Arial" w:cs="Arial"/>
          <w:sz w:val="24"/>
        </w:rPr>
      </w:pPr>
      <w:r>
        <w:rPr>
          <w:rFonts w:ascii="Arial" w:hAnsi="Arial" w:cs="Arial"/>
          <w:sz w:val="24"/>
        </w:rPr>
        <w:t>Bachelor degree: 1%</w:t>
      </w:r>
    </w:p>
    <w:p w14:paraId="4FA294A4" w14:textId="77777777" w:rsidR="004026A7" w:rsidRDefault="004026A7" w:rsidP="004026A7">
      <w:pPr>
        <w:pStyle w:val="ListParagraph"/>
        <w:numPr>
          <w:ilvl w:val="0"/>
          <w:numId w:val="24"/>
        </w:numPr>
        <w:rPr>
          <w:rFonts w:ascii="Arial" w:hAnsi="Arial" w:cs="Arial"/>
          <w:sz w:val="24"/>
        </w:rPr>
      </w:pPr>
      <w:r>
        <w:rPr>
          <w:rFonts w:ascii="Arial" w:hAnsi="Arial" w:cs="Arial"/>
          <w:sz w:val="24"/>
        </w:rPr>
        <w:t>Certificate/Diploma: 23%</w:t>
      </w:r>
    </w:p>
    <w:p w14:paraId="2B2D33D1" w14:textId="77777777" w:rsidR="004026A7" w:rsidRDefault="004026A7" w:rsidP="004026A7">
      <w:pPr>
        <w:pStyle w:val="ListParagraph"/>
        <w:numPr>
          <w:ilvl w:val="0"/>
          <w:numId w:val="24"/>
        </w:numPr>
        <w:rPr>
          <w:rFonts w:ascii="Arial" w:hAnsi="Arial" w:cs="Arial"/>
          <w:sz w:val="24"/>
        </w:rPr>
      </w:pPr>
      <w:r>
        <w:rPr>
          <w:rFonts w:ascii="Arial" w:hAnsi="Arial" w:cs="Arial"/>
          <w:sz w:val="24"/>
        </w:rPr>
        <w:t>Apprenticeship/Traineeship: 31%</w:t>
      </w:r>
    </w:p>
    <w:p w14:paraId="0029A369" w14:textId="77777777" w:rsidR="00B44903" w:rsidRDefault="00B44903" w:rsidP="00B44903">
      <w:pPr>
        <w:rPr>
          <w:rFonts w:ascii="Arial" w:hAnsi="Arial" w:cs="Arial"/>
          <w:sz w:val="24"/>
        </w:rPr>
      </w:pPr>
    </w:p>
    <w:p w14:paraId="586E9563" w14:textId="77777777" w:rsidR="00B44903" w:rsidRDefault="00B44903" w:rsidP="00B44903">
      <w:pPr>
        <w:rPr>
          <w:rFonts w:ascii="Arial" w:hAnsi="Arial" w:cs="Arial"/>
          <w:sz w:val="24"/>
        </w:rPr>
      </w:pPr>
      <w:r>
        <w:rPr>
          <w:rFonts w:ascii="Arial" w:hAnsi="Arial" w:cs="Arial"/>
          <w:sz w:val="24"/>
        </w:rPr>
        <w:t>4</w:t>
      </w:r>
      <w:r w:rsidRPr="004026A7">
        <w:rPr>
          <w:rFonts w:ascii="Arial" w:hAnsi="Arial" w:cs="Arial"/>
          <w:sz w:val="24"/>
        </w:rPr>
        <w:t xml:space="preserve">5% </w:t>
      </w:r>
      <w:r>
        <w:rPr>
          <w:rFonts w:ascii="Arial" w:hAnsi="Arial" w:cs="Arial"/>
          <w:sz w:val="24"/>
        </w:rPr>
        <w:t xml:space="preserve">not </w:t>
      </w:r>
      <w:r w:rsidR="00830DB5">
        <w:rPr>
          <w:rFonts w:ascii="Arial" w:hAnsi="Arial" w:cs="Arial"/>
          <w:sz w:val="24"/>
        </w:rPr>
        <w:t>in Education or T</w:t>
      </w:r>
      <w:r w:rsidRPr="004026A7">
        <w:rPr>
          <w:rFonts w:ascii="Arial" w:hAnsi="Arial" w:cs="Arial"/>
          <w:sz w:val="24"/>
        </w:rPr>
        <w:t xml:space="preserve">raining </w:t>
      </w:r>
    </w:p>
    <w:p w14:paraId="2565D12F" w14:textId="77777777" w:rsidR="00B44903" w:rsidRDefault="00B44903" w:rsidP="00B44903">
      <w:pPr>
        <w:pStyle w:val="ListParagraph"/>
        <w:numPr>
          <w:ilvl w:val="0"/>
          <w:numId w:val="24"/>
        </w:numPr>
        <w:rPr>
          <w:rFonts w:ascii="Arial" w:hAnsi="Arial" w:cs="Arial"/>
          <w:sz w:val="24"/>
        </w:rPr>
      </w:pPr>
      <w:r>
        <w:rPr>
          <w:rFonts w:ascii="Arial" w:hAnsi="Arial" w:cs="Arial"/>
          <w:sz w:val="24"/>
        </w:rPr>
        <w:t>Employe</w:t>
      </w:r>
      <w:r w:rsidR="00830DB5">
        <w:rPr>
          <w:rFonts w:ascii="Arial" w:hAnsi="Arial" w:cs="Arial"/>
          <w:sz w:val="24"/>
        </w:rPr>
        <w:t>d full-</w:t>
      </w:r>
      <w:r>
        <w:rPr>
          <w:rFonts w:ascii="Arial" w:hAnsi="Arial" w:cs="Arial"/>
          <w:sz w:val="24"/>
        </w:rPr>
        <w:t>time: 13%</w:t>
      </w:r>
      <w:r w:rsidRPr="00B44903">
        <w:rPr>
          <w:rFonts w:ascii="Arial" w:hAnsi="Arial" w:cs="Arial"/>
          <w:sz w:val="24"/>
        </w:rPr>
        <w:t xml:space="preserve"> </w:t>
      </w:r>
    </w:p>
    <w:p w14:paraId="4E16AE3F" w14:textId="77777777" w:rsidR="00B44903" w:rsidRDefault="00830DB5" w:rsidP="00B44903">
      <w:pPr>
        <w:pStyle w:val="ListParagraph"/>
        <w:numPr>
          <w:ilvl w:val="0"/>
          <w:numId w:val="24"/>
        </w:numPr>
        <w:rPr>
          <w:rFonts w:ascii="Arial" w:hAnsi="Arial" w:cs="Arial"/>
          <w:sz w:val="24"/>
        </w:rPr>
      </w:pPr>
      <w:r>
        <w:rPr>
          <w:rFonts w:ascii="Arial" w:hAnsi="Arial" w:cs="Arial"/>
          <w:sz w:val="24"/>
        </w:rPr>
        <w:t>Employed part-</w:t>
      </w:r>
      <w:r w:rsidR="00B44903">
        <w:rPr>
          <w:rFonts w:ascii="Arial" w:hAnsi="Arial" w:cs="Arial"/>
          <w:sz w:val="24"/>
        </w:rPr>
        <w:t>time: 19%</w:t>
      </w:r>
    </w:p>
    <w:p w14:paraId="57278D3D" w14:textId="77777777" w:rsidR="00B44903" w:rsidRDefault="00B44903" w:rsidP="00B44903">
      <w:pPr>
        <w:pStyle w:val="ListParagraph"/>
        <w:numPr>
          <w:ilvl w:val="0"/>
          <w:numId w:val="24"/>
        </w:numPr>
        <w:rPr>
          <w:rFonts w:ascii="Arial" w:hAnsi="Arial" w:cs="Arial"/>
          <w:sz w:val="24"/>
        </w:rPr>
      </w:pPr>
      <w:r>
        <w:rPr>
          <w:rFonts w:ascii="Arial" w:hAnsi="Arial" w:cs="Arial"/>
          <w:sz w:val="24"/>
        </w:rPr>
        <w:t>Looking for work: 12%</w:t>
      </w:r>
    </w:p>
    <w:p w14:paraId="23623BA6" w14:textId="77777777" w:rsidR="00B44903" w:rsidRDefault="00B44903" w:rsidP="00B44903">
      <w:pPr>
        <w:pStyle w:val="ListParagraph"/>
        <w:numPr>
          <w:ilvl w:val="0"/>
          <w:numId w:val="24"/>
        </w:numPr>
        <w:rPr>
          <w:rFonts w:ascii="Arial" w:hAnsi="Arial" w:cs="Arial"/>
          <w:sz w:val="24"/>
        </w:rPr>
      </w:pPr>
      <w:r>
        <w:rPr>
          <w:rFonts w:ascii="Arial" w:hAnsi="Arial" w:cs="Arial"/>
          <w:sz w:val="24"/>
        </w:rPr>
        <w:t>Not in the labour force, education or training: 2%</w:t>
      </w:r>
    </w:p>
    <w:p w14:paraId="0A9704A8" w14:textId="77777777" w:rsidR="004026A7" w:rsidRDefault="004026A7" w:rsidP="001C3BAE">
      <w:pPr>
        <w:ind w:left="360"/>
        <w:rPr>
          <w:rFonts w:ascii="Arial" w:hAnsi="Arial" w:cs="Arial"/>
          <w:sz w:val="24"/>
        </w:rPr>
      </w:pPr>
    </w:p>
    <w:p w14:paraId="5E9A6118" w14:textId="77777777" w:rsidR="008A37B4" w:rsidRPr="00830DB5" w:rsidRDefault="008A37B4" w:rsidP="00830DB5">
      <w:pPr>
        <w:pStyle w:val="Heading3"/>
        <w:rPr>
          <w:rFonts w:ascii="Arial" w:hAnsi="Arial" w:cs="Arial"/>
          <w:color w:val="auto"/>
          <w:sz w:val="24"/>
        </w:rPr>
      </w:pPr>
      <w:bookmarkStart w:id="54" w:name="_Toc33527779"/>
      <w:r w:rsidRPr="00830DB5">
        <w:rPr>
          <w:rFonts w:ascii="Arial" w:hAnsi="Arial" w:cs="Arial"/>
          <w:color w:val="auto"/>
          <w:sz w:val="24"/>
        </w:rPr>
        <w:t>4.13</w:t>
      </w:r>
      <w:r w:rsidRPr="00830DB5">
        <w:rPr>
          <w:rFonts w:ascii="Arial" w:hAnsi="Arial" w:cs="Arial"/>
          <w:color w:val="auto"/>
          <w:sz w:val="24"/>
        </w:rPr>
        <w:tab/>
        <w:t>Leaving school early is associated with lower socioeconomic status, poor school attendance and school mobility</w:t>
      </w:r>
      <w:bookmarkEnd w:id="54"/>
    </w:p>
    <w:p w14:paraId="638BBB2B" w14:textId="77777777" w:rsidR="008A37B4" w:rsidRDefault="008A37B4" w:rsidP="008A37B4">
      <w:pPr>
        <w:rPr>
          <w:rFonts w:ascii="Arial" w:hAnsi="Arial" w:cs="Arial"/>
          <w:sz w:val="24"/>
        </w:rPr>
      </w:pPr>
      <w:r w:rsidRPr="008A37B4">
        <w:rPr>
          <w:rFonts w:ascii="Arial" w:hAnsi="Arial" w:cs="Arial"/>
          <w:sz w:val="24"/>
        </w:rPr>
        <w:t>Risks for early school leaving include a range of personal, family, societal and school factors. Significantly, there is consensus among researchers that the decision to drop out of school is not solely influenced by a student’s school experience, but also by</w:t>
      </w:r>
      <w:r>
        <w:rPr>
          <w:rFonts w:ascii="Arial" w:hAnsi="Arial" w:cs="Arial"/>
          <w:sz w:val="24"/>
        </w:rPr>
        <w:t xml:space="preserve"> </w:t>
      </w:r>
      <w:r w:rsidRPr="008A37B4">
        <w:rPr>
          <w:rFonts w:ascii="Arial" w:hAnsi="Arial" w:cs="Arial"/>
          <w:sz w:val="24"/>
        </w:rPr>
        <w:t>the behaviours and activities of students outside of school (Rumberger &amp; Rotermund, 2012). For example, the socioeconomic background of students affects their school engagement levels, with non-completing students much more likely to come from lower socioeconomic status backgrounds (Lamb, Walstab, Teese, Vickers, &amp; Rumberger, 2004).</w:t>
      </w:r>
    </w:p>
    <w:p w14:paraId="02985E94" w14:textId="77777777" w:rsidR="00651C35" w:rsidRPr="00651C35" w:rsidRDefault="00651C35" w:rsidP="00651C35">
      <w:pPr>
        <w:rPr>
          <w:rFonts w:ascii="Arial" w:hAnsi="Arial" w:cs="Arial"/>
          <w:sz w:val="24"/>
        </w:rPr>
      </w:pPr>
      <w:r w:rsidRPr="00651C35">
        <w:rPr>
          <w:rFonts w:ascii="Arial" w:hAnsi="Arial" w:cs="Arial"/>
          <w:sz w:val="24"/>
        </w:rPr>
        <w:t>Children from highly mobile households, of parents with lower education levels and/ or experiencing financial strain, or of poor physical or mental health often attend school less frequently than their peers (Hancock, Shepherd, Lawrence, &amp; Zubrick, 2013; Redmond, et al., 2016; Productivity Commission, 2019). DET analysis shows that Victorian students who leave school before completing Year 12 are substantially more likely than their peers to be chronically absent for each year of their schooling, a pattern that is evident from Prep. For instance, while 23 per cent of Year 9 students</w:t>
      </w:r>
      <w:r>
        <w:rPr>
          <w:rFonts w:ascii="Arial" w:hAnsi="Arial" w:cs="Arial"/>
          <w:sz w:val="24"/>
        </w:rPr>
        <w:t xml:space="preserve"> </w:t>
      </w:r>
      <w:r w:rsidRPr="00651C35">
        <w:rPr>
          <w:rFonts w:ascii="Arial" w:hAnsi="Arial" w:cs="Arial"/>
          <w:sz w:val="24"/>
        </w:rPr>
        <w:t>in Victorian government schools were chronically absent in 2017, the rate was 59 per cent among Year 9 students who left school before completing the year. Among the latter students, chronic absenteeism rates were visibly higher than the state average as far back as Prep (21 per cent vs eight per cent). This means that students at risk of leaving school without completing Year 12 can potentially be identified and supported in their first years of school. School attendance patterns are known to be influenced by factors in the home and local environment.</w:t>
      </w:r>
    </w:p>
    <w:p w14:paraId="2A711435" w14:textId="77777777" w:rsidR="00651C35" w:rsidRDefault="00651C35" w:rsidP="00651C35">
      <w:pPr>
        <w:rPr>
          <w:rFonts w:ascii="Arial" w:hAnsi="Arial" w:cs="Arial"/>
          <w:sz w:val="24"/>
        </w:rPr>
      </w:pPr>
      <w:r w:rsidRPr="00651C35">
        <w:rPr>
          <w:rFonts w:ascii="Arial" w:hAnsi="Arial" w:cs="Arial"/>
          <w:sz w:val="24"/>
        </w:rPr>
        <w:t xml:space="preserve">Changing schools also has a strong association with the likelihood of leaving school early. Research conducted in New South Wales has found that even after controlling for other disadvantage factors, on average changing schools once during Years 7 to 10 increases the probability of students leaving school by 12 per cent. This increases </w:t>
      </w:r>
      <w:r w:rsidRPr="00651C35">
        <w:rPr>
          <w:rFonts w:ascii="Arial" w:hAnsi="Arial" w:cs="Arial"/>
          <w:sz w:val="24"/>
        </w:rPr>
        <w:lastRenderedPageBreak/>
        <w:t>to 21 per cent for students who move schools twice, and 29 per cent for students who move schools three times (Lu &amp; Rickard, 2016). In 2016, analysis by DET showed that highly mobile students (those who have changed school three or more times) in Victoria</w:t>
      </w:r>
      <w:r>
        <w:rPr>
          <w:rFonts w:ascii="Arial" w:hAnsi="Arial" w:cs="Arial"/>
          <w:sz w:val="24"/>
        </w:rPr>
        <w:t xml:space="preserve"> </w:t>
      </w:r>
      <w:r w:rsidRPr="00651C35">
        <w:rPr>
          <w:rFonts w:ascii="Arial" w:hAnsi="Arial" w:cs="Arial"/>
          <w:sz w:val="24"/>
        </w:rPr>
        <w:t>were three times more likely to be early leavers than the general student population.</w:t>
      </w:r>
    </w:p>
    <w:p w14:paraId="4F20F0D3" w14:textId="77777777" w:rsidR="000C207C" w:rsidRPr="000C207C" w:rsidRDefault="000C207C" w:rsidP="000C207C">
      <w:pPr>
        <w:pBdr>
          <w:top w:val="single" w:sz="4" w:space="1" w:color="auto"/>
          <w:left w:val="single" w:sz="4" w:space="4" w:color="auto"/>
          <w:bottom w:val="single" w:sz="4" w:space="1" w:color="auto"/>
          <w:right w:val="single" w:sz="4" w:space="4" w:color="auto"/>
        </w:pBdr>
        <w:rPr>
          <w:rFonts w:ascii="Arial" w:hAnsi="Arial" w:cs="Arial"/>
          <w:b/>
          <w:sz w:val="24"/>
        </w:rPr>
      </w:pPr>
      <w:r w:rsidRPr="000C207C">
        <w:rPr>
          <w:rFonts w:ascii="Arial" w:hAnsi="Arial" w:cs="Arial"/>
          <w:b/>
          <w:sz w:val="24"/>
        </w:rPr>
        <w:t>Programs addressing student disengagement: DET Navigator program</w:t>
      </w:r>
    </w:p>
    <w:p w14:paraId="3DC3A8A4" w14:textId="77777777" w:rsidR="000C207C" w:rsidRPr="000C207C" w:rsidRDefault="000C207C" w:rsidP="000C207C">
      <w:pPr>
        <w:pBdr>
          <w:top w:val="single" w:sz="4" w:space="1" w:color="auto"/>
          <w:left w:val="single" w:sz="4" w:space="4" w:color="auto"/>
          <w:bottom w:val="single" w:sz="4" w:space="1" w:color="auto"/>
          <w:right w:val="single" w:sz="4" w:space="4" w:color="auto"/>
        </w:pBdr>
        <w:rPr>
          <w:rFonts w:ascii="Arial" w:hAnsi="Arial" w:cs="Arial"/>
          <w:sz w:val="24"/>
        </w:rPr>
      </w:pPr>
      <w:r w:rsidRPr="000C207C">
        <w:rPr>
          <w:rFonts w:ascii="Arial" w:hAnsi="Arial" w:cs="Arial"/>
          <w:sz w:val="24"/>
        </w:rPr>
        <w:t>The Navigator program supports young people aged 12-17 years who are not connected to schools at all or are at risk of disengaging. It provides intensive case management and assertive outreach support to disengaged learners. The program is delivered by community agencies and works with these young people and their support networks</w:t>
      </w:r>
      <w:r>
        <w:rPr>
          <w:rFonts w:ascii="Arial" w:hAnsi="Arial" w:cs="Arial"/>
          <w:sz w:val="24"/>
        </w:rPr>
        <w:t xml:space="preserve"> </w:t>
      </w:r>
      <w:r w:rsidRPr="000C207C">
        <w:rPr>
          <w:rFonts w:ascii="Arial" w:hAnsi="Arial" w:cs="Arial"/>
          <w:sz w:val="24"/>
        </w:rPr>
        <w:t>to return them to education.</w:t>
      </w:r>
    </w:p>
    <w:p w14:paraId="16297B31" w14:textId="77777777" w:rsidR="000C207C" w:rsidRPr="000C207C" w:rsidRDefault="000C207C" w:rsidP="000C207C">
      <w:pPr>
        <w:pBdr>
          <w:top w:val="single" w:sz="4" w:space="1" w:color="auto"/>
          <w:left w:val="single" w:sz="4" w:space="4" w:color="auto"/>
          <w:bottom w:val="single" w:sz="4" w:space="1" w:color="auto"/>
          <w:right w:val="single" w:sz="4" w:space="4" w:color="auto"/>
        </w:pBdr>
        <w:rPr>
          <w:rFonts w:ascii="Arial" w:hAnsi="Arial" w:cs="Arial"/>
          <w:sz w:val="24"/>
        </w:rPr>
      </w:pPr>
      <w:r w:rsidRPr="000C207C">
        <w:rPr>
          <w:rFonts w:ascii="Arial" w:hAnsi="Arial" w:cs="Arial"/>
          <w:sz w:val="24"/>
        </w:rPr>
        <w:t>After a successful pilot in eight areas across the state, the Victorian Government has committed $44 million to continue Navigator in existing areas as well as statewide expansion over the next three years. This reflects the Government’s commitment to breaking the link between disadvantage and worse life opportunities, and to reduce the proportion of students who leave school before completing Year 12.</w:t>
      </w:r>
    </w:p>
    <w:p w14:paraId="5067B196" w14:textId="77777777" w:rsidR="000C207C" w:rsidRDefault="000C207C" w:rsidP="000C207C">
      <w:pPr>
        <w:pBdr>
          <w:top w:val="single" w:sz="4" w:space="1" w:color="auto"/>
          <w:left w:val="single" w:sz="4" w:space="4" w:color="auto"/>
          <w:bottom w:val="single" w:sz="4" w:space="1" w:color="auto"/>
          <w:right w:val="single" w:sz="4" w:space="4" w:color="auto"/>
        </w:pBdr>
        <w:rPr>
          <w:rFonts w:ascii="Arial" w:hAnsi="Arial" w:cs="Arial"/>
          <w:sz w:val="24"/>
        </w:rPr>
      </w:pPr>
      <w:r w:rsidRPr="000C207C">
        <w:rPr>
          <w:rFonts w:ascii="Arial" w:hAnsi="Arial" w:cs="Arial"/>
          <w:sz w:val="24"/>
        </w:rPr>
        <w:t>As at December 2018, 2,631 referrals had been received in total since the program commenced, 1,810 clients had received case management and a total of 1,379 young people had returned to education.</w:t>
      </w:r>
    </w:p>
    <w:p w14:paraId="35149678" w14:textId="332FE852" w:rsidR="009C1408" w:rsidRDefault="009C1408">
      <w:pPr>
        <w:rPr>
          <w:rFonts w:ascii="Arial" w:hAnsi="Arial" w:cs="Arial"/>
          <w:sz w:val="24"/>
        </w:rPr>
      </w:pPr>
      <w:r>
        <w:rPr>
          <w:rFonts w:ascii="Arial" w:hAnsi="Arial" w:cs="Arial"/>
          <w:sz w:val="24"/>
        </w:rPr>
        <w:br w:type="page"/>
      </w:r>
    </w:p>
    <w:p w14:paraId="71DD3E4D" w14:textId="77777777" w:rsidR="009C1408" w:rsidRPr="00B9145B" w:rsidRDefault="00083FA3" w:rsidP="00B9145B">
      <w:pPr>
        <w:pStyle w:val="Heading1"/>
        <w:rPr>
          <w:rFonts w:ascii="Arial" w:hAnsi="Arial" w:cs="Arial"/>
        </w:rPr>
      </w:pPr>
      <w:bookmarkStart w:id="55" w:name="_Toc33527780"/>
      <w:r w:rsidRPr="00B9145B">
        <w:rPr>
          <w:rFonts w:ascii="Arial" w:hAnsi="Arial" w:cs="Arial"/>
        </w:rPr>
        <w:lastRenderedPageBreak/>
        <w:t>SAFE FAMILIES AND COMMUNITIES</w:t>
      </w:r>
      <w:bookmarkEnd w:id="55"/>
    </w:p>
    <w:p w14:paraId="4FABFF77" w14:textId="77777777" w:rsidR="00083FA3" w:rsidRPr="00B9145B" w:rsidRDefault="00083FA3" w:rsidP="00B9145B">
      <w:pPr>
        <w:pStyle w:val="Heading2"/>
        <w:rPr>
          <w:rFonts w:ascii="Arial" w:hAnsi="Arial" w:cs="Arial"/>
          <w:color w:val="auto"/>
        </w:rPr>
      </w:pPr>
      <w:bookmarkStart w:id="56" w:name="_Toc33527781"/>
      <w:r w:rsidRPr="00B9145B">
        <w:rPr>
          <w:rFonts w:ascii="Arial" w:hAnsi="Arial" w:cs="Arial"/>
          <w:color w:val="auto"/>
        </w:rPr>
        <w:t>INFOGRAPHIC</w:t>
      </w:r>
      <w:r w:rsidR="00B9145B" w:rsidRPr="00B9145B">
        <w:rPr>
          <w:rFonts w:ascii="Arial" w:hAnsi="Arial" w:cs="Arial"/>
          <w:color w:val="auto"/>
        </w:rPr>
        <w:t xml:space="preserve"> SUMMARY</w:t>
      </w:r>
      <w:bookmarkEnd w:id="56"/>
    </w:p>
    <w:p w14:paraId="14745CDD" w14:textId="77777777" w:rsidR="000E32C5" w:rsidRDefault="000E32C5" w:rsidP="000E32C5">
      <w:pPr>
        <w:rPr>
          <w:rFonts w:ascii="Arial" w:hAnsi="Arial" w:cs="Arial"/>
        </w:rPr>
      </w:pPr>
      <w:r w:rsidRPr="000E32C5">
        <w:rPr>
          <w:rFonts w:ascii="Arial" w:hAnsi="Arial" w:cs="Arial"/>
          <w:sz w:val="24"/>
        </w:rPr>
        <w:t>Safe communities and supportive family environments are major protective factors in adolescence, enabling young people to achieve their potential while avoiding risks to their health and wellbeing.</w:t>
      </w:r>
    </w:p>
    <w:p w14:paraId="4F1B3B96" w14:textId="77777777" w:rsidR="00DF0289" w:rsidRPr="00DF0289" w:rsidRDefault="000E32C5" w:rsidP="000E32C5">
      <w:pPr>
        <w:rPr>
          <w:rFonts w:ascii="Arial" w:hAnsi="Arial" w:cs="Arial"/>
          <w:b/>
          <w:sz w:val="24"/>
        </w:rPr>
      </w:pPr>
      <w:r w:rsidRPr="00DF0289">
        <w:rPr>
          <w:rFonts w:ascii="Arial" w:hAnsi="Arial" w:cs="Arial"/>
          <w:b/>
          <w:sz w:val="24"/>
        </w:rPr>
        <w:t>Trusted adults</w:t>
      </w:r>
    </w:p>
    <w:p w14:paraId="62C9D743" w14:textId="77777777" w:rsidR="00DF0289" w:rsidRDefault="00DF0289" w:rsidP="00DF0289">
      <w:pPr>
        <w:rPr>
          <w:rFonts w:ascii="Arial" w:hAnsi="Arial" w:cs="Arial"/>
          <w:i/>
          <w:sz w:val="24"/>
        </w:rPr>
      </w:pPr>
      <w:r w:rsidRPr="00DF0289">
        <w:rPr>
          <w:rFonts w:ascii="Arial" w:hAnsi="Arial" w:cs="Arial"/>
          <w:i/>
          <w:sz w:val="24"/>
        </w:rPr>
        <w:t>Adolescents who believe their parents, close senior family members or guardians are there for them are more likely to have better health, be happier and do better at school than their peers.</w:t>
      </w:r>
    </w:p>
    <w:p w14:paraId="74540326" w14:textId="77777777" w:rsidR="00E1133D" w:rsidRPr="00E1133D" w:rsidRDefault="00E1133D" w:rsidP="00E1133D">
      <w:pPr>
        <w:pStyle w:val="ListParagraph"/>
        <w:numPr>
          <w:ilvl w:val="0"/>
          <w:numId w:val="43"/>
        </w:numPr>
        <w:rPr>
          <w:rFonts w:ascii="Arial" w:hAnsi="Arial" w:cs="Arial"/>
          <w:sz w:val="24"/>
        </w:rPr>
      </w:pPr>
      <w:r w:rsidRPr="00E1133D">
        <w:rPr>
          <w:rFonts w:ascii="Arial" w:hAnsi="Arial" w:cs="Arial"/>
          <w:sz w:val="24"/>
        </w:rPr>
        <w:t>Around 2 in 3 Victorian adolescents (65 per cent) reported that they had a trusted adult in their lives.</w:t>
      </w:r>
    </w:p>
    <w:p w14:paraId="5609B287" w14:textId="77777777" w:rsidR="00E1133D" w:rsidRDefault="00E1133D" w:rsidP="00E1133D">
      <w:pPr>
        <w:pStyle w:val="ListParagraph"/>
        <w:numPr>
          <w:ilvl w:val="0"/>
          <w:numId w:val="43"/>
        </w:numPr>
        <w:rPr>
          <w:rFonts w:ascii="Arial" w:hAnsi="Arial" w:cs="Arial"/>
          <w:sz w:val="24"/>
        </w:rPr>
      </w:pPr>
      <w:r w:rsidRPr="00E1133D">
        <w:rPr>
          <w:rFonts w:ascii="Arial" w:hAnsi="Arial" w:cs="Arial"/>
          <w:sz w:val="24"/>
        </w:rPr>
        <w:t>Young people in regional areas (70 per cent) were more likely to report having a trusted adult, compared to those in metro areas (63 per cent).</w:t>
      </w:r>
    </w:p>
    <w:p w14:paraId="4D12CA45" w14:textId="77777777" w:rsidR="00E1133D" w:rsidRDefault="00E1133D" w:rsidP="00E1133D">
      <w:pPr>
        <w:rPr>
          <w:rFonts w:ascii="Arial" w:hAnsi="Arial" w:cs="Arial"/>
          <w:i/>
          <w:sz w:val="24"/>
        </w:rPr>
      </w:pPr>
      <w:r w:rsidRPr="00E1133D">
        <w:rPr>
          <w:rFonts w:ascii="Arial" w:hAnsi="Arial" w:cs="Arial"/>
          <w:i/>
          <w:sz w:val="24"/>
        </w:rPr>
        <w:t>Source: Victorian Student Health and Wellbeing Survey 2018</w:t>
      </w:r>
    </w:p>
    <w:p w14:paraId="64E6A21D" w14:textId="77777777" w:rsidR="00E1133D" w:rsidRPr="00764A5C" w:rsidRDefault="00764A5C" w:rsidP="00E1133D">
      <w:pPr>
        <w:rPr>
          <w:rFonts w:ascii="Arial" w:hAnsi="Arial" w:cs="Arial"/>
          <w:b/>
          <w:sz w:val="24"/>
        </w:rPr>
      </w:pPr>
      <w:r w:rsidRPr="00764A5C">
        <w:rPr>
          <w:rFonts w:ascii="Arial" w:hAnsi="Arial" w:cs="Arial"/>
          <w:b/>
          <w:sz w:val="24"/>
        </w:rPr>
        <w:t>Family violence</w:t>
      </w:r>
    </w:p>
    <w:p w14:paraId="7EE625B2" w14:textId="77777777" w:rsidR="00764A5C" w:rsidRDefault="00764A5C" w:rsidP="00764A5C">
      <w:pPr>
        <w:rPr>
          <w:rFonts w:ascii="Arial" w:hAnsi="Arial" w:cs="Arial"/>
          <w:i/>
        </w:rPr>
      </w:pPr>
      <w:r w:rsidRPr="00764A5C">
        <w:rPr>
          <w:rFonts w:ascii="Arial" w:hAnsi="Arial" w:cs="Arial"/>
          <w:i/>
          <w:sz w:val="24"/>
        </w:rPr>
        <w:t>Exposure to family violence in adolescence can be a traumatic experience, with strong potential effects on future wellbeing.</w:t>
      </w:r>
    </w:p>
    <w:p w14:paraId="5E4124D5" w14:textId="77777777" w:rsidR="00193DC5" w:rsidRPr="00193DC5" w:rsidRDefault="00193DC5" w:rsidP="00193DC5">
      <w:pPr>
        <w:pStyle w:val="ListParagraph"/>
        <w:numPr>
          <w:ilvl w:val="0"/>
          <w:numId w:val="43"/>
        </w:numPr>
        <w:rPr>
          <w:rFonts w:ascii="Arial" w:hAnsi="Arial" w:cs="Arial"/>
          <w:sz w:val="24"/>
        </w:rPr>
      </w:pPr>
      <w:r w:rsidRPr="00193DC5">
        <w:rPr>
          <w:rFonts w:ascii="Arial" w:hAnsi="Arial" w:cs="Arial"/>
          <w:sz w:val="24"/>
        </w:rPr>
        <w:t>In 2017–18, 1 in 10 people affected by incidents of family violence were aged 10–19</w:t>
      </w:r>
    </w:p>
    <w:p w14:paraId="042EF34C" w14:textId="77777777" w:rsidR="00D66D19" w:rsidRPr="00D66D19" w:rsidRDefault="00193DC5" w:rsidP="00193DC5">
      <w:pPr>
        <w:pStyle w:val="ListParagraph"/>
        <w:numPr>
          <w:ilvl w:val="0"/>
          <w:numId w:val="43"/>
        </w:numPr>
        <w:rPr>
          <w:rFonts w:ascii="Arial" w:hAnsi="Arial" w:cs="Arial"/>
          <w:i/>
        </w:rPr>
      </w:pPr>
      <w:r w:rsidRPr="00193DC5">
        <w:rPr>
          <w:rFonts w:ascii="Arial" w:hAnsi="Arial" w:cs="Arial"/>
          <w:sz w:val="24"/>
        </w:rPr>
        <w:t>Half of all cases within this cohort (50 per cent), involved young women aged 15–19.</w:t>
      </w:r>
    </w:p>
    <w:p w14:paraId="18385E03" w14:textId="77777777" w:rsidR="00D66D19" w:rsidRDefault="00D66D19" w:rsidP="00D66D19">
      <w:pPr>
        <w:rPr>
          <w:rFonts w:ascii="Arial" w:hAnsi="Arial" w:cs="Arial"/>
          <w:i/>
        </w:rPr>
      </w:pPr>
      <w:r w:rsidRPr="00D66D19">
        <w:rPr>
          <w:rFonts w:ascii="Arial" w:hAnsi="Arial" w:cs="Arial"/>
          <w:i/>
          <w:sz w:val="24"/>
        </w:rPr>
        <w:t>Source: Crime Statistics Agency, 2017-2018</w:t>
      </w:r>
    </w:p>
    <w:p w14:paraId="457B63CB" w14:textId="77777777" w:rsidR="00C83539" w:rsidRDefault="00C83539" w:rsidP="00D66D19">
      <w:pPr>
        <w:rPr>
          <w:rFonts w:ascii="Arial" w:hAnsi="Arial" w:cs="Arial"/>
          <w:b/>
          <w:sz w:val="24"/>
        </w:rPr>
      </w:pPr>
      <w:r w:rsidRPr="00C83539">
        <w:rPr>
          <w:rFonts w:ascii="Arial" w:hAnsi="Arial" w:cs="Arial"/>
          <w:b/>
          <w:sz w:val="24"/>
        </w:rPr>
        <w:t>Family conflict</w:t>
      </w:r>
    </w:p>
    <w:p w14:paraId="29B04042" w14:textId="77777777" w:rsidR="004756D3" w:rsidRDefault="004756D3" w:rsidP="004756D3">
      <w:pPr>
        <w:rPr>
          <w:rFonts w:ascii="Arial" w:hAnsi="Arial" w:cs="Arial"/>
          <w:i/>
        </w:rPr>
      </w:pPr>
      <w:r w:rsidRPr="004756D3">
        <w:rPr>
          <w:rFonts w:ascii="Arial" w:hAnsi="Arial" w:cs="Arial"/>
          <w:i/>
          <w:sz w:val="24"/>
        </w:rPr>
        <w:t>While conflict with family members can be a normal part of adolescent social development, serious family conflict can contribute to poorer physical and mental health outcomes.</w:t>
      </w:r>
    </w:p>
    <w:p w14:paraId="699DF1D3" w14:textId="77777777" w:rsidR="00801910" w:rsidRPr="00801910" w:rsidRDefault="00801910" w:rsidP="00801910">
      <w:pPr>
        <w:pStyle w:val="ListParagraph"/>
        <w:numPr>
          <w:ilvl w:val="0"/>
          <w:numId w:val="43"/>
        </w:numPr>
        <w:rPr>
          <w:rFonts w:ascii="Arial" w:hAnsi="Arial" w:cs="Arial"/>
          <w:sz w:val="24"/>
        </w:rPr>
      </w:pPr>
      <w:r w:rsidRPr="00801910">
        <w:rPr>
          <w:rFonts w:ascii="Arial" w:hAnsi="Arial" w:cs="Arial"/>
          <w:sz w:val="24"/>
        </w:rPr>
        <w:t>Around 1 in 3 Year 8 and Year 11 students reported an experience of serious family conflict in 2018.</w:t>
      </w:r>
    </w:p>
    <w:p w14:paraId="6B53214A" w14:textId="77777777" w:rsidR="00801910" w:rsidRPr="00801910" w:rsidRDefault="00801910" w:rsidP="00801910">
      <w:pPr>
        <w:pStyle w:val="ListParagraph"/>
        <w:numPr>
          <w:ilvl w:val="0"/>
          <w:numId w:val="43"/>
        </w:numPr>
        <w:rPr>
          <w:rFonts w:ascii="Arial" w:hAnsi="Arial" w:cs="Arial"/>
          <w:i/>
        </w:rPr>
      </w:pPr>
      <w:r w:rsidRPr="00801910">
        <w:rPr>
          <w:rFonts w:ascii="Arial" w:hAnsi="Arial" w:cs="Arial"/>
          <w:sz w:val="24"/>
        </w:rPr>
        <w:t>Conflicts were more likely to be reported by women and young people in one-parent families.</w:t>
      </w:r>
    </w:p>
    <w:p w14:paraId="6F30F476" w14:textId="77777777" w:rsidR="00321EFB" w:rsidRPr="00321EFB" w:rsidRDefault="00083FA3" w:rsidP="00321EFB">
      <w:pPr>
        <w:rPr>
          <w:rFonts w:ascii="Arial" w:hAnsi="Arial" w:cs="Arial"/>
          <w:i/>
        </w:rPr>
      </w:pPr>
      <w:r w:rsidRPr="00321EFB">
        <w:rPr>
          <w:rFonts w:ascii="Arial" w:hAnsi="Arial" w:cs="Arial"/>
          <w:i/>
        </w:rPr>
        <w:br w:type="page"/>
      </w:r>
    </w:p>
    <w:tbl>
      <w:tblPr>
        <w:tblStyle w:val="TableGrid"/>
        <w:tblW w:w="0" w:type="auto"/>
        <w:tblLook w:val="04A0" w:firstRow="1" w:lastRow="0" w:firstColumn="1" w:lastColumn="0" w:noHBand="0" w:noVBand="1"/>
        <w:tblDescription w:val="This table shows the proportion of Year 8 and 11 students reporting family conflict by selected family characteristics, 2018"/>
      </w:tblPr>
      <w:tblGrid>
        <w:gridCol w:w="1141"/>
        <w:gridCol w:w="1111"/>
        <w:gridCol w:w="1128"/>
        <w:gridCol w:w="1128"/>
        <w:gridCol w:w="1122"/>
        <w:gridCol w:w="1164"/>
        <w:gridCol w:w="1111"/>
        <w:gridCol w:w="1111"/>
      </w:tblGrid>
      <w:tr w:rsidR="00321EFB" w:rsidRPr="007B15C3" w14:paraId="3AF01BDC" w14:textId="77777777" w:rsidTr="007B15C3">
        <w:trPr>
          <w:tblHeader/>
        </w:trPr>
        <w:tc>
          <w:tcPr>
            <w:tcW w:w="1155" w:type="dxa"/>
          </w:tcPr>
          <w:p w14:paraId="441F5851" w14:textId="77777777" w:rsidR="00321EFB" w:rsidRPr="007B15C3" w:rsidRDefault="00321EFB" w:rsidP="00321EFB">
            <w:pPr>
              <w:rPr>
                <w:rFonts w:ascii="Arial" w:hAnsi="Arial" w:cs="Arial"/>
                <w:sz w:val="24"/>
              </w:rPr>
            </w:pPr>
            <w:r w:rsidRPr="007B15C3">
              <w:rPr>
                <w:rFonts w:ascii="Arial" w:hAnsi="Arial" w:cs="Arial"/>
                <w:sz w:val="24"/>
              </w:rPr>
              <w:lastRenderedPageBreak/>
              <w:t>Female</w:t>
            </w:r>
          </w:p>
        </w:tc>
        <w:tc>
          <w:tcPr>
            <w:tcW w:w="1153" w:type="dxa"/>
          </w:tcPr>
          <w:p w14:paraId="018BE23D" w14:textId="77777777" w:rsidR="00321EFB" w:rsidRPr="007B15C3" w:rsidRDefault="00321EFB" w:rsidP="00321EFB">
            <w:pPr>
              <w:rPr>
                <w:rFonts w:ascii="Arial" w:hAnsi="Arial" w:cs="Arial"/>
                <w:sz w:val="24"/>
              </w:rPr>
            </w:pPr>
            <w:r w:rsidRPr="007B15C3">
              <w:rPr>
                <w:rFonts w:ascii="Arial" w:hAnsi="Arial" w:cs="Arial"/>
                <w:sz w:val="24"/>
              </w:rPr>
              <w:t>Male</w:t>
            </w:r>
          </w:p>
        </w:tc>
        <w:tc>
          <w:tcPr>
            <w:tcW w:w="1154" w:type="dxa"/>
          </w:tcPr>
          <w:p w14:paraId="6E72E439" w14:textId="77777777" w:rsidR="00321EFB" w:rsidRPr="007B15C3" w:rsidRDefault="00321EFB" w:rsidP="00321EFB">
            <w:pPr>
              <w:rPr>
                <w:rFonts w:ascii="Arial" w:hAnsi="Arial" w:cs="Arial"/>
                <w:sz w:val="24"/>
              </w:rPr>
            </w:pPr>
            <w:r w:rsidRPr="007B15C3">
              <w:rPr>
                <w:rFonts w:ascii="Arial" w:hAnsi="Arial" w:cs="Arial"/>
                <w:sz w:val="24"/>
              </w:rPr>
              <w:t>Two-parent</w:t>
            </w:r>
          </w:p>
        </w:tc>
        <w:tc>
          <w:tcPr>
            <w:tcW w:w="1154" w:type="dxa"/>
          </w:tcPr>
          <w:p w14:paraId="48AA4309" w14:textId="77777777" w:rsidR="00321EFB" w:rsidRPr="007B15C3" w:rsidRDefault="00321EFB" w:rsidP="00321EFB">
            <w:pPr>
              <w:rPr>
                <w:rFonts w:ascii="Arial" w:hAnsi="Arial" w:cs="Arial"/>
                <w:sz w:val="24"/>
              </w:rPr>
            </w:pPr>
            <w:r w:rsidRPr="007B15C3">
              <w:rPr>
                <w:rFonts w:ascii="Arial" w:hAnsi="Arial" w:cs="Arial"/>
                <w:sz w:val="24"/>
              </w:rPr>
              <w:t>One-parent</w:t>
            </w:r>
          </w:p>
        </w:tc>
        <w:tc>
          <w:tcPr>
            <w:tcW w:w="1154" w:type="dxa"/>
          </w:tcPr>
          <w:p w14:paraId="46DA9E0A" w14:textId="77777777" w:rsidR="00321EFB" w:rsidRPr="007B15C3" w:rsidRDefault="00321EFB" w:rsidP="00321EFB">
            <w:pPr>
              <w:rPr>
                <w:rFonts w:ascii="Arial" w:hAnsi="Arial" w:cs="Arial"/>
                <w:sz w:val="24"/>
              </w:rPr>
            </w:pPr>
            <w:r w:rsidRPr="007B15C3">
              <w:rPr>
                <w:rFonts w:ascii="Arial" w:hAnsi="Arial" w:cs="Arial"/>
                <w:sz w:val="24"/>
              </w:rPr>
              <w:t>Metro</w:t>
            </w:r>
          </w:p>
        </w:tc>
        <w:tc>
          <w:tcPr>
            <w:tcW w:w="1164" w:type="dxa"/>
          </w:tcPr>
          <w:p w14:paraId="4BEDC371" w14:textId="77777777" w:rsidR="00321EFB" w:rsidRPr="007B15C3" w:rsidRDefault="00321EFB" w:rsidP="00321EFB">
            <w:pPr>
              <w:rPr>
                <w:rFonts w:ascii="Arial" w:hAnsi="Arial" w:cs="Arial"/>
                <w:sz w:val="24"/>
              </w:rPr>
            </w:pPr>
            <w:r w:rsidRPr="007B15C3">
              <w:rPr>
                <w:rFonts w:ascii="Arial" w:hAnsi="Arial" w:cs="Arial"/>
                <w:sz w:val="24"/>
              </w:rPr>
              <w:t>Regional</w:t>
            </w:r>
          </w:p>
        </w:tc>
        <w:tc>
          <w:tcPr>
            <w:tcW w:w="1154" w:type="dxa"/>
          </w:tcPr>
          <w:p w14:paraId="7B6FAFC5" w14:textId="77777777" w:rsidR="00321EFB" w:rsidRPr="007B15C3" w:rsidRDefault="00321EFB" w:rsidP="00321EFB">
            <w:pPr>
              <w:rPr>
                <w:rFonts w:ascii="Arial" w:hAnsi="Arial" w:cs="Arial"/>
                <w:sz w:val="24"/>
              </w:rPr>
            </w:pPr>
            <w:r w:rsidRPr="007B15C3">
              <w:rPr>
                <w:rFonts w:ascii="Arial" w:hAnsi="Arial" w:cs="Arial"/>
                <w:sz w:val="24"/>
              </w:rPr>
              <w:t>Year 8</w:t>
            </w:r>
          </w:p>
        </w:tc>
        <w:tc>
          <w:tcPr>
            <w:tcW w:w="1154" w:type="dxa"/>
          </w:tcPr>
          <w:p w14:paraId="06B72416" w14:textId="77777777" w:rsidR="00321EFB" w:rsidRPr="007B15C3" w:rsidRDefault="00321EFB" w:rsidP="00321EFB">
            <w:pPr>
              <w:rPr>
                <w:rFonts w:ascii="Arial" w:hAnsi="Arial" w:cs="Arial"/>
                <w:sz w:val="24"/>
              </w:rPr>
            </w:pPr>
            <w:r w:rsidRPr="007B15C3">
              <w:rPr>
                <w:rFonts w:ascii="Arial" w:hAnsi="Arial" w:cs="Arial"/>
                <w:sz w:val="24"/>
              </w:rPr>
              <w:t>Year 11</w:t>
            </w:r>
          </w:p>
        </w:tc>
      </w:tr>
      <w:tr w:rsidR="00321EFB" w:rsidRPr="007B15C3" w14:paraId="59388B84" w14:textId="77777777" w:rsidTr="007B15C3">
        <w:tc>
          <w:tcPr>
            <w:tcW w:w="1155" w:type="dxa"/>
          </w:tcPr>
          <w:p w14:paraId="2869A5C8" w14:textId="77777777" w:rsidR="00321EFB" w:rsidRPr="007B15C3" w:rsidRDefault="00321EFB" w:rsidP="00321EFB">
            <w:pPr>
              <w:rPr>
                <w:rFonts w:ascii="Arial" w:hAnsi="Arial" w:cs="Arial"/>
                <w:sz w:val="24"/>
              </w:rPr>
            </w:pPr>
            <w:r w:rsidRPr="007B15C3">
              <w:rPr>
                <w:rFonts w:ascii="Arial" w:hAnsi="Arial" w:cs="Arial"/>
                <w:sz w:val="24"/>
              </w:rPr>
              <w:t>35%</w:t>
            </w:r>
          </w:p>
        </w:tc>
        <w:tc>
          <w:tcPr>
            <w:tcW w:w="1153" w:type="dxa"/>
          </w:tcPr>
          <w:p w14:paraId="7809C1D8" w14:textId="77777777" w:rsidR="00321EFB" w:rsidRPr="007B15C3" w:rsidRDefault="00321EFB" w:rsidP="00321EFB">
            <w:pPr>
              <w:rPr>
                <w:rFonts w:ascii="Arial" w:hAnsi="Arial" w:cs="Arial"/>
                <w:sz w:val="24"/>
              </w:rPr>
            </w:pPr>
            <w:r w:rsidRPr="007B15C3">
              <w:rPr>
                <w:rFonts w:ascii="Arial" w:hAnsi="Arial" w:cs="Arial"/>
                <w:sz w:val="24"/>
              </w:rPr>
              <w:t>27%</w:t>
            </w:r>
          </w:p>
        </w:tc>
        <w:tc>
          <w:tcPr>
            <w:tcW w:w="1154" w:type="dxa"/>
          </w:tcPr>
          <w:p w14:paraId="295E73A8" w14:textId="77777777" w:rsidR="00321EFB" w:rsidRPr="007B15C3" w:rsidRDefault="00321EFB" w:rsidP="00321EFB">
            <w:pPr>
              <w:rPr>
                <w:rFonts w:ascii="Arial" w:hAnsi="Arial" w:cs="Arial"/>
                <w:sz w:val="24"/>
              </w:rPr>
            </w:pPr>
            <w:r w:rsidRPr="007B15C3">
              <w:rPr>
                <w:rFonts w:ascii="Arial" w:hAnsi="Arial" w:cs="Arial"/>
                <w:sz w:val="24"/>
              </w:rPr>
              <w:t>31%</w:t>
            </w:r>
          </w:p>
        </w:tc>
        <w:tc>
          <w:tcPr>
            <w:tcW w:w="1154" w:type="dxa"/>
          </w:tcPr>
          <w:p w14:paraId="2787B4FF" w14:textId="77777777" w:rsidR="00321EFB" w:rsidRPr="007B15C3" w:rsidRDefault="00321EFB" w:rsidP="00321EFB">
            <w:pPr>
              <w:rPr>
                <w:rFonts w:ascii="Arial" w:hAnsi="Arial" w:cs="Arial"/>
                <w:sz w:val="24"/>
              </w:rPr>
            </w:pPr>
            <w:r w:rsidRPr="007B15C3">
              <w:rPr>
                <w:rFonts w:ascii="Arial" w:hAnsi="Arial" w:cs="Arial"/>
                <w:sz w:val="24"/>
              </w:rPr>
              <w:t>43%</w:t>
            </w:r>
          </w:p>
        </w:tc>
        <w:tc>
          <w:tcPr>
            <w:tcW w:w="1154" w:type="dxa"/>
          </w:tcPr>
          <w:p w14:paraId="1C37609F" w14:textId="77777777" w:rsidR="00321EFB" w:rsidRPr="007B15C3" w:rsidRDefault="00321EFB" w:rsidP="00321EFB">
            <w:pPr>
              <w:rPr>
                <w:rFonts w:ascii="Arial" w:hAnsi="Arial" w:cs="Arial"/>
                <w:sz w:val="24"/>
              </w:rPr>
            </w:pPr>
            <w:r w:rsidRPr="007B15C3">
              <w:rPr>
                <w:rFonts w:ascii="Arial" w:hAnsi="Arial" w:cs="Arial"/>
                <w:sz w:val="24"/>
              </w:rPr>
              <w:t>32%</w:t>
            </w:r>
          </w:p>
        </w:tc>
        <w:tc>
          <w:tcPr>
            <w:tcW w:w="1164" w:type="dxa"/>
          </w:tcPr>
          <w:p w14:paraId="13828044" w14:textId="77777777" w:rsidR="00321EFB" w:rsidRPr="007B15C3" w:rsidRDefault="00321EFB" w:rsidP="00321EFB">
            <w:pPr>
              <w:rPr>
                <w:rFonts w:ascii="Arial" w:hAnsi="Arial" w:cs="Arial"/>
                <w:sz w:val="24"/>
              </w:rPr>
            </w:pPr>
            <w:r w:rsidRPr="007B15C3">
              <w:rPr>
                <w:rFonts w:ascii="Arial" w:hAnsi="Arial" w:cs="Arial"/>
                <w:sz w:val="24"/>
              </w:rPr>
              <w:t>31%</w:t>
            </w:r>
          </w:p>
        </w:tc>
        <w:tc>
          <w:tcPr>
            <w:tcW w:w="1154" w:type="dxa"/>
          </w:tcPr>
          <w:p w14:paraId="107F75A4" w14:textId="77777777" w:rsidR="00321EFB" w:rsidRPr="007B15C3" w:rsidRDefault="00321EFB" w:rsidP="00321EFB">
            <w:pPr>
              <w:rPr>
                <w:rFonts w:ascii="Arial" w:hAnsi="Arial" w:cs="Arial"/>
                <w:sz w:val="24"/>
              </w:rPr>
            </w:pPr>
            <w:r w:rsidRPr="007B15C3">
              <w:rPr>
                <w:rFonts w:ascii="Arial" w:hAnsi="Arial" w:cs="Arial"/>
                <w:sz w:val="24"/>
              </w:rPr>
              <w:t>29%</w:t>
            </w:r>
          </w:p>
        </w:tc>
        <w:tc>
          <w:tcPr>
            <w:tcW w:w="1154" w:type="dxa"/>
          </w:tcPr>
          <w:p w14:paraId="04D0CC41" w14:textId="77777777" w:rsidR="00321EFB" w:rsidRPr="007B15C3" w:rsidRDefault="00321EFB" w:rsidP="00321EFB">
            <w:pPr>
              <w:rPr>
                <w:rFonts w:ascii="Arial" w:hAnsi="Arial" w:cs="Arial"/>
                <w:sz w:val="24"/>
              </w:rPr>
            </w:pPr>
            <w:r w:rsidRPr="007B15C3">
              <w:rPr>
                <w:rFonts w:ascii="Arial" w:hAnsi="Arial" w:cs="Arial"/>
                <w:sz w:val="24"/>
              </w:rPr>
              <w:t>35%</w:t>
            </w:r>
          </w:p>
        </w:tc>
      </w:tr>
    </w:tbl>
    <w:p w14:paraId="694D1FBE" w14:textId="77777777" w:rsidR="00083FA3" w:rsidRPr="007B15C3" w:rsidRDefault="007B15C3" w:rsidP="00321EFB">
      <w:pPr>
        <w:rPr>
          <w:rFonts w:ascii="Arial" w:hAnsi="Arial" w:cs="Arial"/>
          <w:i/>
          <w:sz w:val="24"/>
        </w:rPr>
      </w:pPr>
      <w:r w:rsidRPr="007B15C3">
        <w:rPr>
          <w:rFonts w:ascii="Arial" w:hAnsi="Arial" w:cs="Arial"/>
          <w:i/>
          <w:sz w:val="24"/>
        </w:rPr>
        <w:t>Source: Victorian Student Health and Wellbeing Survey 2018</w:t>
      </w:r>
    </w:p>
    <w:p w14:paraId="4EC79F3A" w14:textId="77777777" w:rsidR="00C83539" w:rsidRPr="00A748B9" w:rsidRDefault="00A748B9" w:rsidP="00D66D19">
      <w:pPr>
        <w:rPr>
          <w:rFonts w:ascii="Arial" w:hAnsi="Arial" w:cs="Arial"/>
          <w:b/>
          <w:sz w:val="24"/>
          <w:szCs w:val="24"/>
        </w:rPr>
      </w:pPr>
      <w:r w:rsidRPr="00A748B9">
        <w:rPr>
          <w:rFonts w:ascii="Arial" w:hAnsi="Arial" w:cs="Arial"/>
          <w:b/>
          <w:sz w:val="24"/>
          <w:szCs w:val="24"/>
        </w:rPr>
        <w:t>Local safety</w:t>
      </w:r>
    </w:p>
    <w:p w14:paraId="5B3460CA" w14:textId="77777777" w:rsidR="00A748B9" w:rsidRPr="00A748B9" w:rsidRDefault="00A748B9" w:rsidP="00A748B9">
      <w:pPr>
        <w:rPr>
          <w:rFonts w:ascii="Arial" w:hAnsi="Arial" w:cs="Arial"/>
          <w:i/>
          <w:sz w:val="24"/>
          <w:szCs w:val="24"/>
        </w:rPr>
      </w:pPr>
      <w:r w:rsidRPr="00A748B9">
        <w:rPr>
          <w:rFonts w:ascii="Arial" w:hAnsi="Arial" w:cs="Arial"/>
          <w:i/>
          <w:sz w:val="24"/>
          <w:szCs w:val="24"/>
        </w:rPr>
        <w:t>Risks to a young person’s safety expand from familial to community contexts during adolescence. Neighbourhood safety is a substantial factor in shaping the likelihood that an adolescent will be a victim or become involved in anti-social or illegal activity.</w:t>
      </w:r>
    </w:p>
    <w:p w14:paraId="037214BB" w14:textId="77777777" w:rsidR="007B15C3" w:rsidRPr="00A748B9" w:rsidRDefault="00A748B9" w:rsidP="00A748B9">
      <w:pPr>
        <w:pStyle w:val="ListParagraph"/>
        <w:numPr>
          <w:ilvl w:val="0"/>
          <w:numId w:val="44"/>
        </w:numPr>
        <w:rPr>
          <w:rFonts w:ascii="Arial" w:hAnsi="Arial" w:cs="Arial"/>
        </w:rPr>
      </w:pPr>
      <w:r w:rsidRPr="00A748B9">
        <w:rPr>
          <w:rFonts w:ascii="Arial" w:hAnsi="Arial" w:cs="Arial"/>
          <w:sz w:val="24"/>
          <w:szCs w:val="24"/>
        </w:rPr>
        <w:t>In 2018, almost 9 in 10 Year 8 and Year 11 students reported that they felt safe in their local neighbourhood</w:t>
      </w:r>
      <w:r w:rsidRPr="00A748B9">
        <w:rPr>
          <w:rFonts w:ascii="Arial" w:hAnsi="Arial" w:cs="Arial"/>
        </w:rPr>
        <w:t>.</w:t>
      </w:r>
    </w:p>
    <w:p w14:paraId="4A91FA43" w14:textId="77777777" w:rsidR="00A748B9" w:rsidRPr="00A748B9" w:rsidRDefault="00A748B9" w:rsidP="00A748B9">
      <w:pPr>
        <w:rPr>
          <w:rFonts w:ascii="Arial" w:hAnsi="Arial" w:cs="Arial"/>
          <w:i/>
          <w:sz w:val="24"/>
        </w:rPr>
      </w:pPr>
      <w:r w:rsidRPr="00A748B9">
        <w:rPr>
          <w:rFonts w:ascii="Arial" w:hAnsi="Arial" w:cs="Arial"/>
          <w:i/>
          <w:sz w:val="24"/>
        </w:rPr>
        <w:t>Source: Victorian Student Health and Wellbeing Survey 2018</w:t>
      </w:r>
    </w:p>
    <w:p w14:paraId="5D3ABC3F" w14:textId="77777777" w:rsidR="00A748B9" w:rsidRDefault="00A748B9" w:rsidP="00A748B9">
      <w:pPr>
        <w:rPr>
          <w:rFonts w:ascii="Arial" w:eastAsiaTheme="majorEastAsia" w:hAnsi="Arial" w:cs="Arial"/>
          <w:b/>
          <w:bCs/>
          <w:sz w:val="24"/>
          <w:szCs w:val="26"/>
        </w:rPr>
      </w:pPr>
      <w:r w:rsidRPr="00A748B9">
        <w:rPr>
          <w:rFonts w:ascii="Arial" w:eastAsiaTheme="majorEastAsia" w:hAnsi="Arial" w:cs="Arial"/>
          <w:b/>
          <w:bCs/>
          <w:sz w:val="24"/>
          <w:szCs w:val="26"/>
        </w:rPr>
        <w:t>Adolescents in care services</w:t>
      </w:r>
    </w:p>
    <w:p w14:paraId="3154A9E9" w14:textId="77777777" w:rsidR="00A748B9" w:rsidRPr="0091248B" w:rsidRDefault="0091248B" w:rsidP="0091248B">
      <w:pPr>
        <w:rPr>
          <w:rFonts w:ascii="Arial" w:eastAsiaTheme="majorEastAsia" w:hAnsi="Arial" w:cs="Arial"/>
          <w:bCs/>
          <w:i/>
          <w:sz w:val="24"/>
          <w:szCs w:val="26"/>
        </w:rPr>
      </w:pPr>
      <w:r w:rsidRPr="0091248B">
        <w:rPr>
          <w:rFonts w:ascii="Arial" w:eastAsiaTheme="majorEastAsia" w:hAnsi="Arial" w:cs="Arial"/>
          <w:bCs/>
          <w:i/>
          <w:sz w:val="24"/>
          <w:szCs w:val="26"/>
        </w:rPr>
        <w:t>For children who cannot reside safely with their parents, care services can provide a turning point by providing stable and secure care, new opportunities and extra supports to help them recover and thrive.</w:t>
      </w:r>
    </w:p>
    <w:p w14:paraId="18070E23" w14:textId="77777777" w:rsidR="0091248B" w:rsidRPr="001A60A5" w:rsidRDefault="0091248B" w:rsidP="001A60A5">
      <w:pPr>
        <w:pStyle w:val="ListParagraph"/>
        <w:numPr>
          <w:ilvl w:val="0"/>
          <w:numId w:val="44"/>
        </w:numPr>
        <w:rPr>
          <w:rFonts w:ascii="Arial" w:hAnsi="Arial" w:cs="Arial"/>
          <w:sz w:val="24"/>
        </w:rPr>
      </w:pPr>
      <w:r w:rsidRPr="001A60A5">
        <w:rPr>
          <w:rFonts w:ascii="Arial" w:hAnsi="Arial" w:cs="Arial"/>
          <w:sz w:val="24"/>
        </w:rPr>
        <w:t>The number of adolescents living in care has nearly doubled over the past ten years. Most live in home-based care settings rather than residential facilities.</w:t>
      </w:r>
    </w:p>
    <w:p w14:paraId="61B61AEC" w14:textId="77777777" w:rsidR="001A60A5" w:rsidRDefault="001A60A5" w:rsidP="0091248B">
      <w:pPr>
        <w:rPr>
          <w:rFonts w:ascii="Arial" w:hAnsi="Arial" w:cs="Arial"/>
          <w:sz w:val="24"/>
        </w:rPr>
      </w:pPr>
    </w:p>
    <w:p w14:paraId="2233B125" w14:textId="77777777" w:rsidR="001A60A5" w:rsidRDefault="001A60A5" w:rsidP="0091248B">
      <w:pPr>
        <w:rPr>
          <w:rFonts w:ascii="Arial" w:hAnsi="Arial" w:cs="Arial"/>
          <w:sz w:val="24"/>
        </w:rPr>
      </w:pPr>
      <w:r>
        <w:rPr>
          <w:rFonts w:ascii="Arial" w:hAnsi="Arial" w:cs="Arial"/>
          <w:sz w:val="24"/>
        </w:rPr>
        <w:t>Home-based care</w:t>
      </w:r>
    </w:p>
    <w:p w14:paraId="341F9103" w14:textId="77777777" w:rsidR="001A60A5" w:rsidRDefault="001A60A5" w:rsidP="001A60A5">
      <w:pPr>
        <w:pStyle w:val="ListParagraph"/>
        <w:numPr>
          <w:ilvl w:val="0"/>
          <w:numId w:val="44"/>
        </w:numPr>
        <w:rPr>
          <w:rFonts w:ascii="Arial" w:hAnsi="Arial" w:cs="Arial"/>
          <w:sz w:val="24"/>
        </w:rPr>
      </w:pPr>
      <w:r>
        <w:rPr>
          <w:rFonts w:ascii="Arial" w:hAnsi="Arial" w:cs="Arial"/>
          <w:sz w:val="24"/>
        </w:rPr>
        <w:t>1,249 (2008-09)</w:t>
      </w:r>
    </w:p>
    <w:p w14:paraId="3A0AFF40" w14:textId="77777777" w:rsidR="001A60A5" w:rsidRDefault="001A60A5" w:rsidP="001A60A5">
      <w:pPr>
        <w:pStyle w:val="ListParagraph"/>
        <w:numPr>
          <w:ilvl w:val="0"/>
          <w:numId w:val="44"/>
        </w:numPr>
        <w:rPr>
          <w:rFonts w:ascii="Arial" w:hAnsi="Arial" w:cs="Arial"/>
          <w:sz w:val="24"/>
        </w:rPr>
      </w:pPr>
      <w:r>
        <w:rPr>
          <w:rFonts w:ascii="Arial" w:hAnsi="Arial" w:cs="Arial"/>
          <w:sz w:val="24"/>
        </w:rPr>
        <w:t>2,765 (2017-18)</w:t>
      </w:r>
    </w:p>
    <w:p w14:paraId="52EF07F3" w14:textId="77777777" w:rsidR="001A60A5" w:rsidRDefault="001A60A5" w:rsidP="001A60A5">
      <w:pPr>
        <w:rPr>
          <w:rFonts w:ascii="Arial" w:hAnsi="Arial" w:cs="Arial"/>
          <w:sz w:val="24"/>
        </w:rPr>
      </w:pPr>
      <w:r>
        <w:rPr>
          <w:rFonts w:ascii="Arial" w:hAnsi="Arial" w:cs="Arial"/>
          <w:sz w:val="24"/>
        </w:rPr>
        <w:t xml:space="preserve">Residential care </w:t>
      </w:r>
    </w:p>
    <w:p w14:paraId="3710DCFB" w14:textId="77777777" w:rsidR="001A60A5" w:rsidRDefault="001A60A5" w:rsidP="001A60A5">
      <w:pPr>
        <w:pStyle w:val="ListParagraph"/>
        <w:numPr>
          <w:ilvl w:val="0"/>
          <w:numId w:val="44"/>
        </w:numPr>
        <w:rPr>
          <w:rFonts w:ascii="Arial" w:hAnsi="Arial" w:cs="Arial"/>
          <w:sz w:val="24"/>
        </w:rPr>
      </w:pPr>
      <w:r>
        <w:rPr>
          <w:rFonts w:ascii="Arial" w:hAnsi="Arial" w:cs="Arial"/>
          <w:sz w:val="24"/>
        </w:rPr>
        <w:t>366 (2008-09)</w:t>
      </w:r>
    </w:p>
    <w:p w14:paraId="1CFA4BA6" w14:textId="77777777" w:rsidR="001A60A5" w:rsidRDefault="001A60A5" w:rsidP="001A60A5">
      <w:pPr>
        <w:pStyle w:val="ListParagraph"/>
        <w:numPr>
          <w:ilvl w:val="0"/>
          <w:numId w:val="44"/>
        </w:numPr>
        <w:rPr>
          <w:rFonts w:ascii="Arial" w:hAnsi="Arial" w:cs="Arial"/>
          <w:sz w:val="24"/>
        </w:rPr>
      </w:pPr>
      <w:r>
        <w:rPr>
          <w:rFonts w:ascii="Arial" w:hAnsi="Arial" w:cs="Arial"/>
          <w:sz w:val="24"/>
        </w:rPr>
        <w:t>427 (2017-18)</w:t>
      </w:r>
    </w:p>
    <w:p w14:paraId="4934D733" w14:textId="77777777" w:rsidR="001A60A5" w:rsidRPr="00020020" w:rsidRDefault="00020020" w:rsidP="001A60A5">
      <w:pPr>
        <w:rPr>
          <w:rFonts w:ascii="Arial" w:hAnsi="Arial" w:cs="Arial"/>
          <w:i/>
          <w:sz w:val="24"/>
        </w:rPr>
      </w:pPr>
      <w:r w:rsidRPr="00020020">
        <w:rPr>
          <w:rFonts w:ascii="Arial" w:hAnsi="Arial" w:cs="Arial"/>
          <w:i/>
          <w:sz w:val="24"/>
        </w:rPr>
        <w:t>Source: Internal DHHS data</w:t>
      </w:r>
    </w:p>
    <w:p w14:paraId="0B30ACB4" w14:textId="77777777" w:rsidR="001A60A5" w:rsidRPr="001A60A5" w:rsidRDefault="001A60A5" w:rsidP="001A60A5">
      <w:pPr>
        <w:rPr>
          <w:rFonts w:ascii="Arial" w:hAnsi="Arial" w:cs="Arial"/>
          <w:sz w:val="24"/>
        </w:rPr>
      </w:pPr>
    </w:p>
    <w:p w14:paraId="655E1B74" w14:textId="77777777" w:rsidR="00A748B9" w:rsidRDefault="00A748B9" w:rsidP="0091248B">
      <w:pPr>
        <w:rPr>
          <w:rFonts w:ascii="Arial" w:eastAsiaTheme="majorEastAsia" w:hAnsi="Arial" w:cs="Arial"/>
          <w:b/>
          <w:bCs/>
          <w:sz w:val="26"/>
          <w:szCs w:val="26"/>
        </w:rPr>
      </w:pPr>
      <w:r>
        <w:rPr>
          <w:rFonts w:ascii="Arial" w:hAnsi="Arial" w:cs="Arial"/>
        </w:rPr>
        <w:br w:type="page"/>
      </w:r>
    </w:p>
    <w:p w14:paraId="66501578" w14:textId="77777777" w:rsidR="00083FA3" w:rsidRPr="00083FA3" w:rsidRDefault="00083FA3" w:rsidP="00083FA3">
      <w:pPr>
        <w:pStyle w:val="Heading2"/>
        <w:rPr>
          <w:rFonts w:ascii="Arial" w:hAnsi="Arial" w:cs="Arial"/>
          <w:color w:val="auto"/>
        </w:rPr>
      </w:pPr>
      <w:bookmarkStart w:id="57" w:name="_Toc33527782"/>
      <w:r w:rsidRPr="00083FA3">
        <w:rPr>
          <w:rFonts w:ascii="Arial" w:hAnsi="Arial" w:cs="Arial"/>
          <w:color w:val="auto"/>
        </w:rPr>
        <w:lastRenderedPageBreak/>
        <w:t>INTRODUCTION</w:t>
      </w:r>
      <w:bookmarkEnd w:id="57"/>
    </w:p>
    <w:p w14:paraId="29547EC0" w14:textId="77777777" w:rsidR="004E5B53" w:rsidRPr="004E5B53" w:rsidRDefault="004E5B53" w:rsidP="004E5B53">
      <w:pPr>
        <w:rPr>
          <w:rFonts w:ascii="Arial" w:hAnsi="Arial" w:cs="Arial"/>
          <w:sz w:val="24"/>
        </w:rPr>
      </w:pPr>
      <w:r w:rsidRPr="004E5B53">
        <w:rPr>
          <w:rFonts w:ascii="Arial" w:hAnsi="Arial" w:cs="Arial"/>
          <w:sz w:val="24"/>
        </w:rPr>
        <w:t>A safe and healthy environment plays an important role in shaping outcomes for adolescents. Parental education levels influence their children’s access to resources and opportunities, and parents’ ability to guide their children’s learning. Effective parenting, in terms of being nurturing and supportive with clear and consistent discipline, can prevent negative behaviours and promote social behaviours and values. Low levels of family conflict and good communication improve parenting and family relations, increase children’s emotional security, and discourage the use of aggression and antisocial behaviour. In addition, having a trusted adult or someone to turn to for advice</w:t>
      </w:r>
      <w:r w:rsidR="008400F3">
        <w:rPr>
          <w:rFonts w:ascii="Arial" w:hAnsi="Arial" w:cs="Arial"/>
          <w:sz w:val="24"/>
        </w:rPr>
        <w:t xml:space="preserve"> </w:t>
      </w:r>
      <w:r w:rsidRPr="004E5B53">
        <w:rPr>
          <w:rFonts w:ascii="Arial" w:hAnsi="Arial" w:cs="Arial"/>
          <w:sz w:val="24"/>
        </w:rPr>
        <w:t>in adolescence can also make young people more resilient. Many Victorian adolescents are fortunate to live in family environments in which they have access to these resources.</w:t>
      </w:r>
    </w:p>
    <w:p w14:paraId="298F63A5" w14:textId="77777777" w:rsidR="004E5B53" w:rsidRPr="004E5B53" w:rsidRDefault="004E5B53" w:rsidP="004E5B53">
      <w:pPr>
        <w:rPr>
          <w:rFonts w:ascii="Arial" w:hAnsi="Arial" w:cs="Arial"/>
          <w:sz w:val="24"/>
        </w:rPr>
      </w:pPr>
      <w:r w:rsidRPr="004E5B53">
        <w:rPr>
          <w:rFonts w:ascii="Arial" w:hAnsi="Arial" w:cs="Arial"/>
          <w:sz w:val="24"/>
        </w:rPr>
        <w:t>Adolescents who cannot live in their family home because there are significant difficulties at home or there is a significant risk of neglect, harm or abuse, are often looked after in temporary, medium or long-term living arrangements in home-based or residential care placements. The experience of trauma, neglect and abuse can put adolescents at an increased risk of antisocial behaviour and criminal offending, and subsequently, first contact with the youth justice system. Few Victorian adolescents find themselves in these circumstances.</w:t>
      </w:r>
    </w:p>
    <w:p w14:paraId="7CEE66E3" w14:textId="77777777" w:rsidR="004E5B53" w:rsidRPr="004E5B53" w:rsidRDefault="004E5B53" w:rsidP="004E5B53">
      <w:pPr>
        <w:rPr>
          <w:rFonts w:ascii="Arial" w:hAnsi="Arial" w:cs="Arial"/>
          <w:sz w:val="24"/>
        </w:rPr>
      </w:pPr>
      <w:r w:rsidRPr="004E5B53">
        <w:rPr>
          <w:rFonts w:ascii="Arial" w:hAnsi="Arial" w:cs="Arial"/>
          <w:sz w:val="24"/>
        </w:rPr>
        <w:t>However, Victorian Aboriginal adolescents are over-represented in out-of-home-care settings and the criminal justice system, both associated with the broader social and economic disadvantage they face and legacy of systemic discrimination towards Aboriginal communities.</w:t>
      </w:r>
    </w:p>
    <w:p w14:paraId="60EE0A46" w14:textId="77777777" w:rsidR="00083FA3" w:rsidRDefault="004E5B53" w:rsidP="004E5B53">
      <w:pPr>
        <w:rPr>
          <w:rFonts w:ascii="Arial" w:hAnsi="Arial" w:cs="Arial"/>
          <w:sz w:val="24"/>
        </w:rPr>
      </w:pPr>
      <w:r w:rsidRPr="004E5B53">
        <w:rPr>
          <w:rFonts w:ascii="Arial" w:hAnsi="Arial" w:cs="Arial"/>
          <w:sz w:val="24"/>
        </w:rPr>
        <w:t>This chapter details the extent to which Victorian adolescents are exposed to such environmental risk and protective factors and how this has changed over time.</w:t>
      </w:r>
    </w:p>
    <w:p w14:paraId="270D0A5B" w14:textId="77777777" w:rsidR="004E5B53" w:rsidRPr="008400F3" w:rsidRDefault="004E5B53" w:rsidP="008400F3">
      <w:pPr>
        <w:pStyle w:val="Heading3"/>
        <w:rPr>
          <w:rFonts w:ascii="Arial" w:hAnsi="Arial" w:cs="Arial"/>
          <w:color w:val="auto"/>
          <w:sz w:val="24"/>
        </w:rPr>
      </w:pPr>
      <w:bookmarkStart w:id="58" w:name="_Toc33527783"/>
      <w:r w:rsidRPr="008400F3">
        <w:rPr>
          <w:rFonts w:ascii="Arial" w:hAnsi="Arial" w:cs="Arial"/>
          <w:color w:val="auto"/>
          <w:sz w:val="24"/>
        </w:rPr>
        <w:t>5.1</w:t>
      </w:r>
      <w:r w:rsidRPr="008400F3">
        <w:rPr>
          <w:rFonts w:ascii="Arial" w:hAnsi="Arial" w:cs="Arial"/>
          <w:color w:val="auto"/>
          <w:sz w:val="24"/>
        </w:rPr>
        <w:tab/>
        <w:t>A growing proportion of adolescents have university educated parents</w:t>
      </w:r>
      <w:bookmarkEnd w:id="58"/>
    </w:p>
    <w:p w14:paraId="3A530041" w14:textId="77777777" w:rsidR="004E5B53" w:rsidRPr="004E5B53" w:rsidRDefault="004E5B53" w:rsidP="004E5B53">
      <w:pPr>
        <w:rPr>
          <w:rFonts w:ascii="Arial" w:hAnsi="Arial" w:cs="Arial"/>
          <w:sz w:val="24"/>
        </w:rPr>
      </w:pPr>
      <w:r w:rsidRPr="004E5B53">
        <w:rPr>
          <w:rFonts w:ascii="Arial" w:hAnsi="Arial" w:cs="Arial"/>
          <w:sz w:val="24"/>
        </w:rPr>
        <w:t>Families’ material standards of living are determined largely by their access to economic resources. Parents who are university educated are more likely to have higher-income and higher-status employment, which in turn provides greater material resources and social and cultural opportunities for their children (Sirin, 2005). Some research suggests that parents with higher levels of education may also invest more time and effort in educating their own children about the world and the society in which they live. They may also have an advantage in motivating their children to achieve at school (Warren &amp; Edwards, 2017), and in helping them to plan their further education and future careers (Grace, Hodge, &amp; McMahon, 2017).</w:t>
      </w:r>
    </w:p>
    <w:p w14:paraId="1D3D8420" w14:textId="77777777" w:rsidR="004E5B53" w:rsidRDefault="004E5B53" w:rsidP="004E5B53">
      <w:pPr>
        <w:rPr>
          <w:rFonts w:ascii="Arial" w:hAnsi="Arial" w:cs="Arial"/>
          <w:sz w:val="24"/>
        </w:rPr>
      </w:pPr>
      <w:r w:rsidRPr="004E5B53">
        <w:rPr>
          <w:rFonts w:ascii="Arial" w:hAnsi="Arial" w:cs="Arial"/>
          <w:sz w:val="24"/>
        </w:rPr>
        <w:t>Over the last 10 years, the proportion of Victorian government secondary school students with university educated parents has increased by more than half, from 19 per cent in 2009 to 31 per cent in 2018. Students living in two-parent families (around 73 per cent of students) are twice as likely to have university educated parents compared to those living in one-parent families.</w:t>
      </w:r>
    </w:p>
    <w:p w14:paraId="5C02702D" w14:textId="77777777" w:rsidR="004E5B53" w:rsidRDefault="0096521E" w:rsidP="004E5B53">
      <w:pPr>
        <w:rPr>
          <w:rFonts w:ascii="Arial" w:hAnsi="Arial" w:cs="Arial"/>
          <w:b/>
          <w:sz w:val="24"/>
        </w:rPr>
      </w:pPr>
      <w:r w:rsidRPr="008400F3">
        <w:rPr>
          <w:rFonts w:ascii="Arial" w:hAnsi="Arial" w:cs="Arial"/>
          <w:b/>
          <w:sz w:val="24"/>
        </w:rPr>
        <w:lastRenderedPageBreak/>
        <w:t>Figure 44. Proportion of Victorian government secondary students whose parents have a university degree, 2009–2018</w:t>
      </w:r>
    </w:p>
    <w:tbl>
      <w:tblPr>
        <w:tblStyle w:val="TableGrid"/>
        <w:tblW w:w="0" w:type="auto"/>
        <w:tblLook w:val="04A0" w:firstRow="1" w:lastRow="0" w:firstColumn="1" w:lastColumn="0" w:noHBand="0" w:noVBand="1"/>
        <w:tblDescription w:val="This table shows that proportion of Victorian government secondary students whose parents have a university degree (by selected family characteristics), 2009–2018"/>
      </w:tblPr>
      <w:tblGrid>
        <w:gridCol w:w="2247"/>
        <w:gridCol w:w="2259"/>
        <w:gridCol w:w="2255"/>
        <w:gridCol w:w="2255"/>
      </w:tblGrid>
      <w:tr w:rsidR="008400F3" w:rsidRPr="008400F3" w14:paraId="26424A99" w14:textId="77777777" w:rsidTr="008400F3">
        <w:trPr>
          <w:tblHeader/>
        </w:trPr>
        <w:tc>
          <w:tcPr>
            <w:tcW w:w="2310" w:type="dxa"/>
          </w:tcPr>
          <w:p w14:paraId="64966329" w14:textId="77777777" w:rsidR="008400F3" w:rsidRPr="008400F3" w:rsidRDefault="008400F3" w:rsidP="004E5B53">
            <w:pPr>
              <w:rPr>
                <w:rFonts w:ascii="Arial" w:hAnsi="Arial" w:cs="Arial"/>
                <w:sz w:val="24"/>
                <w:szCs w:val="24"/>
              </w:rPr>
            </w:pPr>
          </w:p>
        </w:tc>
        <w:tc>
          <w:tcPr>
            <w:tcW w:w="2310" w:type="dxa"/>
          </w:tcPr>
          <w:p w14:paraId="7866FC8D" w14:textId="77777777" w:rsidR="008400F3" w:rsidRPr="008400F3" w:rsidRDefault="008400F3" w:rsidP="004E5B53">
            <w:pPr>
              <w:rPr>
                <w:rFonts w:ascii="Arial" w:hAnsi="Arial" w:cs="Arial"/>
                <w:sz w:val="24"/>
                <w:szCs w:val="24"/>
              </w:rPr>
            </w:pPr>
            <w:r w:rsidRPr="008400F3">
              <w:rPr>
                <w:rFonts w:ascii="Arial" w:hAnsi="Arial" w:cs="Arial"/>
                <w:sz w:val="24"/>
                <w:szCs w:val="24"/>
              </w:rPr>
              <w:t>All families</w:t>
            </w:r>
          </w:p>
        </w:tc>
        <w:tc>
          <w:tcPr>
            <w:tcW w:w="2311" w:type="dxa"/>
          </w:tcPr>
          <w:p w14:paraId="21F39334" w14:textId="77777777" w:rsidR="008400F3" w:rsidRPr="008400F3" w:rsidRDefault="008400F3" w:rsidP="004E5B53">
            <w:pPr>
              <w:rPr>
                <w:rFonts w:ascii="Arial" w:hAnsi="Arial" w:cs="Arial"/>
                <w:sz w:val="24"/>
                <w:szCs w:val="24"/>
              </w:rPr>
            </w:pPr>
            <w:r w:rsidRPr="008400F3">
              <w:rPr>
                <w:rFonts w:ascii="Arial" w:hAnsi="Arial" w:cs="Arial"/>
                <w:sz w:val="24"/>
                <w:szCs w:val="24"/>
              </w:rPr>
              <w:t>One-parent</w:t>
            </w:r>
          </w:p>
        </w:tc>
        <w:tc>
          <w:tcPr>
            <w:tcW w:w="2311" w:type="dxa"/>
          </w:tcPr>
          <w:p w14:paraId="1862ED9C" w14:textId="77777777" w:rsidR="008400F3" w:rsidRPr="008400F3" w:rsidRDefault="008400F3" w:rsidP="004E5B53">
            <w:pPr>
              <w:rPr>
                <w:rFonts w:ascii="Arial" w:hAnsi="Arial" w:cs="Arial"/>
                <w:sz w:val="24"/>
                <w:szCs w:val="24"/>
              </w:rPr>
            </w:pPr>
            <w:r w:rsidRPr="008400F3">
              <w:rPr>
                <w:rFonts w:ascii="Arial" w:hAnsi="Arial" w:cs="Arial"/>
                <w:sz w:val="24"/>
                <w:szCs w:val="24"/>
              </w:rPr>
              <w:t>Two-parent</w:t>
            </w:r>
          </w:p>
        </w:tc>
      </w:tr>
      <w:tr w:rsidR="008400F3" w:rsidRPr="008400F3" w14:paraId="5C9B3F49" w14:textId="77777777" w:rsidTr="008400F3">
        <w:tc>
          <w:tcPr>
            <w:tcW w:w="2310" w:type="dxa"/>
          </w:tcPr>
          <w:p w14:paraId="583489A6" w14:textId="77777777" w:rsidR="008400F3" w:rsidRPr="008400F3" w:rsidRDefault="008400F3" w:rsidP="004E5B53">
            <w:pPr>
              <w:rPr>
                <w:rFonts w:ascii="Arial" w:hAnsi="Arial" w:cs="Arial"/>
                <w:sz w:val="24"/>
                <w:szCs w:val="24"/>
              </w:rPr>
            </w:pPr>
            <w:r w:rsidRPr="008400F3">
              <w:rPr>
                <w:rFonts w:ascii="Arial" w:hAnsi="Arial" w:cs="Arial"/>
                <w:sz w:val="24"/>
                <w:szCs w:val="24"/>
              </w:rPr>
              <w:t>2009</w:t>
            </w:r>
          </w:p>
        </w:tc>
        <w:tc>
          <w:tcPr>
            <w:tcW w:w="2310" w:type="dxa"/>
          </w:tcPr>
          <w:p w14:paraId="72919CBD" w14:textId="77777777" w:rsidR="008400F3" w:rsidRPr="008400F3" w:rsidRDefault="008400F3" w:rsidP="004E5B53">
            <w:pPr>
              <w:rPr>
                <w:rFonts w:ascii="Arial" w:hAnsi="Arial" w:cs="Arial"/>
                <w:sz w:val="24"/>
                <w:szCs w:val="24"/>
              </w:rPr>
            </w:pPr>
            <w:r>
              <w:rPr>
                <w:rFonts w:ascii="Arial" w:hAnsi="Arial" w:cs="Arial"/>
                <w:sz w:val="24"/>
                <w:szCs w:val="24"/>
              </w:rPr>
              <w:t>19%</w:t>
            </w:r>
          </w:p>
        </w:tc>
        <w:tc>
          <w:tcPr>
            <w:tcW w:w="2311" w:type="dxa"/>
          </w:tcPr>
          <w:p w14:paraId="5736ED07" w14:textId="77777777" w:rsidR="008400F3" w:rsidRPr="008400F3" w:rsidRDefault="008400F3" w:rsidP="004E5B53">
            <w:pPr>
              <w:rPr>
                <w:rFonts w:ascii="Arial" w:hAnsi="Arial" w:cs="Arial"/>
                <w:sz w:val="24"/>
                <w:szCs w:val="24"/>
              </w:rPr>
            </w:pPr>
            <w:r>
              <w:rPr>
                <w:rFonts w:ascii="Arial" w:hAnsi="Arial" w:cs="Arial"/>
                <w:sz w:val="24"/>
                <w:szCs w:val="24"/>
              </w:rPr>
              <w:t>-</w:t>
            </w:r>
          </w:p>
        </w:tc>
        <w:tc>
          <w:tcPr>
            <w:tcW w:w="2311" w:type="dxa"/>
          </w:tcPr>
          <w:p w14:paraId="713014CF" w14:textId="77777777" w:rsidR="008400F3" w:rsidRPr="008400F3" w:rsidRDefault="008400F3" w:rsidP="004E5B53">
            <w:pPr>
              <w:rPr>
                <w:rFonts w:ascii="Arial" w:hAnsi="Arial" w:cs="Arial"/>
                <w:sz w:val="24"/>
                <w:szCs w:val="24"/>
              </w:rPr>
            </w:pPr>
            <w:r>
              <w:rPr>
                <w:rFonts w:ascii="Arial" w:hAnsi="Arial" w:cs="Arial"/>
                <w:sz w:val="24"/>
                <w:szCs w:val="24"/>
              </w:rPr>
              <w:t>-</w:t>
            </w:r>
          </w:p>
        </w:tc>
      </w:tr>
      <w:tr w:rsidR="008400F3" w:rsidRPr="008400F3" w14:paraId="001B44FF" w14:textId="77777777" w:rsidTr="008400F3">
        <w:tc>
          <w:tcPr>
            <w:tcW w:w="2310" w:type="dxa"/>
          </w:tcPr>
          <w:p w14:paraId="4AD7B78C" w14:textId="77777777" w:rsidR="008400F3" w:rsidRPr="008400F3" w:rsidRDefault="008400F3" w:rsidP="004E5B53">
            <w:pPr>
              <w:rPr>
                <w:rFonts w:ascii="Arial" w:hAnsi="Arial" w:cs="Arial"/>
                <w:sz w:val="24"/>
                <w:szCs w:val="24"/>
              </w:rPr>
            </w:pPr>
            <w:r w:rsidRPr="008400F3">
              <w:rPr>
                <w:rFonts w:ascii="Arial" w:hAnsi="Arial" w:cs="Arial"/>
                <w:sz w:val="24"/>
                <w:szCs w:val="24"/>
              </w:rPr>
              <w:t>2010</w:t>
            </w:r>
          </w:p>
        </w:tc>
        <w:tc>
          <w:tcPr>
            <w:tcW w:w="2310" w:type="dxa"/>
          </w:tcPr>
          <w:p w14:paraId="50A96281" w14:textId="77777777" w:rsidR="008400F3" w:rsidRPr="008400F3" w:rsidRDefault="008400F3" w:rsidP="004E5B53">
            <w:pPr>
              <w:rPr>
                <w:rFonts w:ascii="Arial" w:hAnsi="Arial" w:cs="Arial"/>
                <w:sz w:val="24"/>
                <w:szCs w:val="24"/>
              </w:rPr>
            </w:pPr>
            <w:r>
              <w:rPr>
                <w:rFonts w:ascii="Arial" w:hAnsi="Arial" w:cs="Arial"/>
                <w:sz w:val="24"/>
                <w:szCs w:val="24"/>
              </w:rPr>
              <w:t>19%</w:t>
            </w:r>
          </w:p>
        </w:tc>
        <w:tc>
          <w:tcPr>
            <w:tcW w:w="2311" w:type="dxa"/>
          </w:tcPr>
          <w:p w14:paraId="0D34D73E" w14:textId="77777777" w:rsidR="008400F3" w:rsidRPr="008400F3" w:rsidRDefault="008400F3" w:rsidP="004E5B53">
            <w:pPr>
              <w:rPr>
                <w:rFonts w:ascii="Arial" w:hAnsi="Arial" w:cs="Arial"/>
                <w:sz w:val="24"/>
                <w:szCs w:val="24"/>
              </w:rPr>
            </w:pPr>
            <w:r>
              <w:rPr>
                <w:rFonts w:ascii="Arial" w:hAnsi="Arial" w:cs="Arial"/>
                <w:sz w:val="24"/>
                <w:szCs w:val="24"/>
              </w:rPr>
              <w:t>-</w:t>
            </w:r>
          </w:p>
        </w:tc>
        <w:tc>
          <w:tcPr>
            <w:tcW w:w="2311" w:type="dxa"/>
          </w:tcPr>
          <w:p w14:paraId="3F3219F9" w14:textId="77777777" w:rsidR="008400F3" w:rsidRPr="008400F3" w:rsidRDefault="008400F3" w:rsidP="004E5B53">
            <w:pPr>
              <w:rPr>
                <w:rFonts w:ascii="Arial" w:hAnsi="Arial" w:cs="Arial"/>
                <w:sz w:val="24"/>
                <w:szCs w:val="24"/>
              </w:rPr>
            </w:pPr>
            <w:r>
              <w:rPr>
                <w:rFonts w:ascii="Arial" w:hAnsi="Arial" w:cs="Arial"/>
                <w:sz w:val="24"/>
                <w:szCs w:val="24"/>
              </w:rPr>
              <w:t>-</w:t>
            </w:r>
          </w:p>
        </w:tc>
      </w:tr>
      <w:tr w:rsidR="008400F3" w:rsidRPr="008400F3" w14:paraId="7DE4A642" w14:textId="77777777" w:rsidTr="008400F3">
        <w:tc>
          <w:tcPr>
            <w:tcW w:w="2310" w:type="dxa"/>
          </w:tcPr>
          <w:p w14:paraId="31328E74" w14:textId="77777777" w:rsidR="008400F3" w:rsidRPr="008400F3" w:rsidRDefault="008400F3" w:rsidP="004E5B53">
            <w:pPr>
              <w:rPr>
                <w:rFonts w:ascii="Arial" w:hAnsi="Arial" w:cs="Arial"/>
                <w:sz w:val="24"/>
                <w:szCs w:val="24"/>
              </w:rPr>
            </w:pPr>
            <w:r w:rsidRPr="008400F3">
              <w:rPr>
                <w:rFonts w:ascii="Arial" w:hAnsi="Arial" w:cs="Arial"/>
                <w:sz w:val="24"/>
                <w:szCs w:val="24"/>
              </w:rPr>
              <w:t>2011</w:t>
            </w:r>
          </w:p>
        </w:tc>
        <w:tc>
          <w:tcPr>
            <w:tcW w:w="2310" w:type="dxa"/>
          </w:tcPr>
          <w:p w14:paraId="7B8FCB3C" w14:textId="77777777" w:rsidR="008400F3" w:rsidRPr="008400F3" w:rsidRDefault="008400F3" w:rsidP="004E5B53">
            <w:pPr>
              <w:rPr>
                <w:rFonts w:ascii="Arial" w:hAnsi="Arial" w:cs="Arial"/>
                <w:sz w:val="24"/>
                <w:szCs w:val="24"/>
              </w:rPr>
            </w:pPr>
            <w:r>
              <w:rPr>
                <w:rFonts w:ascii="Arial" w:hAnsi="Arial" w:cs="Arial"/>
                <w:sz w:val="24"/>
                <w:szCs w:val="24"/>
              </w:rPr>
              <w:t>21%</w:t>
            </w:r>
          </w:p>
        </w:tc>
        <w:tc>
          <w:tcPr>
            <w:tcW w:w="2311" w:type="dxa"/>
          </w:tcPr>
          <w:p w14:paraId="5674B5E1" w14:textId="77777777" w:rsidR="008400F3" w:rsidRPr="008400F3" w:rsidRDefault="008400F3" w:rsidP="004E5B53">
            <w:pPr>
              <w:rPr>
                <w:rFonts w:ascii="Arial" w:hAnsi="Arial" w:cs="Arial"/>
                <w:sz w:val="24"/>
                <w:szCs w:val="24"/>
              </w:rPr>
            </w:pPr>
            <w:r>
              <w:rPr>
                <w:rFonts w:ascii="Arial" w:hAnsi="Arial" w:cs="Arial"/>
                <w:sz w:val="24"/>
                <w:szCs w:val="24"/>
              </w:rPr>
              <w:t>-</w:t>
            </w:r>
          </w:p>
        </w:tc>
        <w:tc>
          <w:tcPr>
            <w:tcW w:w="2311" w:type="dxa"/>
          </w:tcPr>
          <w:p w14:paraId="567266F5" w14:textId="77777777" w:rsidR="008400F3" w:rsidRPr="008400F3" w:rsidRDefault="008400F3" w:rsidP="004E5B53">
            <w:pPr>
              <w:rPr>
                <w:rFonts w:ascii="Arial" w:hAnsi="Arial" w:cs="Arial"/>
                <w:sz w:val="24"/>
                <w:szCs w:val="24"/>
              </w:rPr>
            </w:pPr>
            <w:r>
              <w:rPr>
                <w:rFonts w:ascii="Arial" w:hAnsi="Arial" w:cs="Arial"/>
                <w:sz w:val="24"/>
                <w:szCs w:val="24"/>
              </w:rPr>
              <w:t>-</w:t>
            </w:r>
          </w:p>
        </w:tc>
      </w:tr>
      <w:tr w:rsidR="008400F3" w:rsidRPr="008400F3" w14:paraId="2051D2EB" w14:textId="77777777" w:rsidTr="008400F3">
        <w:tc>
          <w:tcPr>
            <w:tcW w:w="2310" w:type="dxa"/>
          </w:tcPr>
          <w:p w14:paraId="47CB2956" w14:textId="77777777" w:rsidR="008400F3" w:rsidRPr="008400F3" w:rsidRDefault="008400F3" w:rsidP="004E5B53">
            <w:pPr>
              <w:rPr>
                <w:rFonts w:ascii="Arial" w:hAnsi="Arial" w:cs="Arial"/>
                <w:sz w:val="24"/>
                <w:szCs w:val="24"/>
              </w:rPr>
            </w:pPr>
            <w:r w:rsidRPr="008400F3">
              <w:rPr>
                <w:rFonts w:ascii="Arial" w:hAnsi="Arial" w:cs="Arial"/>
                <w:sz w:val="24"/>
                <w:szCs w:val="24"/>
              </w:rPr>
              <w:t>2012</w:t>
            </w:r>
          </w:p>
        </w:tc>
        <w:tc>
          <w:tcPr>
            <w:tcW w:w="2310" w:type="dxa"/>
          </w:tcPr>
          <w:p w14:paraId="57FDAFB8" w14:textId="77777777" w:rsidR="008400F3" w:rsidRPr="008400F3" w:rsidRDefault="008400F3" w:rsidP="004E5B53">
            <w:pPr>
              <w:rPr>
                <w:rFonts w:ascii="Arial" w:hAnsi="Arial" w:cs="Arial"/>
                <w:sz w:val="24"/>
                <w:szCs w:val="24"/>
              </w:rPr>
            </w:pPr>
            <w:r>
              <w:rPr>
                <w:rFonts w:ascii="Arial" w:hAnsi="Arial" w:cs="Arial"/>
                <w:sz w:val="24"/>
                <w:szCs w:val="24"/>
              </w:rPr>
              <w:t>22%</w:t>
            </w:r>
          </w:p>
        </w:tc>
        <w:tc>
          <w:tcPr>
            <w:tcW w:w="2311" w:type="dxa"/>
          </w:tcPr>
          <w:p w14:paraId="3A4AF9C4" w14:textId="77777777" w:rsidR="008400F3" w:rsidRPr="008400F3" w:rsidRDefault="008400F3" w:rsidP="004E5B53">
            <w:pPr>
              <w:rPr>
                <w:rFonts w:ascii="Arial" w:hAnsi="Arial" w:cs="Arial"/>
                <w:sz w:val="24"/>
                <w:szCs w:val="24"/>
              </w:rPr>
            </w:pPr>
            <w:r>
              <w:rPr>
                <w:rFonts w:ascii="Arial" w:hAnsi="Arial" w:cs="Arial"/>
                <w:sz w:val="24"/>
                <w:szCs w:val="24"/>
              </w:rPr>
              <w:t>-</w:t>
            </w:r>
          </w:p>
        </w:tc>
        <w:tc>
          <w:tcPr>
            <w:tcW w:w="2311" w:type="dxa"/>
          </w:tcPr>
          <w:p w14:paraId="695C9876" w14:textId="77777777" w:rsidR="008400F3" w:rsidRPr="008400F3" w:rsidRDefault="008400F3" w:rsidP="004E5B53">
            <w:pPr>
              <w:rPr>
                <w:rFonts w:ascii="Arial" w:hAnsi="Arial" w:cs="Arial"/>
                <w:sz w:val="24"/>
                <w:szCs w:val="24"/>
              </w:rPr>
            </w:pPr>
            <w:r>
              <w:rPr>
                <w:rFonts w:ascii="Arial" w:hAnsi="Arial" w:cs="Arial"/>
                <w:sz w:val="24"/>
                <w:szCs w:val="24"/>
              </w:rPr>
              <w:t>-</w:t>
            </w:r>
          </w:p>
        </w:tc>
      </w:tr>
      <w:tr w:rsidR="008400F3" w:rsidRPr="008400F3" w14:paraId="7BA7CAD5" w14:textId="77777777" w:rsidTr="008400F3">
        <w:tc>
          <w:tcPr>
            <w:tcW w:w="2310" w:type="dxa"/>
          </w:tcPr>
          <w:p w14:paraId="7E1531FF" w14:textId="77777777" w:rsidR="008400F3" w:rsidRPr="008400F3" w:rsidRDefault="008400F3" w:rsidP="004E5B53">
            <w:pPr>
              <w:rPr>
                <w:rFonts w:ascii="Arial" w:hAnsi="Arial" w:cs="Arial"/>
                <w:sz w:val="24"/>
                <w:szCs w:val="24"/>
              </w:rPr>
            </w:pPr>
            <w:r w:rsidRPr="008400F3">
              <w:rPr>
                <w:rFonts w:ascii="Arial" w:hAnsi="Arial" w:cs="Arial"/>
                <w:sz w:val="24"/>
                <w:szCs w:val="24"/>
              </w:rPr>
              <w:t>2013</w:t>
            </w:r>
          </w:p>
        </w:tc>
        <w:tc>
          <w:tcPr>
            <w:tcW w:w="2310" w:type="dxa"/>
          </w:tcPr>
          <w:p w14:paraId="0E2BFF6C" w14:textId="77777777" w:rsidR="008400F3" w:rsidRPr="008400F3" w:rsidRDefault="008400F3" w:rsidP="004E5B53">
            <w:pPr>
              <w:rPr>
                <w:rFonts w:ascii="Arial" w:hAnsi="Arial" w:cs="Arial"/>
                <w:sz w:val="24"/>
                <w:szCs w:val="24"/>
              </w:rPr>
            </w:pPr>
            <w:r>
              <w:rPr>
                <w:rFonts w:ascii="Arial" w:hAnsi="Arial" w:cs="Arial"/>
                <w:sz w:val="24"/>
                <w:szCs w:val="24"/>
              </w:rPr>
              <w:t>23%</w:t>
            </w:r>
          </w:p>
        </w:tc>
        <w:tc>
          <w:tcPr>
            <w:tcW w:w="2311" w:type="dxa"/>
          </w:tcPr>
          <w:p w14:paraId="48F28868" w14:textId="77777777" w:rsidR="008400F3" w:rsidRPr="008400F3" w:rsidRDefault="008400F3" w:rsidP="004E5B53">
            <w:pPr>
              <w:rPr>
                <w:rFonts w:ascii="Arial" w:hAnsi="Arial" w:cs="Arial"/>
                <w:sz w:val="24"/>
                <w:szCs w:val="24"/>
              </w:rPr>
            </w:pPr>
            <w:r>
              <w:rPr>
                <w:rFonts w:ascii="Arial" w:hAnsi="Arial" w:cs="Arial"/>
                <w:sz w:val="24"/>
                <w:szCs w:val="24"/>
              </w:rPr>
              <w:t>-</w:t>
            </w:r>
          </w:p>
        </w:tc>
        <w:tc>
          <w:tcPr>
            <w:tcW w:w="2311" w:type="dxa"/>
          </w:tcPr>
          <w:p w14:paraId="1B67E423" w14:textId="77777777" w:rsidR="008400F3" w:rsidRPr="008400F3" w:rsidRDefault="008400F3" w:rsidP="004E5B53">
            <w:pPr>
              <w:rPr>
                <w:rFonts w:ascii="Arial" w:hAnsi="Arial" w:cs="Arial"/>
                <w:sz w:val="24"/>
                <w:szCs w:val="24"/>
              </w:rPr>
            </w:pPr>
            <w:r>
              <w:rPr>
                <w:rFonts w:ascii="Arial" w:hAnsi="Arial" w:cs="Arial"/>
                <w:sz w:val="24"/>
                <w:szCs w:val="24"/>
              </w:rPr>
              <w:t>-</w:t>
            </w:r>
          </w:p>
        </w:tc>
      </w:tr>
      <w:tr w:rsidR="008400F3" w:rsidRPr="008400F3" w14:paraId="2A930A76" w14:textId="77777777" w:rsidTr="008400F3">
        <w:tc>
          <w:tcPr>
            <w:tcW w:w="2310" w:type="dxa"/>
          </w:tcPr>
          <w:p w14:paraId="6F1D4F74" w14:textId="77777777" w:rsidR="008400F3" w:rsidRPr="008400F3" w:rsidRDefault="008400F3" w:rsidP="004E5B53">
            <w:pPr>
              <w:rPr>
                <w:rFonts w:ascii="Arial" w:hAnsi="Arial" w:cs="Arial"/>
                <w:sz w:val="24"/>
                <w:szCs w:val="24"/>
              </w:rPr>
            </w:pPr>
            <w:r w:rsidRPr="008400F3">
              <w:rPr>
                <w:rFonts w:ascii="Arial" w:hAnsi="Arial" w:cs="Arial"/>
                <w:sz w:val="24"/>
                <w:szCs w:val="24"/>
              </w:rPr>
              <w:t>2014</w:t>
            </w:r>
          </w:p>
        </w:tc>
        <w:tc>
          <w:tcPr>
            <w:tcW w:w="2310" w:type="dxa"/>
          </w:tcPr>
          <w:p w14:paraId="527DFB91" w14:textId="77777777" w:rsidR="008400F3" w:rsidRPr="008400F3" w:rsidRDefault="008400F3" w:rsidP="004E5B53">
            <w:pPr>
              <w:rPr>
                <w:rFonts w:ascii="Arial" w:hAnsi="Arial" w:cs="Arial"/>
                <w:sz w:val="24"/>
                <w:szCs w:val="24"/>
              </w:rPr>
            </w:pPr>
            <w:r>
              <w:rPr>
                <w:rFonts w:ascii="Arial" w:hAnsi="Arial" w:cs="Arial"/>
                <w:sz w:val="24"/>
                <w:szCs w:val="24"/>
              </w:rPr>
              <w:t>24%</w:t>
            </w:r>
          </w:p>
        </w:tc>
        <w:tc>
          <w:tcPr>
            <w:tcW w:w="2311" w:type="dxa"/>
          </w:tcPr>
          <w:p w14:paraId="4628CF34" w14:textId="77777777" w:rsidR="008400F3" w:rsidRPr="008400F3" w:rsidRDefault="008400F3" w:rsidP="004E5B53">
            <w:pPr>
              <w:rPr>
                <w:rFonts w:ascii="Arial" w:hAnsi="Arial" w:cs="Arial"/>
                <w:sz w:val="24"/>
                <w:szCs w:val="24"/>
              </w:rPr>
            </w:pPr>
            <w:r>
              <w:rPr>
                <w:rFonts w:ascii="Arial" w:hAnsi="Arial" w:cs="Arial"/>
                <w:sz w:val="24"/>
                <w:szCs w:val="24"/>
              </w:rPr>
              <w:t>-</w:t>
            </w:r>
          </w:p>
        </w:tc>
        <w:tc>
          <w:tcPr>
            <w:tcW w:w="2311" w:type="dxa"/>
          </w:tcPr>
          <w:p w14:paraId="26A1DC74" w14:textId="77777777" w:rsidR="008400F3" w:rsidRPr="008400F3" w:rsidRDefault="008400F3" w:rsidP="004E5B53">
            <w:pPr>
              <w:rPr>
                <w:rFonts w:ascii="Arial" w:hAnsi="Arial" w:cs="Arial"/>
                <w:sz w:val="24"/>
                <w:szCs w:val="24"/>
              </w:rPr>
            </w:pPr>
            <w:r>
              <w:rPr>
                <w:rFonts w:ascii="Arial" w:hAnsi="Arial" w:cs="Arial"/>
                <w:sz w:val="24"/>
                <w:szCs w:val="24"/>
              </w:rPr>
              <w:t>-</w:t>
            </w:r>
          </w:p>
        </w:tc>
      </w:tr>
      <w:tr w:rsidR="008400F3" w:rsidRPr="008400F3" w14:paraId="533112FB" w14:textId="77777777" w:rsidTr="008400F3">
        <w:tc>
          <w:tcPr>
            <w:tcW w:w="2310" w:type="dxa"/>
          </w:tcPr>
          <w:p w14:paraId="66050CCF" w14:textId="77777777" w:rsidR="008400F3" w:rsidRPr="008400F3" w:rsidRDefault="008400F3" w:rsidP="004E5B53">
            <w:pPr>
              <w:rPr>
                <w:rFonts w:ascii="Arial" w:hAnsi="Arial" w:cs="Arial"/>
                <w:sz w:val="24"/>
                <w:szCs w:val="24"/>
              </w:rPr>
            </w:pPr>
            <w:r w:rsidRPr="008400F3">
              <w:rPr>
                <w:rFonts w:ascii="Arial" w:hAnsi="Arial" w:cs="Arial"/>
                <w:sz w:val="24"/>
                <w:szCs w:val="24"/>
              </w:rPr>
              <w:t>2015</w:t>
            </w:r>
          </w:p>
        </w:tc>
        <w:tc>
          <w:tcPr>
            <w:tcW w:w="2310" w:type="dxa"/>
          </w:tcPr>
          <w:p w14:paraId="6AC94706" w14:textId="77777777" w:rsidR="008400F3" w:rsidRPr="008400F3" w:rsidRDefault="008400F3" w:rsidP="004E5B53">
            <w:pPr>
              <w:rPr>
                <w:rFonts w:ascii="Arial" w:hAnsi="Arial" w:cs="Arial"/>
                <w:sz w:val="24"/>
                <w:szCs w:val="24"/>
              </w:rPr>
            </w:pPr>
            <w:r>
              <w:rPr>
                <w:rFonts w:ascii="Arial" w:hAnsi="Arial" w:cs="Arial"/>
                <w:sz w:val="24"/>
                <w:szCs w:val="24"/>
              </w:rPr>
              <w:t>26%</w:t>
            </w:r>
          </w:p>
        </w:tc>
        <w:tc>
          <w:tcPr>
            <w:tcW w:w="2311" w:type="dxa"/>
          </w:tcPr>
          <w:p w14:paraId="46B6AB9D" w14:textId="77777777" w:rsidR="008400F3" w:rsidRPr="008400F3" w:rsidRDefault="008400F3" w:rsidP="004E5B53">
            <w:pPr>
              <w:rPr>
                <w:rFonts w:ascii="Arial" w:hAnsi="Arial" w:cs="Arial"/>
                <w:sz w:val="24"/>
                <w:szCs w:val="24"/>
              </w:rPr>
            </w:pPr>
            <w:r>
              <w:rPr>
                <w:rFonts w:ascii="Arial" w:hAnsi="Arial" w:cs="Arial"/>
                <w:sz w:val="24"/>
                <w:szCs w:val="24"/>
              </w:rPr>
              <w:t>-</w:t>
            </w:r>
          </w:p>
        </w:tc>
        <w:tc>
          <w:tcPr>
            <w:tcW w:w="2311" w:type="dxa"/>
          </w:tcPr>
          <w:p w14:paraId="68E27861" w14:textId="77777777" w:rsidR="008400F3" w:rsidRPr="008400F3" w:rsidRDefault="008400F3" w:rsidP="004E5B53">
            <w:pPr>
              <w:rPr>
                <w:rFonts w:ascii="Arial" w:hAnsi="Arial" w:cs="Arial"/>
                <w:sz w:val="24"/>
                <w:szCs w:val="24"/>
              </w:rPr>
            </w:pPr>
            <w:r>
              <w:rPr>
                <w:rFonts w:ascii="Arial" w:hAnsi="Arial" w:cs="Arial"/>
                <w:sz w:val="24"/>
                <w:szCs w:val="24"/>
              </w:rPr>
              <w:t>-</w:t>
            </w:r>
          </w:p>
        </w:tc>
      </w:tr>
      <w:tr w:rsidR="008400F3" w:rsidRPr="008400F3" w14:paraId="4D1F558C" w14:textId="77777777" w:rsidTr="008400F3">
        <w:tc>
          <w:tcPr>
            <w:tcW w:w="2310" w:type="dxa"/>
          </w:tcPr>
          <w:p w14:paraId="1CB1F6AF" w14:textId="77777777" w:rsidR="008400F3" w:rsidRPr="008400F3" w:rsidRDefault="008400F3" w:rsidP="004E5B53">
            <w:pPr>
              <w:rPr>
                <w:rFonts w:ascii="Arial" w:hAnsi="Arial" w:cs="Arial"/>
                <w:sz w:val="24"/>
                <w:szCs w:val="24"/>
              </w:rPr>
            </w:pPr>
            <w:r w:rsidRPr="008400F3">
              <w:rPr>
                <w:rFonts w:ascii="Arial" w:hAnsi="Arial" w:cs="Arial"/>
                <w:sz w:val="24"/>
                <w:szCs w:val="24"/>
              </w:rPr>
              <w:t>2016</w:t>
            </w:r>
          </w:p>
        </w:tc>
        <w:tc>
          <w:tcPr>
            <w:tcW w:w="2310" w:type="dxa"/>
          </w:tcPr>
          <w:p w14:paraId="725166B2" w14:textId="77777777" w:rsidR="008400F3" w:rsidRPr="008400F3" w:rsidRDefault="008400F3" w:rsidP="004E5B53">
            <w:pPr>
              <w:rPr>
                <w:rFonts w:ascii="Arial" w:hAnsi="Arial" w:cs="Arial"/>
                <w:sz w:val="24"/>
                <w:szCs w:val="24"/>
              </w:rPr>
            </w:pPr>
            <w:r>
              <w:rPr>
                <w:rFonts w:ascii="Arial" w:hAnsi="Arial" w:cs="Arial"/>
                <w:sz w:val="24"/>
                <w:szCs w:val="24"/>
              </w:rPr>
              <w:t>27%</w:t>
            </w:r>
          </w:p>
        </w:tc>
        <w:tc>
          <w:tcPr>
            <w:tcW w:w="2311" w:type="dxa"/>
          </w:tcPr>
          <w:p w14:paraId="37DDB3AD" w14:textId="77777777" w:rsidR="008400F3" w:rsidRPr="008400F3" w:rsidRDefault="008400F3" w:rsidP="004E5B53">
            <w:pPr>
              <w:rPr>
                <w:rFonts w:ascii="Arial" w:hAnsi="Arial" w:cs="Arial"/>
                <w:sz w:val="24"/>
                <w:szCs w:val="24"/>
              </w:rPr>
            </w:pPr>
            <w:r>
              <w:rPr>
                <w:rFonts w:ascii="Arial" w:hAnsi="Arial" w:cs="Arial"/>
                <w:sz w:val="24"/>
                <w:szCs w:val="24"/>
              </w:rPr>
              <w:t>16%</w:t>
            </w:r>
          </w:p>
        </w:tc>
        <w:tc>
          <w:tcPr>
            <w:tcW w:w="2311" w:type="dxa"/>
          </w:tcPr>
          <w:p w14:paraId="4F42B4CF" w14:textId="77777777" w:rsidR="008400F3" w:rsidRPr="008400F3" w:rsidRDefault="008400F3" w:rsidP="004E5B53">
            <w:pPr>
              <w:rPr>
                <w:rFonts w:ascii="Arial" w:hAnsi="Arial" w:cs="Arial"/>
                <w:sz w:val="24"/>
                <w:szCs w:val="24"/>
              </w:rPr>
            </w:pPr>
            <w:r>
              <w:rPr>
                <w:rFonts w:ascii="Arial" w:hAnsi="Arial" w:cs="Arial"/>
                <w:sz w:val="24"/>
                <w:szCs w:val="24"/>
              </w:rPr>
              <w:t>32%</w:t>
            </w:r>
          </w:p>
        </w:tc>
      </w:tr>
      <w:tr w:rsidR="008400F3" w:rsidRPr="008400F3" w14:paraId="2DFEEB28" w14:textId="77777777" w:rsidTr="008400F3">
        <w:tc>
          <w:tcPr>
            <w:tcW w:w="2310" w:type="dxa"/>
          </w:tcPr>
          <w:p w14:paraId="4621A85C" w14:textId="77777777" w:rsidR="008400F3" w:rsidRPr="008400F3" w:rsidRDefault="008400F3" w:rsidP="004E5B53">
            <w:pPr>
              <w:rPr>
                <w:rFonts w:ascii="Arial" w:hAnsi="Arial" w:cs="Arial"/>
                <w:sz w:val="24"/>
                <w:szCs w:val="24"/>
              </w:rPr>
            </w:pPr>
            <w:r w:rsidRPr="008400F3">
              <w:rPr>
                <w:rFonts w:ascii="Arial" w:hAnsi="Arial" w:cs="Arial"/>
                <w:sz w:val="24"/>
                <w:szCs w:val="24"/>
              </w:rPr>
              <w:t>2017</w:t>
            </w:r>
          </w:p>
        </w:tc>
        <w:tc>
          <w:tcPr>
            <w:tcW w:w="2310" w:type="dxa"/>
          </w:tcPr>
          <w:p w14:paraId="1444BCB9" w14:textId="77777777" w:rsidR="008400F3" w:rsidRPr="008400F3" w:rsidRDefault="008400F3" w:rsidP="004E5B53">
            <w:pPr>
              <w:rPr>
                <w:rFonts w:ascii="Arial" w:hAnsi="Arial" w:cs="Arial"/>
                <w:sz w:val="24"/>
                <w:szCs w:val="24"/>
              </w:rPr>
            </w:pPr>
            <w:r>
              <w:rPr>
                <w:rFonts w:ascii="Arial" w:hAnsi="Arial" w:cs="Arial"/>
                <w:sz w:val="24"/>
                <w:szCs w:val="24"/>
              </w:rPr>
              <w:t>29%</w:t>
            </w:r>
          </w:p>
        </w:tc>
        <w:tc>
          <w:tcPr>
            <w:tcW w:w="2311" w:type="dxa"/>
          </w:tcPr>
          <w:p w14:paraId="2C08BCE1" w14:textId="77777777" w:rsidR="008400F3" w:rsidRPr="008400F3" w:rsidRDefault="008400F3" w:rsidP="004E5B53">
            <w:pPr>
              <w:rPr>
                <w:rFonts w:ascii="Arial" w:hAnsi="Arial" w:cs="Arial"/>
                <w:sz w:val="24"/>
                <w:szCs w:val="24"/>
              </w:rPr>
            </w:pPr>
            <w:r>
              <w:rPr>
                <w:rFonts w:ascii="Arial" w:hAnsi="Arial" w:cs="Arial"/>
                <w:sz w:val="24"/>
                <w:szCs w:val="24"/>
              </w:rPr>
              <w:t>17%</w:t>
            </w:r>
          </w:p>
        </w:tc>
        <w:tc>
          <w:tcPr>
            <w:tcW w:w="2311" w:type="dxa"/>
          </w:tcPr>
          <w:p w14:paraId="6642DC00" w14:textId="77777777" w:rsidR="008400F3" w:rsidRPr="008400F3" w:rsidRDefault="008400F3" w:rsidP="004E5B53">
            <w:pPr>
              <w:rPr>
                <w:rFonts w:ascii="Arial" w:hAnsi="Arial" w:cs="Arial"/>
                <w:sz w:val="24"/>
                <w:szCs w:val="24"/>
              </w:rPr>
            </w:pPr>
            <w:r>
              <w:rPr>
                <w:rFonts w:ascii="Arial" w:hAnsi="Arial" w:cs="Arial"/>
                <w:sz w:val="24"/>
                <w:szCs w:val="24"/>
              </w:rPr>
              <w:t>34%</w:t>
            </w:r>
          </w:p>
        </w:tc>
      </w:tr>
      <w:tr w:rsidR="008400F3" w:rsidRPr="008400F3" w14:paraId="71932874" w14:textId="77777777" w:rsidTr="008400F3">
        <w:tc>
          <w:tcPr>
            <w:tcW w:w="2310" w:type="dxa"/>
          </w:tcPr>
          <w:p w14:paraId="27901A60" w14:textId="77777777" w:rsidR="008400F3" w:rsidRPr="008400F3" w:rsidRDefault="008400F3" w:rsidP="004E5B53">
            <w:pPr>
              <w:rPr>
                <w:rFonts w:ascii="Arial" w:hAnsi="Arial" w:cs="Arial"/>
                <w:sz w:val="24"/>
                <w:szCs w:val="24"/>
              </w:rPr>
            </w:pPr>
            <w:r w:rsidRPr="008400F3">
              <w:rPr>
                <w:rFonts w:ascii="Arial" w:hAnsi="Arial" w:cs="Arial"/>
                <w:sz w:val="24"/>
                <w:szCs w:val="24"/>
              </w:rPr>
              <w:t>2018</w:t>
            </w:r>
          </w:p>
        </w:tc>
        <w:tc>
          <w:tcPr>
            <w:tcW w:w="2310" w:type="dxa"/>
          </w:tcPr>
          <w:p w14:paraId="5E509B3B" w14:textId="77777777" w:rsidR="008400F3" w:rsidRPr="008400F3" w:rsidRDefault="008400F3" w:rsidP="004E5B53">
            <w:pPr>
              <w:rPr>
                <w:rFonts w:ascii="Arial" w:hAnsi="Arial" w:cs="Arial"/>
                <w:sz w:val="24"/>
                <w:szCs w:val="24"/>
              </w:rPr>
            </w:pPr>
            <w:r>
              <w:rPr>
                <w:rFonts w:ascii="Arial" w:hAnsi="Arial" w:cs="Arial"/>
                <w:sz w:val="24"/>
                <w:szCs w:val="24"/>
              </w:rPr>
              <w:t>31%</w:t>
            </w:r>
          </w:p>
        </w:tc>
        <w:tc>
          <w:tcPr>
            <w:tcW w:w="2311" w:type="dxa"/>
          </w:tcPr>
          <w:p w14:paraId="556015C7" w14:textId="77777777" w:rsidR="008400F3" w:rsidRPr="008400F3" w:rsidRDefault="008400F3" w:rsidP="004E5B53">
            <w:pPr>
              <w:rPr>
                <w:rFonts w:ascii="Arial" w:hAnsi="Arial" w:cs="Arial"/>
                <w:sz w:val="24"/>
                <w:szCs w:val="24"/>
              </w:rPr>
            </w:pPr>
            <w:r>
              <w:rPr>
                <w:rFonts w:ascii="Arial" w:hAnsi="Arial" w:cs="Arial"/>
                <w:sz w:val="24"/>
                <w:szCs w:val="24"/>
              </w:rPr>
              <w:t>18%</w:t>
            </w:r>
          </w:p>
        </w:tc>
        <w:tc>
          <w:tcPr>
            <w:tcW w:w="2311" w:type="dxa"/>
          </w:tcPr>
          <w:p w14:paraId="623049FC" w14:textId="77777777" w:rsidR="008400F3" w:rsidRPr="008400F3" w:rsidRDefault="008400F3" w:rsidP="004E5B53">
            <w:pPr>
              <w:rPr>
                <w:rFonts w:ascii="Arial" w:hAnsi="Arial" w:cs="Arial"/>
                <w:sz w:val="24"/>
                <w:szCs w:val="24"/>
              </w:rPr>
            </w:pPr>
            <w:r>
              <w:rPr>
                <w:rFonts w:ascii="Arial" w:hAnsi="Arial" w:cs="Arial"/>
                <w:sz w:val="24"/>
                <w:szCs w:val="24"/>
              </w:rPr>
              <w:t>36%</w:t>
            </w:r>
          </w:p>
        </w:tc>
      </w:tr>
    </w:tbl>
    <w:p w14:paraId="3583D72A" w14:textId="77777777" w:rsidR="0096521E" w:rsidRPr="0096521E" w:rsidRDefault="0096521E" w:rsidP="0096521E">
      <w:pPr>
        <w:rPr>
          <w:rFonts w:ascii="Arial" w:hAnsi="Arial" w:cs="Arial"/>
          <w:i/>
          <w:sz w:val="24"/>
        </w:rPr>
      </w:pPr>
      <w:r w:rsidRPr="0096521E">
        <w:rPr>
          <w:rFonts w:ascii="Arial" w:hAnsi="Arial" w:cs="Arial"/>
          <w:i/>
          <w:sz w:val="24"/>
        </w:rPr>
        <w:t>Source: Victorian government school administrative data, 2018, DET</w:t>
      </w:r>
    </w:p>
    <w:p w14:paraId="1DE224D3" w14:textId="77777777" w:rsidR="0096521E" w:rsidRPr="008400F3" w:rsidRDefault="0096521E" w:rsidP="008400F3">
      <w:pPr>
        <w:pStyle w:val="Heading3"/>
        <w:rPr>
          <w:rFonts w:ascii="Arial" w:hAnsi="Arial" w:cs="Arial"/>
          <w:color w:val="auto"/>
          <w:sz w:val="24"/>
        </w:rPr>
      </w:pPr>
      <w:bookmarkStart w:id="59" w:name="_Toc33527784"/>
      <w:r w:rsidRPr="008400F3">
        <w:rPr>
          <w:rFonts w:ascii="Arial" w:hAnsi="Arial" w:cs="Arial"/>
          <w:color w:val="auto"/>
          <w:sz w:val="24"/>
        </w:rPr>
        <w:t>5.2</w:t>
      </w:r>
      <w:r w:rsidRPr="008400F3">
        <w:rPr>
          <w:rFonts w:ascii="Arial" w:hAnsi="Arial" w:cs="Arial"/>
          <w:color w:val="auto"/>
          <w:sz w:val="24"/>
        </w:rPr>
        <w:tab/>
        <w:t>Most adolescents live in healthy, well-functioning families</w:t>
      </w:r>
      <w:bookmarkEnd w:id="59"/>
    </w:p>
    <w:p w14:paraId="07AB7FD5" w14:textId="77777777" w:rsidR="0096521E" w:rsidRPr="0096521E" w:rsidRDefault="0096521E" w:rsidP="0096521E">
      <w:pPr>
        <w:rPr>
          <w:rFonts w:ascii="Arial" w:hAnsi="Arial" w:cs="Arial"/>
          <w:sz w:val="24"/>
        </w:rPr>
      </w:pPr>
      <w:r w:rsidRPr="0096521E">
        <w:rPr>
          <w:rFonts w:ascii="Arial" w:hAnsi="Arial" w:cs="Arial"/>
          <w:sz w:val="24"/>
        </w:rPr>
        <w:t>Families provide the main structure within which adolescents develop and transition into adult lives (Patton, et al., 2018). While this is so, adolescence provokes major shifts in family relationships, particularly between parent and child. In healthy well- functioning families, roles and expectations are clear, communication between</w:t>
      </w:r>
      <w:r>
        <w:rPr>
          <w:rFonts w:ascii="Arial" w:hAnsi="Arial" w:cs="Arial"/>
          <w:sz w:val="24"/>
        </w:rPr>
        <w:t xml:space="preserve"> </w:t>
      </w:r>
      <w:r w:rsidRPr="0096521E">
        <w:rPr>
          <w:rFonts w:ascii="Arial" w:hAnsi="Arial" w:cs="Arial"/>
          <w:sz w:val="24"/>
        </w:rPr>
        <w:t>members is frequent, straightforward and respectful, emotions are well-managed and serious conflict is infrequent. Parents attempt to shape and regulate their adolescent’s behaviour by setting high standards for personal behaviour, school performance,</w:t>
      </w:r>
      <w:r>
        <w:rPr>
          <w:rFonts w:ascii="Arial" w:hAnsi="Arial" w:cs="Arial"/>
          <w:sz w:val="24"/>
        </w:rPr>
        <w:t xml:space="preserve"> </w:t>
      </w:r>
      <w:r w:rsidRPr="0096521E">
        <w:rPr>
          <w:rFonts w:ascii="Arial" w:hAnsi="Arial" w:cs="Arial"/>
          <w:sz w:val="24"/>
        </w:rPr>
        <w:t>and peer associations, which they apply through supervision and monitoring of their adolescent’s whereabouts, activities, and friendships. This provides adolescents with clear and consistent expectations and the structure and guidelines needed for the development of competent, autonomous, and responsible behaviour (Barber, Stolz, &amp; Olsen, 2005).</w:t>
      </w:r>
    </w:p>
    <w:p w14:paraId="5953C54D" w14:textId="77777777" w:rsidR="0096521E" w:rsidRPr="0096521E" w:rsidRDefault="0096521E" w:rsidP="0096521E">
      <w:pPr>
        <w:rPr>
          <w:rFonts w:ascii="Arial" w:hAnsi="Arial" w:cs="Arial"/>
          <w:sz w:val="24"/>
        </w:rPr>
      </w:pPr>
      <w:r w:rsidRPr="0096521E">
        <w:rPr>
          <w:rFonts w:ascii="Arial" w:hAnsi="Arial" w:cs="Arial"/>
          <w:sz w:val="24"/>
        </w:rPr>
        <w:t>Analysis from VSHAWS 2018 shows that:</w:t>
      </w:r>
    </w:p>
    <w:p w14:paraId="7DC4FA47" w14:textId="77777777" w:rsidR="0096521E" w:rsidRPr="0096521E" w:rsidRDefault="0096521E" w:rsidP="0096521E">
      <w:pPr>
        <w:pStyle w:val="ListParagraph"/>
        <w:numPr>
          <w:ilvl w:val="0"/>
          <w:numId w:val="24"/>
        </w:numPr>
        <w:rPr>
          <w:rFonts w:ascii="Arial" w:hAnsi="Arial" w:cs="Arial"/>
          <w:sz w:val="24"/>
        </w:rPr>
      </w:pPr>
      <w:r w:rsidRPr="0096521E">
        <w:rPr>
          <w:rFonts w:ascii="Arial" w:hAnsi="Arial" w:cs="Arial"/>
          <w:sz w:val="24"/>
        </w:rPr>
        <w:t>around four in five Year 8 (82 per cent) and Year 11 students (77 per cent) live in what are considered to be healthy, well-functioning families</w:t>
      </w:r>
    </w:p>
    <w:p w14:paraId="08C277CC" w14:textId="77777777" w:rsidR="000C207C" w:rsidRPr="0096521E" w:rsidRDefault="0096521E" w:rsidP="0096521E">
      <w:pPr>
        <w:pStyle w:val="ListParagraph"/>
        <w:numPr>
          <w:ilvl w:val="0"/>
          <w:numId w:val="24"/>
        </w:numPr>
        <w:rPr>
          <w:rFonts w:ascii="Arial" w:hAnsi="Arial" w:cs="Arial"/>
          <w:sz w:val="24"/>
        </w:rPr>
      </w:pPr>
      <w:r w:rsidRPr="0096521E">
        <w:rPr>
          <w:rFonts w:ascii="Arial" w:hAnsi="Arial" w:cs="Arial"/>
          <w:sz w:val="24"/>
        </w:rPr>
        <w:t>young people in two-parent families (88 per cent) report higher levels of functioning compared with those in one-parent families (78 per cent). These differences in reporting may be related to socioeconomic differences between these two family types, as well as having two people to share parenting responsibilities.</w:t>
      </w:r>
    </w:p>
    <w:p w14:paraId="277A8648" w14:textId="77777777" w:rsidR="00E45E75" w:rsidRDefault="00E45E75" w:rsidP="000C207C">
      <w:pPr>
        <w:rPr>
          <w:rFonts w:ascii="Arial" w:hAnsi="Arial" w:cs="Arial"/>
          <w:sz w:val="24"/>
        </w:rPr>
      </w:pPr>
    </w:p>
    <w:p w14:paraId="227E4256" w14:textId="77777777" w:rsidR="00E42B40" w:rsidRPr="00E42B40" w:rsidRDefault="00E42B40" w:rsidP="00E42B40">
      <w:pPr>
        <w:pBdr>
          <w:top w:val="single" w:sz="4" w:space="1" w:color="auto"/>
          <w:left w:val="single" w:sz="4" w:space="4" w:color="auto"/>
          <w:bottom w:val="single" w:sz="4" w:space="1" w:color="auto"/>
          <w:right w:val="single" w:sz="4" w:space="4" w:color="auto"/>
        </w:pBdr>
        <w:rPr>
          <w:rFonts w:ascii="Arial" w:hAnsi="Arial" w:cs="Arial"/>
          <w:b/>
          <w:sz w:val="24"/>
        </w:rPr>
      </w:pPr>
      <w:r w:rsidRPr="00E42B40">
        <w:rPr>
          <w:rFonts w:ascii="Arial" w:hAnsi="Arial" w:cs="Arial"/>
          <w:b/>
          <w:sz w:val="24"/>
        </w:rPr>
        <w:t>Common adolescent parenting strategies</w:t>
      </w:r>
    </w:p>
    <w:p w14:paraId="60C3B056" w14:textId="77777777" w:rsidR="00E42B40" w:rsidRPr="00E42B40" w:rsidRDefault="00E42B40" w:rsidP="00E42B40">
      <w:pPr>
        <w:pBdr>
          <w:top w:val="single" w:sz="4" w:space="1" w:color="auto"/>
          <w:left w:val="single" w:sz="4" w:space="4" w:color="auto"/>
          <w:bottom w:val="single" w:sz="4" w:space="1" w:color="auto"/>
          <w:right w:val="single" w:sz="4" w:space="4" w:color="auto"/>
        </w:pBdr>
        <w:rPr>
          <w:rFonts w:ascii="Arial" w:hAnsi="Arial" w:cs="Arial"/>
          <w:sz w:val="24"/>
        </w:rPr>
      </w:pPr>
      <w:r w:rsidRPr="00E42B40">
        <w:rPr>
          <w:rFonts w:ascii="Arial" w:hAnsi="Arial" w:cs="Arial"/>
          <w:sz w:val="24"/>
        </w:rPr>
        <w:t>Victorian adolescents commonly report that their parents apply the following strategies:</w:t>
      </w:r>
    </w:p>
    <w:p w14:paraId="4E50BDF1" w14:textId="77777777" w:rsidR="00E42B40" w:rsidRPr="00E42B40" w:rsidRDefault="00E42B40" w:rsidP="00E42B40">
      <w:pPr>
        <w:pBdr>
          <w:top w:val="single" w:sz="4" w:space="1" w:color="auto"/>
          <w:left w:val="single" w:sz="4" w:space="4" w:color="auto"/>
          <w:bottom w:val="single" w:sz="4" w:space="1" w:color="auto"/>
          <w:right w:val="single" w:sz="4" w:space="4" w:color="auto"/>
        </w:pBdr>
        <w:rPr>
          <w:rFonts w:ascii="Arial" w:hAnsi="Arial" w:cs="Arial"/>
          <w:sz w:val="24"/>
        </w:rPr>
      </w:pPr>
      <w:r>
        <w:rPr>
          <w:rFonts w:ascii="Arial" w:hAnsi="Arial" w:cs="Arial"/>
          <w:sz w:val="24"/>
        </w:rPr>
        <w:t xml:space="preserve">• </w:t>
      </w:r>
      <w:r w:rsidRPr="00E42B40">
        <w:rPr>
          <w:rFonts w:ascii="Arial" w:hAnsi="Arial" w:cs="Arial"/>
          <w:sz w:val="24"/>
        </w:rPr>
        <w:t>set clear family rules</w:t>
      </w:r>
      <w:r>
        <w:rPr>
          <w:rFonts w:ascii="Arial" w:hAnsi="Arial" w:cs="Arial"/>
          <w:sz w:val="24"/>
        </w:rPr>
        <w:t xml:space="preserve"> </w:t>
      </w:r>
      <w:r w:rsidRPr="00E42B40">
        <w:rPr>
          <w:rFonts w:ascii="Arial" w:hAnsi="Arial" w:cs="Arial"/>
          <w:sz w:val="24"/>
        </w:rPr>
        <w:t>(82 per cent)</w:t>
      </w:r>
    </w:p>
    <w:p w14:paraId="0A939335" w14:textId="77777777" w:rsidR="00E42B40" w:rsidRPr="00E42B40" w:rsidRDefault="00E42B40" w:rsidP="00E42B40">
      <w:pPr>
        <w:pBdr>
          <w:top w:val="single" w:sz="4" w:space="1" w:color="auto"/>
          <w:left w:val="single" w:sz="4" w:space="4" w:color="auto"/>
          <w:bottom w:val="single" w:sz="4" w:space="1" w:color="auto"/>
          <w:right w:val="single" w:sz="4" w:space="4" w:color="auto"/>
        </w:pBdr>
        <w:rPr>
          <w:rFonts w:ascii="Arial" w:hAnsi="Arial" w:cs="Arial"/>
          <w:sz w:val="24"/>
        </w:rPr>
      </w:pPr>
      <w:r w:rsidRPr="00E42B40">
        <w:rPr>
          <w:rFonts w:ascii="Arial" w:hAnsi="Arial" w:cs="Arial"/>
          <w:sz w:val="24"/>
        </w:rPr>
        <w:lastRenderedPageBreak/>
        <w:t>•</w:t>
      </w:r>
      <w:r>
        <w:rPr>
          <w:rFonts w:ascii="Arial" w:hAnsi="Arial" w:cs="Arial"/>
          <w:sz w:val="24"/>
        </w:rPr>
        <w:t xml:space="preserve"> </w:t>
      </w:r>
      <w:r w:rsidRPr="00E42B40">
        <w:rPr>
          <w:rFonts w:ascii="Arial" w:hAnsi="Arial" w:cs="Arial"/>
          <w:sz w:val="24"/>
        </w:rPr>
        <w:t>monitored the completion of homework</w:t>
      </w:r>
      <w:r>
        <w:rPr>
          <w:rFonts w:ascii="Arial" w:hAnsi="Arial" w:cs="Arial"/>
          <w:sz w:val="24"/>
        </w:rPr>
        <w:t xml:space="preserve"> </w:t>
      </w:r>
      <w:r w:rsidRPr="00E42B40">
        <w:rPr>
          <w:rFonts w:ascii="Arial" w:hAnsi="Arial" w:cs="Arial"/>
          <w:sz w:val="24"/>
        </w:rPr>
        <w:t>(81 per cent)</w:t>
      </w:r>
    </w:p>
    <w:p w14:paraId="5A8304C3" w14:textId="77777777" w:rsidR="00E42B40" w:rsidRPr="00E42B40" w:rsidRDefault="00E42B40" w:rsidP="00E42B40">
      <w:pPr>
        <w:pBdr>
          <w:top w:val="single" w:sz="4" w:space="1" w:color="auto"/>
          <w:left w:val="single" w:sz="4" w:space="4" w:color="auto"/>
          <w:bottom w:val="single" w:sz="4" w:space="1" w:color="auto"/>
          <w:right w:val="single" w:sz="4" w:space="4" w:color="auto"/>
        </w:pBdr>
        <w:rPr>
          <w:rFonts w:ascii="Arial" w:hAnsi="Arial" w:cs="Arial"/>
          <w:sz w:val="24"/>
        </w:rPr>
      </w:pPr>
      <w:r w:rsidRPr="00E42B40">
        <w:rPr>
          <w:rFonts w:ascii="Arial" w:hAnsi="Arial" w:cs="Arial"/>
          <w:sz w:val="24"/>
        </w:rPr>
        <w:t>•</w:t>
      </w:r>
      <w:r>
        <w:rPr>
          <w:rFonts w:ascii="Arial" w:hAnsi="Arial" w:cs="Arial"/>
          <w:sz w:val="24"/>
        </w:rPr>
        <w:t xml:space="preserve"> </w:t>
      </w:r>
      <w:r w:rsidRPr="00E42B40">
        <w:rPr>
          <w:rFonts w:ascii="Arial" w:hAnsi="Arial" w:cs="Arial"/>
          <w:sz w:val="24"/>
        </w:rPr>
        <w:t>set and monitored curfews</w:t>
      </w:r>
      <w:r>
        <w:rPr>
          <w:rFonts w:ascii="Arial" w:hAnsi="Arial" w:cs="Arial"/>
          <w:sz w:val="24"/>
        </w:rPr>
        <w:t xml:space="preserve"> </w:t>
      </w:r>
      <w:r w:rsidRPr="00E42B40">
        <w:rPr>
          <w:rFonts w:ascii="Arial" w:hAnsi="Arial" w:cs="Arial"/>
          <w:sz w:val="24"/>
        </w:rPr>
        <w:t>(87 per cent)</w:t>
      </w:r>
    </w:p>
    <w:p w14:paraId="6F5A82A1" w14:textId="77777777" w:rsidR="00E42B40" w:rsidRPr="00E42B40" w:rsidRDefault="00E42B40" w:rsidP="00E42B40">
      <w:pPr>
        <w:pBdr>
          <w:top w:val="single" w:sz="4" w:space="1" w:color="auto"/>
          <w:left w:val="single" w:sz="4" w:space="4" w:color="auto"/>
          <w:bottom w:val="single" w:sz="4" w:space="1" w:color="auto"/>
          <w:right w:val="single" w:sz="4" w:space="4" w:color="auto"/>
        </w:pBdr>
        <w:rPr>
          <w:rFonts w:ascii="Arial" w:hAnsi="Arial" w:cs="Arial"/>
          <w:sz w:val="24"/>
        </w:rPr>
      </w:pPr>
      <w:r w:rsidRPr="00E42B40">
        <w:rPr>
          <w:rFonts w:ascii="Arial" w:hAnsi="Arial" w:cs="Arial"/>
          <w:sz w:val="24"/>
        </w:rPr>
        <w:t>•</w:t>
      </w:r>
      <w:r>
        <w:rPr>
          <w:rFonts w:ascii="Arial" w:hAnsi="Arial" w:cs="Arial"/>
          <w:sz w:val="24"/>
        </w:rPr>
        <w:t xml:space="preserve"> </w:t>
      </w:r>
      <w:r w:rsidRPr="00E42B40">
        <w:rPr>
          <w:rFonts w:ascii="Arial" w:hAnsi="Arial" w:cs="Arial"/>
          <w:sz w:val="24"/>
        </w:rPr>
        <w:t>knew their location when outside the home</w:t>
      </w:r>
      <w:r>
        <w:rPr>
          <w:rFonts w:ascii="Arial" w:hAnsi="Arial" w:cs="Arial"/>
          <w:sz w:val="24"/>
        </w:rPr>
        <w:t xml:space="preserve"> </w:t>
      </w:r>
      <w:r w:rsidRPr="00E42B40">
        <w:rPr>
          <w:rFonts w:ascii="Arial" w:hAnsi="Arial" w:cs="Arial"/>
          <w:sz w:val="24"/>
        </w:rPr>
        <w:t>(86 per cent)</w:t>
      </w:r>
    </w:p>
    <w:p w14:paraId="7E5259DD" w14:textId="77777777" w:rsidR="00E42B40" w:rsidRPr="00E42B40" w:rsidRDefault="00E42B40" w:rsidP="00E42B40">
      <w:pPr>
        <w:pBdr>
          <w:top w:val="single" w:sz="4" w:space="1" w:color="auto"/>
          <w:left w:val="single" w:sz="4" w:space="4" w:color="auto"/>
          <w:bottom w:val="single" w:sz="4" w:space="1" w:color="auto"/>
          <w:right w:val="single" w:sz="4" w:space="4" w:color="auto"/>
        </w:pBdr>
        <w:rPr>
          <w:rFonts w:ascii="Arial" w:hAnsi="Arial" w:cs="Arial"/>
          <w:sz w:val="24"/>
        </w:rPr>
      </w:pPr>
      <w:r w:rsidRPr="00E42B40">
        <w:rPr>
          <w:rFonts w:ascii="Arial" w:hAnsi="Arial" w:cs="Arial"/>
          <w:sz w:val="24"/>
        </w:rPr>
        <w:t>•</w:t>
      </w:r>
      <w:r>
        <w:rPr>
          <w:rFonts w:ascii="Arial" w:hAnsi="Arial" w:cs="Arial"/>
          <w:sz w:val="24"/>
        </w:rPr>
        <w:t xml:space="preserve"> </w:t>
      </w:r>
      <w:r w:rsidRPr="00E42B40">
        <w:rPr>
          <w:rFonts w:ascii="Arial" w:hAnsi="Arial" w:cs="Arial"/>
          <w:sz w:val="24"/>
        </w:rPr>
        <w:t xml:space="preserve">had rules </w:t>
      </w:r>
      <w:r>
        <w:rPr>
          <w:rFonts w:ascii="Arial" w:hAnsi="Arial" w:cs="Arial"/>
          <w:sz w:val="24"/>
        </w:rPr>
        <w:t xml:space="preserve">around alcohol and drug use </w:t>
      </w:r>
      <w:r w:rsidRPr="00E42B40">
        <w:rPr>
          <w:rFonts w:ascii="Arial" w:hAnsi="Arial" w:cs="Arial"/>
          <w:sz w:val="24"/>
        </w:rPr>
        <w:t>(83 per cent)</w:t>
      </w:r>
    </w:p>
    <w:p w14:paraId="384E6B65" w14:textId="77777777" w:rsidR="00E42B40" w:rsidRPr="00E42B40" w:rsidRDefault="00E42B40" w:rsidP="00E42B40">
      <w:pPr>
        <w:pBdr>
          <w:top w:val="single" w:sz="4" w:space="1" w:color="auto"/>
          <w:left w:val="single" w:sz="4" w:space="4" w:color="auto"/>
          <w:bottom w:val="single" w:sz="4" w:space="1" w:color="auto"/>
          <w:right w:val="single" w:sz="4" w:space="4" w:color="auto"/>
        </w:pBdr>
        <w:rPr>
          <w:rFonts w:ascii="Arial" w:hAnsi="Arial" w:cs="Arial"/>
          <w:sz w:val="24"/>
        </w:rPr>
      </w:pPr>
      <w:r w:rsidRPr="00E42B40">
        <w:rPr>
          <w:rFonts w:ascii="Arial" w:hAnsi="Arial" w:cs="Arial"/>
          <w:sz w:val="24"/>
        </w:rPr>
        <w:t>They believed that their parents would find out if they violated expectations not to:</w:t>
      </w:r>
    </w:p>
    <w:p w14:paraId="337AE220" w14:textId="77777777" w:rsidR="00E42B40" w:rsidRPr="00E42B40" w:rsidRDefault="00E42B40" w:rsidP="00E42B40">
      <w:pPr>
        <w:pBdr>
          <w:top w:val="single" w:sz="4" w:space="1" w:color="auto"/>
          <w:left w:val="single" w:sz="4" w:space="4" w:color="auto"/>
          <w:bottom w:val="single" w:sz="4" w:space="1" w:color="auto"/>
          <w:right w:val="single" w:sz="4" w:space="4" w:color="auto"/>
        </w:pBdr>
        <w:rPr>
          <w:rFonts w:ascii="Arial" w:hAnsi="Arial" w:cs="Arial"/>
          <w:sz w:val="24"/>
        </w:rPr>
      </w:pPr>
      <w:r w:rsidRPr="00E42B40">
        <w:rPr>
          <w:rFonts w:ascii="Arial" w:hAnsi="Arial" w:cs="Arial"/>
          <w:sz w:val="24"/>
        </w:rPr>
        <w:t>•</w:t>
      </w:r>
      <w:r>
        <w:rPr>
          <w:rFonts w:ascii="Arial" w:hAnsi="Arial" w:cs="Arial"/>
          <w:sz w:val="24"/>
        </w:rPr>
        <w:t xml:space="preserve"> </w:t>
      </w:r>
      <w:r w:rsidRPr="00E42B40">
        <w:rPr>
          <w:rFonts w:ascii="Arial" w:hAnsi="Arial" w:cs="Arial"/>
          <w:sz w:val="24"/>
        </w:rPr>
        <w:t>drink alcohol</w:t>
      </w:r>
      <w:r>
        <w:rPr>
          <w:rFonts w:ascii="Arial" w:hAnsi="Arial" w:cs="Arial"/>
          <w:sz w:val="24"/>
        </w:rPr>
        <w:t xml:space="preserve"> </w:t>
      </w:r>
      <w:r w:rsidRPr="00E42B40">
        <w:rPr>
          <w:rFonts w:ascii="Arial" w:hAnsi="Arial" w:cs="Arial"/>
          <w:sz w:val="24"/>
        </w:rPr>
        <w:t>(61 per cent)</w:t>
      </w:r>
    </w:p>
    <w:p w14:paraId="0C41B6B3" w14:textId="77777777" w:rsidR="00E42B40" w:rsidRPr="00E42B40" w:rsidRDefault="00E42B40" w:rsidP="00E42B40">
      <w:pPr>
        <w:pBdr>
          <w:top w:val="single" w:sz="4" w:space="1" w:color="auto"/>
          <w:left w:val="single" w:sz="4" w:space="4" w:color="auto"/>
          <w:bottom w:val="single" w:sz="4" w:space="1" w:color="auto"/>
          <w:right w:val="single" w:sz="4" w:space="4" w:color="auto"/>
        </w:pBdr>
        <w:rPr>
          <w:rFonts w:ascii="Arial" w:hAnsi="Arial" w:cs="Arial"/>
          <w:sz w:val="24"/>
        </w:rPr>
      </w:pPr>
      <w:r w:rsidRPr="00E42B40">
        <w:rPr>
          <w:rFonts w:ascii="Arial" w:hAnsi="Arial" w:cs="Arial"/>
          <w:sz w:val="24"/>
        </w:rPr>
        <w:t>•</w:t>
      </w:r>
      <w:r>
        <w:rPr>
          <w:rFonts w:ascii="Arial" w:hAnsi="Arial" w:cs="Arial"/>
          <w:sz w:val="24"/>
        </w:rPr>
        <w:t xml:space="preserve"> </w:t>
      </w:r>
      <w:r w:rsidRPr="00E42B40">
        <w:rPr>
          <w:rFonts w:ascii="Arial" w:hAnsi="Arial" w:cs="Arial"/>
          <w:sz w:val="24"/>
        </w:rPr>
        <w:t>carry a weapon</w:t>
      </w:r>
      <w:r>
        <w:rPr>
          <w:rFonts w:ascii="Arial" w:hAnsi="Arial" w:cs="Arial"/>
          <w:sz w:val="24"/>
        </w:rPr>
        <w:t xml:space="preserve"> </w:t>
      </w:r>
      <w:r w:rsidRPr="00E42B40">
        <w:rPr>
          <w:rFonts w:ascii="Arial" w:hAnsi="Arial" w:cs="Arial"/>
          <w:sz w:val="24"/>
        </w:rPr>
        <w:t>(71 per cent)</w:t>
      </w:r>
    </w:p>
    <w:p w14:paraId="500AB908" w14:textId="77777777" w:rsidR="00E42B40" w:rsidRPr="00E42B40" w:rsidRDefault="00E42B40" w:rsidP="00E42B40">
      <w:pPr>
        <w:pBdr>
          <w:top w:val="single" w:sz="4" w:space="1" w:color="auto"/>
          <w:left w:val="single" w:sz="4" w:space="4" w:color="auto"/>
          <w:bottom w:val="single" w:sz="4" w:space="1" w:color="auto"/>
          <w:right w:val="single" w:sz="4" w:space="4" w:color="auto"/>
        </w:pBdr>
        <w:rPr>
          <w:rFonts w:ascii="Arial" w:hAnsi="Arial" w:cs="Arial"/>
          <w:sz w:val="24"/>
        </w:rPr>
      </w:pPr>
      <w:r w:rsidRPr="00E42B40">
        <w:rPr>
          <w:rFonts w:ascii="Arial" w:hAnsi="Arial" w:cs="Arial"/>
          <w:sz w:val="24"/>
        </w:rPr>
        <w:t>•</w:t>
      </w:r>
      <w:r>
        <w:rPr>
          <w:rFonts w:ascii="Arial" w:hAnsi="Arial" w:cs="Arial"/>
          <w:sz w:val="24"/>
        </w:rPr>
        <w:t xml:space="preserve"> </w:t>
      </w:r>
      <w:r w:rsidRPr="00E42B40">
        <w:rPr>
          <w:rFonts w:ascii="Arial" w:hAnsi="Arial" w:cs="Arial"/>
          <w:sz w:val="24"/>
        </w:rPr>
        <w:t>skip school</w:t>
      </w:r>
      <w:r w:rsidRPr="00E42B40">
        <w:rPr>
          <w:rFonts w:ascii="Arial" w:hAnsi="Arial" w:cs="Arial"/>
          <w:sz w:val="24"/>
        </w:rPr>
        <w:tab/>
        <w:t>(82 per cent)</w:t>
      </w:r>
    </w:p>
    <w:p w14:paraId="4669571A" w14:textId="77777777" w:rsidR="00E42B40" w:rsidRPr="00E42B40" w:rsidRDefault="00E42B40" w:rsidP="00E42B40">
      <w:pPr>
        <w:pBdr>
          <w:top w:val="single" w:sz="4" w:space="1" w:color="auto"/>
          <w:left w:val="single" w:sz="4" w:space="4" w:color="auto"/>
          <w:bottom w:val="single" w:sz="4" w:space="1" w:color="auto"/>
          <w:right w:val="single" w:sz="4" w:space="4" w:color="auto"/>
        </w:pBdr>
        <w:rPr>
          <w:rFonts w:ascii="Arial" w:hAnsi="Arial" w:cs="Arial"/>
          <w:sz w:val="24"/>
        </w:rPr>
      </w:pPr>
      <w:r w:rsidRPr="00E42B40">
        <w:rPr>
          <w:rFonts w:ascii="Arial" w:hAnsi="Arial" w:cs="Arial"/>
          <w:sz w:val="24"/>
        </w:rPr>
        <w:t>Girls are more likely to report that their parents:</w:t>
      </w:r>
    </w:p>
    <w:p w14:paraId="523F4933" w14:textId="77777777" w:rsidR="00E42B40" w:rsidRPr="00E42B40" w:rsidRDefault="00E42B40" w:rsidP="00E42B40">
      <w:pPr>
        <w:pBdr>
          <w:top w:val="single" w:sz="4" w:space="1" w:color="auto"/>
          <w:left w:val="single" w:sz="4" w:space="4" w:color="auto"/>
          <w:bottom w:val="single" w:sz="4" w:space="1" w:color="auto"/>
          <w:right w:val="single" w:sz="4" w:space="4" w:color="auto"/>
        </w:pBdr>
        <w:rPr>
          <w:rFonts w:ascii="Arial" w:hAnsi="Arial" w:cs="Arial"/>
          <w:sz w:val="24"/>
        </w:rPr>
      </w:pPr>
      <w:r w:rsidRPr="00E42B40">
        <w:rPr>
          <w:rFonts w:ascii="Arial" w:hAnsi="Arial" w:cs="Arial"/>
          <w:sz w:val="24"/>
        </w:rPr>
        <w:t>•</w:t>
      </w:r>
      <w:r>
        <w:rPr>
          <w:rFonts w:ascii="Arial" w:hAnsi="Arial" w:cs="Arial"/>
          <w:sz w:val="24"/>
        </w:rPr>
        <w:t xml:space="preserve"> </w:t>
      </w:r>
      <w:r w:rsidRPr="00E42B40">
        <w:rPr>
          <w:rFonts w:ascii="Arial" w:hAnsi="Arial" w:cs="Arial"/>
          <w:sz w:val="24"/>
        </w:rPr>
        <w:t>knew where they were and who they were with outside the home</w:t>
      </w:r>
    </w:p>
    <w:p w14:paraId="60E811AD" w14:textId="77777777" w:rsidR="00E42B40" w:rsidRPr="00E42B40" w:rsidRDefault="00E42B40" w:rsidP="00E42B40">
      <w:pPr>
        <w:pBdr>
          <w:top w:val="single" w:sz="4" w:space="1" w:color="auto"/>
          <w:left w:val="single" w:sz="4" w:space="4" w:color="auto"/>
          <w:bottom w:val="single" w:sz="4" w:space="1" w:color="auto"/>
          <w:right w:val="single" w:sz="4" w:space="4" w:color="auto"/>
        </w:pBdr>
        <w:rPr>
          <w:rFonts w:ascii="Arial" w:hAnsi="Arial" w:cs="Arial"/>
          <w:sz w:val="24"/>
        </w:rPr>
      </w:pPr>
      <w:r w:rsidRPr="00E42B40">
        <w:rPr>
          <w:rFonts w:ascii="Arial" w:hAnsi="Arial" w:cs="Arial"/>
          <w:sz w:val="24"/>
        </w:rPr>
        <w:t>•</w:t>
      </w:r>
      <w:r>
        <w:rPr>
          <w:rFonts w:ascii="Arial" w:hAnsi="Arial" w:cs="Arial"/>
          <w:sz w:val="24"/>
        </w:rPr>
        <w:t xml:space="preserve"> </w:t>
      </w:r>
      <w:r w:rsidRPr="00E42B40">
        <w:rPr>
          <w:rFonts w:ascii="Arial" w:hAnsi="Arial" w:cs="Arial"/>
          <w:sz w:val="24"/>
        </w:rPr>
        <w:t>wanted them to call if they were going to be late getting home</w:t>
      </w:r>
    </w:p>
    <w:p w14:paraId="41FB061F" w14:textId="77777777" w:rsidR="00E42B40" w:rsidRPr="00E42B40" w:rsidRDefault="00E42B40" w:rsidP="00E42B40">
      <w:pPr>
        <w:pBdr>
          <w:top w:val="single" w:sz="4" w:space="1" w:color="auto"/>
          <w:left w:val="single" w:sz="4" w:space="4" w:color="auto"/>
          <w:bottom w:val="single" w:sz="4" w:space="1" w:color="auto"/>
          <w:right w:val="single" w:sz="4" w:space="4" w:color="auto"/>
        </w:pBdr>
        <w:rPr>
          <w:rFonts w:ascii="Arial" w:hAnsi="Arial" w:cs="Arial"/>
          <w:sz w:val="24"/>
        </w:rPr>
      </w:pPr>
      <w:r w:rsidRPr="00E42B40">
        <w:rPr>
          <w:rFonts w:ascii="Arial" w:hAnsi="Arial" w:cs="Arial"/>
          <w:sz w:val="24"/>
        </w:rPr>
        <w:t>•</w:t>
      </w:r>
      <w:r>
        <w:rPr>
          <w:rFonts w:ascii="Arial" w:hAnsi="Arial" w:cs="Arial"/>
          <w:sz w:val="24"/>
        </w:rPr>
        <w:t xml:space="preserve"> </w:t>
      </w:r>
      <w:r w:rsidRPr="00E42B40">
        <w:rPr>
          <w:rFonts w:ascii="Arial" w:hAnsi="Arial" w:cs="Arial"/>
          <w:sz w:val="24"/>
        </w:rPr>
        <w:t>knew if they didn’t come home on time.</w:t>
      </w:r>
    </w:p>
    <w:p w14:paraId="562698CB" w14:textId="77777777" w:rsidR="00E42B40" w:rsidRPr="00E42B40" w:rsidRDefault="00E42B40" w:rsidP="00E42B40">
      <w:pPr>
        <w:pBdr>
          <w:top w:val="single" w:sz="4" w:space="1" w:color="auto"/>
          <w:left w:val="single" w:sz="4" w:space="4" w:color="auto"/>
          <w:bottom w:val="single" w:sz="4" w:space="1" w:color="auto"/>
          <w:right w:val="single" w:sz="4" w:space="4" w:color="auto"/>
        </w:pBdr>
        <w:rPr>
          <w:rFonts w:ascii="Arial" w:hAnsi="Arial" w:cs="Arial"/>
          <w:sz w:val="24"/>
        </w:rPr>
      </w:pPr>
      <w:r w:rsidRPr="00E42B40">
        <w:rPr>
          <w:rFonts w:ascii="Arial" w:hAnsi="Arial" w:cs="Arial"/>
          <w:sz w:val="24"/>
        </w:rPr>
        <w:t>Boys are more likely to report that:</w:t>
      </w:r>
    </w:p>
    <w:p w14:paraId="21C0932B" w14:textId="77777777" w:rsidR="00E42B40" w:rsidRPr="00E42B40" w:rsidRDefault="00E42B40" w:rsidP="00E42B40">
      <w:pPr>
        <w:pBdr>
          <w:top w:val="single" w:sz="4" w:space="1" w:color="auto"/>
          <w:left w:val="single" w:sz="4" w:space="4" w:color="auto"/>
          <w:bottom w:val="single" w:sz="4" w:space="1" w:color="auto"/>
          <w:right w:val="single" w:sz="4" w:space="4" w:color="auto"/>
        </w:pBdr>
        <w:rPr>
          <w:rFonts w:ascii="Arial" w:hAnsi="Arial" w:cs="Arial"/>
          <w:sz w:val="24"/>
        </w:rPr>
      </w:pPr>
      <w:r w:rsidRPr="00E42B40">
        <w:rPr>
          <w:rFonts w:ascii="Arial" w:hAnsi="Arial" w:cs="Arial"/>
          <w:sz w:val="24"/>
        </w:rPr>
        <w:t>•</w:t>
      </w:r>
      <w:r>
        <w:rPr>
          <w:rFonts w:ascii="Arial" w:hAnsi="Arial" w:cs="Arial"/>
          <w:sz w:val="24"/>
        </w:rPr>
        <w:t xml:space="preserve"> </w:t>
      </w:r>
      <w:r w:rsidRPr="00E42B40">
        <w:rPr>
          <w:rFonts w:ascii="Arial" w:hAnsi="Arial" w:cs="Arial"/>
          <w:sz w:val="24"/>
        </w:rPr>
        <w:t>their parents have rules about alcohol and drug use</w:t>
      </w:r>
    </w:p>
    <w:p w14:paraId="73DA8FEA" w14:textId="77777777" w:rsidR="00E42B40" w:rsidRPr="00E42B40" w:rsidRDefault="00E42B40" w:rsidP="00E42B40">
      <w:pPr>
        <w:pBdr>
          <w:top w:val="single" w:sz="4" w:space="1" w:color="auto"/>
          <w:left w:val="single" w:sz="4" w:space="4" w:color="auto"/>
          <w:bottom w:val="single" w:sz="4" w:space="1" w:color="auto"/>
          <w:right w:val="single" w:sz="4" w:space="4" w:color="auto"/>
        </w:pBdr>
        <w:rPr>
          <w:rFonts w:ascii="Arial" w:hAnsi="Arial" w:cs="Arial"/>
          <w:sz w:val="24"/>
        </w:rPr>
      </w:pPr>
      <w:r w:rsidRPr="00E42B40">
        <w:rPr>
          <w:rFonts w:ascii="Arial" w:hAnsi="Arial" w:cs="Arial"/>
          <w:sz w:val="24"/>
        </w:rPr>
        <w:t>•</w:t>
      </w:r>
      <w:r>
        <w:rPr>
          <w:rFonts w:ascii="Arial" w:hAnsi="Arial" w:cs="Arial"/>
          <w:sz w:val="24"/>
        </w:rPr>
        <w:t xml:space="preserve"> </w:t>
      </w:r>
      <w:r w:rsidRPr="00E42B40">
        <w:rPr>
          <w:rFonts w:ascii="Arial" w:hAnsi="Arial" w:cs="Arial"/>
          <w:sz w:val="24"/>
        </w:rPr>
        <w:t>they believe they would get caught disobeying rules for drinking alcohol or carrying a weapon.</w:t>
      </w:r>
    </w:p>
    <w:p w14:paraId="22D00629" w14:textId="77777777" w:rsidR="00E42B40" w:rsidRPr="00E42B40" w:rsidRDefault="00E42B40" w:rsidP="00E42B40">
      <w:pPr>
        <w:pBdr>
          <w:top w:val="single" w:sz="4" w:space="1" w:color="auto"/>
          <w:left w:val="single" w:sz="4" w:space="4" w:color="auto"/>
          <w:bottom w:val="single" w:sz="4" w:space="1" w:color="auto"/>
          <w:right w:val="single" w:sz="4" w:space="4" w:color="auto"/>
        </w:pBdr>
        <w:rPr>
          <w:rFonts w:ascii="Arial" w:hAnsi="Arial" w:cs="Arial"/>
          <w:i/>
          <w:sz w:val="24"/>
        </w:rPr>
      </w:pPr>
      <w:r w:rsidRPr="00E42B40">
        <w:rPr>
          <w:rFonts w:ascii="Arial" w:hAnsi="Arial" w:cs="Arial"/>
          <w:i/>
          <w:sz w:val="24"/>
        </w:rPr>
        <w:t>Source: VSHAWS, 2018, DET</w:t>
      </w:r>
    </w:p>
    <w:p w14:paraId="21891A01" w14:textId="77777777" w:rsidR="00AE1BD3" w:rsidRPr="008400F3" w:rsidRDefault="00AE1BD3" w:rsidP="008400F3">
      <w:pPr>
        <w:pStyle w:val="Heading3"/>
        <w:rPr>
          <w:rFonts w:ascii="Arial" w:hAnsi="Arial" w:cs="Arial"/>
          <w:color w:val="auto"/>
          <w:sz w:val="24"/>
        </w:rPr>
      </w:pPr>
      <w:bookmarkStart w:id="60" w:name="_Toc33527785"/>
      <w:r w:rsidRPr="007851FC">
        <w:rPr>
          <w:rFonts w:ascii="Arial" w:hAnsi="Arial" w:cs="Arial"/>
          <w:color w:val="auto"/>
          <w:sz w:val="24"/>
        </w:rPr>
        <w:t>5.3</w:t>
      </w:r>
      <w:r w:rsidRPr="007851FC">
        <w:rPr>
          <w:rFonts w:ascii="Arial" w:hAnsi="Arial" w:cs="Arial"/>
          <w:color w:val="auto"/>
          <w:sz w:val="24"/>
        </w:rPr>
        <w:tab/>
        <w:t>Most adolescents have a trusted adult they can talk to</w:t>
      </w:r>
      <w:bookmarkEnd w:id="60"/>
    </w:p>
    <w:p w14:paraId="23B75A4D" w14:textId="77777777" w:rsidR="00AE1BD3" w:rsidRPr="00AE1BD3" w:rsidRDefault="00AE1BD3" w:rsidP="00AE1BD3">
      <w:pPr>
        <w:rPr>
          <w:rFonts w:ascii="Arial" w:hAnsi="Arial" w:cs="Arial"/>
          <w:sz w:val="24"/>
        </w:rPr>
      </w:pPr>
      <w:r w:rsidRPr="00AE1BD3">
        <w:rPr>
          <w:rFonts w:ascii="Arial" w:hAnsi="Arial" w:cs="Arial"/>
          <w:sz w:val="24"/>
        </w:rPr>
        <w:t>Adolescents who believe their parents, close senior family members or guardians are there for them are more likely to have better health, be happier and do better at school than their peers. This holds true for adolescents of all ages, genders, ethnicity, socioeconomic status, and one or two-parent family type (Schwartz, et al., 2012;</w:t>
      </w:r>
      <w:r w:rsidR="008400F3">
        <w:rPr>
          <w:rFonts w:ascii="Arial" w:hAnsi="Arial" w:cs="Arial"/>
          <w:sz w:val="24"/>
        </w:rPr>
        <w:t xml:space="preserve"> </w:t>
      </w:r>
      <w:r w:rsidRPr="00AE1BD3">
        <w:rPr>
          <w:rFonts w:ascii="Arial" w:hAnsi="Arial" w:cs="Arial"/>
          <w:sz w:val="24"/>
        </w:rPr>
        <w:t>Dornbusch, Erickson, Laird, &amp; Wong, 2001). Further, having a trusted adult or someone to turn to for advice in adolescence makes young people more resilient, dramatically reducing the impact of adverse life experiences on wellbeing (Bellis, et al., 2017).</w:t>
      </w:r>
    </w:p>
    <w:p w14:paraId="4C100FD1" w14:textId="77777777" w:rsidR="00E45E75" w:rsidRDefault="00AE1BD3" w:rsidP="00AE1BD3">
      <w:pPr>
        <w:rPr>
          <w:rFonts w:ascii="Arial" w:hAnsi="Arial" w:cs="Arial"/>
          <w:sz w:val="24"/>
        </w:rPr>
      </w:pPr>
      <w:r w:rsidRPr="00AE1BD3">
        <w:rPr>
          <w:rFonts w:ascii="Arial" w:hAnsi="Arial" w:cs="Arial"/>
          <w:sz w:val="24"/>
        </w:rPr>
        <w:t>Approximately two-thirds of Year 8s (66 per cent) and Year 11s (64 per cent) in Victorian schools have a trusted adult in their lives, a rate which has been stable since 2014. Trusted adults are more present in the lives of adolescents in regional areas</w:t>
      </w:r>
      <w:r>
        <w:rPr>
          <w:rFonts w:ascii="Arial" w:hAnsi="Arial" w:cs="Arial"/>
          <w:sz w:val="24"/>
        </w:rPr>
        <w:t xml:space="preserve"> </w:t>
      </w:r>
      <w:r w:rsidRPr="00AE1BD3">
        <w:rPr>
          <w:rFonts w:ascii="Arial" w:hAnsi="Arial" w:cs="Arial"/>
          <w:sz w:val="24"/>
        </w:rPr>
        <w:t>(70 per cent) than in metro areas (63 per cent).</w:t>
      </w:r>
    </w:p>
    <w:p w14:paraId="1F3BA895" w14:textId="77777777" w:rsidR="00D51351" w:rsidRDefault="00D51351" w:rsidP="00AE1BD3">
      <w:pPr>
        <w:rPr>
          <w:rFonts w:ascii="Arial" w:hAnsi="Arial" w:cs="Arial"/>
          <w:b/>
          <w:sz w:val="24"/>
        </w:rPr>
      </w:pPr>
    </w:p>
    <w:p w14:paraId="4EBF25EF" w14:textId="77777777" w:rsidR="00AE1BD3" w:rsidRPr="008400F3" w:rsidRDefault="00AE1BD3" w:rsidP="00AE1BD3">
      <w:pPr>
        <w:rPr>
          <w:rFonts w:ascii="Arial" w:hAnsi="Arial" w:cs="Arial"/>
          <w:b/>
          <w:sz w:val="24"/>
        </w:rPr>
      </w:pPr>
      <w:r w:rsidRPr="008400F3">
        <w:rPr>
          <w:rFonts w:ascii="Arial" w:hAnsi="Arial" w:cs="Arial"/>
          <w:b/>
          <w:sz w:val="24"/>
        </w:rPr>
        <w:lastRenderedPageBreak/>
        <w:t>Figure 45. Proportion of Victorian secondary students (Years 8 &amp; 11) who have a trusted adult in their life, 2018</w:t>
      </w:r>
    </w:p>
    <w:tbl>
      <w:tblPr>
        <w:tblStyle w:val="TableGrid"/>
        <w:tblW w:w="0" w:type="auto"/>
        <w:tblLook w:val="04A0" w:firstRow="1" w:lastRow="0" w:firstColumn="1" w:lastColumn="0" w:noHBand="0" w:noVBand="1"/>
        <w:tblDescription w:val="This table shows the proportion of Victorian secondary students (Years 8 &amp; 11) who have a trusted adult in their life, 2018"/>
      </w:tblPr>
      <w:tblGrid>
        <w:gridCol w:w="2249"/>
        <w:gridCol w:w="2248"/>
        <w:gridCol w:w="2253"/>
        <w:gridCol w:w="2266"/>
      </w:tblGrid>
      <w:tr w:rsidR="008400F3" w14:paraId="51171D9F" w14:textId="77777777" w:rsidTr="008400F3">
        <w:trPr>
          <w:tblHeader/>
        </w:trPr>
        <w:tc>
          <w:tcPr>
            <w:tcW w:w="2310" w:type="dxa"/>
          </w:tcPr>
          <w:p w14:paraId="161F1872" w14:textId="77777777" w:rsidR="008400F3" w:rsidRPr="008400F3" w:rsidRDefault="008400F3" w:rsidP="00AE1BD3">
            <w:pPr>
              <w:rPr>
                <w:rFonts w:ascii="Arial" w:hAnsi="Arial" w:cs="Arial"/>
                <w:sz w:val="24"/>
              </w:rPr>
            </w:pPr>
            <w:r w:rsidRPr="008400F3">
              <w:rPr>
                <w:rFonts w:ascii="Arial" w:hAnsi="Arial" w:cs="Arial"/>
                <w:sz w:val="24"/>
              </w:rPr>
              <w:t>Year 8</w:t>
            </w:r>
          </w:p>
        </w:tc>
        <w:tc>
          <w:tcPr>
            <w:tcW w:w="2310" w:type="dxa"/>
          </w:tcPr>
          <w:p w14:paraId="41F97FFE" w14:textId="77777777" w:rsidR="008400F3" w:rsidRPr="008400F3" w:rsidRDefault="008400F3" w:rsidP="00AE1BD3">
            <w:pPr>
              <w:rPr>
                <w:rFonts w:ascii="Arial" w:hAnsi="Arial" w:cs="Arial"/>
                <w:sz w:val="24"/>
              </w:rPr>
            </w:pPr>
            <w:r w:rsidRPr="008400F3">
              <w:rPr>
                <w:rFonts w:ascii="Arial" w:hAnsi="Arial" w:cs="Arial"/>
                <w:sz w:val="24"/>
              </w:rPr>
              <w:t>Year 11</w:t>
            </w:r>
          </w:p>
        </w:tc>
        <w:tc>
          <w:tcPr>
            <w:tcW w:w="2311" w:type="dxa"/>
          </w:tcPr>
          <w:p w14:paraId="1BAFFE0E" w14:textId="77777777" w:rsidR="008400F3" w:rsidRPr="008400F3" w:rsidRDefault="008400F3" w:rsidP="00AE1BD3">
            <w:pPr>
              <w:rPr>
                <w:rFonts w:ascii="Arial" w:hAnsi="Arial" w:cs="Arial"/>
                <w:sz w:val="24"/>
              </w:rPr>
            </w:pPr>
            <w:r w:rsidRPr="008400F3">
              <w:rPr>
                <w:rFonts w:ascii="Arial" w:hAnsi="Arial" w:cs="Arial"/>
                <w:sz w:val="24"/>
              </w:rPr>
              <w:t>Metro</w:t>
            </w:r>
          </w:p>
        </w:tc>
        <w:tc>
          <w:tcPr>
            <w:tcW w:w="2311" w:type="dxa"/>
          </w:tcPr>
          <w:p w14:paraId="49B21D34" w14:textId="77777777" w:rsidR="008400F3" w:rsidRPr="008400F3" w:rsidRDefault="008400F3" w:rsidP="00AE1BD3">
            <w:pPr>
              <w:rPr>
                <w:rFonts w:ascii="Arial" w:hAnsi="Arial" w:cs="Arial"/>
                <w:sz w:val="24"/>
              </w:rPr>
            </w:pPr>
            <w:r w:rsidRPr="008400F3">
              <w:rPr>
                <w:rFonts w:ascii="Arial" w:hAnsi="Arial" w:cs="Arial"/>
                <w:sz w:val="24"/>
              </w:rPr>
              <w:t>Regional</w:t>
            </w:r>
          </w:p>
        </w:tc>
      </w:tr>
      <w:tr w:rsidR="008400F3" w14:paraId="142B4206" w14:textId="77777777" w:rsidTr="008400F3">
        <w:tc>
          <w:tcPr>
            <w:tcW w:w="2310" w:type="dxa"/>
          </w:tcPr>
          <w:p w14:paraId="7ED82C68" w14:textId="77777777" w:rsidR="008400F3" w:rsidRPr="008400F3" w:rsidRDefault="008400F3" w:rsidP="00AE1BD3">
            <w:pPr>
              <w:rPr>
                <w:rFonts w:ascii="Arial" w:hAnsi="Arial" w:cs="Arial"/>
                <w:sz w:val="24"/>
              </w:rPr>
            </w:pPr>
            <w:r w:rsidRPr="008400F3">
              <w:rPr>
                <w:rFonts w:ascii="Arial" w:hAnsi="Arial" w:cs="Arial"/>
                <w:sz w:val="24"/>
              </w:rPr>
              <w:t>66%</w:t>
            </w:r>
          </w:p>
        </w:tc>
        <w:tc>
          <w:tcPr>
            <w:tcW w:w="2310" w:type="dxa"/>
          </w:tcPr>
          <w:p w14:paraId="462C9535" w14:textId="77777777" w:rsidR="008400F3" w:rsidRPr="008400F3" w:rsidRDefault="008400F3" w:rsidP="00AE1BD3">
            <w:pPr>
              <w:rPr>
                <w:rFonts w:ascii="Arial" w:hAnsi="Arial" w:cs="Arial"/>
                <w:sz w:val="24"/>
              </w:rPr>
            </w:pPr>
            <w:r w:rsidRPr="008400F3">
              <w:rPr>
                <w:rFonts w:ascii="Arial" w:hAnsi="Arial" w:cs="Arial"/>
                <w:sz w:val="24"/>
              </w:rPr>
              <w:t>64%</w:t>
            </w:r>
          </w:p>
        </w:tc>
        <w:tc>
          <w:tcPr>
            <w:tcW w:w="2311" w:type="dxa"/>
          </w:tcPr>
          <w:p w14:paraId="3764DCCF" w14:textId="77777777" w:rsidR="008400F3" w:rsidRPr="008400F3" w:rsidRDefault="008400F3" w:rsidP="00AE1BD3">
            <w:pPr>
              <w:rPr>
                <w:rFonts w:ascii="Arial" w:hAnsi="Arial" w:cs="Arial"/>
                <w:sz w:val="24"/>
              </w:rPr>
            </w:pPr>
            <w:r w:rsidRPr="008400F3">
              <w:rPr>
                <w:rFonts w:ascii="Arial" w:hAnsi="Arial" w:cs="Arial"/>
                <w:sz w:val="24"/>
              </w:rPr>
              <w:t>63%</w:t>
            </w:r>
          </w:p>
        </w:tc>
        <w:tc>
          <w:tcPr>
            <w:tcW w:w="2311" w:type="dxa"/>
          </w:tcPr>
          <w:p w14:paraId="3377C0C6" w14:textId="77777777" w:rsidR="008400F3" w:rsidRPr="008400F3" w:rsidRDefault="008400F3" w:rsidP="00AE1BD3">
            <w:pPr>
              <w:rPr>
                <w:rFonts w:ascii="Arial" w:hAnsi="Arial" w:cs="Arial"/>
                <w:sz w:val="24"/>
              </w:rPr>
            </w:pPr>
            <w:r w:rsidRPr="008400F3">
              <w:rPr>
                <w:rFonts w:ascii="Arial" w:hAnsi="Arial" w:cs="Arial"/>
                <w:sz w:val="24"/>
              </w:rPr>
              <w:t>70%</w:t>
            </w:r>
          </w:p>
        </w:tc>
      </w:tr>
    </w:tbl>
    <w:p w14:paraId="5A90AEB4" w14:textId="77777777" w:rsidR="00AE1BD3" w:rsidRPr="00AE1BD3" w:rsidRDefault="00AE1BD3" w:rsidP="00AE1BD3">
      <w:pPr>
        <w:rPr>
          <w:rFonts w:ascii="Arial" w:hAnsi="Arial" w:cs="Arial"/>
          <w:i/>
          <w:sz w:val="24"/>
        </w:rPr>
      </w:pPr>
      <w:r w:rsidRPr="00AE1BD3">
        <w:rPr>
          <w:rFonts w:ascii="Arial" w:hAnsi="Arial" w:cs="Arial"/>
          <w:i/>
          <w:sz w:val="24"/>
        </w:rPr>
        <w:t>Source: VSHAWS, 2018, DET</w:t>
      </w:r>
    </w:p>
    <w:p w14:paraId="7B8B1703" w14:textId="77777777" w:rsidR="00AE1BD3" w:rsidRPr="00B6510D" w:rsidRDefault="00AE1BD3" w:rsidP="00B6510D">
      <w:pPr>
        <w:pStyle w:val="Heading3"/>
        <w:rPr>
          <w:rFonts w:ascii="Arial" w:hAnsi="Arial" w:cs="Arial"/>
          <w:color w:val="auto"/>
          <w:sz w:val="24"/>
        </w:rPr>
      </w:pPr>
      <w:bookmarkStart w:id="61" w:name="_Toc33527786"/>
      <w:r w:rsidRPr="00B6510D">
        <w:rPr>
          <w:rFonts w:ascii="Arial" w:hAnsi="Arial" w:cs="Arial"/>
          <w:color w:val="auto"/>
          <w:sz w:val="24"/>
        </w:rPr>
        <w:t>5.4</w:t>
      </w:r>
      <w:r w:rsidRPr="00B6510D">
        <w:rPr>
          <w:rFonts w:ascii="Arial" w:hAnsi="Arial" w:cs="Arial"/>
          <w:color w:val="auto"/>
          <w:sz w:val="24"/>
        </w:rPr>
        <w:tab/>
        <w:t>Around one in three adolescents reports serious family conflicts</w:t>
      </w:r>
      <w:bookmarkEnd w:id="61"/>
    </w:p>
    <w:p w14:paraId="21FED650" w14:textId="77777777" w:rsidR="00AE1BD3" w:rsidRPr="00AE1BD3" w:rsidRDefault="00AE1BD3" w:rsidP="00AE1BD3">
      <w:pPr>
        <w:rPr>
          <w:rFonts w:ascii="Arial" w:hAnsi="Arial" w:cs="Arial"/>
          <w:sz w:val="24"/>
        </w:rPr>
      </w:pPr>
      <w:r w:rsidRPr="00AE1BD3">
        <w:rPr>
          <w:rFonts w:ascii="Arial" w:hAnsi="Arial" w:cs="Arial"/>
          <w:sz w:val="24"/>
        </w:rPr>
        <w:t>Conflict with family members is a normal part of adolescent development and escalates as a young person’s sense of self and desire for autonomy grows.</w:t>
      </w:r>
      <w:r>
        <w:rPr>
          <w:rFonts w:ascii="Arial" w:hAnsi="Arial" w:cs="Arial"/>
          <w:sz w:val="24"/>
        </w:rPr>
        <w:t xml:space="preserve"> </w:t>
      </w:r>
      <w:r w:rsidRPr="00AE1BD3">
        <w:rPr>
          <w:rFonts w:ascii="Arial" w:hAnsi="Arial" w:cs="Arial"/>
          <w:sz w:val="24"/>
        </w:rPr>
        <w:t>Serious conflict is more likely in families which are not functioning well and where communication is difficult (Smetana, 2011).</w:t>
      </w:r>
    </w:p>
    <w:p w14:paraId="4870773B" w14:textId="77777777" w:rsidR="00D735BC" w:rsidRDefault="00AE1BD3" w:rsidP="00AE1BD3">
      <w:pPr>
        <w:rPr>
          <w:rFonts w:ascii="Arial" w:hAnsi="Arial" w:cs="Arial"/>
          <w:sz w:val="24"/>
        </w:rPr>
      </w:pPr>
      <w:r w:rsidRPr="00AE1BD3">
        <w:rPr>
          <w:rFonts w:ascii="Arial" w:hAnsi="Arial" w:cs="Arial"/>
          <w:sz w:val="24"/>
        </w:rPr>
        <w:t>According to VSHAWS 2018 responses, close to a third of students in Year 8 and Year 11 experienced serious family conflict, a rate stable since 2014. The conflicts were characterised by serious arguments between members, and frequent sharing of insults and yelling. Conflicts were more likely within the families of girls, older adolescents, and particularly one-parent families, where almost half experienced</w:t>
      </w:r>
      <w:r>
        <w:rPr>
          <w:rFonts w:ascii="Arial" w:hAnsi="Arial" w:cs="Arial"/>
          <w:sz w:val="24"/>
        </w:rPr>
        <w:t xml:space="preserve"> </w:t>
      </w:r>
      <w:r w:rsidRPr="00AE1BD3">
        <w:rPr>
          <w:rFonts w:ascii="Arial" w:hAnsi="Arial" w:cs="Arial"/>
          <w:sz w:val="24"/>
        </w:rPr>
        <w:t>serious interpersonal clashes. Nearly half of adolescents (44 per cent) indicated that their families argued repeatedly about the same things.</w:t>
      </w:r>
    </w:p>
    <w:p w14:paraId="1D9AE6CE" w14:textId="77777777" w:rsidR="00AE1BD3" w:rsidRPr="00B6510D" w:rsidRDefault="00AE1BD3" w:rsidP="00AE1BD3">
      <w:pPr>
        <w:rPr>
          <w:rFonts w:ascii="Arial" w:hAnsi="Arial" w:cs="Arial"/>
          <w:b/>
          <w:sz w:val="24"/>
        </w:rPr>
      </w:pPr>
      <w:r w:rsidRPr="00B6510D">
        <w:rPr>
          <w:rFonts w:ascii="Arial" w:hAnsi="Arial" w:cs="Arial"/>
          <w:b/>
          <w:sz w:val="24"/>
        </w:rPr>
        <w:t>Figure 46. Serious family conflicts, by student characteristics, 2018</w:t>
      </w:r>
    </w:p>
    <w:tbl>
      <w:tblPr>
        <w:tblStyle w:val="TableGrid"/>
        <w:tblW w:w="0" w:type="auto"/>
        <w:tblLook w:val="04A0" w:firstRow="1" w:lastRow="0" w:firstColumn="1" w:lastColumn="0" w:noHBand="0" w:noVBand="1"/>
        <w:tblDescription w:val="This table shows the proportion of Year 8 and 11 students reporting family conflict by selected family characteristics, 2018"/>
      </w:tblPr>
      <w:tblGrid>
        <w:gridCol w:w="1141"/>
        <w:gridCol w:w="1111"/>
        <w:gridCol w:w="1128"/>
        <w:gridCol w:w="1128"/>
        <w:gridCol w:w="1122"/>
        <w:gridCol w:w="1164"/>
        <w:gridCol w:w="1111"/>
        <w:gridCol w:w="1111"/>
      </w:tblGrid>
      <w:tr w:rsidR="00B6510D" w:rsidRPr="007B15C3" w14:paraId="5A2E445A" w14:textId="77777777" w:rsidTr="00031151">
        <w:trPr>
          <w:tblHeader/>
        </w:trPr>
        <w:tc>
          <w:tcPr>
            <w:tcW w:w="1155" w:type="dxa"/>
          </w:tcPr>
          <w:p w14:paraId="5A95348B" w14:textId="77777777" w:rsidR="00B6510D" w:rsidRPr="007B15C3" w:rsidRDefault="00B6510D" w:rsidP="00031151">
            <w:pPr>
              <w:rPr>
                <w:rFonts w:ascii="Arial" w:hAnsi="Arial" w:cs="Arial"/>
                <w:sz w:val="24"/>
              </w:rPr>
            </w:pPr>
            <w:r w:rsidRPr="007B15C3">
              <w:rPr>
                <w:rFonts w:ascii="Arial" w:hAnsi="Arial" w:cs="Arial"/>
                <w:sz w:val="24"/>
              </w:rPr>
              <w:t>Female</w:t>
            </w:r>
          </w:p>
        </w:tc>
        <w:tc>
          <w:tcPr>
            <w:tcW w:w="1153" w:type="dxa"/>
          </w:tcPr>
          <w:p w14:paraId="290D8BD1" w14:textId="77777777" w:rsidR="00B6510D" w:rsidRPr="007B15C3" w:rsidRDefault="00B6510D" w:rsidP="00031151">
            <w:pPr>
              <w:rPr>
                <w:rFonts w:ascii="Arial" w:hAnsi="Arial" w:cs="Arial"/>
                <w:sz w:val="24"/>
              </w:rPr>
            </w:pPr>
            <w:r w:rsidRPr="007B15C3">
              <w:rPr>
                <w:rFonts w:ascii="Arial" w:hAnsi="Arial" w:cs="Arial"/>
                <w:sz w:val="24"/>
              </w:rPr>
              <w:t>Male</w:t>
            </w:r>
          </w:p>
        </w:tc>
        <w:tc>
          <w:tcPr>
            <w:tcW w:w="1154" w:type="dxa"/>
          </w:tcPr>
          <w:p w14:paraId="07B9AA2B" w14:textId="77777777" w:rsidR="00B6510D" w:rsidRPr="007B15C3" w:rsidRDefault="00B6510D" w:rsidP="00031151">
            <w:pPr>
              <w:rPr>
                <w:rFonts w:ascii="Arial" w:hAnsi="Arial" w:cs="Arial"/>
                <w:sz w:val="24"/>
              </w:rPr>
            </w:pPr>
            <w:r w:rsidRPr="007B15C3">
              <w:rPr>
                <w:rFonts w:ascii="Arial" w:hAnsi="Arial" w:cs="Arial"/>
                <w:sz w:val="24"/>
              </w:rPr>
              <w:t>Two-parent</w:t>
            </w:r>
          </w:p>
        </w:tc>
        <w:tc>
          <w:tcPr>
            <w:tcW w:w="1154" w:type="dxa"/>
          </w:tcPr>
          <w:p w14:paraId="78C1F3E8" w14:textId="77777777" w:rsidR="00B6510D" w:rsidRPr="007B15C3" w:rsidRDefault="00B6510D" w:rsidP="00031151">
            <w:pPr>
              <w:rPr>
                <w:rFonts w:ascii="Arial" w:hAnsi="Arial" w:cs="Arial"/>
                <w:sz w:val="24"/>
              </w:rPr>
            </w:pPr>
            <w:r w:rsidRPr="007B15C3">
              <w:rPr>
                <w:rFonts w:ascii="Arial" w:hAnsi="Arial" w:cs="Arial"/>
                <w:sz w:val="24"/>
              </w:rPr>
              <w:t>One-parent</w:t>
            </w:r>
          </w:p>
        </w:tc>
        <w:tc>
          <w:tcPr>
            <w:tcW w:w="1154" w:type="dxa"/>
          </w:tcPr>
          <w:p w14:paraId="43B705A4" w14:textId="77777777" w:rsidR="00B6510D" w:rsidRPr="007B15C3" w:rsidRDefault="00B6510D" w:rsidP="00031151">
            <w:pPr>
              <w:rPr>
                <w:rFonts w:ascii="Arial" w:hAnsi="Arial" w:cs="Arial"/>
                <w:sz w:val="24"/>
              </w:rPr>
            </w:pPr>
            <w:r w:rsidRPr="007B15C3">
              <w:rPr>
                <w:rFonts w:ascii="Arial" w:hAnsi="Arial" w:cs="Arial"/>
                <w:sz w:val="24"/>
              </w:rPr>
              <w:t>Metro</w:t>
            </w:r>
          </w:p>
        </w:tc>
        <w:tc>
          <w:tcPr>
            <w:tcW w:w="1164" w:type="dxa"/>
          </w:tcPr>
          <w:p w14:paraId="5F602FE1" w14:textId="77777777" w:rsidR="00B6510D" w:rsidRPr="007B15C3" w:rsidRDefault="00B6510D" w:rsidP="00031151">
            <w:pPr>
              <w:rPr>
                <w:rFonts w:ascii="Arial" w:hAnsi="Arial" w:cs="Arial"/>
                <w:sz w:val="24"/>
              </w:rPr>
            </w:pPr>
            <w:r w:rsidRPr="007B15C3">
              <w:rPr>
                <w:rFonts w:ascii="Arial" w:hAnsi="Arial" w:cs="Arial"/>
                <w:sz w:val="24"/>
              </w:rPr>
              <w:t>Regional</w:t>
            </w:r>
          </w:p>
        </w:tc>
        <w:tc>
          <w:tcPr>
            <w:tcW w:w="1154" w:type="dxa"/>
          </w:tcPr>
          <w:p w14:paraId="0819B9A3" w14:textId="77777777" w:rsidR="00B6510D" w:rsidRPr="007B15C3" w:rsidRDefault="00B6510D" w:rsidP="00031151">
            <w:pPr>
              <w:rPr>
                <w:rFonts w:ascii="Arial" w:hAnsi="Arial" w:cs="Arial"/>
                <w:sz w:val="24"/>
              </w:rPr>
            </w:pPr>
            <w:r w:rsidRPr="007B15C3">
              <w:rPr>
                <w:rFonts w:ascii="Arial" w:hAnsi="Arial" w:cs="Arial"/>
                <w:sz w:val="24"/>
              </w:rPr>
              <w:t>Year 8</w:t>
            </w:r>
          </w:p>
        </w:tc>
        <w:tc>
          <w:tcPr>
            <w:tcW w:w="1154" w:type="dxa"/>
          </w:tcPr>
          <w:p w14:paraId="5DF34F18" w14:textId="77777777" w:rsidR="00B6510D" w:rsidRPr="007B15C3" w:rsidRDefault="00B6510D" w:rsidP="00031151">
            <w:pPr>
              <w:rPr>
                <w:rFonts w:ascii="Arial" w:hAnsi="Arial" w:cs="Arial"/>
                <w:sz w:val="24"/>
              </w:rPr>
            </w:pPr>
            <w:r w:rsidRPr="007B15C3">
              <w:rPr>
                <w:rFonts w:ascii="Arial" w:hAnsi="Arial" w:cs="Arial"/>
                <w:sz w:val="24"/>
              </w:rPr>
              <w:t>Year 11</w:t>
            </w:r>
          </w:p>
        </w:tc>
      </w:tr>
      <w:tr w:rsidR="00B6510D" w:rsidRPr="007B15C3" w14:paraId="4E39DAE5" w14:textId="77777777" w:rsidTr="00031151">
        <w:tc>
          <w:tcPr>
            <w:tcW w:w="1155" w:type="dxa"/>
          </w:tcPr>
          <w:p w14:paraId="3C011B78" w14:textId="77777777" w:rsidR="00B6510D" w:rsidRPr="007B15C3" w:rsidRDefault="00B6510D" w:rsidP="00031151">
            <w:pPr>
              <w:rPr>
                <w:rFonts w:ascii="Arial" w:hAnsi="Arial" w:cs="Arial"/>
                <w:sz w:val="24"/>
              </w:rPr>
            </w:pPr>
            <w:r w:rsidRPr="007B15C3">
              <w:rPr>
                <w:rFonts w:ascii="Arial" w:hAnsi="Arial" w:cs="Arial"/>
                <w:sz w:val="24"/>
              </w:rPr>
              <w:t>35%</w:t>
            </w:r>
          </w:p>
        </w:tc>
        <w:tc>
          <w:tcPr>
            <w:tcW w:w="1153" w:type="dxa"/>
          </w:tcPr>
          <w:p w14:paraId="11879E38" w14:textId="77777777" w:rsidR="00B6510D" w:rsidRPr="007B15C3" w:rsidRDefault="00B6510D" w:rsidP="00031151">
            <w:pPr>
              <w:rPr>
                <w:rFonts w:ascii="Arial" w:hAnsi="Arial" w:cs="Arial"/>
                <w:sz w:val="24"/>
              </w:rPr>
            </w:pPr>
            <w:r w:rsidRPr="007B15C3">
              <w:rPr>
                <w:rFonts w:ascii="Arial" w:hAnsi="Arial" w:cs="Arial"/>
                <w:sz w:val="24"/>
              </w:rPr>
              <w:t>27%</w:t>
            </w:r>
          </w:p>
        </w:tc>
        <w:tc>
          <w:tcPr>
            <w:tcW w:w="1154" w:type="dxa"/>
          </w:tcPr>
          <w:p w14:paraId="1ACD72BC" w14:textId="77777777" w:rsidR="00B6510D" w:rsidRPr="007B15C3" w:rsidRDefault="00B6510D" w:rsidP="00031151">
            <w:pPr>
              <w:rPr>
                <w:rFonts w:ascii="Arial" w:hAnsi="Arial" w:cs="Arial"/>
                <w:sz w:val="24"/>
              </w:rPr>
            </w:pPr>
            <w:r w:rsidRPr="007B15C3">
              <w:rPr>
                <w:rFonts w:ascii="Arial" w:hAnsi="Arial" w:cs="Arial"/>
                <w:sz w:val="24"/>
              </w:rPr>
              <w:t>31%</w:t>
            </w:r>
          </w:p>
        </w:tc>
        <w:tc>
          <w:tcPr>
            <w:tcW w:w="1154" w:type="dxa"/>
          </w:tcPr>
          <w:p w14:paraId="56B7461A" w14:textId="77777777" w:rsidR="00B6510D" w:rsidRPr="007B15C3" w:rsidRDefault="00B6510D" w:rsidP="00031151">
            <w:pPr>
              <w:rPr>
                <w:rFonts w:ascii="Arial" w:hAnsi="Arial" w:cs="Arial"/>
                <w:sz w:val="24"/>
              </w:rPr>
            </w:pPr>
            <w:r w:rsidRPr="007B15C3">
              <w:rPr>
                <w:rFonts w:ascii="Arial" w:hAnsi="Arial" w:cs="Arial"/>
                <w:sz w:val="24"/>
              </w:rPr>
              <w:t>43%</w:t>
            </w:r>
          </w:p>
        </w:tc>
        <w:tc>
          <w:tcPr>
            <w:tcW w:w="1154" w:type="dxa"/>
          </w:tcPr>
          <w:p w14:paraId="500928F0" w14:textId="77777777" w:rsidR="00B6510D" w:rsidRPr="007B15C3" w:rsidRDefault="00B6510D" w:rsidP="00031151">
            <w:pPr>
              <w:rPr>
                <w:rFonts w:ascii="Arial" w:hAnsi="Arial" w:cs="Arial"/>
                <w:sz w:val="24"/>
              </w:rPr>
            </w:pPr>
            <w:r w:rsidRPr="007B15C3">
              <w:rPr>
                <w:rFonts w:ascii="Arial" w:hAnsi="Arial" w:cs="Arial"/>
                <w:sz w:val="24"/>
              </w:rPr>
              <w:t>32%</w:t>
            </w:r>
          </w:p>
        </w:tc>
        <w:tc>
          <w:tcPr>
            <w:tcW w:w="1164" w:type="dxa"/>
          </w:tcPr>
          <w:p w14:paraId="0A7462B2" w14:textId="77777777" w:rsidR="00B6510D" w:rsidRPr="007B15C3" w:rsidRDefault="00B6510D" w:rsidP="00031151">
            <w:pPr>
              <w:rPr>
                <w:rFonts w:ascii="Arial" w:hAnsi="Arial" w:cs="Arial"/>
                <w:sz w:val="24"/>
              </w:rPr>
            </w:pPr>
            <w:r w:rsidRPr="007B15C3">
              <w:rPr>
                <w:rFonts w:ascii="Arial" w:hAnsi="Arial" w:cs="Arial"/>
                <w:sz w:val="24"/>
              </w:rPr>
              <w:t>31%</w:t>
            </w:r>
          </w:p>
        </w:tc>
        <w:tc>
          <w:tcPr>
            <w:tcW w:w="1154" w:type="dxa"/>
          </w:tcPr>
          <w:p w14:paraId="2DFB0288" w14:textId="77777777" w:rsidR="00B6510D" w:rsidRPr="007B15C3" w:rsidRDefault="00B6510D" w:rsidP="00031151">
            <w:pPr>
              <w:rPr>
                <w:rFonts w:ascii="Arial" w:hAnsi="Arial" w:cs="Arial"/>
                <w:sz w:val="24"/>
              </w:rPr>
            </w:pPr>
            <w:r w:rsidRPr="007B15C3">
              <w:rPr>
                <w:rFonts w:ascii="Arial" w:hAnsi="Arial" w:cs="Arial"/>
                <w:sz w:val="24"/>
              </w:rPr>
              <w:t>29%</w:t>
            </w:r>
          </w:p>
        </w:tc>
        <w:tc>
          <w:tcPr>
            <w:tcW w:w="1154" w:type="dxa"/>
          </w:tcPr>
          <w:p w14:paraId="119CFA45" w14:textId="77777777" w:rsidR="00B6510D" w:rsidRPr="007B15C3" w:rsidRDefault="00B6510D" w:rsidP="00031151">
            <w:pPr>
              <w:rPr>
                <w:rFonts w:ascii="Arial" w:hAnsi="Arial" w:cs="Arial"/>
                <w:sz w:val="24"/>
              </w:rPr>
            </w:pPr>
            <w:r w:rsidRPr="007B15C3">
              <w:rPr>
                <w:rFonts w:ascii="Arial" w:hAnsi="Arial" w:cs="Arial"/>
                <w:sz w:val="24"/>
              </w:rPr>
              <w:t>35%</w:t>
            </w:r>
          </w:p>
        </w:tc>
      </w:tr>
    </w:tbl>
    <w:p w14:paraId="1C8F5504" w14:textId="77777777" w:rsidR="00DE691F" w:rsidRPr="00DE691F" w:rsidRDefault="00DE691F" w:rsidP="00DE691F">
      <w:pPr>
        <w:rPr>
          <w:rFonts w:ascii="Arial" w:hAnsi="Arial" w:cs="Arial"/>
          <w:i/>
          <w:sz w:val="24"/>
        </w:rPr>
      </w:pPr>
      <w:r w:rsidRPr="00DE691F">
        <w:rPr>
          <w:rFonts w:ascii="Arial" w:hAnsi="Arial" w:cs="Arial"/>
          <w:i/>
          <w:sz w:val="24"/>
        </w:rPr>
        <w:t>Source: VSHAWS, 2018, DET</w:t>
      </w:r>
    </w:p>
    <w:p w14:paraId="41BD3B6B" w14:textId="77777777" w:rsidR="00AE1BD3" w:rsidRDefault="00DE691F" w:rsidP="00DE691F">
      <w:pPr>
        <w:rPr>
          <w:rFonts w:ascii="Arial" w:hAnsi="Arial" w:cs="Arial"/>
          <w:sz w:val="24"/>
        </w:rPr>
      </w:pPr>
      <w:r w:rsidRPr="00DE691F">
        <w:rPr>
          <w:rFonts w:ascii="Arial" w:hAnsi="Arial" w:cs="Arial"/>
          <w:sz w:val="24"/>
        </w:rPr>
        <w:t>Serious family conflict was found to be much more likely to occur in families where Victorian adolescents found it difficult or very difficult to communicate with other family members, particularly with male members. Communication difficulties with fathers or elder brothers were reported by around half the adolescents who also reported serious family conflicts.</w:t>
      </w:r>
    </w:p>
    <w:p w14:paraId="139D3DDB" w14:textId="77777777" w:rsidR="00DE691F" w:rsidRPr="00554FF7" w:rsidRDefault="00DE691F" w:rsidP="00DE691F">
      <w:pPr>
        <w:rPr>
          <w:rFonts w:ascii="Arial" w:hAnsi="Arial" w:cs="Arial"/>
          <w:b/>
          <w:sz w:val="24"/>
        </w:rPr>
      </w:pPr>
      <w:r w:rsidRPr="00554FF7">
        <w:rPr>
          <w:rFonts w:ascii="Arial" w:hAnsi="Arial" w:cs="Arial"/>
          <w:b/>
          <w:sz w:val="24"/>
        </w:rPr>
        <w:t>Figure 47. Serious family conflicts by communication difficulties, 2018</w:t>
      </w:r>
    </w:p>
    <w:tbl>
      <w:tblPr>
        <w:tblStyle w:val="TableGrid"/>
        <w:tblW w:w="0" w:type="auto"/>
        <w:tblLook w:val="04A0" w:firstRow="1" w:lastRow="0" w:firstColumn="1" w:lastColumn="0" w:noHBand="0" w:noVBand="1"/>
        <w:tblDescription w:val="This table shows the proportion of students (Years 8 and 11) reporting serious family conflict by communication difficulties, 2018"/>
      </w:tblPr>
      <w:tblGrid>
        <w:gridCol w:w="3030"/>
        <w:gridCol w:w="2994"/>
        <w:gridCol w:w="2992"/>
      </w:tblGrid>
      <w:tr w:rsidR="00B6510D" w:rsidRPr="00554FF7" w14:paraId="34E54D80" w14:textId="77777777" w:rsidTr="00554FF7">
        <w:trPr>
          <w:tblHeader/>
        </w:trPr>
        <w:tc>
          <w:tcPr>
            <w:tcW w:w="3080" w:type="dxa"/>
          </w:tcPr>
          <w:p w14:paraId="125AC710" w14:textId="77777777" w:rsidR="00B6510D" w:rsidRPr="00554FF7" w:rsidRDefault="00B6510D" w:rsidP="00DE691F">
            <w:pPr>
              <w:rPr>
                <w:rFonts w:ascii="Arial" w:hAnsi="Arial" w:cs="Arial"/>
                <w:sz w:val="24"/>
              </w:rPr>
            </w:pPr>
          </w:p>
        </w:tc>
        <w:tc>
          <w:tcPr>
            <w:tcW w:w="3081" w:type="dxa"/>
          </w:tcPr>
          <w:p w14:paraId="3F9375BF" w14:textId="77777777" w:rsidR="00B6510D" w:rsidRPr="00554FF7" w:rsidRDefault="00B6510D" w:rsidP="00DE691F">
            <w:pPr>
              <w:rPr>
                <w:rFonts w:ascii="Arial" w:hAnsi="Arial" w:cs="Arial"/>
                <w:sz w:val="24"/>
              </w:rPr>
            </w:pPr>
            <w:r w:rsidRPr="00554FF7">
              <w:rPr>
                <w:rFonts w:ascii="Arial" w:hAnsi="Arial" w:cs="Arial"/>
                <w:sz w:val="24"/>
              </w:rPr>
              <w:t>Serious family conflict</w:t>
            </w:r>
          </w:p>
        </w:tc>
        <w:tc>
          <w:tcPr>
            <w:tcW w:w="3081" w:type="dxa"/>
          </w:tcPr>
          <w:p w14:paraId="1718FE6D" w14:textId="77777777" w:rsidR="00B6510D" w:rsidRPr="00554FF7" w:rsidRDefault="00B6510D" w:rsidP="00DE691F">
            <w:pPr>
              <w:rPr>
                <w:rFonts w:ascii="Arial" w:hAnsi="Arial" w:cs="Arial"/>
                <w:sz w:val="24"/>
              </w:rPr>
            </w:pPr>
            <w:r w:rsidRPr="00554FF7">
              <w:rPr>
                <w:rFonts w:ascii="Arial" w:hAnsi="Arial" w:cs="Arial"/>
                <w:sz w:val="24"/>
              </w:rPr>
              <w:t>No serious family conflict</w:t>
            </w:r>
          </w:p>
        </w:tc>
      </w:tr>
      <w:tr w:rsidR="00B6510D" w:rsidRPr="00554FF7" w14:paraId="3B08D789" w14:textId="77777777" w:rsidTr="00B6510D">
        <w:tc>
          <w:tcPr>
            <w:tcW w:w="3080" w:type="dxa"/>
          </w:tcPr>
          <w:p w14:paraId="5BDB004A" w14:textId="77777777" w:rsidR="00B6510D" w:rsidRPr="00554FF7" w:rsidRDefault="00554FF7" w:rsidP="00554FF7">
            <w:pPr>
              <w:rPr>
                <w:rFonts w:ascii="Arial" w:hAnsi="Arial" w:cs="Arial"/>
                <w:sz w:val="24"/>
              </w:rPr>
            </w:pPr>
            <w:r w:rsidRPr="00554FF7">
              <w:rPr>
                <w:rFonts w:ascii="Arial" w:hAnsi="Arial" w:cs="Arial"/>
                <w:sz w:val="24"/>
              </w:rPr>
              <w:t>Communication</w:t>
            </w:r>
            <w:r>
              <w:rPr>
                <w:rFonts w:ascii="Arial" w:hAnsi="Arial" w:cs="Arial"/>
                <w:sz w:val="24"/>
              </w:rPr>
              <w:t xml:space="preserve"> </w:t>
            </w:r>
            <w:r w:rsidRPr="00554FF7">
              <w:rPr>
                <w:rFonts w:ascii="Arial" w:hAnsi="Arial" w:cs="Arial"/>
                <w:sz w:val="24"/>
              </w:rPr>
              <w:t>difficult with</w:t>
            </w:r>
            <w:r>
              <w:rPr>
                <w:rFonts w:ascii="Arial" w:hAnsi="Arial" w:cs="Arial"/>
                <w:sz w:val="24"/>
              </w:rPr>
              <w:t xml:space="preserve"> </w:t>
            </w:r>
            <w:r w:rsidRPr="00554FF7">
              <w:rPr>
                <w:rFonts w:ascii="Arial" w:hAnsi="Arial" w:cs="Arial"/>
                <w:sz w:val="24"/>
              </w:rPr>
              <w:t>father</w:t>
            </w:r>
          </w:p>
        </w:tc>
        <w:tc>
          <w:tcPr>
            <w:tcW w:w="3081" w:type="dxa"/>
          </w:tcPr>
          <w:p w14:paraId="7BA6FA16" w14:textId="77777777" w:rsidR="00B6510D" w:rsidRPr="00554FF7" w:rsidRDefault="00554FF7" w:rsidP="00DE691F">
            <w:pPr>
              <w:rPr>
                <w:rFonts w:ascii="Arial" w:hAnsi="Arial" w:cs="Arial"/>
                <w:sz w:val="24"/>
              </w:rPr>
            </w:pPr>
            <w:r>
              <w:rPr>
                <w:rFonts w:ascii="Arial" w:hAnsi="Arial" w:cs="Arial"/>
                <w:sz w:val="24"/>
              </w:rPr>
              <w:t>53%</w:t>
            </w:r>
          </w:p>
        </w:tc>
        <w:tc>
          <w:tcPr>
            <w:tcW w:w="3081" w:type="dxa"/>
          </w:tcPr>
          <w:p w14:paraId="4FD50AB6" w14:textId="77777777" w:rsidR="00B6510D" w:rsidRPr="00554FF7" w:rsidRDefault="00554FF7" w:rsidP="00DE691F">
            <w:pPr>
              <w:rPr>
                <w:rFonts w:ascii="Arial" w:hAnsi="Arial" w:cs="Arial"/>
                <w:sz w:val="24"/>
              </w:rPr>
            </w:pPr>
            <w:r>
              <w:rPr>
                <w:rFonts w:ascii="Arial" w:hAnsi="Arial" w:cs="Arial"/>
                <w:sz w:val="24"/>
              </w:rPr>
              <w:t>28%</w:t>
            </w:r>
          </w:p>
        </w:tc>
      </w:tr>
      <w:tr w:rsidR="00B6510D" w:rsidRPr="00554FF7" w14:paraId="7E9684FC" w14:textId="77777777" w:rsidTr="00B6510D">
        <w:tc>
          <w:tcPr>
            <w:tcW w:w="3080" w:type="dxa"/>
          </w:tcPr>
          <w:p w14:paraId="5D41806E" w14:textId="77777777" w:rsidR="00B6510D" w:rsidRPr="00554FF7" w:rsidRDefault="00554FF7" w:rsidP="00554FF7">
            <w:pPr>
              <w:rPr>
                <w:rFonts w:ascii="Arial" w:hAnsi="Arial" w:cs="Arial"/>
                <w:sz w:val="24"/>
              </w:rPr>
            </w:pPr>
            <w:r w:rsidRPr="00554FF7">
              <w:rPr>
                <w:rFonts w:ascii="Arial" w:hAnsi="Arial" w:cs="Arial"/>
                <w:sz w:val="24"/>
              </w:rPr>
              <w:t>Communication</w:t>
            </w:r>
            <w:r>
              <w:rPr>
                <w:rFonts w:ascii="Arial" w:hAnsi="Arial" w:cs="Arial"/>
                <w:sz w:val="24"/>
              </w:rPr>
              <w:t xml:space="preserve"> </w:t>
            </w:r>
            <w:r w:rsidRPr="00554FF7">
              <w:rPr>
                <w:rFonts w:ascii="Arial" w:hAnsi="Arial" w:cs="Arial"/>
                <w:sz w:val="24"/>
              </w:rPr>
              <w:t>difficult with</w:t>
            </w:r>
            <w:r>
              <w:rPr>
                <w:rFonts w:ascii="Arial" w:hAnsi="Arial" w:cs="Arial"/>
                <w:sz w:val="24"/>
              </w:rPr>
              <w:t xml:space="preserve"> mother</w:t>
            </w:r>
          </w:p>
        </w:tc>
        <w:tc>
          <w:tcPr>
            <w:tcW w:w="3081" w:type="dxa"/>
          </w:tcPr>
          <w:p w14:paraId="34E8D7C0" w14:textId="77777777" w:rsidR="00B6510D" w:rsidRPr="00554FF7" w:rsidRDefault="00554FF7" w:rsidP="00DE691F">
            <w:pPr>
              <w:rPr>
                <w:rFonts w:ascii="Arial" w:hAnsi="Arial" w:cs="Arial"/>
                <w:sz w:val="24"/>
              </w:rPr>
            </w:pPr>
            <w:r>
              <w:rPr>
                <w:rFonts w:ascii="Arial" w:hAnsi="Arial" w:cs="Arial"/>
                <w:sz w:val="24"/>
              </w:rPr>
              <w:t>38%</w:t>
            </w:r>
          </w:p>
        </w:tc>
        <w:tc>
          <w:tcPr>
            <w:tcW w:w="3081" w:type="dxa"/>
          </w:tcPr>
          <w:p w14:paraId="63A9A7C8" w14:textId="77777777" w:rsidR="00B6510D" w:rsidRPr="00554FF7" w:rsidRDefault="00554FF7" w:rsidP="00DE691F">
            <w:pPr>
              <w:rPr>
                <w:rFonts w:ascii="Arial" w:hAnsi="Arial" w:cs="Arial"/>
                <w:sz w:val="24"/>
              </w:rPr>
            </w:pPr>
            <w:r>
              <w:rPr>
                <w:rFonts w:ascii="Arial" w:hAnsi="Arial" w:cs="Arial"/>
                <w:sz w:val="24"/>
              </w:rPr>
              <w:t>16%</w:t>
            </w:r>
          </w:p>
        </w:tc>
      </w:tr>
      <w:tr w:rsidR="00B6510D" w:rsidRPr="00554FF7" w14:paraId="5072B0EF" w14:textId="77777777" w:rsidTr="00B6510D">
        <w:tc>
          <w:tcPr>
            <w:tcW w:w="3080" w:type="dxa"/>
          </w:tcPr>
          <w:p w14:paraId="6F78B5E0" w14:textId="77777777" w:rsidR="00B6510D" w:rsidRPr="00554FF7" w:rsidRDefault="00554FF7" w:rsidP="00554FF7">
            <w:pPr>
              <w:rPr>
                <w:rFonts w:ascii="Arial" w:hAnsi="Arial" w:cs="Arial"/>
                <w:sz w:val="24"/>
              </w:rPr>
            </w:pPr>
            <w:r w:rsidRPr="00554FF7">
              <w:rPr>
                <w:rFonts w:ascii="Arial" w:hAnsi="Arial" w:cs="Arial"/>
                <w:sz w:val="24"/>
              </w:rPr>
              <w:t>Communication</w:t>
            </w:r>
            <w:r>
              <w:rPr>
                <w:rFonts w:ascii="Arial" w:hAnsi="Arial" w:cs="Arial"/>
                <w:sz w:val="24"/>
              </w:rPr>
              <w:t xml:space="preserve"> </w:t>
            </w:r>
            <w:r w:rsidRPr="00554FF7">
              <w:rPr>
                <w:rFonts w:ascii="Arial" w:hAnsi="Arial" w:cs="Arial"/>
                <w:sz w:val="24"/>
              </w:rPr>
              <w:t>difficult with</w:t>
            </w:r>
            <w:r>
              <w:rPr>
                <w:rFonts w:ascii="Arial" w:hAnsi="Arial" w:cs="Arial"/>
                <w:sz w:val="24"/>
              </w:rPr>
              <w:t xml:space="preserve"> elder brother</w:t>
            </w:r>
          </w:p>
        </w:tc>
        <w:tc>
          <w:tcPr>
            <w:tcW w:w="3081" w:type="dxa"/>
          </w:tcPr>
          <w:p w14:paraId="04E635CF" w14:textId="77777777" w:rsidR="00B6510D" w:rsidRPr="00554FF7" w:rsidRDefault="00554FF7" w:rsidP="00DE691F">
            <w:pPr>
              <w:rPr>
                <w:rFonts w:ascii="Arial" w:hAnsi="Arial" w:cs="Arial"/>
                <w:sz w:val="24"/>
              </w:rPr>
            </w:pPr>
            <w:r>
              <w:rPr>
                <w:rFonts w:ascii="Arial" w:hAnsi="Arial" w:cs="Arial"/>
                <w:sz w:val="24"/>
              </w:rPr>
              <w:t>46%</w:t>
            </w:r>
          </w:p>
        </w:tc>
        <w:tc>
          <w:tcPr>
            <w:tcW w:w="3081" w:type="dxa"/>
          </w:tcPr>
          <w:p w14:paraId="0EAAFB2D" w14:textId="77777777" w:rsidR="00B6510D" w:rsidRPr="00554FF7" w:rsidRDefault="00554FF7" w:rsidP="00DE691F">
            <w:pPr>
              <w:rPr>
                <w:rFonts w:ascii="Arial" w:hAnsi="Arial" w:cs="Arial"/>
                <w:sz w:val="24"/>
              </w:rPr>
            </w:pPr>
            <w:r>
              <w:rPr>
                <w:rFonts w:ascii="Arial" w:hAnsi="Arial" w:cs="Arial"/>
                <w:sz w:val="24"/>
              </w:rPr>
              <w:t>32%</w:t>
            </w:r>
          </w:p>
        </w:tc>
      </w:tr>
      <w:tr w:rsidR="00B6510D" w:rsidRPr="00554FF7" w14:paraId="4993604B" w14:textId="77777777" w:rsidTr="00B6510D">
        <w:tc>
          <w:tcPr>
            <w:tcW w:w="3080" w:type="dxa"/>
          </w:tcPr>
          <w:p w14:paraId="5AFA9485" w14:textId="77777777" w:rsidR="00B6510D" w:rsidRPr="00554FF7" w:rsidRDefault="00554FF7" w:rsidP="00554FF7">
            <w:pPr>
              <w:rPr>
                <w:rFonts w:ascii="Arial" w:hAnsi="Arial" w:cs="Arial"/>
                <w:sz w:val="24"/>
              </w:rPr>
            </w:pPr>
            <w:r w:rsidRPr="00554FF7">
              <w:rPr>
                <w:rFonts w:ascii="Arial" w:hAnsi="Arial" w:cs="Arial"/>
                <w:sz w:val="24"/>
              </w:rPr>
              <w:t>Communication</w:t>
            </w:r>
            <w:r>
              <w:rPr>
                <w:rFonts w:ascii="Arial" w:hAnsi="Arial" w:cs="Arial"/>
                <w:sz w:val="24"/>
              </w:rPr>
              <w:t xml:space="preserve"> </w:t>
            </w:r>
            <w:r w:rsidRPr="00554FF7">
              <w:rPr>
                <w:rFonts w:ascii="Arial" w:hAnsi="Arial" w:cs="Arial"/>
                <w:sz w:val="24"/>
              </w:rPr>
              <w:t>difficult with</w:t>
            </w:r>
            <w:r>
              <w:rPr>
                <w:rFonts w:ascii="Arial" w:hAnsi="Arial" w:cs="Arial"/>
                <w:sz w:val="24"/>
              </w:rPr>
              <w:t xml:space="preserve"> elder sister</w:t>
            </w:r>
          </w:p>
        </w:tc>
        <w:tc>
          <w:tcPr>
            <w:tcW w:w="3081" w:type="dxa"/>
          </w:tcPr>
          <w:p w14:paraId="5A208808" w14:textId="77777777" w:rsidR="00B6510D" w:rsidRPr="00554FF7" w:rsidRDefault="00554FF7" w:rsidP="00DE691F">
            <w:pPr>
              <w:rPr>
                <w:rFonts w:ascii="Arial" w:hAnsi="Arial" w:cs="Arial"/>
                <w:sz w:val="24"/>
              </w:rPr>
            </w:pPr>
            <w:r>
              <w:rPr>
                <w:rFonts w:ascii="Arial" w:hAnsi="Arial" w:cs="Arial"/>
                <w:sz w:val="24"/>
              </w:rPr>
              <w:t>36%</w:t>
            </w:r>
          </w:p>
        </w:tc>
        <w:tc>
          <w:tcPr>
            <w:tcW w:w="3081" w:type="dxa"/>
          </w:tcPr>
          <w:p w14:paraId="2D0F9351" w14:textId="77777777" w:rsidR="00B6510D" w:rsidRPr="00554FF7" w:rsidRDefault="00554FF7" w:rsidP="00DE691F">
            <w:pPr>
              <w:rPr>
                <w:rFonts w:ascii="Arial" w:hAnsi="Arial" w:cs="Arial"/>
                <w:sz w:val="24"/>
              </w:rPr>
            </w:pPr>
            <w:r>
              <w:rPr>
                <w:rFonts w:ascii="Arial" w:hAnsi="Arial" w:cs="Arial"/>
                <w:sz w:val="24"/>
              </w:rPr>
              <w:t>22%</w:t>
            </w:r>
          </w:p>
        </w:tc>
      </w:tr>
    </w:tbl>
    <w:p w14:paraId="35E1FD3B" w14:textId="77777777" w:rsidR="00DE691F" w:rsidRPr="00DE691F" w:rsidRDefault="00DE691F" w:rsidP="00DE691F">
      <w:pPr>
        <w:rPr>
          <w:rFonts w:ascii="Arial" w:hAnsi="Arial" w:cs="Arial"/>
          <w:i/>
          <w:sz w:val="24"/>
        </w:rPr>
      </w:pPr>
      <w:r w:rsidRPr="00DE691F">
        <w:rPr>
          <w:rFonts w:ascii="Arial" w:hAnsi="Arial" w:cs="Arial"/>
          <w:i/>
          <w:sz w:val="24"/>
        </w:rPr>
        <w:t>Source: VSHAWS, 2018, DET</w:t>
      </w:r>
    </w:p>
    <w:p w14:paraId="39BC8E0F" w14:textId="77777777" w:rsidR="002B1D7F" w:rsidRPr="00554FF7" w:rsidRDefault="002B1D7F" w:rsidP="00554FF7">
      <w:pPr>
        <w:pStyle w:val="Heading3"/>
        <w:rPr>
          <w:rFonts w:ascii="Arial" w:hAnsi="Arial" w:cs="Arial"/>
          <w:color w:val="auto"/>
          <w:sz w:val="24"/>
        </w:rPr>
      </w:pPr>
      <w:bookmarkStart w:id="62" w:name="_Toc33527787"/>
      <w:r w:rsidRPr="00554FF7">
        <w:rPr>
          <w:rFonts w:ascii="Arial" w:hAnsi="Arial" w:cs="Arial"/>
          <w:color w:val="auto"/>
          <w:sz w:val="24"/>
        </w:rPr>
        <w:lastRenderedPageBreak/>
        <w:t>5.5</w:t>
      </w:r>
      <w:r w:rsidRPr="00554FF7">
        <w:rPr>
          <w:rFonts w:ascii="Arial" w:hAnsi="Arial" w:cs="Arial"/>
          <w:color w:val="auto"/>
          <w:sz w:val="24"/>
        </w:rPr>
        <w:tab/>
        <w:t>One in ten people affected by family violence are adolescents</w:t>
      </w:r>
      <w:bookmarkEnd w:id="62"/>
    </w:p>
    <w:p w14:paraId="11A2B62F" w14:textId="77777777" w:rsidR="002B1D7F" w:rsidRPr="002B1D7F" w:rsidRDefault="002B1D7F" w:rsidP="002B1D7F">
      <w:pPr>
        <w:rPr>
          <w:rFonts w:ascii="Arial" w:hAnsi="Arial" w:cs="Arial"/>
          <w:sz w:val="24"/>
        </w:rPr>
      </w:pPr>
      <w:r w:rsidRPr="002B1D7F">
        <w:rPr>
          <w:rFonts w:ascii="Arial" w:hAnsi="Arial" w:cs="Arial"/>
          <w:sz w:val="24"/>
        </w:rPr>
        <w:t>When a family member is violent and abusive, this can do substantial damage to an adolescent’s development. Severe short and long-term effects include behavioural and mental health problems, disrupted schooling, homelessness, poverty, and intergenerational family violence (State of Victoria, 2016). Adolescents experience family violence as direct victims or through witnessing it in the home. They can also experience violence in their own intimate relationships.</w:t>
      </w:r>
    </w:p>
    <w:p w14:paraId="2A33EFA9" w14:textId="77777777" w:rsidR="002B1D7F" w:rsidRPr="002B1D7F" w:rsidRDefault="002B1D7F" w:rsidP="002B1D7F">
      <w:pPr>
        <w:rPr>
          <w:rFonts w:ascii="Arial" w:hAnsi="Arial" w:cs="Arial"/>
          <w:sz w:val="24"/>
        </w:rPr>
      </w:pPr>
      <w:r w:rsidRPr="002B1D7F">
        <w:rPr>
          <w:rFonts w:ascii="Arial" w:hAnsi="Arial" w:cs="Arial"/>
          <w:sz w:val="24"/>
        </w:rPr>
        <w:t>Data from the Crime Statistics Agency show that police responded to over 76,000 incidents of family violence reported by police in 2017–18, up from 65,000 in 2013–14. The majority of perpetrators were men, and the victims mainly their children and current or former female partners. Aboriginal Victorians remain over-represented in these figures. For instance, despite making up less than one per cent of the Victorian population, Aboriginal people accounted for 3.8 per cent (2,852) of affected family members in 2017-18.</w:t>
      </w:r>
    </w:p>
    <w:p w14:paraId="257DDDEB" w14:textId="77777777" w:rsidR="00DE691F" w:rsidRDefault="002B1D7F" w:rsidP="002B1D7F">
      <w:pPr>
        <w:rPr>
          <w:rFonts w:ascii="Arial" w:hAnsi="Arial" w:cs="Arial"/>
          <w:sz w:val="24"/>
        </w:rPr>
      </w:pPr>
      <w:r w:rsidRPr="002B1D7F">
        <w:rPr>
          <w:rFonts w:ascii="Arial" w:hAnsi="Arial" w:cs="Arial"/>
          <w:sz w:val="24"/>
        </w:rPr>
        <w:t>One in ten (10 per cent of) affected family members recorded at a family violence incident in 2017-18 were adolescents aged 10 to 19 years, a rate stable since 2013–14. Girls were more than twice as likely as boys to be affected, accounting for 69 per cent of incidents involving an adolescent as the affected family member in 2017-18. The most exposed group were girls aged 15–19, who accounted for half of all incidents.</w:t>
      </w:r>
    </w:p>
    <w:p w14:paraId="68B74AB3" w14:textId="77777777" w:rsidR="002B1D7F" w:rsidRPr="0078442F" w:rsidRDefault="002B1D7F" w:rsidP="002B1D7F">
      <w:pPr>
        <w:rPr>
          <w:rFonts w:ascii="Arial" w:hAnsi="Arial" w:cs="Arial"/>
          <w:b/>
          <w:sz w:val="24"/>
        </w:rPr>
      </w:pPr>
      <w:r w:rsidRPr="0078442F">
        <w:rPr>
          <w:rFonts w:ascii="Arial" w:hAnsi="Arial" w:cs="Arial"/>
          <w:b/>
          <w:sz w:val="24"/>
        </w:rPr>
        <w:t>Figure 48. Gender and age of adolescents affected by family violence, Victoria, 2013-14 to 2017–18</w:t>
      </w:r>
    </w:p>
    <w:tbl>
      <w:tblPr>
        <w:tblStyle w:val="TableGrid"/>
        <w:tblW w:w="5000" w:type="pct"/>
        <w:tblLook w:val="04A0" w:firstRow="1" w:lastRow="0" w:firstColumn="1" w:lastColumn="0" w:noHBand="0" w:noVBand="1"/>
        <w:tblDescription w:val="This table shows the gender and age of adolescents affected by family violence, Victoria, 2013-14 to 2017–18"/>
      </w:tblPr>
      <w:tblGrid>
        <w:gridCol w:w="1804"/>
        <w:gridCol w:w="1803"/>
        <w:gridCol w:w="1803"/>
        <w:gridCol w:w="1803"/>
        <w:gridCol w:w="1803"/>
      </w:tblGrid>
      <w:tr w:rsidR="00554FF7" w:rsidRPr="00554FF7" w14:paraId="3F4D579F" w14:textId="77777777" w:rsidTr="0078442F">
        <w:trPr>
          <w:tblHeader/>
        </w:trPr>
        <w:tc>
          <w:tcPr>
            <w:tcW w:w="1000" w:type="pct"/>
          </w:tcPr>
          <w:p w14:paraId="5AB9960F" w14:textId="77777777" w:rsidR="00554FF7" w:rsidRPr="00554FF7" w:rsidRDefault="00554FF7" w:rsidP="002B1D7F">
            <w:pPr>
              <w:rPr>
                <w:rFonts w:ascii="Arial" w:hAnsi="Arial" w:cs="Arial"/>
                <w:sz w:val="24"/>
              </w:rPr>
            </w:pPr>
          </w:p>
        </w:tc>
        <w:tc>
          <w:tcPr>
            <w:tcW w:w="1000" w:type="pct"/>
          </w:tcPr>
          <w:p w14:paraId="1CBE9FE8" w14:textId="77777777" w:rsidR="00554FF7" w:rsidRPr="00554FF7" w:rsidRDefault="00554FF7" w:rsidP="002B1D7F">
            <w:pPr>
              <w:rPr>
                <w:rFonts w:ascii="Arial" w:hAnsi="Arial" w:cs="Arial"/>
                <w:sz w:val="24"/>
              </w:rPr>
            </w:pPr>
            <w:r w:rsidRPr="00554FF7">
              <w:rPr>
                <w:rFonts w:ascii="Arial" w:hAnsi="Arial" w:cs="Arial"/>
                <w:sz w:val="24"/>
              </w:rPr>
              <w:t>Male 10-14</w:t>
            </w:r>
          </w:p>
        </w:tc>
        <w:tc>
          <w:tcPr>
            <w:tcW w:w="1000" w:type="pct"/>
          </w:tcPr>
          <w:p w14:paraId="580954AE" w14:textId="77777777" w:rsidR="00554FF7" w:rsidRPr="00554FF7" w:rsidRDefault="00554FF7" w:rsidP="002B1D7F">
            <w:pPr>
              <w:rPr>
                <w:rFonts w:ascii="Arial" w:hAnsi="Arial" w:cs="Arial"/>
                <w:sz w:val="24"/>
              </w:rPr>
            </w:pPr>
            <w:r w:rsidRPr="00554FF7">
              <w:rPr>
                <w:rFonts w:ascii="Arial" w:hAnsi="Arial" w:cs="Arial"/>
                <w:sz w:val="24"/>
              </w:rPr>
              <w:t>Male 15-19</w:t>
            </w:r>
          </w:p>
        </w:tc>
        <w:tc>
          <w:tcPr>
            <w:tcW w:w="1000" w:type="pct"/>
          </w:tcPr>
          <w:p w14:paraId="79028966" w14:textId="77777777" w:rsidR="00554FF7" w:rsidRPr="00554FF7" w:rsidRDefault="00554FF7" w:rsidP="002B1D7F">
            <w:pPr>
              <w:rPr>
                <w:rFonts w:ascii="Arial" w:hAnsi="Arial" w:cs="Arial"/>
                <w:sz w:val="24"/>
              </w:rPr>
            </w:pPr>
            <w:r w:rsidRPr="00554FF7">
              <w:rPr>
                <w:rFonts w:ascii="Arial" w:hAnsi="Arial" w:cs="Arial"/>
                <w:sz w:val="24"/>
              </w:rPr>
              <w:t>Female 10-14</w:t>
            </w:r>
          </w:p>
        </w:tc>
        <w:tc>
          <w:tcPr>
            <w:tcW w:w="1000" w:type="pct"/>
          </w:tcPr>
          <w:p w14:paraId="715E075C" w14:textId="77777777" w:rsidR="00554FF7" w:rsidRPr="00554FF7" w:rsidRDefault="00554FF7" w:rsidP="002B1D7F">
            <w:pPr>
              <w:rPr>
                <w:rFonts w:ascii="Arial" w:hAnsi="Arial" w:cs="Arial"/>
                <w:sz w:val="24"/>
              </w:rPr>
            </w:pPr>
            <w:r w:rsidRPr="00554FF7">
              <w:rPr>
                <w:rFonts w:ascii="Arial" w:hAnsi="Arial" w:cs="Arial"/>
                <w:sz w:val="24"/>
              </w:rPr>
              <w:t>Female 15-19</w:t>
            </w:r>
          </w:p>
        </w:tc>
      </w:tr>
      <w:tr w:rsidR="00554FF7" w:rsidRPr="00554FF7" w14:paraId="29E694F5" w14:textId="77777777" w:rsidTr="00554FF7">
        <w:tc>
          <w:tcPr>
            <w:tcW w:w="1000" w:type="pct"/>
          </w:tcPr>
          <w:p w14:paraId="15274AB4" w14:textId="77777777" w:rsidR="00554FF7" w:rsidRPr="00554FF7" w:rsidRDefault="00554FF7" w:rsidP="002B1D7F">
            <w:pPr>
              <w:rPr>
                <w:rFonts w:ascii="Arial" w:hAnsi="Arial" w:cs="Arial"/>
                <w:sz w:val="24"/>
              </w:rPr>
            </w:pPr>
            <w:r w:rsidRPr="00554FF7">
              <w:rPr>
                <w:rFonts w:ascii="Arial" w:hAnsi="Arial" w:cs="Arial"/>
                <w:sz w:val="24"/>
              </w:rPr>
              <w:t>2013-14</w:t>
            </w:r>
          </w:p>
        </w:tc>
        <w:tc>
          <w:tcPr>
            <w:tcW w:w="1000" w:type="pct"/>
          </w:tcPr>
          <w:p w14:paraId="1F698A00" w14:textId="77777777" w:rsidR="00554FF7" w:rsidRPr="00554FF7" w:rsidRDefault="0078442F" w:rsidP="002B1D7F">
            <w:pPr>
              <w:rPr>
                <w:rFonts w:ascii="Arial" w:hAnsi="Arial" w:cs="Arial"/>
                <w:sz w:val="24"/>
              </w:rPr>
            </w:pPr>
            <w:r>
              <w:rPr>
                <w:rFonts w:ascii="Arial" w:hAnsi="Arial" w:cs="Arial"/>
                <w:sz w:val="24"/>
              </w:rPr>
              <w:t>12%</w:t>
            </w:r>
          </w:p>
        </w:tc>
        <w:tc>
          <w:tcPr>
            <w:tcW w:w="1000" w:type="pct"/>
          </w:tcPr>
          <w:p w14:paraId="2EDFD4BA" w14:textId="77777777" w:rsidR="00554FF7" w:rsidRPr="00554FF7" w:rsidRDefault="0078442F" w:rsidP="002B1D7F">
            <w:pPr>
              <w:rPr>
                <w:rFonts w:ascii="Arial" w:hAnsi="Arial" w:cs="Arial"/>
                <w:sz w:val="24"/>
              </w:rPr>
            </w:pPr>
            <w:r>
              <w:rPr>
                <w:rFonts w:ascii="Arial" w:hAnsi="Arial" w:cs="Arial"/>
                <w:sz w:val="24"/>
              </w:rPr>
              <w:t>17%</w:t>
            </w:r>
          </w:p>
        </w:tc>
        <w:tc>
          <w:tcPr>
            <w:tcW w:w="1000" w:type="pct"/>
          </w:tcPr>
          <w:p w14:paraId="5BF0BC49" w14:textId="77777777" w:rsidR="00554FF7" w:rsidRPr="00554FF7" w:rsidRDefault="0078442F" w:rsidP="002B1D7F">
            <w:pPr>
              <w:rPr>
                <w:rFonts w:ascii="Arial" w:hAnsi="Arial" w:cs="Arial"/>
                <w:sz w:val="24"/>
              </w:rPr>
            </w:pPr>
            <w:r>
              <w:rPr>
                <w:rFonts w:ascii="Arial" w:hAnsi="Arial" w:cs="Arial"/>
                <w:sz w:val="24"/>
              </w:rPr>
              <w:t>16%</w:t>
            </w:r>
          </w:p>
        </w:tc>
        <w:tc>
          <w:tcPr>
            <w:tcW w:w="1000" w:type="pct"/>
          </w:tcPr>
          <w:p w14:paraId="3D7418C2" w14:textId="77777777" w:rsidR="00554FF7" w:rsidRPr="00554FF7" w:rsidRDefault="0078442F" w:rsidP="002B1D7F">
            <w:pPr>
              <w:rPr>
                <w:rFonts w:ascii="Arial" w:hAnsi="Arial" w:cs="Arial"/>
                <w:sz w:val="24"/>
              </w:rPr>
            </w:pPr>
            <w:r>
              <w:rPr>
                <w:rFonts w:ascii="Arial" w:hAnsi="Arial" w:cs="Arial"/>
                <w:sz w:val="24"/>
              </w:rPr>
              <w:t>55%</w:t>
            </w:r>
          </w:p>
        </w:tc>
      </w:tr>
      <w:tr w:rsidR="00554FF7" w:rsidRPr="00554FF7" w14:paraId="0357C43D" w14:textId="77777777" w:rsidTr="00554FF7">
        <w:tc>
          <w:tcPr>
            <w:tcW w:w="1000" w:type="pct"/>
          </w:tcPr>
          <w:p w14:paraId="0DED439D" w14:textId="77777777" w:rsidR="00554FF7" w:rsidRPr="00554FF7" w:rsidRDefault="00554FF7" w:rsidP="002B1D7F">
            <w:pPr>
              <w:rPr>
                <w:rFonts w:ascii="Arial" w:hAnsi="Arial" w:cs="Arial"/>
                <w:sz w:val="24"/>
              </w:rPr>
            </w:pPr>
            <w:r w:rsidRPr="00554FF7">
              <w:rPr>
                <w:rFonts w:ascii="Arial" w:hAnsi="Arial" w:cs="Arial"/>
                <w:sz w:val="24"/>
              </w:rPr>
              <w:t>2014-15</w:t>
            </w:r>
          </w:p>
        </w:tc>
        <w:tc>
          <w:tcPr>
            <w:tcW w:w="1000" w:type="pct"/>
          </w:tcPr>
          <w:p w14:paraId="624791E2" w14:textId="77777777" w:rsidR="00554FF7" w:rsidRPr="00554FF7" w:rsidRDefault="0078442F" w:rsidP="002B1D7F">
            <w:pPr>
              <w:rPr>
                <w:rFonts w:ascii="Arial" w:hAnsi="Arial" w:cs="Arial"/>
                <w:sz w:val="24"/>
              </w:rPr>
            </w:pPr>
            <w:r>
              <w:rPr>
                <w:rFonts w:ascii="Arial" w:hAnsi="Arial" w:cs="Arial"/>
                <w:sz w:val="24"/>
              </w:rPr>
              <w:t>13%</w:t>
            </w:r>
          </w:p>
        </w:tc>
        <w:tc>
          <w:tcPr>
            <w:tcW w:w="1000" w:type="pct"/>
          </w:tcPr>
          <w:p w14:paraId="6EB47F9D" w14:textId="77777777" w:rsidR="00554FF7" w:rsidRPr="00554FF7" w:rsidRDefault="0078442F" w:rsidP="002B1D7F">
            <w:pPr>
              <w:rPr>
                <w:rFonts w:ascii="Arial" w:hAnsi="Arial" w:cs="Arial"/>
                <w:sz w:val="24"/>
              </w:rPr>
            </w:pPr>
            <w:r>
              <w:rPr>
                <w:rFonts w:ascii="Arial" w:hAnsi="Arial" w:cs="Arial"/>
                <w:sz w:val="24"/>
              </w:rPr>
              <w:t>18%</w:t>
            </w:r>
          </w:p>
        </w:tc>
        <w:tc>
          <w:tcPr>
            <w:tcW w:w="1000" w:type="pct"/>
          </w:tcPr>
          <w:p w14:paraId="1D90952F" w14:textId="77777777" w:rsidR="00554FF7" w:rsidRPr="00554FF7" w:rsidRDefault="0078442F" w:rsidP="002B1D7F">
            <w:pPr>
              <w:rPr>
                <w:rFonts w:ascii="Arial" w:hAnsi="Arial" w:cs="Arial"/>
                <w:sz w:val="24"/>
              </w:rPr>
            </w:pPr>
            <w:r>
              <w:rPr>
                <w:rFonts w:ascii="Arial" w:hAnsi="Arial" w:cs="Arial"/>
                <w:sz w:val="24"/>
              </w:rPr>
              <w:t>17%</w:t>
            </w:r>
          </w:p>
        </w:tc>
        <w:tc>
          <w:tcPr>
            <w:tcW w:w="1000" w:type="pct"/>
          </w:tcPr>
          <w:p w14:paraId="4EB7FC52" w14:textId="77777777" w:rsidR="00554FF7" w:rsidRPr="00554FF7" w:rsidRDefault="0078442F" w:rsidP="002B1D7F">
            <w:pPr>
              <w:rPr>
                <w:rFonts w:ascii="Arial" w:hAnsi="Arial" w:cs="Arial"/>
                <w:sz w:val="24"/>
              </w:rPr>
            </w:pPr>
            <w:r>
              <w:rPr>
                <w:rFonts w:ascii="Arial" w:hAnsi="Arial" w:cs="Arial"/>
                <w:sz w:val="24"/>
              </w:rPr>
              <w:t>52%</w:t>
            </w:r>
          </w:p>
        </w:tc>
      </w:tr>
      <w:tr w:rsidR="00554FF7" w:rsidRPr="00554FF7" w14:paraId="00056973" w14:textId="77777777" w:rsidTr="00554FF7">
        <w:tc>
          <w:tcPr>
            <w:tcW w:w="1000" w:type="pct"/>
          </w:tcPr>
          <w:p w14:paraId="59100198" w14:textId="77777777" w:rsidR="00554FF7" w:rsidRPr="00554FF7" w:rsidRDefault="00554FF7" w:rsidP="002B1D7F">
            <w:pPr>
              <w:rPr>
                <w:rFonts w:ascii="Arial" w:hAnsi="Arial" w:cs="Arial"/>
                <w:sz w:val="24"/>
              </w:rPr>
            </w:pPr>
            <w:r w:rsidRPr="00554FF7">
              <w:rPr>
                <w:rFonts w:ascii="Arial" w:hAnsi="Arial" w:cs="Arial"/>
                <w:sz w:val="24"/>
              </w:rPr>
              <w:t>2015-16</w:t>
            </w:r>
          </w:p>
        </w:tc>
        <w:tc>
          <w:tcPr>
            <w:tcW w:w="1000" w:type="pct"/>
          </w:tcPr>
          <w:p w14:paraId="561A0F37" w14:textId="77777777" w:rsidR="00554FF7" w:rsidRPr="00554FF7" w:rsidRDefault="0078442F" w:rsidP="002B1D7F">
            <w:pPr>
              <w:rPr>
                <w:rFonts w:ascii="Arial" w:hAnsi="Arial" w:cs="Arial"/>
                <w:sz w:val="24"/>
              </w:rPr>
            </w:pPr>
            <w:r>
              <w:rPr>
                <w:rFonts w:ascii="Arial" w:hAnsi="Arial" w:cs="Arial"/>
                <w:sz w:val="24"/>
              </w:rPr>
              <w:t>14%</w:t>
            </w:r>
          </w:p>
        </w:tc>
        <w:tc>
          <w:tcPr>
            <w:tcW w:w="1000" w:type="pct"/>
          </w:tcPr>
          <w:p w14:paraId="40C69981" w14:textId="77777777" w:rsidR="00554FF7" w:rsidRPr="00554FF7" w:rsidRDefault="0078442F" w:rsidP="002B1D7F">
            <w:pPr>
              <w:rPr>
                <w:rFonts w:ascii="Arial" w:hAnsi="Arial" w:cs="Arial"/>
                <w:sz w:val="24"/>
              </w:rPr>
            </w:pPr>
            <w:r>
              <w:rPr>
                <w:rFonts w:ascii="Arial" w:hAnsi="Arial" w:cs="Arial"/>
                <w:sz w:val="24"/>
              </w:rPr>
              <w:t>17%</w:t>
            </w:r>
          </w:p>
        </w:tc>
        <w:tc>
          <w:tcPr>
            <w:tcW w:w="1000" w:type="pct"/>
          </w:tcPr>
          <w:p w14:paraId="1DFBD29E" w14:textId="77777777" w:rsidR="00554FF7" w:rsidRPr="00554FF7" w:rsidRDefault="0078442F" w:rsidP="002B1D7F">
            <w:pPr>
              <w:rPr>
                <w:rFonts w:ascii="Arial" w:hAnsi="Arial" w:cs="Arial"/>
                <w:sz w:val="24"/>
              </w:rPr>
            </w:pPr>
            <w:r>
              <w:rPr>
                <w:rFonts w:ascii="Arial" w:hAnsi="Arial" w:cs="Arial"/>
                <w:sz w:val="24"/>
              </w:rPr>
              <w:t>20%</w:t>
            </w:r>
          </w:p>
        </w:tc>
        <w:tc>
          <w:tcPr>
            <w:tcW w:w="1000" w:type="pct"/>
          </w:tcPr>
          <w:p w14:paraId="60CBA853" w14:textId="77777777" w:rsidR="00554FF7" w:rsidRPr="00554FF7" w:rsidRDefault="0078442F" w:rsidP="002B1D7F">
            <w:pPr>
              <w:rPr>
                <w:rFonts w:ascii="Arial" w:hAnsi="Arial" w:cs="Arial"/>
                <w:sz w:val="24"/>
              </w:rPr>
            </w:pPr>
            <w:r>
              <w:rPr>
                <w:rFonts w:ascii="Arial" w:hAnsi="Arial" w:cs="Arial"/>
                <w:sz w:val="24"/>
              </w:rPr>
              <w:t>50%</w:t>
            </w:r>
          </w:p>
        </w:tc>
      </w:tr>
      <w:tr w:rsidR="00554FF7" w:rsidRPr="00554FF7" w14:paraId="5E7166FC" w14:textId="77777777" w:rsidTr="00554FF7">
        <w:tc>
          <w:tcPr>
            <w:tcW w:w="1000" w:type="pct"/>
          </w:tcPr>
          <w:p w14:paraId="6AAB0677" w14:textId="77777777" w:rsidR="00554FF7" w:rsidRPr="00554FF7" w:rsidRDefault="00554FF7" w:rsidP="002B1D7F">
            <w:pPr>
              <w:rPr>
                <w:rFonts w:ascii="Arial" w:hAnsi="Arial" w:cs="Arial"/>
                <w:sz w:val="24"/>
              </w:rPr>
            </w:pPr>
            <w:r w:rsidRPr="00554FF7">
              <w:rPr>
                <w:rFonts w:ascii="Arial" w:hAnsi="Arial" w:cs="Arial"/>
                <w:sz w:val="24"/>
              </w:rPr>
              <w:t>2016-17</w:t>
            </w:r>
          </w:p>
        </w:tc>
        <w:tc>
          <w:tcPr>
            <w:tcW w:w="1000" w:type="pct"/>
          </w:tcPr>
          <w:p w14:paraId="3E23EB15" w14:textId="77777777" w:rsidR="00554FF7" w:rsidRPr="00554FF7" w:rsidRDefault="0078442F" w:rsidP="002B1D7F">
            <w:pPr>
              <w:rPr>
                <w:rFonts w:ascii="Arial" w:hAnsi="Arial" w:cs="Arial"/>
                <w:sz w:val="24"/>
              </w:rPr>
            </w:pPr>
            <w:r>
              <w:rPr>
                <w:rFonts w:ascii="Arial" w:hAnsi="Arial" w:cs="Arial"/>
                <w:sz w:val="24"/>
              </w:rPr>
              <w:t>15%</w:t>
            </w:r>
          </w:p>
        </w:tc>
        <w:tc>
          <w:tcPr>
            <w:tcW w:w="1000" w:type="pct"/>
          </w:tcPr>
          <w:p w14:paraId="02FE62E5" w14:textId="77777777" w:rsidR="00554FF7" w:rsidRPr="00554FF7" w:rsidRDefault="0078442F" w:rsidP="002B1D7F">
            <w:pPr>
              <w:rPr>
                <w:rFonts w:ascii="Arial" w:hAnsi="Arial" w:cs="Arial"/>
                <w:sz w:val="24"/>
              </w:rPr>
            </w:pPr>
            <w:r>
              <w:rPr>
                <w:rFonts w:ascii="Arial" w:hAnsi="Arial" w:cs="Arial"/>
                <w:sz w:val="24"/>
              </w:rPr>
              <w:t>16%</w:t>
            </w:r>
          </w:p>
        </w:tc>
        <w:tc>
          <w:tcPr>
            <w:tcW w:w="1000" w:type="pct"/>
          </w:tcPr>
          <w:p w14:paraId="74248BA2" w14:textId="77777777" w:rsidR="00554FF7" w:rsidRPr="00554FF7" w:rsidRDefault="0078442F" w:rsidP="002B1D7F">
            <w:pPr>
              <w:rPr>
                <w:rFonts w:ascii="Arial" w:hAnsi="Arial" w:cs="Arial"/>
                <w:sz w:val="24"/>
              </w:rPr>
            </w:pPr>
            <w:r>
              <w:rPr>
                <w:rFonts w:ascii="Arial" w:hAnsi="Arial" w:cs="Arial"/>
                <w:sz w:val="24"/>
              </w:rPr>
              <w:t>21%</w:t>
            </w:r>
          </w:p>
        </w:tc>
        <w:tc>
          <w:tcPr>
            <w:tcW w:w="1000" w:type="pct"/>
          </w:tcPr>
          <w:p w14:paraId="390DB8A5" w14:textId="77777777" w:rsidR="00554FF7" w:rsidRPr="00554FF7" w:rsidRDefault="0078442F" w:rsidP="002B1D7F">
            <w:pPr>
              <w:rPr>
                <w:rFonts w:ascii="Arial" w:hAnsi="Arial" w:cs="Arial"/>
                <w:sz w:val="24"/>
              </w:rPr>
            </w:pPr>
            <w:r>
              <w:rPr>
                <w:rFonts w:ascii="Arial" w:hAnsi="Arial" w:cs="Arial"/>
                <w:sz w:val="24"/>
              </w:rPr>
              <w:t>49%</w:t>
            </w:r>
          </w:p>
        </w:tc>
      </w:tr>
      <w:tr w:rsidR="00554FF7" w:rsidRPr="00554FF7" w14:paraId="263104E5" w14:textId="77777777" w:rsidTr="00554FF7">
        <w:tc>
          <w:tcPr>
            <w:tcW w:w="1000" w:type="pct"/>
          </w:tcPr>
          <w:p w14:paraId="3F88B19B" w14:textId="77777777" w:rsidR="00554FF7" w:rsidRPr="00554FF7" w:rsidRDefault="00554FF7" w:rsidP="002B1D7F">
            <w:pPr>
              <w:rPr>
                <w:rFonts w:ascii="Arial" w:hAnsi="Arial" w:cs="Arial"/>
                <w:sz w:val="24"/>
              </w:rPr>
            </w:pPr>
            <w:r w:rsidRPr="00554FF7">
              <w:rPr>
                <w:rFonts w:ascii="Arial" w:hAnsi="Arial" w:cs="Arial"/>
                <w:sz w:val="24"/>
              </w:rPr>
              <w:t>2017-18</w:t>
            </w:r>
          </w:p>
        </w:tc>
        <w:tc>
          <w:tcPr>
            <w:tcW w:w="1000" w:type="pct"/>
          </w:tcPr>
          <w:p w14:paraId="7A125BE6" w14:textId="77777777" w:rsidR="00554FF7" w:rsidRPr="00554FF7" w:rsidRDefault="0078442F" w:rsidP="002B1D7F">
            <w:pPr>
              <w:rPr>
                <w:rFonts w:ascii="Arial" w:hAnsi="Arial" w:cs="Arial"/>
                <w:sz w:val="24"/>
              </w:rPr>
            </w:pPr>
            <w:r>
              <w:rPr>
                <w:rFonts w:ascii="Arial" w:hAnsi="Arial" w:cs="Arial"/>
                <w:sz w:val="24"/>
              </w:rPr>
              <w:t>13%</w:t>
            </w:r>
          </w:p>
        </w:tc>
        <w:tc>
          <w:tcPr>
            <w:tcW w:w="1000" w:type="pct"/>
          </w:tcPr>
          <w:p w14:paraId="2D5C8988" w14:textId="77777777" w:rsidR="00554FF7" w:rsidRPr="00554FF7" w:rsidRDefault="0078442F" w:rsidP="002B1D7F">
            <w:pPr>
              <w:rPr>
                <w:rFonts w:ascii="Arial" w:hAnsi="Arial" w:cs="Arial"/>
                <w:sz w:val="24"/>
              </w:rPr>
            </w:pPr>
            <w:r>
              <w:rPr>
                <w:rFonts w:ascii="Arial" w:hAnsi="Arial" w:cs="Arial"/>
                <w:sz w:val="24"/>
              </w:rPr>
              <w:t>18%</w:t>
            </w:r>
          </w:p>
        </w:tc>
        <w:tc>
          <w:tcPr>
            <w:tcW w:w="1000" w:type="pct"/>
          </w:tcPr>
          <w:p w14:paraId="5214ED5D" w14:textId="77777777" w:rsidR="00554FF7" w:rsidRPr="00554FF7" w:rsidRDefault="0078442F" w:rsidP="002B1D7F">
            <w:pPr>
              <w:rPr>
                <w:rFonts w:ascii="Arial" w:hAnsi="Arial" w:cs="Arial"/>
                <w:sz w:val="24"/>
              </w:rPr>
            </w:pPr>
            <w:r>
              <w:rPr>
                <w:rFonts w:ascii="Arial" w:hAnsi="Arial" w:cs="Arial"/>
                <w:sz w:val="24"/>
              </w:rPr>
              <w:t>19%</w:t>
            </w:r>
          </w:p>
        </w:tc>
        <w:tc>
          <w:tcPr>
            <w:tcW w:w="1000" w:type="pct"/>
          </w:tcPr>
          <w:p w14:paraId="07E2E327" w14:textId="77777777" w:rsidR="00554FF7" w:rsidRPr="00554FF7" w:rsidRDefault="0078442F" w:rsidP="002B1D7F">
            <w:pPr>
              <w:rPr>
                <w:rFonts w:ascii="Arial" w:hAnsi="Arial" w:cs="Arial"/>
                <w:sz w:val="24"/>
              </w:rPr>
            </w:pPr>
            <w:r>
              <w:rPr>
                <w:rFonts w:ascii="Arial" w:hAnsi="Arial" w:cs="Arial"/>
                <w:sz w:val="24"/>
              </w:rPr>
              <w:t>50%</w:t>
            </w:r>
          </w:p>
        </w:tc>
      </w:tr>
    </w:tbl>
    <w:p w14:paraId="419581BC" w14:textId="77777777" w:rsidR="00962223" w:rsidRPr="00962223" w:rsidRDefault="00962223" w:rsidP="00962223">
      <w:pPr>
        <w:rPr>
          <w:rFonts w:ascii="Arial" w:hAnsi="Arial" w:cs="Arial"/>
          <w:i/>
          <w:sz w:val="24"/>
        </w:rPr>
      </w:pPr>
      <w:r w:rsidRPr="00962223">
        <w:rPr>
          <w:rFonts w:ascii="Arial" w:hAnsi="Arial" w:cs="Arial"/>
          <w:i/>
          <w:sz w:val="24"/>
        </w:rPr>
        <w:t>NOTE: Numbers may add up to over 100 per cent, due to rounding.</w:t>
      </w:r>
    </w:p>
    <w:p w14:paraId="1F9EDA26" w14:textId="77777777" w:rsidR="002B1D7F" w:rsidRPr="00962223" w:rsidRDefault="00962223" w:rsidP="00962223">
      <w:pPr>
        <w:rPr>
          <w:rFonts w:ascii="Arial" w:hAnsi="Arial" w:cs="Arial"/>
          <w:i/>
          <w:sz w:val="24"/>
          <w:highlight w:val="yellow"/>
        </w:rPr>
      </w:pPr>
      <w:r w:rsidRPr="00962223">
        <w:rPr>
          <w:rFonts w:ascii="Arial" w:hAnsi="Arial" w:cs="Arial"/>
          <w:i/>
          <w:sz w:val="24"/>
        </w:rPr>
        <w:t>Source: Historical crime data, Family incidents, 2018, (Crime Statistics Agency, Victoria, 2018a)</w:t>
      </w:r>
    </w:p>
    <w:p w14:paraId="2C2396E8" w14:textId="77777777" w:rsidR="00962223" w:rsidRPr="00962223" w:rsidRDefault="00962223" w:rsidP="00962223">
      <w:pPr>
        <w:pBdr>
          <w:top w:val="single" w:sz="4" w:space="1" w:color="auto"/>
          <w:left w:val="single" w:sz="4" w:space="4" w:color="auto"/>
          <w:bottom w:val="single" w:sz="4" w:space="1" w:color="auto"/>
          <w:right w:val="single" w:sz="4" w:space="4" w:color="auto"/>
        </w:pBdr>
        <w:rPr>
          <w:rFonts w:ascii="Arial" w:hAnsi="Arial" w:cs="Arial"/>
          <w:sz w:val="24"/>
        </w:rPr>
      </w:pPr>
      <w:r w:rsidRPr="0078442F">
        <w:rPr>
          <w:rFonts w:ascii="Arial" w:hAnsi="Arial" w:cs="Arial"/>
          <w:b/>
          <w:sz w:val="24"/>
        </w:rPr>
        <w:t>The Family Violence Multi-Agency Risk Assessment and Management Framework</w:t>
      </w:r>
      <w:r w:rsidRPr="00962223">
        <w:rPr>
          <w:rFonts w:ascii="Arial" w:hAnsi="Arial" w:cs="Arial"/>
          <w:sz w:val="24"/>
        </w:rPr>
        <w:t xml:space="preserve"> (the Framework) prescribes the approach to family violence risk assessment and risk management in Victoria. The Framework includes an emphasis on risk assessment of children and young people including adolescents who are experiencing or using violence. It recognises that:</w:t>
      </w:r>
    </w:p>
    <w:p w14:paraId="6C611779" w14:textId="77777777" w:rsidR="00962223" w:rsidRPr="00962223" w:rsidRDefault="00962223" w:rsidP="00962223">
      <w:pPr>
        <w:pBdr>
          <w:top w:val="single" w:sz="4" w:space="1" w:color="auto"/>
          <w:left w:val="single" w:sz="4" w:space="4" w:color="auto"/>
          <w:bottom w:val="single" w:sz="4" w:space="1" w:color="auto"/>
          <w:right w:val="single" w:sz="4" w:space="4" w:color="auto"/>
        </w:pBdr>
        <w:rPr>
          <w:rFonts w:ascii="Arial" w:hAnsi="Arial" w:cs="Arial"/>
          <w:sz w:val="24"/>
        </w:rPr>
      </w:pPr>
      <w:r w:rsidRPr="00962223">
        <w:rPr>
          <w:rFonts w:ascii="Arial" w:hAnsi="Arial" w:cs="Arial"/>
          <w:sz w:val="24"/>
        </w:rPr>
        <w:t>•</w:t>
      </w:r>
      <w:r>
        <w:rPr>
          <w:rFonts w:ascii="Arial" w:hAnsi="Arial" w:cs="Arial"/>
          <w:sz w:val="24"/>
        </w:rPr>
        <w:t xml:space="preserve"> </w:t>
      </w:r>
      <w:r w:rsidRPr="00962223">
        <w:rPr>
          <w:rFonts w:ascii="Arial" w:hAnsi="Arial" w:cs="Arial"/>
          <w:sz w:val="24"/>
        </w:rPr>
        <w:t>family violence may have serious impacts on the current and future physical, spiritual, psychological, developmental and emotional safety and wellbeing of children, who are directly or indirectly exposed to its effects, and should be recognised as victim survivors in their own right</w:t>
      </w:r>
    </w:p>
    <w:p w14:paraId="63CE6AF3" w14:textId="77777777" w:rsidR="00962223" w:rsidRPr="00962223" w:rsidRDefault="00962223" w:rsidP="00962223">
      <w:pPr>
        <w:pBdr>
          <w:top w:val="single" w:sz="4" w:space="1" w:color="auto"/>
          <w:left w:val="single" w:sz="4" w:space="4" w:color="auto"/>
          <w:bottom w:val="single" w:sz="4" w:space="1" w:color="auto"/>
          <w:right w:val="single" w:sz="4" w:space="4" w:color="auto"/>
        </w:pBdr>
        <w:rPr>
          <w:rFonts w:ascii="Arial" w:hAnsi="Arial" w:cs="Arial"/>
          <w:sz w:val="24"/>
        </w:rPr>
      </w:pPr>
      <w:r w:rsidRPr="00962223">
        <w:rPr>
          <w:rFonts w:ascii="Arial" w:hAnsi="Arial" w:cs="Arial"/>
          <w:sz w:val="24"/>
        </w:rPr>
        <w:lastRenderedPageBreak/>
        <w:t>•</w:t>
      </w:r>
      <w:r>
        <w:rPr>
          <w:rFonts w:ascii="Arial" w:hAnsi="Arial" w:cs="Arial"/>
          <w:sz w:val="24"/>
        </w:rPr>
        <w:t xml:space="preserve"> </w:t>
      </w:r>
      <w:r w:rsidRPr="00962223">
        <w:rPr>
          <w:rFonts w:ascii="Arial" w:hAnsi="Arial" w:cs="Arial"/>
          <w:sz w:val="24"/>
        </w:rPr>
        <w:t>family violence used by adolescents is a distinct form of family violence and requires a different response to family violence used by adults, because of their age and the possibility that they are also victim survivors of family violence.</w:t>
      </w:r>
    </w:p>
    <w:p w14:paraId="00E9DEFF" w14:textId="77777777" w:rsidR="00962223" w:rsidRPr="00962223" w:rsidRDefault="00962223" w:rsidP="00962223">
      <w:pPr>
        <w:pBdr>
          <w:top w:val="single" w:sz="4" w:space="1" w:color="auto"/>
          <w:left w:val="single" w:sz="4" w:space="4" w:color="auto"/>
          <w:bottom w:val="single" w:sz="4" w:space="1" w:color="auto"/>
          <w:right w:val="single" w:sz="4" w:space="4" w:color="auto"/>
        </w:pBdr>
        <w:rPr>
          <w:rFonts w:ascii="Arial" w:hAnsi="Arial" w:cs="Arial"/>
          <w:sz w:val="24"/>
        </w:rPr>
      </w:pPr>
      <w:r w:rsidRPr="00962223">
        <w:rPr>
          <w:rFonts w:ascii="Arial" w:hAnsi="Arial" w:cs="Arial"/>
          <w:sz w:val="24"/>
        </w:rPr>
        <w:t>To address this, the Framework includes new risk factors and assessment tools for recognising experience of family violence, including alongside use of violence by adolescents.</w:t>
      </w:r>
    </w:p>
    <w:p w14:paraId="271C93A3" w14:textId="77777777" w:rsidR="00962223" w:rsidRPr="00962223" w:rsidRDefault="00962223" w:rsidP="00962223">
      <w:pPr>
        <w:pBdr>
          <w:top w:val="single" w:sz="4" w:space="1" w:color="auto"/>
          <w:left w:val="single" w:sz="4" w:space="4" w:color="auto"/>
          <w:bottom w:val="single" w:sz="4" w:space="1" w:color="auto"/>
          <w:right w:val="single" w:sz="4" w:space="4" w:color="auto"/>
        </w:pBdr>
        <w:rPr>
          <w:rFonts w:ascii="Arial" w:hAnsi="Arial" w:cs="Arial"/>
          <w:sz w:val="24"/>
        </w:rPr>
      </w:pPr>
      <w:r w:rsidRPr="00962223">
        <w:rPr>
          <w:rFonts w:ascii="Arial" w:hAnsi="Arial" w:cs="Arial"/>
          <w:sz w:val="24"/>
        </w:rPr>
        <w:t>Under the Framework, children and young people should be heard throughout each part of the process, from screening, assessment, safety planning, needs assessment and risk management. Their voice can be heard by either engaging with the adult parent/carer victim survivor about a child’s experience of risk or asking direct questions to a child or young person if it is safe, appropriate and reasonable to do so.</w:t>
      </w:r>
    </w:p>
    <w:p w14:paraId="0E589422" w14:textId="77777777" w:rsidR="00962223" w:rsidRPr="00962223" w:rsidRDefault="00962223" w:rsidP="00962223">
      <w:pPr>
        <w:pBdr>
          <w:top w:val="single" w:sz="4" w:space="1" w:color="auto"/>
          <w:left w:val="single" w:sz="4" w:space="4" w:color="auto"/>
          <w:bottom w:val="single" w:sz="4" w:space="1" w:color="auto"/>
          <w:right w:val="single" w:sz="4" w:space="4" w:color="auto"/>
        </w:pBdr>
        <w:rPr>
          <w:rFonts w:ascii="Arial" w:hAnsi="Arial" w:cs="Arial"/>
          <w:sz w:val="24"/>
        </w:rPr>
      </w:pPr>
      <w:r w:rsidRPr="00962223">
        <w:rPr>
          <w:rFonts w:ascii="Arial" w:hAnsi="Arial" w:cs="Arial"/>
          <w:sz w:val="24"/>
        </w:rPr>
        <w:t>Using a trauma and developmental lens, the practice approach to family violence risk assessment and management of children and young people should:</w:t>
      </w:r>
    </w:p>
    <w:p w14:paraId="77379901" w14:textId="77777777" w:rsidR="00962223" w:rsidRPr="00962223" w:rsidRDefault="00962223" w:rsidP="00962223">
      <w:pPr>
        <w:pBdr>
          <w:top w:val="single" w:sz="4" w:space="1" w:color="auto"/>
          <w:left w:val="single" w:sz="4" w:space="4" w:color="auto"/>
          <w:bottom w:val="single" w:sz="4" w:space="1" w:color="auto"/>
          <w:right w:val="single" w:sz="4" w:space="4" w:color="auto"/>
        </w:pBdr>
        <w:rPr>
          <w:rFonts w:ascii="Arial" w:hAnsi="Arial" w:cs="Arial"/>
          <w:sz w:val="24"/>
        </w:rPr>
      </w:pPr>
      <w:r>
        <w:rPr>
          <w:rFonts w:ascii="Arial" w:hAnsi="Arial" w:cs="Arial"/>
          <w:sz w:val="24"/>
        </w:rPr>
        <w:t xml:space="preserve">• </w:t>
      </w:r>
      <w:r w:rsidRPr="00962223">
        <w:rPr>
          <w:rFonts w:ascii="Arial" w:hAnsi="Arial" w:cs="Arial"/>
          <w:sz w:val="24"/>
        </w:rPr>
        <w:t>create an opportunity for a child or young person’s personal agency and voice to be heard</w:t>
      </w:r>
    </w:p>
    <w:p w14:paraId="2AF5A9D9" w14:textId="77777777" w:rsidR="00962223" w:rsidRPr="00962223" w:rsidRDefault="00962223" w:rsidP="00962223">
      <w:pPr>
        <w:pBdr>
          <w:top w:val="single" w:sz="4" w:space="1" w:color="auto"/>
          <w:left w:val="single" w:sz="4" w:space="4" w:color="auto"/>
          <w:bottom w:val="single" w:sz="4" w:space="1" w:color="auto"/>
          <w:right w:val="single" w:sz="4" w:space="4" w:color="auto"/>
        </w:pBdr>
        <w:rPr>
          <w:rFonts w:ascii="Arial" w:hAnsi="Arial" w:cs="Arial"/>
          <w:sz w:val="24"/>
        </w:rPr>
      </w:pPr>
      <w:r w:rsidRPr="00962223">
        <w:rPr>
          <w:rFonts w:ascii="Arial" w:hAnsi="Arial" w:cs="Arial"/>
          <w:sz w:val="24"/>
        </w:rPr>
        <w:t>•</w:t>
      </w:r>
      <w:r>
        <w:rPr>
          <w:rFonts w:ascii="Arial" w:hAnsi="Arial" w:cs="Arial"/>
          <w:sz w:val="24"/>
        </w:rPr>
        <w:t xml:space="preserve"> </w:t>
      </w:r>
      <w:r w:rsidRPr="00962223">
        <w:rPr>
          <w:rFonts w:ascii="Arial" w:hAnsi="Arial" w:cs="Arial"/>
          <w:sz w:val="24"/>
        </w:rPr>
        <w:t>individually assess their experience of risk</w:t>
      </w:r>
    </w:p>
    <w:p w14:paraId="2D81AA0C" w14:textId="77777777" w:rsidR="00962223" w:rsidRPr="00962223" w:rsidRDefault="00962223" w:rsidP="00962223">
      <w:pPr>
        <w:pBdr>
          <w:top w:val="single" w:sz="4" w:space="1" w:color="auto"/>
          <w:left w:val="single" w:sz="4" w:space="4" w:color="auto"/>
          <w:bottom w:val="single" w:sz="4" w:space="1" w:color="auto"/>
          <w:right w:val="single" w:sz="4" w:space="4" w:color="auto"/>
        </w:pBdr>
        <w:rPr>
          <w:rFonts w:ascii="Arial" w:hAnsi="Arial" w:cs="Arial"/>
          <w:sz w:val="24"/>
        </w:rPr>
      </w:pPr>
      <w:r w:rsidRPr="00962223">
        <w:rPr>
          <w:rFonts w:ascii="Arial" w:hAnsi="Arial" w:cs="Arial"/>
          <w:sz w:val="24"/>
        </w:rPr>
        <w:t>•</w:t>
      </w:r>
      <w:r>
        <w:rPr>
          <w:rFonts w:ascii="Arial" w:hAnsi="Arial" w:cs="Arial"/>
          <w:sz w:val="24"/>
        </w:rPr>
        <w:t xml:space="preserve"> </w:t>
      </w:r>
      <w:r w:rsidRPr="00962223">
        <w:rPr>
          <w:rFonts w:ascii="Arial" w:hAnsi="Arial" w:cs="Arial"/>
          <w:sz w:val="24"/>
        </w:rPr>
        <w:t>wherever possible, collaborate with a mother/carer to support strengthening/ repairing the relationship and bond between the child and mother/carer</w:t>
      </w:r>
    </w:p>
    <w:p w14:paraId="62655B62" w14:textId="77777777" w:rsidR="00594B3D" w:rsidRDefault="00962223" w:rsidP="00962223">
      <w:pPr>
        <w:pBdr>
          <w:top w:val="single" w:sz="4" w:space="1" w:color="auto"/>
          <w:left w:val="single" w:sz="4" w:space="4" w:color="auto"/>
          <w:bottom w:val="single" w:sz="4" w:space="1" w:color="auto"/>
          <w:right w:val="single" w:sz="4" w:space="4" w:color="auto"/>
        </w:pBdr>
        <w:rPr>
          <w:rFonts w:ascii="Arial" w:hAnsi="Arial" w:cs="Arial"/>
          <w:sz w:val="24"/>
        </w:rPr>
      </w:pPr>
      <w:r w:rsidRPr="00962223">
        <w:rPr>
          <w:rFonts w:ascii="Arial" w:hAnsi="Arial" w:cs="Arial"/>
          <w:sz w:val="24"/>
        </w:rPr>
        <w:t>•</w:t>
      </w:r>
      <w:r>
        <w:rPr>
          <w:rFonts w:ascii="Arial" w:hAnsi="Arial" w:cs="Arial"/>
          <w:sz w:val="24"/>
        </w:rPr>
        <w:t xml:space="preserve"> </w:t>
      </w:r>
      <w:r w:rsidRPr="00962223">
        <w:rPr>
          <w:rFonts w:ascii="Arial" w:hAnsi="Arial" w:cs="Arial"/>
          <w:sz w:val="24"/>
        </w:rPr>
        <w:t>reinforce that risk and its impacts are the responsibility of the perpetrator.</w:t>
      </w:r>
    </w:p>
    <w:p w14:paraId="656FB450" w14:textId="77777777" w:rsidR="00962223" w:rsidRDefault="00962223" w:rsidP="00962223">
      <w:pPr>
        <w:rPr>
          <w:rFonts w:ascii="Arial" w:hAnsi="Arial" w:cs="Arial"/>
          <w:sz w:val="24"/>
        </w:rPr>
      </w:pPr>
    </w:p>
    <w:p w14:paraId="0965489E" w14:textId="77777777" w:rsidR="00CC6F7D" w:rsidRPr="00CC6F7D" w:rsidRDefault="00CC6F7D" w:rsidP="00CC6F7D">
      <w:pPr>
        <w:pBdr>
          <w:top w:val="single" w:sz="4" w:space="1" w:color="auto"/>
          <w:left w:val="single" w:sz="4" w:space="4" w:color="auto"/>
          <w:bottom w:val="single" w:sz="4" w:space="1" w:color="auto"/>
          <w:right w:val="single" w:sz="4" w:space="4" w:color="auto"/>
        </w:pBdr>
        <w:rPr>
          <w:rFonts w:ascii="Arial" w:hAnsi="Arial" w:cs="Arial"/>
          <w:sz w:val="24"/>
        </w:rPr>
      </w:pPr>
      <w:r w:rsidRPr="0078442F">
        <w:rPr>
          <w:rFonts w:ascii="Arial" w:hAnsi="Arial" w:cs="Arial"/>
          <w:b/>
          <w:sz w:val="24"/>
        </w:rPr>
        <w:t>Ending Family Violence: Victoria’s Plan for</w:t>
      </w:r>
      <w:r w:rsidRPr="00CC6F7D">
        <w:rPr>
          <w:rFonts w:ascii="Arial" w:hAnsi="Arial" w:cs="Arial"/>
          <w:sz w:val="24"/>
        </w:rPr>
        <w:t xml:space="preserve"> </w:t>
      </w:r>
      <w:r w:rsidRPr="0078442F">
        <w:rPr>
          <w:rFonts w:ascii="Arial" w:hAnsi="Arial" w:cs="Arial"/>
          <w:b/>
          <w:sz w:val="24"/>
        </w:rPr>
        <w:t>Change</w:t>
      </w:r>
      <w:r w:rsidRPr="00CC6F7D">
        <w:rPr>
          <w:rFonts w:ascii="Arial" w:hAnsi="Arial" w:cs="Arial"/>
          <w:sz w:val="24"/>
        </w:rPr>
        <w:t xml:space="preserve"> details how the Victorian Government will address the 227 recommendations made by Australia’s first Royal Commission into Family Violence and how they will build a new system that protects families and punishes perpetrators.</w:t>
      </w:r>
    </w:p>
    <w:p w14:paraId="0D9F89ED" w14:textId="77777777" w:rsidR="00CC6F7D" w:rsidRPr="00CC6F7D" w:rsidRDefault="00CC6F7D" w:rsidP="00CC6F7D">
      <w:pPr>
        <w:pBdr>
          <w:top w:val="single" w:sz="4" w:space="1" w:color="auto"/>
          <w:left w:val="single" w:sz="4" w:space="4" w:color="auto"/>
          <w:bottom w:val="single" w:sz="4" w:space="1" w:color="auto"/>
          <w:right w:val="single" w:sz="4" w:space="4" w:color="auto"/>
        </w:pBdr>
        <w:rPr>
          <w:rFonts w:ascii="Arial" w:hAnsi="Arial" w:cs="Arial"/>
          <w:sz w:val="24"/>
        </w:rPr>
      </w:pPr>
      <w:r w:rsidRPr="00CC6F7D">
        <w:rPr>
          <w:rFonts w:ascii="Arial" w:hAnsi="Arial" w:cs="Arial"/>
          <w:sz w:val="24"/>
        </w:rPr>
        <w:t>The 10-year plan set out by the government intends to:</w:t>
      </w:r>
    </w:p>
    <w:p w14:paraId="3C7B093D" w14:textId="77777777" w:rsidR="00CC6F7D" w:rsidRPr="00CC6F7D" w:rsidRDefault="00CC6F7D" w:rsidP="00CC6F7D">
      <w:pPr>
        <w:pBdr>
          <w:top w:val="single" w:sz="4" w:space="1" w:color="auto"/>
          <w:left w:val="single" w:sz="4" w:space="4" w:color="auto"/>
          <w:bottom w:val="single" w:sz="4" w:space="1" w:color="auto"/>
          <w:right w:val="single" w:sz="4" w:space="4" w:color="auto"/>
        </w:pBdr>
        <w:rPr>
          <w:rFonts w:ascii="Arial" w:hAnsi="Arial" w:cs="Arial"/>
          <w:sz w:val="24"/>
        </w:rPr>
      </w:pPr>
      <w:r w:rsidRPr="00CC6F7D">
        <w:rPr>
          <w:rFonts w:ascii="Arial" w:hAnsi="Arial" w:cs="Arial"/>
          <w:sz w:val="24"/>
        </w:rPr>
        <w:t>•</w:t>
      </w:r>
      <w:r>
        <w:rPr>
          <w:rFonts w:ascii="Arial" w:hAnsi="Arial" w:cs="Arial"/>
          <w:sz w:val="24"/>
        </w:rPr>
        <w:t xml:space="preserve"> </w:t>
      </w:r>
      <w:r w:rsidRPr="00CC6F7D">
        <w:rPr>
          <w:rFonts w:ascii="Arial" w:hAnsi="Arial" w:cs="Arial"/>
          <w:sz w:val="24"/>
        </w:rPr>
        <w:t>establish a network of Support and Safety Hubs across Victoria, where victims can access supports to improve their safety</w:t>
      </w:r>
    </w:p>
    <w:p w14:paraId="571E2F38" w14:textId="77777777" w:rsidR="00CC6F7D" w:rsidRPr="00CC6F7D" w:rsidRDefault="00CC6F7D" w:rsidP="00CC6F7D">
      <w:pPr>
        <w:pBdr>
          <w:top w:val="single" w:sz="4" w:space="1" w:color="auto"/>
          <w:left w:val="single" w:sz="4" w:space="4" w:color="auto"/>
          <w:bottom w:val="single" w:sz="4" w:space="1" w:color="auto"/>
          <w:right w:val="single" w:sz="4" w:space="4" w:color="auto"/>
        </w:pBdr>
        <w:rPr>
          <w:rFonts w:ascii="Arial" w:hAnsi="Arial" w:cs="Arial"/>
          <w:sz w:val="24"/>
        </w:rPr>
      </w:pPr>
      <w:r w:rsidRPr="00CC6F7D">
        <w:rPr>
          <w:rFonts w:ascii="Arial" w:hAnsi="Arial" w:cs="Arial"/>
          <w:sz w:val="24"/>
        </w:rPr>
        <w:t>•</w:t>
      </w:r>
      <w:r>
        <w:rPr>
          <w:rFonts w:ascii="Arial" w:hAnsi="Arial" w:cs="Arial"/>
          <w:sz w:val="24"/>
        </w:rPr>
        <w:t xml:space="preserve"> </w:t>
      </w:r>
      <w:r w:rsidRPr="00CC6F7D">
        <w:rPr>
          <w:rFonts w:ascii="Arial" w:hAnsi="Arial" w:cs="Arial"/>
          <w:sz w:val="24"/>
        </w:rPr>
        <w:t>recruit new specialist family violence workers to assist women and their children to access support services</w:t>
      </w:r>
    </w:p>
    <w:p w14:paraId="3C064AD0" w14:textId="77777777" w:rsidR="00CC6F7D" w:rsidRPr="00CC6F7D" w:rsidRDefault="00CC6F7D" w:rsidP="00CC6F7D">
      <w:pPr>
        <w:pBdr>
          <w:top w:val="single" w:sz="4" w:space="1" w:color="auto"/>
          <w:left w:val="single" w:sz="4" w:space="4" w:color="auto"/>
          <w:bottom w:val="single" w:sz="4" w:space="1" w:color="auto"/>
          <w:right w:val="single" w:sz="4" w:space="4" w:color="auto"/>
        </w:pBdr>
        <w:rPr>
          <w:rFonts w:ascii="Arial" w:hAnsi="Arial" w:cs="Arial"/>
          <w:sz w:val="24"/>
        </w:rPr>
      </w:pPr>
      <w:r w:rsidRPr="00CC6F7D">
        <w:rPr>
          <w:rFonts w:ascii="Arial" w:hAnsi="Arial" w:cs="Arial"/>
          <w:sz w:val="24"/>
        </w:rPr>
        <w:t>•</w:t>
      </w:r>
      <w:r>
        <w:rPr>
          <w:rFonts w:ascii="Arial" w:hAnsi="Arial" w:cs="Arial"/>
          <w:sz w:val="24"/>
        </w:rPr>
        <w:t xml:space="preserve"> </w:t>
      </w:r>
      <w:r w:rsidRPr="00CC6F7D">
        <w:rPr>
          <w:rFonts w:ascii="Arial" w:hAnsi="Arial" w:cs="Arial"/>
          <w:sz w:val="24"/>
        </w:rPr>
        <w:t>increase social housing and private rental assistance available to victims</w:t>
      </w:r>
    </w:p>
    <w:p w14:paraId="5870F4BD" w14:textId="77777777" w:rsidR="00CC6F7D" w:rsidRPr="00CC6F7D" w:rsidRDefault="00CC6F7D" w:rsidP="00CC6F7D">
      <w:pPr>
        <w:pBdr>
          <w:top w:val="single" w:sz="4" w:space="1" w:color="auto"/>
          <w:left w:val="single" w:sz="4" w:space="4" w:color="auto"/>
          <w:bottom w:val="single" w:sz="4" w:space="1" w:color="auto"/>
          <w:right w:val="single" w:sz="4" w:space="4" w:color="auto"/>
        </w:pBdr>
        <w:rPr>
          <w:rFonts w:ascii="Arial" w:hAnsi="Arial" w:cs="Arial"/>
          <w:sz w:val="24"/>
        </w:rPr>
      </w:pPr>
      <w:r w:rsidRPr="00CC6F7D">
        <w:rPr>
          <w:rFonts w:ascii="Arial" w:hAnsi="Arial" w:cs="Arial"/>
          <w:sz w:val="24"/>
        </w:rPr>
        <w:t>•</w:t>
      </w:r>
      <w:r>
        <w:rPr>
          <w:rFonts w:ascii="Arial" w:hAnsi="Arial" w:cs="Arial"/>
          <w:sz w:val="24"/>
        </w:rPr>
        <w:t xml:space="preserve"> </w:t>
      </w:r>
      <w:r w:rsidRPr="00CC6F7D">
        <w:rPr>
          <w:rFonts w:ascii="Arial" w:hAnsi="Arial" w:cs="Arial"/>
          <w:sz w:val="24"/>
        </w:rPr>
        <w:t>strengthen intervention orders, improve the bail process, and allow better information sharing so victims’ rights to safety are prioritised over perpetrators’ rights to privacy</w:t>
      </w:r>
    </w:p>
    <w:p w14:paraId="0069D513" w14:textId="77777777" w:rsidR="00CC6F7D" w:rsidRPr="00CC6F7D" w:rsidRDefault="00CC6F7D" w:rsidP="00CC6F7D">
      <w:pPr>
        <w:pBdr>
          <w:top w:val="single" w:sz="4" w:space="1" w:color="auto"/>
          <w:left w:val="single" w:sz="4" w:space="4" w:color="auto"/>
          <w:bottom w:val="single" w:sz="4" w:space="1" w:color="auto"/>
          <w:right w:val="single" w:sz="4" w:space="4" w:color="auto"/>
        </w:pBdr>
        <w:rPr>
          <w:rFonts w:ascii="Arial" w:hAnsi="Arial" w:cs="Arial"/>
          <w:sz w:val="24"/>
        </w:rPr>
      </w:pPr>
      <w:r w:rsidRPr="00CC6F7D">
        <w:rPr>
          <w:rFonts w:ascii="Arial" w:hAnsi="Arial" w:cs="Arial"/>
          <w:sz w:val="24"/>
        </w:rPr>
        <w:lastRenderedPageBreak/>
        <w:t>•</w:t>
      </w:r>
      <w:r>
        <w:rPr>
          <w:rFonts w:ascii="Arial" w:hAnsi="Arial" w:cs="Arial"/>
          <w:sz w:val="24"/>
        </w:rPr>
        <w:t xml:space="preserve"> </w:t>
      </w:r>
      <w:r w:rsidRPr="00CC6F7D">
        <w:rPr>
          <w:rFonts w:ascii="Arial" w:hAnsi="Arial" w:cs="Arial"/>
          <w:sz w:val="24"/>
        </w:rPr>
        <w:t>provide specialist training to Victorian Police officers and improve court security for victims</w:t>
      </w:r>
    </w:p>
    <w:p w14:paraId="771FE848" w14:textId="77777777" w:rsidR="00CC6F7D" w:rsidRPr="00CC6F7D" w:rsidRDefault="00CC6F7D" w:rsidP="00CC6F7D">
      <w:pPr>
        <w:pBdr>
          <w:top w:val="single" w:sz="4" w:space="1" w:color="auto"/>
          <w:left w:val="single" w:sz="4" w:space="4" w:color="auto"/>
          <w:bottom w:val="single" w:sz="4" w:space="1" w:color="auto"/>
          <w:right w:val="single" w:sz="4" w:space="4" w:color="auto"/>
        </w:pBdr>
        <w:rPr>
          <w:rFonts w:ascii="Arial" w:hAnsi="Arial" w:cs="Arial"/>
          <w:sz w:val="24"/>
        </w:rPr>
      </w:pPr>
      <w:r w:rsidRPr="00CC6F7D">
        <w:rPr>
          <w:rFonts w:ascii="Arial" w:hAnsi="Arial" w:cs="Arial"/>
          <w:sz w:val="24"/>
        </w:rPr>
        <w:t>•</w:t>
      </w:r>
      <w:r>
        <w:rPr>
          <w:rFonts w:ascii="Arial" w:hAnsi="Arial" w:cs="Arial"/>
          <w:sz w:val="24"/>
        </w:rPr>
        <w:t xml:space="preserve"> </w:t>
      </w:r>
      <w:r w:rsidRPr="00CC6F7D">
        <w:rPr>
          <w:rFonts w:ascii="Arial" w:hAnsi="Arial" w:cs="Arial"/>
          <w:sz w:val="24"/>
        </w:rPr>
        <w:t>initiate a Primary Prevention strategy, as well as a statewide behavioural change campaign to prevent family violence.</w:t>
      </w:r>
    </w:p>
    <w:p w14:paraId="1E1EFCB5" w14:textId="77777777" w:rsidR="00CC6F7D" w:rsidRPr="00CC6F7D" w:rsidRDefault="00CC6F7D" w:rsidP="00CC6F7D">
      <w:pPr>
        <w:pBdr>
          <w:top w:val="single" w:sz="4" w:space="1" w:color="auto"/>
          <w:left w:val="single" w:sz="4" w:space="4" w:color="auto"/>
          <w:bottom w:val="single" w:sz="4" w:space="1" w:color="auto"/>
          <w:right w:val="single" w:sz="4" w:space="4" w:color="auto"/>
        </w:pBdr>
        <w:rPr>
          <w:rFonts w:ascii="Arial" w:hAnsi="Arial" w:cs="Arial"/>
          <w:sz w:val="24"/>
        </w:rPr>
      </w:pPr>
      <w:r w:rsidRPr="00CC6F7D">
        <w:rPr>
          <w:rFonts w:ascii="Arial" w:hAnsi="Arial" w:cs="Arial"/>
          <w:sz w:val="24"/>
        </w:rPr>
        <w:t>Further to this, the Aboriginal family violence 10-year plan, Strong Culture, Strong Peoples, Strong Families: Towards A Safer Future for Indigenous Families and Communities, has been operating since 2008 (Aboriginal Affairs Victoria, 2008). This plan sets out the community-led response developed by and for Aboriginal Victorians. Associated prevention efforts have focused on three core elements: education and awareness raising, self-esteem and resilience building, and cultural strengthening.</w:t>
      </w:r>
    </w:p>
    <w:p w14:paraId="25D178DB" w14:textId="77777777" w:rsidR="000A686C" w:rsidRPr="0078442F" w:rsidRDefault="000A686C" w:rsidP="0078442F">
      <w:pPr>
        <w:pStyle w:val="Heading3"/>
        <w:rPr>
          <w:rFonts w:ascii="Arial" w:hAnsi="Arial" w:cs="Arial"/>
          <w:color w:val="auto"/>
          <w:sz w:val="24"/>
        </w:rPr>
      </w:pPr>
      <w:bookmarkStart w:id="63" w:name="_Toc33527788"/>
      <w:r w:rsidRPr="0078442F">
        <w:rPr>
          <w:rFonts w:ascii="Arial" w:hAnsi="Arial" w:cs="Arial"/>
          <w:color w:val="auto"/>
          <w:sz w:val="24"/>
        </w:rPr>
        <w:t>5.6</w:t>
      </w:r>
      <w:r w:rsidRPr="0078442F">
        <w:rPr>
          <w:rFonts w:ascii="Arial" w:hAnsi="Arial" w:cs="Arial"/>
          <w:color w:val="auto"/>
          <w:sz w:val="24"/>
        </w:rPr>
        <w:tab/>
        <w:t>Most adolescents live in safe neighbourhoods</w:t>
      </w:r>
      <w:bookmarkEnd w:id="63"/>
    </w:p>
    <w:p w14:paraId="70163FE0" w14:textId="77777777" w:rsidR="000A686C" w:rsidRPr="000A686C" w:rsidRDefault="000A686C" w:rsidP="000A686C">
      <w:pPr>
        <w:rPr>
          <w:rFonts w:ascii="Arial" w:hAnsi="Arial" w:cs="Arial"/>
          <w:sz w:val="24"/>
        </w:rPr>
      </w:pPr>
      <w:r w:rsidRPr="000A686C">
        <w:rPr>
          <w:rFonts w:ascii="Arial" w:hAnsi="Arial" w:cs="Arial"/>
          <w:sz w:val="24"/>
        </w:rPr>
        <w:t>Risk to a young person’s safety expands from familial to community contexts during adolescence (Firmin &amp; Abbott, 2018). Neighbourhood safety is a substantial factor</w:t>
      </w:r>
      <w:r>
        <w:rPr>
          <w:rFonts w:ascii="Arial" w:hAnsi="Arial" w:cs="Arial"/>
          <w:sz w:val="24"/>
        </w:rPr>
        <w:t xml:space="preserve"> </w:t>
      </w:r>
      <w:r w:rsidRPr="000A686C">
        <w:rPr>
          <w:rFonts w:ascii="Arial" w:hAnsi="Arial" w:cs="Arial"/>
          <w:sz w:val="24"/>
        </w:rPr>
        <w:t>in shaping the likelihood that an adolescent will be a victim or become involved in anti-social or illegal activity.</w:t>
      </w:r>
    </w:p>
    <w:p w14:paraId="209D57CF" w14:textId="77777777" w:rsidR="000A686C" w:rsidRPr="000A686C" w:rsidRDefault="000A686C" w:rsidP="000A686C">
      <w:pPr>
        <w:rPr>
          <w:rFonts w:ascii="Arial" w:hAnsi="Arial" w:cs="Arial"/>
          <w:sz w:val="24"/>
        </w:rPr>
      </w:pPr>
      <w:r w:rsidRPr="000A686C">
        <w:rPr>
          <w:rFonts w:ascii="Arial" w:hAnsi="Arial" w:cs="Arial"/>
          <w:sz w:val="24"/>
        </w:rPr>
        <w:t>Most Victorian adolescents live in safe neighbourhoods. According to VSHAWS, close to nine in 10 (87 per cent of) Victorian students in Years 8 and 11 felt safe in their local neighbourhood. These high levels have persisted since 2014.</w:t>
      </w:r>
    </w:p>
    <w:p w14:paraId="4F3E552C" w14:textId="77777777" w:rsidR="00CC6F7D" w:rsidRDefault="000A686C" w:rsidP="000A686C">
      <w:pPr>
        <w:rPr>
          <w:rFonts w:ascii="Arial" w:hAnsi="Arial" w:cs="Arial"/>
          <w:sz w:val="24"/>
        </w:rPr>
      </w:pPr>
      <w:r w:rsidRPr="000A686C">
        <w:rPr>
          <w:rFonts w:ascii="Arial" w:hAnsi="Arial" w:cs="Arial"/>
          <w:sz w:val="24"/>
        </w:rPr>
        <w:t>Fights were seen in the neighbourhoods of around one in eight students (12 per cent), a rate which has also remained stable since 2014. Observation of fights was more likely in the communities of adolescents living in one-parent families (16 per cent) than those living in two-parent families (11 per cent), and in metropolitan areas</w:t>
      </w:r>
      <w:r>
        <w:rPr>
          <w:rFonts w:ascii="Arial" w:hAnsi="Arial" w:cs="Arial"/>
          <w:sz w:val="24"/>
        </w:rPr>
        <w:t xml:space="preserve"> </w:t>
      </w:r>
      <w:r w:rsidRPr="000A686C">
        <w:rPr>
          <w:rFonts w:ascii="Arial" w:hAnsi="Arial" w:cs="Arial"/>
          <w:sz w:val="24"/>
        </w:rPr>
        <w:t>(14 per cent) than in regional areas (nine per cent).</w:t>
      </w:r>
    </w:p>
    <w:p w14:paraId="255662EF" w14:textId="77777777" w:rsidR="00165EB4" w:rsidRPr="00165EB4" w:rsidRDefault="00165EB4" w:rsidP="00165EB4">
      <w:pPr>
        <w:rPr>
          <w:rFonts w:ascii="Arial" w:hAnsi="Arial" w:cs="Arial"/>
          <w:sz w:val="24"/>
        </w:rPr>
      </w:pPr>
      <w:r w:rsidRPr="00165EB4">
        <w:rPr>
          <w:rFonts w:ascii="Arial" w:hAnsi="Arial" w:cs="Arial"/>
          <w:sz w:val="24"/>
        </w:rPr>
        <w:t>Close to one in five students (18 per cent) in 2018 reported seeing crime or drug selling in their neighbourhood—a moderate reduction from 2014 (21 per cent). Adolescents who were older, boys, and students from one-parent families were more likely to have witnessed these illegal acts.</w:t>
      </w:r>
    </w:p>
    <w:p w14:paraId="7E1E3E84" w14:textId="77777777" w:rsidR="0078442F" w:rsidRDefault="00165EB4" w:rsidP="00165EB4">
      <w:pPr>
        <w:rPr>
          <w:rFonts w:ascii="Arial" w:hAnsi="Arial" w:cs="Arial"/>
          <w:sz w:val="24"/>
        </w:rPr>
      </w:pPr>
      <w:r w:rsidRPr="00165EB4">
        <w:rPr>
          <w:rFonts w:ascii="Arial" w:hAnsi="Arial" w:cs="Arial"/>
          <w:sz w:val="24"/>
        </w:rPr>
        <w:t>These findings correspond with Victorian police data showing that older adolescents are more likely to be victims of crimes against the person than younger adolescents or adults (Crime Statistics Agency, Victoria, 2018b).</w:t>
      </w:r>
    </w:p>
    <w:p w14:paraId="69514A08" w14:textId="77777777" w:rsidR="0078442F" w:rsidRPr="0078442F" w:rsidRDefault="0078442F" w:rsidP="0078442F">
      <w:pPr>
        <w:rPr>
          <w:rFonts w:ascii="Arial" w:hAnsi="Arial" w:cs="Arial"/>
          <w:i/>
          <w:sz w:val="24"/>
        </w:rPr>
      </w:pPr>
      <w:r w:rsidRPr="0078442F">
        <w:rPr>
          <w:rFonts w:ascii="Arial" w:hAnsi="Arial" w:cs="Arial"/>
          <w:i/>
          <w:sz w:val="24"/>
        </w:rPr>
        <w:t>Note that crimes against the person include homicide and related offences, assault and related offences, sexual offences, abduction and related offences, robbery, blackmail and extortion, stalking, harassment and threatening behaviour, and dangerous and negligent acts endangering people.</w:t>
      </w:r>
    </w:p>
    <w:p w14:paraId="6E920D50" w14:textId="77777777" w:rsidR="00165EB4" w:rsidRDefault="00165EB4" w:rsidP="00165EB4">
      <w:pPr>
        <w:rPr>
          <w:rFonts w:ascii="Arial" w:hAnsi="Arial" w:cs="Arial"/>
          <w:sz w:val="24"/>
        </w:rPr>
      </w:pPr>
      <w:r w:rsidRPr="00165EB4">
        <w:rPr>
          <w:rFonts w:ascii="Arial" w:hAnsi="Arial" w:cs="Arial"/>
          <w:sz w:val="24"/>
        </w:rPr>
        <w:t xml:space="preserve">They further correspond with research showing that adolescents are nearly twice as likely to witness violence as children (Finkelhor, Turner, Ormrod, &amp; Hamby, 2009), and that exposure to crime is higher for young males living in urban and </w:t>
      </w:r>
      <w:r w:rsidRPr="00165EB4">
        <w:rPr>
          <w:rFonts w:ascii="Arial" w:hAnsi="Arial" w:cs="Arial"/>
          <w:sz w:val="24"/>
        </w:rPr>
        <w:lastRenderedPageBreak/>
        <w:t>disadvantaged neighbourhoods (Pusch</w:t>
      </w:r>
      <w:r>
        <w:rPr>
          <w:rFonts w:ascii="Arial" w:hAnsi="Arial" w:cs="Arial"/>
          <w:sz w:val="24"/>
        </w:rPr>
        <w:t xml:space="preserve"> </w:t>
      </w:r>
      <w:r w:rsidRPr="00165EB4">
        <w:rPr>
          <w:rFonts w:ascii="Arial" w:hAnsi="Arial" w:cs="Arial"/>
          <w:sz w:val="24"/>
        </w:rPr>
        <w:t>&amp; Holtfreter, 2017; Scott &amp; Brown, 2018). Young people at this age are consequently at greater risk from neighbourhood safety factors than other age cohorts (Jennings, Piquero, &amp; Reingle, 2012).</w:t>
      </w:r>
    </w:p>
    <w:p w14:paraId="7415B24A" w14:textId="77777777" w:rsidR="00165EB4" w:rsidRPr="00165EB4" w:rsidRDefault="00165EB4" w:rsidP="00165EB4">
      <w:pPr>
        <w:rPr>
          <w:rFonts w:ascii="Arial" w:hAnsi="Arial" w:cs="Arial"/>
          <w:sz w:val="24"/>
        </w:rPr>
      </w:pPr>
      <w:r w:rsidRPr="00165EB4">
        <w:rPr>
          <w:rFonts w:ascii="Arial" w:hAnsi="Arial" w:cs="Arial"/>
          <w:sz w:val="24"/>
        </w:rPr>
        <w:t>A proportion of young Victorians face the prospect of racism in addition to these challenges. According to the Speak Out Against Racism study (Priest, et al., 2019), about one-third of Year 5 to 9 students are likely at some point to have experienced racial discrimination by peers (31 per cent) or in the community (27 per cent), and one-tenth by teachers (12 per cent). Students from Aboriginal and Torres Strait Islander and Pacific Islander/Maori backgrounds, and from stigmatised ethnic backgrounds (e.g. South Asian, African, Middle Eastern) report the highest levels of racism. According to the National Aboriginal and Torres Strait Islander Social Survey (NATSISS; ABS 2017), more than one-third of Aboriginal people in Victoria between the</w:t>
      </w:r>
      <w:r>
        <w:rPr>
          <w:rFonts w:ascii="Arial" w:hAnsi="Arial" w:cs="Arial"/>
          <w:sz w:val="24"/>
        </w:rPr>
        <w:t xml:space="preserve"> </w:t>
      </w:r>
      <w:r w:rsidRPr="00165EB4">
        <w:rPr>
          <w:rFonts w:ascii="Arial" w:hAnsi="Arial" w:cs="Arial"/>
          <w:sz w:val="24"/>
        </w:rPr>
        <w:t>ages of 15 and 24 experienced unfair treatment in the past 12 months because of their Aboriginal or Torres Strait Islander heritage.</w:t>
      </w:r>
    </w:p>
    <w:p w14:paraId="7F65C760" w14:textId="77777777" w:rsidR="00165EB4" w:rsidRPr="00B07B7E" w:rsidRDefault="00165EB4" w:rsidP="00B07B7E">
      <w:pPr>
        <w:pStyle w:val="Heading3"/>
        <w:rPr>
          <w:rFonts w:ascii="Arial" w:hAnsi="Arial" w:cs="Arial"/>
          <w:color w:val="auto"/>
          <w:sz w:val="24"/>
        </w:rPr>
      </w:pPr>
      <w:bookmarkStart w:id="64" w:name="_Toc33527789"/>
      <w:r w:rsidRPr="00B07B7E">
        <w:rPr>
          <w:rFonts w:ascii="Arial" w:hAnsi="Arial" w:cs="Arial"/>
          <w:color w:val="auto"/>
          <w:sz w:val="24"/>
        </w:rPr>
        <w:t>5.7</w:t>
      </w:r>
      <w:r w:rsidRPr="00B07B7E">
        <w:rPr>
          <w:rFonts w:ascii="Arial" w:hAnsi="Arial" w:cs="Arial"/>
          <w:color w:val="auto"/>
          <w:sz w:val="24"/>
        </w:rPr>
        <w:tab/>
        <w:t>A growing number of adolescents are seeking assistance from homelessness services</w:t>
      </w:r>
      <w:bookmarkEnd w:id="64"/>
    </w:p>
    <w:p w14:paraId="7E9EAFDF" w14:textId="77777777" w:rsidR="00165EB4" w:rsidRPr="00165EB4" w:rsidRDefault="00165EB4" w:rsidP="00165EB4">
      <w:pPr>
        <w:rPr>
          <w:rFonts w:ascii="Arial" w:hAnsi="Arial" w:cs="Arial"/>
          <w:sz w:val="24"/>
        </w:rPr>
      </w:pPr>
      <w:r w:rsidRPr="00165EB4">
        <w:rPr>
          <w:rFonts w:ascii="Arial" w:hAnsi="Arial" w:cs="Arial"/>
          <w:sz w:val="24"/>
        </w:rPr>
        <w:t>Having a place to call home is arguably the most important need in people’s lives. According to the ABS (2018b), homelessness occurs when a person does not have accommodation alternatives and the dwelling they currently live in is inadequate, when they have no tenure beyond a short or un-extendable period, or where they have no space for social relations. A shortage of affordable housing, family breakdown, unemployment, mental illness and particularly family violence are the leading causes of homelessness (Australian Institute of Health and Welfare, 2017).</w:t>
      </w:r>
    </w:p>
    <w:p w14:paraId="28CE03E9" w14:textId="77777777" w:rsidR="000A686C" w:rsidRDefault="00165EB4" w:rsidP="00165EB4">
      <w:pPr>
        <w:rPr>
          <w:rFonts w:ascii="Arial" w:hAnsi="Arial" w:cs="Arial"/>
          <w:sz w:val="24"/>
        </w:rPr>
      </w:pPr>
      <w:r w:rsidRPr="00165EB4">
        <w:rPr>
          <w:rFonts w:ascii="Arial" w:hAnsi="Arial" w:cs="Arial"/>
          <w:sz w:val="24"/>
        </w:rPr>
        <w:t>For adolescents, housing instability and homelessness can interrupt education in the critical secondary school years, since moving frequently also means changing schools frequently, missing out on schooling, and disconnecting from peer and teacher support networks. This can lead to an entrenched cycle of disadvantage, with children who experience homelessness more likely to live in poverty as adults due to missed educational opportunities (Warren &amp; Edwards, 2017).</w:t>
      </w:r>
    </w:p>
    <w:p w14:paraId="0278CBE7" w14:textId="77777777" w:rsidR="00165EB4" w:rsidRPr="00165EB4" w:rsidRDefault="00165EB4" w:rsidP="00165EB4">
      <w:pPr>
        <w:rPr>
          <w:rFonts w:ascii="Arial" w:hAnsi="Arial" w:cs="Arial"/>
          <w:sz w:val="24"/>
        </w:rPr>
      </w:pPr>
      <w:r w:rsidRPr="00165EB4">
        <w:rPr>
          <w:rFonts w:ascii="Arial" w:hAnsi="Arial" w:cs="Arial"/>
          <w:sz w:val="24"/>
        </w:rPr>
        <w:t>The Australian Institute of Health and Welfare (AIHW) publishes statistics on the provision of specialist homelessness services to people who are either homeless or at risk of homelessness. In 2017-18, there were 10,840 Victorian adolescents (aged 10-17) who accessed these support services. This represented 9.3 per cent of all Victorian clients. From 2011-12 to 2017-18, the number of Victorian adolescents accessing homelessness services increased by 58 per cent. This was driven by an 83 per cent increase in those aged 10-14 and a 36 per cent increase in those aged 15-17</w:t>
      </w:r>
      <w:r>
        <w:rPr>
          <w:rFonts w:ascii="Arial" w:hAnsi="Arial" w:cs="Arial"/>
          <w:sz w:val="24"/>
        </w:rPr>
        <w:t xml:space="preserve"> </w:t>
      </w:r>
      <w:r w:rsidRPr="00165EB4">
        <w:rPr>
          <w:rFonts w:ascii="Arial" w:hAnsi="Arial" w:cs="Arial"/>
          <w:sz w:val="24"/>
        </w:rPr>
        <w:t>(AIHW, 2019f).</w:t>
      </w:r>
    </w:p>
    <w:p w14:paraId="6F33109E" w14:textId="77777777" w:rsidR="00165EB4" w:rsidRDefault="00165EB4" w:rsidP="00165EB4">
      <w:pPr>
        <w:rPr>
          <w:rFonts w:ascii="Arial" w:hAnsi="Arial" w:cs="Arial"/>
          <w:sz w:val="24"/>
        </w:rPr>
      </w:pPr>
      <w:r w:rsidRPr="00165EB4">
        <w:rPr>
          <w:rFonts w:ascii="Arial" w:hAnsi="Arial" w:cs="Arial"/>
          <w:sz w:val="24"/>
        </w:rPr>
        <w:t>While specialist homelessness service usage has increased substantially in recent years, ABS census data suggests that the number of Victorian homeless adolescents has remained the same or may have decreased.</w:t>
      </w:r>
    </w:p>
    <w:p w14:paraId="151163FB" w14:textId="77777777" w:rsidR="00165EB4" w:rsidRPr="00B07B7E" w:rsidRDefault="005B66CD" w:rsidP="00165EB4">
      <w:pPr>
        <w:rPr>
          <w:rFonts w:ascii="Arial" w:hAnsi="Arial" w:cs="Arial"/>
          <w:b/>
          <w:sz w:val="24"/>
        </w:rPr>
      </w:pPr>
      <w:r w:rsidRPr="00B07B7E">
        <w:rPr>
          <w:rFonts w:ascii="Arial" w:hAnsi="Arial" w:cs="Arial"/>
          <w:b/>
          <w:sz w:val="24"/>
        </w:rPr>
        <w:lastRenderedPageBreak/>
        <w:t>Figure 49. Adolescents (aged 12 to 18) reported as being homeless, Victoria, 2011 and 2016</w:t>
      </w:r>
    </w:p>
    <w:tbl>
      <w:tblPr>
        <w:tblStyle w:val="TableGrid"/>
        <w:tblW w:w="0" w:type="auto"/>
        <w:tblLook w:val="04A0" w:firstRow="1" w:lastRow="0" w:firstColumn="1" w:lastColumn="0" w:noHBand="0" w:noVBand="1"/>
        <w:tblDescription w:val="This table shows the number and percentage of adolescents (aged 12 to 18) reported as being homeless, Victoria, 2011 and 2016"/>
      </w:tblPr>
      <w:tblGrid>
        <w:gridCol w:w="2985"/>
        <w:gridCol w:w="3017"/>
        <w:gridCol w:w="3014"/>
      </w:tblGrid>
      <w:tr w:rsidR="00B07B7E" w14:paraId="6709457A" w14:textId="77777777" w:rsidTr="00B07B7E">
        <w:trPr>
          <w:tblHeader/>
        </w:trPr>
        <w:tc>
          <w:tcPr>
            <w:tcW w:w="3080" w:type="dxa"/>
          </w:tcPr>
          <w:p w14:paraId="573551D9" w14:textId="77777777" w:rsidR="00B07B7E" w:rsidRDefault="00B07B7E" w:rsidP="00165EB4">
            <w:pPr>
              <w:rPr>
                <w:rFonts w:ascii="Arial" w:hAnsi="Arial" w:cs="Arial"/>
                <w:sz w:val="24"/>
              </w:rPr>
            </w:pPr>
            <w:r>
              <w:rPr>
                <w:rFonts w:ascii="Arial" w:hAnsi="Arial" w:cs="Arial"/>
                <w:sz w:val="24"/>
              </w:rPr>
              <w:t>Year</w:t>
            </w:r>
          </w:p>
        </w:tc>
        <w:tc>
          <w:tcPr>
            <w:tcW w:w="3081" w:type="dxa"/>
          </w:tcPr>
          <w:p w14:paraId="3391DE7B" w14:textId="77777777" w:rsidR="00B07B7E" w:rsidRDefault="00B07B7E" w:rsidP="00165EB4">
            <w:pPr>
              <w:rPr>
                <w:rFonts w:ascii="Arial" w:hAnsi="Arial" w:cs="Arial"/>
                <w:sz w:val="24"/>
              </w:rPr>
            </w:pPr>
            <w:r>
              <w:rPr>
                <w:rFonts w:ascii="Arial" w:hAnsi="Arial" w:cs="Arial"/>
                <w:sz w:val="24"/>
              </w:rPr>
              <w:t>Number of adolescents reported as homeless</w:t>
            </w:r>
          </w:p>
        </w:tc>
        <w:tc>
          <w:tcPr>
            <w:tcW w:w="3081" w:type="dxa"/>
          </w:tcPr>
          <w:p w14:paraId="7E10D6B1" w14:textId="77777777" w:rsidR="00B07B7E" w:rsidRDefault="00B07B7E" w:rsidP="00165EB4">
            <w:pPr>
              <w:rPr>
                <w:rFonts w:ascii="Arial" w:hAnsi="Arial" w:cs="Arial"/>
                <w:sz w:val="24"/>
              </w:rPr>
            </w:pPr>
            <w:r>
              <w:rPr>
                <w:rFonts w:ascii="Arial" w:hAnsi="Arial" w:cs="Arial"/>
                <w:sz w:val="24"/>
              </w:rPr>
              <w:t>Percentage of all homeless Victorians</w:t>
            </w:r>
          </w:p>
        </w:tc>
      </w:tr>
      <w:tr w:rsidR="00B07B7E" w14:paraId="384012D0" w14:textId="77777777" w:rsidTr="00B07B7E">
        <w:tc>
          <w:tcPr>
            <w:tcW w:w="3080" w:type="dxa"/>
          </w:tcPr>
          <w:p w14:paraId="69BB38DA" w14:textId="77777777" w:rsidR="00B07B7E" w:rsidRDefault="00B07B7E" w:rsidP="00165EB4">
            <w:pPr>
              <w:rPr>
                <w:rFonts w:ascii="Arial" w:hAnsi="Arial" w:cs="Arial"/>
                <w:sz w:val="24"/>
              </w:rPr>
            </w:pPr>
            <w:r>
              <w:rPr>
                <w:rFonts w:ascii="Arial" w:hAnsi="Arial" w:cs="Arial"/>
                <w:sz w:val="24"/>
              </w:rPr>
              <w:t>2011</w:t>
            </w:r>
          </w:p>
        </w:tc>
        <w:tc>
          <w:tcPr>
            <w:tcW w:w="3081" w:type="dxa"/>
          </w:tcPr>
          <w:p w14:paraId="4E80F3BD" w14:textId="77777777" w:rsidR="00B07B7E" w:rsidRDefault="00B07B7E" w:rsidP="00165EB4">
            <w:pPr>
              <w:rPr>
                <w:rFonts w:ascii="Arial" w:hAnsi="Arial" w:cs="Arial"/>
                <w:sz w:val="24"/>
              </w:rPr>
            </w:pPr>
            <w:r>
              <w:rPr>
                <w:rFonts w:ascii="Arial" w:hAnsi="Arial" w:cs="Arial"/>
                <w:sz w:val="24"/>
              </w:rPr>
              <w:t>2,285</w:t>
            </w:r>
          </w:p>
        </w:tc>
        <w:tc>
          <w:tcPr>
            <w:tcW w:w="3081" w:type="dxa"/>
          </w:tcPr>
          <w:p w14:paraId="44136CC1" w14:textId="77777777" w:rsidR="00B07B7E" w:rsidRDefault="00B07B7E" w:rsidP="00165EB4">
            <w:pPr>
              <w:rPr>
                <w:rFonts w:ascii="Arial" w:hAnsi="Arial" w:cs="Arial"/>
                <w:sz w:val="24"/>
              </w:rPr>
            </w:pPr>
            <w:r>
              <w:rPr>
                <w:rFonts w:ascii="Arial" w:hAnsi="Arial" w:cs="Arial"/>
                <w:sz w:val="24"/>
              </w:rPr>
              <w:t>=10 per cent of all homeless Victorians</w:t>
            </w:r>
          </w:p>
        </w:tc>
      </w:tr>
      <w:tr w:rsidR="00B07B7E" w14:paraId="393C5CED" w14:textId="77777777" w:rsidTr="00B07B7E">
        <w:tc>
          <w:tcPr>
            <w:tcW w:w="3080" w:type="dxa"/>
          </w:tcPr>
          <w:p w14:paraId="0D1E8238" w14:textId="77777777" w:rsidR="00B07B7E" w:rsidRDefault="00B07B7E" w:rsidP="00165EB4">
            <w:pPr>
              <w:rPr>
                <w:rFonts w:ascii="Arial" w:hAnsi="Arial" w:cs="Arial"/>
                <w:sz w:val="24"/>
              </w:rPr>
            </w:pPr>
            <w:r>
              <w:rPr>
                <w:rFonts w:ascii="Arial" w:hAnsi="Arial" w:cs="Arial"/>
                <w:sz w:val="24"/>
              </w:rPr>
              <w:t>2016</w:t>
            </w:r>
          </w:p>
        </w:tc>
        <w:tc>
          <w:tcPr>
            <w:tcW w:w="3081" w:type="dxa"/>
          </w:tcPr>
          <w:p w14:paraId="66764AD9" w14:textId="77777777" w:rsidR="00B07B7E" w:rsidRDefault="00B07B7E" w:rsidP="00165EB4">
            <w:pPr>
              <w:rPr>
                <w:rFonts w:ascii="Arial" w:hAnsi="Arial" w:cs="Arial"/>
                <w:sz w:val="24"/>
              </w:rPr>
            </w:pPr>
            <w:r>
              <w:rPr>
                <w:rFonts w:ascii="Arial" w:hAnsi="Arial" w:cs="Arial"/>
                <w:sz w:val="24"/>
              </w:rPr>
              <w:t>2,010</w:t>
            </w:r>
          </w:p>
        </w:tc>
        <w:tc>
          <w:tcPr>
            <w:tcW w:w="3081" w:type="dxa"/>
          </w:tcPr>
          <w:p w14:paraId="632262FD" w14:textId="77777777" w:rsidR="00B07B7E" w:rsidRDefault="00B07B7E" w:rsidP="00B07B7E">
            <w:pPr>
              <w:rPr>
                <w:rFonts w:ascii="Arial" w:hAnsi="Arial" w:cs="Arial"/>
                <w:sz w:val="24"/>
              </w:rPr>
            </w:pPr>
            <w:r>
              <w:rPr>
                <w:rFonts w:ascii="Arial" w:hAnsi="Arial" w:cs="Arial"/>
                <w:sz w:val="24"/>
              </w:rPr>
              <w:t>=8 per cent of all homeless Victorians</w:t>
            </w:r>
          </w:p>
        </w:tc>
      </w:tr>
    </w:tbl>
    <w:p w14:paraId="5BC5C1D8" w14:textId="77777777" w:rsidR="005B66CD" w:rsidRPr="005B66CD" w:rsidRDefault="005B66CD" w:rsidP="005B66CD">
      <w:pPr>
        <w:rPr>
          <w:rFonts w:ascii="Arial" w:hAnsi="Arial" w:cs="Arial"/>
          <w:i/>
          <w:sz w:val="24"/>
        </w:rPr>
      </w:pPr>
      <w:r w:rsidRPr="005B66CD">
        <w:rPr>
          <w:rFonts w:ascii="Arial" w:hAnsi="Arial" w:cs="Arial"/>
          <w:i/>
          <w:sz w:val="24"/>
        </w:rPr>
        <w:t>Source: Estimating homelessness, 2011 and 2016, (ABS, 2018b)</w:t>
      </w:r>
    </w:p>
    <w:p w14:paraId="4CAA5BD3" w14:textId="77777777" w:rsidR="00165EB4" w:rsidRDefault="005B66CD" w:rsidP="005B66CD">
      <w:pPr>
        <w:rPr>
          <w:rFonts w:ascii="Arial" w:hAnsi="Arial" w:cs="Arial"/>
          <w:sz w:val="24"/>
        </w:rPr>
      </w:pPr>
      <w:r w:rsidRPr="005B66CD">
        <w:rPr>
          <w:rFonts w:ascii="Arial" w:hAnsi="Arial" w:cs="Arial"/>
          <w:sz w:val="24"/>
        </w:rPr>
        <w:t>In 2011, 2,285 12 to 18 year olds were estimated to be homeless compared to 2,010 in 2016, though the ABS notes difficulties reliably establishing these estimates. The</w:t>
      </w:r>
      <w:r>
        <w:rPr>
          <w:rFonts w:ascii="Arial" w:hAnsi="Arial" w:cs="Arial"/>
          <w:sz w:val="24"/>
        </w:rPr>
        <w:t xml:space="preserve"> </w:t>
      </w:r>
      <w:r w:rsidRPr="005B66CD">
        <w:rPr>
          <w:rFonts w:ascii="Arial" w:hAnsi="Arial" w:cs="Arial"/>
          <w:sz w:val="24"/>
        </w:rPr>
        <w:t>main reduction appears to have occurred in the number of adolescents accessing supported accommodation—the most commonly accessed service. Reductions also appear to have occurred in the number of adolescents sheltering in boarding houses, staying temporarily in other households and living in improvised dwellings. The only increase was seen in adolescents sheltering in severely crowded dwellings, which is the second-most common living circumstance for homeless young people.</w:t>
      </w:r>
    </w:p>
    <w:p w14:paraId="3E919E1F" w14:textId="77777777" w:rsidR="005B66CD" w:rsidRDefault="008D1907" w:rsidP="005B66CD">
      <w:pPr>
        <w:rPr>
          <w:rFonts w:ascii="Arial" w:hAnsi="Arial" w:cs="Arial"/>
          <w:b/>
          <w:sz w:val="24"/>
        </w:rPr>
      </w:pPr>
      <w:r w:rsidRPr="004E124A">
        <w:rPr>
          <w:rFonts w:ascii="Arial" w:hAnsi="Arial" w:cs="Arial"/>
          <w:b/>
          <w:sz w:val="24"/>
        </w:rPr>
        <w:t>Figure 50. Proportion of homeless adolescents (aged 12-18) by type of dwelling, Victoria, 2016</w:t>
      </w:r>
    </w:p>
    <w:tbl>
      <w:tblPr>
        <w:tblStyle w:val="TableGrid"/>
        <w:tblW w:w="5000" w:type="pct"/>
        <w:tblLook w:val="04A0" w:firstRow="1" w:lastRow="0" w:firstColumn="1" w:lastColumn="0" w:noHBand="0" w:noVBand="1"/>
        <w:tblDescription w:val="This table shows the proportion of homeless adolescents (aged 12-18) by type of dwelling, Victoria, 2016"/>
      </w:tblPr>
      <w:tblGrid>
        <w:gridCol w:w="7692"/>
        <w:gridCol w:w="1324"/>
      </w:tblGrid>
      <w:tr w:rsidR="004E124A" w:rsidRPr="004E124A" w14:paraId="39BFEE5F" w14:textId="77777777" w:rsidTr="004E124A">
        <w:trPr>
          <w:tblHeader/>
        </w:trPr>
        <w:tc>
          <w:tcPr>
            <w:tcW w:w="4304" w:type="pct"/>
          </w:tcPr>
          <w:p w14:paraId="736BD763" w14:textId="77777777" w:rsidR="004E124A" w:rsidRPr="004E124A" w:rsidRDefault="004E124A" w:rsidP="004E124A">
            <w:pPr>
              <w:tabs>
                <w:tab w:val="left" w:pos="6095"/>
              </w:tabs>
              <w:rPr>
                <w:rFonts w:ascii="Arial" w:hAnsi="Arial" w:cs="Arial"/>
                <w:sz w:val="24"/>
              </w:rPr>
            </w:pPr>
            <w:r>
              <w:rPr>
                <w:rFonts w:ascii="Arial" w:hAnsi="Arial" w:cs="Arial"/>
                <w:sz w:val="24"/>
              </w:rPr>
              <w:t>Type of dwelling</w:t>
            </w:r>
          </w:p>
        </w:tc>
        <w:tc>
          <w:tcPr>
            <w:tcW w:w="696" w:type="pct"/>
          </w:tcPr>
          <w:p w14:paraId="0B32DFCA" w14:textId="77777777" w:rsidR="004E124A" w:rsidRPr="004E124A" w:rsidRDefault="004E124A" w:rsidP="005B66CD">
            <w:pPr>
              <w:rPr>
                <w:rFonts w:ascii="Arial" w:hAnsi="Arial" w:cs="Arial"/>
                <w:sz w:val="24"/>
              </w:rPr>
            </w:pPr>
            <w:r>
              <w:rPr>
                <w:rFonts w:ascii="Arial" w:hAnsi="Arial" w:cs="Arial"/>
                <w:sz w:val="24"/>
              </w:rPr>
              <w:t>Proportion</w:t>
            </w:r>
          </w:p>
        </w:tc>
      </w:tr>
      <w:tr w:rsidR="004E124A" w:rsidRPr="004E124A" w14:paraId="085CA267" w14:textId="77777777" w:rsidTr="004E124A">
        <w:tc>
          <w:tcPr>
            <w:tcW w:w="4304" w:type="pct"/>
          </w:tcPr>
          <w:p w14:paraId="13288FE0" w14:textId="77777777" w:rsidR="004E124A" w:rsidRPr="004E124A" w:rsidRDefault="004E124A" w:rsidP="004E124A">
            <w:pPr>
              <w:tabs>
                <w:tab w:val="left" w:pos="6095"/>
              </w:tabs>
              <w:rPr>
                <w:rFonts w:ascii="Arial" w:hAnsi="Arial" w:cs="Arial"/>
                <w:sz w:val="24"/>
              </w:rPr>
            </w:pPr>
            <w:r w:rsidRPr="004E124A">
              <w:rPr>
                <w:rFonts w:ascii="Arial" w:hAnsi="Arial" w:cs="Arial"/>
                <w:sz w:val="24"/>
              </w:rPr>
              <w:t>Persons living in ‘severely’</w:t>
            </w:r>
            <w:r>
              <w:rPr>
                <w:rFonts w:ascii="Arial" w:hAnsi="Arial" w:cs="Arial"/>
                <w:sz w:val="24"/>
              </w:rPr>
              <w:t xml:space="preserve"> </w:t>
            </w:r>
            <w:r w:rsidRPr="004E124A">
              <w:rPr>
                <w:rFonts w:ascii="Arial" w:hAnsi="Arial" w:cs="Arial"/>
                <w:sz w:val="24"/>
              </w:rPr>
              <w:t>crowded dwellings</w:t>
            </w:r>
            <w:r>
              <w:rPr>
                <w:rFonts w:ascii="Arial" w:hAnsi="Arial" w:cs="Arial"/>
                <w:sz w:val="24"/>
              </w:rPr>
              <w:tab/>
            </w:r>
          </w:p>
        </w:tc>
        <w:tc>
          <w:tcPr>
            <w:tcW w:w="696" w:type="pct"/>
          </w:tcPr>
          <w:p w14:paraId="1624444B" w14:textId="77777777" w:rsidR="004E124A" w:rsidRPr="004E124A" w:rsidRDefault="004E124A" w:rsidP="005B66CD">
            <w:pPr>
              <w:rPr>
                <w:rFonts w:ascii="Arial" w:hAnsi="Arial" w:cs="Arial"/>
                <w:sz w:val="24"/>
              </w:rPr>
            </w:pPr>
            <w:r w:rsidRPr="004E124A">
              <w:rPr>
                <w:rFonts w:ascii="Arial" w:hAnsi="Arial" w:cs="Arial"/>
                <w:sz w:val="24"/>
              </w:rPr>
              <w:t>46%</w:t>
            </w:r>
          </w:p>
        </w:tc>
      </w:tr>
      <w:tr w:rsidR="004E124A" w:rsidRPr="004E124A" w14:paraId="6AEA44ED" w14:textId="77777777" w:rsidTr="004E124A">
        <w:tc>
          <w:tcPr>
            <w:tcW w:w="4304" w:type="pct"/>
          </w:tcPr>
          <w:p w14:paraId="64CF02E3" w14:textId="77777777" w:rsidR="004E124A" w:rsidRPr="004E124A" w:rsidRDefault="004E124A" w:rsidP="004E124A">
            <w:pPr>
              <w:rPr>
                <w:rFonts w:ascii="Arial" w:hAnsi="Arial" w:cs="Arial"/>
                <w:sz w:val="24"/>
              </w:rPr>
            </w:pPr>
            <w:r w:rsidRPr="004E124A">
              <w:rPr>
                <w:rFonts w:ascii="Arial" w:hAnsi="Arial" w:cs="Arial"/>
                <w:sz w:val="24"/>
              </w:rPr>
              <w:t>Persons in supported accommodation</w:t>
            </w:r>
            <w:r>
              <w:rPr>
                <w:rFonts w:ascii="Arial" w:hAnsi="Arial" w:cs="Arial"/>
                <w:sz w:val="24"/>
              </w:rPr>
              <w:t xml:space="preserve"> </w:t>
            </w:r>
            <w:r w:rsidRPr="004E124A">
              <w:rPr>
                <w:rFonts w:ascii="Arial" w:hAnsi="Arial" w:cs="Arial"/>
                <w:sz w:val="24"/>
              </w:rPr>
              <w:t>for the homeless</w:t>
            </w:r>
          </w:p>
        </w:tc>
        <w:tc>
          <w:tcPr>
            <w:tcW w:w="696" w:type="pct"/>
          </w:tcPr>
          <w:p w14:paraId="74AEA484" w14:textId="77777777" w:rsidR="004E124A" w:rsidRPr="004E124A" w:rsidRDefault="004E124A" w:rsidP="005B66CD">
            <w:pPr>
              <w:rPr>
                <w:rFonts w:ascii="Arial" w:hAnsi="Arial" w:cs="Arial"/>
                <w:sz w:val="24"/>
              </w:rPr>
            </w:pPr>
            <w:r w:rsidRPr="004E124A">
              <w:rPr>
                <w:rFonts w:ascii="Arial" w:hAnsi="Arial" w:cs="Arial"/>
                <w:sz w:val="24"/>
              </w:rPr>
              <w:t>42%</w:t>
            </w:r>
          </w:p>
        </w:tc>
      </w:tr>
      <w:tr w:rsidR="004E124A" w:rsidRPr="004E124A" w14:paraId="49987349" w14:textId="77777777" w:rsidTr="004E124A">
        <w:tc>
          <w:tcPr>
            <w:tcW w:w="4304" w:type="pct"/>
          </w:tcPr>
          <w:p w14:paraId="3863245F" w14:textId="77777777" w:rsidR="004E124A" w:rsidRPr="004E124A" w:rsidRDefault="004E124A" w:rsidP="004E124A">
            <w:pPr>
              <w:rPr>
                <w:rFonts w:ascii="Arial" w:hAnsi="Arial" w:cs="Arial"/>
                <w:sz w:val="24"/>
              </w:rPr>
            </w:pPr>
            <w:r w:rsidRPr="004E124A">
              <w:rPr>
                <w:rFonts w:ascii="Arial" w:hAnsi="Arial" w:cs="Arial"/>
                <w:sz w:val="24"/>
              </w:rPr>
              <w:t>Persons staying temporarily with</w:t>
            </w:r>
            <w:r>
              <w:rPr>
                <w:rFonts w:ascii="Arial" w:hAnsi="Arial" w:cs="Arial"/>
                <w:sz w:val="24"/>
              </w:rPr>
              <w:t xml:space="preserve"> </w:t>
            </w:r>
            <w:r w:rsidRPr="004E124A">
              <w:rPr>
                <w:rFonts w:ascii="Arial" w:hAnsi="Arial" w:cs="Arial"/>
                <w:sz w:val="24"/>
              </w:rPr>
              <w:t>other households</w:t>
            </w:r>
          </w:p>
        </w:tc>
        <w:tc>
          <w:tcPr>
            <w:tcW w:w="696" w:type="pct"/>
          </w:tcPr>
          <w:p w14:paraId="4E77161F" w14:textId="77777777" w:rsidR="004E124A" w:rsidRPr="004E124A" w:rsidRDefault="004E124A" w:rsidP="005B66CD">
            <w:pPr>
              <w:rPr>
                <w:rFonts w:ascii="Arial" w:hAnsi="Arial" w:cs="Arial"/>
                <w:sz w:val="24"/>
              </w:rPr>
            </w:pPr>
            <w:r w:rsidRPr="004E124A">
              <w:rPr>
                <w:rFonts w:ascii="Arial" w:hAnsi="Arial" w:cs="Arial"/>
                <w:sz w:val="24"/>
              </w:rPr>
              <w:t>7%</w:t>
            </w:r>
          </w:p>
        </w:tc>
      </w:tr>
      <w:tr w:rsidR="004E124A" w:rsidRPr="004E124A" w14:paraId="0C44F2B3" w14:textId="77777777" w:rsidTr="004E124A">
        <w:tc>
          <w:tcPr>
            <w:tcW w:w="4304" w:type="pct"/>
          </w:tcPr>
          <w:p w14:paraId="788B910E" w14:textId="77777777" w:rsidR="004E124A" w:rsidRPr="004E124A" w:rsidRDefault="004E124A" w:rsidP="005B66CD">
            <w:pPr>
              <w:rPr>
                <w:rFonts w:ascii="Arial" w:hAnsi="Arial" w:cs="Arial"/>
                <w:sz w:val="24"/>
              </w:rPr>
            </w:pPr>
            <w:r w:rsidRPr="004E124A">
              <w:rPr>
                <w:rFonts w:ascii="Arial" w:hAnsi="Arial" w:cs="Arial"/>
                <w:sz w:val="24"/>
              </w:rPr>
              <w:t>Persons living in boarding houses</w:t>
            </w:r>
          </w:p>
        </w:tc>
        <w:tc>
          <w:tcPr>
            <w:tcW w:w="696" w:type="pct"/>
          </w:tcPr>
          <w:p w14:paraId="1D48C89D" w14:textId="77777777" w:rsidR="004E124A" w:rsidRPr="004E124A" w:rsidRDefault="004E124A" w:rsidP="005B66CD">
            <w:pPr>
              <w:rPr>
                <w:rFonts w:ascii="Arial" w:hAnsi="Arial" w:cs="Arial"/>
                <w:sz w:val="24"/>
              </w:rPr>
            </w:pPr>
            <w:r w:rsidRPr="004E124A">
              <w:rPr>
                <w:rFonts w:ascii="Arial" w:hAnsi="Arial" w:cs="Arial"/>
                <w:sz w:val="24"/>
              </w:rPr>
              <w:t>4%</w:t>
            </w:r>
          </w:p>
        </w:tc>
      </w:tr>
      <w:tr w:rsidR="004E124A" w:rsidRPr="004E124A" w14:paraId="02D8ABF6" w14:textId="77777777" w:rsidTr="004E124A">
        <w:tc>
          <w:tcPr>
            <w:tcW w:w="4304" w:type="pct"/>
          </w:tcPr>
          <w:p w14:paraId="4C1F7154" w14:textId="77777777" w:rsidR="004E124A" w:rsidRPr="004E124A" w:rsidRDefault="004E124A" w:rsidP="004E124A">
            <w:pPr>
              <w:rPr>
                <w:rFonts w:ascii="Arial" w:hAnsi="Arial" w:cs="Arial"/>
                <w:sz w:val="24"/>
              </w:rPr>
            </w:pPr>
            <w:r w:rsidRPr="004E124A">
              <w:rPr>
                <w:rFonts w:ascii="Arial" w:hAnsi="Arial" w:cs="Arial"/>
                <w:sz w:val="24"/>
              </w:rPr>
              <w:t>Persons living in improvised dwellings,</w:t>
            </w:r>
            <w:r>
              <w:rPr>
                <w:rFonts w:ascii="Arial" w:hAnsi="Arial" w:cs="Arial"/>
                <w:sz w:val="24"/>
              </w:rPr>
              <w:t xml:space="preserve"> </w:t>
            </w:r>
            <w:r w:rsidRPr="004E124A">
              <w:rPr>
                <w:rFonts w:ascii="Arial" w:hAnsi="Arial" w:cs="Arial"/>
                <w:sz w:val="24"/>
              </w:rPr>
              <w:t>tents or sleeping out</w:t>
            </w:r>
          </w:p>
        </w:tc>
        <w:tc>
          <w:tcPr>
            <w:tcW w:w="696" w:type="pct"/>
          </w:tcPr>
          <w:p w14:paraId="6D4B751C" w14:textId="77777777" w:rsidR="004E124A" w:rsidRPr="004E124A" w:rsidRDefault="004E124A" w:rsidP="005B66CD">
            <w:pPr>
              <w:rPr>
                <w:rFonts w:ascii="Arial" w:hAnsi="Arial" w:cs="Arial"/>
                <w:sz w:val="24"/>
              </w:rPr>
            </w:pPr>
            <w:r w:rsidRPr="004E124A">
              <w:rPr>
                <w:rFonts w:ascii="Arial" w:hAnsi="Arial" w:cs="Arial"/>
                <w:sz w:val="24"/>
              </w:rPr>
              <w:t>1%</w:t>
            </w:r>
          </w:p>
        </w:tc>
      </w:tr>
    </w:tbl>
    <w:p w14:paraId="4D49A85A" w14:textId="77777777" w:rsidR="00962223" w:rsidRDefault="008D1907" w:rsidP="00962223">
      <w:pPr>
        <w:rPr>
          <w:rFonts w:ascii="Arial" w:hAnsi="Arial" w:cs="Arial"/>
          <w:i/>
          <w:sz w:val="24"/>
        </w:rPr>
      </w:pPr>
      <w:r w:rsidRPr="008D1907">
        <w:rPr>
          <w:rFonts w:ascii="Arial" w:hAnsi="Arial" w:cs="Arial"/>
          <w:i/>
          <w:sz w:val="24"/>
        </w:rPr>
        <w:t>Source: Estimating homelessness, 2016, (ABS, 2018b)</w:t>
      </w:r>
    </w:p>
    <w:p w14:paraId="1DCC5014" w14:textId="77777777" w:rsidR="008D1907" w:rsidRPr="008D1907" w:rsidRDefault="008D1907" w:rsidP="008D1907">
      <w:pPr>
        <w:pBdr>
          <w:top w:val="single" w:sz="4" w:space="1" w:color="auto"/>
          <w:left w:val="single" w:sz="4" w:space="4" w:color="auto"/>
          <w:bottom w:val="single" w:sz="4" w:space="1" w:color="auto"/>
          <w:right w:val="single" w:sz="4" w:space="4" w:color="auto"/>
        </w:pBdr>
        <w:rPr>
          <w:rFonts w:ascii="Arial" w:hAnsi="Arial" w:cs="Arial"/>
          <w:b/>
          <w:sz w:val="24"/>
        </w:rPr>
      </w:pPr>
      <w:r w:rsidRPr="008D1907">
        <w:rPr>
          <w:rFonts w:ascii="Arial" w:hAnsi="Arial" w:cs="Arial"/>
          <w:b/>
          <w:sz w:val="24"/>
        </w:rPr>
        <w:t>Victoria’s Homelessness and Rough Sleeping Action Plan</w:t>
      </w:r>
    </w:p>
    <w:p w14:paraId="4228CF68" w14:textId="77777777" w:rsidR="008D1907" w:rsidRPr="008D1907" w:rsidRDefault="008D1907" w:rsidP="008D1907">
      <w:pPr>
        <w:pBdr>
          <w:top w:val="single" w:sz="4" w:space="1" w:color="auto"/>
          <w:left w:val="single" w:sz="4" w:space="4" w:color="auto"/>
          <w:bottom w:val="single" w:sz="4" w:space="1" w:color="auto"/>
          <w:right w:val="single" w:sz="4" w:space="4" w:color="auto"/>
        </w:pBdr>
        <w:rPr>
          <w:rFonts w:ascii="Arial" w:hAnsi="Arial" w:cs="Arial"/>
          <w:sz w:val="24"/>
        </w:rPr>
      </w:pPr>
      <w:r w:rsidRPr="008D1907">
        <w:rPr>
          <w:rFonts w:ascii="Arial" w:hAnsi="Arial" w:cs="Arial"/>
          <w:sz w:val="24"/>
        </w:rPr>
        <w:t>The Action Plan provides a framework for reducing the incidence and impact of rough sleeping in Victoria within the context of four key themes:</w:t>
      </w:r>
    </w:p>
    <w:p w14:paraId="32A98ED7" w14:textId="77777777" w:rsidR="008D1907" w:rsidRPr="008D1907" w:rsidRDefault="008D1907" w:rsidP="008D1907">
      <w:pPr>
        <w:pBdr>
          <w:top w:val="single" w:sz="4" w:space="1" w:color="auto"/>
          <w:left w:val="single" w:sz="4" w:space="4" w:color="auto"/>
          <w:bottom w:val="single" w:sz="4" w:space="1" w:color="auto"/>
          <w:right w:val="single" w:sz="4" w:space="4" w:color="auto"/>
        </w:pBdr>
        <w:rPr>
          <w:rFonts w:ascii="Arial" w:hAnsi="Arial" w:cs="Arial"/>
          <w:sz w:val="24"/>
        </w:rPr>
      </w:pPr>
      <w:r>
        <w:rPr>
          <w:rFonts w:ascii="Arial" w:hAnsi="Arial" w:cs="Arial"/>
          <w:sz w:val="24"/>
        </w:rPr>
        <w:t xml:space="preserve">• </w:t>
      </w:r>
      <w:r w:rsidRPr="008D1907">
        <w:rPr>
          <w:rFonts w:ascii="Arial" w:hAnsi="Arial" w:cs="Arial"/>
          <w:sz w:val="24"/>
        </w:rPr>
        <w:t>intervening early to prevent homelessness</w:t>
      </w:r>
    </w:p>
    <w:p w14:paraId="2DD9A194" w14:textId="77777777" w:rsidR="008D1907" w:rsidRPr="008D1907" w:rsidRDefault="008D1907" w:rsidP="008D1907">
      <w:pPr>
        <w:pBdr>
          <w:top w:val="single" w:sz="4" w:space="1" w:color="auto"/>
          <w:left w:val="single" w:sz="4" w:space="4" w:color="auto"/>
          <w:bottom w:val="single" w:sz="4" w:space="1" w:color="auto"/>
          <w:right w:val="single" w:sz="4" w:space="4" w:color="auto"/>
        </w:pBdr>
        <w:rPr>
          <w:rFonts w:ascii="Arial" w:hAnsi="Arial" w:cs="Arial"/>
          <w:sz w:val="24"/>
        </w:rPr>
      </w:pPr>
      <w:r w:rsidRPr="008D1907">
        <w:rPr>
          <w:rFonts w:ascii="Arial" w:hAnsi="Arial" w:cs="Arial"/>
          <w:sz w:val="24"/>
        </w:rPr>
        <w:t>•</w:t>
      </w:r>
      <w:r>
        <w:rPr>
          <w:rFonts w:ascii="Arial" w:hAnsi="Arial" w:cs="Arial"/>
          <w:sz w:val="24"/>
        </w:rPr>
        <w:t xml:space="preserve"> </w:t>
      </w:r>
      <w:r w:rsidRPr="008D1907">
        <w:rPr>
          <w:rFonts w:ascii="Arial" w:hAnsi="Arial" w:cs="Arial"/>
          <w:sz w:val="24"/>
        </w:rPr>
        <w:t>providing stable accommodation as quickly as possible</w:t>
      </w:r>
    </w:p>
    <w:p w14:paraId="11186B95" w14:textId="77777777" w:rsidR="008D1907" w:rsidRPr="008D1907" w:rsidRDefault="008D1907" w:rsidP="008D1907">
      <w:pPr>
        <w:pBdr>
          <w:top w:val="single" w:sz="4" w:space="1" w:color="auto"/>
          <w:left w:val="single" w:sz="4" w:space="4" w:color="auto"/>
          <w:bottom w:val="single" w:sz="4" w:space="1" w:color="auto"/>
          <w:right w:val="single" w:sz="4" w:space="4" w:color="auto"/>
        </w:pBdr>
        <w:rPr>
          <w:rFonts w:ascii="Arial" w:hAnsi="Arial" w:cs="Arial"/>
          <w:sz w:val="24"/>
        </w:rPr>
      </w:pPr>
      <w:r w:rsidRPr="008D1907">
        <w:rPr>
          <w:rFonts w:ascii="Arial" w:hAnsi="Arial" w:cs="Arial"/>
          <w:sz w:val="24"/>
        </w:rPr>
        <w:t>•</w:t>
      </w:r>
      <w:r>
        <w:rPr>
          <w:rFonts w:ascii="Arial" w:hAnsi="Arial" w:cs="Arial"/>
          <w:sz w:val="24"/>
        </w:rPr>
        <w:t xml:space="preserve"> </w:t>
      </w:r>
      <w:r w:rsidRPr="008D1907">
        <w:rPr>
          <w:rFonts w:ascii="Arial" w:hAnsi="Arial" w:cs="Arial"/>
          <w:sz w:val="24"/>
        </w:rPr>
        <w:t>support to maintain stable accommodation</w:t>
      </w:r>
    </w:p>
    <w:p w14:paraId="70E3EB2C" w14:textId="77777777" w:rsidR="008D1907" w:rsidRPr="008D1907" w:rsidRDefault="008D1907" w:rsidP="008D1907">
      <w:pPr>
        <w:pBdr>
          <w:top w:val="single" w:sz="4" w:space="1" w:color="auto"/>
          <w:left w:val="single" w:sz="4" w:space="4" w:color="auto"/>
          <w:bottom w:val="single" w:sz="4" w:space="1" w:color="auto"/>
          <w:right w:val="single" w:sz="4" w:space="4" w:color="auto"/>
        </w:pBdr>
        <w:rPr>
          <w:rFonts w:ascii="Arial" w:hAnsi="Arial" w:cs="Arial"/>
          <w:sz w:val="24"/>
        </w:rPr>
      </w:pPr>
      <w:r w:rsidRPr="008D1907">
        <w:rPr>
          <w:rFonts w:ascii="Arial" w:hAnsi="Arial" w:cs="Arial"/>
          <w:sz w:val="24"/>
        </w:rPr>
        <w:t>•</w:t>
      </w:r>
      <w:r>
        <w:rPr>
          <w:rFonts w:ascii="Arial" w:hAnsi="Arial" w:cs="Arial"/>
          <w:sz w:val="24"/>
        </w:rPr>
        <w:t xml:space="preserve"> </w:t>
      </w:r>
      <w:r w:rsidRPr="008D1907">
        <w:rPr>
          <w:rFonts w:ascii="Arial" w:hAnsi="Arial" w:cs="Arial"/>
          <w:sz w:val="24"/>
        </w:rPr>
        <w:t>an effective and responsive homelessness and support service system.</w:t>
      </w:r>
    </w:p>
    <w:p w14:paraId="72C1F217" w14:textId="77777777" w:rsidR="008D1907" w:rsidRPr="008D1907" w:rsidRDefault="008D1907" w:rsidP="008D1907">
      <w:pPr>
        <w:pBdr>
          <w:top w:val="single" w:sz="4" w:space="1" w:color="auto"/>
          <w:left w:val="single" w:sz="4" w:space="4" w:color="auto"/>
          <w:bottom w:val="single" w:sz="4" w:space="1" w:color="auto"/>
          <w:right w:val="single" w:sz="4" w:space="4" w:color="auto"/>
        </w:pBdr>
        <w:rPr>
          <w:rFonts w:ascii="Arial" w:hAnsi="Arial" w:cs="Arial"/>
          <w:sz w:val="24"/>
        </w:rPr>
      </w:pPr>
      <w:r w:rsidRPr="008D1907">
        <w:rPr>
          <w:rFonts w:ascii="Arial" w:hAnsi="Arial" w:cs="Arial"/>
          <w:sz w:val="24"/>
        </w:rPr>
        <w:t>As part of the Action Plan, the government is establishing new services in the areas of highest incidence of rough sleeping throughout the state – three outer suburban and five regional/rural locations. These are Dandenong, Frankston, Maroondah, Geelong, Swan Hill, Warrnambool, Bacchus Marsh and Bendigo.</w:t>
      </w:r>
    </w:p>
    <w:p w14:paraId="157146FB" w14:textId="77777777" w:rsidR="008D1907" w:rsidRPr="008D1907" w:rsidRDefault="008D1907" w:rsidP="008D1907">
      <w:pPr>
        <w:pBdr>
          <w:top w:val="single" w:sz="4" w:space="1" w:color="auto"/>
          <w:left w:val="single" w:sz="4" w:space="4" w:color="auto"/>
          <w:bottom w:val="single" w:sz="4" w:space="1" w:color="auto"/>
          <w:right w:val="single" w:sz="4" w:space="4" w:color="auto"/>
        </w:pBdr>
        <w:rPr>
          <w:rFonts w:ascii="Arial" w:hAnsi="Arial" w:cs="Arial"/>
          <w:b/>
          <w:sz w:val="24"/>
        </w:rPr>
      </w:pPr>
      <w:r w:rsidRPr="008D1907">
        <w:rPr>
          <w:rFonts w:ascii="Arial" w:hAnsi="Arial" w:cs="Arial"/>
          <w:b/>
          <w:sz w:val="24"/>
        </w:rPr>
        <w:lastRenderedPageBreak/>
        <w:t>Homes for Victorians plan</w:t>
      </w:r>
    </w:p>
    <w:p w14:paraId="35BCD0F1" w14:textId="77777777" w:rsidR="008D1907" w:rsidRPr="008D1907" w:rsidRDefault="008D1907" w:rsidP="008D1907">
      <w:pPr>
        <w:pBdr>
          <w:top w:val="single" w:sz="4" w:space="1" w:color="auto"/>
          <w:left w:val="single" w:sz="4" w:space="4" w:color="auto"/>
          <w:bottom w:val="single" w:sz="4" w:space="1" w:color="auto"/>
          <w:right w:val="single" w:sz="4" w:space="4" w:color="auto"/>
        </w:pBdr>
        <w:rPr>
          <w:rFonts w:ascii="Arial" w:hAnsi="Arial" w:cs="Arial"/>
          <w:sz w:val="24"/>
        </w:rPr>
      </w:pPr>
      <w:r w:rsidRPr="008D1907">
        <w:rPr>
          <w:rFonts w:ascii="Arial" w:hAnsi="Arial" w:cs="Arial"/>
          <w:sz w:val="24"/>
        </w:rPr>
        <w:t>The Homes for Victorians plan will increase and renew public housing and address homelessness. The plan includes:</w:t>
      </w:r>
    </w:p>
    <w:p w14:paraId="27A88B83" w14:textId="77777777" w:rsidR="008D1907" w:rsidRPr="008D1907" w:rsidRDefault="008D1907" w:rsidP="008D1907">
      <w:pPr>
        <w:pBdr>
          <w:top w:val="single" w:sz="4" w:space="1" w:color="auto"/>
          <w:left w:val="single" w:sz="4" w:space="4" w:color="auto"/>
          <w:bottom w:val="single" w:sz="4" w:space="1" w:color="auto"/>
          <w:right w:val="single" w:sz="4" w:space="4" w:color="auto"/>
        </w:pBdr>
        <w:rPr>
          <w:rFonts w:ascii="Arial" w:hAnsi="Arial" w:cs="Arial"/>
          <w:sz w:val="24"/>
        </w:rPr>
      </w:pPr>
      <w:r w:rsidRPr="008D1907">
        <w:rPr>
          <w:rFonts w:ascii="Arial" w:hAnsi="Arial" w:cs="Arial"/>
          <w:sz w:val="24"/>
        </w:rPr>
        <w:t>•</w:t>
      </w:r>
      <w:r>
        <w:rPr>
          <w:rFonts w:ascii="Arial" w:hAnsi="Arial" w:cs="Arial"/>
          <w:sz w:val="24"/>
        </w:rPr>
        <w:t xml:space="preserve"> </w:t>
      </w:r>
      <w:r w:rsidRPr="008D1907">
        <w:rPr>
          <w:rFonts w:ascii="Arial" w:hAnsi="Arial" w:cs="Arial"/>
          <w:sz w:val="24"/>
        </w:rPr>
        <w:t>the Social Housing Growth Fund to increase the supply of social and affordable housing</w:t>
      </w:r>
    </w:p>
    <w:p w14:paraId="07FCF1E4" w14:textId="77777777" w:rsidR="008D1907" w:rsidRPr="008D1907" w:rsidRDefault="008D1907" w:rsidP="008D1907">
      <w:pPr>
        <w:pBdr>
          <w:top w:val="single" w:sz="4" w:space="1" w:color="auto"/>
          <w:left w:val="single" w:sz="4" w:space="4" w:color="auto"/>
          <w:bottom w:val="single" w:sz="4" w:space="1" w:color="auto"/>
          <w:right w:val="single" w:sz="4" w:space="4" w:color="auto"/>
        </w:pBdr>
        <w:rPr>
          <w:rFonts w:ascii="Arial" w:hAnsi="Arial" w:cs="Arial"/>
          <w:sz w:val="24"/>
        </w:rPr>
      </w:pPr>
      <w:r w:rsidRPr="008D1907">
        <w:rPr>
          <w:rFonts w:ascii="Arial" w:hAnsi="Arial" w:cs="Arial"/>
          <w:sz w:val="24"/>
        </w:rPr>
        <w:t>•</w:t>
      </w:r>
      <w:r>
        <w:rPr>
          <w:rFonts w:ascii="Arial" w:hAnsi="Arial" w:cs="Arial"/>
          <w:sz w:val="24"/>
        </w:rPr>
        <w:t xml:space="preserve"> </w:t>
      </w:r>
      <w:r w:rsidRPr="008D1907">
        <w:rPr>
          <w:rFonts w:ascii="Arial" w:hAnsi="Arial" w:cs="Arial"/>
          <w:sz w:val="24"/>
        </w:rPr>
        <w:t>financial support for the social housing sector</w:t>
      </w:r>
    </w:p>
    <w:p w14:paraId="0DD86E61" w14:textId="77777777" w:rsidR="008D1907" w:rsidRPr="008D1907" w:rsidRDefault="008D1907" w:rsidP="008D1907">
      <w:pPr>
        <w:pBdr>
          <w:top w:val="single" w:sz="4" w:space="1" w:color="auto"/>
          <w:left w:val="single" w:sz="4" w:space="4" w:color="auto"/>
          <w:bottom w:val="single" w:sz="4" w:space="1" w:color="auto"/>
          <w:right w:val="single" w:sz="4" w:space="4" w:color="auto"/>
        </w:pBdr>
        <w:rPr>
          <w:rFonts w:ascii="Arial" w:hAnsi="Arial" w:cs="Arial"/>
          <w:sz w:val="24"/>
        </w:rPr>
      </w:pPr>
      <w:r w:rsidRPr="008D1907">
        <w:rPr>
          <w:rFonts w:ascii="Arial" w:hAnsi="Arial" w:cs="Arial"/>
          <w:sz w:val="24"/>
        </w:rPr>
        <w:t>•</w:t>
      </w:r>
      <w:r>
        <w:rPr>
          <w:rFonts w:ascii="Arial" w:hAnsi="Arial" w:cs="Arial"/>
          <w:sz w:val="24"/>
        </w:rPr>
        <w:t xml:space="preserve"> </w:t>
      </w:r>
      <w:r w:rsidRPr="008D1907">
        <w:rPr>
          <w:rFonts w:ascii="Arial" w:hAnsi="Arial" w:cs="Arial"/>
          <w:sz w:val="24"/>
        </w:rPr>
        <w:t>increased housing support for survivors of family violence</w:t>
      </w:r>
    </w:p>
    <w:p w14:paraId="430F3BB5" w14:textId="77777777" w:rsidR="008D1907" w:rsidRPr="008D1907" w:rsidRDefault="008D1907" w:rsidP="008D1907">
      <w:pPr>
        <w:pBdr>
          <w:top w:val="single" w:sz="4" w:space="1" w:color="auto"/>
          <w:left w:val="single" w:sz="4" w:space="4" w:color="auto"/>
          <w:bottom w:val="single" w:sz="4" w:space="1" w:color="auto"/>
          <w:right w:val="single" w:sz="4" w:space="4" w:color="auto"/>
        </w:pBdr>
        <w:rPr>
          <w:rFonts w:ascii="Arial" w:hAnsi="Arial" w:cs="Arial"/>
          <w:sz w:val="24"/>
        </w:rPr>
      </w:pPr>
      <w:r w:rsidRPr="008D1907">
        <w:rPr>
          <w:rFonts w:ascii="Arial" w:hAnsi="Arial" w:cs="Arial"/>
          <w:sz w:val="24"/>
        </w:rPr>
        <w:t>•</w:t>
      </w:r>
      <w:r>
        <w:rPr>
          <w:rFonts w:ascii="Arial" w:hAnsi="Arial" w:cs="Arial"/>
          <w:sz w:val="24"/>
        </w:rPr>
        <w:t xml:space="preserve"> </w:t>
      </w:r>
      <w:r w:rsidRPr="008D1907">
        <w:rPr>
          <w:rFonts w:ascii="Arial" w:hAnsi="Arial" w:cs="Arial"/>
          <w:sz w:val="24"/>
        </w:rPr>
        <w:t>extra social housing dwellings</w:t>
      </w:r>
    </w:p>
    <w:p w14:paraId="3A7258A2" w14:textId="77777777" w:rsidR="008D1907" w:rsidRPr="008D1907" w:rsidRDefault="008D1907" w:rsidP="008D1907">
      <w:pPr>
        <w:pBdr>
          <w:top w:val="single" w:sz="4" w:space="1" w:color="auto"/>
          <w:left w:val="single" w:sz="4" w:space="4" w:color="auto"/>
          <w:bottom w:val="single" w:sz="4" w:space="1" w:color="auto"/>
          <w:right w:val="single" w:sz="4" w:space="4" w:color="auto"/>
        </w:pBdr>
        <w:rPr>
          <w:rFonts w:ascii="Arial" w:hAnsi="Arial" w:cs="Arial"/>
          <w:sz w:val="24"/>
        </w:rPr>
      </w:pPr>
      <w:r w:rsidRPr="008D1907">
        <w:rPr>
          <w:rFonts w:ascii="Arial" w:hAnsi="Arial" w:cs="Arial"/>
          <w:sz w:val="24"/>
        </w:rPr>
        <w:t>•</w:t>
      </w:r>
      <w:r>
        <w:rPr>
          <w:rFonts w:ascii="Arial" w:hAnsi="Arial" w:cs="Arial"/>
          <w:sz w:val="24"/>
        </w:rPr>
        <w:t xml:space="preserve"> </w:t>
      </w:r>
      <w:r w:rsidRPr="008D1907">
        <w:rPr>
          <w:rFonts w:ascii="Arial" w:hAnsi="Arial" w:cs="Arial"/>
          <w:sz w:val="24"/>
        </w:rPr>
        <w:t>assistance to move homeless Victorians into stable housing</w:t>
      </w:r>
    </w:p>
    <w:p w14:paraId="4FBF1C70" w14:textId="77777777" w:rsidR="008D1907" w:rsidRPr="008D1907" w:rsidRDefault="008D1907" w:rsidP="008D1907">
      <w:pPr>
        <w:pBdr>
          <w:top w:val="single" w:sz="4" w:space="1" w:color="auto"/>
          <w:left w:val="single" w:sz="4" w:space="4" w:color="auto"/>
          <w:bottom w:val="single" w:sz="4" w:space="1" w:color="auto"/>
          <w:right w:val="single" w:sz="4" w:space="4" w:color="auto"/>
        </w:pBdr>
        <w:rPr>
          <w:rFonts w:ascii="Arial" w:hAnsi="Arial" w:cs="Arial"/>
          <w:sz w:val="24"/>
        </w:rPr>
      </w:pPr>
      <w:r w:rsidRPr="008D1907">
        <w:rPr>
          <w:rFonts w:ascii="Arial" w:hAnsi="Arial" w:cs="Arial"/>
          <w:sz w:val="24"/>
        </w:rPr>
        <w:t>•</w:t>
      </w:r>
      <w:r>
        <w:rPr>
          <w:rFonts w:ascii="Arial" w:hAnsi="Arial" w:cs="Arial"/>
          <w:sz w:val="24"/>
        </w:rPr>
        <w:t xml:space="preserve"> </w:t>
      </w:r>
      <w:r w:rsidRPr="008D1907">
        <w:rPr>
          <w:rFonts w:ascii="Arial" w:hAnsi="Arial" w:cs="Arial"/>
          <w:sz w:val="24"/>
        </w:rPr>
        <w:t>a public housing renewal program.</w:t>
      </w:r>
    </w:p>
    <w:p w14:paraId="7AFDA944" w14:textId="77777777" w:rsidR="003D546B" w:rsidRPr="004E124A" w:rsidRDefault="003D546B" w:rsidP="004E124A">
      <w:pPr>
        <w:pStyle w:val="Heading3"/>
        <w:rPr>
          <w:rFonts w:ascii="Arial" w:hAnsi="Arial" w:cs="Arial"/>
          <w:color w:val="auto"/>
          <w:sz w:val="24"/>
        </w:rPr>
      </w:pPr>
      <w:bookmarkStart w:id="65" w:name="_Toc33527790"/>
      <w:r w:rsidRPr="004E124A">
        <w:rPr>
          <w:rFonts w:ascii="Arial" w:hAnsi="Arial" w:cs="Arial"/>
          <w:color w:val="auto"/>
          <w:sz w:val="24"/>
        </w:rPr>
        <w:t>5.8</w:t>
      </w:r>
      <w:r w:rsidRPr="004E124A">
        <w:rPr>
          <w:rFonts w:ascii="Arial" w:hAnsi="Arial" w:cs="Arial"/>
          <w:color w:val="auto"/>
          <w:sz w:val="24"/>
        </w:rPr>
        <w:tab/>
        <w:t>The proportion of adolescents living in care is small but growing</w:t>
      </w:r>
      <w:bookmarkEnd w:id="65"/>
    </w:p>
    <w:p w14:paraId="70539E98" w14:textId="77777777" w:rsidR="003D546B" w:rsidRPr="003D546B" w:rsidRDefault="003D546B" w:rsidP="003D546B">
      <w:pPr>
        <w:rPr>
          <w:rFonts w:ascii="Arial" w:hAnsi="Arial" w:cs="Arial"/>
          <w:sz w:val="24"/>
        </w:rPr>
      </w:pPr>
      <w:r w:rsidRPr="003D546B">
        <w:rPr>
          <w:rFonts w:ascii="Arial" w:hAnsi="Arial" w:cs="Arial"/>
          <w:sz w:val="24"/>
        </w:rPr>
        <w:t>Adolescents who are unable to live with their family because of significant family difficulties, or as a result of abuse or neglect and enter statutory care, are looked after in temporary, medium or long-term living arrangements through care services (previously referred to as out-of-home care). Care services are viewed as a last resort and the preference is for young people to be reunited with their birth parents if possible. This means that those entering care are likely to have experienced</w:t>
      </w:r>
      <w:r>
        <w:rPr>
          <w:rFonts w:ascii="Arial" w:hAnsi="Arial" w:cs="Arial"/>
          <w:sz w:val="24"/>
        </w:rPr>
        <w:t xml:space="preserve"> </w:t>
      </w:r>
      <w:r w:rsidRPr="003D546B">
        <w:rPr>
          <w:rFonts w:ascii="Arial" w:hAnsi="Arial" w:cs="Arial"/>
          <w:sz w:val="24"/>
        </w:rPr>
        <w:t>chronic maltreatment and family disruption prior to entering care (Community Affairs Reference Committee, 2015).</w:t>
      </w:r>
    </w:p>
    <w:p w14:paraId="52F82807" w14:textId="77777777" w:rsidR="00962223" w:rsidRDefault="003D546B" w:rsidP="003D546B">
      <w:pPr>
        <w:rPr>
          <w:rFonts w:ascii="Arial" w:hAnsi="Arial" w:cs="Arial"/>
          <w:sz w:val="24"/>
        </w:rPr>
      </w:pPr>
      <w:r w:rsidRPr="003D546B">
        <w:rPr>
          <w:rFonts w:ascii="Arial" w:hAnsi="Arial" w:cs="Arial"/>
          <w:sz w:val="24"/>
        </w:rPr>
        <w:t>Studies associate the forms of maltreatment common to those precipitating placement in care with increased risk of poor academic achievement, substance use, teen pregnancy, criminogenic behaviour, and adult criminality (Hildyard &amp; Wolfe, 2002; Kelley, Thornberry, &amp; Smith, 1997; Widom, 1992).</w:t>
      </w:r>
    </w:p>
    <w:p w14:paraId="1524634C" w14:textId="77777777" w:rsidR="003D546B" w:rsidRPr="003D546B" w:rsidRDefault="003D546B" w:rsidP="003D546B">
      <w:pPr>
        <w:pBdr>
          <w:top w:val="single" w:sz="4" w:space="1" w:color="auto"/>
          <w:left w:val="single" w:sz="4" w:space="4" w:color="auto"/>
          <w:bottom w:val="single" w:sz="4" w:space="1" w:color="auto"/>
          <w:right w:val="single" w:sz="4" w:space="4" w:color="auto"/>
        </w:pBdr>
        <w:rPr>
          <w:rFonts w:ascii="Arial" w:hAnsi="Arial" w:cs="Arial"/>
          <w:b/>
          <w:sz w:val="24"/>
        </w:rPr>
      </w:pPr>
      <w:r w:rsidRPr="003D546B">
        <w:rPr>
          <w:rFonts w:ascii="Arial" w:hAnsi="Arial" w:cs="Arial"/>
          <w:b/>
          <w:sz w:val="24"/>
        </w:rPr>
        <w:t>The Out-of-Home Care Education Commitment</w:t>
      </w:r>
    </w:p>
    <w:p w14:paraId="30020A6A" w14:textId="77777777" w:rsidR="00962223" w:rsidRDefault="003D546B" w:rsidP="003D546B">
      <w:pPr>
        <w:pBdr>
          <w:top w:val="single" w:sz="4" w:space="1" w:color="auto"/>
          <w:left w:val="single" w:sz="4" w:space="4" w:color="auto"/>
          <w:bottom w:val="single" w:sz="4" w:space="1" w:color="auto"/>
          <w:right w:val="single" w:sz="4" w:space="4" w:color="auto"/>
        </w:pBdr>
        <w:rPr>
          <w:rFonts w:ascii="Arial" w:hAnsi="Arial" w:cs="Arial"/>
          <w:sz w:val="24"/>
        </w:rPr>
      </w:pPr>
      <w:r w:rsidRPr="003D546B">
        <w:rPr>
          <w:rFonts w:ascii="Arial" w:hAnsi="Arial" w:cs="Arial"/>
          <w:sz w:val="24"/>
        </w:rPr>
        <w:t>The Out-of-Home Care Education Commitment is a partnering agreement between key stakeholders involved in supporting the education of students in care services, including the DET, DHHS and the Catholic Education Commission of Victoria. The agreement aims to improve education and health and wellbeing outcomes for children and adolescents in care services. It also reflects action aimed at breaking the link between disadvantage and educational outcomes by supporting more students to stay in school and reach their educational potential.</w:t>
      </w:r>
    </w:p>
    <w:p w14:paraId="59565A00" w14:textId="77777777" w:rsidR="0023508D" w:rsidRPr="0023508D" w:rsidRDefault="0023508D" w:rsidP="0023508D">
      <w:pPr>
        <w:rPr>
          <w:rFonts w:ascii="Arial" w:hAnsi="Arial" w:cs="Arial"/>
          <w:sz w:val="24"/>
        </w:rPr>
      </w:pPr>
      <w:r w:rsidRPr="0023508D">
        <w:rPr>
          <w:rFonts w:ascii="Arial" w:hAnsi="Arial" w:cs="Arial"/>
          <w:sz w:val="24"/>
        </w:rPr>
        <w:t>For children who cannot reside safely with their parents, care services can provide a turning point by providing stable and secure care, new opportunities and extra</w:t>
      </w:r>
      <w:r>
        <w:rPr>
          <w:rFonts w:ascii="Arial" w:hAnsi="Arial" w:cs="Arial"/>
          <w:sz w:val="24"/>
        </w:rPr>
        <w:t xml:space="preserve"> </w:t>
      </w:r>
      <w:r w:rsidRPr="0023508D">
        <w:rPr>
          <w:rFonts w:ascii="Arial" w:hAnsi="Arial" w:cs="Arial"/>
          <w:sz w:val="24"/>
        </w:rPr>
        <w:t xml:space="preserve">supports to help them recover and thrive. A national survey of children in care services in 2018 found that 92 per cent of participants felt safe and settled in their </w:t>
      </w:r>
      <w:r w:rsidRPr="0023508D">
        <w:rPr>
          <w:rFonts w:ascii="Arial" w:hAnsi="Arial" w:cs="Arial"/>
          <w:sz w:val="24"/>
        </w:rPr>
        <w:lastRenderedPageBreak/>
        <w:t>placement, while 97 per cent reported that they had a significant adult in their lives that cared about them (AIHW, 2019b).</w:t>
      </w:r>
    </w:p>
    <w:p w14:paraId="60C79581" w14:textId="77777777" w:rsidR="0023508D" w:rsidRPr="0023508D" w:rsidRDefault="0023508D" w:rsidP="0023508D">
      <w:pPr>
        <w:rPr>
          <w:rFonts w:ascii="Arial" w:hAnsi="Arial" w:cs="Arial"/>
          <w:sz w:val="24"/>
        </w:rPr>
      </w:pPr>
      <w:r w:rsidRPr="0023508D">
        <w:rPr>
          <w:rFonts w:ascii="Arial" w:hAnsi="Arial" w:cs="Arial"/>
          <w:sz w:val="24"/>
        </w:rPr>
        <w:t>In Victoria, the number of adolescents (aged 10-17) in care services nearly doubled from 1,615 at 30 June 2009 to 3,192 at 30 June 2018 (a rate increase from 2.9 per 1,000 10-17 year olds to 5.4 over the same period) (DHHS, internal analysis).</w:t>
      </w:r>
    </w:p>
    <w:p w14:paraId="63BF5818" w14:textId="77777777" w:rsidR="003D546B" w:rsidRDefault="0023508D" w:rsidP="0023508D">
      <w:pPr>
        <w:rPr>
          <w:rFonts w:ascii="Arial" w:hAnsi="Arial" w:cs="Arial"/>
          <w:sz w:val="24"/>
        </w:rPr>
      </w:pPr>
      <w:r w:rsidRPr="0023508D">
        <w:rPr>
          <w:rFonts w:ascii="Arial" w:hAnsi="Arial" w:cs="Arial"/>
          <w:sz w:val="24"/>
        </w:rPr>
        <w:t>Young people who identify as Aboriginal continue to be vastly over-represented among adolescents in care. The number of Aboriginal adolescents in care almost doubled from 412 at 30 June 2014 to 769 at 30 June 2018 (a rate increase from 46.5 per 1,000 Aboriginal 10-17 year olds to 84.9 over the same period) (DHHS, Internal analysis).</w:t>
      </w:r>
    </w:p>
    <w:p w14:paraId="3EA36F94" w14:textId="77777777" w:rsidR="0023508D" w:rsidRPr="0023508D" w:rsidRDefault="0023508D" w:rsidP="0023508D">
      <w:pPr>
        <w:rPr>
          <w:rFonts w:ascii="Arial" w:hAnsi="Arial" w:cs="Arial"/>
          <w:sz w:val="24"/>
        </w:rPr>
      </w:pPr>
      <w:r w:rsidRPr="0023508D">
        <w:rPr>
          <w:rFonts w:ascii="Arial" w:hAnsi="Arial" w:cs="Arial"/>
          <w:sz w:val="24"/>
        </w:rPr>
        <w:t>Most Victorian adolescents who enter care are placed in home-based care settings which include kinship care and foster care, not in residential care facilities. Older adolescents (aged 15–17) are more likely than younger ones (aged 10–14) to live</w:t>
      </w:r>
    </w:p>
    <w:p w14:paraId="1EFC58F5" w14:textId="77777777" w:rsidR="003D546B" w:rsidRDefault="0023508D" w:rsidP="0023508D">
      <w:pPr>
        <w:rPr>
          <w:rFonts w:ascii="Arial" w:hAnsi="Arial" w:cs="Arial"/>
          <w:sz w:val="24"/>
        </w:rPr>
      </w:pPr>
      <w:r w:rsidRPr="0023508D">
        <w:rPr>
          <w:rFonts w:ascii="Arial" w:hAnsi="Arial" w:cs="Arial"/>
          <w:sz w:val="24"/>
        </w:rPr>
        <w:t>in residential care facilities (DHHS internal analysis). The proportions of both age groups placed in home-based care have increased substantially over the past ten years, reflecting an emphasis on placing young people in a home-based setting in recognition of the benefits over residential care (Bromfield, Higgins, Osborn, Panozzo, &amp; Richardson, 2005). Residential care is used by a small number of young people, including those with complex needs</w:t>
      </w:r>
      <w:r>
        <w:rPr>
          <w:rFonts w:ascii="Arial" w:hAnsi="Arial" w:cs="Arial"/>
          <w:sz w:val="24"/>
        </w:rPr>
        <w:t>.</w:t>
      </w:r>
    </w:p>
    <w:p w14:paraId="51ED80D3" w14:textId="77777777" w:rsidR="0023508D" w:rsidRPr="00031151" w:rsidRDefault="0023508D" w:rsidP="0023508D">
      <w:pPr>
        <w:rPr>
          <w:rFonts w:ascii="Arial" w:hAnsi="Arial" w:cs="Arial"/>
          <w:b/>
          <w:sz w:val="24"/>
        </w:rPr>
      </w:pPr>
      <w:r w:rsidRPr="00031151">
        <w:rPr>
          <w:rFonts w:ascii="Arial" w:hAnsi="Arial" w:cs="Arial"/>
          <w:b/>
          <w:sz w:val="24"/>
        </w:rPr>
        <w:t>Figure 51. Number of Victorian adolescents in care, by age, setting and year, 2008-09 to 2017-18</w:t>
      </w:r>
    </w:p>
    <w:tbl>
      <w:tblPr>
        <w:tblStyle w:val="TableGrid"/>
        <w:tblW w:w="0" w:type="auto"/>
        <w:tblLook w:val="04A0" w:firstRow="1" w:lastRow="0" w:firstColumn="1" w:lastColumn="0" w:noHBand="0" w:noVBand="1"/>
        <w:tblDescription w:val="This table shows the number of Victorian adolescents in care, by age, setting and year, 2008-09 to 2017-18"/>
      </w:tblPr>
      <w:tblGrid>
        <w:gridCol w:w="1786"/>
        <w:gridCol w:w="1793"/>
        <w:gridCol w:w="1793"/>
        <w:gridCol w:w="1822"/>
        <w:gridCol w:w="1822"/>
      </w:tblGrid>
      <w:tr w:rsidR="004E124A" w:rsidRPr="00031151" w14:paraId="71C094CF" w14:textId="77777777" w:rsidTr="00031151">
        <w:trPr>
          <w:tblHeader/>
        </w:trPr>
        <w:tc>
          <w:tcPr>
            <w:tcW w:w="1848" w:type="dxa"/>
          </w:tcPr>
          <w:p w14:paraId="1F7405FB" w14:textId="77777777" w:rsidR="004E124A" w:rsidRPr="00031151" w:rsidRDefault="004E124A" w:rsidP="0023508D">
            <w:pPr>
              <w:rPr>
                <w:rFonts w:ascii="Arial" w:hAnsi="Arial" w:cs="Arial"/>
                <w:sz w:val="24"/>
                <w:szCs w:val="24"/>
              </w:rPr>
            </w:pPr>
          </w:p>
        </w:tc>
        <w:tc>
          <w:tcPr>
            <w:tcW w:w="1848" w:type="dxa"/>
          </w:tcPr>
          <w:p w14:paraId="4116342B" w14:textId="77777777" w:rsidR="004E124A" w:rsidRPr="00031151" w:rsidRDefault="00031151" w:rsidP="0023508D">
            <w:pPr>
              <w:rPr>
                <w:rFonts w:ascii="Arial" w:hAnsi="Arial" w:cs="Arial"/>
                <w:sz w:val="24"/>
                <w:szCs w:val="24"/>
              </w:rPr>
            </w:pPr>
            <w:r w:rsidRPr="00031151">
              <w:rPr>
                <w:rFonts w:ascii="Arial" w:hAnsi="Arial" w:cs="Arial"/>
                <w:sz w:val="24"/>
                <w:szCs w:val="24"/>
              </w:rPr>
              <w:t>Home-based care 10-14</w:t>
            </w:r>
          </w:p>
        </w:tc>
        <w:tc>
          <w:tcPr>
            <w:tcW w:w="1848" w:type="dxa"/>
          </w:tcPr>
          <w:p w14:paraId="0BDC2220" w14:textId="77777777" w:rsidR="004E124A" w:rsidRPr="00031151" w:rsidRDefault="00031151" w:rsidP="00031151">
            <w:pPr>
              <w:rPr>
                <w:rFonts w:ascii="Arial" w:hAnsi="Arial" w:cs="Arial"/>
                <w:sz w:val="24"/>
                <w:szCs w:val="24"/>
              </w:rPr>
            </w:pPr>
            <w:r w:rsidRPr="00031151">
              <w:rPr>
                <w:rFonts w:ascii="Arial" w:hAnsi="Arial" w:cs="Arial"/>
                <w:sz w:val="24"/>
                <w:szCs w:val="24"/>
              </w:rPr>
              <w:t>Home-based care 15-17</w:t>
            </w:r>
          </w:p>
        </w:tc>
        <w:tc>
          <w:tcPr>
            <w:tcW w:w="1849" w:type="dxa"/>
          </w:tcPr>
          <w:p w14:paraId="1715EA90" w14:textId="77777777" w:rsidR="004E124A" w:rsidRPr="00031151" w:rsidRDefault="00031151" w:rsidP="0023508D">
            <w:pPr>
              <w:rPr>
                <w:rFonts w:ascii="Arial" w:hAnsi="Arial" w:cs="Arial"/>
                <w:sz w:val="24"/>
                <w:szCs w:val="24"/>
              </w:rPr>
            </w:pPr>
            <w:r w:rsidRPr="00031151">
              <w:rPr>
                <w:rFonts w:ascii="Arial" w:hAnsi="Arial" w:cs="Arial"/>
                <w:sz w:val="24"/>
                <w:szCs w:val="24"/>
              </w:rPr>
              <w:t>Residential care 10-14</w:t>
            </w:r>
          </w:p>
        </w:tc>
        <w:tc>
          <w:tcPr>
            <w:tcW w:w="1849" w:type="dxa"/>
          </w:tcPr>
          <w:p w14:paraId="3ED44DFC" w14:textId="77777777" w:rsidR="004E124A" w:rsidRPr="00031151" w:rsidRDefault="00031151" w:rsidP="00031151">
            <w:pPr>
              <w:rPr>
                <w:rFonts w:ascii="Arial" w:hAnsi="Arial" w:cs="Arial"/>
                <w:sz w:val="24"/>
                <w:szCs w:val="24"/>
              </w:rPr>
            </w:pPr>
            <w:r w:rsidRPr="00031151">
              <w:rPr>
                <w:rFonts w:ascii="Arial" w:hAnsi="Arial" w:cs="Arial"/>
                <w:sz w:val="24"/>
                <w:szCs w:val="24"/>
              </w:rPr>
              <w:t>Residential care 15-17</w:t>
            </w:r>
          </w:p>
        </w:tc>
      </w:tr>
      <w:tr w:rsidR="004E124A" w:rsidRPr="00031151" w14:paraId="352E3C0A" w14:textId="77777777" w:rsidTr="004E124A">
        <w:tc>
          <w:tcPr>
            <w:tcW w:w="1848" w:type="dxa"/>
          </w:tcPr>
          <w:p w14:paraId="0419C85B" w14:textId="77777777" w:rsidR="004E124A" w:rsidRPr="00031151" w:rsidRDefault="004E124A" w:rsidP="0023508D">
            <w:pPr>
              <w:rPr>
                <w:rFonts w:ascii="Arial" w:hAnsi="Arial" w:cs="Arial"/>
                <w:sz w:val="24"/>
                <w:szCs w:val="24"/>
              </w:rPr>
            </w:pPr>
            <w:r w:rsidRPr="00031151">
              <w:rPr>
                <w:rFonts w:ascii="Arial" w:hAnsi="Arial" w:cs="Arial"/>
                <w:sz w:val="24"/>
                <w:szCs w:val="24"/>
              </w:rPr>
              <w:t>2008-09</w:t>
            </w:r>
          </w:p>
        </w:tc>
        <w:tc>
          <w:tcPr>
            <w:tcW w:w="1848" w:type="dxa"/>
          </w:tcPr>
          <w:p w14:paraId="6C2807F9" w14:textId="77777777" w:rsidR="004E124A" w:rsidRPr="00031151" w:rsidRDefault="00031151" w:rsidP="0023508D">
            <w:pPr>
              <w:rPr>
                <w:rFonts w:ascii="Arial" w:hAnsi="Arial" w:cs="Arial"/>
                <w:sz w:val="24"/>
                <w:szCs w:val="24"/>
              </w:rPr>
            </w:pPr>
            <w:r>
              <w:rPr>
                <w:rFonts w:ascii="Arial" w:hAnsi="Arial" w:cs="Arial"/>
                <w:sz w:val="24"/>
                <w:szCs w:val="24"/>
              </w:rPr>
              <w:t>749</w:t>
            </w:r>
          </w:p>
        </w:tc>
        <w:tc>
          <w:tcPr>
            <w:tcW w:w="1848" w:type="dxa"/>
          </w:tcPr>
          <w:p w14:paraId="56C6CF25" w14:textId="77777777" w:rsidR="004E124A" w:rsidRPr="00031151" w:rsidRDefault="00031151" w:rsidP="0023508D">
            <w:pPr>
              <w:rPr>
                <w:rFonts w:ascii="Arial" w:hAnsi="Arial" w:cs="Arial"/>
                <w:sz w:val="24"/>
                <w:szCs w:val="24"/>
              </w:rPr>
            </w:pPr>
            <w:r>
              <w:rPr>
                <w:rFonts w:ascii="Arial" w:hAnsi="Arial" w:cs="Arial"/>
                <w:sz w:val="24"/>
                <w:szCs w:val="24"/>
              </w:rPr>
              <w:t>500</w:t>
            </w:r>
          </w:p>
        </w:tc>
        <w:tc>
          <w:tcPr>
            <w:tcW w:w="1849" w:type="dxa"/>
          </w:tcPr>
          <w:p w14:paraId="2405A9AA" w14:textId="77777777" w:rsidR="004E124A" w:rsidRPr="00031151" w:rsidRDefault="00031151" w:rsidP="0023508D">
            <w:pPr>
              <w:rPr>
                <w:rFonts w:ascii="Arial" w:hAnsi="Arial" w:cs="Arial"/>
                <w:sz w:val="24"/>
                <w:szCs w:val="24"/>
              </w:rPr>
            </w:pPr>
            <w:r>
              <w:rPr>
                <w:rFonts w:ascii="Arial" w:hAnsi="Arial" w:cs="Arial"/>
                <w:sz w:val="24"/>
                <w:szCs w:val="24"/>
              </w:rPr>
              <w:t>161</w:t>
            </w:r>
          </w:p>
        </w:tc>
        <w:tc>
          <w:tcPr>
            <w:tcW w:w="1849" w:type="dxa"/>
          </w:tcPr>
          <w:p w14:paraId="084AB5D4" w14:textId="77777777" w:rsidR="004E124A" w:rsidRPr="00031151" w:rsidRDefault="00031151" w:rsidP="0023508D">
            <w:pPr>
              <w:rPr>
                <w:rFonts w:ascii="Arial" w:hAnsi="Arial" w:cs="Arial"/>
                <w:sz w:val="24"/>
                <w:szCs w:val="24"/>
              </w:rPr>
            </w:pPr>
            <w:r>
              <w:rPr>
                <w:rFonts w:ascii="Arial" w:hAnsi="Arial" w:cs="Arial"/>
                <w:sz w:val="24"/>
                <w:szCs w:val="24"/>
              </w:rPr>
              <w:t>205</w:t>
            </w:r>
          </w:p>
        </w:tc>
      </w:tr>
      <w:tr w:rsidR="004E124A" w:rsidRPr="00031151" w14:paraId="0B448ACE" w14:textId="77777777" w:rsidTr="004E124A">
        <w:tc>
          <w:tcPr>
            <w:tcW w:w="1848" w:type="dxa"/>
          </w:tcPr>
          <w:p w14:paraId="49C2240C" w14:textId="77777777" w:rsidR="004E124A" w:rsidRPr="00031151" w:rsidRDefault="004E124A" w:rsidP="0023508D">
            <w:pPr>
              <w:rPr>
                <w:rFonts w:ascii="Arial" w:hAnsi="Arial" w:cs="Arial"/>
                <w:sz w:val="24"/>
                <w:szCs w:val="24"/>
              </w:rPr>
            </w:pPr>
            <w:r w:rsidRPr="00031151">
              <w:rPr>
                <w:rFonts w:ascii="Arial" w:hAnsi="Arial" w:cs="Arial"/>
                <w:sz w:val="24"/>
                <w:szCs w:val="24"/>
              </w:rPr>
              <w:t>2009-10</w:t>
            </w:r>
          </w:p>
        </w:tc>
        <w:tc>
          <w:tcPr>
            <w:tcW w:w="1848" w:type="dxa"/>
          </w:tcPr>
          <w:p w14:paraId="37EDC716" w14:textId="77777777" w:rsidR="004E124A" w:rsidRPr="00031151" w:rsidRDefault="00031151" w:rsidP="0023508D">
            <w:pPr>
              <w:rPr>
                <w:rFonts w:ascii="Arial" w:hAnsi="Arial" w:cs="Arial"/>
                <w:sz w:val="24"/>
                <w:szCs w:val="24"/>
              </w:rPr>
            </w:pPr>
            <w:r>
              <w:rPr>
                <w:rFonts w:ascii="Arial" w:hAnsi="Arial" w:cs="Arial"/>
                <w:sz w:val="24"/>
                <w:szCs w:val="24"/>
              </w:rPr>
              <w:t>882</w:t>
            </w:r>
          </w:p>
        </w:tc>
        <w:tc>
          <w:tcPr>
            <w:tcW w:w="1848" w:type="dxa"/>
          </w:tcPr>
          <w:p w14:paraId="37FB71F5" w14:textId="77777777" w:rsidR="004E124A" w:rsidRPr="00031151" w:rsidRDefault="00031151" w:rsidP="0023508D">
            <w:pPr>
              <w:rPr>
                <w:rFonts w:ascii="Arial" w:hAnsi="Arial" w:cs="Arial"/>
                <w:sz w:val="24"/>
                <w:szCs w:val="24"/>
              </w:rPr>
            </w:pPr>
            <w:r>
              <w:rPr>
                <w:rFonts w:ascii="Arial" w:hAnsi="Arial" w:cs="Arial"/>
                <w:sz w:val="24"/>
                <w:szCs w:val="24"/>
              </w:rPr>
              <w:t>522</w:t>
            </w:r>
          </w:p>
        </w:tc>
        <w:tc>
          <w:tcPr>
            <w:tcW w:w="1849" w:type="dxa"/>
          </w:tcPr>
          <w:p w14:paraId="444F8B1C" w14:textId="77777777" w:rsidR="004E124A" w:rsidRPr="00031151" w:rsidRDefault="00031151" w:rsidP="0023508D">
            <w:pPr>
              <w:rPr>
                <w:rFonts w:ascii="Arial" w:hAnsi="Arial" w:cs="Arial"/>
                <w:sz w:val="24"/>
                <w:szCs w:val="24"/>
              </w:rPr>
            </w:pPr>
            <w:r>
              <w:rPr>
                <w:rFonts w:ascii="Arial" w:hAnsi="Arial" w:cs="Arial"/>
                <w:sz w:val="24"/>
                <w:szCs w:val="24"/>
              </w:rPr>
              <w:t>155</w:t>
            </w:r>
          </w:p>
        </w:tc>
        <w:tc>
          <w:tcPr>
            <w:tcW w:w="1849" w:type="dxa"/>
          </w:tcPr>
          <w:p w14:paraId="3A989979" w14:textId="77777777" w:rsidR="004E124A" w:rsidRPr="00031151" w:rsidRDefault="00031151" w:rsidP="0023508D">
            <w:pPr>
              <w:rPr>
                <w:rFonts w:ascii="Arial" w:hAnsi="Arial" w:cs="Arial"/>
                <w:sz w:val="24"/>
                <w:szCs w:val="24"/>
              </w:rPr>
            </w:pPr>
            <w:r>
              <w:rPr>
                <w:rFonts w:ascii="Arial" w:hAnsi="Arial" w:cs="Arial"/>
                <w:sz w:val="24"/>
                <w:szCs w:val="24"/>
              </w:rPr>
              <w:t>229</w:t>
            </w:r>
          </w:p>
        </w:tc>
      </w:tr>
      <w:tr w:rsidR="004E124A" w:rsidRPr="00031151" w14:paraId="4EADBFC2" w14:textId="77777777" w:rsidTr="004E124A">
        <w:tc>
          <w:tcPr>
            <w:tcW w:w="1848" w:type="dxa"/>
          </w:tcPr>
          <w:p w14:paraId="5F8DBE20" w14:textId="77777777" w:rsidR="004E124A" w:rsidRPr="00031151" w:rsidRDefault="004E124A" w:rsidP="0023508D">
            <w:pPr>
              <w:rPr>
                <w:rFonts w:ascii="Arial" w:hAnsi="Arial" w:cs="Arial"/>
                <w:sz w:val="24"/>
                <w:szCs w:val="24"/>
              </w:rPr>
            </w:pPr>
            <w:r w:rsidRPr="00031151">
              <w:rPr>
                <w:rFonts w:ascii="Arial" w:hAnsi="Arial" w:cs="Arial"/>
                <w:sz w:val="24"/>
                <w:szCs w:val="24"/>
              </w:rPr>
              <w:t>2010-11</w:t>
            </w:r>
          </w:p>
        </w:tc>
        <w:tc>
          <w:tcPr>
            <w:tcW w:w="1848" w:type="dxa"/>
          </w:tcPr>
          <w:p w14:paraId="5BC3C1CB" w14:textId="77777777" w:rsidR="004E124A" w:rsidRPr="00031151" w:rsidRDefault="00031151" w:rsidP="0023508D">
            <w:pPr>
              <w:rPr>
                <w:rFonts w:ascii="Arial" w:hAnsi="Arial" w:cs="Arial"/>
                <w:sz w:val="24"/>
                <w:szCs w:val="24"/>
              </w:rPr>
            </w:pPr>
            <w:r>
              <w:rPr>
                <w:rFonts w:ascii="Arial" w:hAnsi="Arial" w:cs="Arial"/>
                <w:sz w:val="24"/>
                <w:szCs w:val="24"/>
              </w:rPr>
              <w:t>929</w:t>
            </w:r>
          </w:p>
        </w:tc>
        <w:tc>
          <w:tcPr>
            <w:tcW w:w="1848" w:type="dxa"/>
          </w:tcPr>
          <w:p w14:paraId="7FEE5F5C" w14:textId="77777777" w:rsidR="004E124A" w:rsidRPr="00031151" w:rsidRDefault="00031151" w:rsidP="0023508D">
            <w:pPr>
              <w:rPr>
                <w:rFonts w:ascii="Arial" w:hAnsi="Arial" w:cs="Arial"/>
                <w:sz w:val="24"/>
                <w:szCs w:val="24"/>
              </w:rPr>
            </w:pPr>
            <w:r>
              <w:rPr>
                <w:rFonts w:ascii="Arial" w:hAnsi="Arial" w:cs="Arial"/>
                <w:sz w:val="24"/>
                <w:szCs w:val="24"/>
              </w:rPr>
              <w:t>577</w:t>
            </w:r>
          </w:p>
        </w:tc>
        <w:tc>
          <w:tcPr>
            <w:tcW w:w="1849" w:type="dxa"/>
          </w:tcPr>
          <w:p w14:paraId="76CD4BB9" w14:textId="77777777" w:rsidR="004E124A" w:rsidRPr="00031151" w:rsidRDefault="00031151" w:rsidP="0023508D">
            <w:pPr>
              <w:rPr>
                <w:rFonts w:ascii="Arial" w:hAnsi="Arial" w:cs="Arial"/>
                <w:sz w:val="24"/>
                <w:szCs w:val="24"/>
              </w:rPr>
            </w:pPr>
            <w:r>
              <w:rPr>
                <w:rFonts w:ascii="Arial" w:hAnsi="Arial" w:cs="Arial"/>
                <w:sz w:val="24"/>
                <w:szCs w:val="24"/>
              </w:rPr>
              <w:t>179</w:t>
            </w:r>
          </w:p>
        </w:tc>
        <w:tc>
          <w:tcPr>
            <w:tcW w:w="1849" w:type="dxa"/>
          </w:tcPr>
          <w:p w14:paraId="3CDEE96D" w14:textId="77777777" w:rsidR="004E124A" w:rsidRPr="00031151" w:rsidRDefault="00031151" w:rsidP="0023508D">
            <w:pPr>
              <w:rPr>
                <w:rFonts w:ascii="Arial" w:hAnsi="Arial" w:cs="Arial"/>
                <w:sz w:val="24"/>
                <w:szCs w:val="24"/>
              </w:rPr>
            </w:pPr>
            <w:r>
              <w:rPr>
                <w:rFonts w:ascii="Arial" w:hAnsi="Arial" w:cs="Arial"/>
                <w:sz w:val="24"/>
                <w:szCs w:val="24"/>
              </w:rPr>
              <w:t>244</w:t>
            </w:r>
          </w:p>
        </w:tc>
      </w:tr>
      <w:tr w:rsidR="004E124A" w:rsidRPr="00031151" w14:paraId="0684ECD6" w14:textId="77777777" w:rsidTr="004E124A">
        <w:tc>
          <w:tcPr>
            <w:tcW w:w="1848" w:type="dxa"/>
          </w:tcPr>
          <w:p w14:paraId="7AA2420D" w14:textId="77777777" w:rsidR="004E124A" w:rsidRPr="00031151" w:rsidRDefault="004E124A" w:rsidP="0023508D">
            <w:pPr>
              <w:rPr>
                <w:rFonts w:ascii="Arial" w:hAnsi="Arial" w:cs="Arial"/>
                <w:sz w:val="24"/>
                <w:szCs w:val="24"/>
              </w:rPr>
            </w:pPr>
            <w:r w:rsidRPr="00031151">
              <w:rPr>
                <w:rFonts w:ascii="Arial" w:hAnsi="Arial" w:cs="Arial"/>
                <w:sz w:val="24"/>
                <w:szCs w:val="24"/>
              </w:rPr>
              <w:t>2011-12</w:t>
            </w:r>
          </w:p>
        </w:tc>
        <w:tc>
          <w:tcPr>
            <w:tcW w:w="1848" w:type="dxa"/>
          </w:tcPr>
          <w:p w14:paraId="3DCCDEFD" w14:textId="77777777" w:rsidR="004E124A" w:rsidRPr="00031151" w:rsidRDefault="00031151" w:rsidP="0023508D">
            <w:pPr>
              <w:rPr>
                <w:rFonts w:ascii="Arial" w:hAnsi="Arial" w:cs="Arial"/>
                <w:sz w:val="24"/>
                <w:szCs w:val="24"/>
              </w:rPr>
            </w:pPr>
            <w:r>
              <w:rPr>
                <w:rFonts w:ascii="Arial" w:hAnsi="Arial" w:cs="Arial"/>
                <w:sz w:val="24"/>
                <w:szCs w:val="24"/>
              </w:rPr>
              <w:t>1,045</w:t>
            </w:r>
          </w:p>
        </w:tc>
        <w:tc>
          <w:tcPr>
            <w:tcW w:w="1848" w:type="dxa"/>
          </w:tcPr>
          <w:p w14:paraId="779369E5" w14:textId="77777777" w:rsidR="004E124A" w:rsidRPr="00031151" w:rsidRDefault="00031151" w:rsidP="0023508D">
            <w:pPr>
              <w:rPr>
                <w:rFonts w:ascii="Arial" w:hAnsi="Arial" w:cs="Arial"/>
                <w:sz w:val="24"/>
                <w:szCs w:val="24"/>
              </w:rPr>
            </w:pPr>
            <w:r>
              <w:rPr>
                <w:rFonts w:ascii="Arial" w:hAnsi="Arial" w:cs="Arial"/>
                <w:sz w:val="24"/>
                <w:szCs w:val="24"/>
              </w:rPr>
              <w:t>683</w:t>
            </w:r>
          </w:p>
        </w:tc>
        <w:tc>
          <w:tcPr>
            <w:tcW w:w="1849" w:type="dxa"/>
          </w:tcPr>
          <w:p w14:paraId="6D527C29" w14:textId="77777777" w:rsidR="004E124A" w:rsidRPr="00031151" w:rsidRDefault="00031151" w:rsidP="0023508D">
            <w:pPr>
              <w:rPr>
                <w:rFonts w:ascii="Arial" w:hAnsi="Arial" w:cs="Arial"/>
                <w:sz w:val="24"/>
                <w:szCs w:val="24"/>
              </w:rPr>
            </w:pPr>
            <w:r>
              <w:rPr>
                <w:rFonts w:ascii="Arial" w:hAnsi="Arial" w:cs="Arial"/>
                <w:sz w:val="24"/>
                <w:szCs w:val="24"/>
              </w:rPr>
              <w:t>182</w:t>
            </w:r>
          </w:p>
        </w:tc>
        <w:tc>
          <w:tcPr>
            <w:tcW w:w="1849" w:type="dxa"/>
          </w:tcPr>
          <w:p w14:paraId="10722869" w14:textId="77777777" w:rsidR="004E124A" w:rsidRPr="00031151" w:rsidRDefault="00031151" w:rsidP="0023508D">
            <w:pPr>
              <w:rPr>
                <w:rFonts w:ascii="Arial" w:hAnsi="Arial" w:cs="Arial"/>
                <w:sz w:val="24"/>
                <w:szCs w:val="24"/>
              </w:rPr>
            </w:pPr>
            <w:r>
              <w:rPr>
                <w:rFonts w:ascii="Arial" w:hAnsi="Arial" w:cs="Arial"/>
                <w:sz w:val="24"/>
                <w:szCs w:val="24"/>
              </w:rPr>
              <w:t>243</w:t>
            </w:r>
          </w:p>
        </w:tc>
      </w:tr>
      <w:tr w:rsidR="004E124A" w:rsidRPr="00031151" w14:paraId="75EF5087" w14:textId="77777777" w:rsidTr="004E124A">
        <w:tc>
          <w:tcPr>
            <w:tcW w:w="1848" w:type="dxa"/>
          </w:tcPr>
          <w:p w14:paraId="347E730F" w14:textId="77777777" w:rsidR="004E124A" w:rsidRPr="00031151" w:rsidRDefault="004E124A" w:rsidP="0023508D">
            <w:pPr>
              <w:rPr>
                <w:rFonts w:ascii="Arial" w:hAnsi="Arial" w:cs="Arial"/>
                <w:sz w:val="24"/>
                <w:szCs w:val="24"/>
              </w:rPr>
            </w:pPr>
            <w:r w:rsidRPr="00031151">
              <w:rPr>
                <w:rFonts w:ascii="Arial" w:hAnsi="Arial" w:cs="Arial"/>
                <w:sz w:val="24"/>
                <w:szCs w:val="24"/>
              </w:rPr>
              <w:t>2012-13</w:t>
            </w:r>
          </w:p>
        </w:tc>
        <w:tc>
          <w:tcPr>
            <w:tcW w:w="1848" w:type="dxa"/>
          </w:tcPr>
          <w:p w14:paraId="7210CB75" w14:textId="77777777" w:rsidR="004E124A" w:rsidRPr="00031151" w:rsidRDefault="00031151" w:rsidP="0023508D">
            <w:pPr>
              <w:rPr>
                <w:rFonts w:ascii="Arial" w:hAnsi="Arial" w:cs="Arial"/>
                <w:sz w:val="24"/>
                <w:szCs w:val="24"/>
              </w:rPr>
            </w:pPr>
            <w:r>
              <w:rPr>
                <w:rFonts w:ascii="Arial" w:hAnsi="Arial" w:cs="Arial"/>
                <w:sz w:val="24"/>
                <w:szCs w:val="24"/>
              </w:rPr>
              <w:t>1,115</w:t>
            </w:r>
          </w:p>
        </w:tc>
        <w:tc>
          <w:tcPr>
            <w:tcW w:w="1848" w:type="dxa"/>
          </w:tcPr>
          <w:p w14:paraId="095A2C83" w14:textId="77777777" w:rsidR="004E124A" w:rsidRPr="00031151" w:rsidRDefault="00031151" w:rsidP="0023508D">
            <w:pPr>
              <w:rPr>
                <w:rFonts w:ascii="Arial" w:hAnsi="Arial" w:cs="Arial"/>
                <w:sz w:val="24"/>
                <w:szCs w:val="24"/>
              </w:rPr>
            </w:pPr>
            <w:r>
              <w:rPr>
                <w:rFonts w:ascii="Arial" w:hAnsi="Arial" w:cs="Arial"/>
                <w:sz w:val="24"/>
                <w:szCs w:val="24"/>
              </w:rPr>
              <w:t>652</w:t>
            </w:r>
          </w:p>
        </w:tc>
        <w:tc>
          <w:tcPr>
            <w:tcW w:w="1849" w:type="dxa"/>
          </w:tcPr>
          <w:p w14:paraId="636A4B5F" w14:textId="77777777" w:rsidR="004E124A" w:rsidRPr="00031151" w:rsidRDefault="00031151" w:rsidP="0023508D">
            <w:pPr>
              <w:rPr>
                <w:rFonts w:ascii="Arial" w:hAnsi="Arial" w:cs="Arial"/>
                <w:sz w:val="24"/>
                <w:szCs w:val="24"/>
              </w:rPr>
            </w:pPr>
            <w:r>
              <w:rPr>
                <w:rFonts w:ascii="Arial" w:hAnsi="Arial" w:cs="Arial"/>
                <w:sz w:val="24"/>
                <w:szCs w:val="24"/>
              </w:rPr>
              <w:t>165</w:t>
            </w:r>
          </w:p>
        </w:tc>
        <w:tc>
          <w:tcPr>
            <w:tcW w:w="1849" w:type="dxa"/>
          </w:tcPr>
          <w:p w14:paraId="7FDA54AC" w14:textId="77777777" w:rsidR="004E124A" w:rsidRPr="00031151" w:rsidRDefault="00031151" w:rsidP="0023508D">
            <w:pPr>
              <w:rPr>
                <w:rFonts w:ascii="Arial" w:hAnsi="Arial" w:cs="Arial"/>
                <w:sz w:val="24"/>
                <w:szCs w:val="24"/>
              </w:rPr>
            </w:pPr>
            <w:r>
              <w:rPr>
                <w:rFonts w:ascii="Arial" w:hAnsi="Arial" w:cs="Arial"/>
                <w:sz w:val="24"/>
                <w:szCs w:val="24"/>
              </w:rPr>
              <w:t>286</w:t>
            </w:r>
          </w:p>
        </w:tc>
      </w:tr>
      <w:tr w:rsidR="004E124A" w:rsidRPr="00031151" w14:paraId="7CF649F5" w14:textId="77777777" w:rsidTr="004E124A">
        <w:tc>
          <w:tcPr>
            <w:tcW w:w="1848" w:type="dxa"/>
          </w:tcPr>
          <w:p w14:paraId="78F14998" w14:textId="77777777" w:rsidR="004E124A" w:rsidRPr="00031151" w:rsidRDefault="004E124A" w:rsidP="0023508D">
            <w:pPr>
              <w:rPr>
                <w:rFonts w:ascii="Arial" w:hAnsi="Arial" w:cs="Arial"/>
                <w:sz w:val="24"/>
                <w:szCs w:val="24"/>
              </w:rPr>
            </w:pPr>
            <w:r w:rsidRPr="00031151">
              <w:rPr>
                <w:rFonts w:ascii="Arial" w:hAnsi="Arial" w:cs="Arial"/>
                <w:sz w:val="24"/>
                <w:szCs w:val="24"/>
              </w:rPr>
              <w:t>2013-14</w:t>
            </w:r>
          </w:p>
        </w:tc>
        <w:tc>
          <w:tcPr>
            <w:tcW w:w="1848" w:type="dxa"/>
          </w:tcPr>
          <w:p w14:paraId="5BA1447A" w14:textId="77777777" w:rsidR="004E124A" w:rsidRPr="00031151" w:rsidRDefault="00031151" w:rsidP="0023508D">
            <w:pPr>
              <w:rPr>
                <w:rFonts w:ascii="Arial" w:hAnsi="Arial" w:cs="Arial"/>
                <w:sz w:val="24"/>
                <w:szCs w:val="24"/>
              </w:rPr>
            </w:pPr>
            <w:r>
              <w:rPr>
                <w:rFonts w:ascii="Arial" w:hAnsi="Arial" w:cs="Arial"/>
                <w:sz w:val="24"/>
                <w:szCs w:val="24"/>
              </w:rPr>
              <w:t>1,220</w:t>
            </w:r>
          </w:p>
        </w:tc>
        <w:tc>
          <w:tcPr>
            <w:tcW w:w="1848" w:type="dxa"/>
          </w:tcPr>
          <w:p w14:paraId="54CCEAB0" w14:textId="77777777" w:rsidR="004E124A" w:rsidRPr="00031151" w:rsidRDefault="00031151" w:rsidP="0023508D">
            <w:pPr>
              <w:rPr>
                <w:rFonts w:ascii="Arial" w:hAnsi="Arial" w:cs="Arial"/>
                <w:sz w:val="24"/>
                <w:szCs w:val="24"/>
              </w:rPr>
            </w:pPr>
            <w:r>
              <w:rPr>
                <w:rFonts w:ascii="Arial" w:hAnsi="Arial" w:cs="Arial"/>
                <w:sz w:val="24"/>
                <w:szCs w:val="24"/>
              </w:rPr>
              <w:t>694</w:t>
            </w:r>
          </w:p>
        </w:tc>
        <w:tc>
          <w:tcPr>
            <w:tcW w:w="1849" w:type="dxa"/>
          </w:tcPr>
          <w:p w14:paraId="54545121" w14:textId="77777777" w:rsidR="004E124A" w:rsidRPr="00031151" w:rsidRDefault="00031151" w:rsidP="0023508D">
            <w:pPr>
              <w:rPr>
                <w:rFonts w:ascii="Arial" w:hAnsi="Arial" w:cs="Arial"/>
                <w:sz w:val="24"/>
                <w:szCs w:val="24"/>
              </w:rPr>
            </w:pPr>
            <w:r>
              <w:rPr>
                <w:rFonts w:ascii="Arial" w:hAnsi="Arial" w:cs="Arial"/>
                <w:sz w:val="24"/>
                <w:szCs w:val="24"/>
              </w:rPr>
              <w:t>166</w:t>
            </w:r>
          </w:p>
        </w:tc>
        <w:tc>
          <w:tcPr>
            <w:tcW w:w="1849" w:type="dxa"/>
          </w:tcPr>
          <w:p w14:paraId="41B94E1B" w14:textId="77777777" w:rsidR="004E124A" w:rsidRPr="00031151" w:rsidRDefault="00031151" w:rsidP="0023508D">
            <w:pPr>
              <w:rPr>
                <w:rFonts w:ascii="Arial" w:hAnsi="Arial" w:cs="Arial"/>
                <w:sz w:val="24"/>
                <w:szCs w:val="24"/>
              </w:rPr>
            </w:pPr>
            <w:r>
              <w:rPr>
                <w:rFonts w:ascii="Arial" w:hAnsi="Arial" w:cs="Arial"/>
                <w:sz w:val="24"/>
                <w:szCs w:val="24"/>
              </w:rPr>
              <w:t>267</w:t>
            </w:r>
          </w:p>
        </w:tc>
      </w:tr>
      <w:tr w:rsidR="004E124A" w:rsidRPr="00031151" w14:paraId="10AFF07B" w14:textId="77777777" w:rsidTr="004E124A">
        <w:tc>
          <w:tcPr>
            <w:tcW w:w="1848" w:type="dxa"/>
          </w:tcPr>
          <w:p w14:paraId="0F802847" w14:textId="77777777" w:rsidR="004E124A" w:rsidRPr="00031151" w:rsidRDefault="00031151" w:rsidP="0023508D">
            <w:pPr>
              <w:rPr>
                <w:rFonts w:ascii="Arial" w:hAnsi="Arial" w:cs="Arial"/>
                <w:sz w:val="24"/>
                <w:szCs w:val="24"/>
              </w:rPr>
            </w:pPr>
            <w:r w:rsidRPr="00031151">
              <w:rPr>
                <w:rFonts w:ascii="Arial" w:hAnsi="Arial" w:cs="Arial"/>
                <w:sz w:val="24"/>
                <w:szCs w:val="24"/>
              </w:rPr>
              <w:t>2014</w:t>
            </w:r>
            <w:r w:rsidR="004E124A" w:rsidRPr="00031151">
              <w:rPr>
                <w:rFonts w:ascii="Arial" w:hAnsi="Arial" w:cs="Arial"/>
                <w:sz w:val="24"/>
                <w:szCs w:val="24"/>
              </w:rPr>
              <w:t>-15</w:t>
            </w:r>
          </w:p>
        </w:tc>
        <w:tc>
          <w:tcPr>
            <w:tcW w:w="1848" w:type="dxa"/>
          </w:tcPr>
          <w:p w14:paraId="4295F167" w14:textId="77777777" w:rsidR="004E124A" w:rsidRPr="00031151" w:rsidRDefault="00031151" w:rsidP="0023508D">
            <w:pPr>
              <w:rPr>
                <w:rFonts w:ascii="Arial" w:hAnsi="Arial" w:cs="Arial"/>
                <w:sz w:val="24"/>
                <w:szCs w:val="24"/>
              </w:rPr>
            </w:pPr>
            <w:r>
              <w:rPr>
                <w:rFonts w:ascii="Arial" w:hAnsi="Arial" w:cs="Arial"/>
                <w:sz w:val="24"/>
                <w:szCs w:val="24"/>
              </w:rPr>
              <w:t>1,422</w:t>
            </w:r>
          </w:p>
        </w:tc>
        <w:tc>
          <w:tcPr>
            <w:tcW w:w="1848" w:type="dxa"/>
          </w:tcPr>
          <w:p w14:paraId="0D5ACC72" w14:textId="77777777" w:rsidR="004E124A" w:rsidRPr="00031151" w:rsidRDefault="00031151" w:rsidP="0023508D">
            <w:pPr>
              <w:rPr>
                <w:rFonts w:ascii="Arial" w:hAnsi="Arial" w:cs="Arial"/>
                <w:sz w:val="24"/>
                <w:szCs w:val="24"/>
              </w:rPr>
            </w:pPr>
            <w:r>
              <w:rPr>
                <w:rFonts w:ascii="Arial" w:hAnsi="Arial" w:cs="Arial"/>
                <w:sz w:val="24"/>
                <w:szCs w:val="24"/>
              </w:rPr>
              <w:t>725</w:t>
            </w:r>
          </w:p>
        </w:tc>
        <w:tc>
          <w:tcPr>
            <w:tcW w:w="1849" w:type="dxa"/>
          </w:tcPr>
          <w:p w14:paraId="6F61E496" w14:textId="77777777" w:rsidR="004E124A" w:rsidRPr="00031151" w:rsidRDefault="00031151" w:rsidP="0023508D">
            <w:pPr>
              <w:rPr>
                <w:rFonts w:ascii="Arial" w:hAnsi="Arial" w:cs="Arial"/>
                <w:sz w:val="24"/>
                <w:szCs w:val="24"/>
              </w:rPr>
            </w:pPr>
            <w:r>
              <w:rPr>
                <w:rFonts w:ascii="Arial" w:hAnsi="Arial" w:cs="Arial"/>
                <w:sz w:val="24"/>
                <w:szCs w:val="24"/>
              </w:rPr>
              <w:t>184</w:t>
            </w:r>
          </w:p>
        </w:tc>
        <w:tc>
          <w:tcPr>
            <w:tcW w:w="1849" w:type="dxa"/>
          </w:tcPr>
          <w:p w14:paraId="198B5105" w14:textId="77777777" w:rsidR="004E124A" w:rsidRPr="00031151" w:rsidRDefault="00031151" w:rsidP="0023508D">
            <w:pPr>
              <w:rPr>
                <w:rFonts w:ascii="Arial" w:hAnsi="Arial" w:cs="Arial"/>
                <w:sz w:val="24"/>
                <w:szCs w:val="24"/>
              </w:rPr>
            </w:pPr>
            <w:r>
              <w:rPr>
                <w:rFonts w:ascii="Arial" w:hAnsi="Arial" w:cs="Arial"/>
                <w:sz w:val="24"/>
                <w:szCs w:val="24"/>
              </w:rPr>
              <w:t>256</w:t>
            </w:r>
          </w:p>
        </w:tc>
      </w:tr>
      <w:tr w:rsidR="004E124A" w:rsidRPr="00031151" w14:paraId="57B600EE" w14:textId="77777777" w:rsidTr="004E124A">
        <w:tc>
          <w:tcPr>
            <w:tcW w:w="1848" w:type="dxa"/>
          </w:tcPr>
          <w:p w14:paraId="48A952FC" w14:textId="77777777" w:rsidR="004E124A" w:rsidRPr="00031151" w:rsidRDefault="004E124A" w:rsidP="0023508D">
            <w:pPr>
              <w:rPr>
                <w:rFonts w:ascii="Arial" w:hAnsi="Arial" w:cs="Arial"/>
                <w:sz w:val="24"/>
                <w:szCs w:val="24"/>
              </w:rPr>
            </w:pPr>
            <w:r w:rsidRPr="00031151">
              <w:rPr>
                <w:rFonts w:ascii="Arial" w:hAnsi="Arial" w:cs="Arial"/>
                <w:sz w:val="24"/>
                <w:szCs w:val="24"/>
              </w:rPr>
              <w:t>2015-16</w:t>
            </w:r>
          </w:p>
        </w:tc>
        <w:tc>
          <w:tcPr>
            <w:tcW w:w="1848" w:type="dxa"/>
          </w:tcPr>
          <w:p w14:paraId="22E15F25" w14:textId="77777777" w:rsidR="004E124A" w:rsidRPr="00031151" w:rsidRDefault="00031151" w:rsidP="0023508D">
            <w:pPr>
              <w:rPr>
                <w:rFonts w:ascii="Arial" w:hAnsi="Arial" w:cs="Arial"/>
                <w:sz w:val="24"/>
                <w:szCs w:val="24"/>
              </w:rPr>
            </w:pPr>
            <w:r>
              <w:rPr>
                <w:rFonts w:ascii="Arial" w:hAnsi="Arial" w:cs="Arial"/>
                <w:sz w:val="24"/>
                <w:szCs w:val="24"/>
              </w:rPr>
              <w:t>1,527</w:t>
            </w:r>
          </w:p>
        </w:tc>
        <w:tc>
          <w:tcPr>
            <w:tcW w:w="1848" w:type="dxa"/>
          </w:tcPr>
          <w:p w14:paraId="3B0BE0DD" w14:textId="77777777" w:rsidR="004E124A" w:rsidRPr="00031151" w:rsidRDefault="00031151" w:rsidP="0023508D">
            <w:pPr>
              <w:rPr>
                <w:rFonts w:ascii="Arial" w:hAnsi="Arial" w:cs="Arial"/>
                <w:sz w:val="24"/>
                <w:szCs w:val="24"/>
              </w:rPr>
            </w:pPr>
            <w:r>
              <w:rPr>
                <w:rFonts w:ascii="Arial" w:hAnsi="Arial" w:cs="Arial"/>
                <w:sz w:val="24"/>
                <w:szCs w:val="24"/>
              </w:rPr>
              <w:t>752</w:t>
            </w:r>
          </w:p>
        </w:tc>
        <w:tc>
          <w:tcPr>
            <w:tcW w:w="1849" w:type="dxa"/>
          </w:tcPr>
          <w:p w14:paraId="51BE50A1" w14:textId="77777777" w:rsidR="004E124A" w:rsidRPr="00031151" w:rsidRDefault="00031151" w:rsidP="0023508D">
            <w:pPr>
              <w:rPr>
                <w:rFonts w:ascii="Arial" w:hAnsi="Arial" w:cs="Arial"/>
                <w:sz w:val="24"/>
                <w:szCs w:val="24"/>
              </w:rPr>
            </w:pPr>
            <w:r>
              <w:rPr>
                <w:rFonts w:ascii="Arial" w:hAnsi="Arial" w:cs="Arial"/>
                <w:sz w:val="24"/>
                <w:szCs w:val="24"/>
              </w:rPr>
              <w:t>162</w:t>
            </w:r>
          </w:p>
        </w:tc>
        <w:tc>
          <w:tcPr>
            <w:tcW w:w="1849" w:type="dxa"/>
          </w:tcPr>
          <w:p w14:paraId="0D28223C" w14:textId="77777777" w:rsidR="004E124A" w:rsidRPr="00031151" w:rsidRDefault="00031151" w:rsidP="0023508D">
            <w:pPr>
              <w:rPr>
                <w:rFonts w:ascii="Arial" w:hAnsi="Arial" w:cs="Arial"/>
                <w:sz w:val="24"/>
                <w:szCs w:val="24"/>
              </w:rPr>
            </w:pPr>
            <w:r>
              <w:rPr>
                <w:rFonts w:ascii="Arial" w:hAnsi="Arial" w:cs="Arial"/>
                <w:sz w:val="24"/>
                <w:szCs w:val="24"/>
              </w:rPr>
              <w:t>259</w:t>
            </w:r>
          </w:p>
        </w:tc>
      </w:tr>
      <w:tr w:rsidR="004E124A" w:rsidRPr="00031151" w14:paraId="618426DC" w14:textId="77777777" w:rsidTr="004E124A">
        <w:tc>
          <w:tcPr>
            <w:tcW w:w="1848" w:type="dxa"/>
          </w:tcPr>
          <w:p w14:paraId="7C4E9FF2" w14:textId="77777777" w:rsidR="004E124A" w:rsidRPr="00031151" w:rsidRDefault="004E124A" w:rsidP="0023508D">
            <w:pPr>
              <w:rPr>
                <w:rFonts w:ascii="Arial" w:hAnsi="Arial" w:cs="Arial"/>
                <w:sz w:val="24"/>
                <w:szCs w:val="24"/>
              </w:rPr>
            </w:pPr>
            <w:r w:rsidRPr="00031151">
              <w:rPr>
                <w:rFonts w:ascii="Arial" w:hAnsi="Arial" w:cs="Arial"/>
                <w:sz w:val="24"/>
                <w:szCs w:val="24"/>
              </w:rPr>
              <w:t>2016-17</w:t>
            </w:r>
          </w:p>
        </w:tc>
        <w:tc>
          <w:tcPr>
            <w:tcW w:w="1848" w:type="dxa"/>
          </w:tcPr>
          <w:p w14:paraId="6F5AFFEC" w14:textId="77777777" w:rsidR="004E124A" w:rsidRPr="00031151" w:rsidRDefault="00031151" w:rsidP="0023508D">
            <w:pPr>
              <w:rPr>
                <w:rFonts w:ascii="Arial" w:hAnsi="Arial" w:cs="Arial"/>
                <w:sz w:val="24"/>
                <w:szCs w:val="24"/>
              </w:rPr>
            </w:pPr>
            <w:r>
              <w:rPr>
                <w:rFonts w:ascii="Arial" w:hAnsi="Arial" w:cs="Arial"/>
                <w:sz w:val="24"/>
                <w:szCs w:val="24"/>
              </w:rPr>
              <w:t>1,642</w:t>
            </w:r>
          </w:p>
        </w:tc>
        <w:tc>
          <w:tcPr>
            <w:tcW w:w="1848" w:type="dxa"/>
          </w:tcPr>
          <w:p w14:paraId="1118E810" w14:textId="77777777" w:rsidR="004E124A" w:rsidRPr="00031151" w:rsidRDefault="00031151" w:rsidP="0023508D">
            <w:pPr>
              <w:rPr>
                <w:rFonts w:ascii="Arial" w:hAnsi="Arial" w:cs="Arial"/>
                <w:sz w:val="24"/>
                <w:szCs w:val="24"/>
              </w:rPr>
            </w:pPr>
            <w:r>
              <w:rPr>
                <w:rFonts w:ascii="Arial" w:hAnsi="Arial" w:cs="Arial"/>
                <w:sz w:val="24"/>
                <w:szCs w:val="24"/>
              </w:rPr>
              <w:t>843</w:t>
            </w:r>
          </w:p>
        </w:tc>
        <w:tc>
          <w:tcPr>
            <w:tcW w:w="1849" w:type="dxa"/>
          </w:tcPr>
          <w:p w14:paraId="038B73E0" w14:textId="77777777" w:rsidR="004E124A" w:rsidRPr="00031151" w:rsidRDefault="00031151" w:rsidP="0023508D">
            <w:pPr>
              <w:rPr>
                <w:rFonts w:ascii="Arial" w:hAnsi="Arial" w:cs="Arial"/>
                <w:sz w:val="24"/>
                <w:szCs w:val="24"/>
              </w:rPr>
            </w:pPr>
            <w:r>
              <w:rPr>
                <w:rFonts w:ascii="Arial" w:hAnsi="Arial" w:cs="Arial"/>
                <w:sz w:val="24"/>
                <w:szCs w:val="24"/>
              </w:rPr>
              <w:t>166</w:t>
            </w:r>
          </w:p>
        </w:tc>
        <w:tc>
          <w:tcPr>
            <w:tcW w:w="1849" w:type="dxa"/>
          </w:tcPr>
          <w:p w14:paraId="17E9057C" w14:textId="77777777" w:rsidR="004E124A" w:rsidRPr="00031151" w:rsidRDefault="00031151" w:rsidP="0023508D">
            <w:pPr>
              <w:rPr>
                <w:rFonts w:ascii="Arial" w:hAnsi="Arial" w:cs="Arial"/>
                <w:sz w:val="24"/>
                <w:szCs w:val="24"/>
              </w:rPr>
            </w:pPr>
            <w:r>
              <w:rPr>
                <w:rFonts w:ascii="Arial" w:hAnsi="Arial" w:cs="Arial"/>
                <w:sz w:val="24"/>
                <w:szCs w:val="24"/>
              </w:rPr>
              <w:t>254</w:t>
            </w:r>
          </w:p>
        </w:tc>
      </w:tr>
      <w:tr w:rsidR="004E124A" w:rsidRPr="00031151" w14:paraId="258201D4" w14:textId="77777777" w:rsidTr="004E124A">
        <w:tc>
          <w:tcPr>
            <w:tcW w:w="1848" w:type="dxa"/>
          </w:tcPr>
          <w:p w14:paraId="25D3A455" w14:textId="77777777" w:rsidR="004E124A" w:rsidRPr="00031151" w:rsidRDefault="004E124A" w:rsidP="0023508D">
            <w:pPr>
              <w:rPr>
                <w:rFonts w:ascii="Arial" w:hAnsi="Arial" w:cs="Arial"/>
                <w:sz w:val="24"/>
                <w:szCs w:val="24"/>
              </w:rPr>
            </w:pPr>
            <w:r w:rsidRPr="00031151">
              <w:rPr>
                <w:rFonts w:ascii="Arial" w:hAnsi="Arial" w:cs="Arial"/>
                <w:sz w:val="24"/>
                <w:szCs w:val="24"/>
              </w:rPr>
              <w:t>2017-18</w:t>
            </w:r>
          </w:p>
        </w:tc>
        <w:tc>
          <w:tcPr>
            <w:tcW w:w="1848" w:type="dxa"/>
          </w:tcPr>
          <w:p w14:paraId="4354259F" w14:textId="77777777" w:rsidR="004E124A" w:rsidRPr="00031151" w:rsidRDefault="00031151" w:rsidP="0023508D">
            <w:pPr>
              <w:rPr>
                <w:rFonts w:ascii="Arial" w:hAnsi="Arial" w:cs="Arial"/>
                <w:sz w:val="24"/>
                <w:szCs w:val="24"/>
              </w:rPr>
            </w:pPr>
            <w:r>
              <w:rPr>
                <w:rFonts w:ascii="Arial" w:hAnsi="Arial" w:cs="Arial"/>
                <w:sz w:val="24"/>
                <w:szCs w:val="24"/>
              </w:rPr>
              <w:t>1,837</w:t>
            </w:r>
          </w:p>
        </w:tc>
        <w:tc>
          <w:tcPr>
            <w:tcW w:w="1848" w:type="dxa"/>
          </w:tcPr>
          <w:p w14:paraId="0E342F50" w14:textId="77777777" w:rsidR="004E124A" w:rsidRPr="00031151" w:rsidRDefault="00031151" w:rsidP="0023508D">
            <w:pPr>
              <w:rPr>
                <w:rFonts w:ascii="Arial" w:hAnsi="Arial" w:cs="Arial"/>
                <w:sz w:val="24"/>
                <w:szCs w:val="24"/>
              </w:rPr>
            </w:pPr>
            <w:r>
              <w:rPr>
                <w:rFonts w:ascii="Arial" w:hAnsi="Arial" w:cs="Arial"/>
                <w:sz w:val="24"/>
                <w:szCs w:val="24"/>
              </w:rPr>
              <w:t>928</w:t>
            </w:r>
          </w:p>
        </w:tc>
        <w:tc>
          <w:tcPr>
            <w:tcW w:w="1849" w:type="dxa"/>
          </w:tcPr>
          <w:p w14:paraId="0307CEC8" w14:textId="77777777" w:rsidR="004E124A" w:rsidRPr="00031151" w:rsidRDefault="00031151" w:rsidP="0023508D">
            <w:pPr>
              <w:rPr>
                <w:rFonts w:ascii="Arial" w:hAnsi="Arial" w:cs="Arial"/>
                <w:sz w:val="24"/>
                <w:szCs w:val="24"/>
              </w:rPr>
            </w:pPr>
            <w:r>
              <w:rPr>
                <w:rFonts w:ascii="Arial" w:hAnsi="Arial" w:cs="Arial"/>
                <w:sz w:val="24"/>
                <w:szCs w:val="24"/>
              </w:rPr>
              <w:t>148</w:t>
            </w:r>
          </w:p>
        </w:tc>
        <w:tc>
          <w:tcPr>
            <w:tcW w:w="1849" w:type="dxa"/>
          </w:tcPr>
          <w:p w14:paraId="5D948367" w14:textId="77777777" w:rsidR="004E124A" w:rsidRPr="00031151" w:rsidRDefault="00031151" w:rsidP="0023508D">
            <w:pPr>
              <w:rPr>
                <w:rFonts w:ascii="Arial" w:hAnsi="Arial" w:cs="Arial"/>
                <w:sz w:val="24"/>
                <w:szCs w:val="24"/>
              </w:rPr>
            </w:pPr>
            <w:r>
              <w:rPr>
                <w:rFonts w:ascii="Arial" w:hAnsi="Arial" w:cs="Arial"/>
                <w:sz w:val="24"/>
                <w:szCs w:val="24"/>
              </w:rPr>
              <w:t>279</w:t>
            </w:r>
          </w:p>
        </w:tc>
      </w:tr>
    </w:tbl>
    <w:p w14:paraId="078CF2B8" w14:textId="77777777" w:rsidR="0023508D" w:rsidRDefault="000A74EF" w:rsidP="0023508D">
      <w:pPr>
        <w:rPr>
          <w:rFonts w:ascii="Arial" w:hAnsi="Arial" w:cs="Arial"/>
          <w:i/>
          <w:sz w:val="24"/>
        </w:rPr>
      </w:pPr>
      <w:r w:rsidRPr="000A74EF">
        <w:rPr>
          <w:rFonts w:ascii="Arial" w:hAnsi="Arial" w:cs="Arial"/>
          <w:i/>
          <w:sz w:val="24"/>
        </w:rPr>
        <w:t>Source: Adolescents in care data, 2008-09—2017-18, DHHS</w:t>
      </w:r>
    </w:p>
    <w:p w14:paraId="45482202" w14:textId="77777777" w:rsidR="000E7776" w:rsidRPr="000E7776" w:rsidRDefault="000E7776" w:rsidP="000E7776">
      <w:pPr>
        <w:rPr>
          <w:rFonts w:ascii="Arial" w:hAnsi="Arial" w:cs="Arial"/>
          <w:sz w:val="24"/>
        </w:rPr>
      </w:pPr>
      <w:r w:rsidRPr="000E7776">
        <w:rPr>
          <w:rFonts w:ascii="Arial" w:hAnsi="Arial" w:cs="Arial"/>
          <w:sz w:val="24"/>
        </w:rPr>
        <w:t>While not a large sample size, a 2016 report from Anglicare Victoria drawing on the Looking After Children (LAC) records of 254 children revealed that a higher proportion of children and young people in care exhibit significant levels of emotional and behavioural difficulties (42 per cent) than their peers in the general population</w:t>
      </w:r>
      <w:r>
        <w:rPr>
          <w:rFonts w:ascii="Arial" w:hAnsi="Arial" w:cs="Arial"/>
          <w:sz w:val="24"/>
        </w:rPr>
        <w:t xml:space="preserve"> </w:t>
      </w:r>
      <w:r w:rsidRPr="000E7776">
        <w:rPr>
          <w:rFonts w:ascii="Arial" w:hAnsi="Arial" w:cs="Arial"/>
          <w:sz w:val="24"/>
        </w:rPr>
        <w:t xml:space="preserve">(10 per cent). This is further reflected in the fact that over 50 per cent of children and young people in care have accessed mental health services and/or professionals in </w:t>
      </w:r>
      <w:r w:rsidRPr="000E7776">
        <w:rPr>
          <w:rFonts w:ascii="Arial" w:hAnsi="Arial" w:cs="Arial"/>
          <w:sz w:val="24"/>
        </w:rPr>
        <w:lastRenderedPageBreak/>
        <w:t>the past 12 months, compared to only 2.9 per cent of children and young people in Australia (Kandasamy, McClellan, &amp; Corrales, 2016).</w:t>
      </w:r>
    </w:p>
    <w:p w14:paraId="7B4D8429" w14:textId="77777777" w:rsidR="00D23D00" w:rsidRDefault="000E7776" w:rsidP="000E7776">
      <w:pPr>
        <w:rPr>
          <w:rFonts w:ascii="Arial" w:hAnsi="Arial" w:cs="Arial"/>
          <w:sz w:val="24"/>
        </w:rPr>
      </w:pPr>
      <w:r w:rsidRPr="000E7776">
        <w:rPr>
          <w:rFonts w:ascii="Arial" w:hAnsi="Arial" w:cs="Arial"/>
          <w:sz w:val="24"/>
        </w:rPr>
        <w:t>An earlier 2015 Anglicare Victoria report, drawing on LAC assessments of 353 children, reported that outcomes for young people in residential care have been found to be poorer than those of their peers in the broader care services system (Corrales, 2015).</w:t>
      </w:r>
    </w:p>
    <w:p w14:paraId="67D40623" w14:textId="77777777" w:rsidR="0035763A" w:rsidRPr="0035763A" w:rsidRDefault="0035763A" w:rsidP="0035763A">
      <w:pPr>
        <w:rPr>
          <w:rFonts w:ascii="Arial" w:hAnsi="Arial" w:cs="Arial"/>
          <w:sz w:val="24"/>
        </w:rPr>
      </w:pPr>
      <w:r w:rsidRPr="0035763A">
        <w:rPr>
          <w:rFonts w:ascii="Arial" w:hAnsi="Arial" w:cs="Arial"/>
          <w:sz w:val="24"/>
        </w:rPr>
        <w:t>Rates of risk-taking behaviour among young people in residential care have also been found to be higher compared to those of their peers in the broader care service system. Children and young people in residential care are</w:t>
      </w:r>
    </w:p>
    <w:p w14:paraId="4BFC669F" w14:textId="77777777" w:rsidR="0035763A" w:rsidRPr="0035763A" w:rsidRDefault="0035763A" w:rsidP="0035763A">
      <w:pPr>
        <w:rPr>
          <w:rFonts w:ascii="Arial" w:hAnsi="Arial" w:cs="Arial"/>
          <w:sz w:val="24"/>
        </w:rPr>
      </w:pPr>
      <w:r w:rsidRPr="0035763A">
        <w:rPr>
          <w:rFonts w:ascii="Arial" w:hAnsi="Arial" w:cs="Arial"/>
          <w:sz w:val="24"/>
        </w:rPr>
        <w:t>•</w:t>
      </w:r>
      <w:r>
        <w:rPr>
          <w:rFonts w:ascii="Arial" w:hAnsi="Arial" w:cs="Arial"/>
          <w:sz w:val="24"/>
        </w:rPr>
        <w:t xml:space="preserve"> </w:t>
      </w:r>
      <w:r w:rsidRPr="0035763A">
        <w:rPr>
          <w:rFonts w:ascii="Arial" w:hAnsi="Arial" w:cs="Arial"/>
          <w:sz w:val="24"/>
        </w:rPr>
        <w:t>8.3 times more likely to engage in behaviour that places them at risk of serious harm,</w:t>
      </w:r>
    </w:p>
    <w:p w14:paraId="2CF9CFE8" w14:textId="77777777" w:rsidR="0035763A" w:rsidRPr="0035763A" w:rsidRDefault="0035763A" w:rsidP="0035763A">
      <w:pPr>
        <w:rPr>
          <w:rFonts w:ascii="Arial" w:hAnsi="Arial" w:cs="Arial"/>
          <w:sz w:val="24"/>
        </w:rPr>
      </w:pPr>
      <w:r w:rsidRPr="0035763A">
        <w:rPr>
          <w:rFonts w:ascii="Arial" w:hAnsi="Arial" w:cs="Arial"/>
          <w:sz w:val="24"/>
        </w:rPr>
        <w:t>•</w:t>
      </w:r>
      <w:r>
        <w:rPr>
          <w:rFonts w:ascii="Arial" w:hAnsi="Arial" w:cs="Arial"/>
          <w:sz w:val="24"/>
        </w:rPr>
        <w:t xml:space="preserve"> </w:t>
      </w:r>
      <w:r w:rsidRPr="0035763A">
        <w:rPr>
          <w:rFonts w:ascii="Arial" w:hAnsi="Arial" w:cs="Arial"/>
          <w:sz w:val="24"/>
        </w:rPr>
        <w:t>5.1 times more likely to have smoked cigarettes in the previous 12 months, and</w:t>
      </w:r>
    </w:p>
    <w:p w14:paraId="06A9D193" w14:textId="77777777" w:rsidR="000E7776" w:rsidRDefault="0035763A" w:rsidP="0035763A">
      <w:pPr>
        <w:rPr>
          <w:rFonts w:ascii="Arial" w:hAnsi="Arial" w:cs="Arial"/>
          <w:sz w:val="24"/>
        </w:rPr>
      </w:pPr>
      <w:r w:rsidRPr="0035763A">
        <w:rPr>
          <w:rFonts w:ascii="Arial" w:hAnsi="Arial" w:cs="Arial"/>
          <w:sz w:val="24"/>
        </w:rPr>
        <w:t>•</w:t>
      </w:r>
      <w:r>
        <w:rPr>
          <w:rFonts w:ascii="Arial" w:hAnsi="Arial" w:cs="Arial"/>
          <w:sz w:val="24"/>
        </w:rPr>
        <w:t xml:space="preserve"> </w:t>
      </w:r>
      <w:r w:rsidRPr="0035763A">
        <w:rPr>
          <w:rFonts w:ascii="Arial" w:hAnsi="Arial" w:cs="Arial"/>
          <w:sz w:val="24"/>
        </w:rPr>
        <w:t>5.8 times more likely to have tried alcohol in the previous 12 months (Kandasamy, McClellan, &amp; Corrales, 2016).</w:t>
      </w:r>
    </w:p>
    <w:p w14:paraId="3BD9A328" w14:textId="77777777" w:rsidR="00F9602D" w:rsidRPr="00F9602D" w:rsidRDefault="00F9602D" w:rsidP="00E27BC2">
      <w:pPr>
        <w:pBdr>
          <w:top w:val="single" w:sz="4" w:space="1" w:color="auto"/>
          <w:left w:val="single" w:sz="4" w:space="4" w:color="auto"/>
          <w:bottom w:val="single" w:sz="4" w:space="1" w:color="auto"/>
          <w:right w:val="single" w:sz="4" w:space="4" w:color="auto"/>
        </w:pBdr>
        <w:rPr>
          <w:rFonts w:ascii="Arial" w:hAnsi="Arial" w:cs="Arial"/>
          <w:b/>
          <w:sz w:val="24"/>
        </w:rPr>
      </w:pPr>
      <w:r w:rsidRPr="00F9602D">
        <w:rPr>
          <w:rFonts w:ascii="Arial" w:hAnsi="Arial" w:cs="Arial"/>
          <w:b/>
          <w:sz w:val="24"/>
        </w:rPr>
        <w:t>Support for Young People in Care Services</w:t>
      </w:r>
    </w:p>
    <w:p w14:paraId="27551C8F" w14:textId="77777777" w:rsidR="00F9602D" w:rsidRPr="00F9602D" w:rsidRDefault="00F9602D" w:rsidP="00E27BC2">
      <w:pPr>
        <w:pBdr>
          <w:top w:val="single" w:sz="4" w:space="1" w:color="auto"/>
          <w:left w:val="single" w:sz="4" w:space="4" w:color="auto"/>
          <w:bottom w:val="single" w:sz="4" w:space="1" w:color="auto"/>
          <w:right w:val="single" w:sz="4" w:space="4" w:color="auto"/>
        </w:pBdr>
        <w:rPr>
          <w:rFonts w:ascii="Arial" w:hAnsi="Arial" w:cs="Arial"/>
          <w:sz w:val="24"/>
        </w:rPr>
      </w:pPr>
      <w:r w:rsidRPr="00F9602D">
        <w:rPr>
          <w:rFonts w:ascii="Arial" w:hAnsi="Arial" w:cs="Arial"/>
          <w:sz w:val="24"/>
        </w:rPr>
        <w:t>The Roadmap For Reform sets the direction for transforming the child and family system in Victoria. Examples of programs under the Roadmap that have been designed to improve support for young people in care services include the LOOKOUT Program and the new Kinship care model.</w:t>
      </w:r>
    </w:p>
    <w:p w14:paraId="07356A6D" w14:textId="77777777" w:rsidR="00F9602D" w:rsidRPr="00F9602D" w:rsidRDefault="00F9602D" w:rsidP="00E27BC2">
      <w:pPr>
        <w:pBdr>
          <w:top w:val="single" w:sz="4" w:space="1" w:color="auto"/>
          <w:left w:val="single" w:sz="4" w:space="4" w:color="auto"/>
          <w:bottom w:val="single" w:sz="4" w:space="1" w:color="auto"/>
          <w:right w:val="single" w:sz="4" w:space="4" w:color="auto"/>
        </w:pBdr>
        <w:rPr>
          <w:rFonts w:ascii="Arial" w:hAnsi="Arial" w:cs="Arial"/>
          <w:sz w:val="24"/>
        </w:rPr>
      </w:pPr>
      <w:r w:rsidRPr="00F9602D">
        <w:rPr>
          <w:rFonts w:ascii="Arial" w:hAnsi="Arial" w:cs="Arial"/>
          <w:sz w:val="24"/>
        </w:rPr>
        <w:t>Through the LOOKOUT Program, the Victorian Government funds LOOKOUT Education Support Centres, which are designed to boost the capacity of schools, carers, child protection practitioners and care services to improve educational outcomes for children and young people living in care.</w:t>
      </w:r>
    </w:p>
    <w:p w14:paraId="27408E39" w14:textId="77777777" w:rsidR="00F9602D" w:rsidRPr="00F9602D" w:rsidRDefault="00F9602D" w:rsidP="00E27BC2">
      <w:pPr>
        <w:pBdr>
          <w:top w:val="single" w:sz="4" w:space="1" w:color="auto"/>
          <w:left w:val="single" w:sz="4" w:space="4" w:color="auto"/>
          <w:bottom w:val="single" w:sz="4" w:space="1" w:color="auto"/>
          <w:right w:val="single" w:sz="4" w:space="4" w:color="auto"/>
        </w:pBdr>
        <w:rPr>
          <w:rFonts w:ascii="Arial" w:hAnsi="Arial" w:cs="Arial"/>
          <w:sz w:val="24"/>
        </w:rPr>
      </w:pPr>
      <w:r w:rsidRPr="00F9602D">
        <w:rPr>
          <w:rFonts w:ascii="Arial" w:hAnsi="Arial" w:cs="Arial"/>
          <w:sz w:val="24"/>
        </w:rPr>
        <w:t>LOOKOUT centres assist children and young people through professional development with staff and carers, advice to schools to support individual students, challenging enrolment decisions that are not in a student's best interests, and facilitating opportunities for students to participate fully in school life (including camps, excursions and extracurricular activities). LOOKOUT centres focus on professional development, advocacy, and expert advice and support, to build the capability of professionals who work with children and young people in care services, making sure that education is at the centre of decisions made about their care, placement and future.</w:t>
      </w:r>
    </w:p>
    <w:p w14:paraId="729CE424" w14:textId="77777777" w:rsidR="00F9602D" w:rsidRDefault="00F9602D" w:rsidP="00E27BC2">
      <w:pPr>
        <w:pBdr>
          <w:top w:val="single" w:sz="4" w:space="1" w:color="auto"/>
          <w:left w:val="single" w:sz="4" w:space="4" w:color="auto"/>
          <w:bottom w:val="single" w:sz="4" w:space="1" w:color="auto"/>
          <w:right w:val="single" w:sz="4" w:space="4" w:color="auto"/>
        </w:pBdr>
        <w:rPr>
          <w:rFonts w:ascii="Arial" w:hAnsi="Arial" w:cs="Arial"/>
          <w:sz w:val="24"/>
        </w:rPr>
      </w:pPr>
      <w:r w:rsidRPr="00F9602D">
        <w:rPr>
          <w:rFonts w:ascii="Arial" w:hAnsi="Arial" w:cs="Arial"/>
          <w:sz w:val="24"/>
        </w:rPr>
        <w:t>Also part of the Roadmap, investment has been made in a new care service kinship care model. The model aims to identify kinship carers earlier through new kinship networks; strengthen community connections for Aboriginal children in care with family reunification supports, culture and community; assist carers and young people through increased, ongoing and flexible support and increase case</w:t>
      </w:r>
      <w:r>
        <w:rPr>
          <w:rFonts w:ascii="Arial" w:hAnsi="Arial" w:cs="Arial"/>
          <w:sz w:val="24"/>
        </w:rPr>
        <w:t xml:space="preserve"> </w:t>
      </w:r>
      <w:r w:rsidRPr="00F9602D">
        <w:rPr>
          <w:rFonts w:ascii="Arial" w:hAnsi="Arial" w:cs="Arial"/>
          <w:sz w:val="24"/>
        </w:rPr>
        <w:t xml:space="preserve">management of </w:t>
      </w:r>
      <w:r w:rsidRPr="00F9602D">
        <w:rPr>
          <w:rFonts w:ascii="Arial" w:hAnsi="Arial" w:cs="Arial"/>
          <w:sz w:val="24"/>
        </w:rPr>
        <w:lastRenderedPageBreak/>
        <w:t>kinship placements by community service organisations. Additional supports to assess the needs of carers, children and young people and facilitate care provision are also included.</w:t>
      </w:r>
    </w:p>
    <w:p w14:paraId="07E92534" w14:textId="77777777" w:rsidR="00357967" w:rsidRPr="00357967" w:rsidRDefault="00357967" w:rsidP="00357967">
      <w:pPr>
        <w:rPr>
          <w:rFonts w:ascii="Arial" w:hAnsi="Arial" w:cs="Arial"/>
          <w:sz w:val="24"/>
        </w:rPr>
      </w:pPr>
      <w:r w:rsidRPr="00357967">
        <w:rPr>
          <w:rFonts w:ascii="Arial" w:hAnsi="Arial" w:cs="Arial"/>
          <w:sz w:val="24"/>
        </w:rPr>
        <w:t>The recently released Sentencing Advisory Council (2019) report, Crossover Kids, further shows that children in Victorian care services, particularly residential care, are at greater risk of anti-social behaviour and criminal offending. Of 5,063 children who offended between the ages of 10 and 17 and received a sentence or diversion in the Victorian Children’s Court in 2016-17, 15 per cent (767 children) had been in care.</w:t>
      </w:r>
    </w:p>
    <w:p w14:paraId="1644F391" w14:textId="77777777" w:rsidR="00357967" w:rsidRPr="00357967" w:rsidRDefault="00357967" w:rsidP="00357967">
      <w:pPr>
        <w:rPr>
          <w:rFonts w:ascii="Arial" w:hAnsi="Arial" w:cs="Arial"/>
          <w:sz w:val="24"/>
        </w:rPr>
      </w:pPr>
      <w:r w:rsidRPr="00357967">
        <w:rPr>
          <w:rFonts w:ascii="Arial" w:hAnsi="Arial" w:cs="Arial"/>
          <w:sz w:val="24"/>
        </w:rPr>
        <w:t>Of these, most (68 per cent) had spent time in residential care. This amounted to 10 per cent of the study group. While this cohort represents a very small portion of</w:t>
      </w:r>
      <w:r>
        <w:rPr>
          <w:rFonts w:ascii="Arial" w:hAnsi="Arial" w:cs="Arial"/>
          <w:sz w:val="24"/>
        </w:rPr>
        <w:t xml:space="preserve"> </w:t>
      </w:r>
      <w:r w:rsidRPr="00357967">
        <w:rPr>
          <w:rFonts w:ascii="Arial" w:hAnsi="Arial" w:cs="Arial"/>
          <w:sz w:val="24"/>
        </w:rPr>
        <w:t>children and young people in care services, it represents a significant proportion of those receiving a sentence or diversion.</w:t>
      </w:r>
    </w:p>
    <w:p w14:paraId="6E40B393" w14:textId="77777777" w:rsidR="00357967" w:rsidRDefault="00357967" w:rsidP="00357967">
      <w:pPr>
        <w:rPr>
          <w:rFonts w:ascii="Arial" w:hAnsi="Arial" w:cs="Arial"/>
          <w:sz w:val="24"/>
        </w:rPr>
      </w:pPr>
      <w:r w:rsidRPr="00357967">
        <w:rPr>
          <w:rFonts w:ascii="Arial" w:hAnsi="Arial" w:cs="Arial"/>
          <w:sz w:val="24"/>
        </w:rPr>
        <w:t>These outcomes and behaviours may be a consequence of being placed in care, or a consequence of the reasons why they were admitted to care, or a combination of both. Approaches to managing young people’s behaviour in care service settings, particularly residential care may also contribute to the over-representation of these adolescents in the youth justice system. For example, police may be used to locate and return children who have run away from care or to respond to problematic and trauma-influenced behaviours in circumstances that might not involve police if the child was living in their family home.</w:t>
      </w:r>
    </w:p>
    <w:p w14:paraId="43360D8E" w14:textId="77777777" w:rsidR="00357967" w:rsidRPr="00357967" w:rsidRDefault="00357967" w:rsidP="00357967">
      <w:pPr>
        <w:pBdr>
          <w:top w:val="single" w:sz="4" w:space="1" w:color="auto"/>
          <w:left w:val="single" w:sz="4" w:space="4" w:color="auto"/>
          <w:bottom w:val="single" w:sz="4" w:space="1" w:color="auto"/>
          <w:right w:val="single" w:sz="4" w:space="4" w:color="auto"/>
        </w:pBdr>
        <w:rPr>
          <w:rFonts w:ascii="Arial" w:hAnsi="Arial" w:cs="Arial"/>
          <w:b/>
          <w:sz w:val="24"/>
        </w:rPr>
      </w:pPr>
      <w:r w:rsidRPr="00357967">
        <w:rPr>
          <w:rFonts w:ascii="Arial" w:hAnsi="Arial" w:cs="Arial"/>
          <w:b/>
          <w:sz w:val="24"/>
        </w:rPr>
        <w:t>Alcohol and Other Drug Capacity Building Project</w:t>
      </w:r>
    </w:p>
    <w:p w14:paraId="0BB2E3DF" w14:textId="77777777" w:rsidR="00357967" w:rsidRPr="00357967" w:rsidRDefault="00357967" w:rsidP="00357967">
      <w:pPr>
        <w:pBdr>
          <w:top w:val="single" w:sz="4" w:space="1" w:color="auto"/>
          <w:left w:val="single" w:sz="4" w:space="4" w:color="auto"/>
          <w:bottom w:val="single" w:sz="4" w:space="1" w:color="auto"/>
          <w:right w:val="single" w:sz="4" w:space="4" w:color="auto"/>
        </w:pBdr>
        <w:rPr>
          <w:rFonts w:ascii="Arial" w:hAnsi="Arial" w:cs="Arial"/>
          <w:sz w:val="24"/>
        </w:rPr>
      </w:pPr>
      <w:r w:rsidRPr="00357967">
        <w:rPr>
          <w:rFonts w:ascii="Arial" w:hAnsi="Arial" w:cs="Arial"/>
          <w:sz w:val="24"/>
        </w:rPr>
        <w:t>Drug Policy and Services fund the Youth Support and Advocacy Service to provide a range of alcohol and other drug capacity building initiatives and resources to care service providers. These include:</w:t>
      </w:r>
    </w:p>
    <w:p w14:paraId="68DC88F9" w14:textId="77777777" w:rsidR="00357967" w:rsidRPr="00357967" w:rsidRDefault="00357967" w:rsidP="00357967">
      <w:pPr>
        <w:pBdr>
          <w:top w:val="single" w:sz="4" w:space="1" w:color="auto"/>
          <w:left w:val="single" w:sz="4" w:space="4" w:color="auto"/>
          <w:bottom w:val="single" w:sz="4" w:space="1" w:color="auto"/>
          <w:right w:val="single" w:sz="4" w:space="4" w:color="auto"/>
        </w:pBdr>
        <w:rPr>
          <w:rFonts w:ascii="Arial" w:hAnsi="Arial" w:cs="Arial"/>
          <w:sz w:val="24"/>
        </w:rPr>
      </w:pPr>
      <w:r w:rsidRPr="00357967">
        <w:rPr>
          <w:rFonts w:ascii="Arial" w:hAnsi="Arial" w:cs="Arial"/>
          <w:sz w:val="24"/>
        </w:rPr>
        <w:t>•</w:t>
      </w:r>
      <w:r>
        <w:rPr>
          <w:rFonts w:ascii="Arial" w:hAnsi="Arial" w:cs="Arial"/>
          <w:sz w:val="24"/>
        </w:rPr>
        <w:t xml:space="preserve"> </w:t>
      </w:r>
      <w:r w:rsidRPr="00357967">
        <w:rPr>
          <w:rFonts w:ascii="Arial" w:hAnsi="Arial" w:cs="Arial"/>
          <w:sz w:val="24"/>
        </w:rPr>
        <w:t>tailored alcohol and other drug information, resources, tools, secondary consultation, care planning and navigation advice via phone, live webchat and an email service delivered predominantly by the Youth Drug and Alcohol Advice service</w:t>
      </w:r>
    </w:p>
    <w:p w14:paraId="6F7FA3AD" w14:textId="77777777" w:rsidR="00357967" w:rsidRPr="00357967" w:rsidRDefault="00357967" w:rsidP="00357967">
      <w:pPr>
        <w:pBdr>
          <w:top w:val="single" w:sz="4" w:space="1" w:color="auto"/>
          <w:left w:val="single" w:sz="4" w:space="4" w:color="auto"/>
          <w:bottom w:val="single" w:sz="4" w:space="1" w:color="auto"/>
          <w:right w:val="single" w:sz="4" w:space="4" w:color="auto"/>
        </w:pBdr>
        <w:rPr>
          <w:rFonts w:ascii="Arial" w:hAnsi="Arial" w:cs="Arial"/>
          <w:sz w:val="24"/>
        </w:rPr>
      </w:pPr>
      <w:r w:rsidRPr="00357967">
        <w:rPr>
          <w:rFonts w:ascii="Arial" w:hAnsi="Arial" w:cs="Arial"/>
          <w:sz w:val="24"/>
        </w:rPr>
        <w:t>•</w:t>
      </w:r>
      <w:r>
        <w:rPr>
          <w:rFonts w:ascii="Arial" w:hAnsi="Arial" w:cs="Arial"/>
          <w:sz w:val="24"/>
        </w:rPr>
        <w:t xml:space="preserve"> </w:t>
      </w:r>
      <w:r w:rsidRPr="00357967">
        <w:rPr>
          <w:rFonts w:ascii="Arial" w:hAnsi="Arial" w:cs="Arial"/>
          <w:sz w:val="24"/>
        </w:rPr>
        <w:t>development of additional resources to support youth alcohol and other drug services providers and workers to navigate the complex presentations of young people in care and to provide evidence-based secondary consultation and training for carers and care service staff</w:t>
      </w:r>
    </w:p>
    <w:p w14:paraId="0EB72148" w14:textId="77777777" w:rsidR="00357967" w:rsidRPr="00357967" w:rsidRDefault="00357967" w:rsidP="00357967">
      <w:pPr>
        <w:pBdr>
          <w:top w:val="single" w:sz="4" w:space="1" w:color="auto"/>
          <w:left w:val="single" w:sz="4" w:space="4" w:color="auto"/>
          <w:bottom w:val="single" w:sz="4" w:space="1" w:color="auto"/>
          <w:right w:val="single" w:sz="4" w:space="4" w:color="auto"/>
        </w:pBdr>
        <w:rPr>
          <w:rFonts w:ascii="Arial" w:hAnsi="Arial" w:cs="Arial"/>
          <w:sz w:val="24"/>
        </w:rPr>
      </w:pPr>
      <w:r w:rsidRPr="00357967">
        <w:rPr>
          <w:rFonts w:ascii="Arial" w:hAnsi="Arial" w:cs="Arial"/>
          <w:sz w:val="24"/>
        </w:rPr>
        <w:t>•</w:t>
      </w:r>
      <w:r>
        <w:rPr>
          <w:rFonts w:ascii="Arial" w:hAnsi="Arial" w:cs="Arial"/>
          <w:sz w:val="24"/>
        </w:rPr>
        <w:t xml:space="preserve"> </w:t>
      </w:r>
      <w:r w:rsidRPr="00357967">
        <w:rPr>
          <w:rFonts w:ascii="Arial" w:hAnsi="Arial" w:cs="Arial"/>
          <w:sz w:val="24"/>
        </w:rPr>
        <w:t>workforce development and coordination of a community of practice to address alcohol and other drug issues in care settings</w:t>
      </w:r>
    </w:p>
    <w:p w14:paraId="22847D55" w14:textId="77777777" w:rsidR="00357967" w:rsidRPr="00357967" w:rsidRDefault="00357967" w:rsidP="00357967">
      <w:pPr>
        <w:pBdr>
          <w:top w:val="single" w:sz="4" w:space="1" w:color="auto"/>
          <w:left w:val="single" w:sz="4" w:space="4" w:color="auto"/>
          <w:bottom w:val="single" w:sz="4" w:space="1" w:color="auto"/>
          <w:right w:val="single" w:sz="4" w:space="4" w:color="auto"/>
        </w:pBdr>
        <w:rPr>
          <w:rFonts w:ascii="Arial" w:hAnsi="Arial" w:cs="Arial"/>
          <w:sz w:val="24"/>
        </w:rPr>
      </w:pPr>
      <w:r w:rsidRPr="00357967">
        <w:rPr>
          <w:rFonts w:ascii="Arial" w:hAnsi="Arial" w:cs="Arial"/>
          <w:sz w:val="24"/>
        </w:rPr>
        <w:t>•</w:t>
      </w:r>
      <w:r>
        <w:rPr>
          <w:rFonts w:ascii="Arial" w:hAnsi="Arial" w:cs="Arial"/>
          <w:sz w:val="24"/>
        </w:rPr>
        <w:t xml:space="preserve"> </w:t>
      </w:r>
      <w:r w:rsidRPr="00357967">
        <w:rPr>
          <w:rFonts w:ascii="Arial" w:hAnsi="Arial" w:cs="Arial"/>
          <w:sz w:val="24"/>
        </w:rPr>
        <w:t>capacity building of carers to build resilience and reduce the risk of alcohol and other drug use for young people in care</w:t>
      </w:r>
    </w:p>
    <w:p w14:paraId="4FC8E5DE" w14:textId="77777777" w:rsidR="00357967" w:rsidRPr="00357967" w:rsidRDefault="00357967" w:rsidP="00357967">
      <w:pPr>
        <w:pBdr>
          <w:top w:val="single" w:sz="4" w:space="1" w:color="auto"/>
          <w:left w:val="single" w:sz="4" w:space="4" w:color="auto"/>
          <w:bottom w:val="single" w:sz="4" w:space="1" w:color="auto"/>
          <w:right w:val="single" w:sz="4" w:space="4" w:color="auto"/>
        </w:pBdr>
        <w:rPr>
          <w:rFonts w:ascii="Arial" w:hAnsi="Arial" w:cs="Arial"/>
          <w:sz w:val="24"/>
        </w:rPr>
      </w:pPr>
      <w:r w:rsidRPr="00357967">
        <w:rPr>
          <w:rFonts w:ascii="Arial" w:hAnsi="Arial" w:cs="Arial"/>
          <w:sz w:val="24"/>
        </w:rPr>
        <w:t>•</w:t>
      </w:r>
      <w:r>
        <w:rPr>
          <w:rFonts w:ascii="Arial" w:hAnsi="Arial" w:cs="Arial"/>
          <w:sz w:val="24"/>
        </w:rPr>
        <w:t xml:space="preserve"> </w:t>
      </w:r>
      <w:r w:rsidRPr="00357967">
        <w:rPr>
          <w:rFonts w:ascii="Arial" w:hAnsi="Arial" w:cs="Arial"/>
          <w:sz w:val="24"/>
        </w:rPr>
        <w:t>responsive training and case consultation for the care sector and promotion of cross-sector collaboration.</w:t>
      </w:r>
    </w:p>
    <w:p w14:paraId="69275421" w14:textId="77777777" w:rsidR="00D96027" w:rsidRPr="00031151" w:rsidRDefault="00D96027" w:rsidP="00031151">
      <w:pPr>
        <w:pStyle w:val="Heading3"/>
        <w:rPr>
          <w:rFonts w:ascii="Arial" w:hAnsi="Arial" w:cs="Arial"/>
          <w:color w:val="auto"/>
          <w:sz w:val="24"/>
        </w:rPr>
      </w:pPr>
      <w:bookmarkStart w:id="66" w:name="_Toc33527791"/>
      <w:r w:rsidRPr="00031151">
        <w:rPr>
          <w:rFonts w:ascii="Arial" w:hAnsi="Arial" w:cs="Arial"/>
          <w:color w:val="auto"/>
          <w:sz w:val="24"/>
        </w:rPr>
        <w:lastRenderedPageBreak/>
        <w:t>5.9</w:t>
      </w:r>
      <w:r w:rsidRPr="00031151">
        <w:rPr>
          <w:rFonts w:ascii="Arial" w:hAnsi="Arial" w:cs="Arial"/>
          <w:color w:val="auto"/>
          <w:sz w:val="24"/>
        </w:rPr>
        <w:tab/>
        <w:t>A growing proportion of adolescents who access homelessness services have recently left care services</w:t>
      </w:r>
      <w:bookmarkEnd w:id="66"/>
    </w:p>
    <w:p w14:paraId="24D37811" w14:textId="77777777" w:rsidR="00D96027" w:rsidRPr="00D96027" w:rsidRDefault="00D96027" w:rsidP="00D96027">
      <w:pPr>
        <w:rPr>
          <w:rFonts w:ascii="Arial" w:hAnsi="Arial" w:cs="Arial"/>
          <w:sz w:val="24"/>
        </w:rPr>
      </w:pPr>
      <w:r w:rsidRPr="00D96027">
        <w:rPr>
          <w:rFonts w:ascii="Arial" w:hAnsi="Arial" w:cs="Arial"/>
          <w:sz w:val="24"/>
        </w:rPr>
        <w:t>Young people are at high risk of becoming homeless after leaving care. Approximately one-third of Victorian children leaving care services access homelessness services</w:t>
      </w:r>
      <w:r>
        <w:rPr>
          <w:rFonts w:ascii="Arial" w:hAnsi="Arial" w:cs="Arial"/>
          <w:sz w:val="24"/>
        </w:rPr>
        <w:t xml:space="preserve"> </w:t>
      </w:r>
      <w:r w:rsidRPr="00D96027">
        <w:rPr>
          <w:rFonts w:ascii="Arial" w:hAnsi="Arial" w:cs="Arial"/>
          <w:sz w:val="24"/>
        </w:rPr>
        <w:t>in the years that follow their exit (DET, 2018c). The majority of service clients are not homeless on presentation but are at risk of losing existing accommodation. Services range from assistance with rent arrears to provision of emergency accommodation (AIHW, 2019). Research suggests that the risks are heightened by their limited social and financial resources, level of independent living skills, and the high rates of mental health issues and substance use among this group (Dworsky, Napolitano, &amp; Courtney, 2013).</w:t>
      </w:r>
    </w:p>
    <w:p w14:paraId="5FB1E43D" w14:textId="77777777" w:rsidR="00D96027" w:rsidRPr="00D96027" w:rsidRDefault="00D96027" w:rsidP="00D96027">
      <w:pPr>
        <w:rPr>
          <w:rFonts w:ascii="Arial" w:hAnsi="Arial" w:cs="Arial"/>
          <w:sz w:val="24"/>
        </w:rPr>
      </w:pPr>
      <w:r w:rsidRPr="00D96027">
        <w:rPr>
          <w:rFonts w:ascii="Arial" w:hAnsi="Arial" w:cs="Arial"/>
          <w:sz w:val="24"/>
        </w:rPr>
        <w:t>Many young people in care and their care workers are aware of this risk. The Beyond 18 Longitudinal Study on Leaving Care found that securing post-care accommodation was the overwhelming concern for those in care and their case workers when planning for the transition (Muir &amp; Hand, 2018).</w:t>
      </w:r>
    </w:p>
    <w:p w14:paraId="468DDD9D" w14:textId="77777777" w:rsidR="00E27BC2" w:rsidRDefault="00D96027" w:rsidP="00D96027">
      <w:pPr>
        <w:rPr>
          <w:rFonts w:ascii="Arial" w:hAnsi="Arial" w:cs="Arial"/>
          <w:sz w:val="24"/>
        </w:rPr>
      </w:pPr>
      <w:r w:rsidRPr="00D96027">
        <w:rPr>
          <w:rFonts w:ascii="Arial" w:hAnsi="Arial" w:cs="Arial"/>
          <w:sz w:val="24"/>
        </w:rPr>
        <w:t>Among adolescents who access homelessne</w:t>
      </w:r>
      <w:r w:rsidR="00031151">
        <w:rPr>
          <w:rFonts w:ascii="Arial" w:hAnsi="Arial" w:cs="Arial"/>
          <w:sz w:val="24"/>
        </w:rPr>
        <w:t xml:space="preserve">ss services, those aged 15-17, </w:t>
      </w:r>
      <w:r w:rsidRPr="00D96027">
        <w:rPr>
          <w:rFonts w:ascii="Arial" w:hAnsi="Arial" w:cs="Arial"/>
          <w:sz w:val="24"/>
        </w:rPr>
        <w:t>particularly Aboriginal males, are most likely to be transitioning from care. Specialist Homelessness Services data from 2017-18 shows that of all 15-17 year olds who presented on their own for assistance, approximately 10 per cent were transitioning from care services or were receiving assistance from the Leaving Care Housing and Support program—up from seven per cent in 2012-13. Among young Aboriginal males</w:t>
      </w:r>
      <w:r>
        <w:rPr>
          <w:rFonts w:ascii="Arial" w:hAnsi="Arial" w:cs="Arial"/>
          <w:sz w:val="24"/>
        </w:rPr>
        <w:t xml:space="preserve"> </w:t>
      </w:r>
      <w:r w:rsidRPr="00D96027">
        <w:rPr>
          <w:rFonts w:ascii="Arial" w:hAnsi="Arial" w:cs="Arial"/>
          <w:sz w:val="24"/>
        </w:rPr>
        <w:t>the proportion was 22 per cent—up from 17 per cent in 2012-13. Those aged 20-24 who accessed homelessness services were the least likely to be transitioning from care, with less than one per cent in that situation.</w:t>
      </w:r>
    </w:p>
    <w:p w14:paraId="4B7BA7A0" w14:textId="77777777" w:rsidR="00D96027" w:rsidRDefault="00E53F79" w:rsidP="00D96027">
      <w:pPr>
        <w:rPr>
          <w:rFonts w:ascii="Arial" w:hAnsi="Arial" w:cs="Arial"/>
          <w:b/>
          <w:sz w:val="24"/>
        </w:rPr>
      </w:pPr>
      <w:r w:rsidRPr="003268C0">
        <w:rPr>
          <w:rFonts w:ascii="Arial" w:hAnsi="Arial" w:cs="Arial"/>
          <w:b/>
          <w:sz w:val="24"/>
        </w:rPr>
        <w:t>Figure 52. Proportion of young people accessing homelessness services who are transitioning from care services, of all clients with that age/sex/Aboriginal status, Victoria, 2012–13 to 2017–18</w:t>
      </w:r>
    </w:p>
    <w:tbl>
      <w:tblPr>
        <w:tblStyle w:val="TableGrid"/>
        <w:tblW w:w="5000" w:type="pct"/>
        <w:tblLook w:val="04A0" w:firstRow="1" w:lastRow="0" w:firstColumn="1" w:lastColumn="0" w:noHBand="0" w:noVBand="1"/>
        <w:tblDescription w:val="This table shows the proportion of young people accessing homelessness services who are transitioning from care services, of all clients with that age/sex/Aboriginal status, Victoria, 2012–13 to 2017–18"/>
      </w:tblPr>
      <w:tblGrid>
        <w:gridCol w:w="1697"/>
        <w:gridCol w:w="1419"/>
        <w:gridCol w:w="1134"/>
        <w:gridCol w:w="1132"/>
        <w:gridCol w:w="1138"/>
        <w:gridCol w:w="2496"/>
      </w:tblGrid>
      <w:tr w:rsidR="007851FC" w:rsidRPr="00031151" w14:paraId="38AAF917" w14:textId="77777777" w:rsidTr="007851FC">
        <w:trPr>
          <w:tblHeader/>
        </w:trPr>
        <w:tc>
          <w:tcPr>
            <w:tcW w:w="941" w:type="pct"/>
          </w:tcPr>
          <w:p w14:paraId="61DA8BED" w14:textId="77777777" w:rsidR="00031151" w:rsidRPr="00031151" w:rsidRDefault="00031151" w:rsidP="00031151">
            <w:pPr>
              <w:rPr>
                <w:rFonts w:ascii="Arial" w:hAnsi="Arial" w:cs="Arial"/>
                <w:sz w:val="24"/>
                <w:szCs w:val="24"/>
              </w:rPr>
            </w:pPr>
          </w:p>
        </w:tc>
        <w:tc>
          <w:tcPr>
            <w:tcW w:w="787" w:type="pct"/>
          </w:tcPr>
          <w:p w14:paraId="1836E508" w14:textId="77777777" w:rsidR="00031151" w:rsidRPr="00031151" w:rsidRDefault="00031151" w:rsidP="00031151">
            <w:pPr>
              <w:rPr>
                <w:rFonts w:ascii="Arial" w:hAnsi="Arial" w:cs="Arial"/>
                <w:sz w:val="24"/>
                <w:szCs w:val="24"/>
              </w:rPr>
            </w:pPr>
            <w:r>
              <w:rPr>
                <w:rFonts w:ascii="Arial" w:hAnsi="Arial" w:cs="Arial"/>
                <w:sz w:val="24"/>
                <w:szCs w:val="24"/>
              </w:rPr>
              <w:t>All</w:t>
            </w:r>
          </w:p>
        </w:tc>
        <w:tc>
          <w:tcPr>
            <w:tcW w:w="629" w:type="pct"/>
          </w:tcPr>
          <w:p w14:paraId="0CFD26E5" w14:textId="77777777" w:rsidR="00031151" w:rsidRPr="00031151" w:rsidRDefault="00031151" w:rsidP="00031151">
            <w:pPr>
              <w:rPr>
                <w:rFonts w:ascii="Arial" w:hAnsi="Arial" w:cs="Arial"/>
                <w:sz w:val="24"/>
                <w:szCs w:val="24"/>
              </w:rPr>
            </w:pPr>
            <w:r>
              <w:rPr>
                <w:rFonts w:ascii="Arial" w:hAnsi="Arial" w:cs="Arial"/>
                <w:sz w:val="24"/>
                <w:szCs w:val="24"/>
              </w:rPr>
              <w:t>Aged 15-17</w:t>
            </w:r>
          </w:p>
        </w:tc>
        <w:tc>
          <w:tcPr>
            <w:tcW w:w="628" w:type="pct"/>
          </w:tcPr>
          <w:p w14:paraId="66C9E180" w14:textId="77777777" w:rsidR="00031151" w:rsidRPr="00031151" w:rsidRDefault="00031151" w:rsidP="00031151">
            <w:pPr>
              <w:rPr>
                <w:rFonts w:ascii="Arial" w:hAnsi="Arial" w:cs="Arial"/>
                <w:sz w:val="24"/>
                <w:szCs w:val="24"/>
              </w:rPr>
            </w:pPr>
            <w:r>
              <w:rPr>
                <w:rFonts w:ascii="Arial" w:hAnsi="Arial" w:cs="Arial"/>
                <w:sz w:val="24"/>
                <w:szCs w:val="24"/>
              </w:rPr>
              <w:t>Aged 18-19</w:t>
            </w:r>
          </w:p>
        </w:tc>
        <w:tc>
          <w:tcPr>
            <w:tcW w:w="631" w:type="pct"/>
          </w:tcPr>
          <w:p w14:paraId="69DCE22F" w14:textId="77777777" w:rsidR="00031151" w:rsidRPr="00031151" w:rsidRDefault="00031151" w:rsidP="00031151">
            <w:pPr>
              <w:rPr>
                <w:rFonts w:ascii="Arial" w:hAnsi="Arial" w:cs="Arial"/>
                <w:sz w:val="24"/>
                <w:szCs w:val="24"/>
              </w:rPr>
            </w:pPr>
            <w:r>
              <w:rPr>
                <w:rFonts w:ascii="Arial" w:hAnsi="Arial" w:cs="Arial"/>
                <w:sz w:val="24"/>
                <w:szCs w:val="24"/>
              </w:rPr>
              <w:t>Aged 20-24</w:t>
            </w:r>
          </w:p>
        </w:tc>
        <w:tc>
          <w:tcPr>
            <w:tcW w:w="1385" w:type="pct"/>
          </w:tcPr>
          <w:p w14:paraId="59DE1A7C" w14:textId="77777777" w:rsidR="00031151" w:rsidRPr="00031151" w:rsidRDefault="00031151" w:rsidP="00031151">
            <w:pPr>
              <w:rPr>
                <w:rFonts w:ascii="Arial" w:hAnsi="Arial" w:cs="Arial"/>
                <w:sz w:val="24"/>
                <w:szCs w:val="24"/>
              </w:rPr>
            </w:pPr>
            <w:r>
              <w:rPr>
                <w:rFonts w:ascii="Arial" w:hAnsi="Arial" w:cs="Arial"/>
                <w:sz w:val="24"/>
                <w:szCs w:val="24"/>
              </w:rPr>
              <w:t>Aged 15-17 Aboriginal Male</w:t>
            </w:r>
          </w:p>
        </w:tc>
      </w:tr>
      <w:tr w:rsidR="007851FC" w:rsidRPr="00031151" w14:paraId="3CA1DB31" w14:textId="77777777" w:rsidTr="007851FC">
        <w:tc>
          <w:tcPr>
            <w:tcW w:w="941" w:type="pct"/>
          </w:tcPr>
          <w:p w14:paraId="1222AC5E" w14:textId="77777777" w:rsidR="00031151" w:rsidRPr="00031151" w:rsidRDefault="00031151" w:rsidP="00031151">
            <w:pPr>
              <w:rPr>
                <w:rFonts w:ascii="Arial" w:hAnsi="Arial" w:cs="Arial"/>
                <w:sz w:val="24"/>
                <w:szCs w:val="24"/>
              </w:rPr>
            </w:pPr>
            <w:r w:rsidRPr="00031151">
              <w:rPr>
                <w:rFonts w:ascii="Arial" w:hAnsi="Arial" w:cs="Arial"/>
                <w:sz w:val="24"/>
                <w:szCs w:val="24"/>
              </w:rPr>
              <w:t>2012-13</w:t>
            </w:r>
          </w:p>
        </w:tc>
        <w:tc>
          <w:tcPr>
            <w:tcW w:w="787" w:type="pct"/>
          </w:tcPr>
          <w:p w14:paraId="573B50CA" w14:textId="77777777" w:rsidR="00031151" w:rsidRPr="00031151" w:rsidRDefault="00031151" w:rsidP="00031151">
            <w:pPr>
              <w:rPr>
                <w:rFonts w:ascii="Arial" w:hAnsi="Arial" w:cs="Arial"/>
                <w:sz w:val="24"/>
                <w:szCs w:val="24"/>
              </w:rPr>
            </w:pPr>
            <w:r>
              <w:rPr>
                <w:rFonts w:ascii="Arial" w:hAnsi="Arial" w:cs="Arial"/>
                <w:sz w:val="24"/>
                <w:szCs w:val="24"/>
              </w:rPr>
              <w:t>3%</w:t>
            </w:r>
          </w:p>
        </w:tc>
        <w:tc>
          <w:tcPr>
            <w:tcW w:w="629" w:type="pct"/>
          </w:tcPr>
          <w:p w14:paraId="19972988" w14:textId="77777777" w:rsidR="00031151" w:rsidRPr="00031151" w:rsidRDefault="00031151" w:rsidP="00031151">
            <w:pPr>
              <w:rPr>
                <w:rFonts w:ascii="Arial" w:hAnsi="Arial" w:cs="Arial"/>
                <w:sz w:val="24"/>
                <w:szCs w:val="24"/>
              </w:rPr>
            </w:pPr>
            <w:r>
              <w:rPr>
                <w:rFonts w:ascii="Arial" w:hAnsi="Arial" w:cs="Arial"/>
                <w:sz w:val="24"/>
                <w:szCs w:val="24"/>
              </w:rPr>
              <w:t>7%</w:t>
            </w:r>
          </w:p>
        </w:tc>
        <w:tc>
          <w:tcPr>
            <w:tcW w:w="628" w:type="pct"/>
          </w:tcPr>
          <w:p w14:paraId="5720F935" w14:textId="77777777" w:rsidR="00031151" w:rsidRPr="00031151" w:rsidRDefault="00031151" w:rsidP="00031151">
            <w:pPr>
              <w:rPr>
                <w:rFonts w:ascii="Arial" w:hAnsi="Arial" w:cs="Arial"/>
                <w:sz w:val="24"/>
                <w:szCs w:val="24"/>
              </w:rPr>
            </w:pPr>
            <w:r>
              <w:rPr>
                <w:rFonts w:ascii="Arial" w:hAnsi="Arial" w:cs="Arial"/>
                <w:sz w:val="24"/>
                <w:szCs w:val="24"/>
              </w:rPr>
              <w:t>6%</w:t>
            </w:r>
          </w:p>
        </w:tc>
        <w:tc>
          <w:tcPr>
            <w:tcW w:w="631" w:type="pct"/>
          </w:tcPr>
          <w:p w14:paraId="270545F0" w14:textId="77777777" w:rsidR="00031151" w:rsidRPr="00031151" w:rsidRDefault="00031151" w:rsidP="00031151">
            <w:pPr>
              <w:rPr>
                <w:rFonts w:ascii="Arial" w:hAnsi="Arial" w:cs="Arial"/>
                <w:sz w:val="24"/>
                <w:szCs w:val="24"/>
              </w:rPr>
            </w:pPr>
            <w:r>
              <w:rPr>
                <w:rFonts w:ascii="Arial" w:hAnsi="Arial" w:cs="Arial"/>
                <w:sz w:val="24"/>
                <w:szCs w:val="24"/>
              </w:rPr>
              <w:t>1%</w:t>
            </w:r>
          </w:p>
        </w:tc>
        <w:tc>
          <w:tcPr>
            <w:tcW w:w="1385" w:type="pct"/>
          </w:tcPr>
          <w:p w14:paraId="1058E04E" w14:textId="77777777" w:rsidR="00031151" w:rsidRDefault="00031151" w:rsidP="00031151">
            <w:pPr>
              <w:rPr>
                <w:rFonts w:ascii="Arial" w:hAnsi="Arial" w:cs="Arial"/>
                <w:sz w:val="24"/>
                <w:szCs w:val="24"/>
              </w:rPr>
            </w:pPr>
            <w:r>
              <w:rPr>
                <w:rFonts w:ascii="Arial" w:hAnsi="Arial" w:cs="Arial"/>
                <w:sz w:val="24"/>
                <w:szCs w:val="24"/>
              </w:rPr>
              <w:t>17%</w:t>
            </w:r>
          </w:p>
        </w:tc>
      </w:tr>
      <w:tr w:rsidR="007851FC" w:rsidRPr="00031151" w14:paraId="71BD2D8C" w14:textId="77777777" w:rsidTr="007851FC">
        <w:tc>
          <w:tcPr>
            <w:tcW w:w="941" w:type="pct"/>
          </w:tcPr>
          <w:p w14:paraId="2862ABE3" w14:textId="77777777" w:rsidR="00031151" w:rsidRPr="00031151" w:rsidRDefault="00031151" w:rsidP="00031151">
            <w:pPr>
              <w:rPr>
                <w:rFonts w:ascii="Arial" w:hAnsi="Arial" w:cs="Arial"/>
                <w:sz w:val="24"/>
                <w:szCs w:val="24"/>
              </w:rPr>
            </w:pPr>
            <w:r w:rsidRPr="00031151">
              <w:rPr>
                <w:rFonts w:ascii="Arial" w:hAnsi="Arial" w:cs="Arial"/>
                <w:sz w:val="24"/>
                <w:szCs w:val="24"/>
              </w:rPr>
              <w:t>2013-14</w:t>
            </w:r>
          </w:p>
        </w:tc>
        <w:tc>
          <w:tcPr>
            <w:tcW w:w="787" w:type="pct"/>
          </w:tcPr>
          <w:p w14:paraId="6C68E912" w14:textId="77777777" w:rsidR="00031151" w:rsidRPr="00031151" w:rsidRDefault="00031151" w:rsidP="00031151">
            <w:pPr>
              <w:rPr>
                <w:rFonts w:ascii="Arial" w:hAnsi="Arial" w:cs="Arial"/>
                <w:sz w:val="24"/>
                <w:szCs w:val="24"/>
              </w:rPr>
            </w:pPr>
            <w:r>
              <w:rPr>
                <w:rFonts w:ascii="Arial" w:hAnsi="Arial" w:cs="Arial"/>
                <w:sz w:val="24"/>
                <w:szCs w:val="24"/>
              </w:rPr>
              <w:t>3%</w:t>
            </w:r>
          </w:p>
        </w:tc>
        <w:tc>
          <w:tcPr>
            <w:tcW w:w="629" w:type="pct"/>
          </w:tcPr>
          <w:p w14:paraId="0FC24DEE" w14:textId="77777777" w:rsidR="00031151" w:rsidRPr="00031151" w:rsidRDefault="00031151" w:rsidP="00031151">
            <w:pPr>
              <w:rPr>
                <w:rFonts w:ascii="Arial" w:hAnsi="Arial" w:cs="Arial"/>
                <w:sz w:val="24"/>
                <w:szCs w:val="24"/>
              </w:rPr>
            </w:pPr>
            <w:r>
              <w:rPr>
                <w:rFonts w:ascii="Arial" w:hAnsi="Arial" w:cs="Arial"/>
                <w:sz w:val="24"/>
                <w:szCs w:val="24"/>
              </w:rPr>
              <w:t>8%</w:t>
            </w:r>
          </w:p>
        </w:tc>
        <w:tc>
          <w:tcPr>
            <w:tcW w:w="628" w:type="pct"/>
          </w:tcPr>
          <w:p w14:paraId="2C3456A3" w14:textId="77777777" w:rsidR="00031151" w:rsidRPr="00031151" w:rsidRDefault="00031151" w:rsidP="00031151">
            <w:pPr>
              <w:rPr>
                <w:rFonts w:ascii="Arial" w:hAnsi="Arial" w:cs="Arial"/>
                <w:sz w:val="24"/>
                <w:szCs w:val="24"/>
              </w:rPr>
            </w:pPr>
            <w:r>
              <w:rPr>
                <w:rFonts w:ascii="Arial" w:hAnsi="Arial" w:cs="Arial"/>
                <w:sz w:val="24"/>
                <w:szCs w:val="24"/>
              </w:rPr>
              <w:t>6%</w:t>
            </w:r>
          </w:p>
        </w:tc>
        <w:tc>
          <w:tcPr>
            <w:tcW w:w="631" w:type="pct"/>
          </w:tcPr>
          <w:p w14:paraId="6EEC8760" w14:textId="77777777" w:rsidR="00031151" w:rsidRPr="00031151" w:rsidRDefault="00031151" w:rsidP="00031151">
            <w:pPr>
              <w:rPr>
                <w:rFonts w:ascii="Arial" w:hAnsi="Arial" w:cs="Arial"/>
                <w:sz w:val="24"/>
                <w:szCs w:val="24"/>
              </w:rPr>
            </w:pPr>
            <w:r>
              <w:rPr>
                <w:rFonts w:ascii="Arial" w:hAnsi="Arial" w:cs="Arial"/>
                <w:sz w:val="24"/>
                <w:szCs w:val="24"/>
              </w:rPr>
              <w:t>1%</w:t>
            </w:r>
          </w:p>
        </w:tc>
        <w:tc>
          <w:tcPr>
            <w:tcW w:w="1385" w:type="pct"/>
          </w:tcPr>
          <w:p w14:paraId="031257C1" w14:textId="77777777" w:rsidR="00031151" w:rsidRDefault="00031151" w:rsidP="00031151">
            <w:pPr>
              <w:rPr>
                <w:rFonts w:ascii="Arial" w:hAnsi="Arial" w:cs="Arial"/>
                <w:sz w:val="24"/>
                <w:szCs w:val="24"/>
              </w:rPr>
            </w:pPr>
            <w:r>
              <w:rPr>
                <w:rFonts w:ascii="Arial" w:hAnsi="Arial" w:cs="Arial"/>
                <w:sz w:val="24"/>
                <w:szCs w:val="24"/>
              </w:rPr>
              <w:t>13%</w:t>
            </w:r>
          </w:p>
        </w:tc>
      </w:tr>
      <w:tr w:rsidR="007851FC" w:rsidRPr="00031151" w14:paraId="5EADA27B" w14:textId="77777777" w:rsidTr="007851FC">
        <w:tc>
          <w:tcPr>
            <w:tcW w:w="941" w:type="pct"/>
          </w:tcPr>
          <w:p w14:paraId="01895B09" w14:textId="77777777" w:rsidR="00031151" w:rsidRPr="00031151" w:rsidRDefault="00031151" w:rsidP="00031151">
            <w:pPr>
              <w:rPr>
                <w:rFonts w:ascii="Arial" w:hAnsi="Arial" w:cs="Arial"/>
                <w:sz w:val="24"/>
                <w:szCs w:val="24"/>
              </w:rPr>
            </w:pPr>
            <w:r w:rsidRPr="00031151">
              <w:rPr>
                <w:rFonts w:ascii="Arial" w:hAnsi="Arial" w:cs="Arial"/>
                <w:sz w:val="24"/>
                <w:szCs w:val="24"/>
              </w:rPr>
              <w:t>2014-15</w:t>
            </w:r>
          </w:p>
        </w:tc>
        <w:tc>
          <w:tcPr>
            <w:tcW w:w="787" w:type="pct"/>
          </w:tcPr>
          <w:p w14:paraId="0D76268A" w14:textId="77777777" w:rsidR="00031151" w:rsidRPr="00031151" w:rsidRDefault="00031151" w:rsidP="00031151">
            <w:pPr>
              <w:rPr>
                <w:rFonts w:ascii="Arial" w:hAnsi="Arial" w:cs="Arial"/>
                <w:sz w:val="24"/>
                <w:szCs w:val="24"/>
              </w:rPr>
            </w:pPr>
            <w:r>
              <w:rPr>
                <w:rFonts w:ascii="Arial" w:hAnsi="Arial" w:cs="Arial"/>
                <w:sz w:val="24"/>
                <w:szCs w:val="24"/>
              </w:rPr>
              <w:t>3%</w:t>
            </w:r>
          </w:p>
        </w:tc>
        <w:tc>
          <w:tcPr>
            <w:tcW w:w="629" w:type="pct"/>
          </w:tcPr>
          <w:p w14:paraId="08B12D71" w14:textId="77777777" w:rsidR="00031151" w:rsidRPr="00031151" w:rsidRDefault="00031151" w:rsidP="00031151">
            <w:pPr>
              <w:rPr>
                <w:rFonts w:ascii="Arial" w:hAnsi="Arial" w:cs="Arial"/>
                <w:sz w:val="24"/>
                <w:szCs w:val="24"/>
              </w:rPr>
            </w:pPr>
            <w:r>
              <w:rPr>
                <w:rFonts w:ascii="Arial" w:hAnsi="Arial" w:cs="Arial"/>
                <w:sz w:val="24"/>
                <w:szCs w:val="24"/>
              </w:rPr>
              <w:t>8%</w:t>
            </w:r>
          </w:p>
        </w:tc>
        <w:tc>
          <w:tcPr>
            <w:tcW w:w="628" w:type="pct"/>
          </w:tcPr>
          <w:p w14:paraId="1028F499" w14:textId="77777777" w:rsidR="00031151" w:rsidRPr="00031151" w:rsidRDefault="00031151" w:rsidP="00031151">
            <w:pPr>
              <w:rPr>
                <w:rFonts w:ascii="Arial" w:hAnsi="Arial" w:cs="Arial"/>
                <w:sz w:val="24"/>
                <w:szCs w:val="24"/>
              </w:rPr>
            </w:pPr>
            <w:r>
              <w:rPr>
                <w:rFonts w:ascii="Arial" w:hAnsi="Arial" w:cs="Arial"/>
                <w:sz w:val="24"/>
                <w:szCs w:val="24"/>
              </w:rPr>
              <w:t>6%</w:t>
            </w:r>
          </w:p>
        </w:tc>
        <w:tc>
          <w:tcPr>
            <w:tcW w:w="631" w:type="pct"/>
          </w:tcPr>
          <w:p w14:paraId="0E3C57AE" w14:textId="77777777" w:rsidR="00031151" w:rsidRPr="00031151" w:rsidRDefault="00031151" w:rsidP="00031151">
            <w:pPr>
              <w:rPr>
                <w:rFonts w:ascii="Arial" w:hAnsi="Arial" w:cs="Arial"/>
                <w:sz w:val="24"/>
                <w:szCs w:val="24"/>
              </w:rPr>
            </w:pPr>
            <w:r>
              <w:rPr>
                <w:rFonts w:ascii="Arial" w:hAnsi="Arial" w:cs="Arial"/>
                <w:sz w:val="24"/>
                <w:szCs w:val="24"/>
              </w:rPr>
              <w:t>1%</w:t>
            </w:r>
          </w:p>
        </w:tc>
        <w:tc>
          <w:tcPr>
            <w:tcW w:w="1385" w:type="pct"/>
          </w:tcPr>
          <w:p w14:paraId="3BFC71FC" w14:textId="77777777" w:rsidR="00031151" w:rsidRDefault="00031151" w:rsidP="00031151">
            <w:pPr>
              <w:rPr>
                <w:rFonts w:ascii="Arial" w:hAnsi="Arial" w:cs="Arial"/>
                <w:sz w:val="24"/>
                <w:szCs w:val="24"/>
              </w:rPr>
            </w:pPr>
            <w:r>
              <w:rPr>
                <w:rFonts w:ascii="Arial" w:hAnsi="Arial" w:cs="Arial"/>
                <w:sz w:val="24"/>
                <w:szCs w:val="24"/>
              </w:rPr>
              <w:t>13%</w:t>
            </w:r>
          </w:p>
        </w:tc>
      </w:tr>
      <w:tr w:rsidR="007851FC" w:rsidRPr="00031151" w14:paraId="55C39110" w14:textId="77777777" w:rsidTr="007851FC">
        <w:tc>
          <w:tcPr>
            <w:tcW w:w="941" w:type="pct"/>
          </w:tcPr>
          <w:p w14:paraId="463F273E" w14:textId="77777777" w:rsidR="00031151" w:rsidRPr="00031151" w:rsidRDefault="00031151" w:rsidP="00031151">
            <w:pPr>
              <w:rPr>
                <w:rFonts w:ascii="Arial" w:hAnsi="Arial" w:cs="Arial"/>
                <w:sz w:val="24"/>
                <w:szCs w:val="24"/>
              </w:rPr>
            </w:pPr>
            <w:r w:rsidRPr="00031151">
              <w:rPr>
                <w:rFonts w:ascii="Arial" w:hAnsi="Arial" w:cs="Arial"/>
                <w:sz w:val="24"/>
                <w:szCs w:val="24"/>
              </w:rPr>
              <w:t>2015-16</w:t>
            </w:r>
          </w:p>
        </w:tc>
        <w:tc>
          <w:tcPr>
            <w:tcW w:w="787" w:type="pct"/>
          </w:tcPr>
          <w:p w14:paraId="7FD15833" w14:textId="77777777" w:rsidR="00031151" w:rsidRPr="00031151" w:rsidRDefault="00031151" w:rsidP="00031151">
            <w:pPr>
              <w:rPr>
                <w:rFonts w:ascii="Arial" w:hAnsi="Arial" w:cs="Arial"/>
                <w:sz w:val="24"/>
                <w:szCs w:val="24"/>
              </w:rPr>
            </w:pPr>
            <w:r>
              <w:rPr>
                <w:rFonts w:ascii="Arial" w:hAnsi="Arial" w:cs="Arial"/>
                <w:sz w:val="24"/>
                <w:szCs w:val="24"/>
              </w:rPr>
              <w:t>3%</w:t>
            </w:r>
          </w:p>
        </w:tc>
        <w:tc>
          <w:tcPr>
            <w:tcW w:w="629" w:type="pct"/>
          </w:tcPr>
          <w:p w14:paraId="1D31A533" w14:textId="77777777" w:rsidR="00031151" w:rsidRPr="00031151" w:rsidRDefault="00031151" w:rsidP="00031151">
            <w:pPr>
              <w:rPr>
                <w:rFonts w:ascii="Arial" w:hAnsi="Arial" w:cs="Arial"/>
                <w:sz w:val="24"/>
                <w:szCs w:val="24"/>
              </w:rPr>
            </w:pPr>
            <w:r>
              <w:rPr>
                <w:rFonts w:ascii="Arial" w:hAnsi="Arial" w:cs="Arial"/>
                <w:sz w:val="24"/>
                <w:szCs w:val="24"/>
              </w:rPr>
              <w:t>8%</w:t>
            </w:r>
          </w:p>
        </w:tc>
        <w:tc>
          <w:tcPr>
            <w:tcW w:w="628" w:type="pct"/>
          </w:tcPr>
          <w:p w14:paraId="149B54FF" w14:textId="77777777" w:rsidR="00031151" w:rsidRPr="00031151" w:rsidRDefault="00031151" w:rsidP="00031151">
            <w:pPr>
              <w:rPr>
                <w:rFonts w:ascii="Arial" w:hAnsi="Arial" w:cs="Arial"/>
                <w:sz w:val="24"/>
                <w:szCs w:val="24"/>
              </w:rPr>
            </w:pPr>
            <w:r>
              <w:rPr>
                <w:rFonts w:ascii="Arial" w:hAnsi="Arial" w:cs="Arial"/>
                <w:sz w:val="24"/>
                <w:szCs w:val="24"/>
              </w:rPr>
              <w:t>6%</w:t>
            </w:r>
          </w:p>
        </w:tc>
        <w:tc>
          <w:tcPr>
            <w:tcW w:w="631" w:type="pct"/>
          </w:tcPr>
          <w:p w14:paraId="26186858" w14:textId="77777777" w:rsidR="00031151" w:rsidRPr="00031151" w:rsidRDefault="00031151" w:rsidP="00031151">
            <w:pPr>
              <w:rPr>
                <w:rFonts w:ascii="Arial" w:hAnsi="Arial" w:cs="Arial"/>
                <w:sz w:val="24"/>
                <w:szCs w:val="24"/>
              </w:rPr>
            </w:pPr>
            <w:r>
              <w:rPr>
                <w:rFonts w:ascii="Arial" w:hAnsi="Arial" w:cs="Arial"/>
                <w:sz w:val="24"/>
                <w:szCs w:val="24"/>
              </w:rPr>
              <w:t>1%</w:t>
            </w:r>
          </w:p>
        </w:tc>
        <w:tc>
          <w:tcPr>
            <w:tcW w:w="1385" w:type="pct"/>
          </w:tcPr>
          <w:p w14:paraId="1167CA2B" w14:textId="77777777" w:rsidR="00031151" w:rsidRDefault="00031151" w:rsidP="00031151">
            <w:pPr>
              <w:rPr>
                <w:rFonts w:ascii="Arial" w:hAnsi="Arial" w:cs="Arial"/>
                <w:sz w:val="24"/>
                <w:szCs w:val="24"/>
              </w:rPr>
            </w:pPr>
            <w:r>
              <w:rPr>
                <w:rFonts w:ascii="Arial" w:hAnsi="Arial" w:cs="Arial"/>
                <w:sz w:val="24"/>
                <w:szCs w:val="24"/>
              </w:rPr>
              <w:t>13%</w:t>
            </w:r>
          </w:p>
        </w:tc>
      </w:tr>
      <w:tr w:rsidR="007851FC" w:rsidRPr="00031151" w14:paraId="48090C61" w14:textId="77777777" w:rsidTr="007851FC">
        <w:tc>
          <w:tcPr>
            <w:tcW w:w="941" w:type="pct"/>
          </w:tcPr>
          <w:p w14:paraId="4AA0EA8E" w14:textId="77777777" w:rsidR="00031151" w:rsidRPr="00031151" w:rsidRDefault="00031151" w:rsidP="00031151">
            <w:pPr>
              <w:rPr>
                <w:rFonts w:ascii="Arial" w:hAnsi="Arial" w:cs="Arial"/>
                <w:sz w:val="24"/>
                <w:szCs w:val="24"/>
              </w:rPr>
            </w:pPr>
            <w:r w:rsidRPr="00031151">
              <w:rPr>
                <w:rFonts w:ascii="Arial" w:hAnsi="Arial" w:cs="Arial"/>
                <w:sz w:val="24"/>
                <w:szCs w:val="24"/>
              </w:rPr>
              <w:t>2016-17</w:t>
            </w:r>
          </w:p>
        </w:tc>
        <w:tc>
          <w:tcPr>
            <w:tcW w:w="787" w:type="pct"/>
          </w:tcPr>
          <w:p w14:paraId="1A5317F7" w14:textId="77777777" w:rsidR="00031151" w:rsidRPr="00031151" w:rsidRDefault="00031151" w:rsidP="00031151">
            <w:pPr>
              <w:rPr>
                <w:rFonts w:ascii="Arial" w:hAnsi="Arial" w:cs="Arial"/>
                <w:sz w:val="24"/>
                <w:szCs w:val="24"/>
              </w:rPr>
            </w:pPr>
            <w:r>
              <w:rPr>
                <w:rFonts w:ascii="Arial" w:hAnsi="Arial" w:cs="Arial"/>
                <w:sz w:val="24"/>
                <w:szCs w:val="24"/>
              </w:rPr>
              <w:t>4%</w:t>
            </w:r>
          </w:p>
        </w:tc>
        <w:tc>
          <w:tcPr>
            <w:tcW w:w="629" w:type="pct"/>
          </w:tcPr>
          <w:p w14:paraId="00CB120F" w14:textId="77777777" w:rsidR="00031151" w:rsidRPr="00031151" w:rsidRDefault="00031151" w:rsidP="00031151">
            <w:pPr>
              <w:rPr>
                <w:rFonts w:ascii="Arial" w:hAnsi="Arial" w:cs="Arial"/>
                <w:sz w:val="24"/>
                <w:szCs w:val="24"/>
              </w:rPr>
            </w:pPr>
            <w:r>
              <w:rPr>
                <w:rFonts w:ascii="Arial" w:hAnsi="Arial" w:cs="Arial"/>
                <w:sz w:val="24"/>
                <w:szCs w:val="24"/>
              </w:rPr>
              <w:t>8%</w:t>
            </w:r>
          </w:p>
        </w:tc>
        <w:tc>
          <w:tcPr>
            <w:tcW w:w="628" w:type="pct"/>
          </w:tcPr>
          <w:p w14:paraId="09808D30" w14:textId="77777777" w:rsidR="00031151" w:rsidRPr="00031151" w:rsidRDefault="00031151" w:rsidP="00031151">
            <w:pPr>
              <w:rPr>
                <w:rFonts w:ascii="Arial" w:hAnsi="Arial" w:cs="Arial"/>
                <w:sz w:val="24"/>
                <w:szCs w:val="24"/>
              </w:rPr>
            </w:pPr>
            <w:r>
              <w:rPr>
                <w:rFonts w:ascii="Arial" w:hAnsi="Arial" w:cs="Arial"/>
                <w:sz w:val="24"/>
                <w:szCs w:val="24"/>
              </w:rPr>
              <w:t>7%</w:t>
            </w:r>
          </w:p>
        </w:tc>
        <w:tc>
          <w:tcPr>
            <w:tcW w:w="631" w:type="pct"/>
          </w:tcPr>
          <w:p w14:paraId="23B525B6" w14:textId="77777777" w:rsidR="00031151" w:rsidRPr="00031151" w:rsidRDefault="00031151" w:rsidP="00031151">
            <w:pPr>
              <w:rPr>
                <w:rFonts w:ascii="Arial" w:hAnsi="Arial" w:cs="Arial"/>
                <w:sz w:val="24"/>
                <w:szCs w:val="24"/>
              </w:rPr>
            </w:pPr>
            <w:r>
              <w:rPr>
                <w:rFonts w:ascii="Arial" w:hAnsi="Arial" w:cs="Arial"/>
                <w:sz w:val="24"/>
                <w:szCs w:val="24"/>
              </w:rPr>
              <w:t>1%</w:t>
            </w:r>
          </w:p>
        </w:tc>
        <w:tc>
          <w:tcPr>
            <w:tcW w:w="1385" w:type="pct"/>
          </w:tcPr>
          <w:p w14:paraId="777469BA" w14:textId="77777777" w:rsidR="00031151" w:rsidRDefault="00031151" w:rsidP="00031151">
            <w:pPr>
              <w:rPr>
                <w:rFonts w:ascii="Arial" w:hAnsi="Arial" w:cs="Arial"/>
                <w:sz w:val="24"/>
                <w:szCs w:val="24"/>
              </w:rPr>
            </w:pPr>
            <w:r>
              <w:rPr>
                <w:rFonts w:ascii="Arial" w:hAnsi="Arial" w:cs="Arial"/>
                <w:sz w:val="24"/>
                <w:szCs w:val="24"/>
              </w:rPr>
              <w:t>22%</w:t>
            </w:r>
          </w:p>
        </w:tc>
      </w:tr>
      <w:tr w:rsidR="007851FC" w:rsidRPr="00031151" w14:paraId="5F7CF2A7" w14:textId="77777777" w:rsidTr="007851FC">
        <w:tc>
          <w:tcPr>
            <w:tcW w:w="941" w:type="pct"/>
          </w:tcPr>
          <w:p w14:paraId="1E2CB497" w14:textId="77777777" w:rsidR="00031151" w:rsidRPr="00031151" w:rsidRDefault="00031151" w:rsidP="00031151">
            <w:pPr>
              <w:rPr>
                <w:rFonts w:ascii="Arial" w:hAnsi="Arial" w:cs="Arial"/>
                <w:sz w:val="24"/>
                <w:szCs w:val="24"/>
              </w:rPr>
            </w:pPr>
            <w:r w:rsidRPr="00031151">
              <w:rPr>
                <w:rFonts w:ascii="Arial" w:hAnsi="Arial" w:cs="Arial"/>
                <w:sz w:val="24"/>
                <w:szCs w:val="24"/>
              </w:rPr>
              <w:t>2017-18</w:t>
            </w:r>
          </w:p>
        </w:tc>
        <w:tc>
          <w:tcPr>
            <w:tcW w:w="787" w:type="pct"/>
          </w:tcPr>
          <w:p w14:paraId="3418C60B" w14:textId="77777777" w:rsidR="00031151" w:rsidRPr="00031151" w:rsidRDefault="00031151" w:rsidP="00031151">
            <w:pPr>
              <w:rPr>
                <w:rFonts w:ascii="Arial" w:hAnsi="Arial" w:cs="Arial"/>
                <w:sz w:val="24"/>
                <w:szCs w:val="24"/>
              </w:rPr>
            </w:pPr>
            <w:r>
              <w:rPr>
                <w:rFonts w:ascii="Arial" w:hAnsi="Arial" w:cs="Arial"/>
                <w:sz w:val="24"/>
                <w:szCs w:val="24"/>
              </w:rPr>
              <w:t>3%</w:t>
            </w:r>
          </w:p>
        </w:tc>
        <w:tc>
          <w:tcPr>
            <w:tcW w:w="629" w:type="pct"/>
          </w:tcPr>
          <w:p w14:paraId="35726EE3" w14:textId="77777777" w:rsidR="00031151" w:rsidRPr="00031151" w:rsidRDefault="00031151" w:rsidP="00031151">
            <w:pPr>
              <w:rPr>
                <w:rFonts w:ascii="Arial" w:hAnsi="Arial" w:cs="Arial"/>
                <w:sz w:val="24"/>
                <w:szCs w:val="24"/>
              </w:rPr>
            </w:pPr>
            <w:r>
              <w:rPr>
                <w:rFonts w:ascii="Arial" w:hAnsi="Arial" w:cs="Arial"/>
                <w:sz w:val="24"/>
                <w:szCs w:val="24"/>
              </w:rPr>
              <w:t>10%</w:t>
            </w:r>
          </w:p>
        </w:tc>
        <w:tc>
          <w:tcPr>
            <w:tcW w:w="628" w:type="pct"/>
          </w:tcPr>
          <w:p w14:paraId="0214BA9C" w14:textId="77777777" w:rsidR="00031151" w:rsidRPr="00031151" w:rsidRDefault="00031151" w:rsidP="00031151">
            <w:pPr>
              <w:rPr>
                <w:rFonts w:ascii="Arial" w:hAnsi="Arial" w:cs="Arial"/>
                <w:sz w:val="24"/>
                <w:szCs w:val="24"/>
              </w:rPr>
            </w:pPr>
            <w:r>
              <w:rPr>
                <w:rFonts w:ascii="Arial" w:hAnsi="Arial" w:cs="Arial"/>
                <w:sz w:val="24"/>
                <w:szCs w:val="24"/>
              </w:rPr>
              <w:t>5%</w:t>
            </w:r>
          </w:p>
        </w:tc>
        <w:tc>
          <w:tcPr>
            <w:tcW w:w="631" w:type="pct"/>
          </w:tcPr>
          <w:p w14:paraId="7047925D" w14:textId="77777777" w:rsidR="00031151" w:rsidRPr="00031151" w:rsidRDefault="00031151" w:rsidP="00031151">
            <w:pPr>
              <w:rPr>
                <w:rFonts w:ascii="Arial" w:hAnsi="Arial" w:cs="Arial"/>
                <w:sz w:val="24"/>
                <w:szCs w:val="24"/>
              </w:rPr>
            </w:pPr>
            <w:r>
              <w:rPr>
                <w:rFonts w:ascii="Arial" w:hAnsi="Arial" w:cs="Arial"/>
                <w:sz w:val="24"/>
                <w:szCs w:val="24"/>
              </w:rPr>
              <w:t>1%</w:t>
            </w:r>
          </w:p>
        </w:tc>
        <w:tc>
          <w:tcPr>
            <w:tcW w:w="1385" w:type="pct"/>
          </w:tcPr>
          <w:p w14:paraId="04C6F3A0" w14:textId="77777777" w:rsidR="00031151" w:rsidRDefault="00031151" w:rsidP="00031151">
            <w:pPr>
              <w:rPr>
                <w:rFonts w:ascii="Arial" w:hAnsi="Arial" w:cs="Arial"/>
                <w:sz w:val="24"/>
                <w:szCs w:val="24"/>
              </w:rPr>
            </w:pPr>
            <w:r>
              <w:rPr>
                <w:rFonts w:ascii="Arial" w:hAnsi="Arial" w:cs="Arial"/>
                <w:sz w:val="24"/>
                <w:szCs w:val="24"/>
              </w:rPr>
              <w:t>22%</w:t>
            </w:r>
          </w:p>
        </w:tc>
      </w:tr>
    </w:tbl>
    <w:p w14:paraId="5775CCFB" w14:textId="77777777" w:rsidR="00F37EA4" w:rsidRPr="00F37EA4" w:rsidRDefault="00F37EA4" w:rsidP="00F37EA4">
      <w:pPr>
        <w:rPr>
          <w:rFonts w:ascii="Arial" w:hAnsi="Arial" w:cs="Arial"/>
          <w:i/>
          <w:sz w:val="24"/>
        </w:rPr>
      </w:pPr>
      <w:r w:rsidRPr="00F37EA4">
        <w:rPr>
          <w:rFonts w:ascii="Arial" w:hAnsi="Arial" w:cs="Arial"/>
          <w:i/>
          <w:sz w:val="24"/>
        </w:rPr>
        <w:t>Source: Adolescents in care data, 2012-13—2017-18, DHHS</w:t>
      </w:r>
    </w:p>
    <w:p w14:paraId="5D458AA1" w14:textId="77777777" w:rsidR="00F37EA4" w:rsidRPr="00F37EA4" w:rsidRDefault="00F37EA4" w:rsidP="00F37EA4">
      <w:pPr>
        <w:rPr>
          <w:rFonts w:ascii="Arial" w:hAnsi="Arial" w:cs="Arial"/>
          <w:i/>
          <w:sz w:val="24"/>
        </w:rPr>
      </w:pPr>
      <w:r w:rsidRPr="00F37EA4">
        <w:rPr>
          <w:rFonts w:ascii="Arial" w:hAnsi="Arial" w:cs="Arial"/>
          <w:i/>
          <w:sz w:val="24"/>
        </w:rPr>
        <w:t>Notes:</w:t>
      </w:r>
    </w:p>
    <w:p w14:paraId="4FE42D56" w14:textId="77777777" w:rsidR="00F37EA4" w:rsidRPr="00F37EA4" w:rsidRDefault="00F37EA4" w:rsidP="00F37EA4">
      <w:pPr>
        <w:rPr>
          <w:rFonts w:ascii="Arial" w:hAnsi="Arial" w:cs="Arial"/>
          <w:i/>
          <w:sz w:val="24"/>
        </w:rPr>
      </w:pPr>
      <w:r w:rsidRPr="00F37EA4">
        <w:rPr>
          <w:rFonts w:ascii="Arial" w:hAnsi="Arial" w:cs="Arial"/>
          <w:i/>
          <w:sz w:val="24"/>
        </w:rPr>
        <w:t>1.</w:t>
      </w:r>
      <w:r>
        <w:rPr>
          <w:rFonts w:ascii="Arial" w:hAnsi="Arial" w:cs="Arial"/>
          <w:i/>
          <w:sz w:val="24"/>
        </w:rPr>
        <w:t xml:space="preserve"> </w:t>
      </w:r>
      <w:r w:rsidRPr="00F37EA4">
        <w:rPr>
          <w:rFonts w:ascii="Arial" w:hAnsi="Arial" w:cs="Arial"/>
          <w:i/>
          <w:sz w:val="24"/>
        </w:rPr>
        <w:t>The figure reports the proportion of clients presenting alone to specialist homelessness agencies stating they were transitioning from foster care/child safety residential placements, or were assisted by the Leaving Care Housing and Support program, of all clients with that age/sex/Aboriginal status.</w:t>
      </w:r>
    </w:p>
    <w:p w14:paraId="7FAC16D4" w14:textId="77777777" w:rsidR="00F37EA4" w:rsidRPr="00F37EA4" w:rsidRDefault="00F37EA4" w:rsidP="00F37EA4">
      <w:pPr>
        <w:rPr>
          <w:rFonts w:ascii="Arial" w:hAnsi="Arial" w:cs="Arial"/>
          <w:i/>
          <w:sz w:val="24"/>
        </w:rPr>
      </w:pPr>
      <w:r w:rsidRPr="00F37EA4">
        <w:rPr>
          <w:rFonts w:ascii="Arial" w:hAnsi="Arial" w:cs="Arial"/>
          <w:i/>
          <w:sz w:val="24"/>
        </w:rPr>
        <w:lastRenderedPageBreak/>
        <w:t>2.</w:t>
      </w:r>
      <w:r>
        <w:rPr>
          <w:rFonts w:ascii="Arial" w:hAnsi="Arial" w:cs="Arial"/>
          <w:i/>
          <w:sz w:val="24"/>
        </w:rPr>
        <w:t xml:space="preserve"> </w:t>
      </w:r>
      <w:r w:rsidRPr="00F37EA4">
        <w:rPr>
          <w:rFonts w:ascii="Arial" w:hAnsi="Arial" w:cs="Arial"/>
          <w:i/>
          <w:sz w:val="24"/>
        </w:rPr>
        <w:t>Specialist homelessness services include homelessness entry points, crisis accommodation, case management agencies, and family violence services such as refuges and case management agencies. These agencies assist people who are homeless or at risk of homelessness.</w:t>
      </w:r>
    </w:p>
    <w:p w14:paraId="07F4B403" w14:textId="77777777" w:rsidR="00F37EA4" w:rsidRPr="00F37EA4" w:rsidRDefault="00F37EA4" w:rsidP="00F37EA4">
      <w:pPr>
        <w:rPr>
          <w:rFonts w:ascii="Arial" w:hAnsi="Arial" w:cs="Arial"/>
          <w:i/>
          <w:sz w:val="24"/>
        </w:rPr>
      </w:pPr>
      <w:r w:rsidRPr="00F37EA4">
        <w:rPr>
          <w:rFonts w:ascii="Arial" w:hAnsi="Arial" w:cs="Arial"/>
          <w:i/>
          <w:sz w:val="24"/>
        </w:rPr>
        <w:t>3.</w:t>
      </w:r>
      <w:r>
        <w:rPr>
          <w:rFonts w:ascii="Arial" w:hAnsi="Arial" w:cs="Arial"/>
          <w:i/>
          <w:sz w:val="24"/>
        </w:rPr>
        <w:t xml:space="preserve"> </w:t>
      </w:r>
      <w:r w:rsidRPr="00F37EA4">
        <w:rPr>
          <w:rFonts w:ascii="Arial" w:hAnsi="Arial" w:cs="Arial"/>
          <w:i/>
          <w:sz w:val="24"/>
        </w:rPr>
        <w:t>The Leaving Care Housing and Support program is provided by specialist homelessness agencies, and supports young people preparing to leave care, and who are identified as being at risk of homelessness, to transition to independence.</w:t>
      </w:r>
    </w:p>
    <w:p w14:paraId="51AA8745" w14:textId="77777777" w:rsidR="00F37EA4" w:rsidRPr="00F37EA4" w:rsidRDefault="00F37EA4" w:rsidP="00F37EA4">
      <w:pPr>
        <w:rPr>
          <w:rFonts w:ascii="Arial" w:hAnsi="Arial" w:cs="Arial"/>
          <w:i/>
          <w:sz w:val="24"/>
        </w:rPr>
      </w:pPr>
      <w:r w:rsidRPr="00F37EA4">
        <w:rPr>
          <w:rFonts w:ascii="Arial" w:hAnsi="Arial" w:cs="Arial"/>
          <w:i/>
          <w:sz w:val="24"/>
        </w:rPr>
        <w:t>4.</w:t>
      </w:r>
      <w:r>
        <w:rPr>
          <w:rFonts w:ascii="Arial" w:hAnsi="Arial" w:cs="Arial"/>
          <w:i/>
          <w:sz w:val="24"/>
        </w:rPr>
        <w:t xml:space="preserve"> </w:t>
      </w:r>
      <w:r w:rsidRPr="00F37EA4">
        <w:rPr>
          <w:rFonts w:ascii="Arial" w:hAnsi="Arial" w:cs="Arial"/>
          <w:i/>
          <w:sz w:val="24"/>
        </w:rPr>
        <w:t>Clients who stated they were transitioning from foster care/child safety residential placements include young people from foster care, kinship care, or residential care. This may or may not include young people transitioning from permanent care arrangements.</w:t>
      </w:r>
    </w:p>
    <w:p w14:paraId="1614340A" w14:textId="77777777" w:rsidR="00E27BC2" w:rsidRDefault="00F37EA4" w:rsidP="00F37EA4">
      <w:pPr>
        <w:rPr>
          <w:rFonts w:ascii="Arial" w:hAnsi="Arial" w:cs="Arial"/>
          <w:i/>
          <w:sz w:val="24"/>
        </w:rPr>
      </w:pPr>
      <w:r w:rsidRPr="00F37EA4">
        <w:rPr>
          <w:rFonts w:ascii="Arial" w:hAnsi="Arial" w:cs="Arial"/>
          <w:i/>
          <w:sz w:val="24"/>
        </w:rPr>
        <w:t>5.</w:t>
      </w:r>
      <w:r>
        <w:rPr>
          <w:rFonts w:ascii="Arial" w:hAnsi="Arial" w:cs="Arial"/>
          <w:i/>
          <w:sz w:val="24"/>
        </w:rPr>
        <w:t xml:space="preserve"> </w:t>
      </w:r>
      <w:r w:rsidRPr="00F37EA4">
        <w:rPr>
          <w:rFonts w:ascii="Arial" w:hAnsi="Arial" w:cs="Arial"/>
          <w:i/>
          <w:sz w:val="24"/>
        </w:rPr>
        <w:t>From comparisons with internal DHHS data linkage projects, these numbers are an undercount of all young people transitioning from care services who sought assistance from homelessness services.</w:t>
      </w:r>
    </w:p>
    <w:p w14:paraId="201D3289" w14:textId="77777777" w:rsidR="004D5B05" w:rsidRPr="004D5B05" w:rsidRDefault="004D5B05" w:rsidP="004D5B05">
      <w:pPr>
        <w:pBdr>
          <w:top w:val="single" w:sz="4" w:space="1" w:color="auto"/>
          <w:left w:val="single" w:sz="4" w:space="4" w:color="auto"/>
          <w:bottom w:val="single" w:sz="4" w:space="1" w:color="auto"/>
          <w:right w:val="single" w:sz="4" w:space="4" w:color="auto"/>
        </w:pBdr>
        <w:rPr>
          <w:rFonts w:ascii="Arial" w:hAnsi="Arial" w:cs="Arial"/>
          <w:b/>
          <w:sz w:val="24"/>
        </w:rPr>
      </w:pPr>
      <w:r w:rsidRPr="004D5B05">
        <w:rPr>
          <w:rFonts w:ascii="Arial" w:hAnsi="Arial" w:cs="Arial"/>
          <w:b/>
          <w:sz w:val="24"/>
        </w:rPr>
        <w:t>COMPASS</w:t>
      </w:r>
    </w:p>
    <w:p w14:paraId="1B286F83" w14:textId="77777777" w:rsidR="004D5B05" w:rsidRPr="004D5B05" w:rsidRDefault="004D5B05" w:rsidP="004D5B05">
      <w:pPr>
        <w:pBdr>
          <w:top w:val="single" w:sz="4" w:space="1" w:color="auto"/>
          <w:left w:val="single" w:sz="4" w:space="4" w:color="auto"/>
          <w:bottom w:val="single" w:sz="4" w:space="1" w:color="auto"/>
          <w:right w:val="single" w:sz="4" w:space="4" w:color="auto"/>
        </w:pBdr>
        <w:rPr>
          <w:rFonts w:ascii="Arial" w:hAnsi="Arial" w:cs="Arial"/>
          <w:sz w:val="24"/>
        </w:rPr>
      </w:pPr>
      <w:r w:rsidRPr="004D5B05">
        <w:rPr>
          <w:rFonts w:ascii="Arial" w:hAnsi="Arial" w:cs="Arial"/>
          <w:sz w:val="24"/>
        </w:rPr>
        <w:t>The Victorian Government has partnered with Anglicare, Vincentcare, and private investors to deliver COMPASS, a five year program providing stable housing, individualised case management, and specialist support for up to 200 young people leaving care services. The program aims to help this cohort make a successful transition to adult life, and reduce the risks of homelessness, poor health outcomes, and involvement with the criminal justice system.</w:t>
      </w:r>
    </w:p>
    <w:p w14:paraId="794AC1D6" w14:textId="77777777" w:rsidR="004D5B05" w:rsidRPr="004D5B05" w:rsidRDefault="004D5B05" w:rsidP="004D5B05">
      <w:pPr>
        <w:pBdr>
          <w:top w:val="single" w:sz="4" w:space="1" w:color="auto"/>
          <w:left w:val="single" w:sz="4" w:space="4" w:color="auto"/>
          <w:bottom w:val="single" w:sz="4" w:space="1" w:color="auto"/>
          <w:right w:val="single" w:sz="4" w:space="4" w:color="auto"/>
        </w:pBdr>
        <w:rPr>
          <w:rFonts w:ascii="Arial" w:hAnsi="Arial" w:cs="Arial"/>
          <w:sz w:val="24"/>
        </w:rPr>
      </w:pPr>
      <w:r w:rsidRPr="004D5B05">
        <w:rPr>
          <w:rFonts w:ascii="Arial" w:hAnsi="Arial" w:cs="Arial"/>
          <w:sz w:val="24"/>
        </w:rPr>
        <w:t>COMPASS was launched in Melbourne’s western suburbs in October 2018 with expansion to Northern Metropolitan Melbourne and Bendigo planned for April 2019. The program is jointly funded via an innovative Social Impact Bond scheme, whereby investors receive returns based on the program’s performance against its agreed outcomes measures, which if achieved will yield economic returns for government.</w:t>
      </w:r>
    </w:p>
    <w:p w14:paraId="43FB395C" w14:textId="77777777" w:rsidR="004D5B05" w:rsidRPr="004D5B05" w:rsidRDefault="004D5B05" w:rsidP="004D5B05">
      <w:pPr>
        <w:pBdr>
          <w:top w:val="single" w:sz="4" w:space="1" w:color="auto"/>
          <w:left w:val="single" w:sz="4" w:space="4" w:color="auto"/>
          <w:bottom w:val="single" w:sz="4" w:space="1" w:color="auto"/>
          <w:right w:val="single" w:sz="4" w:space="4" w:color="auto"/>
        </w:pBdr>
        <w:rPr>
          <w:rFonts w:ascii="Arial" w:hAnsi="Arial" w:cs="Arial"/>
          <w:b/>
          <w:sz w:val="24"/>
        </w:rPr>
      </w:pPr>
      <w:r w:rsidRPr="004D5B05">
        <w:rPr>
          <w:rFonts w:ascii="Arial" w:hAnsi="Arial" w:cs="Arial"/>
          <w:b/>
          <w:sz w:val="24"/>
        </w:rPr>
        <w:t>HOME STRETCH</w:t>
      </w:r>
    </w:p>
    <w:p w14:paraId="17D459C3" w14:textId="77777777" w:rsidR="004D5B05" w:rsidRPr="004D5B05" w:rsidRDefault="004D5B05" w:rsidP="004D5B05">
      <w:pPr>
        <w:pBdr>
          <w:top w:val="single" w:sz="4" w:space="1" w:color="auto"/>
          <w:left w:val="single" w:sz="4" w:space="4" w:color="auto"/>
          <w:bottom w:val="single" w:sz="4" w:space="1" w:color="auto"/>
          <w:right w:val="single" w:sz="4" w:space="4" w:color="auto"/>
        </w:pBdr>
        <w:rPr>
          <w:rFonts w:ascii="Arial" w:hAnsi="Arial" w:cs="Arial"/>
          <w:sz w:val="24"/>
        </w:rPr>
      </w:pPr>
      <w:r w:rsidRPr="004D5B05">
        <w:rPr>
          <w:rFonts w:ascii="Arial" w:hAnsi="Arial" w:cs="Arial"/>
          <w:sz w:val="24"/>
        </w:rPr>
        <w:t>Commencing in 2019, Home Stretch will support approximately 250 young people in care over the next five years to make a more gradual and supported transition to independent living.</w:t>
      </w:r>
    </w:p>
    <w:p w14:paraId="4884516D" w14:textId="77777777" w:rsidR="004D5B05" w:rsidRPr="004D5B05" w:rsidRDefault="004D5B05" w:rsidP="004D5B05">
      <w:pPr>
        <w:pBdr>
          <w:top w:val="single" w:sz="4" w:space="1" w:color="auto"/>
          <w:left w:val="single" w:sz="4" w:space="4" w:color="auto"/>
          <w:bottom w:val="single" w:sz="4" w:space="1" w:color="auto"/>
          <w:right w:val="single" w:sz="4" w:space="4" w:color="auto"/>
        </w:pBdr>
        <w:rPr>
          <w:rFonts w:ascii="Arial" w:hAnsi="Arial" w:cs="Arial"/>
          <w:sz w:val="24"/>
        </w:rPr>
      </w:pPr>
      <w:r w:rsidRPr="004D5B05">
        <w:rPr>
          <w:rFonts w:ascii="Arial" w:hAnsi="Arial" w:cs="Arial"/>
          <w:sz w:val="24"/>
        </w:rPr>
        <w:t>Through the Home Stretch program:</w:t>
      </w:r>
    </w:p>
    <w:p w14:paraId="1734964C" w14:textId="77777777" w:rsidR="004D5B05" w:rsidRPr="004D5B05" w:rsidRDefault="004D5B05" w:rsidP="004D5B05">
      <w:pPr>
        <w:pBdr>
          <w:top w:val="single" w:sz="4" w:space="1" w:color="auto"/>
          <w:left w:val="single" w:sz="4" w:space="4" w:color="auto"/>
          <w:bottom w:val="single" w:sz="4" w:space="1" w:color="auto"/>
          <w:right w:val="single" w:sz="4" w:space="4" w:color="auto"/>
        </w:pBdr>
        <w:rPr>
          <w:rFonts w:ascii="Arial" w:hAnsi="Arial" w:cs="Arial"/>
          <w:sz w:val="24"/>
        </w:rPr>
      </w:pPr>
      <w:r>
        <w:rPr>
          <w:rFonts w:ascii="Arial" w:hAnsi="Arial" w:cs="Arial"/>
          <w:sz w:val="24"/>
        </w:rPr>
        <w:t xml:space="preserve">• </w:t>
      </w:r>
      <w:r w:rsidRPr="004D5B05">
        <w:rPr>
          <w:rFonts w:ascii="Arial" w:hAnsi="Arial" w:cs="Arial"/>
          <w:sz w:val="24"/>
        </w:rPr>
        <w:t>Young people and their kinship and foster carers will have the option of the young person remaining with their carer up to the age of 21 years, supported by an allowance.</w:t>
      </w:r>
    </w:p>
    <w:p w14:paraId="577690F7" w14:textId="77777777" w:rsidR="004D5B05" w:rsidRPr="004D5B05" w:rsidRDefault="004D5B05" w:rsidP="004D5B05">
      <w:pPr>
        <w:pBdr>
          <w:top w:val="single" w:sz="4" w:space="1" w:color="auto"/>
          <w:left w:val="single" w:sz="4" w:space="4" w:color="auto"/>
          <w:bottom w:val="single" w:sz="4" w:space="1" w:color="auto"/>
          <w:right w:val="single" w:sz="4" w:space="4" w:color="auto"/>
        </w:pBdr>
        <w:rPr>
          <w:rFonts w:ascii="Arial" w:hAnsi="Arial" w:cs="Arial"/>
          <w:sz w:val="24"/>
        </w:rPr>
      </w:pPr>
      <w:r w:rsidRPr="004D5B05">
        <w:rPr>
          <w:rFonts w:ascii="Arial" w:hAnsi="Arial" w:cs="Arial"/>
          <w:sz w:val="24"/>
        </w:rPr>
        <w:t>•</w:t>
      </w:r>
      <w:r>
        <w:rPr>
          <w:rFonts w:ascii="Arial" w:hAnsi="Arial" w:cs="Arial"/>
          <w:sz w:val="24"/>
        </w:rPr>
        <w:t xml:space="preserve"> </w:t>
      </w:r>
      <w:r w:rsidRPr="004D5B05">
        <w:rPr>
          <w:rFonts w:ascii="Arial" w:hAnsi="Arial" w:cs="Arial"/>
          <w:sz w:val="24"/>
        </w:rPr>
        <w:t>Young people leaving residential care will be eligible for an allowance to support housing costs up to 21 years of age.</w:t>
      </w:r>
    </w:p>
    <w:p w14:paraId="7AA425C6" w14:textId="77777777" w:rsidR="004D5B05" w:rsidRDefault="004D5B05" w:rsidP="004D5B05">
      <w:pPr>
        <w:pBdr>
          <w:top w:val="single" w:sz="4" w:space="1" w:color="auto"/>
          <w:left w:val="single" w:sz="4" w:space="4" w:color="auto"/>
          <w:bottom w:val="single" w:sz="4" w:space="1" w:color="auto"/>
          <w:right w:val="single" w:sz="4" w:space="4" w:color="auto"/>
        </w:pBdr>
        <w:rPr>
          <w:rFonts w:ascii="Arial" w:hAnsi="Arial" w:cs="Arial"/>
          <w:i/>
          <w:sz w:val="24"/>
        </w:rPr>
      </w:pPr>
      <w:r w:rsidRPr="004D5B05">
        <w:rPr>
          <w:rFonts w:ascii="Arial" w:hAnsi="Arial" w:cs="Arial"/>
          <w:sz w:val="24"/>
        </w:rPr>
        <w:lastRenderedPageBreak/>
        <w:t>In addition to an accommodation allowance, the program includes case work support and brokerage provided by a key worker, to facilitate the young person’s access to education, employment and health and wellbeing supports. The Home Stretch program is based on international and Australian evidence that extending the age of support for young people in care contributes to improved life chances and outcomes</w:t>
      </w:r>
      <w:r>
        <w:rPr>
          <w:rFonts w:ascii="Arial" w:hAnsi="Arial" w:cs="Arial"/>
          <w:i/>
          <w:sz w:val="24"/>
        </w:rPr>
        <w:t>.</w:t>
      </w:r>
    </w:p>
    <w:p w14:paraId="064A192A" w14:textId="77777777" w:rsidR="00D9796B" w:rsidRPr="001A0988" w:rsidRDefault="00D9796B" w:rsidP="001A0988">
      <w:pPr>
        <w:pStyle w:val="Heading3"/>
        <w:rPr>
          <w:rFonts w:ascii="Arial" w:hAnsi="Arial" w:cs="Arial"/>
          <w:color w:val="auto"/>
          <w:sz w:val="24"/>
        </w:rPr>
      </w:pPr>
      <w:bookmarkStart w:id="67" w:name="_Toc33527792"/>
      <w:r w:rsidRPr="001A0988">
        <w:rPr>
          <w:rFonts w:ascii="Arial" w:hAnsi="Arial" w:cs="Arial"/>
          <w:color w:val="auto"/>
          <w:sz w:val="24"/>
        </w:rPr>
        <w:t>5.10</w:t>
      </w:r>
      <w:r w:rsidRPr="001A0988">
        <w:rPr>
          <w:rFonts w:ascii="Arial" w:hAnsi="Arial" w:cs="Arial"/>
          <w:color w:val="auto"/>
          <w:sz w:val="24"/>
        </w:rPr>
        <w:tab/>
        <w:t>Fewer adolescents are under community supervision for involvement or alleged involvement in crime, but the number in detention is rising</w:t>
      </w:r>
      <w:bookmarkEnd w:id="67"/>
    </w:p>
    <w:p w14:paraId="63B41A07" w14:textId="77777777" w:rsidR="004D5B05" w:rsidRPr="00D9796B" w:rsidRDefault="00D9796B" w:rsidP="00D9796B">
      <w:pPr>
        <w:rPr>
          <w:rFonts w:ascii="Arial" w:hAnsi="Arial" w:cs="Arial"/>
          <w:sz w:val="24"/>
        </w:rPr>
      </w:pPr>
      <w:r w:rsidRPr="00D9796B">
        <w:rPr>
          <w:rFonts w:ascii="Arial" w:hAnsi="Arial" w:cs="Arial"/>
          <w:sz w:val="24"/>
        </w:rPr>
        <w:t>All children and adolescents experience a range of challenges as they grow and develop. Factors such as family dysfunction, abuse, neglect, exposure to violence, low socioeconomic conditions, or negative peer influences are associated with antisocial behaviour and criminal offending. The majority of children and adolescents, however, do not offend, and many cease offending as they mature (Moffitt, 2018).</w:t>
      </w:r>
    </w:p>
    <w:p w14:paraId="0F575A1C" w14:textId="77777777" w:rsidR="00BC1A7F" w:rsidRPr="00BC1A7F" w:rsidRDefault="00BC1A7F" w:rsidP="00BC1A7F">
      <w:pPr>
        <w:rPr>
          <w:rFonts w:ascii="Arial" w:hAnsi="Arial" w:cs="Arial"/>
          <w:sz w:val="24"/>
        </w:rPr>
      </w:pPr>
      <w:r w:rsidRPr="00BC1A7F">
        <w:rPr>
          <w:rFonts w:ascii="Arial" w:hAnsi="Arial" w:cs="Arial"/>
          <w:sz w:val="24"/>
        </w:rPr>
        <w:t>Young people generally first make contact with the youth justice system when police investigate them for allegedly committing a crime. Legal action taken by police may include court actions (the laying of charges to be answered in court) and non-court actions (such as cautions, conferencing, counselling, or referral for support). A court may decide to dismiss a charge or divert the young person from further involvement in the system (for example, utilising the Children’s Court Youth Diversion program or by referral to other services). If the matter proceeds and the charge is proven, the court may hand down various orders, either supervised or unsupervised.</w:t>
      </w:r>
    </w:p>
    <w:p w14:paraId="2528964D" w14:textId="77777777" w:rsidR="00BC1A7F" w:rsidRPr="00BC1A7F" w:rsidRDefault="00BC1A7F" w:rsidP="00BC1A7F">
      <w:pPr>
        <w:rPr>
          <w:rFonts w:ascii="Arial" w:hAnsi="Arial" w:cs="Arial"/>
          <w:sz w:val="24"/>
        </w:rPr>
      </w:pPr>
      <w:r w:rsidRPr="00BC1A7F">
        <w:rPr>
          <w:rFonts w:ascii="Arial" w:hAnsi="Arial" w:cs="Arial"/>
          <w:sz w:val="24"/>
        </w:rPr>
        <w:t>A major feature of the youth justice system is the supervision of young people on legal orders. They may be supervised in the community or in secure detention facilities.</w:t>
      </w:r>
      <w:r w:rsidR="001A0988">
        <w:rPr>
          <w:rFonts w:ascii="Arial" w:hAnsi="Arial" w:cs="Arial"/>
          <w:sz w:val="24"/>
        </w:rPr>
        <w:t xml:space="preserve"> </w:t>
      </w:r>
      <w:r w:rsidRPr="00BC1A7F">
        <w:rPr>
          <w:rFonts w:ascii="Arial" w:hAnsi="Arial" w:cs="Arial"/>
          <w:sz w:val="24"/>
        </w:rPr>
        <w:t>Most young people under youth justice supervision are supervised in the community rather than in detention. This in part reflects a key principle of youth justice in Victoria and across Australia (AIHW, 2018), and the United Nations Convention on the Rights of the Child (1989). Detention of children is considered a last resort and should only be used for the shortest appropriate period of time.</w:t>
      </w:r>
    </w:p>
    <w:p w14:paraId="211ACF4E" w14:textId="77777777" w:rsidR="004D5B05" w:rsidRDefault="00BC1A7F" w:rsidP="00BC1A7F">
      <w:pPr>
        <w:rPr>
          <w:rFonts w:ascii="Arial" w:hAnsi="Arial" w:cs="Arial"/>
          <w:sz w:val="24"/>
        </w:rPr>
      </w:pPr>
      <w:r w:rsidRPr="00BC1A7F">
        <w:rPr>
          <w:rFonts w:ascii="Arial" w:hAnsi="Arial" w:cs="Arial"/>
          <w:sz w:val="24"/>
        </w:rPr>
        <w:t>The number of young people in Victoria committing crimes has been declining over the past five years. However, a small number of young offenders are responsible for an increasingly high number of recorded offences (Children's Court of Victoria, 2017). The most recent Youth Justice statistics from AIHW (2019c) show that in Victoria, on an average day in 2017-18, 718 young people aged 10 to 17 (12 per 10,000) were under youth justice supervision, down from 758 in 2013-14 (or 14 per 10,000). In community-based supervision, the rate fell from 13 to 10 per 10,000 young people. In detention, however, the rate rose from one to two per 10,000 young people.</w:t>
      </w:r>
    </w:p>
    <w:p w14:paraId="1C8FBA2E" w14:textId="77777777" w:rsidR="00D00942" w:rsidRDefault="00D00942" w:rsidP="00BC1A7F">
      <w:pPr>
        <w:rPr>
          <w:rFonts w:ascii="Arial" w:hAnsi="Arial" w:cs="Arial"/>
          <w:b/>
          <w:sz w:val="24"/>
        </w:rPr>
      </w:pPr>
      <w:r w:rsidRPr="001A0988">
        <w:rPr>
          <w:rFonts w:ascii="Arial" w:hAnsi="Arial" w:cs="Arial"/>
          <w:b/>
          <w:sz w:val="24"/>
        </w:rPr>
        <w:t>Figure 53. Rate (per 10,000 population) of Victorian adolescents aged 10-17 under supervision on an average day, by supervision type, 2013-14 to 2017-18</w:t>
      </w:r>
    </w:p>
    <w:tbl>
      <w:tblPr>
        <w:tblStyle w:val="TableGrid"/>
        <w:tblW w:w="5000" w:type="pct"/>
        <w:tblLook w:val="04A0" w:firstRow="1" w:lastRow="0" w:firstColumn="1" w:lastColumn="0" w:noHBand="0" w:noVBand="1"/>
        <w:tblDescription w:val="This table shows the rate (per 10,000 population) of Victorian adolescents aged 10-17 under supervision on an average day, by supervision type, 2013-14 to 2017-18"/>
      </w:tblPr>
      <w:tblGrid>
        <w:gridCol w:w="2624"/>
        <w:gridCol w:w="3419"/>
        <w:gridCol w:w="2973"/>
      </w:tblGrid>
      <w:tr w:rsidR="001A0988" w:rsidRPr="00031151" w14:paraId="31C934AD" w14:textId="77777777" w:rsidTr="001A0988">
        <w:trPr>
          <w:tblHeader/>
        </w:trPr>
        <w:tc>
          <w:tcPr>
            <w:tcW w:w="1455" w:type="pct"/>
          </w:tcPr>
          <w:p w14:paraId="50E63E31" w14:textId="77777777" w:rsidR="001A0988" w:rsidRPr="00031151" w:rsidRDefault="001A0988" w:rsidP="007E0972">
            <w:pPr>
              <w:rPr>
                <w:rFonts w:ascii="Arial" w:hAnsi="Arial" w:cs="Arial"/>
                <w:sz w:val="24"/>
                <w:szCs w:val="24"/>
              </w:rPr>
            </w:pPr>
          </w:p>
        </w:tc>
        <w:tc>
          <w:tcPr>
            <w:tcW w:w="1896" w:type="pct"/>
          </w:tcPr>
          <w:p w14:paraId="2BECC295" w14:textId="77777777" w:rsidR="001A0988" w:rsidRPr="00031151" w:rsidRDefault="001A0988" w:rsidP="007E0972">
            <w:pPr>
              <w:rPr>
                <w:rFonts w:ascii="Arial" w:hAnsi="Arial" w:cs="Arial"/>
                <w:sz w:val="24"/>
                <w:szCs w:val="24"/>
              </w:rPr>
            </w:pPr>
            <w:r>
              <w:rPr>
                <w:rFonts w:ascii="Arial" w:hAnsi="Arial" w:cs="Arial"/>
                <w:sz w:val="24"/>
                <w:szCs w:val="24"/>
              </w:rPr>
              <w:t>Community</w:t>
            </w:r>
          </w:p>
        </w:tc>
        <w:tc>
          <w:tcPr>
            <w:tcW w:w="1649" w:type="pct"/>
          </w:tcPr>
          <w:p w14:paraId="34F18D5F" w14:textId="77777777" w:rsidR="001A0988" w:rsidRPr="00031151" w:rsidRDefault="001A0988" w:rsidP="007E0972">
            <w:pPr>
              <w:rPr>
                <w:rFonts w:ascii="Arial" w:hAnsi="Arial" w:cs="Arial"/>
                <w:sz w:val="24"/>
                <w:szCs w:val="24"/>
              </w:rPr>
            </w:pPr>
            <w:r>
              <w:rPr>
                <w:rFonts w:ascii="Arial" w:hAnsi="Arial" w:cs="Arial"/>
                <w:sz w:val="24"/>
                <w:szCs w:val="24"/>
              </w:rPr>
              <w:t>Detention</w:t>
            </w:r>
          </w:p>
        </w:tc>
      </w:tr>
      <w:tr w:rsidR="001A0988" w:rsidRPr="00031151" w14:paraId="152FCDD1" w14:textId="77777777" w:rsidTr="001A0988">
        <w:tc>
          <w:tcPr>
            <w:tcW w:w="1455" w:type="pct"/>
          </w:tcPr>
          <w:p w14:paraId="0EF6AF69" w14:textId="77777777" w:rsidR="001A0988" w:rsidRPr="00031151" w:rsidRDefault="001A0988" w:rsidP="007E0972">
            <w:pPr>
              <w:rPr>
                <w:rFonts w:ascii="Arial" w:hAnsi="Arial" w:cs="Arial"/>
                <w:sz w:val="24"/>
                <w:szCs w:val="24"/>
              </w:rPr>
            </w:pPr>
            <w:r w:rsidRPr="00031151">
              <w:rPr>
                <w:rFonts w:ascii="Arial" w:hAnsi="Arial" w:cs="Arial"/>
                <w:sz w:val="24"/>
                <w:szCs w:val="24"/>
              </w:rPr>
              <w:t>2013-14</w:t>
            </w:r>
          </w:p>
        </w:tc>
        <w:tc>
          <w:tcPr>
            <w:tcW w:w="1896" w:type="pct"/>
          </w:tcPr>
          <w:p w14:paraId="28B40B77" w14:textId="77777777" w:rsidR="001A0988" w:rsidRPr="00031151" w:rsidRDefault="001A0988" w:rsidP="007E0972">
            <w:pPr>
              <w:rPr>
                <w:rFonts w:ascii="Arial" w:hAnsi="Arial" w:cs="Arial"/>
                <w:sz w:val="24"/>
                <w:szCs w:val="24"/>
              </w:rPr>
            </w:pPr>
            <w:r>
              <w:rPr>
                <w:rFonts w:ascii="Arial" w:hAnsi="Arial" w:cs="Arial"/>
                <w:sz w:val="24"/>
                <w:szCs w:val="24"/>
              </w:rPr>
              <w:t>12.6</w:t>
            </w:r>
          </w:p>
        </w:tc>
        <w:tc>
          <w:tcPr>
            <w:tcW w:w="1649" w:type="pct"/>
          </w:tcPr>
          <w:p w14:paraId="1E28902D" w14:textId="77777777" w:rsidR="001A0988" w:rsidRPr="00031151" w:rsidRDefault="001A0988" w:rsidP="007E0972">
            <w:pPr>
              <w:rPr>
                <w:rFonts w:ascii="Arial" w:hAnsi="Arial" w:cs="Arial"/>
                <w:sz w:val="24"/>
                <w:szCs w:val="24"/>
              </w:rPr>
            </w:pPr>
            <w:r>
              <w:rPr>
                <w:rFonts w:ascii="Arial" w:hAnsi="Arial" w:cs="Arial"/>
                <w:sz w:val="24"/>
                <w:szCs w:val="24"/>
              </w:rPr>
              <w:t>1.1</w:t>
            </w:r>
          </w:p>
        </w:tc>
      </w:tr>
      <w:tr w:rsidR="001A0988" w:rsidRPr="00031151" w14:paraId="33B40C00" w14:textId="77777777" w:rsidTr="001A0988">
        <w:tc>
          <w:tcPr>
            <w:tcW w:w="1455" w:type="pct"/>
          </w:tcPr>
          <w:p w14:paraId="65F778A1" w14:textId="77777777" w:rsidR="001A0988" w:rsidRPr="00031151" w:rsidRDefault="001A0988" w:rsidP="007E0972">
            <w:pPr>
              <w:rPr>
                <w:rFonts w:ascii="Arial" w:hAnsi="Arial" w:cs="Arial"/>
                <w:sz w:val="24"/>
                <w:szCs w:val="24"/>
              </w:rPr>
            </w:pPr>
            <w:r w:rsidRPr="00031151">
              <w:rPr>
                <w:rFonts w:ascii="Arial" w:hAnsi="Arial" w:cs="Arial"/>
                <w:sz w:val="24"/>
                <w:szCs w:val="24"/>
              </w:rPr>
              <w:t>2014-15</w:t>
            </w:r>
          </w:p>
        </w:tc>
        <w:tc>
          <w:tcPr>
            <w:tcW w:w="1896" w:type="pct"/>
          </w:tcPr>
          <w:p w14:paraId="61DBB10C" w14:textId="77777777" w:rsidR="001A0988" w:rsidRPr="00031151" w:rsidRDefault="001A0988" w:rsidP="007E0972">
            <w:pPr>
              <w:rPr>
                <w:rFonts w:ascii="Arial" w:hAnsi="Arial" w:cs="Arial"/>
                <w:sz w:val="24"/>
                <w:szCs w:val="24"/>
              </w:rPr>
            </w:pPr>
            <w:r>
              <w:rPr>
                <w:rFonts w:ascii="Arial" w:hAnsi="Arial" w:cs="Arial"/>
                <w:sz w:val="24"/>
                <w:szCs w:val="24"/>
              </w:rPr>
              <w:t>12.7</w:t>
            </w:r>
          </w:p>
        </w:tc>
        <w:tc>
          <w:tcPr>
            <w:tcW w:w="1649" w:type="pct"/>
          </w:tcPr>
          <w:p w14:paraId="4423FD2A" w14:textId="77777777" w:rsidR="001A0988" w:rsidRPr="00031151" w:rsidRDefault="001A0988" w:rsidP="007E0972">
            <w:pPr>
              <w:rPr>
                <w:rFonts w:ascii="Arial" w:hAnsi="Arial" w:cs="Arial"/>
                <w:sz w:val="24"/>
                <w:szCs w:val="24"/>
              </w:rPr>
            </w:pPr>
            <w:r>
              <w:rPr>
                <w:rFonts w:ascii="Arial" w:hAnsi="Arial" w:cs="Arial"/>
                <w:sz w:val="24"/>
                <w:szCs w:val="24"/>
              </w:rPr>
              <w:t>1.5</w:t>
            </w:r>
          </w:p>
        </w:tc>
      </w:tr>
      <w:tr w:rsidR="001A0988" w:rsidRPr="00031151" w14:paraId="360851C7" w14:textId="77777777" w:rsidTr="001A0988">
        <w:tc>
          <w:tcPr>
            <w:tcW w:w="1455" w:type="pct"/>
          </w:tcPr>
          <w:p w14:paraId="1D3D2A61" w14:textId="77777777" w:rsidR="001A0988" w:rsidRPr="00031151" w:rsidRDefault="001A0988" w:rsidP="007E0972">
            <w:pPr>
              <w:rPr>
                <w:rFonts w:ascii="Arial" w:hAnsi="Arial" w:cs="Arial"/>
                <w:sz w:val="24"/>
                <w:szCs w:val="24"/>
              </w:rPr>
            </w:pPr>
            <w:r w:rsidRPr="00031151">
              <w:rPr>
                <w:rFonts w:ascii="Arial" w:hAnsi="Arial" w:cs="Arial"/>
                <w:sz w:val="24"/>
                <w:szCs w:val="24"/>
              </w:rPr>
              <w:t>2015-16</w:t>
            </w:r>
          </w:p>
        </w:tc>
        <w:tc>
          <w:tcPr>
            <w:tcW w:w="1896" w:type="pct"/>
          </w:tcPr>
          <w:p w14:paraId="4E8F7E90" w14:textId="77777777" w:rsidR="001A0988" w:rsidRPr="00031151" w:rsidRDefault="001A0988" w:rsidP="007E0972">
            <w:pPr>
              <w:rPr>
                <w:rFonts w:ascii="Arial" w:hAnsi="Arial" w:cs="Arial"/>
                <w:sz w:val="24"/>
                <w:szCs w:val="24"/>
              </w:rPr>
            </w:pPr>
            <w:r>
              <w:rPr>
                <w:rFonts w:ascii="Arial" w:hAnsi="Arial" w:cs="Arial"/>
                <w:sz w:val="24"/>
                <w:szCs w:val="24"/>
              </w:rPr>
              <w:t>11.7</w:t>
            </w:r>
          </w:p>
        </w:tc>
        <w:tc>
          <w:tcPr>
            <w:tcW w:w="1649" w:type="pct"/>
          </w:tcPr>
          <w:p w14:paraId="71F74469" w14:textId="77777777" w:rsidR="001A0988" w:rsidRPr="00031151" w:rsidRDefault="001A0988" w:rsidP="007E0972">
            <w:pPr>
              <w:rPr>
                <w:rFonts w:ascii="Arial" w:hAnsi="Arial" w:cs="Arial"/>
                <w:sz w:val="24"/>
                <w:szCs w:val="24"/>
              </w:rPr>
            </w:pPr>
            <w:r>
              <w:rPr>
                <w:rFonts w:ascii="Arial" w:hAnsi="Arial" w:cs="Arial"/>
                <w:sz w:val="24"/>
                <w:szCs w:val="24"/>
              </w:rPr>
              <w:t>1.8</w:t>
            </w:r>
          </w:p>
        </w:tc>
      </w:tr>
      <w:tr w:rsidR="001A0988" w:rsidRPr="00031151" w14:paraId="2506A7C1" w14:textId="77777777" w:rsidTr="001A0988">
        <w:tc>
          <w:tcPr>
            <w:tcW w:w="1455" w:type="pct"/>
          </w:tcPr>
          <w:p w14:paraId="78360CD7" w14:textId="77777777" w:rsidR="001A0988" w:rsidRPr="00031151" w:rsidRDefault="001A0988" w:rsidP="007E0972">
            <w:pPr>
              <w:rPr>
                <w:rFonts w:ascii="Arial" w:hAnsi="Arial" w:cs="Arial"/>
                <w:sz w:val="24"/>
                <w:szCs w:val="24"/>
              </w:rPr>
            </w:pPr>
            <w:r w:rsidRPr="00031151">
              <w:rPr>
                <w:rFonts w:ascii="Arial" w:hAnsi="Arial" w:cs="Arial"/>
                <w:sz w:val="24"/>
                <w:szCs w:val="24"/>
              </w:rPr>
              <w:t>2016-17</w:t>
            </w:r>
          </w:p>
        </w:tc>
        <w:tc>
          <w:tcPr>
            <w:tcW w:w="1896" w:type="pct"/>
          </w:tcPr>
          <w:p w14:paraId="4C97943B" w14:textId="77777777" w:rsidR="001A0988" w:rsidRPr="00031151" w:rsidRDefault="001A0988" w:rsidP="007E0972">
            <w:pPr>
              <w:rPr>
                <w:rFonts w:ascii="Arial" w:hAnsi="Arial" w:cs="Arial"/>
                <w:sz w:val="24"/>
                <w:szCs w:val="24"/>
              </w:rPr>
            </w:pPr>
            <w:r>
              <w:rPr>
                <w:rFonts w:ascii="Arial" w:hAnsi="Arial" w:cs="Arial"/>
                <w:sz w:val="24"/>
                <w:szCs w:val="24"/>
              </w:rPr>
              <w:t>10.5</w:t>
            </w:r>
          </w:p>
        </w:tc>
        <w:tc>
          <w:tcPr>
            <w:tcW w:w="1649" w:type="pct"/>
          </w:tcPr>
          <w:p w14:paraId="6E1E8CA6" w14:textId="77777777" w:rsidR="001A0988" w:rsidRPr="00031151" w:rsidRDefault="001A0988" w:rsidP="007E0972">
            <w:pPr>
              <w:rPr>
                <w:rFonts w:ascii="Arial" w:hAnsi="Arial" w:cs="Arial"/>
                <w:sz w:val="24"/>
                <w:szCs w:val="24"/>
              </w:rPr>
            </w:pPr>
            <w:r>
              <w:rPr>
                <w:rFonts w:ascii="Arial" w:hAnsi="Arial" w:cs="Arial"/>
                <w:sz w:val="24"/>
                <w:szCs w:val="24"/>
              </w:rPr>
              <w:t>2.2</w:t>
            </w:r>
          </w:p>
        </w:tc>
      </w:tr>
      <w:tr w:rsidR="001A0988" w:rsidRPr="00031151" w14:paraId="6C7C1A06" w14:textId="77777777" w:rsidTr="001A0988">
        <w:tc>
          <w:tcPr>
            <w:tcW w:w="1455" w:type="pct"/>
          </w:tcPr>
          <w:p w14:paraId="0B5E5CE0" w14:textId="77777777" w:rsidR="001A0988" w:rsidRPr="00031151" w:rsidRDefault="001A0988" w:rsidP="007E0972">
            <w:pPr>
              <w:rPr>
                <w:rFonts w:ascii="Arial" w:hAnsi="Arial" w:cs="Arial"/>
                <w:sz w:val="24"/>
                <w:szCs w:val="24"/>
              </w:rPr>
            </w:pPr>
            <w:r w:rsidRPr="00031151">
              <w:rPr>
                <w:rFonts w:ascii="Arial" w:hAnsi="Arial" w:cs="Arial"/>
                <w:sz w:val="24"/>
                <w:szCs w:val="24"/>
              </w:rPr>
              <w:t>2017-18</w:t>
            </w:r>
          </w:p>
        </w:tc>
        <w:tc>
          <w:tcPr>
            <w:tcW w:w="1896" w:type="pct"/>
          </w:tcPr>
          <w:p w14:paraId="3E1DB4F9" w14:textId="77777777" w:rsidR="001A0988" w:rsidRPr="00031151" w:rsidRDefault="001A0988" w:rsidP="007E0972">
            <w:pPr>
              <w:rPr>
                <w:rFonts w:ascii="Arial" w:hAnsi="Arial" w:cs="Arial"/>
                <w:sz w:val="24"/>
                <w:szCs w:val="24"/>
              </w:rPr>
            </w:pPr>
            <w:r>
              <w:rPr>
                <w:rFonts w:ascii="Arial" w:hAnsi="Arial" w:cs="Arial"/>
                <w:sz w:val="24"/>
                <w:szCs w:val="24"/>
              </w:rPr>
              <w:t>9.9</w:t>
            </w:r>
          </w:p>
        </w:tc>
        <w:tc>
          <w:tcPr>
            <w:tcW w:w="1649" w:type="pct"/>
          </w:tcPr>
          <w:p w14:paraId="14B485C2" w14:textId="77777777" w:rsidR="001A0988" w:rsidRPr="00031151" w:rsidRDefault="001A0988" w:rsidP="007E0972">
            <w:pPr>
              <w:rPr>
                <w:rFonts w:ascii="Arial" w:hAnsi="Arial" w:cs="Arial"/>
                <w:sz w:val="24"/>
                <w:szCs w:val="24"/>
              </w:rPr>
            </w:pPr>
            <w:r>
              <w:rPr>
                <w:rFonts w:ascii="Arial" w:hAnsi="Arial" w:cs="Arial"/>
                <w:sz w:val="24"/>
                <w:szCs w:val="24"/>
              </w:rPr>
              <w:t>2.2</w:t>
            </w:r>
          </w:p>
        </w:tc>
      </w:tr>
    </w:tbl>
    <w:p w14:paraId="6FFF3B02" w14:textId="77777777" w:rsidR="00161D0D" w:rsidRDefault="00317D48" w:rsidP="00BC1A7F">
      <w:pPr>
        <w:rPr>
          <w:rFonts w:ascii="Arial" w:hAnsi="Arial" w:cs="Arial"/>
          <w:i/>
          <w:sz w:val="24"/>
        </w:rPr>
      </w:pPr>
      <w:r w:rsidRPr="00317D48">
        <w:rPr>
          <w:rFonts w:ascii="Arial" w:hAnsi="Arial" w:cs="Arial"/>
          <w:i/>
          <w:sz w:val="24"/>
        </w:rPr>
        <w:t>Source: (AIHW, 2019d)</w:t>
      </w:r>
    </w:p>
    <w:p w14:paraId="556AFFCA" w14:textId="77777777" w:rsidR="007C4E42" w:rsidRPr="007C4E42" w:rsidRDefault="007C4E42" w:rsidP="007C4E42">
      <w:pPr>
        <w:rPr>
          <w:rFonts w:ascii="Arial" w:hAnsi="Arial" w:cs="Arial"/>
          <w:sz w:val="24"/>
        </w:rPr>
      </w:pPr>
      <w:r w:rsidRPr="007C4E42">
        <w:rPr>
          <w:rFonts w:ascii="Arial" w:hAnsi="Arial" w:cs="Arial"/>
          <w:sz w:val="24"/>
        </w:rPr>
        <w:t>Of those under youth justice supervision in 2018, 86 per cent were male and 81 per cent were supervised in the community, with the remainder in detention. More than a third (38 per cent) of those in detention were unsentenced, either awaiting the outcome of their court matter or sentencing. The rest were serving a sentence.</w:t>
      </w:r>
    </w:p>
    <w:p w14:paraId="04E3D628" w14:textId="77777777" w:rsidR="007C4E42" w:rsidRPr="007C4E42" w:rsidRDefault="007C4E42" w:rsidP="007C4E42">
      <w:pPr>
        <w:rPr>
          <w:rFonts w:ascii="Arial" w:hAnsi="Arial" w:cs="Arial"/>
          <w:sz w:val="24"/>
        </w:rPr>
      </w:pPr>
      <w:r w:rsidRPr="007C4E42">
        <w:rPr>
          <w:rFonts w:ascii="Arial" w:hAnsi="Arial" w:cs="Arial"/>
          <w:sz w:val="24"/>
        </w:rPr>
        <w:t>The level of Aboriginal over-representation increased slightly over the period from 2013-14 to 2017-18, from 12 times the non-Aboriginal rate in 2013-14, to 13 times in 2017-18. Aboriginal young people made up two per cent of those aged 10 to 17 in the general population, but 17 per cent of those of the same age under supervision. Aboriginal over-representation was slightly lower in detention (12 times the non-Aboriginal rate) in 2017-18.</w:t>
      </w:r>
    </w:p>
    <w:p w14:paraId="339B73FB" w14:textId="77777777" w:rsidR="004D5B05" w:rsidRDefault="007C4E42" w:rsidP="007C4E42">
      <w:pPr>
        <w:rPr>
          <w:rFonts w:ascii="Arial" w:hAnsi="Arial" w:cs="Arial"/>
          <w:sz w:val="24"/>
        </w:rPr>
      </w:pPr>
      <w:r w:rsidRPr="007C4E42">
        <w:rPr>
          <w:rFonts w:ascii="Arial" w:hAnsi="Arial" w:cs="Arial"/>
          <w:sz w:val="24"/>
        </w:rPr>
        <w:t>Prominent among the reasons for the over-representation of Aboriginal young people in care and the criminal justice system is the broader social and economic disadvantage faced by many Aboriginal people and unequal position in society— socially, economically and culturally. The effects of colonial dispossession of land,</w:t>
      </w:r>
      <w:r>
        <w:rPr>
          <w:rFonts w:ascii="Arial" w:hAnsi="Arial" w:cs="Arial"/>
          <w:sz w:val="24"/>
        </w:rPr>
        <w:t xml:space="preserve"> </w:t>
      </w:r>
      <w:r w:rsidRPr="007C4E42">
        <w:rPr>
          <w:rFonts w:ascii="Arial" w:hAnsi="Arial" w:cs="Arial"/>
          <w:sz w:val="24"/>
        </w:rPr>
        <w:t>disruption of culture and kinship systems, removal of children, racism, social exclusion, institutionalisation and entrenchment of poverty are intergenerational and continue to perpetuate their highly vulnerable position (Royal Commission into Aboriginal Deaths in Custody, 2005; DHHS, 2019a).</w:t>
      </w:r>
    </w:p>
    <w:p w14:paraId="6DBD278B" w14:textId="77777777" w:rsidR="007C4E42" w:rsidRPr="001A0988" w:rsidRDefault="00151035" w:rsidP="007C4E42">
      <w:pPr>
        <w:rPr>
          <w:rFonts w:ascii="Arial" w:hAnsi="Arial" w:cs="Arial"/>
          <w:b/>
          <w:sz w:val="24"/>
        </w:rPr>
      </w:pPr>
      <w:r w:rsidRPr="001A0988">
        <w:rPr>
          <w:rFonts w:ascii="Arial" w:hAnsi="Arial" w:cs="Arial"/>
          <w:b/>
          <w:sz w:val="24"/>
        </w:rPr>
        <w:t>Aboriginal Justice Indicators for age group 10 to 17 (Crime Statistics Agency Victoria, 2019)</w:t>
      </w:r>
    </w:p>
    <w:tbl>
      <w:tblPr>
        <w:tblStyle w:val="TableGrid"/>
        <w:tblW w:w="0" w:type="auto"/>
        <w:tblLook w:val="04A0" w:firstRow="1" w:lastRow="0" w:firstColumn="1" w:lastColumn="0" w:noHBand="0" w:noVBand="1"/>
        <w:tblDescription w:val="This table shows the percentage change between 2014 and 2018 for Aboriginal Justice Indicators for age group 10 to 17, 2019"/>
      </w:tblPr>
      <w:tblGrid>
        <w:gridCol w:w="6304"/>
        <w:gridCol w:w="2712"/>
      </w:tblGrid>
      <w:tr w:rsidR="001A0988" w:rsidRPr="001A0988" w14:paraId="5CDDE4A1" w14:textId="77777777" w:rsidTr="001A0988">
        <w:trPr>
          <w:tblHeader/>
        </w:trPr>
        <w:tc>
          <w:tcPr>
            <w:tcW w:w="0" w:type="auto"/>
          </w:tcPr>
          <w:p w14:paraId="0CA2E4A7" w14:textId="77777777" w:rsidR="001A0988" w:rsidRPr="001A0988" w:rsidRDefault="001A0988" w:rsidP="007C4E42">
            <w:pPr>
              <w:rPr>
                <w:rFonts w:ascii="Arial" w:hAnsi="Arial" w:cs="Arial"/>
                <w:sz w:val="24"/>
                <w:szCs w:val="24"/>
                <w:highlight w:val="yellow"/>
              </w:rPr>
            </w:pPr>
            <w:r w:rsidRPr="001A0988">
              <w:rPr>
                <w:rFonts w:ascii="Arial" w:hAnsi="Arial" w:cs="Arial"/>
                <w:sz w:val="24"/>
                <w:szCs w:val="24"/>
              </w:rPr>
              <w:t>Offending behaviour</w:t>
            </w:r>
          </w:p>
        </w:tc>
        <w:tc>
          <w:tcPr>
            <w:tcW w:w="0" w:type="auto"/>
          </w:tcPr>
          <w:p w14:paraId="602A9689" w14:textId="77777777" w:rsidR="001A0988" w:rsidRPr="001A0988" w:rsidRDefault="001A0988" w:rsidP="001A0988">
            <w:pPr>
              <w:rPr>
                <w:rFonts w:ascii="Arial" w:hAnsi="Arial" w:cs="Arial"/>
                <w:sz w:val="24"/>
                <w:szCs w:val="24"/>
                <w:highlight w:val="yellow"/>
              </w:rPr>
            </w:pPr>
            <w:r w:rsidRPr="001A0988">
              <w:rPr>
                <w:rFonts w:ascii="Arial" w:hAnsi="Arial" w:cs="Arial"/>
                <w:sz w:val="24"/>
                <w:szCs w:val="24"/>
              </w:rPr>
              <w:t>Percentage change from 2014 to 2018</w:t>
            </w:r>
          </w:p>
        </w:tc>
      </w:tr>
      <w:tr w:rsidR="001A0988" w:rsidRPr="001A0988" w14:paraId="77C1773B" w14:textId="77777777" w:rsidTr="001A0988">
        <w:tc>
          <w:tcPr>
            <w:tcW w:w="0" w:type="auto"/>
          </w:tcPr>
          <w:p w14:paraId="4798CCAE" w14:textId="77777777" w:rsidR="001A0988" w:rsidRPr="001A0988" w:rsidRDefault="001A0988" w:rsidP="001A0988">
            <w:pPr>
              <w:autoSpaceDE w:val="0"/>
              <w:autoSpaceDN w:val="0"/>
              <w:adjustRightInd w:val="0"/>
              <w:rPr>
                <w:rFonts w:ascii="Arial" w:hAnsi="Arial" w:cs="Arial"/>
                <w:sz w:val="24"/>
                <w:szCs w:val="24"/>
              </w:rPr>
            </w:pPr>
            <w:r w:rsidRPr="001A0988">
              <w:rPr>
                <w:rFonts w:ascii="Arial" w:hAnsi="Arial" w:cs="Arial"/>
                <w:sz w:val="24"/>
                <w:szCs w:val="24"/>
              </w:rPr>
              <w:t>Alleged Aboriginal offenders recorded for at least one offence in a given year (based on rate per 1,000 population)</w:t>
            </w:r>
          </w:p>
        </w:tc>
        <w:tc>
          <w:tcPr>
            <w:tcW w:w="0" w:type="auto"/>
          </w:tcPr>
          <w:p w14:paraId="4BF10108" w14:textId="77777777" w:rsidR="001A0988" w:rsidRPr="001A0988" w:rsidRDefault="001A0988" w:rsidP="007E0972">
            <w:pPr>
              <w:autoSpaceDE w:val="0"/>
              <w:autoSpaceDN w:val="0"/>
              <w:adjustRightInd w:val="0"/>
              <w:rPr>
                <w:rFonts w:ascii="Arial" w:hAnsi="Arial" w:cs="Arial"/>
                <w:sz w:val="24"/>
                <w:szCs w:val="24"/>
              </w:rPr>
            </w:pPr>
            <w:r w:rsidRPr="001A0988">
              <w:rPr>
                <w:rFonts w:ascii="Arial" w:hAnsi="Arial" w:cs="Arial"/>
                <w:sz w:val="24"/>
                <w:szCs w:val="24"/>
              </w:rPr>
              <w:t>-32.7%</w:t>
            </w:r>
          </w:p>
        </w:tc>
      </w:tr>
      <w:tr w:rsidR="001A0988" w:rsidRPr="001A0988" w14:paraId="35ACA892" w14:textId="77777777" w:rsidTr="001A0988">
        <w:tc>
          <w:tcPr>
            <w:tcW w:w="0" w:type="auto"/>
          </w:tcPr>
          <w:p w14:paraId="5407FEC7" w14:textId="77777777" w:rsidR="001A0988" w:rsidRPr="001A0988" w:rsidRDefault="001A0988" w:rsidP="001A0988">
            <w:pPr>
              <w:autoSpaceDE w:val="0"/>
              <w:autoSpaceDN w:val="0"/>
              <w:adjustRightInd w:val="0"/>
              <w:rPr>
                <w:rFonts w:ascii="Arial" w:hAnsi="Arial" w:cs="Arial"/>
                <w:sz w:val="24"/>
                <w:szCs w:val="24"/>
              </w:rPr>
            </w:pPr>
            <w:r w:rsidRPr="001A0988">
              <w:rPr>
                <w:rFonts w:ascii="Arial" w:hAnsi="Arial" w:cs="Arial"/>
                <w:sz w:val="24"/>
                <w:szCs w:val="24"/>
              </w:rPr>
              <w:t>Alleged Aboriginal offenders recorded for a violent crime in a given year (based on rate per 1,000 population)</w:t>
            </w:r>
          </w:p>
        </w:tc>
        <w:tc>
          <w:tcPr>
            <w:tcW w:w="0" w:type="auto"/>
          </w:tcPr>
          <w:p w14:paraId="51C60B4F" w14:textId="77777777" w:rsidR="001A0988" w:rsidRPr="001A0988" w:rsidRDefault="001A0988" w:rsidP="007E0972">
            <w:pPr>
              <w:autoSpaceDE w:val="0"/>
              <w:autoSpaceDN w:val="0"/>
              <w:adjustRightInd w:val="0"/>
              <w:rPr>
                <w:rFonts w:ascii="Arial" w:hAnsi="Arial" w:cs="Arial"/>
                <w:sz w:val="24"/>
                <w:szCs w:val="24"/>
              </w:rPr>
            </w:pPr>
            <w:r w:rsidRPr="001A0988">
              <w:rPr>
                <w:rFonts w:ascii="Arial" w:hAnsi="Arial" w:cs="Arial"/>
                <w:sz w:val="24"/>
                <w:szCs w:val="24"/>
              </w:rPr>
              <w:t>-32.0%</w:t>
            </w:r>
          </w:p>
        </w:tc>
      </w:tr>
      <w:tr w:rsidR="001A0988" w:rsidRPr="001A0988" w14:paraId="3FB55670" w14:textId="77777777" w:rsidTr="001A0988">
        <w:tc>
          <w:tcPr>
            <w:tcW w:w="0" w:type="auto"/>
          </w:tcPr>
          <w:p w14:paraId="3BCBBED5" w14:textId="77777777" w:rsidR="001A0988" w:rsidRPr="001A0988" w:rsidRDefault="001A0988" w:rsidP="001A0988">
            <w:pPr>
              <w:autoSpaceDE w:val="0"/>
              <w:autoSpaceDN w:val="0"/>
              <w:adjustRightInd w:val="0"/>
              <w:rPr>
                <w:rFonts w:ascii="Arial" w:hAnsi="Arial" w:cs="Arial"/>
                <w:sz w:val="24"/>
                <w:szCs w:val="24"/>
              </w:rPr>
            </w:pPr>
            <w:r w:rsidRPr="001A0988">
              <w:rPr>
                <w:rFonts w:ascii="Arial" w:hAnsi="Arial" w:cs="Arial"/>
                <w:sz w:val="24"/>
                <w:szCs w:val="24"/>
              </w:rPr>
              <w:t>Alleged Aboriginal offenders recorded for a recidivist incident within 12 months (based on rate per 1,000 population)</w:t>
            </w:r>
          </w:p>
        </w:tc>
        <w:tc>
          <w:tcPr>
            <w:tcW w:w="0" w:type="auto"/>
          </w:tcPr>
          <w:p w14:paraId="1264CA66" w14:textId="77777777" w:rsidR="001A0988" w:rsidRPr="001A0988" w:rsidRDefault="001A0988" w:rsidP="007E0972">
            <w:pPr>
              <w:autoSpaceDE w:val="0"/>
              <w:autoSpaceDN w:val="0"/>
              <w:adjustRightInd w:val="0"/>
              <w:rPr>
                <w:rFonts w:ascii="Arial" w:hAnsi="Arial" w:cs="Arial"/>
                <w:sz w:val="24"/>
                <w:szCs w:val="24"/>
              </w:rPr>
            </w:pPr>
            <w:r w:rsidRPr="001A0988">
              <w:rPr>
                <w:rFonts w:ascii="Arial" w:hAnsi="Arial" w:cs="Arial"/>
                <w:sz w:val="24"/>
                <w:szCs w:val="24"/>
              </w:rPr>
              <w:t>-1.8%</w:t>
            </w:r>
          </w:p>
        </w:tc>
      </w:tr>
      <w:tr w:rsidR="001A0988" w:rsidRPr="001A0988" w14:paraId="2C787E5C" w14:textId="77777777" w:rsidTr="001A0988">
        <w:tc>
          <w:tcPr>
            <w:tcW w:w="0" w:type="auto"/>
          </w:tcPr>
          <w:p w14:paraId="2AC1E70C" w14:textId="77777777" w:rsidR="001A0988" w:rsidRPr="001A0988" w:rsidRDefault="001A0988" w:rsidP="001A0988">
            <w:pPr>
              <w:autoSpaceDE w:val="0"/>
              <w:autoSpaceDN w:val="0"/>
              <w:adjustRightInd w:val="0"/>
              <w:rPr>
                <w:rFonts w:ascii="Arial" w:hAnsi="Arial" w:cs="Arial"/>
                <w:sz w:val="24"/>
                <w:szCs w:val="24"/>
              </w:rPr>
            </w:pPr>
            <w:r w:rsidRPr="001A0988">
              <w:rPr>
                <w:rFonts w:ascii="Arial" w:hAnsi="Arial" w:cs="Arial"/>
                <w:sz w:val="24"/>
                <w:szCs w:val="24"/>
              </w:rPr>
              <w:t>Alleged Aboriginal offenders recorded for a breach of bail in a given year (based on rate per 1,000 population)</w:t>
            </w:r>
          </w:p>
        </w:tc>
        <w:tc>
          <w:tcPr>
            <w:tcW w:w="0" w:type="auto"/>
          </w:tcPr>
          <w:p w14:paraId="6BC98176" w14:textId="77777777" w:rsidR="001A0988" w:rsidRPr="001A0988" w:rsidRDefault="001A0988" w:rsidP="007E0972">
            <w:pPr>
              <w:autoSpaceDE w:val="0"/>
              <w:autoSpaceDN w:val="0"/>
              <w:adjustRightInd w:val="0"/>
              <w:rPr>
                <w:rFonts w:ascii="Arial" w:hAnsi="Arial" w:cs="Arial"/>
                <w:sz w:val="24"/>
                <w:szCs w:val="24"/>
              </w:rPr>
            </w:pPr>
            <w:r w:rsidRPr="001A0988">
              <w:rPr>
                <w:rFonts w:ascii="Arial" w:hAnsi="Arial" w:cs="Arial"/>
                <w:sz w:val="24"/>
                <w:szCs w:val="24"/>
              </w:rPr>
              <w:t>-77.2%</w:t>
            </w:r>
          </w:p>
        </w:tc>
      </w:tr>
    </w:tbl>
    <w:p w14:paraId="259457E1" w14:textId="77777777" w:rsidR="001A0988" w:rsidRDefault="001A0988" w:rsidP="007C4E42">
      <w:pPr>
        <w:rPr>
          <w:rFonts w:ascii="Arial" w:hAnsi="Arial" w:cs="Arial"/>
          <w:sz w:val="24"/>
        </w:rPr>
      </w:pPr>
    </w:p>
    <w:p w14:paraId="46FC1F04" w14:textId="77777777" w:rsidR="00151035" w:rsidRDefault="002D53DB" w:rsidP="007C4E42">
      <w:pPr>
        <w:rPr>
          <w:rFonts w:ascii="Arial" w:hAnsi="Arial" w:cs="Arial"/>
          <w:sz w:val="24"/>
        </w:rPr>
      </w:pPr>
      <w:r w:rsidRPr="002D53DB">
        <w:rPr>
          <w:rFonts w:ascii="Arial" w:hAnsi="Arial" w:cs="Arial"/>
          <w:sz w:val="24"/>
        </w:rPr>
        <w:t xml:space="preserve">While adolescents from migrant and refugee backgrounds are often perceived to be associated with crime, this is partly informed by the media’s negative portrayal of </w:t>
      </w:r>
      <w:r w:rsidRPr="002D53DB">
        <w:rPr>
          <w:rFonts w:ascii="Arial" w:hAnsi="Arial" w:cs="Arial"/>
          <w:sz w:val="24"/>
        </w:rPr>
        <w:lastRenderedPageBreak/>
        <w:t>these cohorts, when in reality they only represent a small portion of the crime committed by young people in Victoria (Centre for Multicultural Youth, 2014).</w:t>
      </w:r>
    </w:p>
    <w:p w14:paraId="513EB2D8" w14:textId="77777777" w:rsidR="002D53DB" w:rsidRPr="002D53DB" w:rsidRDefault="002D53DB" w:rsidP="002D53DB">
      <w:pPr>
        <w:pBdr>
          <w:top w:val="single" w:sz="4" w:space="1" w:color="auto"/>
          <w:left w:val="single" w:sz="4" w:space="4" w:color="auto"/>
          <w:bottom w:val="single" w:sz="4" w:space="1" w:color="auto"/>
          <w:right w:val="single" w:sz="4" w:space="4" w:color="auto"/>
        </w:pBdr>
        <w:rPr>
          <w:rFonts w:ascii="Arial" w:hAnsi="Arial" w:cs="Arial"/>
          <w:b/>
          <w:sz w:val="24"/>
        </w:rPr>
      </w:pPr>
      <w:r w:rsidRPr="002D53DB">
        <w:rPr>
          <w:rFonts w:ascii="Arial" w:hAnsi="Arial" w:cs="Arial"/>
          <w:b/>
          <w:sz w:val="24"/>
        </w:rPr>
        <w:t>Education Justice Initiative</w:t>
      </w:r>
    </w:p>
    <w:p w14:paraId="6D5FF2DD" w14:textId="77777777" w:rsidR="002D53DB" w:rsidRPr="002D53DB" w:rsidRDefault="002D53DB" w:rsidP="002D53DB">
      <w:pPr>
        <w:pBdr>
          <w:top w:val="single" w:sz="4" w:space="1" w:color="auto"/>
          <w:left w:val="single" w:sz="4" w:space="4" w:color="auto"/>
          <w:bottom w:val="single" w:sz="4" w:space="1" w:color="auto"/>
          <w:right w:val="single" w:sz="4" w:space="4" w:color="auto"/>
        </w:pBdr>
        <w:rPr>
          <w:rFonts w:ascii="Arial" w:hAnsi="Arial" w:cs="Arial"/>
          <w:sz w:val="24"/>
        </w:rPr>
      </w:pPr>
      <w:r w:rsidRPr="002D53DB">
        <w:rPr>
          <w:rFonts w:ascii="Arial" w:hAnsi="Arial" w:cs="Arial"/>
          <w:sz w:val="24"/>
        </w:rPr>
        <w:t>The Education Justice Initiative (EJI) is an information, referral and advocacy service delivered by DET and supported by the Children’s Court of Victoria. EJI supports young people of compulsory school age between the ages of 10-17 when they come into the criminal division of the Children’s Court. Through outreach at court or through a referral, EJI connect/reconnects young people involved in the criminal division of the Children’s Court into an education or training pathway. A priority for EJI are young people who</w:t>
      </w:r>
      <w:r>
        <w:rPr>
          <w:rFonts w:ascii="Arial" w:hAnsi="Arial" w:cs="Arial"/>
          <w:sz w:val="24"/>
        </w:rPr>
        <w:t xml:space="preserve"> </w:t>
      </w:r>
      <w:r w:rsidRPr="002D53DB">
        <w:rPr>
          <w:rFonts w:ascii="Arial" w:hAnsi="Arial" w:cs="Arial"/>
          <w:sz w:val="24"/>
        </w:rPr>
        <w:t>are making their first appearance at court and may not have a Youth Justice Case Manager or Child Protection Case Worker.</w:t>
      </w:r>
    </w:p>
    <w:p w14:paraId="14F505CB" w14:textId="77777777" w:rsidR="002D53DB" w:rsidRPr="002D53DB" w:rsidRDefault="002D53DB" w:rsidP="002D53DB">
      <w:pPr>
        <w:pBdr>
          <w:top w:val="single" w:sz="4" w:space="1" w:color="auto"/>
          <w:left w:val="single" w:sz="4" w:space="4" w:color="auto"/>
          <w:bottom w:val="single" w:sz="4" w:space="1" w:color="auto"/>
          <w:right w:val="single" w:sz="4" w:space="4" w:color="auto"/>
        </w:pBdr>
        <w:rPr>
          <w:rFonts w:ascii="Arial" w:hAnsi="Arial" w:cs="Arial"/>
          <w:b/>
          <w:sz w:val="24"/>
        </w:rPr>
      </w:pPr>
      <w:r w:rsidRPr="002D53DB">
        <w:rPr>
          <w:rFonts w:ascii="Arial" w:hAnsi="Arial" w:cs="Arial"/>
          <w:b/>
          <w:sz w:val="24"/>
        </w:rPr>
        <w:t>Burra Lotjpa Dunguludja – Victorian Aboriginal Justice Agreement</w:t>
      </w:r>
    </w:p>
    <w:p w14:paraId="16EBF9D1" w14:textId="77777777" w:rsidR="002D53DB" w:rsidRDefault="002D53DB" w:rsidP="002D53DB">
      <w:pPr>
        <w:pBdr>
          <w:top w:val="single" w:sz="4" w:space="1" w:color="auto"/>
          <w:left w:val="single" w:sz="4" w:space="4" w:color="auto"/>
          <w:bottom w:val="single" w:sz="4" w:space="1" w:color="auto"/>
          <w:right w:val="single" w:sz="4" w:space="4" w:color="auto"/>
        </w:pBdr>
        <w:rPr>
          <w:rFonts w:ascii="Arial" w:hAnsi="Arial" w:cs="Arial"/>
          <w:sz w:val="24"/>
        </w:rPr>
      </w:pPr>
      <w:r w:rsidRPr="002D53DB">
        <w:rPr>
          <w:rFonts w:ascii="Arial" w:hAnsi="Arial" w:cs="Arial"/>
          <w:sz w:val="24"/>
        </w:rPr>
        <w:t>Through the Victorian Aboriginal Justice Agreement partnership, the Aboriginal community and Victorian Government are committed to working together to improve Aboriginal justice outcomes, family and community safety, and to reduce over- representation in the Victorian criminal justice system primarily through reducing repeated contact with the system.</w:t>
      </w:r>
    </w:p>
    <w:p w14:paraId="75DB7BD2" w14:textId="77777777" w:rsidR="002D53DB" w:rsidRDefault="002D53DB" w:rsidP="002D53DB">
      <w:pPr>
        <w:rPr>
          <w:rFonts w:ascii="Arial" w:hAnsi="Arial" w:cs="Arial"/>
          <w:sz w:val="24"/>
          <w:highlight w:val="yellow"/>
        </w:rPr>
      </w:pPr>
    </w:p>
    <w:p w14:paraId="002A30A3" w14:textId="77777777" w:rsidR="008A1822" w:rsidRPr="008A1822" w:rsidRDefault="008A1822" w:rsidP="008A1822">
      <w:pPr>
        <w:pBdr>
          <w:top w:val="single" w:sz="4" w:space="1" w:color="auto"/>
          <w:left w:val="single" w:sz="4" w:space="4" w:color="auto"/>
          <w:bottom w:val="single" w:sz="4" w:space="1" w:color="auto"/>
          <w:right w:val="single" w:sz="4" w:space="4" w:color="auto"/>
        </w:pBdr>
        <w:rPr>
          <w:rFonts w:ascii="Arial" w:hAnsi="Arial" w:cs="Arial"/>
          <w:b/>
          <w:sz w:val="24"/>
        </w:rPr>
      </w:pPr>
      <w:r w:rsidRPr="008A1822">
        <w:rPr>
          <w:rFonts w:ascii="Arial" w:hAnsi="Arial" w:cs="Arial"/>
          <w:b/>
          <w:sz w:val="24"/>
        </w:rPr>
        <w:t>Aboriginal Youth Justice</w:t>
      </w:r>
    </w:p>
    <w:p w14:paraId="6D988EBD" w14:textId="77777777" w:rsidR="008A1822" w:rsidRPr="008A1822" w:rsidRDefault="008A1822" w:rsidP="008A1822">
      <w:pPr>
        <w:pBdr>
          <w:top w:val="single" w:sz="4" w:space="1" w:color="auto"/>
          <w:left w:val="single" w:sz="4" w:space="4" w:color="auto"/>
          <w:bottom w:val="single" w:sz="4" w:space="1" w:color="auto"/>
          <w:right w:val="single" w:sz="4" w:space="4" w:color="auto"/>
        </w:pBdr>
        <w:rPr>
          <w:rFonts w:ascii="Arial" w:hAnsi="Arial" w:cs="Arial"/>
          <w:sz w:val="24"/>
        </w:rPr>
      </w:pPr>
      <w:r w:rsidRPr="008A1822">
        <w:rPr>
          <w:rFonts w:ascii="Arial" w:hAnsi="Arial" w:cs="Arial"/>
          <w:sz w:val="24"/>
        </w:rPr>
        <w:t>Following the release of the Armytage and Ogloff Youth Justice Review (2017),</w:t>
      </w:r>
    </w:p>
    <w:p w14:paraId="10A8EB57" w14:textId="77777777" w:rsidR="008A1822" w:rsidRPr="008A1822" w:rsidRDefault="008A1822" w:rsidP="008A1822">
      <w:pPr>
        <w:pBdr>
          <w:top w:val="single" w:sz="4" w:space="1" w:color="auto"/>
          <w:left w:val="single" w:sz="4" w:space="4" w:color="auto"/>
          <w:bottom w:val="single" w:sz="4" w:space="1" w:color="auto"/>
          <w:right w:val="single" w:sz="4" w:space="4" w:color="auto"/>
        </w:pBdr>
        <w:rPr>
          <w:rFonts w:ascii="Arial" w:hAnsi="Arial" w:cs="Arial"/>
          <w:sz w:val="24"/>
        </w:rPr>
      </w:pPr>
      <w:r w:rsidRPr="008A1822">
        <w:rPr>
          <w:rFonts w:ascii="Arial" w:hAnsi="Arial" w:cs="Arial"/>
          <w:sz w:val="24"/>
        </w:rPr>
        <w:t>$1.32 million was committed to addressing the over-representation of Aboriginal children and young people in the Youth Justice System. This has resulted in:</w:t>
      </w:r>
    </w:p>
    <w:p w14:paraId="3B592213" w14:textId="77777777" w:rsidR="008A1822" w:rsidRPr="008A1822" w:rsidRDefault="008A1822" w:rsidP="008A1822">
      <w:pPr>
        <w:pBdr>
          <w:top w:val="single" w:sz="4" w:space="1" w:color="auto"/>
          <w:left w:val="single" w:sz="4" w:space="4" w:color="auto"/>
          <w:bottom w:val="single" w:sz="4" w:space="1" w:color="auto"/>
          <w:right w:val="single" w:sz="4" w:space="4" w:color="auto"/>
        </w:pBdr>
        <w:rPr>
          <w:rFonts w:ascii="Arial" w:hAnsi="Arial" w:cs="Arial"/>
          <w:sz w:val="24"/>
        </w:rPr>
      </w:pPr>
      <w:r w:rsidRPr="008A1822">
        <w:rPr>
          <w:rFonts w:ascii="Arial" w:hAnsi="Arial" w:cs="Arial"/>
          <w:sz w:val="24"/>
        </w:rPr>
        <w:t>•</w:t>
      </w:r>
      <w:r>
        <w:rPr>
          <w:rFonts w:ascii="Arial" w:hAnsi="Arial" w:cs="Arial"/>
          <w:sz w:val="24"/>
        </w:rPr>
        <w:t xml:space="preserve"> </w:t>
      </w:r>
      <w:r w:rsidRPr="008A1822">
        <w:rPr>
          <w:rFonts w:ascii="Arial" w:hAnsi="Arial" w:cs="Arial"/>
          <w:sz w:val="24"/>
        </w:rPr>
        <w:t>establishment of a dedicated Aboriginal Youth Justice unit</w:t>
      </w:r>
    </w:p>
    <w:p w14:paraId="657D18F4" w14:textId="77777777" w:rsidR="008A1822" w:rsidRPr="008A1822" w:rsidRDefault="008A1822" w:rsidP="008A1822">
      <w:pPr>
        <w:pBdr>
          <w:top w:val="single" w:sz="4" w:space="1" w:color="auto"/>
          <w:left w:val="single" w:sz="4" w:space="4" w:color="auto"/>
          <w:bottom w:val="single" w:sz="4" w:space="1" w:color="auto"/>
          <w:right w:val="single" w:sz="4" w:space="4" w:color="auto"/>
        </w:pBdr>
        <w:rPr>
          <w:rFonts w:ascii="Arial" w:hAnsi="Arial" w:cs="Arial"/>
          <w:sz w:val="24"/>
        </w:rPr>
      </w:pPr>
      <w:r w:rsidRPr="008A1822">
        <w:rPr>
          <w:rFonts w:ascii="Arial" w:hAnsi="Arial" w:cs="Arial"/>
          <w:sz w:val="24"/>
        </w:rPr>
        <w:t>•</w:t>
      </w:r>
      <w:r>
        <w:rPr>
          <w:rFonts w:ascii="Arial" w:hAnsi="Arial" w:cs="Arial"/>
          <w:sz w:val="24"/>
        </w:rPr>
        <w:t xml:space="preserve"> </w:t>
      </w:r>
      <w:r w:rsidRPr="008A1822">
        <w:rPr>
          <w:rFonts w:ascii="Arial" w:hAnsi="Arial" w:cs="Arial"/>
          <w:sz w:val="24"/>
        </w:rPr>
        <w:t>development of an Aboriginal Youth Justice Strategy in partnership with the Aboriginal Justice Forum and Koori Caucus (currently underway)</w:t>
      </w:r>
    </w:p>
    <w:p w14:paraId="0B33319E" w14:textId="77777777" w:rsidR="008A1822" w:rsidRPr="008A1822" w:rsidRDefault="008A1822" w:rsidP="008A1822">
      <w:pPr>
        <w:pBdr>
          <w:top w:val="single" w:sz="4" w:space="1" w:color="auto"/>
          <w:left w:val="single" w:sz="4" w:space="4" w:color="auto"/>
          <w:bottom w:val="single" w:sz="4" w:space="1" w:color="auto"/>
          <w:right w:val="single" w:sz="4" w:space="4" w:color="auto"/>
        </w:pBdr>
        <w:rPr>
          <w:rFonts w:ascii="Arial" w:hAnsi="Arial" w:cs="Arial"/>
          <w:sz w:val="24"/>
        </w:rPr>
      </w:pPr>
      <w:r w:rsidRPr="008A1822">
        <w:rPr>
          <w:rFonts w:ascii="Arial" w:hAnsi="Arial" w:cs="Arial"/>
          <w:sz w:val="24"/>
        </w:rPr>
        <w:t>•</w:t>
      </w:r>
      <w:r>
        <w:rPr>
          <w:rFonts w:ascii="Arial" w:hAnsi="Arial" w:cs="Arial"/>
          <w:sz w:val="24"/>
        </w:rPr>
        <w:t xml:space="preserve"> </w:t>
      </w:r>
      <w:r w:rsidRPr="008A1822">
        <w:rPr>
          <w:rFonts w:ascii="Arial" w:hAnsi="Arial" w:cs="Arial"/>
          <w:sz w:val="24"/>
        </w:rPr>
        <w:t>a Koori Youth Justice Taskforce in partnership with the Commission for Children and Young People</w:t>
      </w:r>
    </w:p>
    <w:p w14:paraId="4603403B" w14:textId="77777777" w:rsidR="008A1822" w:rsidRPr="008A1822" w:rsidRDefault="008A1822" w:rsidP="008A1822">
      <w:pPr>
        <w:pBdr>
          <w:top w:val="single" w:sz="4" w:space="1" w:color="auto"/>
          <w:left w:val="single" w:sz="4" w:space="4" w:color="auto"/>
          <w:bottom w:val="single" w:sz="4" w:space="1" w:color="auto"/>
          <w:right w:val="single" w:sz="4" w:space="4" w:color="auto"/>
        </w:pBdr>
        <w:rPr>
          <w:rFonts w:ascii="Arial" w:hAnsi="Arial" w:cs="Arial"/>
          <w:sz w:val="24"/>
        </w:rPr>
      </w:pPr>
      <w:r w:rsidRPr="008A1822">
        <w:rPr>
          <w:rFonts w:ascii="Arial" w:hAnsi="Arial" w:cs="Arial"/>
          <w:sz w:val="24"/>
        </w:rPr>
        <w:t>•</w:t>
      </w:r>
      <w:r>
        <w:rPr>
          <w:rFonts w:ascii="Arial" w:hAnsi="Arial" w:cs="Arial"/>
          <w:sz w:val="24"/>
        </w:rPr>
        <w:t xml:space="preserve"> </w:t>
      </w:r>
      <w:r w:rsidRPr="008A1822">
        <w:rPr>
          <w:rFonts w:ascii="Arial" w:hAnsi="Arial" w:cs="Arial"/>
          <w:sz w:val="24"/>
        </w:rPr>
        <w:t>the review and redevelopment of Aboriginal Cultural Support Plans</w:t>
      </w:r>
    </w:p>
    <w:p w14:paraId="05C3FC5E" w14:textId="77777777" w:rsidR="008A1822" w:rsidRPr="008A1822" w:rsidRDefault="008A1822" w:rsidP="008A1822">
      <w:pPr>
        <w:pBdr>
          <w:top w:val="single" w:sz="4" w:space="1" w:color="auto"/>
          <w:left w:val="single" w:sz="4" w:space="4" w:color="auto"/>
          <w:bottom w:val="single" w:sz="4" w:space="1" w:color="auto"/>
          <w:right w:val="single" w:sz="4" w:space="4" w:color="auto"/>
        </w:pBdr>
        <w:rPr>
          <w:rFonts w:ascii="Arial" w:hAnsi="Arial" w:cs="Arial"/>
          <w:sz w:val="24"/>
        </w:rPr>
      </w:pPr>
      <w:r w:rsidRPr="008A1822">
        <w:rPr>
          <w:rFonts w:ascii="Arial" w:hAnsi="Arial" w:cs="Arial"/>
          <w:sz w:val="24"/>
        </w:rPr>
        <w:t>•</w:t>
      </w:r>
      <w:r>
        <w:rPr>
          <w:rFonts w:ascii="Arial" w:hAnsi="Arial" w:cs="Arial"/>
          <w:sz w:val="24"/>
        </w:rPr>
        <w:t xml:space="preserve"> </w:t>
      </w:r>
      <w:r w:rsidRPr="008A1822">
        <w:rPr>
          <w:rFonts w:ascii="Arial" w:hAnsi="Arial" w:cs="Arial"/>
          <w:sz w:val="24"/>
        </w:rPr>
        <w:t>increase in the numbers of Aboriginal Liaison Officers in Youth Justice Custodial Precincts</w:t>
      </w:r>
    </w:p>
    <w:p w14:paraId="4AB548F6" w14:textId="77777777" w:rsidR="008A1822" w:rsidRPr="008A1822" w:rsidRDefault="008A1822" w:rsidP="008A1822">
      <w:pPr>
        <w:pBdr>
          <w:top w:val="single" w:sz="4" w:space="1" w:color="auto"/>
          <w:left w:val="single" w:sz="4" w:space="4" w:color="auto"/>
          <w:bottom w:val="single" w:sz="4" w:space="1" w:color="auto"/>
          <w:right w:val="single" w:sz="4" w:space="4" w:color="auto"/>
        </w:pBdr>
        <w:rPr>
          <w:rFonts w:ascii="Arial" w:hAnsi="Arial" w:cs="Arial"/>
          <w:sz w:val="24"/>
        </w:rPr>
      </w:pPr>
      <w:r w:rsidRPr="008A1822">
        <w:rPr>
          <w:rFonts w:ascii="Arial" w:hAnsi="Arial" w:cs="Arial"/>
          <w:sz w:val="24"/>
        </w:rPr>
        <w:t>•</w:t>
      </w:r>
      <w:r>
        <w:rPr>
          <w:rFonts w:ascii="Arial" w:hAnsi="Arial" w:cs="Arial"/>
          <w:sz w:val="24"/>
        </w:rPr>
        <w:t xml:space="preserve"> </w:t>
      </w:r>
      <w:r w:rsidRPr="008A1822">
        <w:rPr>
          <w:rFonts w:ascii="Arial" w:hAnsi="Arial" w:cs="Arial"/>
          <w:sz w:val="24"/>
        </w:rPr>
        <w:t>expansion of the Aboriginal Community Based Youth Justice Program.</w:t>
      </w:r>
    </w:p>
    <w:p w14:paraId="27BCE2A8" w14:textId="77777777" w:rsidR="008A1822" w:rsidRDefault="008A1822" w:rsidP="008A1822">
      <w:pPr>
        <w:pBdr>
          <w:top w:val="single" w:sz="4" w:space="1" w:color="auto"/>
          <w:left w:val="single" w:sz="4" w:space="4" w:color="auto"/>
          <w:bottom w:val="single" w:sz="4" w:space="1" w:color="auto"/>
          <w:right w:val="single" w:sz="4" w:space="4" w:color="auto"/>
        </w:pBdr>
        <w:rPr>
          <w:rFonts w:ascii="Arial" w:hAnsi="Arial" w:cs="Arial"/>
          <w:sz w:val="24"/>
        </w:rPr>
      </w:pPr>
      <w:r w:rsidRPr="008A1822">
        <w:rPr>
          <w:rFonts w:ascii="Arial" w:hAnsi="Arial" w:cs="Arial"/>
          <w:sz w:val="24"/>
        </w:rPr>
        <w:t xml:space="preserve">The Aboriginal Community Based Program is statewide, and delivered predominately by Aboriginal Community Controlled Organisations (ACCOs). The program provides culturally based and culturally safe support to Aboriginal young </w:t>
      </w:r>
      <w:r w:rsidRPr="008A1822">
        <w:rPr>
          <w:rFonts w:ascii="Arial" w:hAnsi="Arial" w:cs="Arial"/>
          <w:sz w:val="24"/>
        </w:rPr>
        <w:lastRenderedPageBreak/>
        <w:t>people at risk of, or involved with Youth Justice to strengthen connection to culture and community and reduce offending behaviour.</w:t>
      </w:r>
    </w:p>
    <w:p w14:paraId="144FFFFB" w14:textId="77777777" w:rsidR="008A1822" w:rsidRPr="00FE301A" w:rsidRDefault="00FE301A" w:rsidP="008A1822">
      <w:pPr>
        <w:rPr>
          <w:rFonts w:ascii="Arial" w:hAnsi="Arial" w:cs="Arial"/>
          <w:b/>
          <w:sz w:val="24"/>
        </w:rPr>
      </w:pPr>
      <w:r w:rsidRPr="00FE301A">
        <w:rPr>
          <w:rFonts w:ascii="Arial" w:hAnsi="Arial" w:cs="Arial"/>
          <w:b/>
          <w:sz w:val="24"/>
        </w:rPr>
        <w:t>Diverting and intervening early with Victorian youth in the justice system</w:t>
      </w:r>
    </w:p>
    <w:p w14:paraId="5C1BF575" w14:textId="77777777" w:rsidR="00FE301A" w:rsidRPr="00FE301A" w:rsidRDefault="00FE301A" w:rsidP="00FE301A">
      <w:pPr>
        <w:pBdr>
          <w:top w:val="single" w:sz="4" w:space="1" w:color="auto"/>
          <w:left w:val="single" w:sz="4" w:space="4" w:color="auto"/>
          <w:bottom w:val="single" w:sz="4" w:space="1" w:color="auto"/>
          <w:right w:val="single" w:sz="4" w:space="4" w:color="auto"/>
        </w:pBdr>
        <w:rPr>
          <w:rFonts w:ascii="Arial" w:hAnsi="Arial" w:cs="Arial"/>
          <w:b/>
          <w:sz w:val="24"/>
        </w:rPr>
      </w:pPr>
      <w:r w:rsidRPr="00FE301A">
        <w:rPr>
          <w:rFonts w:ascii="Arial" w:hAnsi="Arial" w:cs="Arial"/>
          <w:b/>
          <w:sz w:val="24"/>
        </w:rPr>
        <w:t>Youth Offending Programs</w:t>
      </w:r>
    </w:p>
    <w:p w14:paraId="37A468F7" w14:textId="77777777" w:rsidR="00FE301A" w:rsidRPr="00FE301A" w:rsidRDefault="00FE301A" w:rsidP="00FE301A">
      <w:pPr>
        <w:pBdr>
          <w:top w:val="single" w:sz="4" w:space="1" w:color="auto"/>
          <w:left w:val="single" w:sz="4" w:space="4" w:color="auto"/>
          <w:bottom w:val="single" w:sz="4" w:space="1" w:color="auto"/>
          <w:right w:val="single" w:sz="4" w:space="4" w:color="auto"/>
        </w:pBdr>
        <w:rPr>
          <w:rFonts w:ascii="Arial" w:hAnsi="Arial" w:cs="Arial"/>
          <w:sz w:val="24"/>
        </w:rPr>
      </w:pPr>
      <w:r w:rsidRPr="00FE301A">
        <w:rPr>
          <w:rFonts w:ascii="Arial" w:hAnsi="Arial" w:cs="Arial"/>
          <w:sz w:val="24"/>
        </w:rPr>
        <w:t>New youth offending behaviour programs were introduced in February 2019 for young people involved with youth justice that directly address their offending behaviour, including programs targeting violent offending, sexual offending, substance use-related and motor-vehicle related offending.</w:t>
      </w:r>
    </w:p>
    <w:p w14:paraId="395B8EF1" w14:textId="77777777" w:rsidR="00FE301A" w:rsidRPr="00FE301A" w:rsidRDefault="00FE301A" w:rsidP="00FE301A">
      <w:pPr>
        <w:pBdr>
          <w:top w:val="single" w:sz="4" w:space="1" w:color="auto"/>
          <w:left w:val="single" w:sz="4" w:space="4" w:color="auto"/>
          <w:bottom w:val="single" w:sz="4" w:space="1" w:color="auto"/>
          <w:right w:val="single" w:sz="4" w:space="4" w:color="auto"/>
        </w:pBdr>
        <w:rPr>
          <w:rFonts w:ascii="Arial" w:hAnsi="Arial" w:cs="Arial"/>
          <w:sz w:val="24"/>
        </w:rPr>
      </w:pPr>
      <w:r w:rsidRPr="00FE301A">
        <w:rPr>
          <w:rFonts w:ascii="Arial" w:hAnsi="Arial" w:cs="Arial"/>
          <w:sz w:val="24"/>
        </w:rPr>
        <w:t>The program model ensures that evidence-based interventions match a young person’s risk of reoffending, so those with the highest reoffending risk receive the most intensive interventions.</w:t>
      </w:r>
    </w:p>
    <w:p w14:paraId="08878AC5" w14:textId="77777777" w:rsidR="00FE301A" w:rsidRPr="00FE301A" w:rsidRDefault="00FE301A" w:rsidP="00FE301A">
      <w:pPr>
        <w:pBdr>
          <w:top w:val="single" w:sz="4" w:space="1" w:color="auto"/>
          <w:left w:val="single" w:sz="4" w:space="4" w:color="auto"/>
          <w:bottom w:val="single" w:sz="4" w:space="1" w:color="auto"/>
          <w:right w:val="single" w:sz="4" w:space="4" w:color="auto"/>
        </w:pBdr>
        <w:rPr>
          <w:rFonts w:ascii="Arial" w:hAnsi="Arial" w:cs="Arial"/>
          <w:b/>
          <w:sz w:val="24"/>
        </w:rPr>
      </w:pPr>
      <w:r w:rsidRPr="00FE301A">
        <w:rPr>
          <w:rFonts w:ascii="Arial" w:hAnsi="Arial" w:cs="Arial"/>
          <w:b/>
          <w:sz w:val="24"/>
        </w:rPr>
        <w:t>Youth Support Service</w:t>
      </w:r>
    </w:p>
    <w:p w14:paraId="52E36B87" w14:textId="77777777" w:rsidR="00FE301A" w:rsidRPr="00FE301A" w:rsidRDefault="00FE301A" w:rsidP="00FE301A">
      <w:pPr>
        <w:pBdr>
          <w:top w:val="single" w:sz="4" w:space="1" w:color="auto"/>
          <w:left w:val="single" w:sz="4" w:space="4" w:color="auto"/>
          <w:bottom w:val="single" w:sz="4" w:space="1" w:color="auto"/>
          <w:right w:val="single" w:sz="4" w:space="4" w:color="auto"/>
        </w:pBdr>
        <w:rPr>
          <w:rFonts w:ascii="Arial" w:hAnsi="Arial" w:cs="Arial"/>
          <w:sz w:val="24"/>
        </w:rPr>
      </w:pPr>
      <w:r w:rsidRPr="00FE301A">
        <w:rPr>
          <w:rFonts w:ascii="Arial" w:hAnsi="Arial" w:cs="Arial"/>
          <w:sz w:val="24"/>
        </w:rPr>
        <w:t>The Youth Support Service and Aboriginal Youth Support Service are voluntary, community based, early-intervention services for young people aged 10–17 years residing in metropolitan Melbourne and six regional centres including Latrobe Valley, Shepparton, Mildura, Bendigo, Ballarat and Geelong. These services work with the young person and their family to facilitate access to education, employment and training, drug and alcohol treatment, health and mental health services. Young people may be referred by police following an interaction, by the Children’s Court Youth Diversion service, or by parents or schools. The services aim to intervene before criminal involvement escalates and divert young people away from the criminal justice system.</w:t>
      </w:r>
    </w:p>
    <w:p w14:paraId="79A0EA37" w14:textId="77777777" w:rsidR="00FE301A" w:rsidRDefault="00FE301A" w:rsidP="00FE301A">
      <w:pPr>
        <w:pBdr>
          <w:top w:val="single" w:sz="4" w:space="1" w:color="auto"/>
          <w:left w:val="single" w:sz="4" w:space="4" w:color="auto"/>
          <w:bottom w:val="single" w:sz="4" w:space="1" w:color="auto"/>
          <w:right w:val="single" w:sz="4" w:space="4" w:color="auto"/>
        </w:pBdr>
        <w:rPr>
          <w:rFonts w:ascii="Arial" w:hAnsi="Arial" w:cs="Arial"/>
          <w:sz w:val="24"/>
        </w:rPr>
      </w:pPr>
      <w:r w:rsidRPr="00FE301A">
        <w:rPr>
          <w:rFonts w:ascii="Arial" w:hAnsi="Arial" w:cs="Arial"/>
          <w:sz w:val="24"/>
        </w:rPr>
        <w:t>The Department of Justice and Community Safety (DJCS) funds community</w:t>
      </w:r>
      <w:r>
        <w:rPr>
          <w:rFonts w:ascii="Arial" w:hAnsi="Arial" w:cs="Arial"/>
          <w:sz w:val="24"/>
        </w:rPr>
        <w:t xml:space="preserve"> </w:t>
      </w:r>
      <w:r w:rsidRPr="00FE301A">
        <w:rPr>
          <w:rFonts w:ascii="Arial" w:hAnsi="Arial" w:cs="Arial"/>
          <w:sz w:val="24"/>
        </w:rPr>
        <w:t>sector organisations to deliver the Youth Support Service and Aboriginal Controlled Community Organisations (ACCOs) to deliver the Aboriginal Youth Support Service (total of 1165 targets).</w:t>
      </w:r>
    </w:p>
    <w:p w14:paraId="2D462775" w14:textId="77777777" w:rsidR="00FE301A" w:rsidRDefault="00FE301A" w:rsidP="00FE301A">
      <w:pPr>
        <w:rPr>
          <w:rFonts w:ascii="Arial" w:hAnsi="Arial" w:cs="Arial"/>
          <w:sz w:val="24"/>
        </w:rPr>
      </w:pPr>
    </w:p>
    <w:p w14:paraId="7764877F" w14:textId="77777777" w:rsidR="00FE301A" w:rsidRPr="00FE301A" w:rsidRDefault="00FE301A" w:rsidP="00FE301A">
      <w:pPr>
        <w:pBdr>
          <w:top w:val="single" w:sz="4" w:space="1" w:color="auto"/>
          <w:left w:val="single" w:sz="4" w:space="4" w:color="auto"/>
          <w:bottom w:val="single" w:sz="4" w:space="1" w:color="auto"/>
          <w:right w:val="single" w:sz="4" w:space="4" w:color="auto"/>
        </w:pBdr>
        <w:rPr>
          <w:rFonts w:ascii="Arial" w:hAnsi="Arial" w:cs="Arial"/>
          <w:b/>
          <w:sz w:val="24"/>
        </w:rPr>
      </w:pPr>
      <w:r w:rsidRPr="00FE301A">
        <w:rPr>
          <w:rFonts w:ascii="Arial" w:hAnsi="Arial" w:cs="Arial"/>
          <w:b/>
          <w:sz w:val="24"/>
        </w:rPr>
        <w:t>Youth Justice Group Conferencing</w:t>
      </w:r>
    </w:p>
    <w:p w14:paraId="66AF04BA" w14:textId="77777777" w:rsidR="00FE301A" w:rsidRPr="00FE301A" w:rsidRDefault="00FE301A" w:rsidP="00FE301A">
      <w:pPr>
        <w:pBdr>
          <w:top w:val="single" w:sz="4" w:space="1" w:color="auto"/>
          <w:left w:val="single" w:sz="4" w:space="4" w:color="auto"/>
          <w:bottom w:val="single" w:sz="4" w:space="1" w:color="auto"/>
          <w:right w:val="single" w:sz="4" w:space="4" w:color="auto"/>
        </w:pBdr>
        <w:rPr>
          <w:rFonts w:ascii="Arial" w:hAnsi="Arial" w:cs="Arial"/>
          <w:sz w:val="24"/>
        </w:rPr>
      </w:pPr>
      <w:r w:rsidRPr="00FE301A">
        <w:rPr>
          <w:rFonts w:ascii="Arial" w:hAnsi="Arial" w:cs="Arial"/>
          <w:sz w:val="24"/>
        </w:rPr>
        <w:t>Youth Justice Group Conferencing (YJGC) is a legislated statewide response available to the Children’s Court prior to sentencing that brings the young person found guilty of offences together with significant others, including the victim or victim representative. Based on restorative justice principles, YJGC aims to increase the young person’s understanding of the impact of their offending on the victim, their family and/or significant others and the community. Youth Justice assesses suitability for a YJGC, while DJCS funds community sector organisations to prepare young people and other participants for the process, convene the conference and report back to the court.</w:t>
      </w:r>
    </w:p>
    <w:p w14:paraId="63553B7E" w14:textId="77777777" w:rsidR="00FE301A" w:rsidRPr="00FE301A" w:rsidRDefault="00FE301A" w:rsidP="00FE301A">
      <w:pPr>
        <w:pBdr>
          <w:top w:val="single" w:sz="4" w:space="1" w:color="auto"/>
          <w:left w:val="single" w:sz="4" w:space="4" w:color="auto"/>
          <w:bottom w:val="single" w:sz="4" w:space="1" w:color="auto"/>
          <w:right w:val="single" w:sz="4" w:space="4" w:color="auto"/>
        </w:pBdr>
        <w:rPr>
          <w:rFonts w:ascii="Arial" w:hAnsi="Arial" w:cs="Arial"/>
          <w:sz w:val="24"/>
        </w:rPr>
      </w:pPr>
      <w:r w:rsidRPr="00FE301A">
        <w:rPr>
          <w:rFonts w:ascii="Arial" w:hAnsi="Arial" w:cs="Arial"/>
          <w:sz w:val="24"/>
        </w:rPr>
        <w:lastRenderedPageBreak/>
        <w:t>If a young person participates in the conference and agrees to an outcome plan that sets out what they will do to make amends for the harm caused, the court is required to impose a lesser sentence. In 2018, 188 YJGC sessions were completed.</w:t>
      </w:r>
    </w:p>
    <w:p w14:paraId="57D84E81" w14:textId="77777777" w:rsidR="00331333" w:rsidRDefault="00331333" w:rsidP="00331333">
      <w:pPr>
        <w:rPr>
          <w:rFonts w:ascii="Arial" w:hAnsi="Arial" w:cs="Arial"/>
          <w:b/>
          <w:sz w:val="24"/>
        </w:rPr>
      </w:pPr>
    </w:p>
    <w:p w14:paraId="20487CC3" w14:textId="77777777" w:rsidR="00331333" w:rsidRPr="00331333" w:rsidRDefault="00331333" w:rsidP="00331333">
      <w:pPr>
        <w:pBdr>
          <w:top w:val="single" w:sz="4" w:space="1" w:color="auto"/>
          <w:left w:val="single" w:sz="4" w:space="4" w:color="auto"/>
          <w:bottom w:val="single" w:sz="4" w:space="1" w:color="auto"/>
          <w:right w:val="single" w:sz="4" w:space="4" w:color="auto"/>
        </w:pBdr>
        <w:rPr>
          <w:rFonts w:ascii="Arial" w:hAnsi="Arial" w:cs="Arial"/>
          <w:b/>
          <w:sz w:val="24"/>
        </w:rPr>
      </w:pPr>
      <w:r w:rsidRPr="00331333">
        <w:rPr>
          <w:rFonts w:ascii="Arial" w:hAnsi="Arial" w:cs="Arial"/>
          <w:b/>
          <w:sz w:val="24"/>
        </w:rPr>
        <w:t>Children’s Court Youth Diversion service</w:t>
      </w:r>
    </w:p>
    <w:p w14:paraId="17E70CC6" w14:textId="77777777" w:rsidR="00331333" w:rsidRPr="00331333" w:rsidRDefault="00331333" w:rsidP="00331333">
      <w:pPr>
        <w:pBdr>
          <w:top w:val="single" w:sz="4" w:space="1" w:color="auto"/>
          <w:left w:val="single" w:sz="4" w:space="4" w:color="auto"/>
          <w:bottom w:val="single" w:sz="4" w:space="1" w:color="auto"/>
          <w:right w:val="single" w:sz="4" w:space="4" w:color="auto"/>
        </w:pBdr>
        <w:rPr>
          <w:rFonts w:ascii="Arial" w:hAnsi="Arial" w:cs="Arial"/>
          <w:sz w:val="24"/>
        </w:rPr>
      </w:pPr>
      <w:r w:rsidRPr="00331333">
        <w:rPr>
          <w:rFonts w:ascii="Arial" w:hAnsi="Arial" w:cs="Arial"/>
          <w:sz w:val="24"/>
        </w:rPr>
        <w:t>The Children’s Court Youth Diversion (CCYD) service supports the operation of diversion in the Criminal Division of the Children’s Court, as legislated in the Children Youth and Families Act 2005. Diversion targets young people who have limited or no offending history providing a pre-plea option for young people appearing before the Children’s Court to:</w:t>
      </w:r>
    </w:p>
    <w:p w14:paraId="15E1C9CB" w14:textId="77777777" w:rsidR="00331333" w:rsidRPr="00331333" w:rsidRDefault="00331333" w:rsidP="00331333">
      <w:pPr>
        <w:pBdr>
          <w:top w:val="single" w:sz="4" w:space="1" w:color="auto"/>
          <w:left w:val="single" w:sz="4" w:space="4" w:color="auto"/>
          <w:bottom w:val="single" w:sz="4" w:space="1" w:color="auto"/>
          <w:right w:val="single" w:sz="4" w:space="4" w:color="auto"/>
        </w:pBdr>
        <w:rPr>
          <w:rFonts w:ascii="Arial" w:hAnsi="Arial" w:cs="Arial"/>
          <w:sz w:val="24"/>
        </w:rPr>
      </w:pPr>
      <w:r w:rsidRPr="00331333">
        <w:rPr>
          <w:rFonts w:ascii="Arial" w:hAnsi="Arial" w:cs="Arial"/>
          <w:sz w:val="24"/>
        </w:rPr>
        <w:t>•</w:t>
      </w:r>
      <w:r>
        <w:rPr>
          <w:rFonts w:ascii="Arial" w:hAnsi="Arial" w:cs="Arial"/>
          <w:sz w:val="24"/>
        </w:rPr>
        <w:t xml:space="preserve"> </w:t>
      </w:r>
      <w:r w:rsidRPr="00331333">
        <w:rPr>
          <w:rFonts w:ascii="Arial" w:hAnsi="Arial" w:cs="Arial"/>
          <w:sz w:val="24"/>
        </w:rPr>
        <w:t>accept responsibility for their offending instead of entering a plea</w:t>
      </w:r>
    </w:p>
    <w:p w14:paraId="12073DA0" w14:textId="77777777" w:rsidR="00331333" w:rsidRPr="00331333" w:rsidRDefault="00331333" w:rsidP="00331333">
      <w:pPr>
        <w:pBdr>
          <w:top w:val="single" w:sz="4" w:space="1" w:color="auto"/>
          <w:left w:val="single" w:sz="4" w:space="4" w:color="auto"/>
          <w:bottom w:val="single" w:sz="4" w:space="1" w:color="auto"/>
          <w:right w:val="single" w:sz="4" w:space="4" w:color="auto"/>
        </w:pBdr>
        <w:rPr>
          <w:rFonts w:ascii="Arial" w:hAnsi="Arial" w:cs="Arial"/>
          <w:sz w:val="24"/>
        </w:rPr>
      </w:pPr>
      <w:r w:rsidRPr="00331333">
        <w:rPr>
          <w:rFonts w:ascii="Arial" w:hAnsi="Arial" w:cs="Arial"/>
          <w:sz w:val="24"/>
        </w:rPr>
        <w:t>•</w:t>
      </w:r>
      <w:r>
        <w:rPr>
          <w:rFonts w:ascii="Arial" w:hAnsi="Arial" w:cs="Arial"/>
          <w:sz w:val="24"/>
        </w:rPr>
        <w:t xml:space="preserve"> </w:t>
      </w:r>
      <w:r w:rsidRPr="00331333">
        <w:rPr>
          <w:rFonts w:ascii="Arial" w:hAnsi="Arial" w:cs="Arial"/>
          <w:sz w:val="24"/>
        </w:rPr>
        <w:t>undertake an intervention that assists them to understand the harm caused by their behaviour and reduces their risk of further offending</w:t>
      </w:r>
    </w:p>
    <w:p w14:paraId="3AD3E48A" w14:textId="77777777" w:rsidR="00331333" w:rsidRPr="00331333" w:rsidRDefault="00331333" w:rsidP="00331333">
      <w:pPr>
        <w:pBdr>
          <w:top w:val="single" w:sz="4" w:space="1" w:color="auto"/>
          <w:left w:val="single" w:sz="4" w:space="4" w:color="auto"/>
          <w:bottom w:val="single" w:sz="4" w:space="1" w:color="auto"/>
          <w:right w:val="single" w:sz="4" w:space="4" w:color="auto"/>
        </w:pBdr>
        <w:rPr>
          <w:rFonts w:ascii="Arial" w:hAnsi="Arial" w:cs="Arial"/>
          <w:sz w:val="24"/>
        </w:rPr>
      </w:pPr>
      <w:r>
        <w:rPr>
          <w:rFonts w:ascii="Arial" w:hAnsi="Arial" w:cs="Arial"/>
          <w:sz w:val="24"/>
        </w:rPr>
        <w:t xml:space="preserve">• </w:t>
      </w:r>
      <w:r w:rsidRPr="00331333">
        <w:rPr>
          <w:rFonts w:ascii="Arial" w:hAnsi="Arial" w:cs="Arial"/>
          <w:sz w:val="24"/>
        </w:rPr>
        <w:t>have the charge/s discharged, upon successful completion of the diversion plan</w:t>
      </w:r>
    </w:p>
    <w:p w14:paraId="6DF34B8F" w14:textId="77777777" w:rsidR="00331333" w:rsidRPr="00331333" w:rsidRDefault="00331333" w:rsidP="00331333">
      <w:pPr>
        <w:pBdr>
          <w:top w:val="single" w:sz="4" w:space="1" w:color="auto"/>
          <w:left w:val="single" w:sz="4" w:space="4" w:color="auto"/>
          <w:bottom w:val="single" w:sz="4" w:space="1" w:color="auto"/>
          <w:right w:val="single" w:sz="4" w:space="4" w:color="auto"/>
        </w:pBdr>
        <w:rPr>
          <w:rFonts w:ascii="Arial" w:hAnsi="Arial" w:cs="Arial"/>
          <w:sz w:val="24"/>
        </w:rPr>
      </w:pPr>
      <w:r w:rsidRPr="00331333">
        <w:rPr>
          <w:rFonts w:ascii="Arial" w:hAnsi="Arial" w:cs="Arial"/>
          <w:sz w:val="24"/>
        </w:rPr>
        <w:t>•</w:t>
      </w:r>
      <w:r>
        <w:rPr>
          <w:rFonts w:ascii="Arial" w:hAnsi="Arial" w:cs="Arial"/>
          <w:sz w:val="24"/>
        </w:rPr>
        <w:t xml:space="preserve"> </w:t>
      </w:r>
      <w:r w:rsidRPr="00331333">
        <w:rPr>
          <w:rFonts w:ascii="Arial" w:hAnsi="Arial" w:cs="Arial"/>
          <w:sz w:val="24"/>
        </w:rPr>
        <w:t>restrict the release of criminal history information for these offences.</w:t>
      </w:r>
    </w:p>
    <w:p w14:paraId="29A6AD74" w14:textId="77777777" w:rsidR="00331333" w:rsidRPr="00331333" w:rsidRDefault="00331333" w:rsidP="00331333">
      <w:pPr>
        <w:pBdr>
          <w:top w:val="single" w:sz="4" w:space="1" w:color="auto"/>
          <w:left w:val="single" w:sz="4" w:space="4" w:color="auto"/>
          <w:bottom w:val="single" w:sz="4" w:space="1" w:color="auto"/>
          <w:right w:val="single" w:sz="4" w:space="4" w:color="auto"/>
        </w:pBdr>
        <w:rPr>
          <w:rFonts w:ascii="Arial" w:hAnsi="Arial" w:cs="Arial"/>
          <w:sz w:val="24"/>
        </w:rPr>
      </w:pPr>
      <w:r w:rsidRPr="00331333">
        <w:rPr>
          <w:rFonts w:ascii="Arial" w:hAnsi="Arial" w:cs="Arial"/>
          <w:sz w:val="24"/>
        </w:rPr>
        <w:t>Diversion coordinators conduct assessments following prosecution consent and a magistrate’s referral; provide advice to the court on the young person’s suitability for diversion; develop a plan tailored to the young person’s circumstances; engage the young person to foster completion of the diversion plan; and report back to the court on a young person’s compliance with the court’s direction.</w:t>
      </w:r>
    </w:p>
    <w:p w14:paraId="7A590265" w14:textId="77777777" w:rsidR="00331333" w:rsidRPr="00331333" w:rsidRDefault="00331333" w:rsidP="00331333">
      <w:pPr>
        <w:pBdr>
          <w:top w:val="single" w:sz="4" w:space="1" w:color="auto"/>
          <w:left w:val="single" w:sz="4" w:space="4" w:color="auto"/>
          <w:bottom w:val="single" w:sz="4" w:space="1" w:color="auto"/>
          <w:right w:val="single" w:sz="4" w:space="4" w:color="auto"/>
        </w:pBdr>
        <w:rPr>
          <w:rFonts w:ascii="Arial" w:hAnsi="Arial" w:cs="Arial"/>
          <w:sz w:val="24"/>
        </w:rPr>
      </w:pPr>
      <w:r w:rsidRPr="00331333">
        <w:rPr>
          <w:rFonts w:ascii="Arial" w:hAnsi="Arial" w:cs="Arial"/>
          <w:sz w:val="24"/>
        </w:rPr>
        <w:t>The diversion plan may contain a range of activities for the child or young person. The diversion plan is designed to build upon or strengthen the individual’s protective factors, promote reparation of harm caused by the offence/s and be proportionate to the offence/s before the court. The approach used by CCYD is underpinned by research that shows that over-intervening with low risk offenders can increase their risk of reoffending.</w:t>
      </w:r>
    </w:p>
    <w:p w14:paraId="43BDD2EE" w14:textId="77777777" w:rsidR="00FE301A" w:rsidRPr="00FE301A" w:rsidRDefault="00331333" w:rsidP="00331333">
      <w:pPr>
        <w:pBdr>
          <w:top w:val="single" w:sz="4" w:space="1" w:color="auto"/>
          <w:left w:val="single" w:sz="4" w:space="4" w:color="auto"/>
          <w:bottom w:val="single" w:sz="4" w:space="1" w:color="auto"/>
          <w:right w:val="single" w:sz="4" w:space="4" w:color="auto"/>
        </w:pBdr>
        <w:rPr>
          <w:rFonts w:ascii="Arial" w:hAnsi="Arial" w:cs="Arial"/>
          <w:sz w:val="24"/>
        </w:rPr>
      </w:pPr>
      <w:r w:rsidRPr="00331333">
        <w:rPr>
          <w:rFonts w:ascii="Arial" w:hAnsi="Arial" w:cs="Arial"/>
          <w:sz w:val="24"/>
        </w:rPr>
        <w:t>CCYD commenced in January 2017 and is delivered statewide by DJCS diversion coordinators who attend all scheduled Children’s Court sitting days. In 2018, its second year of operation, 1,408 diversions were overseen by CCYD coordinators. When pending matters were excluded, 94 per cent of diversions were successfully completed.</w:t>
      </w:r>
    </w:p>
    <w:p w14:paraId="6451C036" w14:textId="77777777" w:rsidR="002841E8" w:rsidRDefault="002841E8">
      <w:pPr>
        <w:rPr>
          <w:rFonts w:ascii="Arial" w:hAnsi="Arial" w:cs="Arial"/>
          <w:sz w:val="24"/>
        </w:rPr>
      </w:pPr>
      <w:r>
        <w:rPr>
          <w:rFonts w:ascii="Arial" w:hAnsi="Arial" w:cs="Arial"/>
          <w:sz w:val="24"/>
        </w:rPr>
        <w:br w:type="page"/>
      </w:r>
    </w:p>
    <w:p w14:paraId="2F47C9F6" w14:textId="77777777" w:rsidR="00FE301A" w:rsidRPr="002841E8" w:rsidRDefault="002841E8" w:rsidP="002841E8">
      <w:pPr>
        <w:pStyle w:val="Heading1"/>
        <w:rPr>
          <w:rFonts w:ascii="Arial" w:hAnsi="Arial" w:cs="Arial"/>
        </w:rPr>
      </w:pPr>
      <w:bookmarkStart w:id="68" w:name="_Toc33527793"/>
      <w:r w:rsidRPr="002841E8">
        <w:rPr>
          <w:rFonts w:ascii="Arial" w:hAnsi="Arial" w:cs="Arial"/>
        </w:rPr>
        <w:lastRenderedPageBreak/>
        <w:t>CONCLUSION</w:t>
      </w:r>
      <w:bookmarkEnd w:id="68"/>
    </w:p>
    <w:p w14:paraId="701B9CE2" w14:textId="77777777" w:rsidR="00FE301A" w:rsidRPr="00FE301A" w:rsidRDefault="00FE301A" w:rsidP="00FE301A">
      <w:pPr>
        <w:rPr>
          <w:rFonts w:ascii="Arial" w:hAnsi="Arial" w:cs="Arial"/>
          <w:sz w:val="24"/>
        </w:rPr>
      </w:pPr>
    </w:p>
    <w:p w14:paraId="6E5E84FB" w14:textId="77777777" w:rsidR="002841E8" w:rsidRPr="002841E8" w:rsidRDefault="002841E8" w:rsidP="002841E8">
      <w:pPr>
        <w:rPr>
          <w:rFonts w:ascii="Arial" w:hAnsi="Arial" w:cs="Arial"/>
          <w:sz w:val="24"/>
        </w:rPr>
      </w:pPr>
      <w:r w:rsidRPr="002841E8">
        <w:rPr>
          <w:rFonts w:ascii="Arial" w:hAnsi="Arial" w:cs="Arial"/>
          <w:sz w:val="24"/>
        </w:rPr>
        <w:t>This year’s State of Victoria’s Children Report shows that the current generation of adolescents have much to be positive about. Most believe themselves to be in good physical health, and when they are not, find health services to be readily accessible. Rates of smoking, drinking and drug use have declined to record lows, with implications for the future physical and mental health of these young people.</w:t>
      </w:r>
    </w:p>
    <w:p w14:paraId="3B208D31" w14:textId="77777777" w:rsidR="002841E8" w:rsidRPr="002841E8" w:rsidRDefault="002841E8" w:rsidP="002841E8">
      <w:pPr>
        <w:rPr>
          <w:rFonts w:ascii="Arial" w:hAnsi="Arial" w:cs="Arial"/>
          <w:sz w:val="24"/>
        </w:rPr>
      </w:pPr>
      <w:r w:rsidRPr="002841E8">
        <w:rPr>
          <w:rFonts w:ascii="Arial" w:hAnsi="Arial" w:cs="Arial"/>
          <w:sz w:val="24"/>
        </w:rPr>
        <w:t>Secondary school is a place where many are doing well, with NAPLAN performance and Year 12 attainment rates improving, setting up this generation for success in life. Aboriginal students are showing improvements in school achievement, and record numbers are finishing school and going on to higher education.</w:t>
      </w:r>
    </w:p>
    <w:p w14:paraId="6AD55BF4" w14:textId="77777777" w:rsidR="002841E8" w:rsidRPr="002841E8" w:rsidRDefault="002841E8" w:rsidP="002841E8">
      <w:pPr>
        <w:rPr>
          <w:rFonts w:ascii="Arial" w:hAnsi="Arial" w:cs="Arial"/>
          <w:sz w:val="24"/>
        </w:rPr>
      </w:pPr>
      <w:r w:rsidRPr="002841E8">
        <w:rPr>
          <w:rFonts w:ascii="Arial" w:hAnsi="Arial" w:cs="Arial"/>
          <w:sz w:val="24"/>
        </w:rPr>
        <w:t>Most Victorian adolescents report good relationships with their peers and live in healthy, well-functioning families. Most have adults in their lives who they can trust and confide in as well. They reside in safe community environments in which the number of young people committing crimes continues to fall. These relationships and environments are providing them with supports and connections through which to explore the world and develop their emerging adult identities in positive directions.</w:t>
      </w:r>
    </w:p>
    <w:p w14:paraId="1635809A" w14:textId="77777777" w:rsidR="002841E8" w:rsidRPr="002841E8" w:rsidRDefault="002841E8" w:rsidP="002841E8">
      <w:pPr>
        <w:rPr>
          <w:rFonts w:ascii="Arial" w:hAnsi="Arial" w:cs="Arial"/>
          <w:sz w:val="24"/>
        </w:rPr>
      </w:pPr>
      <w:r w:rsidRPr="002841E8">
        <w:rPr>
          <w:rFonts w:ascii="Arial" w:hAnsi="Arial" w:cs="Arial"/>
          <w:sz w:val="24"/>
        </w:rPr>
        <w:t>The report also illustrates that this generation is not without significant challenges. One in four are overweight and most do not meet recommended guidelines for diet, exercise or screen time. These young people are at increased risk for a range of physical and mental health problems, both now and into adulthood.</w:t>
      </w:r>
    </w:p>
    <w:p w14:paraId="1D934939" w14:textId="77777777" w:rsidR="002841E8" w:rsidRDefault="002841E8" w:rsidP="002841E8">
      <w:pPr>
        <w:rPr>
          <w:rFonts w:ascii="Arial" w:hAnsi="Arial" w:cs="Arial"/>
          <w:sz w:val="24"/>
        </w:rPr>
      </w:pPr>
      <w:r w:rsidRPr="002841E8">
        <w:rPr>
          <w:rFonts w:ascii="Arial" w:hAnsi="Arial" w:cs="Arial"/>
          <w:sz w:val="24"/>
        </w:rPr>
        <w:t>Although most adolescents report good mental health, many do not find mental health services to be accessible when needed. This is of particular concern, because many more adolescents are seeking mental health support than in the past. More students are reporting psychological distress, and fewer feel resilient or satisfied with the quality of their lives. Self-harm presentations to emergency departments are</w:t>
      </w:r>
      <w:r>
        <w:rPr>
          <w:rFonts w:ascii="Arial" w:hAnsi="Arial" w:cs="Arial"/>
          <w:sz w:val="24"/>
        </w:rPr>
        <w:t xml:space="preserve"> </w:t>
      </w:r>
      <w:r w:rsidRPr="002841E8">
        <w:rPr>
          <w:rFonts w:ascii="Arial" w:hAnsi="Arial" w:cs="Arial"/>
          <w:sz w:val="24"/>
        </w:rPr>
        <w:t>the highest on record, with rates doubling over the past decade. Older adolescents, females, and those living outside of Melbourne stand out among those affected.</w:t>
      </w:r>
    </w:p>
    <w:p w14:paraId="366CC8CE" w14:textId="77777777" w:rsidR="00462627" w:rsidRPr="00462627" w:rsidRDefault="00462627" w:rsidP="00462627">
      <w:pPr>
        <w:rPr>
          <w:rFonts w:ascii="Arial" w:hAnsi="Arial" w:cs="Arial"/>
          <w:sz w:val="24"/>
        </w:rPr>
      </w:pPr>
      <w:r w:rsidRPr="00462627">
        <w:rPr>
          <w:rFonts w:ascii="Arial" w:hAnsi="Arial" w:cs="Arial"/>
          <w:sz w:val="24"/>
        </w:rPr>
        <w:t>School engagement continues to be an issue in the middle years, particularly among students from disadvantaged backgrounds. Absenteeism peaks in the middle years of adolescence while positive attitudes to school decline. Disengagement poses risks for early school leaving, which in turn has life-long ramifications for socioeconomic prosperity and quality of life.</w:t>
      </w:r>
    </w:p>
    <w:p w14:paraId="06604A0D" w14:textId="77777777" w:rsidR="00462627" w:rsidRPr="00462627" w:rsidRDefault="00462627" w:rsidP="00462627">
      <w:pPr>
        <w:rPr>
          <w:rFonts w:ascii="Arial" w:hAnsi="Arial" w:cs="Arial"/>
          <w:sz w:val="24"/>
        </w:rPr>
      </w:pPr>
      <w:r w:rsidRPr="00462627">
        <w:rPr>
          <w:rFonts w:ascii="Arial" w:hAnsi="Arial" w:cs="Arial"/>
          <w:sz w:val="24"/>
        </w:rPr>
        <w:t>Serious family conflict persists as an issue in many adolescent’s homes and when conflict becomes violent, girls are commonly the victims. Aboriginal Victorians remain over-represented in figures of reported family violence and there are increasing rates of children in contact with child protection.</w:t>
      </w:r>
    </w:p>
    <w:p w14:paraId="37058594" w14:textId="77777777" w:rsidR="002841E8" w:rsidRDefault="00462627" w:rsidP="00462627">
      <w:pPr>
        <w:rPr>
          <w:rFonts w:ascii="Arial" w:hAnsi="Arial" w:cs="Arial"/>
          <w:sz w:val="24"/>
        </w:rPr>
      </w:pPr>
      <w:r w:rsidRPr="00462627">
        <w:rPr>
          <w:rFonts w:ascii="Arial" w:hAnsi="Arial" w:cs="Arial"/>
          <w:sz w:val="24"/>
        </w:rPr>
        <w:lastRenderedPageBreak/>
        <w:t>As shown throughout the report, government policies and programs seek to address many of the issues highlighted, to improve the health and wellbeing of adolescent Victorians, and to reduce inequalities. The report provides a guide and evidence base with which to track the broad impacts of these policies and points to groups and issues where greater attention would be of benefit.</w:t>
      </w:r>
    </w:p>
    <w:p w14:paraId="69E242B9" w14:textId="77777777" w:rsidR="00A10936" w:rsidRDefault="00A10936">
      <w:pPr>
        <w:rPr>
          <w:rFonts w:ascii="Arial" w:hAnsi="Arial" w:cs="Arial"/>
          <w:sz w:val="24"/>
        </w:rPr>
      </w:pPr>
      <w:r>
        <w:rPr>
          <w:rFonts w:ascii="Arial" w:hAnsi="Arial" w:cs="Arial"/>
          <w:sz w:val="24"/>
        </w:rPr>
        <w:br w:type="page"/>
      </w:r>
    </w:p>
    <w:p w14:paraId="6E4AC57F" w14:textId="77777777" w:rsidR="00A10936" w:rsidRPr="00A10936" w:rsidRDefault="00A10936" w:rsidP="00A10936">
      <w:pPr>
        <w:pStyle w:val="Heading1"/>
        <w:rPr>
          <w:rFonts w:ascii="Arial" w:hAnsi="Arial" w:cs="Arial"/>
        </w:rPr>
      </w:pPr>
      <w:bookmarkStart w:id="69" w:name="_Toc33527794"/>
      <w:r w:rsidRPr="00A10936">
        <w:rPr>
          <w:rFonts w:ascii="Arial" w:hAnsi="Arial" w:cs="Arial"/>
        </w:rPr>
        <w:lastRenderedPageBreak/>
        <w:t>Acronyms, References &amp;</w:t>
      </w:r>
      <w:bookmarkEnd w:id="69"/>
    </w:p>
    <w:p w14:paraId="4587936B" w14:textId="77777777" w:rsidR="00462627" w:rsidRDefault="00A10936" w:rsidP="00A10936">
      <w:pPr>
        <w:pStyle w:val="Heading1"/>
        <w:rPr>
          <w:rFonts w:ascii="Arial" w:hAnsi="Arial" w:cs="Arial"/>
        </w:rPr>
      </w:pPr>
      <w:bookmarkStart w:id="70" w:name="_Toc33527795"/>
      <w:r w:rsidRPr="00A10936">
        <w:rPr>
          <w:rFonts w:ascii="Arial" w:hAnsi="Arial" w:cs="Arial"/>
        </w:rPr>
        <w:t>List</w:t>
      </w:r>
      <w:r w:rsidRPr="00A10936">
        <w:rPr>
          <w:rFonts w:ascii="Arial" w:hAnsi="Arial" w:cs="Arial"/>
        </w:rPr>
        <w:tab/>
        <w:t>of figures</w:t>
      </w:r>
      <w:bookmarkEnd w:id="70"/>
    </w:p>
    <w:p w14:paraId="7D2F5A7E" w14:textId="77777777" w:rsidR="000B3C1D" w:rsidRPr="000B3C1D" w:rsidRDefault="000B3C1D" w:rsidP="000B3C1D">
      <w:pPr>
        <w:pStyle w:val="Heading2"/>
        <w:rPr>
          <w:rFonts w:ascii="Arial" w:hAnsi="Arial" w:cs="Arial"/>
          <w:color w:val="auto"/>
        </w:rPr>
      </w:pPr>
      <w:bookmarkStart w:id="71" w:name="_Toc33527796"/>
      <w:r w:rsidRPr="000B3C1D">
        <w:rPr>
          <w:rFonts w:ascii="Arial" w:hAnsi="Arial" w:cs="Arial"/>
          <w:color w:val="auto"/>
        </w:rPr>
        <w:t>ACRONYMS</w:t>
      </w:r>
      <w:bookmarkEnd w:id="71"/>
    </w:p>
    <w:p w14:paraId="1CAF7FD3" w14:textId="77777777" w:rsidR="000B3C1D" w:rsidRPr="000B3C1D" w:rsidRDefault="000B3C1D" w:rsidP="000B3C1D">
      <w:pPr>
        <w:rPr>
          <w:rFonts w:ascii="Arial" w:hAnsi="Arial" w:cs="Arial"/>
          <w:sz w:val="24"/>
        </w:rPr>
      </w:pPr>
      <w:r w:rsidRPr="000B3C1D">
        <w:rPr>
          <w:rFonts w:ascii="Arial" w:hAnsi="Arial" w:cs="Arial"/>
          <w:sz w:val="24"/>
        </w:rPr>
        <w:t>ABS Australian Bureau of Statistics</w:t>
      </w:r>
    </w:p>
    <w:p w14:paraId="13C7726F" w14:textId="77777777" w:rsidR="000B3C1D" w:rsidRPr="000B3C1D" w:rsidRDefault="000B3C1D" w:rsidP="000B3C1D">
      <w:pPr>
        <w:rPr>
          <w:rFonts w:ascii="Arial" w:hAnsi="Arial" w:cs="Arial"/>
          <w:sz w:val="24"/>
        </w:rPr>
      </w:pPr>
      <w:r>
        <w:rPr>
          <w:rFonts w:ascii="Arial" w:hAnsi="Arial" w:cs="Arial"/>
          <w:sz w:val="24"/>
        </w:rPr>
        <w:t xml:space="preserve">ACARA </w:t>
      </w:r>
      <w:r w:rsidRPr="000B3C1D">
        <w:rPr>
          <w:rFonts w:ascii="Arial" w:hAnsi="Arial" w:cs="Arial"/>
          <w:sz w:val="24"/>
        </w:rPr>
        <w:t xml:space="preserve">Australian Curriculum, Assessment and Reporting Authority </w:t>
      </w:r>
    </w:p>
    <w:p w14:paraId="657DC950" w14:textId="77777777" w:rsidR="000B3C1D" w:rsidRPr="000B3C1D" w:rsidRDefault="000B3C1D" w:rsidP="000B3C1D">
      <w:pPr>
        <w:rPr>
          <w:rFonts w:ascii="Arial" w:hAnsi="Arial" w:cs="Arial"/>
          <w:sz w:val="24"/>
        </w:rPr>
      </w:pPr>
      <w:r w:rsidRPr="000B3C1D">
        <w:rPr>
          <w:rFonts w:ascii="Arial" w:hAnsi="Arial" w:cs="Arial"/>
          <w:sz w:val="24"/>
        </w:rPr>
        <w:t>ACCO</w:t>
      </w:r>
      <w:r w:rsidRPr="000B3C1D">
        <w:rPr>
          <w:rFonts w:ascii="Arial" w:hAnsi="Arial" w:cs="Arial"/>
          <w:sz w:val="24"/>
        </w:rPr>
        <w:tab/>
        <w:t>Aboriginal Community Controlled Organisations</w:t>
      </w:r>
    </w:p>
    <w:p w14:paraId="25A0FCB9" w14:textId="77777777" w:rsidR="000B3C1D" w:rsidRDefault="000B3C1D" w:rsidP="000B3C1D">
      <w:pPr>
        <w:rPr>
          <w:rFonts w:ascii="Arial" w:hAnsi="Arial" w:cs="Arial"/>
          <w:sz w:val="24"/>
        </w:rPr>
      </w:pPr>
      <w:r w:rsidRPr="000B3C1D">
        <w:rPr>
          <w:rFonts w:ascii="Arial" w:hAnsi="Arial" w:cs="Arial"/>
          <w:sz w:val="24"/>
        </w:rPr>
        <w:t>AIHW</w:t>
      </w:r>
      <w:r w:rsidRPr="000B3C1D">
        <w:rPr>
          <w:rFonts w:ascii="Arial" w:hAnsi="Arial" w:cs="Arial"/>
          <w:sz w:val="24"/>
        </w:rPr>
        <w:tab/>
        <w:t xml:space="preserve">Australian Institute of Health and Welfare </w:t>
      </w:r>
    </w:p>
    <w:p w14:paraId="2C0C05F2" w14:textId="77777777" w:rsidR="000B3C1D" w:rsidRPr="000B3C1D" w:rsidRDefault="000B3C1D" w:rsidP="000B3C1D">
      <w:pPr>
        <w:rPr>
          <w:rFonts w:ascii="Arial" w:hAnsi="Arial" w:cs="Arial"/>
          <w:sz w:val="24"/>
        </w:rPr>
      </w:pPr>
      <w:r w:rsidRPr="000B3C1D">
        <w:rPr>
          <w:rFonts w:ascii="Arial" w:hAnsi="Arial" w:cs="Arial"/>
          <w:sz w:val="24"/>
        </w:rPr>
        <w:t>AtoSS</w:t>
      </w:r>
      <w:r w:rsidRPr="000B3C1D">
        <w:rPr>
          <w:rFonts w:ascii="Arial" w:hAnsi="Arial" w:cs="Arial"/>
          <w:sz w:val="24"/>
        </w:rPr>
        <w:tab/>
        <w:t>Attitudes to School Survey</w:t>
      </w:r>
    </w:p>
    <w:p w14:paraId="644CEC5A" w14:textId="77777777" w:rsidR="000B3C1D" w:rsidRPr="000B3C1D" w:rsidRDefault="000B3C1D" w:rsidP="000B3C1D">
      <w:pPr>
        <w:rPr>
          <w:rFonts w:ascii="Arial" w:hAnsi="Arial" w:cs="Arial"/>
          <w:sz w:val="24"/>
        </w:rPr>
      </w:pPr>
      <w:r w:rsidRPr="000B3C1D">
        <w:rPr>
          <w:rFonts w:ascii="Arial" w:hAnsi="Arial" w:cs="Arial"/>
          <w:sz w:val="24"/>
        </w:rPr>
        <w:t>BMI</w:t>
      </w:r>
      <w:r>
        <w:rPr>
          <w:rFonts w:ascii="Arial" w:hAnsi="Arial" w:cs="Arial"/>
          <w:sz w:val="24"/>
        </w:rPr>
        <w:t xml:space="preserve"> </w:t>
      </w:r>
      <w:r w:rsidRPr="000B3C1D">
        <w:rPr>
          <w:rFonts w:ascii="Arial" w:hAnsi="Arial" w:cs="Arial"/>
          <w:sz w:val="24"/>
        </w:rPr>
        <w:t>Body Mass Index</w:t>
      </w:r>
    </w:p>
    <w:p w14:paraId="761437EC" w14:textId="77777777" w:rsidR="000B3C1D" w:rsidRDefault="000B3C1D" w:rsidP="000B3C1D">
      <w:pPr>
        <w:rPr>
          <w:rFonts w:ascii="Arial" w:hAnsi="Arial" w:cs="Arial"/>
          <w:sz w:val="24"/>
        </w:rPr>
      </w:pPr>
      <w:r w:rsidRPr="000B3C1D">
        <w:rPr>
          <w:rFonts w:ascii="Arial" w:hAnsi="Arial" w:cs="Arial"/>
          <w:sz w:val="24"/>
        </w:rPr>
        <w:t>CAMHS</w:t>
      </w:r>
      <w:r>
        <w:rPr>
          <w:rFonts w:ascii="Arial" w:hAnsi="Arial" w:cs="Arial"/>
          <w:sz w:val="24"/>
        </w:rPr>
        <w:t xml:space="preserve"> </w:t>
      </w:r>
      <w:r w:rsidRPr="000B3C1D">
        <w:rPr>
          <w:rFonts w:ascii="Arial" w:hAnsi="Arial" w:cs="Arial"/>
          <w:sz w:val="24"/>
        </w:rPr>
        <w:t xml:space="preserve">Childhood and Adolescent Mental Health Services </w:t>
      </w:r>
    </w:p>
    <w:p w14:paraId="00B242E9" w14:textId="77777777" w:rsidR="000B3C1D" w:rsidRPr="000B3C1D" w:rsidRDefault="000B3C1D" w:rsidP="000B3C1D">
      <w:pPr>
        <w:rPr>
          <w:rFonts w:ascii="Arial" w:hAnsi="Arial" w:cs="Arial"/>
          <w:sz w:val="24"/>
        </w:rPr>
      </w:pPr>
      <w:r w:rsidRPr="000B3C1D">
        <w:rPr>
          <w:rFonts w:ascii="Arial" w:hAnsi="Arial" w:cs="Arial"/>
          <w:sz w:val="24"/>
        </w:rPr>
        <w:t>CCYD</w:t>
      </w:r>
      <w:r w:rsidRPr="000B3C1D">
        <w:rPr>
          <w:rFonts w:ascii="Arial" w:hAnsi="Arial" w:cs="Arial"/>
          <w:sz w:val="24"/>
        </w:rPr>
        <w:tab/>
        <w:t>Children’s Court Youth Diversion Service</w:t>
      </w:r>
    </w:p>
    <w:p w14:paraId="51BDA6F5" w14:textId="77777777" w:rsidR="000B3C1D" w:rsidRDefault="000B3C1D" w:rsidP="000B3C1D">
      <w:pPr>
        <w:rPr>
          <w:rFonts w:ascii="Arial" w:hAnsi="Arial" w:cs="Arial"/>
          <w:sz w:val="24"/>
        </w:rPr>
      </w:pPr>
      <w:r>
        <w:rPr>
          <w:rFonts w:ascii="Arial" w:hAnsi="Arial" w:cs="Arial"/>
          <w:sz w:val="24"/>
        </w:rPr>
        <w:t xml:space="preserve">DET </w:t>
      </w:r>
      <w:r w:rsidRPr="000B3C1D">
        <w:rPr>
          <w:rFonts w:ascii="Arial" w:hAnsi="Arial" w:cs="Arial"/>
          <w:sz w:val="24"/>
        </w:rPr>
        <w:t xml:space="preserve">Department of Education and Training </w:t>
      </w:r>
    </w:p>
    <w:p w14:paraId="73BAD553" w14:textId="77777777" w:rsidR="000B3C1D" w:rsidRPr="000B3C1D" w:rsidRDefault="000B3C1D" w:rsidP="000B3C1D">
      <w:pPr>
        <w:rPr>
          <w:rFonts w:ascii="Arial" w:hAnsi="Arial" w:cs="Arial"/>
          <w:sz w:val="24"/>
        </w:rPr>
      </w:pPr>
      <w:r w:rsidRPr="000B3C1D">
        <w:rPr>
          <w:rFonts w:ascii="Arial" w:hAnsi="Arial" w:cs="Arial"/>
          <w:sz w:val="24"/>
        </w:rPr>
        <w:t>DHHS</w:t>
      </w:r>
      <w:r w:rsidRPr="000B3C1D">
        <w:rPr>
          <w:rFonts w:ascii="Arial" w:hAnsi="Arial" w:cs="Arial"/>
          <w:sz w:val="24"/>
        </w:rPr>
        <w:tab/>
        <w:t>Department of Health and Human Services</w:t>
      </w:r>
    </w:p>
    <w:p w14:paraId="6196D207" w14:textId="77777777" w:rsidR="000B3C1D" w:rsidRDefault="000B3C1D" w:rsidP="000B3C1D">
      <w:pPr>
        <w:rPr>
          <w:rFonts w:ascii="Arial" w:hAnsi="Arial" w:cs="Arial"/>
          <w:sz w:val="24"/>
        </w:rPr>
      </w:pPr>
      <w:r w:rsidRPr="000B3C1D">
        <w:rPr>
          <w:rFonts w:ascii="Arial" w:hAnsi="Arial" w:cs="Arial"/>
          <w:sz w:val="24"/>
        </w:rPr>
        <w:t>DJCS</w:t>
      </w:r>
      <w:r w:rsidRPr="000B3C1D">
        <w:rPr>
          <w:rFonts w:ascii="Arial" w:hAnsi="Arial" w:cs="Arial"/>
          <w:sz w:val="24"/>
        </w:rPr>
        <w:tab/>
        <w:t xml:space="preserve">Department of Justice and Community Safety </w:t>
      </w:r>
    </w:p>
    <w:p w14:paraId="72044090" w14:textId="77777777" w:rsidR="000B3C1D" w:rsidRPr="000B3C1D" w:rsidRDefault="000B3C1D" w:rsidP="000B3C1D">
      <w:pPr>
        <w:rPr>
          <w:rFonts w:ascii="Arial" w:hAnsi="Arial" w:cs="Arial"/>
          <w:sz w:val="24"/>
        </w:rPr>
      </w:pPr>
      <w:r>
        <w:rPr>
          <w:rFonts w:ascii="Arial" w:hAnsi="Arial" w:cs="Arial"/>
          <w:sz w:val="24"/>
        </w:rPr>
        <w:t xml:space="preserve">EJI </w:t>
      </w:r>
      <w:r w:rsidRPr="000B3C1D">
        <w:rPr>
          <w:rFonts w:ascii="Arial" w:hAnsi="Arial" w:cs="Arial"/>
          <w:sz w:val="24"/>
        </w:rPr>
        <w:t>Education Justice Initiative</w:t>
      </w:r>
    </w:p>
    <w:p w14:paraId="282DD557" w14:textId="77777777" w:rsidR="000B3C1D" w:rsidRPr="000B3C1D" w:rsidRDefault="000B3C1D" w:rsidP="000B3C1D">
      <w:pPr>
        <w:rPr>
          <w:rFonts w:ascii="Arial" w:hAnsi="Arial" w:cs="Arial"/>
          <w:sz w:val="24"/>
        </w:rPr>
      </w:pPr>
      <w:r>
        <w:rPr>
          <w:rFonts w:ascii="Arial" w:hAnsi="Arial" w:cs="Arial"/>
          <w:sz w:val="24"/>
        </w:rPr>
        <w:t xml:space="preserve">HED </w:t>
      </w:r>
      <w:r w:rsidRPr="000B3C1D">
        <w:rPr>
          <w:rFonts w:ascii="Arial" w:hAnsi="Arial" w:cs="Arial"/>
          <w:sz w:val="24"/>
        </w:rPr>
        <w:t>Heavy Episodic Drinking</w:t>
      </w:r>
    </w:p>
    <w:p w14:paraId="015E3C5B" w14:textId="77777777" w:rsidR="000B3C1D" w:rsidRPr="000B3C1D" w:rsidRDefault="000B3C1D" w:rsidP="000B3C1D">
      <w:pPr>
        <w:rPr>
          <w:rFonts w:ascii="Arial" w:hAnsi="Arial" w:cs="Arial"/>
          <w:sz w:val="24"/>
        </w:rPr>
      </w:pPr>
      <w:r>
        <w:rPr>
          <w:rFonts w:ascii="Arial" w:hAnsi="Arial" w:cs="Arial"/>
          <w:sz w:val="24"/>
        </w:rPr>
        <w:t xml:space="preserve">HPV </w:t>
      </w:r>
      <w:r w:rsidRPr="000B3C1D">
        <w:rPr>
          <w:rFonts w:ascii="Arial" w:hAnsi="Arial" w:cs="Arial"/>
          <w:sz w:val="24"/>
        </w:rPr>
        <w:t>Human Papilloma Virus</w:t>
      </w:r>
    </w:p>
    <w:p w14:paraId="173E290E" w14:textId="77777777" w:rsidR="000B3C1D" w:rsidRPr="000B3C1D" w:rsidRDefault="000B3C1D" w:rsidP="000B3C1D">
      <w:pPr>
        <w:rPr>
          <w:rFonts w:ascii="Arial" w:hAnsi="Arial" w:cs="Arial"/>
          <w:sz w:val="24"/>
        </w:rPr>
      </w:pPr>
      <w:r>
        <w:rPr>
          <w:rFonts w:ascii="Arial" w:hAnsi="Arial" w:cs="Arial"/>
          <w:sz w:val="24"/>
        </w:rPr>
        <w:t xml:space="preserve">LAC </w:t>
      </w:r>
      <w:r w:rsidRPr="000B3C1D">
        <w:rPr>
          <w:rFonts w:ascii="Arial" w:hAnsi="Arial" w:cs="Arial"/>
          <w:sz w:val="24"/>
        </w:rPr>
        <w:t>Looking After Children record (Anglicare Victoria)</w:t>
      </w:r>
    </w:p>
    <w:p w14:paraId="46B9C831" w14:textId="77777777" w:rsidR="000B3C1D" w:rsidRDefault="000B3C1D" w:rsidP="000B3C1D">
      <w:pPr>
        <w:rPr>
          <w:rFonts w:ascii="Arial" w:hAnsi="Arial" w:cs="Arial"/>
          <w:sz w:val="24"/>
        </w:rPr>
      </w:pPr>
      <w:r>
        <w:rPr>
          <w:rFonts w:ascii="Arial" w:hAnsi="Arial" w:cs="Arial"/>
          <w:sz w:val="24"/>
        </w:rPr>
        <w:t xml:space="preserve">LGBTIQ </w:t>
      </w:r>
      <w:r w:rsidRPr="000B3C1D">
        <w:rPr>
          <w:rFonts w:ascii="Arial" w:hAnsi="Arial" w:cs="Arial"/>
          <w:sz w:val="24"/>
        </w:rPr>
        <w:t xml:space="preserve">Lesbian, Gay, Bisexual, Trans and gender diverse, Intersex, and Queer </w:t>
      </w:r>
    </w:p>
    <w:p w14:paraId="6041D76E" w14:textId="77777777" w:rsidR="000B3C1D" w:rsidRPr="000B3C1D" w:rsidRDefault="000B3C1D" w:rsidP="000B3C1D">
      <w:pPr>
        <w:rPr>
          <w:rFonts w:ascii="Arial" w:hAnsi="Arial" w:cs="Arial"/>
          <w:sz w:val="24"/>
        </w:rPr>
      </w:pPr>
      <w:r w:rsidRPr="000B3C1D">
        <w:rPr>
          <w:rFonts w:ascii="Arial" w:hAnsi="Arial" w:cs="Arial"/>
          <w:sz w:val="24"/>
        </w:rPr>
        <w:t>LSAC</w:t>
      </w:r>
      <w:r w:rsidRPr="000B3C1D">
        <w:rPr>
          <w:rFonts w:ascii="Arial" w:hAnsi="Arial" w:cs="Arial"/>
          <w:sz w:val="24"/>
        </w:rPr>
        <w:tab/>
        <w:t>Longitudinal Study of Australian Children</w:t>
      </w:r>
    </w:p>
    <w:p w14:paraId="58F26E07" w14:textId="77777777" w:rsidR="000B3C1D" w:rsidRDefault="000B3C1D" w:rsidP="000B3C1D">
      <w:pPr>
        <w:rPr>
          <w:rFonts w:ascii="Arial" w:hAnsi="Arial" w:cs="Arial"/>
          <w:sz w:val="24"/>
        </w:rPr>
      </w:pPr>
      <w:r>
        <w:rPr>
          <w:rFonts w:ascii="Arial" w:hAnsi="Arial" w:cs="Arial"/>
          <w:sz w:val="24"/>
        </w:rPr>
        <w:t xml:space="preserve">MARAM </w:t>
      </w:r>
      <w:r w:rsidRPr="000B3C1D">
        <w:rPr>
          <w:rFonts w:ascii="Arial" w:hAnsi="Arial" w:cs="Arial"/>
          <w:sz w:val="24"/>
        </w:rPr>
        <w:t xml:space="preserve">Family Violence Multi-Agency Risk Assessment and Management Framework </w:t>
      </w:r>
    </w:p>
    <w:p w14:paraId="6773DEED" w14:textId="77777777" w:rsidR="000B3C1D" w:rsidRPr="000B3C1D" w:rsidRDefault="000B3C1D" w:rsidP="000B3C1D">
      <w:pPr>
        <w:rPr>
          <w:rFonts w:ascii="Arial" w:hAnsi="Arial" w:cs="Arial"/>
          <w:sz w:val="24"/>
        </w:rPr>
      </w:pPr>
      <w:r>
        <w:rPr>
          <w:rFonts w:ascii="Arial" w:hAnsi="Arial" w:cs="Arial"/>
          <w:sz w:val="24"/>
        </w:rPr>
        <w:t xml:space="preserve">MDD </w:t>
      </w:r>
      <w:r w:rsidRPr="000B3C1D">
        <w:rPr>
          <w:rFonts w:ascii="Arial" w:hAnsi="Arial" w:cs="Arial"/>
          <w:sz w:val="24"/>
        </w:rPr>
        <w:t>Major Depressive Disorder</w:t>
      </w:r>
    </w:p>
    <w:p w14:paraId="633C28E0" w14:textId="77777777" w:rsidR="000B3C1D" w:rsidRPr="000B3C1D" w:rsidRDefault="000B3C1D" w:rsidP="000B3C1D">
      <w:pPr>
        <w:rPr>
          <w:rFonts w:ascii="Arial" w:hAnsi="Arial" w:cs="Arial"/>
          <w:sz w:val="24"/>
        </w:rPr>
      </w:pPr>
      <w:r>
        <w:rPr>
          <w:rFonts w:ascii="Arial" w:hAnsi="Arial" w:cs="Arial"/>
          <w:sz w:val="24"/>
        </w:rPr>
        <w:t xml:space="preserve">NAPLAN </w:t>
      </w:r>
      <w:r w:rsidRPr="000B3C1D">
        <w:rPr>
          <w:rFonts w:ascii="Arial" w:hAnsi="Arial" w:cs="Arial"/>
          <w:sz w:val="24"/>
        </w:rPr>
        <w:t>National Assessment Program of Literacy and Numeracy</w:t>
      </w:r>
    </w:p>
    <w:p w14:paraId="15F9001B" w14:textId="77777777" w:rsidR="000B3C1D" w:rsidRDefault="000B3C1D" w:rsidP="000B3C1D">
      <w:pPr>
        <w:rPr>
          <w:rFonts w:ascii="Arial" w:hAnsi="Arial" w:cs="Arial"/>
          <w:sz w:val="24"/>
        </w:rPr>
      </w:pPr>
      <w:r w:rsidRPr="000B3C1D">
        <w:rPr>
          <w:rFonts w:ascii="Arial" w:hAnsi="Arial" w:cs="Arial"/>
          <w:sz w:val="24"/>
        </w:rPr>
        <w:t>NCCD</w:t>
      </w:r>
      <w:r w:rsidRPr="000B3C1D">
        <w:rPr>
          <w:rFonts w:ascii="Arial" w:hAnsi="Arial" w:cs="Arial"/>
          <w:sz w:val="24"/>
        </w:rPr>
        <w:tab/>
        <w:t xml:space="preserve">Nationally Consistent Collection of Data on School Students with Disability </w:t>
      </w:r>
    </w:p>
    <w:p w14:paraId="0C85C069" w14:textId="77777777" w:rsidR="000B3C1D" w:rsidRPr="000B3C1D" w:rsidRDefault="000B3C1D" w:rsidP="000B3C1D">
      <w:pPr>
        <w:rPr>
          <w:rFonts w:ascii="Arial" w:hAnsi="Arial" w:cs="Arial"/>
          <w:sz w:val="24"/>
        </w:rPr>
      </w:pPr>
      <w:r w:rsidRPr="000B3C1D">
        <w:rPr>
          <w:rFonts w:ascii="Arial" w:hAnsi="Arial" w:cs="Arial"/>
          <w:sz w:val="24"/>
        </w:rPr>
        <w:t>OECD</w:t>
      </w:r>
      <w:r w:rsidRPr="000B3C1D">
        <w:rPr>
          <w:rFonts w:ascii="Arial" w:hAnsi="Arial" w:cs="Arial"/>
          <w:sz w:val="24"/>
        </w:rPr>
        <w:tab/>
        <w:t>Organisation for Economic Co-operation and Development</w:t>
      </w:r>
    </w:p>
    <w:p w14:paraId="02334341" w14:textId="77777777" w:rsidR="000B3C1D" w:rsidRPr="000B3C1D" w:rsidRDefault="000B3C1D" w:rsidP="000B3C1D">
      <w:pPr>
        <w:rPr>
          <w:rFonts w:ascii="Arial" w:hAnsi="Arial" w:cs="Arial"/>
          <w:sz w:val="24"/>
        </w:rPr>
      </w:pPr>
      <w:r w:rsidRPr="000B3C1D">
        <w:rPr>
          <w:rFonts w:ascii="Arial" w:hAnsi="Arial" w:cs="Arial"/>
          <w:sz w:val="24"/>
        </w:rPr>
        <w:lastRenderedPageBreak/>
        <w:t>SOVC</w:t>
      </w:r>
      <w:r w:rsidRPr="000B3C1D">
        <w:rPr>
          <w:rFonts w:ascii="Arial" w:hAnsi="Arial" w:cs="Arial"/>
          <w:sz w:val="24"/>
        </w:rPr>
        <w:tab/>
        <w:t>State of Victoria’s Children</w:t>
      </w:r>
    </w:p>
    <w:p w14:paraId="03A7D68E" w14:textId="77777777" w:rsidR="000B3C1D" w:rsidRPr="000B3C1D" w:rsidRDefault="000B3C1D" w:rsidP="000B3C1D">
      <w:pPr>
        <w:rPr>
          <w:rFonts w:ascii="Arial" w:hAnsi="Arial" w:cs="Arial"/>
          <w:sz w:val="24"/>
        </w:rPr>
      </w:pPr>
      <w:r w:rsidRPr="000B3C1D">
        <w:rPr>
          <w:rFonts w:ascii="Arial" w:hAnsi="Arial" w:cs="Arial"/>
          <w:sz w:val="24"/>
        </w:rPr>
        <w:t>SSNP</w:t>
      </w:r>
      <w:r w:rsidRPr="000B3C1D">
        <w:rPr>
          <w:rFonts w:ascii="Arial" w:hAnsi="Arial" w:cs="Arial"/>
          <w:sz w:val="24"/>
        </w:rPr>
        <w:tab/>
        <w:t>Secondary School Nursing Program</w:t>
      </w:r>
    </w:p>
    <w:p w14:paraId="58DEB312" w14:textId="77777777" w:rsidR="0052149B" w:rsidRDefault="000B3C1D" w:rsidP="000B3C1D">
      <w:pPr>
        <w:rPr>
          <w:rFonts w:ascii="Arial" w:hAnsi="Arial" w:cs="Arial"/>
          <w:sz w:val="24"/>
        </w:rPr>
      </w:pPr>
      <w:r w:rsidRPr="000B3C1D">
        <w:rPr>
          <w:rFonts w:ascii="Arial" w:hAnsi="Arial" w:cs="Arial"/>
          <w:sz w:val="24"/>
        </w:rPr>
        <w:t>STEM</w:t>
      </w:r>
      <w:r w:rsidRPr="000B3C1D">
        <w:rPr>
          <w:rFonts w:ascii="Arial" w:hAnsi="Arial" w:cs="Arial"/>
          <w:sz w:val="24"/>
        </w:rPr>
        <w:tab/>
        <w:t xml:space="preserve">Science, Technology, Engineering, and Mathematics </w:t>
      </w:r>
    </w:p>
    <w:p w14:paraId="72888DD2" w14:textId="77777777" w:rsidR="000B3C1D" w:rsidRPr="000B3C1D" w:rsidRDefault="0052149B" w:rsidP="000B3C1D">
      <w:pPr>
        <w:rPr>
          <w:rFonts w:ascii="Arial" w:hAnsi="Arial" w:cs="Arial"/>
          <w:sz w:val="24"/>
        </w:rPr>
      </w:pPr>
      <w:r>
        <w:rPr>
          <w:rFonts w:ascii="Arial" w:hAnsi="Arial" w:cs="Arial"/>
          <w:sz w:val="24"/>
        </w:rPr>
        <w:t xml:space="preserve">STI </w:t>
      </w:r>
      <w:r w:rsidR="000B3C1D" w:rsidRPr="000B3C1D">
        <w:rPr>
          <w:rFonts w:ascii="Arial" w:hAnsi="Arial" w:cs="Arial"/>
          <w:sz w:val="24"/>
        </w:rPr>
        <w:t>Sexually transmissible infection</w:t>
      </w:r>
    </w:p>
    <w:p w14:paraId="7BB5AF77" w14:textId="77777777" w:rsidR="000B3C1D" w:rsidRPr="000B3C1D" w:rsidRDefault="000B3C1D" w:rsidP="000B3C1D">
      <w:pPr>
        <w:rPr>
          <w:rFonts w:ascii="Arial" w:hAnsi="Arial" w:cs="Arial"/>
          <w:sz w:val="24"/>
        </w:rPr>
      </w:pPr>
      <w:r w:rsidRPr="000B3C1D">
        <w:rPr>
          <w:rFonts w:ascii="Arial" w:hAnsi="Arial" w:cs="Arial"/>
          <w:sz w:val="24"/>
        </w:rPr>
        <w:t>TAFE</w:t>
      </w:r>
      <w:r w:rsidRPr="000B3C1D">
        <w:rPr>
          <w:rFonts w:ascii="Arial" w:hAnsi="Arial" w:cs="Arial"/>
          <w:sz w:val="24"/>
        </w:rPr>
        <w:tab/>
        <w:t>Technical and Further Education</w:t>
      </w:r>
    </w:p>
    <w:p w14:paraId="041963F1" w14:textId="77777777" w:rsidR="000B3C1D" w:rsidRPr="000B3C1D" w:rsidRDefault="000B3C1D" w:rsidP="000B3C1D">
      <w:pPr>
        <w:rPr>
          <w:rFonts w:ascii="Arial" w:hAnsi="Arial" w:cs="Arial"/>
          <w:sz w:val="24"/>
        </w:rPr>
      </w:pPr>
      <w:r w:rsidRPr="000B3C1D">
        <w:rPr>
          <w:rFonts w:ascii="Arial" w:hAnsi="Arial" w:cs="Arial"/>
          <w:sz w:val="24"/>
        </w:rPr>
        <w:t>VAED</w:t>
      </w:r>
      <w:r w:rsidRPr="000B3C1D">
        <w:rPr>
          <w:rFonts w:ascii="Arial" w:hAnsi="Arial" w:cs="Arial"/>
          <w:sz w:val="24"/>
        </w:rPr>
        <w:tab/>
        <w:t>Victorian Admitted Episodes Dataset</w:t>
      </w:r>
    </w:p>
    <w:p w14:paraId="5D1BC3D4" w14:textId="77777777" w:rsidR="0052149B" w:rsidRDefault="000B3C1D" w:rsidP="000B3C1D">
      <w:pPr>
        <w:rPr>
          <w:rFonts w:ascii="Arial" w:hAnsi="Arial" w:cs="Arial"/>
          <w:sz w:val="24"/>
        </w:rPr>
      </w:pPr>
      <w:r w:rsidRPr="000B3C1D">
        <w:rPr>
          <w:rFonts w:ascii="Arial" w:hAnsi="Arial" w:cs="Arial"/>
          <w:sz w:val="24"/>
        </w:rPr>
        <w:t>VCAA</w:t>
      </w:r>
      <w:r w:rsidRPr="000B3C1D">
        <w:rPr>
          <w:rFonts w:ascii="Arial" w:hAnsi="Arial" w:cs="Arial"/>
          <w:sz w:val="24"/>
        </w:rPr>
        <w:tab/>
        <w:t xml:space="preserve">Victorian Curriculum and Assessment Authority </w:t>
      </w:r>
    </w:p>
    <w:p w14:paraId="0D348D76" w14:textId="77777777" w:rsidR="000B3C1D" w:rsidRPr="000B3C1D" w:rsidRDefault="0052149B" w:rsidP="000B3C1D">
      <w:pPr>
        <w:rPr>
          <w:rFonts w:ascii="Arial" w:hAnsi="Arial" w:cs="Arial"/>
          <w:sz w:val="24"/>
        </w:rPr>
      </w:pPr>
      <w:r>
        <w:rPr>
          <w:rFonts w:ascii="Arial" w:hAnsi="Arial" w:cs="Arial"/>
          <w:sz w:val="24"/>
        </w:rPr>
        <w:t xml:space="preserve">VCAL </w:t>
      </w:r>
      <w:r w:rsidR="000B3C1D" w:rsidRPr="000B3C1D">
        <w:rPr>
          <w:rFonts w:ascii="Arial" w:hAnsi="Arial" w:cs="Arial"/>
          <w:sz w:val="24"/>
        </w:rPr>
        <w:t>Victorian Certificate of Applied Learning</w:t>
      </w:r>
    </w:p>
    <w:p w14:paraId="34239B7E" w14:textId="77777777" w:rsidR="0052149B" w:rsidRDefault="0052149B" w:rsidP="000B3C1D">
      <w:pPr>
        <w:rPr>
          <w:rFonts w:ascii="Arial" w:hAnsi="Arial" w:cs="Arial"/>
          <w:sz w:val="24"/>
        </w:rPr>
      </w:pPr>
      <w:r>
        <w:rPr>
          <w:rFonts w:ascii="Arial" w:hAnsi="Arial" w:cs="Arial"/>
          <w:sz w:val="24"/>
        </w:rPr>
        <w:t xml:space="preserve">VCE </w:t>
      </w:r>
      <w:r w:rsidR="000B3C1D" w:rsidRPr="000B3C1D">
        <w:rPr>
          <w:rFonts w:ascii="Arial" w:hAnsi="Arial" w:cs="Arial"/>
          <w:sz w:val="24"/>
        </w:rPr>
        <w:t xml:space="preserve">Victorian Certificate of Education </w:t>
      </w:r>
    </w:p>
    <w:p w14:paraId="55111062" w14:textId="77777777" w:rsidR="0052149B" w:rsidRDefault="000B3C1D" w:rsidP="000B3C1D">
      <w:pPr>
        <w:rPr>
          <w:rFonts w:ascii="Arial" w:hAnsi="Arial" w:cs="Arial"/>
          <w:sz w:val="24"/>
        </w:rPr>
      </w:pPr>
      <w:r w:rsidRPr="000B3C1D">
        <w:rPr>
          <w:rFonts w:ascii="Arial" w:hAnsi="Arial" w:cs="Arial"/>
          <w:sz w:val="24"/>
        </w:rPr>
        <w:t>VEMD</w:t>
      </w:r>
      <w:r w:rsidRPr="000B3C1D">
        <w:rPr>
          <w:rFonts w:ascii="Arial" w:hAnsi="Arial" w:cs="Arial"/>
          <w:sz w:val="24"/>
        </w:rPr>
        <w:tab/>
        <w:t xml:space="preserve">Victorian Emergency Minimum Dataset </w:t>
      </w:r>
    </w:p>
    <w:p w14:paraId="0AAE50C1" w14:textId="77777777" w:rsidR="000B3C1D" w:rsidRPr="000B3C1D" w:rsidRDefault="0052149B" w:rsidP="000B3C1D">
      <w:pPr>
        <w:rPr>
          <w:rFonts w:ascii="Arial" w:hAnsi="Arial" w:cs="Arial"/>
          <w:sz w:val="24"/>
        </w:rPr>
      </w:pPr>
      <w:r>
        <w:rPr>
          <w:rFonts w:ascii="Arial" w:hAnsi="Arial" w:cs="Arial"/>
          <w:sz w:val="24"/>
        </w:rPr>
        <w:t xml:space="preserve">VET </w:t>
      </w:r>
      <w:r w:rsidR="000B3C1D" w:rsidRPr="000B3C1D">
        <w:rPr>
          <w:rFonts w:ascii="Arial" w:hAnsi="Arial" w:cs="Arial"/>
          <w:sz w:val="24"/>
        </w:rPr>
        <w:t>Vocational Education and Training</w:t>
      </w:r>
    </w:p>
    <w:p w14:paraId="5C5CA4B9" w14:textId="77777777" w:rsidR="0052149B" w:rsidRDefault="0052149B" w:rsidP="000B3C1D">
      <w:pPr>
        <w:rPr>
          <w:rFonts w:ascii="Arial" w:hAnsi="Arial" w:cs="Arial"/>
          <w:sz w:val="24"/>
        </w:rPr>
      </w:pPr>
      <w:r>
        <w:rPr>
          <w:rFonts w:ascii="Arial" w:hAnsi="Arial" w:cs="Arial"/>
          <w:sz w:val="24"/>
        </w:rPr>
        <w:t xml:space="preserve">VSHAWS </w:t>
      </w:r>
      <w:r w:rsidR="000B3C1D" w:rsidRPr="000B3C1D">
        <w:rPr>
          <w:rFonts w:ascii="Arial" w:hAnsi="Arial" w:cs="Arial"/>
          <w:sz w:val="24"/>
        </w:rPr>
        <w:t xml:space="preserve">Victorian Student Health and Wellbeing Survey </w:t>
      </w:r>
    </w:p>
    <w:p w14:paraId="69283847" w14:textId="77777777" w:rsidR="00A10936" w:rsidRDefault="000B3C1D" w:rsidP="000B3C1D">
      <w:pPr>
        <w:rPr>
          <w:rFonts w:ascii="Arial" w:hAnsi="Arial" w:cs="Arial"/>
          <w:sz w:val="24"/>
        </w:rPr>
      </w:pPr>
      <w:r w:rsidRPr="000B3C1D">
        <w:rPr>
          <w:rFonts w:ascii="Arial" w:hAnsi="Arial" w:cs="Arial"/>
          <w:sz w:val="24"/>
        </w:rPr>
        <w:t>YJGC</w:t>
      </w:r>
      <w:r w:rsidRPr="000B3C1D">
        <w:rPr>
          <w:rFonts w:ascii="Arial" w:hAnsi="Arial" w:cs="Arial"/>
          <w:sz w:val="24"/>
        </w:rPr>
        <w:tab/>
        <w:t>Youth Justice Group Conferencing</w:t>
      </w:r>
    </w:p>
    <w:p w14:paraId="4703EB49" w14:textId="77777777" w:rsidR="0052149B" w:rsidRDefault="0052149B" w:rsidP="000B3C1D">
      <w:pPr>
        <w:rPr>
          <w:rFonts w:ascii="Arial" w:hAnsi="Arial" w:cs="Arial"/>
          <w:sz w:val="24"/>
        </w:rPr>
      </w:pPr>
    </w:p>
    <w:p w14:paraId="7C663425" w14:textId="77777777" w:rsidR="008C6D7D" w:rsidRPr="008C6D7D" w:rsidRDefault="008C6D7D" w:rsidP="008C6D7D">
      <w:pPr>
        <w:pStyle w:val="Heading2"/>
        <w:rPr>
          <w:rFonts w:ascii="Arial" w:hAnsi="Arial" w:cs="Arial"/>
          <w:color w:val="auto"/>
        </w:rPr>
      </w:pPr>
      <w:bookmarkStart w:id="72" w:name="_Toc33527797"/>
      <w:r w:rsidRPr="008C6D7D">
        <w:rPr>
          <w:rFonts w:ascii="Arial" w:hAnsi="Arial" w:cs="Arial"/>
          <w:color w:val="auto"/>
        </w:rPr>
        <w:t>REFERENCES</w:t>
      </w:r>
      <w:bookmarkEnd w:id="72"/>
    </w:p>
    <w:p w14:paraId="77EB6D78" w14:textId="77777777" w:rsidR="008C6D7D" w:rsidRPr="008C6D7D" w:rsidRDefault="008C6D7D" w:rsidP="008C6D7D">
      <w:pPr>
        <w:rPr>
          <w:rFonts w:ascii="Arial" w:hAnsi="Arial" w:cs="Arial"/>
          <w:sz w:val="24"/>
        </w:rPr>
      </w:pPr>
      <w:r w:rsidRPr="008C6D7D">
        <w:rPr>
          <w:rFonts w:ascii="Arial" w:hAnsi="Arial" w:cs="Arial"/>
          <w:sz w:val="24"/>
        </w:rPr>
        <w:t>Abbott-Chapman, J., Johnston, R., &amp; Jetson, T. (2014). Rural belonging, place attachment and youth educational mobility: Rural parents' views. Rural Society: The Journal of Research into Rural and Regional Social Issues in Australia, 23(3),</w:t>
      </w:r>
      <w:r>
        <w:rPr>
          <w:rFonts w:ascii="Arial" w:hAnsi="Arial" w:cs="Arial"/>
          <w:sz w:val="24"/>
        </w:rPr>
        <w:t xml:space="preserve"> </w:t>
      </w:r>
      <w:r w:rsidRPr="008C6D7D">
        <w:rPr>
          <w:rFonts w:ascii="Arial" w:hAnsi="Arial" w:cs="Arial"/>
          <w:sz w:val="24"/>
        </w:rPr>
        <w:t>296-308.</w:t>
      </w:r>
    </w:p>
    <w:p w14:paraId="1DD38284" w14:textId="77777777" w:rsidR="008C6D7D" w:rsidRPr="008C6D7D" w:rsidRDefault="008C6D7D" w:rsidP="008C6D7D">
      <w:pPr>
        <w:rPr>
          <w:rFonts w:ascii="Arial" w:hAnsi="Arial" w:cs="Arial"/>
          <w:sz w:val="24"/>
        </w:rPr>
      </w:pPr>
      <w:r w:rsidRPr="008C6D7D">
        <w:rPr>
          <w:rFonts w:ascii="Arial" w:hAnsi="Arial" w:cs="Arial"/>
          <w:sz w:val="24"/>
        </w:rPr>
        <w:t>Aboriginal Affairs Victoria. (2008). Strong Culture, Strong Peoples, Strong Families: Towards a safer future for Indigenous families and communities, 10 year plan, Second Edition. Melbourne: State of Victoria.</w:t>
      </w:r>
    </w:p>
    <w:p w14:paraId="5642C769" w14:textId="77777777" w:rsidR="008C6D7D" w:rsidRPr="008C6D7D" w:rsidRDefault="008C6D7D" w:rsidP="008C6D7D">
      <w:pPr>
        <w:rPr>
          <w:rFonts w:ascii="Arial" w:hAnsi="Arial" w:cs="Arial"/>
          <w:sz w:val="24"/>
        </w:rPr>
      </w:pPr>
      <w:r w:rsidRPr="008C6D7D">
        <w:rPr>
          <w:rFonts w:ascii="Arial" w:hAnsi="Arial" w:cs="Arial"/>
          <w:sz w:val="24"/>
        </w:rPr>
        <w:t>Agius, P., Taft, A., Hemphill, S., Toumbourou, J., &amp; McMorris, B. (2013). Excessive alcohol use and its association with risky sexual behaviour: a cross-sectional analysis of data from Victorian secondary school students. Australian and New Zealand Journal of Public Health, 37(1), 76-82.</w:t>
      </w:r>
    </w:p>
    <w:p w14:paraId="5AE8EF98" w14:textId="77777777" w:rsidR="008C6D7D" w:rsidRPr="008C6D7D" w:rsidRDefault="008C6D7D" w:rsidP="008C6D7D">
      <w:pPr>
        <w:rPr>
          <w:rFonts w:ascii="Arial" w:hAnsi="Arial" w:cs="Arial"/>
          <w:sz w:val="24"/>
        </w:rPr>
      </w:pPr>
      <w:r w:rsidRPr="008C6D7D">
        <w:rPr>
          <w:rFonts w:ascii="Arial" w:hAnsi="Arial" w:cs="Arial"/>
          <w:sz w:val="24"/>
        </w:rPr>
        <w:t>Armstrong, A. R., Galligan, R. F., &amp; Critchley, C. R. (2011). Emotional intelligence and psychological resilience to negative life events. Personality and Individual Differences, 51(3), 331-336.</w:t>
      </w:r>
    </w:p>
    <w:p w14:paraId="353C7C00" w14:textId="77777777" w:rsidR="008C6D7D" w:rsidRPr="008C6D7D" w:rsidRDefault="008C6D7D" w:rsidP="008C6D7D">
      <w:pPr>
        <w:rPr>
          <w:rFonts w:ascii="Arial" w:hAnsi="Arial" w:cs="Arial"/>
          <w:sz w:val="24"/>
        </w:rPr>
      </w:pPr>
      <w:r w:rsidRPr="008C6D7D">
        <w:rPr>
          <w:rFonts w:ascii="Arial" w:hAnsi="Arial" w:cs="Arial"/>
          <w:sz w:val="24"/>
        </w:rPr>
        <w:t>Armstrong, A., Yu, M., Thomas, A., &amp; Vassallo, S. (2016). All in the family: Intergenerational gambling participation and problems in the Australian</w:t>
      </w:r>
      <w:r w:rsidR="007A46CE">
        <w:rPr>
          <w:rFonts w:ascii="Arial" w:hAnsi="Arial" w:cs="Arial"/>
          <w:sz w:val="24"/>
        </w:rPr>
        <w:t xml:space="preserve"> </w:t>
      </w:r>
      <w:r w:rsidRPr="008C6D7D">
        <w:rPr>
          <w:rFonts w:ascii="Arial" w:hAnsi="Arial" w:cs="Arial"/>
          <w:sz w:val="24"/>
        </w:rPr>
        <w:lastRenderedPageBreak/>
        <w:t>Temperament Project. Australian Institute of Family Studies Conference. Melbourne: Australian Institute of Family Studies.</w:t>
      </w:r>
    </w:p>
    <w:p w14:paraId="6C6DE769" w14:textId="77777777" w:rsidR="008C6D7D" w:rsidRPr="008C6D7D" w:rsidRDefault="008C6D7D" w:rsidP="008C6D7D">
      <w:pPr>
        <w:rPr>
          <w:rFonts w:ascii="Arial" w:hAnsi="Arial" w:cs="Arial"/>
          <w:sz w:val="24"/>
        </w:rPr>
      </w:pPr>
      <w:r w:rsidRPr="008C6D7D">
        <w:rPr>
          <w:rFonts w:ascii="Arial" w:hAnsi="Arial" w:cs="Arial"/>
          <w:sz w:val="24"/>
        </w:rPr>
        <w:t>Armytage, P., &amp; Ogloff, J. (2017). Youth justice review and strategy: meeting needs and reducing offending. Melbourne: Victorian Government.</w:t>
      </w:r>
    </w:p>
    <w:p w14:paraId="4F539810" w14:textId="77777777" w:rsidR="008C6D7D" w:rsidRPr="008C6D7D" w:rsidRDefault="008C6D7D" w:rsidP="008C6D7D">
      <w:pPr>
        <w:rPr>
          <w:rFonts w:ascii="Arial" w:hAnsi="Arial" w:cs="Arial"/>
          <w:sz w:val="24"/>
        </w:rPr>
      </w:pPr>
      <w:r w:rsidRPr="008C6D7D">
        <w:rPr>
          <w:rFonts w:ascii="Arial" w:hAnsi="Arial" w:cs="Arial"/>
          <w:sz w:val="24"/>
        </w:rPr>
        <w:t>Ashby, K., Stathakis, V., &amp; Day, L. (2001). A profile of injuries to Victorian residents by broad geographic region, Hazard, 46. Monash University Accident Research Centre.</w:t>
      </w:r>
    </w:p>
    <w:p w14:paraId="54FD6D76" w14:textId="77777777" w:rsidR="008C6D7D" w:rsidRPr="008C6D7D" w:rsidRDefault="008C6D7D" w:rsidP="008C6D7D">
      <w:pPr>
        <w:rPr>
          <w:rFonts w:ascii="Arial" w:hAnsi="Arial" w:cs="Arial"/>
          <w:sz w:val="24"/>
        </w:rPr>
      </w:pPr>
      <w:r w:rsidRPr="008C6D7D">
        <w:rPr>
          <w:rFonts w:ascii="Arial" w:hAnsi="Arial" w:cs="Arial"/>
          <w:sz w:val="24"/>
        </w:rPr>
        <w:t>Australian Bureau of Statistics. (2008). 2037.0.30.001</w:t>
      </w:r>
      <w:r>
        <w:rPr>
          <w:rFonts w:ascii="Arial" w:hAnsi="Arial" w:cs="Arial"/>
          <w:sz w:val="24"/>
        </w:rPr>
        <w:t xml:space="preserve"> </w:t>
      </w:r>
      <w:r w:rsidRPr="008C6D7D">
        <w:rPr>
          <w:rFonts w:ascii="Arial" w:hAnsi="Arial" w:cs="Arial"/>
          <w:sz w:val="24"/>
        </w:rPr>
        <w:t>- Microdata: Census of Population and Housing, 2006. Canberra: ABS. Retrieved from https://www.abs. gov.au/AUSSTATS/abs@.nsf/allprimarymainfeatures 79CFD9E8B1DB36EACA257F140013347E?opendocument</w:t>
      </w:r>
    </w:p>
    <w:p w14:paraId="195D24EE" w14:textId="77777777" w:rsidR="008C6D7D" w:rsidRPr="008C6D7D" w:rsidRDefault="008C6D7D" w:rsidP="008C6D7D">
      <w:pPr>
        <w:rPr>
          <w:rFonts w:ascii="Arial" w:hAnsi="Arial" w:cs="Arial"/>
          <w:sz w:val="24"/>
        </w:rPr>
      </w:pPr>
      <w:r w:rsidRPr="008C6D7D">
        <w:rPr>
          <w:rFonts w:ascii="Arial" w:hAnsi="Arial" w:cs="Arial"/>
          <w:sz w:val="24"/>
        </w:rPr>
        <w:t>Australian Bureau of Statistics. (2012). 4364.0.55.001 - Australian Health Survey: First Results,</w:t>
      </w:r>
    </w:p>
    <w:p w14:paraId="255E88DE" w14:textId="77777777" w:rsidR="008C6D7D" w:rsidRPr="008C6D7D" w:rsidRDefault="008C6D7D" w:rsidP="008C6D7D">
      <w:pPr>
        <w:rPr>
          <w:rFonts w:ascii="Arial" w:hAnsi="Arial" w:cs="Arial"/>
          <w:sz w:val="24"/>
        </w:rPr>
      </w:pPr>
      <w:r w:rsidRPr="008C6D7D">
        <w:rPr>
          <w:rFonts w:ascii="Arial" w:hAnsi="Arial" w:cs="Arial"/>
          <w:sz w:val="24"/>
        </w:rPr>
        <w:t>Australian Bureau of Statistics. (2013). 2037.0.30.001 - Microdata: Census of Population and Housing, 2011. Canberra: ABS.</w:t>
      </w:r>
    </w:p>
    <w:p w14:paraId="36B56E49" w14:textId="77777777" w:rsidR="008C6D7D" w:rsidRPr="008C6D7D" w:rsidRDefault="008C6D7D" w:rsidP="008C6D7D">
      <w:pPr>
        <w:rPr>
          <w:rFonts w:ascii="Arial" w:hAnsi="Arial" w:cs="Arial"/>
          <w:sz w:val="24"/>
        </w:rPr>
      </w:pPr>
      <w:r w:rsidRPr="008C6D7D">
        <w:rPr>
          <w:rFonts w:ascii="Arial" w:hAnsi="Arial" w:cs="Arial"/>
          <w:sz w:val="24"/>
        </w:rPr>
        <w:t>Australian Bureau of Statistics. (2015). 4364.0.55.001</w:t>
      </w:r>
      <w:r>
        <w:rPr>
          <w:rFonts w:ascii="Arial" w:hAnsi="Arial" w:cs="Arial"/>
          <w:sz w:val="24"/>
        </w:rPr>
        <w:t xml:space="preserve"> </w:t>
      </w:r>
      <w:r w:rsidRPr="008C6D7D">
        <w:rPr>
          <w:rFonts w:ascii="Arial" w:hAnsi="Arial" w:cs="Arial"/>
          <w:sz w:val="24"/>
        </w:rPr>
        <w:t>- National Health Survey: First Results, 2014-15. Retrieved from https://www.abs.gov.au/ AUSSTATS/abs@.nsf/allprimarymainfeatures/ 255E8365AB10F879CA258360000D24DB?opendocument</w:t>
      </w:r>
    </w:p>
    <w:p w14:paraId="6954C4DA" w14:textId="77777777" w:rsidR="008C6D7D" w:rsidRPr="008C6D7D" w:rsidRDefault="008C6D7D" w:rsidP="008C6D7D">
      <w:pPr>
        <w:rPr>
          <w:rFonts w:ascii="Arial" w:hAnsi="Arial" w:cs="Arial"/>
          <w:sz w:val="24"/>
        </w:rPr>
      </w:pPr>
      <w:r w:rsidRPr="008C6D7D">
        <w:rPr>
          <w:rFonts w:ascii="Arial" w:hAnsi="Arial" w:cs="Arial"/>
          <w:sz w:val="24"/>
        </w:rPr>
        <w:t>Australian Bureau of Statistics. (2017). National Aboriginal and Torres Strait Islander Social Survey, 2014-15. Retrieved September 19, 2019, from https://www.abs.gov.au/AUSSTATS/ abs@.nsf/ Lookup/4714.0Main+Features100022014- 15?OpenDocument</w:t>
      </w:r>
    </w:p>
    <w:p w14:paraId="7410D355" w14:textId="77777777" w:rsidR="008C6D7D" w:rsidRPr="008C6D7D" w:rsidRDefault="008C6D7D" w:rsidP="008C6D7D">
      <w:pPr>
        <w:rPr>
          <w:rFonts w:ascii="Arial" w:hAnsi="Arial" w:cs="Arial"/>
          <w:sz w:val="24"/>
        </w:rPr>
      </w:pPr>
      <w:r w:rsidRPr="008C6D7D">
        <w:rPr>
          <w:rFonts w:ascii="Arial" w:hAnsi="Arial" w:cs="Arial"/>
          <w:sz w:val="24"/>
        </w:rPr>
        <w:t>Australian Bureau of Statistics. (2018a). 4364.0.55.001 - National Health Survey: First Results, 2017-18. Retrieved September 20, 2019, from https://www.abs.gov.au/ausstats/ abs@.nsf/mf/4364.0.55.001</w:t>
      </w:r>
    </w:p>
    <w:p w14:paraId="4488528C" w14:textId="77777777" w:rsidR="008C6D7D" w:rsidRPr="008C6D7D" w:rsidRDefault="008C6D7D" w:rsidP="008C6D7D">
      <w:pPr>
        <w:rPr>
          <w:rFonts w:ascii="Arial" w:hAnsi="Arial" w:cs="Arial"/>
          <w:sz w:val="24"/>
        </w:rPr>
      </w:pPr>
      <w:r w:rsidRPr="008C6D7D">
        <w:rPr>
          <w:rFonts w:ascii="Arial" w:hAnsi="Arial" w:cs="Arial"/>
          <w:sz w:val="24"/>
        </w:rPr>
        <w:t>Australian Bureau of Statistics. (2018b). 2049.0 - Census of Population and Housing: Estimating homelessness, 2016. Retrieved September 23, 2019, from https://www.abs.gov.au/ ausstats/abs@.nsf/ lookup/2049.0Media%20Release12016</w:t>
      </w:r>
    </w:p>
    <w:p w14:paraId="3CD3A9A3" w14:textId="77777777" w:rsidR="008C6D7D" w:rsidRPr="008C6D7D" w:rsidRDefault="008C6D7D" w:rsidP="008C6D7D">
      <w:pPr>
        <w:rPr>
          <w:rFonts w:ascii="Arial" w:hAnsi="Arial" w:cs="Arial"/>
          <w:sz w:val="24"/>
        </w:rPr>
      </w:pPr>
      <w:r w:rsidRPr="008C6D7D">
        <w:rPr>
          <w:rFonts w:ascii="Arial" w:hAnsi="Arial" w:cs="Arial"/>
          <w:sz w:val="24"/>
        </w:rPr>
        <w:t>Australian Bureau of Statistics. (2019a). 2037.0.30.001 - Microdata: Census of Population and Housing, 2016. Canberra: ABS.</w:t>
      </w:r>
    </w:p>
    <w:p w14:paraId="1F1FB7D2" w14:textId="77777777" w:rsidR="008C6D7D" w:rsidRPr="008C6D7D" w:rsidRDefault="008C6D7D" w:rsidP="008C6D7D">
      <w:pPr>
        <w:rPr>
          <w:rFonts w:ascii="Arial" w:hAnsi="Arial" w:cs="Arial"/>
          <w:sz w:val="24"/>
        </w:rPr>
      </w:pPr>
      <w:r w:rsidRPr="008C6D7D">
        <w:rPr>
          <w:rFonts w:ascii="Arial" w:hAnsi="Arial" w:cs="Arial"/>
          <w:sz w:val="24"/>
        </w:rPr>
        <w:t>Australian Bureau of Statistics. (2019b). 3101.0 - Australian Demographic Statistics, Mar 2019. Canberra: ABS.</w:t>
      </w:r>
    </w:p>
    <w:p w14:paraId="1EDBB275" w14:textId="77777777" w:rsidR="008C6D7D" w:rsidRPr="008C6D7D" w:rsidRDefault="008C6D7D" w:rsidP="008C6D7D">
      <w:pPr>
        <w:rPr>
          <w:rFonts w:ascii="Arial" w:hAnsi="Arial" w:cs="Arial"/>
          <w:sz w:val="24"/>
        </w:rPr>
      </w:pPr>
      <w:r w:rsidRPr="008C6D7D">
        <w:rPr>
          <w:rFonts w:ascii="Arial" w:hAnsi="Arial" w:cs="Arial"/>
          <w:sz w:val="24"/>
        </w:rPr>
        <w:t>Australian Bureau of Statistics. (2019c). 4221.0 - Schools, Australia. Canberra: Australian Government</w:t>
      </w:r>
    </w:p>
    <w:p w14:paraId="6D59EAB3" w14:textId="77777777" w:rsidR="008C6D7D" w:rsidRPr="008C6D7D" w:rsidRDefault="008C6D7D" w:rsidP="008C6D7D">
      <w:pPr>
        <w:rPr>
          <w:rFonts w:ascii="Arial" w:hAnsi="Arial" w:cs="Arial"/>
          <w:sz w:val="24"/>
        </w:rPr>
      </w:pPr>
      <w:r w:rsidRPr="008C6D7D">
        <w:rPr>
          <w:rFonts w:ascii="Arial" w:hAnsi="Arial" w:cs="Arial"/>
          <w:sz w:val="24"/>
        </w:rPr>
        <w:lastRenderedPageBreak/>
        <w:t>Australian Government Department of Education. (2018). Nationally Consistent Collection of Data on School Students with Disability. Canberra: Australian Government.</w:t>
      </w:r>
    </w:p>
    <w:p w14:paraId="2D8DB7B6" w14:textId="77777777" w:rsidR="008C6D7D" w:rsidRPr="008C6D7D" w:rsidRDefault="008C6D7D" w:rsidP="008C6D7D">
      <w:pPr>
        <w:rPr>
          <w:rFonts w:ascii="Arial" w:hAnsi="Arial" w:cs="Arial"/>
          <w:sz w:val="24"/>
        </w:rPr>
      </w:pPr>
      <w:r w:rsidRPr="008C6D7D">
        <w:rPr>
          <w:rFonts w:ascii="Arial" w:hAnsi="Arial" w:cs="Arial"/>
          <w:sz w:val="24"/>
        </w:rPr>
        <w:t>Australian Government Department of Health. (2017, November 21). Australia’s physical activity and sedentary behaviour guidelines. Retrieved from Australian Government Department of Health: http://www.health.gov.au/internet/ main/publishing.nsf/content/health-pubhlth-strateg-phys- act-guidelines</w:t>
      </w:r>
    </w:p>
    <w:p w14:paraId="30CD7D23" w14:textId="77777777" w:rsidR="008C6D7D" w:rsidRPr="008C6D7D" w:rsidRDefault="008C6D7D" w:rsidP="008C6D7D">
      <w:pPr>
        <w:rPr>
          <w:rFonts w:ascii="Arial" w:hAnsi="Arial" w:cs="Arial"/>
          <w:sz w:val="24"/>
        </w:rPr>
      </w:pPr>
      <w:r w:rsidRPr="008C6D7D">
        <w:rPr>
          <w:rFonts w:ascii="Arial" w:hAnsi="Arial" w:cs="Arial"/>
          <w:sz w:val="24"/>
        </w:rPr>
        <w:t>Australian Institute of Health and Welfare. (2012). A picture of Australia’s children 2012. Cat. no. PHE 167. Canberra: AIHW.</w:t>
      </w:r>
    </w:p>
    <w:p w14:paraId="56466E25" w14:textId="77777777" w:rsidR="008C6D7D" w:rsidRPr="008C6D7D" w:rsidRDefault="008C6D7D" w:rsidP="008C6D7D">
      <w:pPr>
        <w:rPr>
          <w:rFonts w:ascii="Arial" w:hAnsi="Arial" w:cs="Arial"/>
          <w:sz w:val="24"/>
        </w:rPr>
      </w:pPr>
      <w:r w:rsidRPr="008C6D7D">
        <w:rPr>
          <w:rFonts w:ascii="Arial" w:hAnsi="Arial" w:cs="Arial"/>
          <w:sz w:val="24"/>
        </w:rPr>
        <w:t>Australian Institute of Health and Welfare. (2017). Australia’s welfare 2017: in brief, Cat. no. AUS 215. Canberra: AIHW.</w:t>
      </w:r>
    </w:p>
    <w:p w14:paraId="66FC77C0" w14:textId="77777777" w:rsidR="008C6D7D" w:rsidRPr="008C6D7D" w:rsidRDefault="008C6D7D" w:rsidP="008C6D7D">
      <w:pPr>
        <w:rPr>
          <w:rFonts w:ascii="Arial" w:hAnsi="Arial" w:cs="Arial"/>
          <w:sz w:val="24"/>
        </w:rPr>
      </w:pPr>
      <w:r w:rsidRPr="008C6D7D">
        <w:rPr>
          <w:rFonts w:ascii="Arial" w:hAnsi="Arial" w:cs="Arial"/>
          <w:sz w:val="24"/>
        </w:rPr>
        <w:t>Australian Institute of Health and Welfare. (2018). Youth Justice in Australia 2016–17. Cat. no. JUV 116. Canberra: AIHW.</w:t>
      </w:r>
    </w:p>
    <w:p w14:paraId="7E8AF9AE" w14:textId="77777777" w:rsidR="008C6D7D" w:rsidRPr="008C6D7D" w:rsidRDefault="008C6D7D" w:rsidP="008C6D7D">
      <w:pPr>
        <w:rPr>
          <w:rFonts w:ascii="Arial" w:hAnsi="Arial" w:cs="Arial"/>
          <w:sz w:val="24"/>
        </w:rPr>
      </w:pPr>
      <w:r w:rsidRPr="008C6D7D">
        <w:rPr>
          <w:rFonts w:ascii="Arial" w:hAnsi="Arial" w:cs="Arial"/>
          <w:sz w:val="24"/>
        </w:rPr>
        <w:t>Australian Institute of Health and Welfare. (2019a). Deaths web report, Australian Government. Retrieved September 5, 2019, from https://www.aihw.gov.au/reports/life-expectancy- death/deaths-in-australia/data</w:t>
      </w:r>
    </w:p>
    <w:p w14:paraId="34998EDC" w14:textId="77777777" w:rsidR="008C6D7D" w:rsidRPr="008C6D7D" w:rsidRDefault="008C6D7D" w:rsidP="008C6D7D">
      <w:pPr>
        <w:rPr>
          <w:rFonts w:ascii="Arial" w:hAnsi="Arial" w:cs="Arial"/>
          <w:sz w:val="24"/>
        </w:rPr>
      </w:pPr>
      <w:r w:rsidRPr="008C6D7D">
        <w:rPr>
          <w:rFonts w:ascii="Arial" w:hAnsi="Arial" w:cs="Arial"/>
          <w:sz w:val="24"/>
        </w:rPr>
        <w:t>Australian Institute of Health and Welfare. (2019b). Child Protection Australia 2017-18, Child welfare series no. 70, Cat. no. CWS 65. Canberra: AIHW.</w:t>
      </w:r>
    </w:p>
    <w:p w14:paraId="020A5123" w14:textId="77777777" w:rsidR="008C6D7D" w:rsidRPr="008C6D7D" w:rsidRDefault="008C6D7D" w:rsidP="008C6D7D">
      <w:pPr>
        <w:rPr>
          <w:rFonts w:ascii="Arial" w:hAnsi="Arial" w:cs="Arial"/>
          <w:sz w:val="24"/>
        </w:rPr>
      </w:pPr>
      <w:r w:rsidRPr="008C6D7D">
        <w:rPr>
          <w:rFonts w:ascii="Arial" w:hAnsi="Arial" w:cs="Arial"/>
          <w:sz w:val="24"/>
        </w:rPr>
        <w:t>Australian Institute of Health and Welfare. (2019c). Youth justice in Victoria 2017–18. Cat. no. JUV 129. Canberra: AIHW.</w:t>
      </w:r>
    </w:p>
    <w:p w14:paraId="60D75C91" w14:textId="77777777" w:rsidR="008C6D7D" w:rsidRPr="008C6D7D" w:rsidRDefault="008C6D7D" w:rsidP="008C6D7D">
      <w:pPr>
        <w:rPr>
          <w:rFonts w:ascii="Arial" w:hAnsi="Arial" w:cs="Arial"/>
          <w:sz w:val="24"/>
        </w:rPr>
      </w:pPr>
      <w:r w:rsidRPr="008C6D7D">
        <w:rPr>
          <w:rFonts w:ascii="Arial" w:hAnsi="Arial" w:cs="Arial"/>
          <w:sz w:val="24"/>
        </w:rPr>
        <w:t>Australian Institute of Health and Welfare. (2019d). Youth Justice in Australia 2017-18. Canberra: AIHW.</w:t>
      </w:r>
    </w:p>
    <w:p w14:paraId="41071100" w14:textId="77777777" w:rsidR="008C6D7D" w:rsidRPr="008C6D7D" w:rsidRDefault="008C6D7D" w:rsidP="008C6D7D">
      <w:pPr>
        <w:rPr>
          <w:rFonts w:ascii="Arial" w:hAnsi="Arial" w:cs="Arial"/>
          <w:sz w:val="24"/>
        </w:rPr>
      </w:pPr>
      <w:r w:rsidRPr="008C6D7D">
        <w:rPr>
          <w:rFonts w:ascii="Arial" w:hAnsi="Arial" w:cs="Arial"/>
          <w:sz w:val="24"/>
        </w:rPr>
        <w:t>Australian Institute of Health and Welfare. (2019e). Australian Burden of Disease Study: Impact and causes of illness and death in Australia, 2015, Supplementary tables. Canberra: AIHW.</w:t>
      </w:r>
    </w:p>
    <w:p w14:paraId="4724142D" w14:textId="77777777" w:rsidR="008C6D7D" w:rsidRPr="008C6D7D" w:rsidRDefault="008C6D7D" w:rsidP="008C6D7D">
      <w:pPr>
        <w:rPr>
          <w:rFonts w:ascii="Arial" w:hAnsi="Arial" w:cs="Arial"/>
          <w:sz w:val="24"/>
        </w:rPr>
      </w:pPr>
      <w:r w:rsidRPr="008C6D7D">
        <w:rPr>
          <w:rFonts w:ascii="Arial" w:hAnsi="Arial" w:cs="Arial"/>
          <w:sz w:val="24"/>
        </w:rPr>
        <w:t>Australian Institute of Health and Welfare. (2019f). Specialist homelessness services annual report 2017-18. Canberra: AIHW.</w:t>
      </w:r>
    </w:p>
    <w:p w14:paraId="4E26E0C2" w14:textId="77777777" w:rsidR="008C6D7D" w:rsidRPr="008C6D7D" w:rsidRDefault="008C6D7D" w:rsidP="008C6D7D">
      <w:pPr>
        <w:rPr>
          <w:rFonts w:ascii="Arial" w:hAnsi="Arial" w:cs="Arial"/>
          <w:sz w:val="24"/>
        </w:rPr>
      </w:pPr>
      <w:r w:rsidRPr="008C6D7D">
        <w:rPr>
          <w:rFonts w:ascii="Arial" w:hAnsi="Arial" w:cs="Arial"/>
          <w:sz w:val="24"/>
        </w:rPr>
        <w:t>Barber, B. K., Stolz, H. E., &amp; Olsen, J. A. (2005). Parental support, psychological control, and behavioral control: Assessing relevance across time, method, and culture. Monographs of the Society for Research in Child Development, 70(4), 1-137.</w:t>
      </w:r>
    </w:p>
    <w:p w14:paraId="44894738" w14:textId="77777777" w:rsidR="008C6D7D" w:rsidRPr="008C6D7D" w:rsidRDefault="008C6D7D" w:rsidP="008C6D7D">
      <w:pPr>
        <w:rPr>
          <w:rFonts w:ascii="Arial" w:hAnsi="Arial" w:cs="Arial"/>
          <w:sz w:val="24"/>
        </w:rPr>
      </w:pPr>
      <w:r w:rsidRPr="008C6D7D">
        <w:rPr>
          <w:rFonts w:ascii="Arial" w:hAnsi="Arial" w:cs="Arial"/>
          <w:sz w:val="24"/>
        </w:rPr>
        <w:t>Bava, S., &amp; Tapert, S. F. (2010). Adolescent brain development and the risk for alcohol and other drug problems.</w:t>
      </w:r>
      <w:r>
        <w:rPr>
          <w:rFonts w:ascii="Arial" w:hAnsi="Arial" w:cs="Arial"/>
          <w:sz w:val="24"/>
        </w:rPr>
        <w:t xml:space="preserve"> </w:t>
      </w:r>
      <w:r w:rsidRPr="008C6D7D">
        <w:rPr>
          <w:rFonts w:ascii="Arial" w:hAnsi="Arial" w:cs="Arial"/>
          <w:sz w:val="24"/>
        </w:rPr>
        <w:t>Neuropsychology Review, 20(4), 398–413.</w:t>
      </w:r>
    </w:p>
    <w:p w14:paraId="617E19E4" w14:textId="77777777" w:rsidR="008C6D7D" w:rsidRPr="008C6D7D" w:rsidRDefault="008C6D7D" w:rsidP="008C6D7D">
      <w:pPr>
        <w:rPr>
          <w:rFonts w:ascii="Arial" w:hAnsi="Arial" w:cs="Arial"/>
          <w:sz w:val="24"/>
        </w:rPr>
      </w:pPr>
      <w:r w:rsidRPr="008C6D7D">
        <w:rPr>
          <w:rFonts w:ascii="Arial" w:hAnsi="Arial" w:cs="Arial"/>
          <w:sz w:val="24"/>
        </w:rPr>
        <w:t xml:space="preserve">Bellis, M., Hardcastle, K., Ford, K., Hughes, K., Ashton, K., Quigg, Z., &amp; Butler, N. (2017). Does continuous trusted adult support in childhood impart life-course </w:t>
      </w:r>
      <w:r w:rsidRPr="008C6D7D">
        <w:rPr>
          <w:rFonts w:ascii="Arial" w:hAnsi="Arial" w:cs="Arial"/>
          <w:sz w:val="24"/>
        </w:rPr>
        <w:lastRenderedPageBreak/>
        <w:t>resilience against adverse childhood experiences – a retrospective study on adult health-harming behaviours and mental well-being. BMC Psychiatry, 17(10).</w:t>
      </w:r>
    </w:p>
    <w:p w14:paraId="3DB424E8" w14:textId="77777777" w:rsidR="008C6D7D" w:rsidRPr="008C6D7D" w:rsidRDefault="008C6D7D" w:rsidP="008C6D7D">
      <w:pPr>
        <w:rPr>
          <w:rFonts w:ascii="Arial" w:hAnsi="Arial" w:cs="Arial"/>
          <w:sz w:val="24"/>
        </w:rPr>
      </w:pPr>
      <w:r w:rsidRPr="008C6D7D">
        <w:rPr>
          <w:rFonts w:ascii="Arial" w:hAnsi="Arial" w:cs="Arial"/>
          <w:sz w:val="24"/>
        </w:rPr>
        <w:t>Betts, K. S., Alati, R., Baker, P., Letcher, P., Hutchinson, D., Youssef, G., &amp; Olsson, C. A. (2018). The natural history of risky drinking and associated harms from adolescence to young adulthood: findings from the Australian Temperament Project. Psychological Medicine, 48, 23-32.</w:t>
      </w:r>
    </w:p>
    <w:p w14:paraId="42F8B365" w14:textId="77777777" w:rsidR="008C6D7D" w:rsidRPr="008C6D7D" w:rsidRDefault="008C6D7D" w:rsidP="008C6D7D">
      <w:pPr>
        <w:rPr>
          <w:rFonts w:ascii="Arial" w:hAnsi="Arial" w:cs="Arial"/>
          <w:sz w:val="24"/>
        </w:rPr>
      </w:pPr>
      <w:r w:rsidRPr="008C6D7D">
        <w:rPr>
          <w:rFonts w:ascii="Arial" w:hAnsi="Arial" w:cs="Arial"/>
          <w:sz w:val="24"/>
        </w:rPr>
        <w:t>Betts, K. S., Baker, P., Alati, R., McIntosh, J. E., Macdonald, J. A., Letcher, P., &amp; Olsson, C. A. (2016). The natural history of internalizing behaviours from adolescence to emerging adulthood: findings from the Australian Temperament Project. Psychological Medicine, 46, 90-96.</w:t>
      </w:r>
    </w:p>
    <w:p w14:paraId="5A06FEBC" w14:textId="77777777" w:rsidR="008C6D7D" w:rsidRPr="008C6D7D" w:rsidRDefault="008C6D7D" w:rsidP="008C6D7D">
      <w:pPr>
        <w:rPr>
          <w:rFonts w:ascii="Arial" w:hAnsi="Arial" w:cs="Arial"/>
          <w:sz w:val="24"/>
        </w:rPr>
      </w:pPr>
      <w:r w:rsidRPr="008C6D7D">
        <w:rPr>
          <w:rFonts w:ascii="Arial" w:hAnsi="Arial" w:cs="Arial"/>
          <w:sz w:val="24"/>
        </w:rPr>
        <w:t>Black, R. (2007). Crossing the Bridge: Overcoming entrenched disadvantage through student-centred learning. Melbourne: Education Foundation Australia.</w:t>
      </w:r>
    </w:p>
    <w:p w14:paraId="5967525B" w14:textId="77777777" w:rsidR="008C6D7D" w:rsidRPr="008C6D7D" w:rsidRDefault="008C6D7D" w:rsidP="008C6D7D">
      <w:pPr>
        <w:rPr>
          <w:rFonts w:ascii="Arial" w:hAnsi="Arial" w:cs="Arial"/>
          <w:sz w:val="24"/>
        </w:rPr>
      </w:pPr>
      <w:r w:rsidRPr="008C6D7D">
        <w:rPr>
          <w:rFonts w:ascii="Arial" w:hAnsi="Arial" w:cs="Arial"/>
          <w:sz w:val="24"/>
        </w:rPr>
        <w:t>Braams, B. R., van Duijvenvoorde, A. C., Peper, J. S., &amp; Crone,</w:t>
      </w:r>
      <w:r>
        <w:rPr>
          <w:rFonts w:ascii="Arial" w:hAnsi="Arial" w:cs="Arial"/>
          <w:sz w:val="24"/>
        </w:rPr>
        <w:t xml:space="preserve"> </w:t>
      </w:r>
      <w:r w:rsidRPr="008C6D7D">
        <w:rPr>
          <w:rFonts w:ascii="Arial" w:hAnsi="Arial" w:cs="Arial"/>
          <w:sz w:val="24"/>
        </w:rPr>
        <w:t>E. A. (2015). Longitudinal Changes in Adolescent Risk-Taking: A Comprehensive Study of Neural Responses to Rewards, Pubertal Development, and Risk-Taking Behavior. The Journal of Neuroscience, 35(18), 7226-7238.</w:t>
      </w:r>
    </w:p>
    <w:p w14:paraId="6BCF41A6" w14:textId="77777777" w:rsidR="008C6D7D" w:rsidRPr="008C6D7D" w:rsidRDefault="008C6D7D" w:rsidP="008C6D7D">
      <w:pPr>
        <w:rPr>
          <w:rFonts w:ascii="Arial" w:hAnsi="Arial" w:cs="Arial"/>
          <w:sz w:val="24"/>
        </w:rPr>
      </w:pPr>
      <w:r w:rsidRPr="008C6D7D">
        <w:rPr>
          <w:rFonts w:ascii="Arial" w:hAnsi="Arial" w:cs="Arial"/>
          <w:sz w:val="24"/>
        </w:rPr>
        <w:t>Bridget, M., Malakellis, M., Whelan, J., Millar, L., Swinburn, B., Allender, S., &amp; Strugnell, C. (2016). Sleep duration and risk of obesity among a sample of Victorian school children. BMC Public Health, 16(1), 1-8.</w:t>
      </w:r>
    </w:p>
    <w:p w14:paraId="09168048" w14:textId="77777777" w:rsidR="008C6D7D" w:rsidRPr="008C6D7D" w:rsidRDefault="008C6D7D" w:rsidP="008C6D7D">
      <w:pPr>
        <w:rPr>
          <w:rFonts w:ascii="Arial" w:hAnsi="Arial" w:cs="Arial"/>
          <w:sz w:val="24"/>
        </w:rPr>
      </w:pPr>
      <w:r w:rsidRPr="008C6D7D">
        <w:rPr>
          <w:rFonts w:ascii="Arial" w:hAnsi="Arial" w:cs="Arial"/>
          <w:sz w:val="24"/>
        </w:rPr>
        <w:t>Bromfield, L., Higgins, D., Osborn, A., Panozzo, S., &amp; Richardson, N. (2005). Out-of-home care in Australia: Messages from Research. Melbourne: Australian Institute of Family Studies.</w:t>
      </w:r>
    </w:p>
    <w:p w14:paraId="3F44111D" w14:textId="77777777" w:rsidR="008C6D7D" w:rsidRPr="008C6D7D" w:rsidRDefault="008C6D7D" w:rsidP="008C6D7D">
      <w:pPr>
        <w:rPr>
          <w:rFonts w:ascii="Arial" w:hAnsi="Arial" w:cs="Arial"/>
          <w:sz w:val="24"/>
        </w:rPr>
      </w:pPr>
      <w:r w:rsidRPr="008C6D7D">
        <w:rPr>
          <w:rFonts w:ascii="Arial" w:hAnsi="Arial" w:cs="Arial"/>
          <w:sz w:val="24"/>
        </w:rPr>
        <w:t>Bromley, E., Johnson, J. G., &amp; Cohen, P. (2006). Personality strengths in adolescence and decreased risk of developing mental health problems in early adulthood. Comprehensive Psychiatry, 47, 315-324.</w:t>
      </w:r>
    </w:p>
    <w:p w14:paraId="31515FE6" w14:textId="77777777" w:rsidR="008C6D7D" w:rsidRPr="008C6D7D" w:rsidRDefault="008C6D7D" w:rsidP="008C6D7D">
      <w:pPr>
        <w:rPr>
          <w:rFonts w:ascii="Arial" w:hAnsi="Arial" w:cs="Arial"/>
          <w:sz w:val="24"/>
        </w:rPr>
      </w:pPr>
      <w:r w:rsidRPr="008C6D7D">
        <w:rPr>
          <w:rFonts w:ascii="Arial" w:hAnsi="Arial" w:cs="Arial"/>
          <w:sz w:val="24"/>
        </w:rPr>
        <w:t>Carlisle, E., Fildes, J., Hall, S., Hicking, V., Perrens, B., &amp; Plummer, J. (2018). Youth Survey Report 2018. Mission Australia.</w:t>
      </w:r>
    </w:p>
    <w:p w14:paraId="19D8D6A5" w14:textId="77777777" w:rsidR="008C6D7D" w:rsidRPr="008C6D7D" w:rsidRDefault="008C6D7D" w:rsidP="008C6D7D">
      <w:pPr>
        <w:rPr>
          <w:rFonts w:ascii="Arial" w:hAnsi="Arial" w:cs="Arial"/>
          <w:sz w:val="24"/>
        </w:rPr>
      </w:pPr>
      <w:r w:rsidRPr="008C6D7D">
        <w:rPr>
          <w:rFonts w:ascii="Arial" w:hAnsi="Arial" w:cs="Arial"/>
          <w:sz w:val="24"/>
        </w:rPr>
        <w:t>Centre for Multicultural Youth. (2014). Fair and Accurate: Migrant and Refugee Young People, Crime and the Media. Melbourne: CMY.</w:t>
      </w:r>
    </w:p>
    <w:p w14:paraId="2EAF347C" w14:textId="77777777" w:rsidR="008C6D7D" w:rsidRPr="008C6D7D" w:rsidRDefault="008C6D7D" w:rsidP="008C6D7D">
      <w:pPr>
        <w:rPr>
          <w:rFonts w:ascii="Arial" w:hAnsi="Arial" w:cs="Arial"/>
          <w:sz w:val="24"/>
        </w:rPr>
      </w:pPr>
      <w:r w:rsidRPr="008C6D7D">
        <w:rPr>
          <w:rFonts w:ascii="Arial" w:hAnsi="Arial" w:cs="Arial"/>
          <w:sz w:val="24"/>
        </w:rPr>
        <w:t>Centre for Multicultural Youth. (2018). Humanitarian Youth Arrivals to Victoria: July 2016 – June 2017. Retrieved September 20, 2019, from https://www.cmy.net.au/ humanitarian-youth-arrivals</w:t>
      </w:r>
    </w:p>
    <w:p w14:paraId="127D49E6" w14:textId="77777777" w:rsidR="008C6D7D" w:rsidRPr="008C6D7D" w:rsidRDefault="008C6D7D" w:rsidP="008C6D7D">
      <w:pPr>
        <w:rPr>
          <w:rFonts w:ascii="Arial" w:hAnsi="Arial" w:cs="Arial"/>
          <w:sz w:val="24"/>
        </w:rPr>
      </w:pPr>
      <w:r w:rsidRPr="008C6D7D">
        <w:rPr>
          <w:rFonts w:ascii="Arial" w:hAnsi="Arial" w:cs="Arial"/>
          <w:sz w:val="24"/>
        </w:rPr>
        <w:t>Chassiakos, Y. R., Radesky, J., Christakis, D., Moreno, M. A., &amp; Cross, C. (2016). Children and adolescents and digital media. Pediatrics, 138(5), e20162593.</w:t>
      </w:r>
    </w:p>
    <w:p w14:paraId="6B88AFA7" w14:textId="77777777" w:rsidR="008C6D7D" w:rsidRPr="008C6D7D" w:rsidRDefault="008C6D7D" w:rsidP="008C6D7D">
      <w:pPr>
        <w:rPr>
          <w:rFonts w:ascii="Arial" w:hAnsi="Arial" w:cs="Arial"/>
          <w:sz w:val="24"/>
        </w:rPr>
      </w:pPr>
      <w:r w:rsidRPr="008C6D7D">
        <w:rPr>
          <w:rFonts w:ascii="Arial" w:hAnsi="Arial" w:cs="Arial"/>
          <w:sz w:val="24"/>
        </w:rPr>
        <w:t>Children's Court of Victoria. (2017). Annual Report 2016/17. Melbourne: State of Victoria.</w:t>
      </w:r>
    </w:p>
    <w:p w14:paraId="75C79539" w14:textId="77777777" w:rsidR="008C6D7D" w:rsidRPr="008C6D7D" w:rsidRDefault="008C6D7D" w:rsidP="008C6D7D">
      <w:pPr>
        <w:rPr>
          <w:rFonts w:ascii="Arial" w:hAnsi="Arial" w:cs="Arial"/>
          <w:sz w:val="24"/>
        </w:rPr>
      </w:pPr>
      <w:r w:rsidRPr="008C6D7D">
        <w:rPr>
          <w:rFonts w:ascii="Arial" w:hAnsi="Arial" w:cs="Arial"/>
          <w:sz w:val="24"/>
        </w:rPr>
        <w:lastRenderedPageBreak/>
        <w:t>Community Affairs Reference Committee. (2015). Out of home care. Canberra: Commonwealth of Australia.</w:t>
      </w:r>
    </w:p>
    <w:p w14:paraId="04B499C8" w14:textId="77777777" w:rsidR="008C6D7D" w:rsidRPr="008C6D7D" w:rsidRDefault="008C6D7D" w:rsidP="008C6D7D">
      <w:pPr>
        <w:rPr>
          <w:rFonts w:ascii="Arial" w:hAnsi="Arial" w:cs="Arial"/>
          <w:sz w:val="24"/>
        </w:rPr>
      </w:pPr>
      <w:r w:rsidRPr="008C6D7D">
        <w:rPr>
          <w:rFonts w:ascii="Arial" w:hAnsi="Arial" w:cs="Arial"/>
          <w:sz w:val="24"/>
        </w:rPr>
        <w:t>Corrales, T. (2015). Children in Care Report Card, Report No. 3. Melbourne: Anglicare Victoria.</w:t>
      </w:r>
    </w:p>
    <w:p w14:paraId="1F7C3AB1" w14:textId="77777777" w:rsidR="008C6D7D" w:rsidRPr="008C6D7D" w:rsidRDefault="008C6D7D" w:rsidP="008C6D7D">
      <w:pPr>
        <w:rPr>
          <w:rFonts w:ascii="Arial" w:hAnsi="Arial" w:cs="Arial"/>
          <w:sz w:val="24"/>
        </w:rPr>
      </w:pPr>
      <w:r w:rsidRPr="008C6D7D">
        <w:rPr>
          <w:rFonts w:ascii="Arial" w:hAnsi="Arial" w:cs="Arial"/>
          <w:sz w:val="24"/>
        </w:rPr>
        <w:t>Crime Statistics Agency, Victoria. (2018a). Family incidents: Year ending 30 June 2018. Retrieved September 18,</w:t>
      </w:r>
      <w:r>
        <w:rPr>
          <w:rFonts w:ascii="Arial" w:hAnsi="Arial" w:cs="Arial"/>
          <w:sz w:val="24"/>
        </w:rPr>
        <w:t xml:space="preserve"> </w:t>
      </w:r>
      <w:r w:rsidRPr="008C6D7D">
        <w:rPr>
          <w:rFonts w:ascii="Arial" w:hAnsi="Arial" w:cs="Arial"/>
          <w:sz w:val="24"/>
        </w:rPr>
        <w:t>2019, from https://www.crimestatistics.vic.gov.au/crime- statisticshistorical-crime-datayear-ending-30-june-2018/ family-incidents</w:t>
      </w:r>
    </w:p>
    <w:p w14:paraId="7BE45224" w14:textId="77777777" w:rsidR="008C6D7D" w:rsidRPr="008C6D7D" w:rsidRDefault="008C6D7D" w:rsidP="008C6D7D">
      <w:pPr>
        <w:rPr>
          <w:rFonts w:ascii="Arial" w:hAnsi="Arial" w:cs="Arial"/>
          <w:sz w:val="24"/>
        </w:rPr>
      </w:pPr>
      <w:r w:rsidRPr="008C6D7D">
        <w:rPr>
          <w:rFonts w:ascii="Arial" w:hAnsi="Arial" w:cs="Arial"/>
          <w:sz w:val="24"/>
        </w:rPr>
        <w:t>Crime Statistics Agency, Victoria. (2018b). Victim reports: Year ending 31 December 2018. Retrieved from https://www. crimestatistics.vic.gov.au/victim-reports</w:t>
      </w:r>
    </w:p>
    <w:p w14:paraId="013037FA" w14:textId="77777777" w:rsidR="008C6D7D" w:rsidRPr="008C6D7D" w:rsidRDefault="008C6D7D" w:rsidP="008C6D7D">
      <w:pPr>
        <w:rPr>
          <w:rFonts w:ascii="Arial" w:hAnsi="Arial" w:cs="Arial"/>
          <w:sz w:val="24"/>
        </w:rPr>
      </w:pPr>
      <w:r w:rsidRPr="008C6D7D">
        <w:rPr>
          <w:rFonts w:ascii="Arial" w:hAnsi="Arial" w:cs="Arial"/>
          <w:sz w:val="24"/>
        </w:rPr>
        <w:t>Curtis, A. (2015). Defining adolescence. Journal of Adolescent and Family Health, 7(2), Article 2.Retrieved from https://scholar.utc.edu/cgi/viewcontent. cgi?article=1035&amp;context=jafh</w:t>
      </w:r>
    </w:p>
    <w:p w14:paraId="31E01FE7" w14:textId="77777777" w:rsidR="008C6D7D" w:rsidRPr="008C6D7D" w:rsidRDefault="008C6D7D" w:rsidP="008C6D7D">
      <w:pPr>
        <w:rPr>
          <w:rFonts w:ascii="Arial" w:hAnsi="Arial" w:cs="Arial"/>
          <w:sz w:val="24"/>
        </w:rPr>
      </w:pPr>
      <w:r w:rsidRPr="008C6D7D">
        <w:rPr>
          <w:rFonts w:ascii="Arial" w:hAnsi="Arial" w:cs="Arial"/>
          <w:sz w:val="24"/>
        </w:rPr>
        <w:t>Degenhardt, L., Sara, G., McKetin, R., Roxburgh, A., Dobbins, T., Farrell, M. et al. (2017). Crystalline methamphetamine use and methamphetamine-related harms in Australia. Drug</w:t>
      </w:r>
      <w:r>
        <w:rPr>
          <w:rFonts w:ascii="Arial" w:hAnsi="Arial" w:cs="Arial"/>
          <w:sz w:val="24"/>
        </w:rPr>
        <w:t xml:space="preserve"> </w:t>
      </w:r>
      <w:r w:rsidRPr="008C6D7D">
        <w:rPr>
          <w:rFonts w:ascii="Arial" w:hAnsi="Arial" w:cs="Arial"/>
          <w:sz w:val="24"/>
        </w:rPr>
        <w:t>and Alcohol Review, 36, 160-170.</w:t>
      </w:r>
    </w:p>
    <w:p w14:paraId="7E34AF97" w14:textId="77777777" w:rsidR="008C6D7D" w:rsidRPr="008C6D7D" w:rsidRDefault="008C6D7D" w:rsidP="008C6D7D">
      <w:pPr>
        <w:rPr>
          <w:rFonts w:ascii="Arial" w:hAnsi="Arial" w:cs="Arial"/>
          <w:sz w:val="24"/>
        </w:rPr>
      </w:pPr>
      <w:r w:rsidRPr="008C6D7D">
        <w:rPr>
          <w:rFonts w:ascii="Arial" w:hAnsi="Arial" w:cs="Arial"/>
          <w:sz w:val="24"/>
        </w:rPr>
        <w:t>Department of Education and Training. (2014). Victorian Student Health and Wellbeing Survey. Melbourne:</w:t>
      </w:r>
      <w:r>
        <w:rPr>
          <w:rFonts w:ascii="Arial" w:hAnsi="Arial" w:cs="Arial"/>
          <w:sz w:val="24"/>
        </w:rPr>
        <w:t xml:space="preserve"> </w:t>
      </w:r>
      <w:r w:rsidRPr="008C6D7D">
        <w:rPr>
          <w:rFonts w:ascii="Arial" w:hAnsi="Arial" w:cs="Arial"/>
          <w:sz w:val="24"/>
        </w:rPr>
        <w:t>State of Victoria.</w:t>
      </w:r>
    </w:p>
    <w:p w14:paraId="464134EB" w14:textId="77777777" w:rsidR="008C6D7D" w:rsidRPr="008C6D7D" w:rsidRDefault="008C6D7D" w:rsidP="008C6D7D">
      <w:pPr>
        <w:rPr>
          <w:rFonts w:ascii="Arial" w:hAnsi="Arial" w:cs="Arial"/>
          <w:sz w:val="24"/>
        </w:rPr>
      </w:pPr>
      <w:r w:rsidRPr="008C6D7D">
        <w:rPr>
          <w:rFonts w:ascii="Arial" w:hAnsi="Arial" w:cs="Arial"/>
          <w:sz w:val="24"/>
        </w:rPr>
        <w:t>Department of Education and Training. (2016).</w:t>
      </w:r>
      <w:r>
        <w:rPr>
          <w:rFonts w:ascii="Arial" w:hAnsi="Arial" w:cs="Arial"/>
          <w:sz w:val="24"/>
        </w:rPr>
        <w:t xml:space="preserve"> </w:t>
      </w:r>
      <w:r w:rsidRPr="008C6D7D">
        <w:rPr>
          <w:rFonts w:ascii="Arial" w:hAnsi="Arial" w:cs="Arial"/>
          <w:sz w:val="24"/>
        </w:rPr>
        <w:t>Victorian Student Health and Wellbeing Survey. Melbourne: State of Victoria.</w:t>
      </w:r>
    </w:p>
    <w:p w14:paraId="4E9803BF" w14:textId="77777777" w:rsidR="008C6D7D" w:rsidRPr="008C6D7D" w:rsidRDefault="008C6D7D" w:rsidP="008C6D7D">
      <w:pPr>
        <w:rPr>
          <w:rFonts w:ascii="Arial" w:hAnsi="Arial" w:cs="Arial"/>
          <w:sz w:val="24"/>
        </w:rPr>
      </w:pPr>
      <w:r w:rsidRPr="008C6D7D">
        <w:rPr>
          <w:rFonts w:ascii="Arial" w:hAnsi="Arial" w:cs="Arial"/>
          <w:sz w:val="24"/>
        </w:rPr>
        <w:t>Department of Education and Training. (2018). Victorian Student Health and Wellbeing Survey. Melbourne: State of Victoria.</w:t>
      </w:r>
    </w:p>
    <w:p w14:paraId="38D49133" w14:textId="77777777" w:rsidR="008C6D7D" w:rsidRPr="008C6D7D" w:rsidRDefault="008C6D7D" w:rsidP="008C6D7D">
      <w:pPr>
        <w:rPr>
          <w:rFonts w:ascii="Arial" w:hAnsi="Arial" w:cs="Arial"/>
          <w:sz w:val="24"/>
        </w:rPr>
      </w:pPr>
      <w:r w:rsidRPr="008C6D7D">
        <w:rPr>
          <w:rFonts w:ascii="Arial" w:hAnsi="Arial" w:cs="Arial"/>
          <w:sz w:val="24"/>
        </w:rPr>
        <w:t>Department of Education and Training. (2018a). Navigator Pilot - Evaluation Snapshot. Department of Education and Training. Retrieved from https://www. education.vic.gov.au/Documents/about/programs/ NavigatorEvaluationSnapshotJune2018.docx</w:t>
      </w:r>
    </w:p>
    <w:p w14:paraId="4DD3310F" w14:textId="77777777" w:rsidR="008C6D7D" w:rsidRPr="008C6D7D" w:rsidRDefault="008C6D7D" w:rsidP="008C6D7D">
      <w:pPr>
        <w:rPr>
          <w:rFonts w:ascii="Arial" w:hAnsi="Arial" w:cs="Arial"/>
          <w:sz w:val="24"/>
        </w:rPr>
      </w:pPr>
      <w:r w:rsidRPr="008C6D7D">
        <w:rPr>
          <w:rFonts w:ascii="Arial" w:hAnsi="Arial" w:cs="Arial"/>
          <w:sz w:val="24"/>
        </w:rPr>
        <w:t>Department of Education and Training. (2018b). On Track 2018: Destinations of Victorian School Leavers, Snapshot. Melbourne: Department of Education and Training. Retrieved from https://www.education.vic.gov.au/Documents/about/ research/OnTrack2018/snapshot-ontrack-2018.pdf</w:t>
      </w:r>
    </w:p>
    <w:p w14:paraId="3A0DFCFE" w14:textId="77777777" w:rsidR="008C6D7D" w:rsidRPr="008C6D7D" w:rsidRDefault="008C6D7D" w:rsidP="008C6D7D">
      <w:pPr>
        <w:rPr>
          <w:rFonts w:ascii="Arial" w:hAnsi="Arial" w:cs="Arial"/>
          <w:sz w:val="24"/>
        </w:rPr>
      </w:pPr>
      <w:r w:rsidRPr="008C6D7D">
        <w:rPr>
          <w:rFonts w:ascii="Arial" w:hAnsi="Arial" w:cs="Arial"/>
          <w:sz w:val="24"/>
        </w:rPr>
        <w:t>Department of Education and Training. (2018c). The State of Victoria's Children (2017): A focus on health and wellbeing. Melbourne: State of Victoria.</w:t>
      </w:r>
    </w:p>
    <w:p w14:paraId="45AF6F5E" w14:textId="77777777" w:rsidR="008C6D7D" w:rsidRPr="008C6D7D" w:rsidRDefault="008C6D7D" w:rsidP="008C6D7D">
      <w:pPr>
        <w:rPr>
          <w:rFonts w:ascii="Arial" w:hAnsi="Arial" w:cs="Arial"/>
          <w:sz w:val="24"/>
        </w:rPr>
      </w:pPr>
      <w:r w:rsidRPr="008C6D7D">
        <w:rPr>
          <w:rFonts w:ascii="Arial" w:hAnsi="Arial" w:cs="Arial"/>
          <w:sz w:val="24"/>
        </w:rPr>
        <w:t>Department of Health and Human Services. (2017). Korin Korin Balit-Djak: Aboriginal health, wellbeing and safety strategic plan 2017–2027. Melbourne: State of Victoria.</w:t>
      </w:r>
    </w:p>
    <w:p w14:paraId="765053D8" w14:textId="77777777" w:rsidR="008C6D7D" w:rsidRPr="008C6D7D" w:rsidRDefault="008C6D7D" w:rsidP="008C6D7D">
      <w:pPr>
        <w:rPr>
          <w:rFonts w:ascii="Arial" w:hAnsi="Arial" w:cs="Arial"/>
          <w:sz w:val="24"/>
        </w:rPr>
      </w:pPr>
      <w:r w:rsidRPr="008C6D7D">
        <w:rPr>
          <w:rFonts w:ascii="Arial" w:hAnsi="Arial" w:cs="Arial"/>
          <w:sz w:val="24"/>
        </w:rPr>
        <w:lastRenderedPageBreak/>
        <w:t>Department of Health and Human Services. (2018). Victoria’s Mental Health Services Annual Report 2017-18. Melbourne: State of Victoria.</w:t>
      </w:r>
    </w:p>
    <w:p w14:paraId="02AD787D" w14:textId="77777777" w:rsidR="008C6D7D" w:rsidRPr="008C6D7D" w:rsidRDefault="008C6D7D" w:rsidP="008C6D7D">
      <w:pPr>
        <w:rPr>
          <w:rFonts w:ascii="Arial" w:hAnsi="Arial" w:cs="Arial"/>
          <w:sz w:val="24"/>
        </w:rPr>
      </w:pPr>
      <w:r w:rsidRPr="008C6D7D">
        <w:rPr>
          <w:rFonts w:ascii="Arial" w:hAnsi="Arial" w:cs="Arial"/>
          <w:sz w:val="24"/>
        </w:rPr>
        <w:t>Department of Health and Human Services. (2019a). Aboriginal and Torres Strait Islander cultural safety framework: For the Victorian health, human and community services sector. Melbourne: State of Victoria.</w:t>
      </w:r>
    </w:p>
    <w:p w14:paraId="53F3FFFE" w14:textId="77777777" w:rsidR="008C6D7D" w:rsidRPr="008C6D7D" w:rsidRDefault="008C6D7D" w:rsidP="008C6D7D">
      <w:pPr>
        <w:rPr>
          <w:rFonts w:ascii="Arial" w:hAnsi="Arial" w:cs="Arial"/>
          <w:sz w:val="24"/>
        </w:rPr>
      </w:pPr>
      <w:r w:rsidRPr="008C6D7D">
        <w:rPr>
          <w:rFonts w:ascii="Arial" w:hAnsi="Arial" w:cs="Arial"/>
          <w:sz w:val="24"/>
        </w:rPr>
        <w:t>Department of Health and Human Services. (2019b). Victorian Admitted Episodes Dataset. Retrieved September 20, 2019, from https://www2.health.vic.gov.au/hospitals-and-health- services/data-reporting/health-data-standards-systems/ data-collections/vaed</w:t>
      </w:r>
    </w:p>
    <w:p w14:paraId="52B09009" w14:textId="77777777" w:rsidR="008C6D7D" w:rsidRPr="008C6D7D" w:rsidRDefault="008C6D7D" w:rsidP="008C6D7D">
      <w:pPr>
        <w:rPr>
          <w:rFonts w:ascii="Arial" w:hAnsi="Arial" w:cs="Arial"/>
          <w:sz w:val="24"/>
        </w:rPr>
      </w:pPr>
      <w:r w:rsidRPr="008C6D7D">
        <w:rPr>
          <w:rFonts w:ascii="Arial" w:hAnsi="Arial" w:cs="Arial"/>
          <w:sz w:val="24"/>
        </w:rPr>
        <w:t>Department of Health and Human Services. (2019c). Victorian Emergency Minimum Dataset (VEMD). Retrieved September 20, 2019, from https://www2.health.vic.gov.au/hospitals-and- health-services/data-reporting/health-data-standards- systems/data-collections/vemd</w:t>
      </w:r>
    </w:p>
    <w:p w14:paraId="5A92952A" w14:textId="77777777" w:rsidR="008C6D7D" w:rsidRPr="008C6D7D" w:rsidRDefault="008C6D7D" w:rsidP="008C6D7D">
      <w:pPr>
        <w:rPr>
          <w:rFonts w:ascii="Arial" w:hAnsi="Arial" w:cs="Arial"/>
          <w:sz w:val="24"/>
        </w:rPr>
      </w:pPr>
      <w:r w:rsidRPr="008C6D7D">
        <w:rPr>
          <w:rFonts w:ascii="Arial" w:hAnsi="Arial" w:cs="Arial"/>
          <w:sz w:val="24"/>
        </w:rPr>
        <w:t>Department of Health and Human Services. (2019d). Victorian Perinatal Data Collection. Retrieved September 20, 2019,</w:t>
      </w:r>
      <w:r>
        <w:rPr>
          <w:rFonts w:ascii="Arial" w:hAnsi="Arial" w:cs="Arial"/>
          <w:sz w:val="24"/>
        </w:rPr>
        <w:t xml:space="preserve"> </w:t>
      </w:r>
      <w:r w:rsidRPr="008C6D7D">
        <w:rPr>
          <w:rFonts w:ascii="Arial" w:hAnsi="Arial" w:cs="Arial"/>
          <w:sz w:val="24"/>
        </w:rPr>
        <w:t>from https://www2.health.vic.gov.au/hospitals-and-health- services/quality-safety-service/consultative-councils/council- obstetric-paediatric-mortality/perinatal-data-collection</w:t>
      </w:r>
    </w:p>
    <w:p w14:paraId="44715BAD" w14:textId="77777777" w:rsidR="008C6D7D" w:rsidRPr="008C6D7D" w:rsidRDefault="008C6D7D" w:rsidP="008C6D7D">
      <w:pPr>
        <w:rPr>
          <w:rFonts w:ascii="Arial" w:hAnsi="Arial" w:cs="Arial"/>
          <w:sz w:val="24"/>
        </w:rPr>
      </w:pPr>
      <w:r w:rsidRPr="008C6D7D">
        <w:rPr>
          <w:rFonts w:ascii="Arial" w:hAnsi="Arial" w:cs="Arial"/>
          <w:sz w:val="24"/>
        </w:rPr>
        <w:t>Department of Health and Human Services. (Internal analysis). Victorian adolescents in care. Melbourne: State of Victoria.</w:t>
      </w:r>
    </w:p>
    <w:p w14:paraId="4BD6D982" w14:textId="77777777" w:rsidR="008C6D7D" w:rsidRPr="008C6D7D" w:rsidRDefault="008C6D7D" w:rsidP="008C6D7D">
      <w:pPr>
        <w:rPr>
          <w:rFonts w:ascii="Arial" w:hAnsi="Arial" w:cs="Arial"/>
          <w:sz w:val="24"/>
        </w:rPr>
      </w:pPr>
      <w:r w:rsidRPr="008C6D7D">
        <w:rPr>
          <w:rFonts w:ascii="Arial" w:hAnsi="Arial" w:cs="Arial"/>
          <w:sz w:val="24"/>
        </w:rPr>
        <w:t>Department of Premier and Cabinet. (2018). Victorian Aboriginal Affairs Framework 2018-23. Melbourne: State of Victoria.</w:t>
      </w:r>
    </w:p>
    <w:p w14:paraId="0C632C04" w14:textId="77777777" w:rsidR="008C6D7D" w:rsidRPr="008C6D7D" w:rsidRDefault="008C6D7D" w:rsidP="008C6D7D">
      <w:pPr>
        <w:rPr>
          <w:rFonts w:ascii="Arial" w:hAnsi="Arial" w:cs="Arial"/>
          <w:sz w:val="24"/>
        </w:rPr>
      </w:pPr>
      <w:r w:rsidRPr="008C6D7D">
        <w:rPr>
          <w:rFonts w:ascii="Arial" w:hAnsi="Arial" w:cs="Arial"/>
          <w:sz w:val="24"/>
        </w:rPr>
        <w:t>DeSmet, A., Bastiaensens, S., Van Cleemput, K., &amp; Poels,</w:t>
      </w:r>
      <w:r>
        <w:rPr>
          <w:rFonts w:ascii="Arial" w:hAnsi="Arial" w:cs="Arial"/>
          <w:sz w:val="24"/>
        </w:rPr>
        <w:t xml:space="preserve"> </w:t>
      </w:r>
      <w:r w:rsidRPr="008C6D7D">
        <w:rPr>
          <w:rFonts w:ascii="Arial" w:hAnsi="Arial" w:cs="Arial"/>
          <w:sz w:val="24"/>
        </w:rPr>
        <w:t>K. (2016). Deciding whether to look after them, to like it, or leave it: a multidimensional analysis of predictors of positive and negative bystander behavior in cyberbullying among adolescents. Computers in Human Behavior, 57, 398–415.</w:t>
      </w:r>
    </w:p>
    <w:p w14:paraId="539C5C7C" w14:textId="77777777" w:rsidR="008C6D7D" w:rsidRPr="008C6D7D" w:rsidRDefault="008C6D7D" w:rsidP="008C6D7D">
      <w:pPr>
        <w:rPr>
          <w:rFonts w:ascii="Arial" w:hAnsi="Arial" w:cs="Arial"/>
          <w:sz w:val="24"/>
        </w:rPr>
      </w:pPr>
      <w:r w:rsidRPr="008C6D7D">
        <w:rPr>
          <w:rFonts w:ascii="Arial" w:hAnsi="Arial" w:cs="Arial"/>
          <w:sz w:val="24"/>
        </w:rPr>
        <w:t>Dessaix, A., Maag, A., McKenzie, J., &amp; Currow, D. C. (2016). Factors influencing reductions in smoking among Australian adolescents. Public Health Research &amp; Practice, 26(1), e2611605.</w:t>
      </w:r>
    </w:p>
    <w:p w14:paraId="3094E261" w14:textId="77777777" w:rsidR="008C6D7D" w:rsidRPr="008C6D7D" w:rsidRDefault="008C6D7D" w:rsidP="008C6D7D">
      <w:pPr>
        <w:rPr>
          <w:rFonts w:ascii="Arial" w:hAnsi="Arial" w:cs="Arial"/>
          <w:sz w:val="24"/>
        </w:rPr>
      </w:pPr>
      <w:r w:rsidRPr="008C6D7D">
        <w:rPr>
          <w:rFonts w:ascii="Arial" w:hAnsi="Arial" w:cs="Arial"/>
          <w:sz w:val="24"/>
        </w:rPr>
        <w:t>Dornbusch, S., Erickson, K., Laird, J., &amp; Wong, C. (2001). The relation of family and school attachment to adolescent deviance in diverse groups and communities. Journal of Adolescent Research, 16, 396-422.</w:t>
      </w:r>
    </w:p>
    <w:p w14:paraId="5ABD7B34" w14:textId="77777777" w:rsidR="008C6D7D" w:rsidRPr="008C6D7D" w:rsidRDefault="008C6D7D" w:rsidP="008C6D7D">
      <w:pPr>
        <w:rPr>
          <w:rFonts w:ascii="Arial" w:hAnsi="Arial" w:cs="Arial"/>
          <w:sz w:val="24"/>
        </w:rPr>
      </w:pPr>
      <w:r w:rsidRPr="008C6D7D">
        <w:rPr>
          <w:rFonts w:ascii="Arial" w:hAnsi="Arial" w:cs="Arial"/>
          <w:sz w:val="24"/>
        </w:rPr>
        <w:t>Dowling, N., Shandley, K., Oldenhof, E., Youssef, G., Thomas, S., Frydenberg, E., &amp; Jackson, A. (2016). The intergenerational transmission of problem gambling: The mediating role of parental psychopathology. Addictive behaviors, 59, 12-17.</w:t>
      </w:r>
    </w:p>
    <w:p w14:paraId="322C5D2C" w14:textId="77777777" w:rsidR="008C6D7D" w:rsidRPr="008C6D7D" w:rsidRDefault="008C6D7D" w:rsidP="008C6D7D">
      <w:pPr>
        <w:rPr>
          <w:rFonts w:ascii="Arial" w:hAnsi="Arial" w:cs="Arial"/>
          <w:sz w:val="24"/>
        </w:rPr>
      </w:pPr>
      <w:r w:rsidRPr="008C6D7D">
        <w:rPr>
          <w:rFonts w:ascii="Arial" w:hAnsi="Arial" w:cs="Arial"/>
          <w:sz w:val="24"/>
        </w:rPr>
        <w:t>Dworsky, A., Napolitano, L., &amp; Courtney, M. (2013). Homelessness and the transition from foster care to adulthood. American Journal of Public Health, 103 (2), 23-56.</w:t>
      </w:r>
    </w:p>
    <w:p w14:paraId="6AFF2E4F" w14:textId="77777777" w:rsidR="008C6D7D" w:rsidRPr="008C6D7D" w:rsidRDefault="008C6D7D" w:rsidP="008C6D7D">
      <w:pPr>
        <w:rPr>
          <w:rFonts w:ascii="Arial" w:hAnsi="Arial" w:cs="Arial"/>
          <w:sz w:val="24"/>
        </w:rPr>
      </w:pPr>
      <w:r w:rsidRPr="008C6D7D">
        <w:rPr>
          <w:rFonts w:ascii="Arial" w:hAnsi="Arial" w:cs="Arial"/>
          <w:sz w:val="24"/>
        </w:rPr>
        <w:lastRenderedPageBreak/>
        <w:t>Eating Disorders Victoria. (2019). Eating Disorders A-Z: Key Research and Statistics. Retrieved September 18, 2019, from https://www.eatingdisorders.org.au/eating-disorders-a-z/ eating-disorder-statistics-and-key-research/</w:t>
      </w:r>
    </w:p>
    <w:p w14:paraId="5AA077EC" w14:textId="77777777" w:rsidR="008C6D7D" w:rsidRPr="008C6D7D" w:rsidRDefault="008C6D7D" w:rsidP="008C6D7D">
      <w:pPr>
        <w:rPr>
          <w:rFonts w:ascii="Arial" w:hAnsi="Arial" w:cs="Arial"/>
          <w:sz w:val="24"/>
        </w:rPr>
      </w:pPr>
      <w:r w:rsidRPr="008C6D7D">
        <w:rPr>
          <w:rFonts w:ascii="Arial" w:hAnsi="Arial" w:cs="Arial"/>
          <w:sz w:val="24"/>
        </w:rPr>
        <w:t>Education Services Australia. (2019). Australian Student Wellbeing Framework. Canberra: Australian Government Department of Education and Training. Retrieved from https://studentwellbeinghub.edu.au/media/9310/ aswf_booklet.pdf</w:t>
      </w:r>
    </w:p>
    <w:p w14:paraId="59256FE0" w14:textId="77777777" w:rsidR="008C6D7D" w:rsidRPr="008C6D7D" w:rsidRDefault="008C6D7D" w:rsidP="008C6D7D">
      <w:pPr>
        <w:rPr>
          <w:rFonts w:ascii="Arial" w:hAnsi="Arial" w:cs="Arial"/>
          <w:sz w:val="24"/>
        </w:rPr>
      </w:pPr>
      <w:r w:rsidRPr="008C6D7D">
        <w:rPr>
          <w:rFonts w:ascii="Arial" w:hAnsi="Arial" w:cs="Arial"/>
          <w:sz w:val="24"/>
        </w:rPr>
        <w:t>Erskine, H. E., Moffitt, T. E., Copeland, W. E., Costello, E. J., Ferrari, A. J., Patton, G. et al. (2015). A heavy burden on young minds: the global burden of mental and substance use disorders in children and youth. Psychological Medicine, 45(7), 1551-1563.</w:t>
      </w:r>
    </w:p>
    <w:p w14:paraId="0C41C7BC" w14:textId="77777777" w:rsidR="008C6D7D" w:rsidRPr="008C6D7D" w:rsidRDefault="008C6D7D" w:rsidP="008C6D7D">
      <w:pPr>
        <w:rPr>
          <w:rFonts w:ascii="Arial" w:hAnsi="Arial" w:cs="Arial"/>
          <w:sz w:val="24"/>
        </w:rPr>
      </w:pPr>
      <w:r w:rsidRPr="008C6D7D">
        <w:rPr>
          <w:rFonts w:ascii="Arial" w:hAnsi="Arial" w:cs="Arial"/>
          <w:sz w:val="24"/>
        </w:rPr>
        <w:t>Ferguson, P. D., &amp; Fraser, B. J. (1998). Changes in Learning Environment during the Transition from Primary to Secondary School. Learning Environments Research, 1, 369-383.</w:t>
      </w:r>
    </w:p>
    <w:p w14:paraId="5298253A" w14:textId="77777777" w:rsidR="008C6D7D" w:rsidRPr="008C6D7D" w:rsidRDefault="008C6D7D" w:rsidP="008C6D7D">
      <w:pPr>
        <w:rPr>
          <w:rFonts w:ascii="Arial" w:hAnsi="Arial" w:cs="Arial"/>
          <w:sz w:val="24"/>
        </w:rPr>
      </w:pPr>
      <w:r w:rsidRPr="008C6D7D">
        <w:rPr>
          <w:rFonts w:ascii="Arial" w:hAnsi="Arial" w:cs="Arial"/>
          <w:sz w:val="24"/>
        </w:rPr>
        <w:t>Finkelhor, D., Turner, H., Ormrod, R., &amp; Hamby, S. (2009). Children’s exposure to violence: A comprehensive national study. Washington, DC: United States Department of Justice.</w:t>
      </w:r>
    </w:p>
    <w:p w14:paraId="31D9092C" w14:textId="77777777" w:rsidR="008C6D7D" w:rsidRPr="008C6D7D" w:rsidRDefault="008C6D7D" w:rsidP="008C6D7D">
      <w:pPr>
        <w:rPr>
          <w:rFonts w:ascii="Arial" w:hAnsi="Arial" w:cs="Arial"/>
          <w:sz w:val="24"/>
        </w:rPr>
      </w:pPr>
      <w:r w:rsidRPr="008C6D7D">
        <w:rPr>
          <w:rFonts w:ascii="Arial" w:hAnsi="Arial" w:cs="Arial"/>
          <w:sz w:val="24"/>
        </w:rPr>
        <w:t>Firmin, C., &amp; Abbott, M. (2018). A route to safety: Using bus boarding data to identify roles for transport providers within contextual safeguarding systems. Children &amp; Society, 32(5), 381-392.</w:t>
      </w:r>
    </w:p>
    <w:p w14:paraId="6E41B46C" w14:textId="77777777" w:rsidR="008C6D7D" w:rsidRPr="008C6D7D" w:rsidRDefault="008C6D7D" w:rsidP="008C6D7D">
      <w:pPr>
        <w:rPr>
          <w:rFonts w:ascii="Arial" w:hAnsi="Arial" w:cs="Arial"/>
          <w:sz w:val="24"/>
        </w:rPr>
      </w:pPr>
      <w:r w:rsidRPr="008C6D7D">
        <w:rPr>
          <w:rFonts w:ascii="Arial" w:hAnsi="Arial" w:cs="Arial"/>
          <w:sz w:val="24"/>
        </w:rPr>
        <w:t>Fisher, C. M., Waling, A., Kerr, L., Bellamy, R., Ezer, P., Mikolajczak, G. et al. (2019). 6th National Survey of Australian Secondary Students and Sexual Health 2018, ARCSHS Monograph Series No. 113. Bundoora: Australian Research Centre in Sex, Health &amp; Society, La Trobe University.</w:t>
      </w:r>
    </w:p>
    <w:p w14:paraId="69B39276" w14:textId="77777777" w:rsidR="008C6D7D" w:rsidRPr="008C6D7D" w:rsidRDefault="008C6D7D" w:rsidP="008C6D7D">
      <w:pPr>
        <w:rPr>
          <w:rFonts w:ascii="Arial" w:hAnsi="Arial" w:cs="Arial"/>
          <w:sz w:val="24"/>
        </w:rPr>
      </w:pPr>
      <w:r w:rsidRPr="008C6D7D">
        <w:rPr>
          <w:rFonts w:ascii="Arial" w:hAnsi="Arial" w:cs="Arial"/>
          <w:sz w:val="24"/>
        </w:rPr>
        <w:t>Ford, R., King, T., Priest, N., &amp; Kavanagh, A. (2017).</w:t>
      </w:r>
      <w:r>
        <w:rPr>
          <w:rFonts w:ascii="Arial" w:hAnsi="Arial" w:cs="Arial"/>
          <w:sz w:val="24"/>
        </w:rPr>
        <w:t xml:space="preserve"> </w:t>
      </w:r>
      <w:r w:rsidRPr="008C6D7D">
        <w:rPr>
          <w:rFonts w:ascii="Arial" w:hAnsi="Arial" w:cs="Arial"/>
          <w:sz w:val="24"/>
        </w:rPr>
        <w:t>Bullying and mental health and suicidal behaviour among 14- to 15-year-olds in a representative sample of Australian children. Australian and New Zealand Journal of Psychiatry, 51(9), 897-908.</w:t>
      </w:r>
    </w:p>
    <w:p w14:paraId="2906A331" w14:textId="77777777" w:rsidR="008C6D7D" w:rsidRPr="008C6D7D" w:rsidRDefault="008C6D7D" w:rsidP="008C6D7D">
      <w:pPr>
        <w:rPr>
          <w:rFonts w:ascii="Arial" w:hAnsi="Arial" w:cs="Arial"/>
          <w:sz w:val="24"/>
        </w:rPr>
      </w:pPr>
      <w:r w:rsidRPr="008C6D7D">
        <w:rPr>
          <w:rFonts w:ascii="Arial" w:hAnsi="Arial" w:cs="Arial"/>
          <w:sz w:val="24"/>
        </w:rPr>
        <w:t>Francis, K., Boyd, C., Aisbett, D., Newnham, K., &amp; Newnham,</w:t>
      </w:r>
      <w:r>
        <w:rPr>
          <w:rFonts w:ascii="Arial" w:hAnsi="Arial" w:cs="Arial"/>
          <w:sz w:val="24"/>
        </w:rPr>
        <w:t xml:space="preserve"> </w:t>
      </w:r>
      <w:r w:rsidRPr="008C6D7D">
        <w:rPr>
          <w:rFonts w:ascii="Arial" w:hAnsi="Arial" w:cs="Arial"/>
          <w:sz w:val="24"/>
        </w:rPr>
        <w:t>K. (2006). Rural adolescents’ attitudes to seeking help for mental health problems. Youth Studies Australia, 25(4), 42-49.</w:t>
      </w:r>
    </w:p>
    <w:p w14:paraId="7EAF5EF8" w14:textId="77777777" w:rsidR="008C6D7D" w:rsidRDefault="008C6D7D" w:rsidP="008C6D7D">
      <w:pPr>
        <w:rPr>
          <w:rFonts w:ascii="Arial" w:hAnsi="Arial" w:cs="Arial"/>
          <w:sz w:val="24"/>
        </w:rPr>
      </w:pPr>
      <w:r w:rsidRPr="008C6D7D">
        <w:rPr>
          <w:rFonts w:ascii="Arial" w:hAnsi="Arial" w:cs="Arial"/>
          <w:sz w:val="24"/>
        </w:rPr>
        <w:t>Franke, K. B., Hills, K., Huebner, E. S., &amp; Flory, K. (2019). Life Satisfaction in Adolescents with Autism Spectrum Disorder. Journal of Autism and Development</w:t>
      </w:r>
      <w:r>
        <w:rPr>
          <w:rFonts w:ascii="Arial" w:hAnsi="Arial" w:cs="Arial"/>
          <w:sz w:val="24"/>
        </w:rPr>
        <w:t>al Disorders, 49(3), 1205-1218.</w:t>
      </w:r>
    </w:p>
    <w:p w14:paraId="28DB5DEF" w14:textId="77777777" w:rsidR="008C6D7D" w:rsidRPr="008C6D7D" w:rsidRDefault="008C6D7D" w:rsidP="008C6D7D">
      <w:pPr>
        <w:rPr>
          <w:rFonts w:ascii="Arial" w:hAnsi="Arial" w:cs="Arial"/>
          <w:sz w:val="24"/>
        </w:rPr>
      </w:pPr>
      <w:r w:rsidRPr="008C6D7D">
        <w:rPr>
          <w:rFonts w:ascii="Arial" w:hAnsi="Arial" w:cs="Arial"/>
          <w:sz w:val="24"/>
        </w:rPr>
        <w:t xml:space="preserve">Freund, M., Noble, N., Hill, D., White, V., Evans, T., Oldmeadow, C., &amp; Sanson-Fisher, R. (2019). The prevalence and correlates of gambling in secondary school </w:t>
      </w:r>
      <w:r w:rsidRPr="008C6D7D">
        <w:rPr>
          <w:rFonts w:ascii="Arial" w:hAnsi="Arial" w:cs="Arial"/>
          <w:sz w:val="24"/>
        </w:rPr>
        <w:lastRenderedPageBreak/>
        <w:t>students in Victoria, Australia, 2017. Melbourne: Victorian Responsible Gambling Foundation.</w:t>
      </w:r>
    </w:p>
    <w:p w14:paraId="02AF6DD3" w14:textId="77777777" w:rsidR="008C6D7D" w:rsidRPr="008C6D7D" w:rsidRDefault="008C6D7D" w:rsidP="008C6D7D">
      <w:pPr>
        <w:rPr>
          <w:rFonts w:ascii="Arial" w:hAnsi="Arial" w:cs="Arial"/>
          <w:sz w:val="24"/>
        </w:rPr>
      </w:pPr>
      <w:r w:rsidRPr="008C6D7D">
        <w:rPr>
          <w:rFonts w:ascii="Arial" w:hAnsi="Arial" w:cs="Arial"/>
          <w:sz w:val="24"/>
        </w:rPr>
        <w:t>Friborg, O., Barlaug, D., Martinussen, M., Rosenvinge, J. H., &amp; Hjemdal, O. (2005). Resilience in relation to personality and intelligence. International Journal of Methods in Psychiatric Research, 14(1), 29-42.</w:t>
      </w:r>
    </w:p>
    <w:p w14:paraId="1F14DC85" w14:textId="77777777" w:rsidR="008C6D7D" w:rsidRPr="008C6D7D" w:rsidRDefault="008C6D7D" w:rsidP="008C6D7D">
      <w:pPr>
        <w:rPr>
          <w:rFonts w:ascii="Arial" w:hAnsi="Arial" w:cs="Arial"/>
          <w:sz w:val="24"/>
        </w:rPr>
      </w:pPr>
      <w:r w:rsidRPr="008C6D7D">
        <w:rPr>
          <w:rFonts w:ascii="Arial" w:hAnsi="Arial" w:cs="Arial"/>
          <w:sz w:val="24"/>
        </w:rPr>
        <w:t>Galton, M., Gray, J., &amp; Rudduck, J. (2003). Transfer and Transitions in the Middle Years of Schooling (7-14): Continuities and Discontinuities in Learning, Research Report</w:t>
      </w:r>
      <w:r>
        <w:rPr>
          <w:rFonts w:ascii="Arial" w:hAnsi="Arial" w:cs="Arial"/>
          <w:sz w:val="24"/>
        </w:rPr>
        <w:t xml:space="preserve"> </w:t>
      </w:r>
      <w:r w:rsidRPr="008C6D7D">
        <w:rPr>
          <w:rFonts w:ascii="Arial" w:hAnsi="Arial" w:cs="Arial"/>
          <w:sz w:val="24"/>
        </w:rPr>
        <w:t>443. Nottingham: Department for Education and Skills.</w:t>
      </w:r>
    </w:p>
    <w:p w14:paraId="7E5C9BE1" w14:textId="77777777" w:rsidR="008C6D7D" w:rsidRPr="008C6D7D" w:rsidRDefault="008C6D7D" w:rsidP="008C6D7D">
      <w:pPr>
        <w:rPr>
          <w:rFonts w:ascii="Arial" w:hAnsi="Arial" w:cs="Arial"/>
          <w:sz w:val="24"/>
        </w:rPr>
      </w:pPr>
      <w:r w:rsidRPr="008C6D7D">
        <w:rPr>
          <w:rFonts w:ascii="Arial" w:hAnsi="Arial" w:cs="Arial"/>
          <w:sz w:val="24"/>
        </w:rPr>
        <w:t>Gillies, D., Christou, M. A., Dixon, A. C., Featherston, O. J., Rapti, I., Garcia-Anguit, A. et al. (2018). Prevalence and Characteristics of Self-Harm in Adolescents: Meta-Analyses of Community-Based Studies 1990–2015. Journal of the American Academy of Child &amp; Adolescent Psychiatry, 57(10), 733-741.</w:t>
      </w:r>
    </w:p>
    <w:p w14:paraId="41D4F51C" w14:textId="77777777" w:rsidR="008C6D7D" w:rsidRPr="008C6D7D" w:rsidRDefault="008C6D7D" w:rsidP="008C6D7D">
      <w:pPr>
        <w:rPr>
          <w:rFonts w:ascii="Arial" w:hAnsi="Arial" w:cs="Arial"/>
          <w:sz w:val="24"/>
        </w:rPr>
      </w:pPr>
      <w:r w:rsidRPr="008C6D7D">
        <w:rPr>
          <w:rFonts w:ascii="Arial" w:hAnsi="Arial" w:cs="Arial"/>
          <w:sz w:val="24"/>
        </w:rPr>
        <w:t>Gottfried, M. A. (2009). Excused versus Unexcused: How Student Absences in Elementary School Affect Academic Achievement. Educational Evaluation and Policy Analysis, 31(4), 392-415.</w:t>
      </w:r>
    </w:p>
    <w:p w14:paraId="21CBFC14" w14:textId="77777777" w:rsidR="008C6D7D" w:rsidRPr="008C6D7D" w:rsidRDefault="008C6D7D" w:rsidP="008C6D7D">
      <w:pPr>
        <w:rPr>
          <w:rFonts w:ascii="Arial" w:hAnsi="Arial" w:cs="Arial"/>
          <w:sz w:val="24"/>
        </w:rPr>
      </w:pPr>
      <w:r w:rsidRPr="008C6D7D">
        <w:rPr>
          <w:rFonts w:ascii="Arial" w:hAnsi="Arial" w:cs="Arial"/>
          <w:sz w:val="24"/>
        </w:rPr>
        <w:t>Grace, R., Hodge, K., &amp; McMahon, C. (2017). Children, families and communities. (5 ed.). South Melbourne: Oxford University Press.</w:t>
      </w:r>
    </w:p>
    <w:p w14:paraId="29925AFE" w14:textId="77777777" w:rsidR="008C6D7D" w:rsidRPr="008C6D7D" w:rsidRDefault="008C6D7D" w:rsidP="008C6D7D">
      <w:pPr>
        <w:rPr>
          <w:rFonts w:ascii="Arial" w:hAnsi="Arial" w:cs="Arial"/>
          <w:sz w:val="24"/>
        </w:rPr>
      </w:pPr>
      <w:r w:rsidRPr="008C6D7D">
        <w:rPr>
          <w:rFonts w:ascii="Arial" w:hAnsi="Arial" w:cs="Arial"/>
          <w:sz w:val="24"/>
        </w:rPr>
        <w:t>Graham, S., Courtney, L., Tonkyn, A., &amp; Marinis, T. (2016). Motivational trajectories for early language learning across the primary– secondary school transition. British Educational Research Journal, 42(4), 682-702.</w:t>
      </w:r>
    </w:p>
    <w:p w14:paraId="6EB97FF0" w14:textId="77777777" w:rsidR="008C6D7D" w:rsidRPr="008C6D7D" w:rsidRDefault="008C6D7D" w:rsidP="008C6D7D">
      <w:pPr>
        <w:rPr>
          <w:rFonts w:ascii="Arial" w:hAnsi="Arial" w:cs="Arial"/>
          <w:sz w:val="24"/>
        </w:rPr>
      </w:pPr>
      <w:r w:rsidRPr="008C6D7D">
        <w:rPr>
          <w:rFonts w:ascii="Arial" w:hAnsi="Arial" w:cs="Arial"/>
          <w:sz w:val="24"/>
        </w:rPr>
        <w:t>Guerin, N., &amp; White, V. (2018). ASSAD 2017 Statistics &amp; Trends: Australian Secondary School Students' Use of Tobacco, Alcohol, Over-the-Counter Drugs, and Illicit Substances.</w:t>
      </w:r>
      <w:r>
        <w:rPr>
          <w:rFonts w:ascii="Arial" w:hAnsi="Arial" w:cs="Arial"/>
          <w:sz w:val="24"/>
        </w:rPr>
        <w:t xml:space="preserve"> </w:t>
      </w:r>
      <w:r w:rsidRPr="008C6D7D">
        <w:rPr>
          <w:rFonts w:ascii="Arial" w:hAnsi="Arial" w:cs="Arial"/>
          <w:sz w:val="24"/>
        </w:rPr>
        <w:t>Melbourne: Cancer Council Victoria.</w:t>
      </w:r>
    </w:p>
    <w:p w14:paraId="5D6E06D5" w14:textId="77777777" w:rsidR="008C6D7D" w:rsidRPr="008C6D7D" w:rsidRDefault="008C6D7D" w:rsidP="008C6D7D">
      <w:pPr>
        <w:rPr>
          <w:rFonts w:ascii="Arial" w:hAnsi="Arial" w:cs="Arial"/>
          <w:sz w:val="24"/>
        </w:rPr>
      </w:pPr>
      <w:r w:rsidRPr="008C6D7D">
        <w:rPr>
          <w:rFonts w:ascii="Arial" w:hAnsi="Arial" w:cs="Arial"/>
          <w:sz w:val="24"/>
        </w:rPr>
        <w:t>Haller, S. P., Bang, D., Bahrami, B., &amp; Lau, J. Y. (2018). Group decision-making is optimal in adolescence. Scientific Reports, 8, Article 15565.</w:t>
      </w:r>
    </w:p>
    <w:p w14:paraId="610901E7" w14:textId="77777777" w:rsidR="008C6D7D" w:rsidRPr="008C6D7D" w:rsidRDefault="008C6D7D" w:rsidP="008C6D7D">
      <w:pPr>
        <w:rPr>
          <w:rFonts w:ascii="Arial" w:hAnsi="Arial" w:cs="Arial"/>
          <w:sz w:val="24"/>
        </w:rPr>
      </w:pPr>
      <w:r w:rsidRPr="008C6D7D">
        <w:rPr>
          <w:rFonts w:ascii="Arial" w:hAnsi="Arial" w:cs="Arial"/>
          <w:sz w:val="24"/>
        </w:rPr>
        <w:t>Hancock, K. J., Shepherd, C. C., Lawrence, D., &amp; Zubrick, S.R. (2013). Student attendance and educational outcomes: Every day counts. Canberra: Department of Education, Employment and Workplace Relations.</w:t>
      </w:r>
    </w:p>
    <w:p w14:paraId="319AE3AB" w14:textId="77777777" w:rsidR="008C6D7D" w:rsidRPr="008C6D7D" w:rsidRDefault="008C6D7D" w:rsidP="008C6D7D">
      <w:pPr>
        <w:rPr>
          <w:rFonts w:ascii="Arial" w:hAnsi="Arial" w:cs="Arial"/>
          <w:sz w:val="24"/>
        </w:rPr>
      </w:pPr>
      <w:r w:rsidRPr="008C6D7D">
        <w:rPr>
          <w:rFonts w:ascii="Arial" w:hAnsi="Arial" w:cs="Arial"/>
          <w:sz w:val="24"/>
        </w:rPr>
        <w:t>Hannigan, L. J., Pingault, J. B., Krapohl, E., McAdams, T. A., Rijsdijk, F. V., &amp; Eley, T. C. (2018). Genetics of co-developing conduct and emotional problems during childhood and adolescence. Nature Human Behaviour, 2, 514-521.</w:t>
      </w:r>
    </w:p>
    <w:p w14:paraId="1E1CEE6A" w14:textId="77777777" w:rsidR="008C6D7D" w:rsidRPr="008C6D7D" w:rsidRDefault="008C6D7D" w:rsidP="008C6D7D">
      <w:pPr>
        <w:rPr>
          <w:rFonts w:ascii="Arial" w:hAnsi="Arial" w:cs="Arial"/>
          <w:sz w:val="24"/>
        </w:rPr>
      </w:pPr>
      <w:r w:rsidRPr="008C6D7D">
        <w:rPr>
          <w:rFonts w:ascii="Arial" w:hAnsi="Arial" w:cs="Arial"/>
          <w:sz w:val="24"/>
        </w:rPr>
        <w:t>Harriss, L., &amp; Hawton, K. (2011). Deliberate self-harm in rural and urban regions: A comparative study of prevalence and patient characteristics. Social Science &amp; Medicine, 73, 274-281.</w:t>
      </w:r>
    </w:p>
    <w:p w14:paraId="56F3236F" w14:textId="77777777" w:rsidR="008C6D7D" w:rsidRPr="008C6D7D" w:rsidRDefault="008C6D7D" w:rsidP="008C6D7D">
      <w:pPr>
        <w:rPr>
          <w:rFonts w:ascii="Arial" w:hAnsi="Arial" w:cs="Arial"/>
          <w:sz w:val="24"/>
        </w:rPr>
      </w:pPr>
      <w:r w:rsidRPr="008C6D7D">
        <w:rPr>
          <w:rFonts w:ascii="Arial" w:hAnsi="Arial" w:cs="Arial"/>
          <w:sz w:val="24"/>
        </w:rPr>
        <w:lastRenderedPageBreak/>
        <w:t>Heerde, J. A., &amp; Hemphill, S. A. (2018). Are Bullying Perpetration and Victimization Associated with Adolescent Deliberate</w:t>
      </w:r>
      <w:r>
        <w:rPr>
          <w:rFonts w:ascii="Arial" w:hAnsi="Arial" w:cs="Arial"/>
          <w:sz w:val="24"/>
        </w:rPr>
        <w:t xml:space="preserve"> </w:t>
      </w:r>
      <w:r w:rsidRPr="008C6D7D">
        <w:rPr>
          <w:rFonts w:ascii="Arial" w:hAnsi="Arial" w:cs="Arial"/>
          <w:sz w:val="24"/>
        </w:rPr>
        <w:t>Self-Harm? A Meta-Analysis. Archives of Suicide Research, 23(3), 353.</w:t>
      </w:r>
    </w:p>
    <w:p w14:paraId="48A34BBD" w14:textId="77777777" w:rsidR="008C6D7D" w:rsidRPr="008C6D7D" w:rsidRDefault="008C6D7D" w:rsidP="008C6D7D">
      <w:pPr>
        <w:rPr>
          <w:rFonts w:ascii="Arial" w:hAnsi="Arial" w:cs="Arial"/>
          <w:sz w:val="24"/>
        </w:rPr>
      </w:pPr>
      <w:r w:rsidRPr="008C6D7D">
        <w:rPr>
          <w:rFonts w:ascii="Arial" w:hAnsi="Arial" w:cs="Arial"/>
          <w:sz w:val="24"/>
        </w:rPr>
        <w:t>Heerde, J. A., Toumbourou, J. W., Hemphill, S. A., Herrenkohl, T. I., Patton, G. C., &amp; Catalano, G. C. (2015). Incidence and Course of Adolescent Deliberate Self-Harm in Victoria, Australia, and Washington State. Journal of Adolescent Health, 57, 537-544.</w:t>
      </w:r>
    </w:p>
    <w:p w14:paraId="3B9D7983" w14:textId="77777777" w:rsidR="008C6D7D" w:rsidRPr="008C6D7D" w:rsidRDefault="008C6D7D" w:rsidP="008C6D7D">
      <w:pPr>
        <w:rPr>
          <w:rFonts w:ascii="Arial" w:hAnsi="Arial" w:cs="Arial"/>
          <w:sz w:val="24"/>
        </w:rPr>
      </w:pPr>
      <w:r w:rsidRPr="008C6D7D">
        <w:rPr>
          <w:rFonts w:ascii="Arial" w:hAnsi="Arial" w:cs="Arial"/>
          <w:sz w:val="24"/>
        </w:rPr>
        <w:t>Hildyard, K. L., &amp; Wolfe, D. A. (2002). Child neglect: Developmental issues and outcomes. Child Abuse &amp; Neglect, 26, 679-695.</w:t>
      </w:r>
    </w:p>
    <w:p w14:paraId="234B66FD" w14:textId="77777777" w:rsidR="008C6D7D" w:rsidRPr="008C6D7D" w:rsidRDefault="008C6D7D" w:rsidP="008C6D7D">
      <w:pPr>
        <w:rPr>
          <w:rFonts w:ascii="Arial" w:hAnsi="Arial" w:cs="Arial"/>
          <w:sz w:val="24"/>
        </w:rPr>
      </w:pPr>
      <w:r w:rsidRPr="008C6D7D">
        <w:rPr>
          <w:rFonts w:ascii="Arial" w:hAnsi="Arial" w:cs="Arial"/>
          <w:sz w:val="24"/>
        </w:rPr>
        <w:t>Hjemdal, O., Friborg, O., Stiles, T. C., Martinussen, M., &amp; Rosenvinge, J. H. (2006). A New Scale for Adolescent Resilience: Grasping the Central Protective Resources Behind Healthy Development. Measurement and Evaluation in Counseling and Development, 39(2), 84-96.</w:t>
      </w:r>
    </w:p>
    <w:p w14:paraId="1EBACDEE" w14:textId="77777777" w:rsidR="008C6D7D" w:rsidRPr="008C6D7D" w:rsidRDefault="008C6D7D" w:rsidP="008C6D7D">
      <w:pPr>
        <w:rPr>
          <w:rFonts w:ascii="Arial" w:hAnsi="Arial" w:cs="Arial"/>
          <w:sz w:val="24"/>
        </w:rPr>
      </w:pPr>
      <w:r w:rsidRPr="008C6D7D">
        <w:rPr>
          <w:rFonts w:ascii="Arial" w:hAnsi="Arial" w:cs="Arial"/>
          <w:sz w:val="24"/>
        </w:rPr>
        <w:t>Hung, C. Y. (2014). The Crisis of Disengagement: A Discussion on Motivation Change and Maintenance Across the Primary- Secondary School Transition. Multidisciplinary Journal of Educational, 4(1), 70-100.</w:t>
      </w:r>
    </w:p>
    <w:p w14:paraId="7F7AEB04" w14:textId="77777777" w:rsidR="008C6D7D" w:rsidRPr="008C6D7D" w:rsidRDefault="008C6D7D" w:rsidP="008C6D7D">
      <w:pPr>
        <w:rPr>
          <w:rFonts w:ascii="Arial" w:hAnsi="Arial" w:cs="Arial"/>
          <w:sz w:val="24"/>
        </w:rPr>
      </w:pPr>
      <w:r w:rsidRPr="008C6D7D">
        <w:rPr>
          <w:rFonts w:ascii="Arial" w:hAnsi="Arial" w:cs="Arial"/>
          <w:sz w:val="24"/>
        </w:rPr>
        <w:t>Hunter, C. (2012). Is resilience still a useful concept when working with children and young people? Canberra: Australian Institute of Family Studies.</w:t>
      </w:r>
    </w:p>
    <w:p w14:paraId="2996E434" w14:textId="77777777" w:rsidR="008C6D7D" w:rsidRPr="008C6D7D" w:rsidRDefault="008C6D7D" w:rsidP="008C6D7D">
      <w:pPr>
        <w:rPr>
          <w:rFonts w:ascii="Arial" w:hAnsi="Arial" w:cs="Arial"/>
          <w:sz w:val="24"/>
        </w:rPr>
      </w:pPr>
      <w:r w:rsidRPr="008C6D7D">
        <w:rPr>
          <w:rFonts w:ascii="Arial" w:hAnsi="Arial" w:cs="Arial"/>
          <w:sz w:val="24"/>
        </w:rPr>
        <w:t>Iskra, W., Deane, F. P., Wahlin, T., &amp; Davis, E. L. (2018). Parental perceptions of barriers to mental health services for young people. Early Intervention in Psychiatry, 12, 125-134.</w:t>
      </w:r>
    </w:p>
    <w:p w14:paraId="1CBD5A29" w14:textId="77777777" w:rsidR="008C6D7D" w:rsidRPr="008C6D7D" w:rsidRDefault="008C6D7D" w:rsidP="008C6D7D">
      <w:pPr>
        <w:rPr>
          <w:rFonts w:ascii="Arial" w:hAnsi="Arial" w:cs="Arial"/>
          <w:sz w:val="24"/>
        </w:rPr>
      </w:pPr>
      <w:r w:rsidRPr="008C6D7D">
        <w:rPr>
          <w:rFonts w:ascii="Arial" w:hAnsi="Arial" w:cs="Arial"/>
          <w:sz w:val="24"/>
        </w:rPr>
        <w:t>Jacka, J. N., Kremer, P. J., Berk, M., Silvia-Sanigorski, A. M., Moodie, M., Leslie, E. R. et al. (2011). A Prospective Study of Diet Quality and Mental Health in Adolescents. PLOS One, 6(9), e24805.</w:t>
      </w:r>
    </w:p>
    <w:p w14:paraId="2738A45F" w14:textId="77777777" w:rsidR="008C6D7D" w:rsidRPr="008C6D7D" w:rsidRDefault="008C6D7D" w:rsidP="008C6D7D">
      <w:pPr>
        <w:rPr>
          <w:rFonts w:ascii="Arial" w:hAnsi="Arial" w:cs="Arial"/>
          <w:sz w:val="24"/>
        </w:rPr>
      </w:pPr>
      <w:r w:rsidRPr="008C6D7D">
        <w:rPr>
          <w:rFonts w:ascii="Arial" w:hAnsi="Arial" w:cs="Arial"/>
          <w:sz w:val="24"/>
        </w:rPr>
        <w:t>Jennings, W. G., Piquero, A. R., &amp; Reingle, J. M. (2012). On the overlap between victimization and offending: A review of the literature. Aggression and Violent Behavior, 17, 16-26.</w:t>
      </w:r>
    </w:p>
    <w:p w14:paraId="4306A34F" w14:textId="77777777" w:rsidR="008C6D7D" w:rsidRPr="008C6D7D" w:rsidRDefault="008C6D7D" w:rsidP="008C6D7D">
      <w:pPr>
        <w:rPr>
          <w:rFonts w:ascii="Arial" w:hAnsi="Arial" w:cs="Arial"/>
          <w:sz w:val="24"/>
        </w:rPr>
      </w:pPr>
      <w:r w:rsidRPr="008C6D7D">
        <w:rPr>
          <w:rFonts w:ascii="Arial" w:hAnsi="Arial" w:cs="Arial"/>
          <w:sz w:val="24"/>
        </w:rPr>
        <w:t>Justman, M., &amp; Méndez, S. J. (2016). Gendered Selection of STEM Subjects for Matriculation, Melbourne Institute Working Paper No.10/16. Parkville: University of Melbourne.</w:t>
      </w:r>
    </w:p>
    <w:p w14:paraId="70B3DC85" w14:textId="77777777" w:rsidR="008C6D7D" w:rsidRPr="008C6D7D" w:rsidRDefault="008C6D7D" w:rsidP="008C6D7D">
      <w:pPr>
        <w:rPr>
          <w:rFonts w:ascii="Arial" w:hAnsi="Arial" w:cs="Arial"/>
          <w:sz w:val="24"/>
        </w:rPr>
      </w:pPr>
      <w:r w:rsidRPr="008C6D7D">
        <w:rPr>
          <w:rFonts w:ascii="Arial" w:hAnsi="Arial" w:cs="Arial"/>
          <w:sz w:val="24"/>
        </w:rPr>
        <w:t>Kandasamy, N., McClellan, M., &amp; Corrales, T. (2016). Children in Care Report Card. Melbourne: Anglicare Victoria.</w:t>
      </w:r>
    </w:p>
    <w:p w14:paraId="3F1FDDD1" w14:textId="77777777" w:rsidR="008C6D7D" w:rsidRPr="008C6D7D" w:rsidRDefault="008C6D7D" w:rsidP="008C6D7D">
      <w:pPr>
        <w:rPr>
          <w:rFonts w:ascii="Arial" w:hAnsi="Arial" w:cs="Arial"/>
          <w:sz w:val="24"/>
        </w:rPr>
      </w:pPr>
      <w:r w:rsidRPr="008C6D7D">
        <w:rPr>
          <w:rFonts w:ascii="Arial" w:hAnsi="Arial" w:cs="Arial"/>
          <w:sz w:val="24"/>
        </w:rPr>
        <w:t>Keating, D. P., &amp; Hertzman, C. (1999). Developmental health and the wealth of nations: Social, biological, and educational dynamics. New York: The Guilford Press.</w:t>
      </w:r>
    </w:p>
    <w:p w14:paraId="448D6C5F" w14:textId="77777777" w:rsidR="008C6D7D" w:rsidRPr="008C6D7D" w:rsidRDefault="008C6D7D" w:rsidP="008C6D7D">
      <w:pPr>
        <w:rPr>
          <w:rFonts w:ascii="Arial" w:hAnsi="Arial" w:cs="Arial"/>
          <w:sz w:val="24"/>
        </w:rPr>
      </w:pPr>
      <w:r w:rsidRPr="008C6D7D">
        <w:rPr>
          <w:rFonts w:ascii="Arial" w:hAnsi="Arial" w:cs="Arial"/>
          <w:sz w:val="24"/>
        </w:rPr>
        <w:t>Kelley, B., Thornberry, T., &amp; Smith, C. (1997). In the wake of childhood violence. Washington, DC: National Institute of Justice.</w:t>
      </w:r>
    </w:p>
    <w:p w14:paraId="0083635D" w14:textId="77777777" w:rsidR="008C6D7D" w:rsidRPr="008C6D7D" w:rsidRDefault="008C6D7D" w:rsidP="008C6D7D">
      <w:pPr>
        <w:rPr>
          <w:rFonts w:ascii="Arial" w:hAnsi="Arial" w:cs="Arial"/>
          <w:sz w:val="24"/>
        </w:rPr>
      </w:pPr>
      <w:r w:rsidRPr="008C6D7D">
        <w:rPr>
          <w:rFonts w:ascii="Arial" w:hAnsi="Arial" w:cs="Arial"/>
          <w:sz w:val="24"/>
        </w:rPr>
        <w:lastRenderedPageBreak/>
        <w:t>King, T., Aitken, Z., Milner, A., Emerson, E., Priest, N., Karahalios,</w:t>
      </w:r>
      <w:r>
        <w:rPr>
          <w:rFonts w:ascii="Arial" w:hAnsi="Arial" w:cs="Arial"/>
          <w:sz w:val="24"/>
        </w:rPr>
        <w:t xml:space="preserve"> </w:t>
      </w:r>
      <w:r w:rsidRPr="008C6D7D">
        <w:rPr>
          <w:rFonts w:ascii="Arial" w:hAnsi="Arial" w:cs="Arial"/>
          <w:sz w:val="24"/>
        </w:rPr>
        <w:t>A. et al. (2018). To what extent is the association between disability and mental health mediated by bullying? A causal mediation analysis. International Journal of Epidemiology, 47(5), 1402-1413.</w:t>
      </w:r>
    </w:p>
    <w:p w14:paraId="4B879B03" w14:textId="77777777" w:rsidR="008C6D7D" w:rsidRPr="008C6D7D" w:rsidRDefault="008C6D7D" w:rsidP="008C6D7D">
      <w:pPr>
        <w:rPr>
          <w:rFonts w:ascii="Arial" w:hAnsi="Arial" w:cs="Arial"/>
          <w:sz w:val="24"/>
        </w:rPr>
      </w:pPr>
      <w:r w:rsidRPr="008C6D7D">
        <w:rPr>
          <w:rFonts w:ascii="Arial" w:hAnsi="Arial" w:cs="Arial"/>
          <w:sz w:val="24"/>
        </w:rPr>
        <w:t>Klonsky, E. D., Oltmanns, T. F., &amp; Turkheimer, E. (2003). Deliberate self-harm in a nonclinical population: Prevalence and psychological correlates. American Journal of Psychiatry, 160, 1501-1508.</w:t>
      </w:r>
    </w:p>
    <w:p w14:paraId="2C528CB9" w14:textId="77777777" w:rsidR="008C6D7D" w:rsidRPr="008C6D7D" w:rsidRDefault="008C6D7D" w:rsidP="008C6D7D">
      <w:pPr>
        <w:rPr>
          <w:rFonts w:ascii="Arial" w:hAnsi="Arial" w:cs="Arial"/>
          <w:sz w:val="24"/>
        </w:rPr>
      </w:pPr>
      <w:r w:rsidRPr="008C6D7D">
        <w:rPr>
          <w:rFonts w:ascii="Arial" w:hAnsi="Arial" w:cs="Arial"/>
          <w:sz w:val="24"/>
        </w:rPr>
        <w:t>Kowalski, R. M., Limber, S. P., &amp; McCord, A. (2019). A developmental approach to cyberbullying: Prevalence and protective factors. Aggression and Violent Behavior, 45, 20-32.</w:t>
      </w:r>
    </w:p>
    <w:p w14:paraId="75ED50D9" w14:textId="77777777" w:rsidR="008C6D7D" w:rsidRPr="008C6D7D" w:rsidRDefault="008C6D7D" w:rsidP="008C6D7D">
      <w:pPr>
        <w:rPr>
          <w:rFonts w:ascii="Arial" w:hAnsi="Arial" w:cs="Arial"/>
          <w:sz w:val="24"/>
        </w:rPr>
      </w:pPr>
      <w:r w:rsidRPr="008C6D7D">
        <w:rPr>
          <w:rFonts w:ascii="Arial" w:hAnsi="Arial" w:cs="Arial"/>
          <w:sz w:val="24"/>
        </w:rPr>
        <w:t>Laemmle-Ruff, I., O’Hehir, R., Ackland, M., &amp; Tang, M. L. (2013). Anaphylaxis: Identification, management and prevention. Australian Family Physician, 42(1), 38-42.</w:t>
      </w:r>
    </w:p>
    <w:p w14:paraId="2C438527" w14:textId="77777777" w:rsidR="008C6D7D" w:rsidRPr="008C6D7D" w:rsidRDefault="008C6D7D" w:rsidP="008C6D7D">
      <w:pPr>
        <w:rPr>
          <w:rFonts w:ascii="Arial" w:hAnsi="Arial" w:cs="Arial"/>
          <w:sz w:val="24"/>
        </w:rPr>
      </w:pPr>
      <w:r w:rsidRPr="008C6D7D">
        <w:rPr>
          <w:rFonts w:ascii="Arial" w:hAnsi="Arial" w:cs="Arial"/>
          <w:sz w:val="24"/>
        </w:rPr>
        <w:t>Lamb, S., &amp; Huo, S. (2017). Counting the costs of lost opportunity in Australian education, Mitchell Institute Report No. 02/2017. Melbourne: Centre for International Research on Education Systems.</w:t>
      </w:r>
    </w:p>
    <w:p w14:paraId="3557E76F" w14:textId="77777777" w:rsidR="008C6D7D" w:rsidRPr="008C6D7D" w:rsidRDefault="008C6D7D" w:rsidP="008C6D7D">
      <w:pPr>
        <w:rPr>
          <w:rFonts w:ascii="Arial" w:hAnsi="Arial" w:cs="Arial"/>
          <w:sz w:val="24"/>
        </w:rPr>
      </w:pPr>
      <w:r w:rsidRPr="008C6D7D">
        <w:rPr>
          <w:rFonts w:ascii="Arial" w:hAnsi="Arial" w:cs="Arial"/>
          <w:sz w:val="24"/>
        </w:rPr>
        <w:t>Lamb, S., Walstab, A., Teese, R., Vickers, M., &amp; Rumberger, R. (2004). Staying on at school: improving student retention in Australia. Brisbane: Queensland Department of Education and the Arts.</w:t>
      </w:r>
    </w:p>
    <w:p w14:paraId="085664FE" w14:textId="77777777" w:rsidR="008C6D7D" w:rsidRPr="008C6D7D" w:rsidRDefault="008C6D7D" w:rsidP="008C6D7D">
      <w:pPr>
        <w:rPr>
          <w:rFonts w:ascii="Arial" w:hAnsi="Arial" w:cs="Arial"/>
          <w:sz w:val="24"/>
        </w:rPr>
      </w:pPr>
      <w:r w:rsidRPr="008C6D7D">
        <w:rPr>
          <w:rFonts w:ascii="Arial" w:hAnsi="Arial" w:cs="Arial"/>
          <w:sz w:val="24"/>
        </w:rPr>
        <w:t>Lawrence, D., Dawson, V., Houghton, S., Goodsell, B., &amp; Sawyer,</w:t>
      </w:r>
      <w:r>
        <w:rPr>
          <w:rFonts w:ascii="Arial" w:hAnsi="Arial" w:cs="Arial"/>
          <w:sz w:val="24"/>
        </w:rPr>
        <w:t xml:space="preserve"> </w:t>
      </w:r>
      <w:r w:rsidRPr="008C6D7D">
        <w:rPr>
          <w:rFonts w:ascii="Arial" w:hAnsi="Arial" w:cs="Arial"/>
          <w:sz w:val="24"/>
        </w:rPr>
        <w:t>M. G. (2019). Impact of mental disorders on attendance at school. Australian Journal of Education, 63(1), 5-21.</w:t>
      </w:r>
    </w:p>
    <w:p w14:paraId="756D2BAD" w14:textId="77777777" w:rsidR="008C6D7D" w:rsidRPr="008C6D7D" w:rsidRDefault="008C6D7D" w:rsidP="008C6D7D">
      <w:pPr>
        <w:rPr>
          <w:rFonts w:ascii="Arial" w:hAnsi="Arial" w:cs="Arial"/>
          <w:sz w:val="24"/>
        </w:rPr>
      </w:pPr>
      <w:r w:rsidRPr="008C6D7D">
        <w:rPr>
          <w:rFonts w:ascii="Arial" w:hAnsi="Arial" w:cs="Arial"/>
          <w:sz w:val="24"/>
        </w:rPr>
        <w:t>Lee, S., Dwyer, J., Paul, E., Clarke, D., Treleaven, S., &amp; Roseby,</w:t>
      </w:r>
      <w:r>
        <w:rPr>
          <w:rFonts w:ascii="Arial" w:hAnsi="Arial" w:cs="Arial"/>
          <w:sz w:val="24"/>
        </w:rPr>
        <w:t xml:space="preserve"> </w:t>
      </w:r>
      <w:r w:rsidRPr="008C6D7D">
        <w:rPr>
          <w:rFonts w:ascii="Arial" w:hAnsi="Arial" w:cs="Arial"/>
          <w:sz w:val="24"/>
        </w:rPr>
        <w:t>R. (2019). Differences by age and sex in adolescent suicide. Australian and New Zealand Journal of Public Health, 43(3), 248-253.</w:t>
      </w:r>
    </w:p>
    <w:p w14:paraId="78319005" w14:textId="77777777" w:rsidR="008C6D7D" w:rsidRPr="008C6D7D" w:rsidRDefault="008C6D7D" w:rsidP="008C6D7D">
      <w:pPr>
        <w:rPr>
          <w:rFonts w:ascii="Arial" w:hAnsi="Arial" w:cs="Arial"/>
          <w:sz w:val="24"/>
        </w:rPr>
      </w:pPr>
      <w:r w:rsidRPr="008C6D7D">
        <w:rPr>
          <w:rFonts w:ascii="Arial" w:hAnsi="Arial" w:cs="Arial"/>
          <w:sz w:val="24"/>
        </w:rPr>
        <w:t>Liew, W. K., Williamson, E., &amp; Tang, M. L. (2009). Anaphylaxis fatalities and admissions in Australia. Journal of Allergy and Clinical Immunology, 123, 434–42.</w:t>
      </w:r>
    </w:p>
    <w:p w14:paraId="206EF98B" w14:textId="77777777" w:rsidR="008C6D7D" w:rsidRPr="008C6D7D" w:rsidRDefault="008C6D7D" w:rsidP="008C6D7D">
      <w:pPr>
        <w:rPr>
          <w:rFonts w:ascii="Arial" w:hAnsi="Arial" w:cs="Arial"/>
          <w:sz w:val="24"/>
        </w:rPr>
      </w:pPr>
      <w:r w:rsidRPr="008C6D7D">
        <w:rPr>
          <w:rFonts w:ascii="Arial" w:hAnsi="Arial" w:cs="Arial"/>
          <w:sz w:val="24"/>
        </w:rPr>
        <w:t>Losel, F., &amp; Bender, D. (2011). Emotional and antisocial outcomes of bullying and victimization at school: a follow- up from childhood to adolescence. Journal of Aggression, Conflict and Peace Research, 3(2), 89-96.</w:t>
      </w:r>
    </w:p>
    <w:p w14:paraId="5C68085C" w14:textId="77777777" w:rsidR="008C6D7D" w:rsidRPr="008C6D7D" w:rsidRDefault="008C6D7D" w:rsidP="008C6D7D">
      <w:pPr>
        <w:rPr>
          <w:rFonts w:ascii="Arial" w:hAnsi="Arial" w:cs="Arial"/>
          <w:sz w:val="24"/>
        </w:rPr>
      </w:pPr>
      <w:r w:rsidRPr="008C6D7D">
        <w:rPr>
          <w:rFonts w:ascii="Arial" w:hAnsi="Arial" w:cs="Arial"/>
          <w:sz w:val="24"/>
        </w:rPr>
        <w:t>Lu, L., &amp; Rickard, K. (2016). Mobility of students in NSW government schools. Sydney: Centre for Education Statistics and Evaluation.</w:t>
      </w:r>
    </w:p>
    <w:p w14:paraId="1E159A79" w14:textId="77777777" w:rsidR="008C6D7D" w:rsidRPr="008C6D7D" w:rsidRDefault="008C6D7D" w:rsidP="008C6D7D">
      <w:pPr>
        <w:rPr>
          <w:rFonts w:ascii="Arial" w:hAnsi="Arial" w:cs="Arial"/>
          <w:sz w:val="24"/>
        </w:rPr>
      </w:pPr>
      <w:r w:rsidRPr="008C6D7D">
        <w:rPr>
          <w:rFonts w:ascii="Arial" w:hAnsi="Arial" w:cs="Arial"/>
          <w:sz w:val="24"/>
        </w:rPr>
        <w:t>Lubman, D. I., Cheetham, A., Jorm, A. F., Berridge, B. J., Wilson, C., Blee, F. et al. (2017). Australian adolescents’ beliefs and help-seeking intentions towards peers experiencing symptoms of depression and alcohol misuse, 17:658. BMC Public Health, 17(658).</w:t>
      </w:r>
    </w:p>
    <w:p w14:paraId="3DD3E0C2" w14:textId="77777777" w:rsidR="008C6D7D" w:rsidRPr="008C6D7D" w:rsidRDefault="008C6D7D" w:rsidP="008C6D7D">
      <w:pPr>
        <w:rPr>
          <w:rFonts w:ascii="Arial" w:hAnsi="Arial" w:cs="Arial"/>
          <w:sz w:val="24"/>
        </w:rPr>
      </w:pPr>
      <w:r w:rsidRPr="008C6D7D">
        <w:rPr>
          <w:rFonts w:ascii="Arial" w:hAnsi="Arial" w:cs="Arial"/>
          <w:sz w:val="24"/>
        </w:rPr>
        <w:lastRenderedPageBreak/>
        <w:t>Marmorstein, N. R., Iacono, W. G., &amp; Legrand, L. (2014). Obesity and depression in adolescence and beyond: reciprocal risks. International Journal of Obesity, 38(7), 906-911.</w:t>
      </w:r>
    </w:p>
    <w:p w14:paraId="0462534A" w14:textId="77777777" w:rsidR="008C6D7D" w:rsidRPr="008C6D7D" w:rsidRDefault="008C6D7D" w:rsidP="008C6D7D">
      <w:pPr>
        <w:rPr>
          <w:rFonts w:ascii="Arial" w:hAnsi="Arial" w:cs="Arial"/>
          <w:sz w:val="24"/>
        </w:rPr>
      </w:pPr>
      <w:r w:rsidRPr="008C6D7D">
        <w:rPr>
          <w:rFonts w:ascii="Arial" w:hAnsi="Arial" w:cs="Arial"/>
          <w:sz w:val="24"/>
        </w:rPr>
        <w:t>Mensah, F. K., Bayer, J. K., Wake, M., Carlin, J. B., Allen, N. A., &amp; Patton, G. C. (2013). Early puberty and childhood social and behavioural adjustment. Journal of Adolescent Health, 52(1), 118-124.</w:t>
      </w:r>
    </w:p>
    <w:p w14:paraId="4B21E512" w14:textId="77777777" w:rsidR="008C6D7D" w:rsidRPr="008C6D7D" w:rsidRDefault="008C6D7D" w:rsidP="008C6D7D">
      <w:pPr>
        <w:rPr>
          <w:rFonts w:ascii="Arial" w:hAnsi="Arial" w:cs="Arial"/>
          <w:sz w:val="24"/>
        </w:rPr>
      </w:pPr>
      <w:r w:rsidRPr="008C6D7D">
        <w:rPr>
          <w:rFonts w:ascii="Arial" w:hAnsi="Arial" w:cs="Arial"/>
          <w:sz w:val="24"/>
        </w:rPr>
        <w:t>Moffitt, T. (2018). Male antisocial behaviour in adolescence and beyond. Nature Human Behaviour, 2, 177-186.</w:t>
      </w:r>
    </w:p>
    <w:p w14:paraId="6E5DBD4D" w14:textId="77777777" w:rsidR="008C6D7D" w:rsidRPr="008C6D7D" w:rsidRDefault="008C6D7D" w:rsidP="008C6D7D">
      <w:pPr>
        <w:rPr>
          <w:rFonts w:ascii="Arial" w:hAnsi="Arial" w:cs="Arial"/>
          <w:sz w:val="24"/>
        </w:rPr>
      </w:pPr>
      <w:r w:rsidRPr="008C6D7D">
        <w:rPr>
          <w:rFonts w:ascii="Arial" w:hAnsi="Arial" w:cs="Arial"/>
          <w:sz w:val="24"/>
        </w:rPr>
        <w:t>Muir, S., &amp; Hand, K. (2018). Beyond 18: The Longitudinal Study on Leaving Care. Melbourne: Australian Institute of Family Studies.</w:t>
      </w:r>
    </w:p>
    <w:p w14:paraId="1D34240B" w14:textId="77777777" w:rsidR="008C6D7D" w:rsidRPr="008C6D7D" w:rsidRDefault="008C6D7D" w:rsidP="008C6D7D">
      <w:pPr>
        <w:rPr>
          <w:rFonts w:ascii="Arial" w:hAnsi="Arial" w:cs="Arial"/>
          <w:sz w:val="24"/>
        </w:rPr>
      </w:pPr>
      <w:r w:rsidRPr="008C6D7D">
        <w:rPr>
          <w:rFonts w:ascii="Arial" w:hAnsi="Arial" w:cs="Arial"/>
          <w:sz w:val="24"/>
        </w:rPr>
        <w:t>Murdoch Children’s Research Institute. (2018). Student Wellbeing, Engagement and Learning across the Middle Years. Canberra: Australian Government Department of Education and Training.</w:t>
      </w:r>
    </w:p>
    <w:p w14:paraId="74577137" w14:textId="77777777" w:rsidR="008C6D7D" w:rsidRPr="008C6D7D" w:rsidRDefault="008C6D7D" w:rsidP="008C6D7D">
      <w:pPr>
        <w:rPr>
          <w:rFonts w:ascii="Arial" w:hAnsi="Arial" w:cs="Arial"/>
          <w:sz w:val="24"/>
        </w:rPr>
      </w:pPr>
      <w:r w:rsidRPr="008C6D7D">
        <w:rPr>
          <w:rFonts w:ascii="Arial" w:hAnsi="Arial" w:cs="Arial"/>
          <w:sz w:val="24"/>
        </w:rPr>
        <w:t>National Health and Medical Research Council. (2013). Australian Dietary Guidelines. Canberra: National Health and Medical Research Council.</w:t>
      </w:r>
    </w:p>
    <w:p w14:paraId="599F4629" w14:textId="77777777" w:rsidR="008C6D7D" w:rsidRPr="008C6D7D" w:rsidRDefault="008C6D7D" w:rsidP="008C6D7D">
      <w:pPr>
        <w:rPr>
          <w:rFonts w:ascii="Arial" w:hAnsi="Arial" w:cs="Arial"/>
          <w:sz w:val="24"/>
        </w:rPr>
      </w:pPr>
      <w:r w:rsidRPr="008C6D7D">
        <w:rPr>
          <w:rFonts w:ascii="Arial" w:hAnsi="Arial" w:cs="Arial"/>
          <w:sz w:val="24"/>
        </w:rPr>
        <w:t>National Sleep Foundation. (2019). Sleep topics: Teens and sleep. Retrieved September 19, 2019, from https://www. sleepfoundation.org/articles/teens-and-sleep</w:t>
      </w:r>
    </w:p>
    <w:p w14:paraId="4E538469" w14:textId="77777777" w:rsidR="008C6D7D" w:rsidRPr="008C6D7D" w:rsidRDefault="008C6D7D" w:rsidP="008C6D7D">
      <w:pPr>
        <w:rPr>
          <w:rFonts w:ascii="Arial" w:hAnsi="Arial" w:cs="Arial"/>
          <w:sz w:val="24"/>
        </w:rPr>
      </w:pPr>
      <w:r w:rsidRPr="008C6D7D">
        <w:rPr>
          <w:rFonts w:ascii="Arial" w:hAnsi="Arial" w:cs="Arial"/>
          <w:sz w:val="24"/>
        </w:rPr>
        <w:t>Northam, J. C., &amp; Magor-Blatch, L. E. (2016). Adolescent therapeutic community treatment – an Australian perspective. International Journal of Therapeutic Communities, 37(4), 204-212.</w:t>
      </w:r>
    </w:p>
    <w:p w14:paraId="750B9119" w14:textId="77777777" w:rsidR="008C6D7D" w:rsidRPr="008C6D7D" w:rsidRDefault="008C6D7D" w:rsidP="008C6D7D">
      <w:pPr>
        <w:rPr>
          <w:rFonts w:ascii="Arial" w:hAnsi="Arial" w:cs="Arial"/>
          <w:sz w:val="24"/>
        </w:rPr>
      </w:pPr>
      <w:r w:rsidRPr="008C6D7D">
        <w:rPr>
          <w:rFonts w:ascii="Arial" w:hAnsi="Arial" w:cs="Arial"/>
          <w:sz w:val="24"/>
        </w:rPr>
        <w:t>O’Neil, A., Quirk, S. E., Housden, S., Brennan, S. L., Williams,</w:t>
      </w:r>
      <w:r>
        <w:rPr>
          <w:rFonts w:ascii="Arial" w:hAnsi="Arial" w:cs="Arial"/>
          <w:sz w:val="24"/>
        </w:rPr>
        <w:t xml:space="preserve"> </w:t>
      </w:r>
      <w:r w:rsidRPr="008C6D7D">
        <w:rPr>
          <w:rFonts w:ascii="Arial" w:hAnsi="Arial" w:cs="Arial"/>
          <w:sz w:val="24"/>
        </w:rPr>
        <w:t>L.</w:t>
      </w:r>
      <w:r w:rsidRPr="008C6D7D">
        <w:rPr>
          <w:rFonts w:ascii="Arial" w:hAnsi="Arial" w:cs="Arial"/>
          <w:sz w:val="24"/>
        </w:rPr>
        <w:tab/>
        <w:t>J., Pasco, J. A. et al. (2014). Relationship Between Diet and Mental Health in Children and Adolescents: A Systematic Review. American Journal of Public Health, 104(10), 31-42.</w:t>
      </w:r>
    </w:p>
    <w:p w14:paraId="57CA6DEE" w14:textId="77777777" w:rsidR="008C6D7D" w:rsidRPr="008C6D7D" w:rsidRDefault="008C6D7D" w:rsidP="008C6D7D">
      <w:pPr>
        <w:rPr>
          <w:rFonts w:ascii="Arial" w:hAnsi="Arial" w:cs="Arial"/>
          <w:sz w:val="24"/>
        </w:rPr>
      </w:pPr>
      <w:r w:rsidRPr="008C6D7D">
        <w:rPr>
          <w:rFonts w:ascii="Arial" w:hAnsi="Arial" w:cs="Arial"/>
          <w:sz w:val="24"/>
        </w:rPr>
        <w:t>OECD. (2017). What kind of careers in science do 15-yearold boys and girls expect for themselves? PISA in Focus No. 69. Paris: OECD Publishing.</w:t>
      </w:r>
    </w:p>
    <w:p w14:paraId="0BE83B6D" w14:textId="77777777" w:rsidR="008C6D7D" w:rsidRDefault="008C6D7D" w:rsidP="008C6D7D">
      <w:pPr>
        <w:rPr>
          <w:rFonts w:ascii="Arial" w:hAnsi="Arial" w:cs="Arial"/>
          <w:sz w:val="24"/>
        </w:rPr>
      </w:pPr>
      <w:r w:rsidRPr="008C6D7D">
        <w:rPr>
          <w:rFonts w:ascii="Arial" w:hAnsi="Arial" w:cs="Arial"/>
          <w:sz w:val="24"/>
        </w:rPr>
        <w:t>Ortiz-Ospina, E., &amp; Roser, M. (2019). Happiness and Life Satisfaction. Our World in Data. Retrieved from https:// ourworldindata.org/happiness-and-life-satisfaction</w:t>
      </w:r>
      <w:r>
        <w:rPr>
          <w:rFonts w:ascii="Arial" w:hAnsi="Arial" w:cs="Arial"/>
          <w:sz w:val="24"/>
        </w:rPr>
        <w:t xml:space="preserve"> </w:t>
      </w:r>
      <w:r w:rsidRPr="008C6D7D">
        <w:rPr>
          <w:rFonts w:ascii="Arial" w:hAnsi="Arial" w:cs="Arial"/>
          <w:sz w:val="24"/>
        </w:rPr>
        <w:t>Patton, G. C., Olsson, C. A., Skirbekk, V., Saffery, R., Wlodek,</w:t>
      </w:r>
      <w:r>
        <w:rPr>
          <w:rFonts w:ascii="Arial" w:hAnsi="Arial" w:cs="Arial"/>
          <w:sz w:val="24"/>
        </w:rPr>
        <w:t xml:space="preserve"> </w:t>
      </w:r>
      <w:r w:rsidRPr="008C6D7D">
        <w:rPr>
          <w:rFonts w:ascii="Arial" w:hAnsi="Arial" w:cs="Arial"/>
          <w:sz w:val="24"/>
        </w:rPr>
        <w:t>M.</w:t>
      </w:r>
      <w:r w:rsidRPr="008C6D7D">
        <w:rPr>
          <w:rFonts w:ascii="Arial" w:hAnsi="Arial" w:cs="Arial"/>
          <w:sz w:val="24"/>
        </w:rPr>
        <w:tab/>
        <w:t>E., Azzopardi, P. S. et al. (2018). Adolescence and the next generati</w:t>
      </w:r>
      <w:r>
        <w:rPr>
          <w:rFonts w:ascii="Arial" w:hAnsi="Arial" w:cs="Arial"/>
          <w:sz w:val="24"/>
        </w:rPr>
        <w:t>on. Nature, 554(7693), 458-466.</w:t>
      </w:r>
    </w:p>
    <w:p w14:paraId="673C70A7" w14:textId="77777777" w:rsidR="008C6D7D" w:rsidRPr="008C6D7D" w:rsidRDefault="008C6D7D" w:rsidP="008C6D7D">
      <w:pPr>
        <w:rPr>
          <w:rFonts w:ascii="Arial" w:hAnsi="Arial" w:cs="Arial"/>
          <w:sz w:val="24"/>
        </w:rPr>
      </w:pPr>
      <w:r w:rsidRPr="008C6D7D">
        <w:rPr>
          <w:rFonts w:ascii="Arial" w:hAnsi="Arial" w:cs="Arial"/>
          <w:sz w:val="24"/>
        </w:rPr>
        <w:t>Patton, G. C., Sawyer, S. M., Santelli, J. S., Ross, D. A., Afifi, R., Allen, N. B. et al. (2018). Our future: a Lancet commission on adolescent health and wellbeing. Lancet, 387(10036), 2423–2478.</w:t>
      </w:r>
    </w:p>
    <w:p w14:paraId="14BAAF61" w14:textId="77777777" w:rsidR="008C6D7D" w:rsidRPr="008C6D7D" w:rsidRDefault="008C6D7D" w:rsidP="008C6D7D">
      <w:pPr>
        <w:rPr>
          <w:rFonts w:ascii="Arial" w:hAnsi="Arial" w:cs="Arial"/>
          <w:sz w:val="24"/>
        </w:rPr>
      </w:pPr>
      <w:r w:rsidRPr="008C6D7D">
        <w:rPr>
          <w:rFonts w:ascii="Arial" w:hAnsi="Arial" w:cs="Arial"/>
          <w:sz w:val="24"/>
        </w:rPr>
        <w:t>Paus, T., Keshavan, M., &amp; Giedd, J. N. (2008). Why do many psychiatric disorders emerge during adolescence? Nature Reviews Neuroscience, 9, 947-957.</w:t>
      </w:r>
    </w:p>
    <w:p w14:paraId="58E6E79D" w14:textId="77777777" w:rsidR="008C6D7D" w:rsidRPr="008C6D7D" w:rsidRDefault="008C6D7D" w:rsidP="008C6D7D">
      <w:pPr>
        <w:rPr>
          <w:rFonts w:ascii="Arial" w:hAnsi="Arial" w:cs="Arial"/>
          <w:sz w:val="24"/>
        </w:rPr>
      </w:pPr>
      <w:r w:rsidRPr="008C6D7D">
        <w:rPr>
          <w:rFonts w:ascii="Arial" w:hAnsi="Arial" w:cs="Arial"/>
          <w:sz w:val="24"/>
        </w:rPr>
        <w:lastRenderedPageBreak/>
        <w:t>Pingault, J. B., &amp; Schoeler, T. (2017). Assessing the consequences of cyberbullying on mental health. Nature Human Behaviour, 1, 775-777.</w:t>
      </w:r>
    </w:p>
    <w:p w14:paraId="2D5067E6" w14:textId="77777777" w:rsidR="008C6D7D" w:rsidRPr="008C6D7D" w:rsidRDefault="008C6D7D" w:rsidP="008C6D7D">
      <w:pPr>
        <w:rPr>
          <w:rFonts w:ascii="Arial" w:hAnsi="Arial" w:cs="Arial"/>
          <w:sz w:val="24"/>
        </w:rPr>
      </w:pPr>
      <w:r w:rsidRPr="008C6D7D">
        <w:rPr>
          <w:rFonts w:ascii="Arial" w:hAnsi="Arial" w:cs="Arial"/>
          <w:sz w:val="24"/>
        </w:rPr>
        <w:t>PricewaterhouseCoopers. (2015). Weighing the cost of obesity: A case for action. PwC.</w:t>
      </w:r>
    </w:p>
    <w:p w14:paraId="00AEB1AF" w14:textId="77777777" w:rsidR="008C6D7D" w:rsidRPr="008C6D7D" w:rsidRDefault="008C6D7D" w:rsidP="008C6D7D">
      <w:pPr>
        <w:rPr>
          <w:rFonts w:ascii="Arial" w:hAnsi="Arial" w:cs="Arial"/>
          <w:sz w:val="24"/>
        </w:rPr>
      </w:pPr>
      <w:r w:rsidRPr="008C6D7D">
        <w:rPr>
          <w:rFonts w:ascii="Arial" w:hAnsi="Arial" w:cs="Arial"/>
          <w:sz w:val="24"/>
        </w:rPr>
        <w:t>Priest, N., Chong, S., Truong, M., Sharif, M., Dunn, K., Paradies,</w:t>
      </w:r>
      <w:r>
        <w:rPr>
          <w:rFonts w:ascii="Arial" w:hAnsi="Arial" w:cs="Arial"/>
          <w:sz w:val="24"/>
        </w:rPr>
        <w:t xml:space="preserve"> </w:t>
      </w:r>
      <w:r w:rsidRPr="008C6D7D">
        <w:rPr>
          <w:rFonts w:ascii="Arial" w:hAnsi="Arial" w:cs="Arial"/>
          <w:sz w:val="24"/>
        </w:rPr>
        <w:t>Y. et al. (2019). Findings from the 2017 Speak Out Against Racism (SOAR) student and staff surveys, Working Paper No. 3/2019. Canberra: Centre for Social Research &amp; Methods, Australian National University.</w:t>
      </w:r>
    </w:p>
    <w:p w14:paraId="48E332DB" w14:textId="77777777" w:rsidR="008C6D7D" w:rsidRPr="008C6D7D" w:rsidRDefault="008C6D7D" w:rsidP="008C6D7D">
      <w:pPr>
        <w:rPr>
          <w:rFonts w:ascii="Arial" w:hAnsi="Arial" w:cs="Arial"/>
          <w:sz w:val="24"/>
        </w:rPr>
      </w:pPr>
      <w:r w:rsidRPr="008C6D7D">
        <w:rPr>
          <w:rFonts w:ascii="Arial" w:hAnsi="Arial" w:cs="Arial"/>
          <w:sz w:val="24"/>
        </w:rPr>
        <w:t>Prince's Trust. (2019). Youth Index 2019. Retrieved from https:// www.princes-trust.org.uk/about-the-trust/research-policies- reports/youth-index-2019</w:t>
      </w:r>
    </w:p>
    <w:p w14:paraId="4F22E2CF" w14:textId="77777777" w:rsidR="008C6D7D" w:rsidRPr="008C6D7D" w:rsidRDefault="008C6D7D" w:rsidP="008C6D7D">
      <w:pPr>
        <w:rPr>
          <w:rFonts w:ascii="Arial" w:hAnsi="Arial" w:cs="Arial"/>
          <w:sz w:val="24"/>
        </w:rPr>
      </w:pPr>
      <w:r w:rsidRPr="008C6D7D">
        <w:rPr>
          <w:rFonts w:ascii="Arial" w:hAnsi="Arial" w:cs="Arial"/>
          <w:sz w:val="24"/>
        </w:rPr>
        <w:t>Productivity Commission. (2019). Report on Government Services 2018. Canberra: Australian Government.</w:t>
      </w:r>
    </w:p>
    <w:p w14:paraId="0864100C" w14:textId="77777777" w:rsidR="008C6D7D" w:rsidRPr="008C6D7D" w:rsidRDefault="008C6D7D" w:rsidP="008C6D7D">
      <w:pPr>
        <w:rPr>
          <w:rFonts w:ascii="Arial" w:hAnsi="Arial" w:cs="Arial"/>
          <w:sz w:val="24"/>
        </w:rPr>
      </w:pPr>
      <w:r w:rsidRPr="008C6D7D">
        <w:rPr>
          <w:rFonts w:ascii="Arial" w:hAnsi="Arial" w:cs="Arial"/>
          <w:sz w:val="24"/>
        </w:rPr>
        <w:t>Pusch, N., &amp; Holtfreter, K. (2017). Gender and risk assessment in juvenile offenders: A meta-analysis. Criminal Justice &amp; Behavior, 45(1), 56-81.</w:t>
      </w:r>
    </w:p>
    <w:p w14:paraId="01C83E9B" w14:textId="77777777" w:rsidR="008C6D7D" w:rsidRPr="008C6D7D" w:rsidRDefault="008C6D7D" w:rsidP="008C6D7D">
      <w:pPr>
        <w:rPr>
          <w:rFonts w:ascii="Arial" w:hAnsi="Arial" w:cs="Arial"/>
          <w:sz w:val="24"/>
        </w:rPr>
      </w:pPr>
      <w:r w:rsidRPr="008C6D7D">
        <w:rPr>
          <w:rFonts w:ascii="Arial" w:hAnsi="Arial" w:cs="Arial"/>
          <w:sz w:val="24"/>
        </w:rPr>
        <w:t>Redmond, G., Skattebol, J., Saunders, P., Lietz, P., Zizzo, G., O’Grady, E. et al. (2016). Are the kids alright? Young</w:t>
      </w:r>
      <w:r>
        <w:rPr>
          <w:rFonts w:ascii="Arial" w:hAnsi="Arial" w:cs="Arial"/>
          <w:sz w:val="24"/>
        </w:rPr>
        <w:t xml:space="preserve"> </w:t>
      </w:r>
      <w:r w:rsidRPr="008C6D7D">
        <w:rPr>
          <w:rFonts w:ascii="Arial" w:hAnsi="Arial" w:cs="Arial"/>
          <w:sz w:val="24"/>
        </w:rPr>
        <w:t>Australians in the middle years: final summary report of the Australian Child Wellbeing Project. Flinders University, UNSW Australia, Australian Council for Educational Research.</w:t>
      </w:r>
    </w:p>
    <w:p w14:paraId="7A167428" w14:textId="77777777" w:rsidR="008C6D7D" w:rsidRPr="008C6D7D" w:rsidRDefault="008C6D7D" w:rsidP="008C6D7D">
      <w:pPr>
        <w:rPr>
          <w:rFonts w:ascii="Arial" w:hAnsi="Arial" w:cs="Arial"/>
          <w:sz w:val="24"/>
        </w:rPr>
      </w:pPr>
      <w:r w:rsidRPr="008C6D7D">
        <w:rPr>
          <w:rFonts w:ascii="Arial" w:hAnsi="Arial" w:cs="Arial"/>
          <w:sz w:val="24"/>
        </w:rPr>
        <w:t>Reilly, J. J., &amp; Kelly, J. (2010). Long-term impact of overweight and obesity in childhood and adolescence on morbidity and premature mortality in adulthood: systematic review. International Journal of Obesity, 35, 891-898.</w:t>
      </w:r>
    </w:p>
    <w:p w14:paraId="4A73170C" w14:textId="77777777" w:rsidR="008C6D7D" w:rsidRPr="008C6D7D" w:rsidRDefault="008C6D7D" w:rsidP="008C6D7D">
      <w:pPr>
        <w:rPr>
          <w:rFonts w:ascii="Arial" w:hAnsi="Arial" w:cs="Arial"/>
          <w:sz w:val="24"/>
        </w:rPr>
      </w:pPr>
      <w:r w:rsidRPr="008C6D7D">
        <w:rPr>
          <w:rFonts w:ascii="Arial" w:hAnsi="Arial" w:cs="Arial"/>
          <w:sz w:val="24"/>
        </w:rPr>
        <w:t>Robards, F., Kang, M., Usherwood, T., &amp; Sanci, L. (2018). How Marginalized Young People Access, Engage With, and Navigate Health-Care Systems in the Digital Age: Systematic Review. Journal of Adolescent Health, 62(4), 365-381.</w:t>
      </w:r>
    </w:p>
    <w:p w14:paraId="3C480326" w14:textId="77777777" w:rsidR="008C6D7D" w:rsidRPr="008C6D7D" w:rsidRDefault="008C6D7D" w:rsidP="008C6D7D">
      <w:pPr>
        <w:rPr>
          <w:rFonts w:ascii="Arial" w:hAnsi="Arial" w:cs="Arial"/>
          <w:sz w:val="24"/>
        </w:rPr>
      </w:pPr>
      <w:r w:rsidRPr="008C6D7D">
        <w:rPr>
          <w:rFonts w:ascii="Arial" w:hAnsi="Arial" w:cs="Arial"/>
          <w:sz w:val="24"/>
        </w:rPr>
        <w:t>Royal Commission into Aboriginal Deaths in Custody. (2005). Victorian implementation review of the recommendations from the Royal Commission into Aboriginal Deaths in Custody: An initiative of the Victorian Aboriginal Justice Agreement. Melbourne: Department of Justice.</w:t>
      </w:r>
    </w:p>
    <w:p w14:paraId="31AD8FD7" w14:textId="77777777" w:rsidR="008C6D7D" w:rsidRPr="008C6D7D" w:rsidRDefault="008C6D7D" w:rsidP="008C6D7D">
      <w:pPr>
        <w:rPr>
          <w:rFonts w:ascii="Arial" w:hAnsi="Arial" w:cs="Arial"/>
          <w:sz w:val="24"/>
        </w:rPr>
      </w:pPr>
      <w:r w:rsidRPr="008C6D7D">
        <w:rPr>
          <w:rFonts w:ascii="Arial" w:hAnsi="Arial" w:cs="Arial"/>
          <w:sz w:val="24"/>
        </w:rPr>
        <w:t>Rumberger, R. W., &amp; Rotermund, S. (2012). The relationship between engagement and high school dropout. In S. L.Christenson, A. L. Reschly, &amp; C. Wylie (Eds.), Handbook of research on student engagement (pp. 491-513).New York: Springer.</w:t>
      </w:r>
    </w:p>
    <w:p w14:paraId="6A73E612" w14:textId="77777777" w:rsidR="008C6D7D" w:rsidRPr="008C6D7D" w:rsidRDefault="008C6D7D" w:rsidP="008C6D7D">
      <w:pPr>
        <w:rPr>
          <w:rFonts w:ascii="Arial" w:hAnsi="Arial" w:cs="Arial"/>
          <w:sz w:val="24"/>
        </w:rPr>
      </w:pPr>
      <w:r w:rsidRPr="008C6D7D">
        <w:rPr>
          <w:rFonts w:ascii="Arial" w:hAnsi="Arial" w:cs="Arial"/>
          <w:sz w:val="24"/>
        </w:rPr>
        <w:t>Sawyer, M. G., Arney, F. M., Baghurst, P. A., Clark, J. J., Graetz,</w:t>
      </w:r>
      <w:r>
        <w:rPr>
          <w:rFonts w:ascii="Arial" w:hAnsi="Arial" w:cs="Arial"/>
          <w:sz w:val="24"/>
        </w:rPr>
        <w:t xml:space="preserve"> </w:t>
      </w:r>
      <w:r w:rsidRPr="008C6D7D">
        <w:rPr>
          <w:rFonts w:ascii="Arial" w:hAnsi="Arial" w:cs="Arial"/>
          <w:sz w:val="24"/>
        </w:rPr>
        <w:t>B.</w:t>
      </w:r>
      <w:r w:rsidRPr="008C6D7D">
        <w:rPr>
          <w:rFonts w:ascii="Arial" w:hAnsi="Arial" w:cs="Arial"/>
          <w:sz w:val="24"/>
        </w:rPr>
        <w:tab/>
        <w:t>W., Kosky, R. J. et al. (2001). The mental health of young people in Australia: key findings from the child and adolescent component of the national survey of mental health and well-being. Australian and New Zealand Journal of Psychiatry, 35, 806–814.</w:t>
      </w:r>
    </w:p>
    <w:p w14:paraId="7B4E3EDD" w14:textId="77777777" w:rsidR="008C6D7D" w:rsidRPr="008C6D7D" w:rsidRDefault="008C6D7D" w:rsidP="008C6D7D">
      <w:pPr>
        <w:rPr>
          <w:rFonts w:ascii="Arial" w:hAnsi="Arial" w:cs="Arial"/>
          <w:sz w:val="24"/>
        </w:rPr>
      </w:pPr>
      <w:r w:rsidRPr="008C6D7D">
        <w:rPr>
          <w:rFonts w:ascii="Arial" w:hAnsi="Arial" w:cs="Arial"/>
          <w:sz w:val="24"/>
        </w:rPr>
        <w:lastRenderedPageBreak/>
        <w:t>Schwab, R. G. (1999). Why only one in three? The complex reasons for low indigenous school retention. Canberra: Centre for Aboriginal Economic Policy Research, Australian National University.</w:t>
      </w:r>
    </w:p>
    <w:p w14:paraId="03CEADEF" w14:textId="77777777" w:rsidR="008C6D7D" w:rsidRPr="008C6D7D" w:rsidRDefault="008C6D7D" w:rsidP="008C6D7D">
      <w:pPr>
        <w:rPr>
          <w:rFonts w:ascii="Arial" w:hAnsi="Arial" w:cs="Arial"/>
          <w:sz w:val="24"/>
        </w:rPr>
      </w:pPr>
      <w:r w:rsidRPr="008C6D7D">
        <w:rPr>
          <w:rFonts w:ascii="Arial" w:hAnsi="Arial" w:cs="Arial"/>
          <w:sz w:val="24"/>
        </w:rPr>
        <w:t>Schwartz, B., Mayer, B., Trommsdorff, G., Ben-Arieh, A., Friedlmeier, M., Lubiewska, K., &amp; Peltzer, K. (2012). Does the importance of parent and peer relationships for adolescence vary across cultures? The Journal of Early Adolescence, 32, 55-80.</w:t>
      </w:r>
    </w:p>
    <w:p w14:paraId="2AF350DD" w14:textId="77777777" w:rsidR="008C6D7D" w:rsidRPr="008C6D7D" w:rsidRDefault="008C6D7D" w:rsidP="008C6D7D">
      <w:pPr>
        <w:rPr>
          <w:rFonts w:ascii="Arial" w:hAnsi="Arial" w:cs="Arial"/>
          <w:sz w:val="24"/>
        </w:rPr>
      </w:pPr>
      <w:r w:rsidRPr="008C6D7D">
        <w:rPr>
          <w:rFonts w:ascii="Arial" w:hAnsi="Arial" w:cs="Arial"/>
          <w:sz w:val="24"/>
        </w:rPr>
        <w:t>Scott, T., &amp; Brown, S. L. (2018). Risks, strengths, gender, and recidivism among justice-involved youth: A meta-analysis. Journal of Consulting and Clinical Psychology, 86(11), 931-945.</w:t>
      </w:r>
    </w:p>
    <w:p w14:paraId="5371FA1D" w14:textId="77777777" w:rsidR="008C6D7D" w:rsidRPr="008C6D7D" w:rsidRDefault="008C6D7D" w:rsidP="008C6D7D">
      <w:pPr>
        <w:rPr>
          <w:rFonts w:ascii="Arial" w:hAnsi="Arial" w:cs="Arial"/>
          <w:sz w:val="24"/>
        </w:rPr>
      </w:pPr>
      <w:r w:rsidRPr="008C6D7D">
        <w:rPr>
          <w:rFonts w:ascii="Arial" w:hAnsi="Arial" w:cs="Arial"/>
          <w:sz w:val="24"/>
        </w:rPr>
        <w:t>Scriven, A., &amp; Stevenson, V. (1998). Psychological development of young adolescents: implications for health education practice. Health Education, 3, 89-94.</w:t>
      </w:r>
    </w:p>
    <w:p w14:paraId="5694FD7B" w14:textId="77777777" w:rsidR="008C6D7D" w:rsidRPr="008C6D7D" w:rsidRDefault="008C6D7D" w:rsidP="008C6D7D">
      <w:pPr>
        <w:rPr>
          <w:rFonts w:ascii="Arial" w:hAnsi="Arial" w:cs="Arial"/>
          <w:sz w:val="24"/>
        </w:rPr>
      </w:pPr>
      <w:r w:rsidRPr="008C6D7D">
        <w:rPr>
          <w:rFonts w:ascii="Arial" w:hAnsi="Arial" w:cs="Arial"/>
          <w:sz w:val="24"/>
        </w:rPr>
        <w:t>Sentencing Advisory Council. (2019). ‘Crossover Kids’: Vulnerable Children in the Youth Justice System, Report 1: Children Who Are Known to Child Protection among Sentenced and Diverted Children in the Victorian Children’s Court. Melbourne: State of Victoria, Sentencing Advisory Council.</w:t>
      </w:r>
    </w:p>
    <w:p w14:paraId="2CCD3472" w14:textId="77777777" w:rsidR="008C6D7D" w:rsidRPr="008C6D7D" w:rsidRDefault="008C6D7D" w:rsidP="008C6D7D">
      <w:pPr>
        <w:rPr>
          <w:rFonts w:ascii="Arial" w:hAnsi="Arial" w:cs="Arial"/>
          <w:sz w:val="24"/>
        </w:rPr>
      </w:pPr>
      <w:r w:rsidRPr="008C6D7D">
        <w:rPr>
          <w:rFonts w:ascii="Arial" w:hAnsi="Arial" w:cs="Arial"/>
          <w:sz w:val="24"/>
        </w:rPr>
        <w:t>Shepherd, S., Spivak, B., Borschmann, R., Kinner, S. A., &amp; Hachtel, H. (2017). Correlates of self-harm and suicide attempts in justice-involved young people. PLoS ONE, 13(2), e0193172.</w:t>
      </w:r>
    </w:p>
    <w:p w14:paraId="5761CE4F" w14:textId="77777777" w:rsidR="008C6D7D" w:rsidRPr="008C6D7D" w:rsidRDefault="008C6D7D" w:rsidP="008C6D7D">
      <w:pPr>
        <w:rPr>
          <w:rFonts w:ascii="Arial" w:hAnsi="Arial" w:cs="Arial"/>
          <w:sz w:val="24"/>
        </w:rPr>
      </w:pPr>
      <w:r w:rsidRPr="008C6D7D">
        <w:rPr>
          <w:rFonts w:ascii="Arial" w:hAnsi="Arial" w:cs="Arial"/>
          <w:sz w:val="24"/>
        </w:rPr>
        <w:t>Shochat, T., Cohen-Zion, M., &amp; Tzischiny, O. (2014). Functional consequences of inadequate sleep in adolescents: a systematic review. Sleep Medicine Reviews, 18(1), 75-87.</w:t>
      </w:r>
    </w:p>
    <w:p w14:paraId="5E347ED2" w14:textId="77777777" w:rsidR="008C6D7D" w:rsidRPr="008C6D7D" w:rsidRDefault="008C6D7D" w:rsidP="008C6D7D">
      <w:pPr>
        <w:rPr>
          <w:rFonts w:ascii="Arial" w:hAnsi="Arial" w:cs="Arial"/>
          <w:sz w:val="24"/>
        </w:rPr>
      </w:pPr>
      <w:r w:rsidRPr="008C6D7D">
        <w:rPr>
          <w:rFonts w:ascii="Arial" w:hAnsi="Arial" w:cs="Arial"/>
          <w:sz w:val="24"/>
        </w:rPr>
        <w:t>Silins, E., Fergusson, D. M., Patton, G. C., Horwood, L. J., Olsson,</w:t>
      </w:r>
      <w:r>
        <w:rPr>
          <w:rFonts w:ascii="Arial" w:hAnsi="Arial" w:cs="Arial"/>
          <w:sz w:val="24"/>
        </w:rPr>
        <w:t xml:space="preserve"> </w:t>
      </w:r>
      <w:r w:rsidRPr="008C6D7D">
        <w:rPr>
          <w:rFonts w:ascii="Arial" w:hAnsi="Arial" w:cs="Arial"/>
          <w:sz w:val="24"/>
        </w:rPr>
        <w:t>C.</w:t>
      </w:r>
      <w:r w:rsidRPr="008C6D7D">
        <w:rPr>
          <w:rFonts w:ascii="Arial" w:hAnsi="Arial" w:cs="Arial"/>
          <w:sz w:val="24"/>
        </w:rPr>
        <w:tab/>
        <w:t>A., Hutchinson, D. M. et al. (2015). Adolescent substance use and educational attainment: An integrative data analysis comparing cannabis and alcohol from three Australasian cohorts. Drug and Alcohol Dependence, 156, 90-96.</w:t>
      </w:r>
    </w:p>
    <w:p w14:paraId="1EF21B21" w14:textId="77777777" w:rsidR="008C6D7D" w:rsidRPr="008C6D7D" w:rsidRDefault="008C6D7D" w:rsidP="008C6D7D">
      <w:pPr>
        <w:rPr>
          <w:rFonts w:ascii="Arial" w:hAnsi="Arial" w:cs="Arial"/>
          <w:sz w:val="24"/>
        </w:rPr>
      </w:pPr>
      <w:r w:rsidRPr="008C6D7D">
        <w:rPr>
          <w:rFonts w:ascii="Arial" w:hAnsi="Arial" w:cs="Arial"/>
          <w:sz w:val="24"/>
        </w:rPr>
        <w:t>Sirin, S. (2005). Socioeconomic status and academic achievement: A meta-analytic review of research.</w:t>
      </w:r>
      <w:r>
        <w:rPr>
          <w:rFonts w:ascii="Arial" w:hAnsi="Arial" w:cs="Arial"/>
          <w:sz w:val="24"/>
        </w:rPr>
        <w:t xml:space="preserve"> </w:t>
      </w:r>
      <w:r w:rsidRPr="008C6D7D">
        <w:rPr>
          <w:rFonts w:ascii="Arial" w:hAnsi="Arial" w:cs="Arial"/>
          <w:sz w:val="24"/>
        </w:rPr>
        <w:t>Review of Educational Research, 75 (3), 417-453.</w:t>
      </w:r>
    </w:p>
    <w:p w14:paraId="4907767D" w14:textId="77777777" w:rsidR="008C6D7D" w:rsidRPr="008C6D7D" w:rsidRDefault="008C6D7D" w:rsidP="008C6D7D">
      <w:pPr>
        <w:rPr>
          <w:rFonts w:ascii="Arial" w:hAnsi="Arial" w:cs="Arial"/>
          <w:sz w:val="24"/>
        </w:rPr>
      </w:pPr>
      <w:r w:rsidRPr="008C6D7D">
        <w:rPr>
          <w:rFonts w:ascii="Arial" w:hAnsi="Arial" w:cs="Arial"/>
          <w:sz w:val="24"/>
        </w:rPr>
        <w:t>Smetana, J. (2011). Adolescents, families, and social development: How teens construct their worlds. West Sussex, UK: Wiley-Blackwell.</w:t>
      </w:r>
    </w:p>
    <w:p w14:paraId="3E596769" w14:textId="77777777" w:rsidR="008C6D7D" w:rsidRPr="008C6D7D" w:rsidRDefault="008C6D7D" w:rsidP="008C6D7D">
      <w:pPr>
        <w:rPr>
          <w:rFonts w:ascii="Arial" w:hAnsi="Arial" w:cs="Arial"/>
          <w:sz w:val="24"/>
        </w:rPr>
      </w:pPr>
      <w:r w:rsidRPr="008C6D7D">
        <w:rPr>
          <w:rFonts w:ascii="Arial" w:hAnsi="Arial" w:cs="Arial"/>
          <w:sz w:val="24"/>
        </w:rPr>
        <w:t>State of Victoria. (2016). Royal Commission into Family Violence: Summary and recommendations, Parliamentary Paper No. 132. Melbourne: State of Victoria.</w:t>
      </w:r>
    </w:p>
    <w:p w14:paraId="06E1045C" w14:textId="77777777" w:rsidR="008C6D7D" w:rsidRPr="008C6D7D" w:rsidRDefault="008C6D7D" w:rsidP="008C6D7D">
      <w:pPr>
        <w:rPr>
          <w:rFonts w:ascii="Arial" w:hAnsi="Arial" w:cs="Arial"/>
          <w:sz w:val="24"/>
        </w:rPr>
      </w:pPr>
      <w:r w:rsidRPr="008C6D7D">
        <w:rPr>
          <w:rFonts w:ascii="Arial" w:hAnsi="Arial" w:cs="Arial"/>
          <w:sz w:val="24"/>
        </w:rPr>
        <w:t>Steinberg, L. (2017). Adolescence (11th ed.). New York: McGraw-Hill.</w:t>
      </w:r>
    </w:p>
    <w:p w14:paraId="0170EF67" w14:textId="77777777" w:rsidR="008C6D7D" w:rsidRPr="008C6D7D" w:rsidRDefault="008C6D7D" w:rsidP="008C6D7D">
      <w:pPr>
        <w:rPr>
          <w:rFonts w:ascii="Arial" w:hAnsi="Arial" w:cs="Arial"/>
          <w:sz w:val="24"/>
        </w:rPr>
      </w:pPr>
      <w:r w:rsidRPr="008C6D7D">
        <w:rPr>
          <w:rFonts w:ascii="Arial" w:hAnsi="Arial" w:cs="Arial"/>
          <w:sz w:val="24"/>
        </w:rPr>
        <w:t>Stewart, F., Bathy, Z., &amp; Fisher, G. (2016). Reoffending by children and young people in Victoria. Melbourne: Sentencing Advisory Council Victoria.</w:t>
      </w:r>
    </w:p>
    <w:p w14:paraId="649CFBD0" w14:textId="77777777" w:rsidR="008C6D7D" w:rsidRPr="008C6D7D" w:rsidRDefault="008C6D7D" w:rsidP="008C6D7D">
      <w:pPr>
        <w:rPr>
          <w:rFonts w:ascii="Arial" w:hAnsi="Arial" w:cs="Arial"/>
          <w:sz w:val="24"/>
        </w:rPr>
      </w:pPr>
      <w:r w:rsidRPr="008C6D7D">
        <w:rPr>
          <w:rFonts w:ascii="Arial" w:hAnsi="Arial" w:cs="Arial"/>
          <w:sz w:val="24"/>
        </w:rPr>
        <w:lastRenderedPageBreak/>
        <w:t>Stiglic, N., &amp; Viner, R. (2019). Effects of screentime on the health and well-being of children and adolescents: a systematic review of reviews. BMJ Open, 9, e023191.</w:t>
      </w:r>
    </w:p>
    <w:p w14:paraId="757539A5" w14:textId="77777777" w:rsidR="008C6D7D" w:rsidRPr="008C6D7D" w:rsidRDefault="008C6D7D" w:rsidP="008C6D7D">
      <w:pPr>
        <w:rPr>
          <w:rFonts w:ascii="Arial" w:hAnsi="Arial" w:cs="Arial"/>
          <w:sz w:val="24"/>
        </w:rPr>
      </w:pPr>
      <w:r w:rsidRPr="008C6D7D">
        <w:rPr>
          <w:rFonts w:ascii="Arial" w:hAnsi="Arial" w:cs="Arial"/>
          <w:sz w:val="24"/>
        </w:rPr>
        <w:t>Strauss, P., Cook, A., Winter, S., Watson, V., Wright Toussaint, D., &amp; Lin, A. (2017). Trans Pathways: the mental health experiences and care pathways of trans young people, Summary of results. Perth: Telethon Kids Institute.</w:t>
      </w:r>
    </w:p>
    <w:p w14:paraId="2D316781" w14:textId="77777777" w:rsidR="008C6D7D" w:rsidRPr="008C6D7D" w:rsidRDefault="008C6D7D" w:rsidP="008C6D7D">
      <w:pPr>
        <w:rPr>
          <w:rFonts w:ascii="Arial" w:hAnsi="Arial" w:cs="Arial"/>
          <w:sz w:val="24"/>
        </w:rPr>
      </w:pPr>
      <w:r w:rsidRPr="008C6D7D">
        <w:rPr>
          <w:rFonts w:ascii="Arial" w:hAnsi="Arial" w:cs="Arial"/>
          <w:sz w:val="24"/>
        </w:rPr>
        <w:t>Subban, P. (2016, February 4). Australian students are becoming increasingly disengaged at school – here’s why. The Conversation.</w:t>
      </w:r>
    </w:p>
    <w:p w14:paraId="5B5C7D61" w14:textId="77777777" w:rsidR="008C6D7D" w:rsidRPr="008C6D7D" w:rsidRDefault="008C6D7D" w:rsidP="008C6D7D">
      <w:pPr>
        <w:rPr>
          <w:rFonts w:ascii="Arial" w:hAnsi="Arial" w:cs="Arial"/>
          <w:sz w:val="24"/>
        </w:rPr>
      </w:pPr>
      <w:r w:rsidRPr="008C6D7D">
        <w:rPr>
          <w:rFonts w:ascii="Arial" w:hAnsi="Arial" w:cs="Arial"/>
          <w:sz w:val="24"/>
        </w:rPr>
        <w:t>Taylor, J., &amp; Haintz, G. L. (2018). Influence of the social determinants of health on access to healthcare services among refugees in Australia. Australian Journal of Primary Health, 24, 14-28.</w:t>
      </w:r>
    </w:p>
    <w:p w14:paraId="0642D0F4" w14:textId="77777777" w:rsidR="008C6D7D" w:rsidRPr="008C6D7D" w:rsidRDefault="008C6D7D" w:rsidP="008C6D7D">
      <w:pPr>
        <w:rPr>
          <w:rFonts w:ascii="Arial" w:hAnsi="Arial" w:cs="Arial"/>
          <w:sz w:val="24"/>
        </w:rPr>
      </w:pPr>
      <w:r w:rsidRPr="008C6D7D">
        <w:rPr>
          <w:rFonts w:ascii="Arial" w:hAnsi="Arial" w:cs="Arial"/>
          <w:sz w:val="24"/>
        </w:rPr>
        <w:t>Taylor-Miller, T., &amp; Simm, P. J. (2017). Growth disorders in adolescents. Australian Family Physician, 46(12), 210-227.</w:t>
      </w:r>
    </w:p>
    <w:p w14:paraId="4C56C488" w14:textId="77777777" w:rsidR="008C6D7D" w:rsidRPr="008C6D7D" w:rsidRDefault="008C6D7D" w:rsidP="008C6D7D">
      <w:pPr>
        <w:rPr>
          <w:rFonts w:ascii="Arial" w:hAnsi="Arial" w:cs="Arial"/>
          <w:sz w:val="24"/>
        </w:rPr>
      </w:pPr>
      <w:r w:rsidRPr="008C6D7D">
        <w:rPr>
          <w:rFonts w:ascii="Arial" w:hAnsi="Arial" w:cs="Arial"/>
          <w:sz w:val="24"/>
        </w:rPr>
        <w:t>Twenge, J. M., Martin, G. N., &amp; Campbell, W. K. (2018). Decreases in Psychological Well-Being Among American Adolescents After 2012 and Links to Screen Time During the Rise of Smartphone Technology. Emotion, 18(6), 765-780.</w:t>
      </w:r>
    </w:p>
    <w:p w14:paraId="37BE6F79" w14:textId="77777777" w:rsidR="008C6D7D" w:rsidRPr="008C6D7D" w:rsidRDefault="008C6D7D" w:rsidP="008C6D7D">
      <w:pPr>
        <w:rPr>
          <w:rFonts w:ascii="Arial" w:hAnsi="Arial" w:cs="Arial"/>
          <w:sz w:val="24"/>
        </w:rPr>
      </w:pPr>
      <w:r w:rsidRPr="008C6D7D">
        <w:rPr>
          <w:rFonts w:ascii="Arial" w:hAnsi="Arial" w:cs="Arial"/>
          <w:sz w:val="24"/>
        </w:rPr>
        <w:t>Ullman, J. (2015). Free2Be?: Exploring the schooling experiences of Australia's sexuality and gender diverse secondary school students. Penrith: Centre for Educational Research, School of Education, Western Sydney University.</w:t>
      </w:r>
    </w:p>
    <w:p w14:paraId="1FC7352C" w14:textId="77777777" w:rsidR="008C6D7D" w:rsidRPr="008C6D7D" w:rsidRDefault="008C6D7D" w:rsidP="008C6D7D">
      <w:pPr>
        <w:rPr>
          <w:rFonts w:ascii="Arial" w:hAnsi="Arial" w:cs="Arial"/>
          <w:sz w:val="24"/>
        </w:rPr>
      </w:pPr>
      <w:r w:rsidRPr="008C6D7D">
        <w:rPr>
          <w:rFonts w:ascii="Arial" w:hAnsi="Arial" w:cs="Arial"/>
          <w:sz w:val="24"/>
        </w:rPr>
        <w:t>United Nations. (1989). Convention on the Rights of the Child. Geneva: Office of the United Nations High Commissioner for Human Rights.</w:t>
      </w:r>
    </w:p>
    <w:p w14:paraId="384FA603" w14:textId="77777777" w:rsidR="008C6D7D" w:rsidRPr="008C6D7D" w:rsidRDefault="008C6D7D" w:rsidP="008C6D7D">
      <w:pPr>
        <w:rPr>
          <w:rFonts w:ascii="Arial" w:hAnsi="Arial" w:cs="Arial"/>
          <w:sz w:val="24"/>
        </w:rPr>
      </w:pPr>
      <w:r w:rsidRPr="008C6D7D">
        <w:rPr>
          <w:rFonts w:ascii="Arial" w:hAnsi="Arial" w:cs="Arial"/>
          <w:sz w:val="24"/>
        </w:rPr>
        <w:t>Valibhoy, M. C., Szwarc, J., &amp; Kaplan, I. (2017). Young service users from refugee backgrounds: their perspectives on barriers to accessing Australian mental health services. International Journal of Human Rights in Healthcare, 10(1), 68-80.</w:t>
      </w:r>
    </w:p>
    <w:p w14:paraId="62A09070" w14:textId="77777777" w:rsidR="008C6D7D" w:rsidRPr="008C6D7D" w:rsidRDefault="008C6D7D" w:rsidP="008C6D7D">
      <w:pPr>
        <w:rPr>
          <w:rFonts w:ascii="Arial" w:hAnsi="Arial" w:cs="Arial"/>
          <w:sz w:val="24"/>
        </w:rPr>
      </w:pPr>
      <w:r w:rsidRPr="008C6D7D">
        <w:rPr>
          <w:rFonts w:ascii="Arial" w:hAnsi="Arial" w:cs="Arial"/>
          <w:sz w:val="24"/>
        </w:rPr>
        <w:t>Vanhelst, J., Béghin, L., Drumez, E., &amp; Duhamel, A. (2018). Adolescents’ diet quality in relation to their relatives’ and peers’ diet engagement and encouragement: the Healthy Lifestyle in Europe by Nutrition in Adolescence (HELENA) study. Public Health Nutrition, 21(17), 3192-3201.</w:t>
      </w:r>
    </w:p>
    <w:p w14:paraId="44D2003D" w14:textId="77777777" w:rsidR="008C6D7D" w:rsidRPr="008C6D7D" w:rsidRDefault="008C6D7D" w:rsidP="008C6D7D">
      <w:pPr>
        <w:rPr>
          <w:rFonts w:ascii="Arial" w:hAnsi="Arial" w:cs="Arial"/>
          <w:sz w:val="24"/>
        </w:rPr>
      </w:pPr>
      <w:r w:rsidRPr="008C6D7D">
        <w:rPr>
          <w:rFonts w:ascii="Arial" w:hAnsi="Arial" w:cs="Arial"/>
          <w:sz w:val="24"/>
        </w:rPr>
        <w:t>VicHealth. (2017). Bright Futures: Spotlight on the wellbeing of young people from refugee and migrant backgrounds. Melbourne: Victorian Health Promotion Foundation.</w:t>
      </w:r>
    </w:p>
    <w:p w14:paraId="475FFF0C" w14:textId="77777777" w:rsidR="008C6D7D" w:rsidRPr="008C6D7D" w:rsidRDefault="008C6D7D" w:rsidP="008C6D7D">
      <w:pPr>
        <w:rPr>
          <w:rFonts w:ascii="Arial" w:hAnsi="Arial" w:cs="Arial"/>
          <w:sz w:val="24"/>
        </w:rPr>
      </w:pPr>
      <w:r w:rsidRPr="008C6D7D">
        <w:rPr>
          <w:rFonts w:ascii="Arial" w:hAnsi="Arial" w:cs="Arial"/>
          <w:sz w:val="24"/>
        </w:rPr>
        <w:t>Walburg, V. (2014). Burnout among high school students: A literature review. Children and Youth Services Review, 42, 28-33.</w:t>
      </w:r>
    </w:p>
    <w:p w14:paraId="48C855DC" w14:textId="77777777" w:rsidR="008C6D7D" w:rsidRPr="008C6D7D" w:rsidRDefault="008C6D7D" w:rsidP="008C6D7D">
      <w:pPr>
        <w:rPr>
          <w:rFonts w:ascii="Arial" w:hAnsi="Arial" w:cs="Arial"/>
          <w:sz w:val="24"/>
        </w:rPr>
      </w:pPr>
      <w:r w:rsidRPr="008C6D7D">
        <w:rPr>
          <w:rFonts w:ascii="Arial" w:hAnsi="Arial" w:cs="Arial"/>
          <w:sz w:val="24"/>
        </w:rPr>
        <w:t>Wang, H., Lin, S. L., Leung, G. M., &amp; Schooling, C. M. (2016). Age at Onset of Puberty and Adolescent Depression: “Children of 1997” Birth Cohort. Pediatrics, 137(6, e20153231).</w:t>
      </w:r>
    </w:p>
    <w:p w14:paraId="4892C558" w14:textId="77777777" w:rsidR="008C6D7D" w:rsidRPr="008C6D7D" w:rsidRDefault="008C6D7D" w:rsidP="008C6D7D">
      <w:pPr>
        <w:rPr>
          <w:rFonts w:ascii="Arial" w:hAnsi="Arial" w:cs="Arial"/>
          <w:sz w:val="24"/>
        </w:rPr>
      </w:pPr>
      <w:r w:rsidRPr="008C6D7D">
        <w:rPr>
          <w:rFonts w:ascii="Arial" w:hAnsi="Arial" w:cs="Arial"/>
          <w:sz w:val="24"/>
        </w:rPr>
        <w:lastRenderedPageBreak/>
        <w:t>Warren, D., &amp; Daraganova, G. (Eds.). (2018). Growing up in Australia: The Longitudinal Study of Australian Children Annual Statistical Report 2017. Melbourne: Australian Institute of Family Studies.</w:t>
      </w:r>
    </w:p>
    <w:p w14:paraId="41A99470" w14:textId="77777777" w:rsidR="008C6D7D" w:rsidRPr="008C6D7D" w:rsidRDefault="008C6D7D" w:rsidP="008C6D7D">
      <w:pPr>
        <w:rPr>
          <w:rFonts w:ascii="Arial" w:hAnsi="Arial" w:cs="Arial"/>
          <w:sz w:val="24"/>
        </w:rPr>
      </w:pPr>
      <w:r w:rsidRPr="008C6D7D">
        <w:rPr>
          <w:rFonts w:ascii="Arial" w:hAnsi="Arial" w:cs="Arial"/>
          <w:sz w:val="24"/>
        </w:rPr>
        <w:t>Warren, D., &amp; Edwards, B. (2017). Contexts of disadvantage. Canberra: Department of Social Services.</w:t>
      </w:r>
    </w:p>
    <w:p w14:paraId="21B073DE" w14:textId="77777777" w:rsidR="008C6D7D" w:rsidRPr="008C6D7D" w:rsidRDefault="008C6D7D" w:rsidP="008C6D7D">
      <w:pPr>
        <w:rPr>
          <w:rFonts w:ascii="Arial" w:hAnsi="Arial" w:cs="Arial"/>
          <w:sz w:val="24"/>
        </w:rPr>
      </w:pPr>
      <w:r w:rsidRPr="008C6D7D">
        <w:rPr>
          <w:rFonts w:ascii="Arial" w:hAnsi="Arial" w:cs="Arial"/>
          <w:sz w:val="24"/>
        </w:rPr>
        <w:t>Weldon, P. R. (2016). Out-of-field teaching in Australian secondary schools, Policy Insights, Issue 6. Camberwell: Australian Council for Educational Research.</w:t>
      </w:r>
    </w:p>
    <w:p w14:paraId="0959C3B3" w14:textId="77777777" w:rsidR="008C6D7D" w:rsidRPr="008C6D7D" w:rsidRDefault="008C6D7D" w:rsidP="008C6D7D">
      <w:pPr>
        <w:rPr>
          <w:rFonts w:ascii="Arial" w:hAnsi="Arial" w:cs="Arial"/>
          <w:sz w:val="24"/>
        </w:rPr>
      </w:pPr>
      <w:r w:rsidRPr="008C6D7D">
        <w:rPr>
          <w:rFonts w:ascii="Arial" w:hAnsi="Arial" w:cs="Arial"/>
          <w:sz w:val="24"/>
        </w:rPr>
        <w:t>Widom, C. S. (1992). The cycle of violence. Washington, DC: National Institute of Justice.</w:t>
      </w:r>
    </w:p>
    <w:p w14:paraId="53B55868" w14:textId="77777777" w:rsidR="008C6D7D" w:rsidRPr="008C6D7D" w:rsidRDefault="008C6D7D" w:rsidP="008C6D7D">
      <w:pPr>
        <w:rPr>
          <w:rFonts w:ascii="Arial" w:hAnsi="Arial" w:cs="Arial"/>
          <w:sz w:val="24"/>
        </w:rPr>
      </w:pPr>
      <w:r w:rsidRPr="008C6D7D">
        <w:rPr>
          <w:rFonts w:ascii="Arial" w:hAnsi="Arial" w:cs="Arial"/>
          <w:sz w:val="24"/>
        </w:rPr>
        <w:t>Winpenny, E. M., Van Sluijs, E. M., White, M., Klepp, K. I., Wold, B., &amp; Lien, N. (2018). Changes in diet through adolescence and early adulthood: longitudinal trajectories and association with key life transitions. International Journal of Behavioral Nutrition and Physical Activity, 15(86), 88.</w:t>
      </w:r>
    </w:p>
    <w:p w14:paraId="6F0D7854" w14:textId="77777777" w:rsidR="008C6D7D" w:rsidRPr="008C6D7D" w:rsidRDefault="008C6D7D" w:rsidP="008C6D7D">
      <w:pPr>
        <w:rPr>
          <w:rFonts w:ascii="Arial" w:hAnsi="Arial" w:cs="Arial"/>
          <w:sz w:val="24"/>
        </w:rPr>
      </w:pPr>
      <w:r w:rsidRPr="008C6D7D">
        <w:rPr>
          <w:rFonts w:ascii="Arial" w:hAnsi="Arial" w:cs="Arial"/>
          <w:sz w:val="24"/>
        </w:rPr>
        <w:t>World Health Organization. (2018). WHO Global Report on Trends in Prevalence of Tobacco Smoking, 2000-2025 (2nd ed.). Geneva: World Health Organization.</w:t>
      </w:r>
    </w:p>
    <w:p w14:paraId="72CE1397" w14:textId="77777777" w:rsidR="008C6D7D" w:rsidRPr="008C6D7D" w:rsidRDefault="008C6D7D" w:rsidP="008C6D7D">
      <w:pPr>
        <w:rPr>
          <w:rFonts w:ascii="Arial" w:hAnsi="Arial" w:cs="Arial"/>
          <w:sz w:val="24"/>
        </w:rPr>
      </w:pPr>
      <w:r w:rsidRPr="008C6D7D">
        <w:rPr>
          <w:rFonts w:ascii="Arial" w:hAnsi="Arial" w:cs="Arial"/>
          <w:sz w:val="24"/>
        </w:rPr>
        <w:t>Zoonen, K., Buntrock, C., Ebert, D. D., Smit, F., Reynolds,</w:t>
      </w:r>
      <w:r>
        <w:rPr>
          <w:rFonts w:ascii="Arial" w:hAnsi="Arial" w:cs="Arial"/>
          <w:sz w:val="24"/>
        </w:rPr>
        <w:t xml:space="preserve"> </w:t>
      </w:r>
      <w:r w:rsidRPr="008C6D7D">
        <w:rPr>
          <w:rFonts w:ascii="Arial" w:hAnsi="Arial" w:cs="Arial"/>
          <w:sz w:val="24"/>
        </w:rPr>
        <w:t>C. F., Beekman, A. T., &amp; Cujipers, P. (2014). Preventing the onset of major depressive disorder: A meta-analytic review of psychological interventions. International Journal of Epidemiology, 43(2), 318-329.</w:t>
      </w:r>
    </w:p>
    <w:p w14:paraId="66D28968" w14:textId="77777777" w:rsidR="008C6D7D" w:rsidRDefault="008C6D7D" w:rsidP="008C6D7D">
      <w:pPr>
        <w:rPr>
          <w:rFonts w:ascii="Arial" w:hAnsi="Arial" w:cs="Arial"/>
          <w:sz w:val="24"/>
        </w:rPr>
      </w:pPr>
      <w:r w:rsidRPr="008C6D7D">
        <w:rPr>
          <w:rFonts w:ascii="Arial" w:hAnsi="Arial" w:cs="Arial"/>
          <w:sz w:val="24"/>
        </w:rPr>
        <w:t>Zubrick, S., Silburn, S. R., De Maio, J. A., Shepherd, C., Griffin,</w:t>
      </w:r>
      <w:r>
        <w:rPr>
          <w:rFonts w:ascii="Arial" w:hAnsi="Arial" w:cs="Arial"/>
          <w:sz w:val="24"/>
        </w:rPr>
        <w:t xml:space="preserve"> </w:t>
      </w:r>
      <w:r w:rsidRPr="008C6D7D">
        <w:rPr>
          <w:rFonts w:ascii="Arial" w:hAnsi="Arial" w:cs="Arial"/>
          <w:sz w:val="24"/>
        </w:rPr>
        <w:t>J. A., Dalby, R. B. et al. (2006). Western Australian Aboriginal Child Health Survey: Improving the Educational Experiences of Aboriginal Children and Young People. Perth: Telethon Institute for Child Health Research and Curtin University</w:t>
      </w:r>
      <w:r>
        <w:rPr>
          <w:rFonts w:ascii="Arial" w:hAnsi="Arial" w:cs="Arial"/>
          <w:sz w:val="24"/>
        </w:rPr>
        <w:t xml:space="preserve"> </w:t>
      </w:r>
      <w:r w:rsidRPr="008C6D7D">
        <w:rPr>
          <w:rFonts w:ascii="Arial" w:hAnsi="Arial" w:cs="Arial"/>
          <w:sz w:val="24"/>
        </w:rPr>
        <w:t>of Technology.</w:t>
      </w:r>
    </w:p>
    <w:p w14:paraId="35EE36DE" w14:textId="77777777" w:rsidR="008C6D7D" w:rsidRDefault="008C6D7D" w:rsidP="008C6D7D">
      <w:pPr>
        <w:rPr>
          <w:rFonts w:ascii="Arial" w:hAnsi="Arial" w:cs="Arial"/>
          <w:sz w:val="24"/>
        </w:rPr>
      </w:pPr>
    </w:p>
    <w:p w14:paraId="0EBBC58F" w14:textId="77777777" w:rsidR="008C6D7D" w:rsidRPr="00D4413A" w:rsidRDefault="00D4413A" w:rsidP="00D4413A">
      <w:pPr>
        <w:pStyle w:val="Heading2"/>
        <w:rPr>
          <w:rFonts w:ascii="Arial" w:hAnsi="Arial" w:cs="Arial"/>
          <w:color w:val="auto"/>
        </w:rPr>
      </w:pPr>
      <w:bookmarkStart w:id="73" w:name="_Toc33527798"/>
      <w:r w:rsidRPr="00D4413A">
        <w:rPr>
          <w:rFonts w:ascii="Arial" w:hAnsi="Arial" w:cs="Arial"/>
          <w:color w:val="auto"/>
        </w:rPr>
        <w:t>LIST OF FIGURES</w:t>
      </w:r>
      <w:bookmarkEnd w:id="73"/>
    </w:p>
    <w:p w14:paraId="5496A96F" w14:textId="77777777" w:rsidR="00D4413A" w:rsidRPr="00D4413A" w:rsidRDefault="00D4413A" w:rsidP="00D4413A">
      <w:pPr>
        <w:rPr>
          <w:rFonts w:ascii="Arial" w:hAnsi="Arial" w:cs="Arial"/>
          <w:sz w:val="24"/>
        </w:rPr>
      </w:pPr>
      <w:r w:rsidRPr="00D4413A">
        <w:rPr>
          <w:rFonts w:ascii="Arial" w:hAnsi="Arial" w:cs="Arial"/>
          <w:sz w:val="24"/>
        </w:rPr>
        <w:t>Figure 1 Proportion of Victorian students (Years 8 &amp; 11) who report 'good health' or better, 2014-2018. pg 25</w:t>
      </w:r>
    </w:p>
    <w:p w14:paraId="32EEE0CA" w14:textId="77777777" w:rsidR="00D4413A" w:rsidRPr="00D4413A" w:rsidRDefault="00D4413A" w:rsidP="00D4413A">
      <w:pPr>
        <w:rPr>
          <w:rFonts w:ascii="Arial" w:hAnsi="Arial" w:cs="Arial"/>
          <w:sz w:val="24"/>
        </w:rPr>
      </w:pPr>
      <w:r w:rsidRPr="00D4413A">
        <w:rPr>
          <w:rFonts w:ascii="Arial" w:hAnsi="Arial" w:cs="Arial"/>
          <w:sz w:val="24"/>
        </w:rPr>
        <w:t>Figure 2 Proportion of adolescents who are overweight or obese by age group, Victoria, 2017-18. pg 30</w:t>
      </w:r>
    </w:p>
    <w:p w14:paraId="11327A94" w14:textId="77777777" w:rsidR="00D4413A" w:rsidRPr="00D4413A" w:rsidRDefault="00D4413A" w:rsidP="00D4413A">
      <w:pPr>
        <w:rPr>
          <w:rFonts w:ascii="Arial" w:hAnsi="Arial" w:cs="Arial"/>
          <w:sz w:val="24"/>
        </w:rPr>
      </w:pPr>
      <w:r w:rsidRPr="00D4413A">
        <w:rPr>
          <w:rFonts w:ascii="Arial" w:hAnsi="Arial" w:cs="Arial"/>
          <w:sz w:val="24"/>
        </w:rPr>
        <w:t>Figure 3 Rate (per 100,000 population) of anaphylaxis hospitalisations among 10-to-17-year-olds, Victoria, 2008-09—2017-18. pg 33</w:t>
      </w:r>
    </w:p>
    <w:p w14:paraId="58954765" w14:textId="77777777" w:rsidR="00D4413A" w:rsidRPr="00D4413A" w:rsidRDefault="00D4413A" w:rsidP="00D4413A">
      <w:pPr>
        <w:rPr>
          <w:rFonts w:ascii="Arial" w:hAnsi="Arial" w:cs="Arial"/>
          <w:sz w:val="24"/>
        </w:rPr>
      </w:pPr>
      <w:r w:rsidRPr="00D4413A">
        <w:rPr>
          <w:rFonts w:ascii="Arial" w:hAnsi="Arial" w:cs="Arial"/>
          <w:sz w:val="24"/>
        </w:rPr>
        <w:t>Figure 4 Electronic media use among Victorian students (Years 8 &amp; 11) by wellbeing outcomes, 2018. pg 34</w:t>
      </w:r>
    </w:p>
    <w:p w14:paraId="71E0E067" w14:textId="77777777" w:rsidR="00D4413A" w:rsidRPr="00D4413A" w:rsidRDefault="00D4413A" w:rsidP="00D4413A">
      <w:pPr>
        <w:rPr>
          <w:rFonts w:ascii="Arial" w:hAnsi="Arial" w:cs="Arial"/>
          <w:sz w:val="24"/>
        </w:rPr>
      </w:pPr>
      <w:r w:rsidRPr="00D4413A">
        <w:rPr>
          <w:rFonts w:ascii="Arial" w:hAnsi="Arial" w:cs="Arial"/>
          <w:sz w:val="24"/>
        </w:rPr>
        <w:t>Figure 5 Experiences of sleep problems among Victorian students by year level, 2014-2018. pg 36</w:t>
      </w:r>
    </w:p>
    <w:p w14:paraId="5B0DD324" w14:textId="77777777" w:rsidR="00D4413A" w:rsidRPr="00D4413A" w:rsidRDefault="00D4413A" w:rsidP="00D4413A">
      <w:pPr>
        <w:rPr>
          <w:rFonts w:ascii="Arial" w:hAnsi="Arial" w:cs="Arial"/>
          <w:sz w:val="24"/>
        </w:rPr>
      </w:pPr>
      <w:r w:rsidRPr="00D4413A">
        <w:rPr>
          <w:rFonts w:ascii="Arial" w:hAnsi="Arial" w:cs="Arial"/>
          <w:sz w:val="24"/>
        </w:rPr>
        <w:lastRenderedPageBreak/>
        <w:t>Figure 6 Proportion of Victorian students (Years 8 &amp; 11) with and without sleep problems who experience depressive symptoms, 2018. pg 37</w:t>
      </w:r>
    </w:p>
    <w:p w14:paraId="3C69F281" w14:textId="77777777" w:rsidR="00D4413A" w:rsidRPr="00D4413A" w:rsidRDefault="00D4413A" w:rsidP="00D4413A">
      <w:pPr>
        <w:rPr>
          <w:rFonts w:ascii="Arial" w:hAnsi="Arial" w:cs="Arial"/>
          <w:sz w:val="24"/>
        </w:rPr>
      </w:pPr>
      <w:r w:rsidRPr="00D4413A">
        <w:rPr>
          <w:rFonts w:ascii="Arial" w:hAnsi="Arial" w:cs="Arial"/>
          <w:sz w:val="24"/>
        </w:rPr>
        <w:t>Figure 7 Proportion of Victorian students (Years 8 &amp; 11) who perceive their academic ability as good or very good, by level of sleeping problems, 2018. pg 37</w:t>
      </w:r>
    </w:p>
    <w:p w14:paraId="47892451" w14:textId="77777777" w:rsidR="00D4413A" w:rsidRPr="00D4413A" w:rsidRDefault="00D4413A" w:rsidP="00D4413A">
      <w:pPr>
        <w:rPr>
          <w:rFonts w:ascii="Arial" w:hAnsi="Arial" w:cs="Arial"/>
          <w:sz w:val="24"/>
        </w:rPr>
      </w:pPr>
      <w:r w:rsidRPr="00D4413A">
        <w:rPr>
          <w:rFonts w:ascii="Arial" w:hAnsi="Arial" w:cs="Arial"/>
          <w:sz w:val="24"/>
        </w:rPr>
        <w:t>Figure 8 Proportion of Victorian students (Years 8 &amp; 11) who are current smokers by year level, 2014-2018. pg 41</w:t>
      </w:r>
    </w:p>
    <w:p w14:paraId="73430F04" w14:textId="77777777" w:rsidR="00D4413A" w:rsidRPr="00D4413A" w:rsidRDefault="00D4413A" w:rsidP="00D4413A">
      <w:pPr>
        <w:rPr>
          <w:rFonts w:ascii="Arial" w:hAnsi="Arial" w:cs="Arial"/>
          <w:sz w:val="24"/>
        </w:rPr>
      </w:pPr>
      <w:r w:rsidRPr="00D4413A">
        <w:rPr>
          <w:rFonts w:ascii="Arial" w:hAnsi="Arial" w:cs="Arial"/>
          <w:sz w:val="24"/>
        </w:rPr>
        <w:t>Figure 9 Proportion of Victorian students (Years 8 &amp; 11) who are current smokers by gender, 2014-2018. pg 41</w:t>
      </w:r>
    </w:p>
    <w:p w14:paraId="6EA3F341" w14:textId="77777777" w:rsidR="00D4413A" w:rsidRPr="00D4413A" w:rsidRDefault="00D4413A" w:rsidP="00D4413A">
      <w:pPr>
        <w:rPr>
          <w:rFonts w:ascii="Arial" w:hAnsi="Arial" w:cs="Arial"/>
          <w:sz w:val="24"/>
        </w:rPr>
      </w:pPr>
      <w:r w:rsidRPr="00D4413A">
        <w:rPr>
          <w:rFonts w:ascii="Arial" w:hAnsi="Arial" w:cs="Arial"/>
          <w:sz w:val="24"/>
        </w:rPr>
        <w:t>Figure 10 Proportion of Victorian students (Years 8 &amp; 11)</w:t>
      </w:r>
      <w:r>
        <w:rPr>
          <w:rFonts w:ascii="Arial" w:hAnsi="Arial" w:cs="Arial"/>
          <w:sz w:val="24"/>
        </w:rPr>
        <w:t xml:space="preserve"> </w:t>
      </w:r>
      <w:r w:rsidRPr="00D4413A">
        <w:rPr>
          <w:rFonts w:ascii="Arial" w:hAnsi="Arial" w:cs="Arial"/>
          <w:sz w:val="24"/>
        </w:rPr>
        <w:t>who reported monthly alcohol consumption, 2014-2018. pg 43</w:t>
      </w:r>
    </w:p>
    <w:p w14:paraId="22B7E68C" w14:textId="77777777" w:rsidR="00D4413A" w:rsidRPr="00D4413A" w:rsidRDefault="00D4413A" w:rsidP="00D4413A">
      <w:pPr>
        <w:rPr>
          <w:rFonts w:ascii="Arial" w:hAnsi="Arial" w:cs="Arial"/>
          <w:sz w:val="24"/>
        </w:rPr>
      </w:pPr>
      <w:r w:rsidRPr="00D4413A">
        <w:rPr>
          <w:rFonts w:ascii="Arial" w:hAnsi="Arial" w:cs="Arial"/>
          <w:sz w:val="24"/>
        </w:rPr>
        <w:t>Figure 11 Proportion of Victorian students (Years 8 &amp; 11) who have used an illegal drug in the past 30 days, by year level, 2014-2018. pg 44</w:t>
      </w:r>
    </w:p>
    <w:p w14:paraId="04144BED" w14:textId="77777777" w:rsidR="00D4413A" w:rsidRPr="00D4413A" w:rsidRDefault="00D4413A" w:rsidP="00D4413A">
      <w:pPr>
        <w:rPr>
          <w:rFonts w:ascii="Arial" w:hAnsi="Arial" w:cs="Arial"/>
          <w:sz w:val="24"/>
        </w:rPr>
      </w:pPr>
      <w:r w:rsidRPr="00D4413A">
        <w:rPr>
          <w:rFonts w:ascii="Arial" w:hAnsi="Arial" w:cs="Arial"/>
          <w:sz w:val="24"/>
        </w:rPr>
        <w:t>Figure 12 Proportion of Victorian students (Years 8 &amp; 11) who have tried alcohol or drugs and who know adults who have been drunk or used drugs in the past year, 2018. pg 45</w:t>
      </w:r>
    </w:p>
    <w:p w14:paraId="19B16604" w14:textId="77777777" w:rsidR="00D4413A" w:rsidRPr="00D4413A" w:rsidRDefault="00D4413A" w:rsidP="00D4413A">
      <w:pPr>
        <w:rPr>
          <w:rFonts w:ascii="Arial" w:hAnsi="Arial" w:cs="Arial"/>
          <w:sz w:val="24"/>
        </w:rPr>
      </w:pPr>
      <w:r w:rsidRPr="00D4413A">
        <w:rPr>
          <w:rFonts w:ascii="Arial" w:hAnsi="Arial" w:cs="Arial"/>
          <w:sz w:val="24"/>
        </w:rPr>
        <w:t>Figure 13 Victorian students (Years 8 &amp; 11) consumption of cigarettes, alcohol, and cannabis, by parent attitudes towards substance use, 2018. pg 46</w:t>
      </w:r>
    </w:p>
    <w:p w14:paraId="45A373A8" w14:textId="77777777" w:rsidR="00D4413A" w:rsidRPr="00D4413A" w:rsidRDefault="00D4413A" w:rsidP="00D4413A">
      <w:pPr>
        <w:rPr>
          <w:rFonts w:ascii="Arial" w:hAnsi="Arial" w:cs="Arial"/>
          <w:sz w:val="24"/>
        </w:rPr>
      </w:pPr>
      <w:r w:rsidRPr="00D4413A">
        <w:rPr>
          <w:rFonts w:ascii="Arial" w:hAnsi="Arial" w:cs="Arial"/>
          <w:sz w:val="24"/>
        </w:rPr>
        <w:t>Figure 14 Proportion of Victorian students (Years 8 &amp; 11) who have ever had sex, 2014–2018. pg 47</w:t>
      </w:r>
    </w:p>
    <w:p w14:paraId="2A98C375" w14:textId="77777777" w:rsidR="00D4413A" w:rsidRPr="00D4413A" w:rsidRDefault="00D4413A" w:rsidP="00D4413A">
      <w:pPr>
        <w:rPr>
          <w:rFonts w:ascii="Arial" w:hAnsi="Arial" w:cs="Arial"/>
          <w:sz w:val="24"/>
        </w:rPr>
      </w:pPr>
      <w:r w:rsidRPr="00D4413A">
        <w:rPr>
          <w:rFonts w:ascii="Arial" w:hAnsi="Arial" w:cs="Arial"/>
          <w:sz w:val="24"/>
        </w:rPr>
        <w:t>Figure 15 STI notification rates per 100,000 young people (aged 15-17), by gender, Victoria, 2006-2018. pg 52</w:t>
      </w:r>
    </w:p>
    <w:p w14:paraId="418F27A9" w14:textId="77777777" w:rsidR="00D4413A" w:rsidRPr="00D4413A" w:rsidRDefault="00D4413A" w:rsidP="00D4413A">
      <w:pPr>
        <w:rPr>
          <w:rFonts w:ascii="Arial" w:hAnsi="Arial" w:cs="Arial"/>
          <w:sz w:val="24"/>
        </w:rPr>
      </w:pPr>
      <w:r w:rsidRPr="00D4413A">
        <w:rPr>
          <w:rFonts w:ascii="Arial" w:hAnsi="Arial" w:cs="Arial"/>
          <w:sz w:val="24"/>
        </w:rPr>
        <w:t>Figure 16 HPV vaccination coverage for Victorian adolescents turning 15 years of age, 2014–2017. pg 53</w:t>
      </w:r>
    </w:p>
    <w:p w14:paraId="2BF1552A" w14:textId="77777777" w:rsidR="00D4413A" w:rsidRPr="00D4413A" w:rsidRDefault="00D4413A" w:rsidP="00D4413A">
      <w:pPr>
        <w:rPr>
          <w:rFonts w:ascii="Arial" w:hAnsi="Arial" w:cs="Arial"/>
          <w:sz w:val="24"/>
        </w:rPr>
      </w:pPr>
      <w:r w:rsidRPr="00D4413A">
        <w:rPr>
          <w:rFonts w:ascii="Arial" w:hAnsi="Arial" w:cs="Arial"/>
          <w:sz w:val="24"/>
        </w:rPr>
        <w:t>Figure 17 Proportion of Victorian students (Years 8 &amp; 11) who are satisfied with the quality of their life, 2014-2018. pg 62</w:t>
      </w:r>
    </w:p>
    <w:p w14:paraId="645CECC5" w14:textId="77777777" w:rsidR="00D4413A" w:rsidRPr="00D4413A" w:rsidRDefault="00D4413A" w:rsidP="00D4413A">
      <w:pPr>
        <w:rPr>
          <w:rFonts w:ascii="Arial" w:hAnsi="Arial" w:cs="Arial"/>
          <w:sz w:val="24"/>
        </w:rPr>
      </w:pPr>
      <w:r w:rsidRPr="00D4413A">
        <w:rPr>
          <w:rFonts w:ascii="Arial" w:hAnsi="Arial" w:cs="Arial"/>
          <w:sz w:val="24"/>
        </w:rPr>
        <w:t>Figure 18 Proportion of Victorian students (Years 8 &amp; 11) who report high levels of resilience, 2014–2018. pg 63</w:t>
      </w:r>
    </w:p>
    <w:p w14:paraId="5BF42A77" w14:textId="77777777" w:rsidR="00D4413A" w:rsidRPr="00D4413A" w:rsidRDefault="00D4413A" w:rsidP="00D4413A">
      <w:pPr>
        <w:rPr>
          <w:rFonts w:ascii="Arial" w:hAnsi="Arial" w:cs="Arial"/>
          <w:sz w:val="24"/>
        </w:rPr>
      </w:pPr>
      <w:r w:rsidRPr="00D4413A">
        <w:rPr>
          <w:rFonts w:ascii="Arial" w:hAnsi="Arial" w:cs="Arial"/>
          <w:sz w:val="24"/>
        </w:rPr>
        <w:t>Figure 19 Proportion of Victorian students (Years 8 &amp; 11) with high and low levels of resilience by selected characteristics, 2018. pg 64</w:t>
      </w:r>
    </w:p>
    <w:p w14:paraId="410DFC75" w14:textId="77777777" w:rsidR="00D4413A" w:rsidRPr="00D4413A" w:rsidRDefault="00D4413A" w:rsidP="00D4413A">
      <w:pPr>
        <w:rPr>
          <w:rFonts w:ascii="Arial" w:hAnsi="Arial" w:cs="Arial"/>
          <w:sz w:val="24"/>
        </w:rPr>
      </w:pPr>
      <w:r w:rsidRPr="00D4413A">
        <w:rPr>
          <w:rFonts w:ascii="Arial" w:hAnsi="Arial" w:cs="Arial"/>
          <w:sz w:val="24"/>
        </w:rPr>
        <w:t>Figure 20 Proportion of Victorian students (Years 8 &amp; 11) with high levels of resilience by social risk factors, 2018. pg 64</w:t>
      </w:r>
    </w:p>
    <w:p w14:paraId="509AFD8D" w14:textId="77777777" w:rsidR="00D4413A" w:rsidRPr="00D4413A" w:rsidRDefault="00D4413A" w:rsidP="00D4413A">
      <w:pPr>
        <w:rPr>
          <w:rFonts w:ascii="Arial" w:hAnsi="Arial" w:cs="Arial"/>
          <w:sz w:val="24"/>
        </w:rPr>
      </w:pPr>
      <w:r w:rsidRPr="00D4413A">
        <w:rPr>
          <w:rFonts w:ascii="Arial" w:hAnsi="Arial" w:cs="Arial"/>
          <w:sz w:val="24"/>
        </w:rPr>
        <w:t>Figure 21 Proportion of Victorian students (Years 8 &amp; 11) who were bullied during the school term, 2018. pg 66</w:t>
      </w:r>
    </w:p>
    <w:p w14:paraId="64FDFD63" w14:textId="77777777" w:rsidR="00D4413A" w:rsidRPr="00D4413A" w:rsidRDefault="00D4413A" w:rsidP="00D4413A">
      <w:pPr>
        <w:rPr>
          <w:rFonts w:ascii="Arial" w:hAnsi="Arial" w:cs="Arial"/>
          <w:sz w:val="24"/>
        </w:rPr>
      </w:pPr>
      <w:r w:rsidRPr="00D4413A">
        <w:rPr>
          <w:rFonts w:ascii="Arial" w:hAnsi="Arial" w:cs="Arial"/>
          <w:sz w:val="24"/>
        </w:rPr>
        <w:lastRenderedPageBreak/>
        <w:t>Figure 22 Proportion of Victorian government students (Years 7 to 9) who are chronically absent, by reported bullying, 2018. pg 68</w:t>
      </w:r>
    </w:p>
    <w:p w14:paraId="7EEE9FC5" w14:textId="77777777" w:rsidR="00D4413A" w:rsidRPr="00D4413A" w:rsidRDefault="00D4413A" w:rsidP="00D4413A">
      <w:pPr>
        <w:rPr>
          <w:rFonts w:ascii="Arial" w:hAnsi="Arial" w:cs="Arial"/>
          <w:sz w:val="24"/>
        </w:rPr>
      </w:pPr>
      <w:r w:rsidRPr="00D4413A">
        <w:rPr>
          <w:rFonts w:ascii="Arial" w:hAnsi="Arial" w:cs="Arial"/>
          <w:sz w:val="24"/>
        </w:rPr>
        <w:t>Figure 23 NAPLAN Reading achievement by year level by reported bullying, 2018. pg 68</w:t>
      </w:r>
    </w:p>
    <w:p w14:paraId="23743C7C" w14:textId="77777777" w:rsidR="00D4413A" w:rsidRPr="00D4413A" w:rsidRDefault="00D4413A" w:rsidP="00D4413A">
      <w:pPr>
        <w:rPr>
          <w:rFonts w:ascii="Arial" w:hAnsi="Arial" w:cs="Arial"/>
          <w:sz w:val="24"/>
        </w:rPr>
      </w:pPr>
      <w:r w:rsidRPr="00D4413A">
        <w:rPr>
          <w:rFonts w:ascii="Arial" w:hAnsi="Arial" w:cs="Arial"/>
          <w:sz w:val="24"/>
        </w:rPr>
        <w:t>Figure 24 Proportion of Victorian students (Years 8 &amp; 11) who experienced unwelcome cyber behaviours, by gender, 2018. pg 70</w:t>
      </w:r>
    </w:p>
    <w:p w14:paraId="3D411486" w14:textId="77777777" w:rsidR="00D4413A" w:rsidRPr="00D4413A" w:rsidRDefault="00D4413A" w:rsidP="00D4413A">
      <w:pPr>
        <w:rPr>
          <w:rFonts w:ascii="Arial" w:hAnsi="Arial" w:cs="Arial"/>
          <w:sz w:val="24"/>
        </w:rPr>
      </w:pPr>
      <w:r w:rsidRPr="00D4413A">
        <w:rPr>
          <w:rFonts w:ascii="Arial" w:hAnsi="Arial" w:cs="Arial"/>
          <w:sz w:val="24"/>
        </w:rPr>
        <w:t>Figure 25 Proportion of Victorian students (Years 8 &amp; 11) reporting high levels of psychological distress, by year level, 2014–2018. pg 73</w:t>
      </w:r>
    </w:p>
    <w:p w14:paraId="04BD2A5B" w14:textId="77777777" w:rsidR="00D4413A" w:rsidRPr="00D4413A" w:rsidRDefault="00D4413A" w:rsidP="00D4413A">
      <w:pPr>
        <w:rPr>
          <w:rFonts w:ascii="Arial" w:hAnsi="Arial" w:cs="Arial"/>
          <w:sz w:val="24"/>
        </w:rPr>
      </w:pPr>
      <w:r w:rsidRPr="00D4413A">
        <w:rPr>
          <w:rFonts w:ascii="Arial" w:hAnsi="Arial" w:cs="Arial"/>
          <w:sz w:val="24"/>
        </w:rPr>
        <w:t>Figure 26 Proportion of adolescents (aged 12 to 18) utilising Medicare Benefits Schedule-subsidised mental health services, Victoria, 2011–12 to 2017–2018. pg 75</w:t>
      </w:r>
    </w:p>
    <w:p w14:paraId="680E9815" w14:textId="77777777" w:rsidR="00D4413A" w:rsidRPr="00D4413A" w:rsidRDefault="00D4413A" w:rsidP="00D4413A">
      <w:pPr>
        <w:rPr>
          <w:rFonts w:ascii="Arial" w:hAnsi="Arial" w:cs="Arial"/>
          <w:sz w:val="24"/>
        </w:rPr>
      </w:pPr>
      <w:r w:rsidRPr="00D4413A">
        <w:rPr>
          <w:rFonts w:ascii="Arial" w:hAnsi="Arial" w:cs="Arial"/>
          <w:sz w:val="24"/>
        </w:rPr>
        <w:t>Figure 27 Rate (per 100,000 population) of self-harm emergency department presentations, 10-14 year olds and 15-19 year olds, by calendar year, 2005-2017. pg 76</w:t>
      </w:r>
    </w:p>
    <w:p w14:paraId="12ED5238" w14:textId="77777777" w:rsidR="00D4413A" w:rsidRPr="00D4413A" w:rsidRDefault="00D4413A" w:rsidP="00D4413A">
      <w:pPr>
        <w:rPr>
          <w:rFonts w:ascii="Arial" w:hAnsi="Arial" w:cs="Arial"/>
          <w:sz w:val="24"/>
        </w:rPr>
      </w:pPr>
      <w:r w:rsidRPr="00D4413A">
        <w:rPr>
          <w:rFonts w:ascii="Arial" w:hAnsi="Arial" w:cs="Arial"/>
          <w:sz w:val="24"/>
        </w:rPr>
        <w:t>Figure 28 Rate (per 100,000 population) of self-harm emergency department presentations, 10-14 year olds and 15-19 year olds, by calendar year, 2005-2017. pg 76</w:t>
      </w:r>
    </w:p>
    <w:p w14:paraId="3577FA19" w14:textId="77777777" w:rsidR="00D4413A" w:rsidRPr="00D4413A" w:rsidRDefault="00D4413A" w:rsidP="00D4413A">
      <w:pPr>
        <w:rPr>
          <w:rFonts w:ascii="Arial" w:hAnsi="Arial" w:cs="Arial"/>
          <w:sz w:val="24"/>
        </w:rPr>
      </w:pPr>
      <w:r w:rsidRPr="00D4413A">
        <w:rPr>
          <w:rFonts w:ascii="Arial" w:hAnsi="Arial" w:cs="Arial"/>
          <w:sz w:val="24"/>
        </w:rPr>
        <w:t>Figure 29 Rate (per 100,000 population) of self-harm emergency department presentations, 15-19 year olds, Melbourne Metro and Rest of Victoria, by calendar year, 2005-2017. pg 77</w:t>
      </w:r>
    </w:p>
    <w:p w14:paraId="56C25D0F" w14:textId="77777777" w:rsidR="00D4413A" w:rsidRPr="00D4413A" w:rsidRDefault="00D4413A" w:rsidP="00D4413A">
      <w:pPr>
        <w:rPr>
          <w:rFonts w:ascii="Arial" w:hAnsi="Arial" w:cs="Arial"/>
          <w:sz w:val="24"/>
        </w:rPr>
      </w:pPr>
      <w:r w:rsidRPr="00D4413A">
        <w:rPr>
          <w:rFonts w:ascii="Arial" w:hAnsi="Arial" w:cs="Arial"/>
          <w:sz w:val="24"/>
        </w:rPr>
        <w:t>Figure 30 Death rate by suicide per 100,000 10-19 year olds, Victoria, 2007–2016. pg 77</w:t>
      </w:r>
    </w:p>
    <w:p w14:paraId="7978E954" w14:textId="77777777" w:rsidR="00D4413A" w:rsidRPr="00D4413A" w:rsidRDefault="00D4413A" w:rsidP="00D4413A">
      <w:pPr>
        <w:rPr>
          <w:rFonts w:ascii="Arial" w:hAnsi="Arial" w:cs="Arial"/>
          <w:sz w:val="24"/>
        </w:rPr>
      </w:pPr>
      <w:r w:rsidRPr="00D4413A">
        <w:rPr>
          <w:rFonts w:ascii="Arial" w:hAnsi="Arial" w:cs="Arial"/>
          <w:sz w:val="24"/>
        </w:rPr>
        <w:t>Figure 31 Top five transition activities, Secondary &amp; combined Primary-Secondary Schools, 2018. pg 86</w:t>
      </w:r>
    </w:p>
    <w:p w14:paraId="2E9C3666" w14:textId="77777777" w:rsidR="00D4413A" w:rsidRPr="00D4413A" w:rsidRDefault="00D4413A" w:rsidP="00D4413A">
      <w:pPr>
        <w:rPr>
          <w:rFonts w:ascii="Arial" w:hAnsi="Arial" w:cs="Arial"/>
          <w:sz w:val="24"/>
        </w:rPr>
      </w:pPr>
      <w:r w:rsidRPr="00D4413A">
        <w:rPr>
          <w:rFonts w:ascii="Arial" w:hAnsi="Arial" w:cs="Arial"/>
          <w:sz w:val="24"/>
        </w:rPr>
        <w:t>Figure 32 Victorian government school student responses to AtoSS factors (per cent positive responses), 2018. pg 89</w:t>
      </w:r>
    </w:p>
    <w:p w14:paraId="39DFBCB3" w14:textId="77777777" w:rsidR="00D4413A" w:rsidRPr="00D4413A" w:rsidRDefault="00D4413A" w:rsidP="00D4413A">
      <w:pPr>
        <w:rPr>
          <w:rFonts w:ascii="Arial" w:hAnsi="Arial" w:cs="Arial"/>
          <w:sz w:val="24"/>
        </w:rPr>
      </w:pPr>
      <w:r w:rsidRPr="00D4413A">
        <w:rPr>
          <w:rFonts w:ascii="Arial" w:hAnsi="Arial" w:cs="Arial"/>
          <w:sz w:val="24"/>
        </w:rPr>
        <w:t>Figure 33 NAPLAN Numeracy achievement by Year level and response to AtoSS sense of confidence factor, 2018. pg 90</w:t>
      </w:r>
    </w:p>
    <w:p w14:paraId="5756EA1B" w14:textId="77777777" w:rsidR="00D4413A" w:rsidRPr="00D4413A" w:rsidRDefault="00D4413A" w:rsidP="00D4413A">
      <w:pPr>
        <w:rPr>
          <w:rFonts w:ascii="Arial" w:hAnsi="Arial" w:cs="Arial"/>
          <w:sz w:val="24"/>
        </w:rPr>
      </w:pPr>
      <w:r w:rsidRPr="00D4413A">
        <w:rPr>
          <w:rFonts w:ascii="Arial" w:hAnsi="Arial" w:cs="Arial"/>
          <w:sz w:val="24"/>
        </w:rPr>
        <w:t>Figure 34 Average number of student absence days (Victorian government schools), 2018. pg 92</w:t>
      </w:r>
    </w:p>
    <w:p w14:paraId="3C5FE7CC" w14:textId="77777777" w:rsidR="00D4413A" w:rsidRPr="00D4413A" w:rsidRDefault="00D4413A" w:rsidP="00D4413A">
      <w:pPr>
        <w:rPr>
          <w:rFonts w:ascii="Arial" w:hAnsi="Arial" w:cs="Arial"/>
          <w:sz w:val="24"/>
        </w:rPr>
      </w:pPr>
      <w:r w:rsidRPr="00D4413A">
        <w:rPr>
          <w:rFonts w:ascii="Arial" w:hAnsi="Arial" w:cs="Arial"/>
          <w:sz w:val="24"/>
        </w:rPr>
        <w:t>Figure 35 Proportion of government school students who were chronically absent by year level, 2018. pg 93</w:t>
      </w:r>
    </w:p>
    <w:p w14:paraId="464C5CB8" w14:textId="77777777" w:rsidR="00D4413A" w:rsidRPr="00D4413A" w:rsidRDefault="00D4413A" w:rsidP="00D4413A">
      <w:pPr>
        <w:rPr>
          <w:rFonts w:ascii="Arial" w:hAnsi="Arial" w:cs="Arial"/>
          <w:sz w:val="24"/>
        </w:rPr>
      </w:pPr>
      <w:r w:rsidRPr="00D4413A">
        <w:rPr>
          <w:rFonts w:ascii="Arial" w:hAnsi="Arial" w:cs="Arial"/>
          <w:sz w:val="24"/>
        </w:rPr>
        <w:t>Figure 36 Government school students who are chronically absent by attitudes to attendance and sense of connectedness to schooling, 2018. pg 94</w:t>
      </w:r>
    </w:p>
    <w:p w14:paraId="7A8DCFFD" w14:textId="77777777" w:rsidR="00D4413A" w:rsidRPr="00D4413A" w:rsidRDefault="00D4413A" w:rsidP="00D4413A">
      <w:pPr>
        <w:rPr>
          <w:rFonts w:ascii="Arial" w:hAnsi="Arial" w:cs="Arial"/>
          <w:sz w:val="24"/>
        </w:rPr>
      </w:pPr>
      <w:r w:rsidRPr="00D4413A">
        <w:rPr>
          <w:rFonts w:ascii="Arial" w:hAnsi="Arial" w:cs="Arial"/>
          <w:sz w:val="24"/>
        </w:rPr>
        <w:lastRenderedPageBreak/>
        <w:t>Figure 37 Proportion of students achieving in the top three bands of NAPLAN Reading and Numeracy, Victoria and Australia, 2018. pg 95</w:t>
      </w:r>
    </w:p>
    <w:p w14:paraId="2D711240" w14:textId="77777777" w:rsidR="00D4413A" w:rsidRPr="00D4413A" w:rsidRDefault="00D4413A" w:rsidP="00D4413A">
      <w:pPr>
        <w:rPr>
          <w:rFonts w:ascii="Arial" w:hAnsi="Arial" w:cs="Arial"/>
          <w:sz w:val="24"/>
        </w:rPr>
      </w:pPr>
      <w:r w:rsidRPr="00D4413A">
        <w:rPr>
          <w:rFonts w:ascii="Arial" w:hAnsi="Arial" w:cs="Arial"/>
          <w:sz w:val="24"/>
        </w:rPr>
        <w:t>Figure 38 Proportion of Victorian students achieving in the top three bands of NAPLAN Reading and Numeracy, 2008 and 2018. pg 96</w:t>
      </w:r>
    </w:p>
    <w:p w14:paraId="65D5E61B" w14:textId="77777777" w:rsidR="00D4413A" w:rsidRPr="00D4413A" w:rsidRDefault="00D4413A" w:rsidP="00D4413A">
      <w:pPr>
        <w:rPr>
          <w:rFonts w:ascii="Arial" w:hAnsi="Arial" w:cs="Arial"/>
          <w:sz w:val="24"/>
        </w:rPr>
      </w:pPr>
      <w:r w:rsidRPr="00D4413A">
        <w:rPr>
          <w:rFonts w:ascii="Arial" w:hAnsi="Arial" w:cs="Arial"/>
          <w:sz w:val="24"/>
        </w:rPr>
        <w:t>Figure 39 Proportion of Victorian students in the top three bands of NAPLAN Reading, by Aboriginal status, 2008 and 2018. pg 97</w:t>
      </w:r>
    </w:p>
    <w:p w14:paraId="59E9973D" w14:textId="77777777" w:rsidR="00D4413A" w:rsidRPr="00D4413A" w:rsidRDefault="00D4413A" w:rsidP="00D4413A">
      <w:pPr>
        <w:rPr>
          <w:rFonts w:ascii="Arial" w:hAnsi="Arial" w:cs="Arial"/>
          <w:sz w:val="24"/>
        </w:rPr>
      </w:pPr>
      <w:r w:rsidRPr="00D4413A">
        <w:rPr>
          <w:rFonts w:ascii="Arial" w:hAnsi="Arial" w:cs="Arial"/>
          <w:sz w:val="24"/>
        </w:rPr>
        <w:t>Figure 40 Proportion of Victorian students in the top three bands of NAPLAN Numeracy, by Aboriginal status, 2008 and 2018. pg 97</w:t>
      </w:r>
    </w:p>
    <w:p w14:paraId="715BDB8B" w14:textId="77777777" w:rsidR="00D4413A" w:rsidRPr="00D4413A" w:rsidRDefault="00D4413A" w:rsidP="00D4413A">
      <w:pPr>
        <w:rPr>
          <w:rFonts w:ascii="Arial" w:hAnsi="Arial" w:cs="Arial"/>
          <w:sz w:val="24"/>
        </w:rPr>
      </w:pPr>
      <w:r w:rsidRPr="00D4413A">
        <w:rPr>
          <w:rFonts w:ascii="Arial" w:hAnsi="Arial" w:cs="Arial"/>
          <w:sz w:val="24"/>
        </w:rPr>
        <w:t>Figure 41 Student enrolments in VCE Mathematics subjects, by gender, 2018. pg 99</w:t>
      </w:r>
    </w:p>
    <w:p w14:paraId="6C026246" w14:textId="77777777" w:rsidR="00D4413A" w:rsidRPr="00D4413A" w:rsidRDefault="00D4413A" w:rsidP="00D4413A">
      <w:pPr>
        <w:rPr>
          <w:rFonts w:ascii="Arial" w:hAnsi="Arial" w:cs="Arial"/>
          <w:sz w:val="24"/>
        </w:rPr>
      </w:pPr>
      <w:r w:rsidRPr="00D4413A">
        <w:rPr>
          <w:rFonts w:ascii="Arial" w:hAnsi="Arial" w:cs="Arial"/>
          <w:sz w:val="24"/>
        </w:rPr>
        <w:t>Figure 42 Year 12 attainment rates, by school socioeconomic status, all schools, Victoria, 2008–2017. pg 102</w:t>
      </w:r>
    </w:p>
    <w:p w14:paraId="3280FE28" w14:textId="77777777" w:rsidR="00D4413A" w:rsidRPr="00D4413A" w:rsidRDefault="00D4413A" w:rsidP="00D4413A">
      <w:pPr>
        <w:rPr>
          <w:rFonts w:ascii="Arial" w:hAnsi="Arial" w:cs="Arial"/>
          <w:sz w:val="24"/>
        </w:rPr>
      </w:pPr>
      <w:r w:rsidRPr="00D4413A">
        <w:rPr>
          <w:rFonts w:ascii="Arial" w:hAnsi="Arial" w:cs="Arial"/>
          <w:sz w:val="24"/>
        </w:rPr>
        <w:t>Figure 43 Destination patterns of Year 12 completers and Year 12 non-completers, 2018. pg 103</w:t>
      </w:r>
    </w:p>
    <w:p w14:paraId="19A31F92" w14:textId="77777777" w:rsidR="00D4413A" w:rsidRPr="00D4413A" w:rsidRDefault="00D4413A" w:rsidP="00D4413A">
      <w:pPr>
        <w:rPr>
          <w:rFonts w:ascii="Arial" w:hAnsi="Arial" w:cs="Arial"/>
          <w:sz w:val="24"/>
        </w:rPr>
      </w:pPr>
      <w:r w:rsidRPr="00D4413A">
        <w:rPr>
          <w:rFonts w:ascii="Arial" w:hAnsi="Arial" w:cs="Arial"/>
          <w:sz w:val="24"/>
        </w:rPr>
        <w:t>Figure 44 Proportion of Victorian government secondary students whose parents have a university degree,</w:t>
      </w:r>
      <w:r>
        <w:rPr>
          <w:rFonts w:ascii="Arial" w:hAnsi="Arial" w:cs="Arial"/>
          <w:sz w:val="24"/>
        </w:rPr>
        <w:t xml:space="preserve"> </w:t>
      </w:r>
      <w:r w:rsidRPr="00D4413A">
        <w:rPr>
          <w:rFonts w:ascii="Arial" w:hAnsi="Arial" w:cs="Arial"/>
          <w:sz w:val="24"/>
        </w:rPr>
        <w:t>2009-2018. pg 113</w:t>
      </w:r>
    </w:p>
    <w:p w14:paraId="21FEF21E" w14:textId="77777777" w:rsidR="00D4413A" w:rsidRPr="00D4413A" w:rsidRDefault="00D4413A" w:rsidP="00D4413A">
      <w:pPr>
        <w:rPr>
          <w:rFonts w:ascii="Arial" w:hAnsi="Arial" w:cs="Arial"/>
          <w:sz w:val="24"/>
        </w:rPr>
      </w:pPr>
      <w:r w:rsidRPr="00D4413A">
        <w:rPr>
          <w:rFonts w:ascii="Arial" w:hAnsi="Arial" w:cs="Arial"/>
          <w:sz w:val="24"/>
        </w:rPr>
        <w:t>Figure 45 Proportion of Victorian secondary students (Years 8 &amp; 11) who have a trusted adult in their life, 2018. pg 115</w:t>
      </w:r>
    </w:p>
    <w:p w14:paraId="4C9B26B7" w14:textId="77777777" w:rsidR="00D4413A" w:rsidRPr="00D4413A" w:rsidRDefault="00D4413A" w:rsidP="00D4413A">
      <w:pPr>
        <w:rPr>
          <w:rFonts w:ascii="Arial" w:hAnsi="Arial" w:cs="Arial"/>
          <w:sz w:val="24"/>
        </w:rPr>
      </w:pPr>
      <w:r w:rsidRPr="00D4413A">
        <w:rPr>
          <w:rFonts w:ascii="Arial" w:hAnsi="Arial" w:cs="Arial"/>
          <w:sz w:val="24"/>
        </w:rPr>
        <w:t>Figure 46 Serious family conflicts, by student characteristics, 2018. pg 116</w:t>
      </w:r>
    </w:p>
    <w:p w14:paraId="77290EB2" w14:textId="77777777" w:rsidR="00D4413A" w:rsidRPr="00D4413A" w:rsidRDefault="00D4413A" w:rsidP="00D4413A">
      <w:pPr>
        <w:rPr>
          <w:rFonts w:ascii="Arial" w:hAnsi="Arial" w:cs="Arial"/>
          <w:sz w:val="24"/>
        </w:rPr>
      </w:pPr>
      <w:r w:rsidRPr="00D4413A">
        <w:rPr>
          <w:rFonts w:ascii="Arial" w:hAnsi="Arial" w:cs="Arial"/>
          <w:sz w:val="24"/>
        </w:rPr>
        <w:t>Figure 47 Serious family conflicts by communication difficulties, 2018. pg 116</w:t>
      </w:r>
    </w:p>
    <w:p w14:paraId="7D25C928" w14:textId="77777777" w:rsidR="00D4413A" w:rsidRPr="00D4413A" w:rsidRDefault="00D4413A" w:rsidP="00D4413A">
      <w:pPr>
        <w:rPr>
          <w:rFonts w:ascii="Arial" w:hAnsi="Arial" w:cs="Arial"/>
          <w:sz w:val="24"/>
        </w:rPr>
      </w:pPr>
      <w:r w:rsidRPr="00D4413A">
        <w:rPr>
          <w:rFonts w:ascii="Arial" w:hAnsi="Arial" w:cs="Arial"/>
          <w:sz w:val="24"/>
        </w:rPr>
        <w:t>Figure 48 Gender and age of adolescents affected by family violence, Victoria, 2013-14 to 2017–18. pg 117</w:t>
      </w:r>
    </w:p>
    <w:p w14:paraId="2DA30589" w14:textId="77777777" w:rsidR="00D4413A" w:rsidRPr="00D4413A" w:rsidRDefault="00D4413A" w:rsidP="00D4413A">
      <w:pPr>
        <w:rPr>
          <w:rFonts w:ascii="Arial" w:hAnsi="Arial" w:cs="Arial"/>
          <w:sz w:val="24"/>
        </w:rPr>
      </w:pPr>
      <w:r w:rsidRPr="00D4413A">
        <w:rPr>
          <w:rFonts w:ascii="Arial" w:hAnsi="Arial" w:cs="Arial"/>
          <w:sz w:val="24"/>
        </w:rPr>
        <w:t>Figure 49 Adolescents (aged 12 to 18) reported as being homeless, Victoria, 2011 and 2016. pg 121</w:t>
      </w:r>
    </w:p>
    <w:p w14:paraId="621811F0" w14:textId="77777777" w:rsidR="00D4413A" w:rsidRPr="00D4413A" w:rsidRDefault="00D4413A" w:rsidP="00D4413A">
      <w:pPr>
        <w:rPr>
          <w:rFonts w:ascii="Arial" w:hAnsi="Arial" w:cs="Arial"/>
          <w:sz w:val="24"/>
        </w:rPr>
      </w:pPr>
      <w:r w:rsidRPr="00D4413A">
        <w:rPr>
          <w:rFonts w:ascii="Arial" w:hAnsi="Arial" w:cs="Arial"/>
          <w:sz w:val="24"/>
        </w:rPr>
        <w:t>Figure 50 Proportion of homeless adolescents (aged 12-18) by type of dwelling, Victoria, 2016. pg 121</w:t>
      </w:r>
    </w:p>
    <w:p w14:paraId="507514BB" w14:textId="77777777" w:rsidR="00D4413A" w:rsidRPr="00D4413A" w:rsidRDefault="00D4413A" w:rsidP="00D4413A">
      <w:pPr>
        <w:rPr>
          <w:rFonts w:ascii="Arial" w:hAnsi="Arial" w:cs="Arial"/>
          <w:sz w:val="24"/>
        </w:rPr>
      </w:pPr>
      <w:r w:rsidRPr="00D4413A">
        <w:rPr>
          <w:rFonts w:ascii="Arial" w:hAnsi="Arial" w:cs="Arial"/>
          <w:sz w:val="24"/>
        </w:rPr>
        <w:t>Figure 51 Number of Victorian adolescents in care, by age, setting and year, 2008-09 to 2017-18. pg 125</w:t>
      </w:r>
    </w:p>
    <w:p w14:paraId="36A91D08" w14:textId="77777777" w:rsidR="00D4413A" w:rsidRPr="00D4413A" w:rsidRDefault="00D4413A" w:rsidP="00D4413A">
      <w:pPr>
        <w:rPr>
          <w:rFonts w:ascii="Arial" w:hAnsi="Arial" w:cs="Arial"/>
          <w:sz w:val="24"/>
        </w:rPr>
      </w:pPr>
      <w:r w:rsidRPr="00D4413A">
        <w:rPr>
          <w:rFonts w:ascii="Arial" w:hAnsi="Arial" w:cs="Arial"/>
          <w:sz w:val="24"/>
        </w:rPr>
        <w:t>Figure 52 Proportion of young people accessing homelessness services who are transitioning from care services, of all clients with that age/sex/Aboriginal status, Victoria, 2012–13 to 2017–18. pg 129</w:t>
      </w:r>
    </w:p>
    <w:p w14:paraId="10CB803E" w14:textId="77777777" w:rsidR="00D4413A" w:rsidRPr="00D4413A" w:rsidRDefault="00D4413A" w:rsidP="00D4413A">
      <w:pPr>
        <w:rPr>
          <w:rFonts w:ascii="Arial" w:hAnsi="Arial" w:cs="Arial"/>
          <w:sz w:val="24"/>
        </w:rPr>
      </w:pPr>
      <w:r w:rsidRPr="00D4413A">
        <w:rPr>
          <w:rFonts w:ascii="Arial" w:hAnsi="Arial" w:cs="Arial"/>
          <w:sz w:val="24"/>
        </w:rPr>
        <w:t>Figure 53 Rate (per 10,000 population) of Victorian adolescents aged 10-17 under supervision on an average day, by supervision type, 2013-14 to 2017-18. pg 134</w:t>
      </w:r>
    </w:p>
    <w:sectPr w:rsidR="00D4413A" w:rsidRPr="00D441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IC Light">
    <w:altName w:val="Arial"/>
    <w:panose1 w:val="000004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C">
    <w:panose1 w:val="00000500000000000000"/>
    <w:charset w:val="00"/>
    <w:family w:val="modern"/>
    <w:notTrueType/>
    <w:pitch w:val="variable"/>
    <w:sig w:usb0="00000007" w:usb1="00000000" w:usb2="00000000" w:usb3="00000000" w:csb0="00000093" w:csb1="00000000"/>
  </w:font>
  <w:font w:name="VIC-LightItalic">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53B59"/>
    <w:multiLevelType w:val="hybridMultilevel"/>
    <w:tmpl w:val="0F7AF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BF2EB0"/>
    <w:multiLevelType w:val="hybridMultilevel"/>
    <w:tmpl w:val="AA646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2A33AC"/>
    <w:multiLevelType w:val="hybridMultilevel"/>
    <w:tmpl w:val="FFA02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4B6D0E"/>
    <w:multiLevelType w:val="hybridMultilevel"/>
    <w:tmpl w:val="18F85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9B3609"/>
    <w:multiLevelType w:val="hybridMultilevel"/>
    <w:tmpl w:val="65000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7A6B21"/>
    <w:multiLevelType w:val="hybridMultilevel"/>
    <w:tmpl w:val="4606AEF8"/>
    <w:lvl w:ilvl="0" w:tplc="73EC99DA">
      <w:start w:val="83"/>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674D9D"/>
    <w:multiLevelType w:val="hybridMultilevel"/>
    <w:tmpl w:val="8398D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4B66D4"/>
    <w:multiLevelType w:val="hybridMultilevel"/>
    <w:tmpl w:val="382C5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F71B04"/>
    <w:multiLevelType w:val="hybridMultilevel"/>
    <w:tmpl w:val="500C5E2E"/>
    <w:lvl w:ilvl="0" w:tplc="806E688A">
      <w:numFmt w:val="bullet"/>
      <w:lvlText w:val="•"/>
      <w:lvlJc w:val="left"/>
      <w:pPr>
        <w:ind w:left="587" w:hanging="129"/>
      </w:pPr>
      <w:rPr>
        <w:rFonts w:ascii="VIC Light" w:eastAsia="VIC Light" w:hAnsi="VIC Light" w:cs="VIC Light" w:hint="default"/>
        <w:color w:val="FF9E18"/>
        <w:spacing w:val="-4"/>
        <w:w w:val="100"/>
        <w:sz w:val="20"/>
        <w:szCs w:val="20"/>
        <w:lang w:val="en-US" w:eastAsia="en-US" w:bidi="en-US"/>
      </w:rPr>
    </w:lvl>
    <w:lvl w:ilvl="1" w:tplc="DAD4B910">
      <w:numFmt w:val="bullet"/>
      <w:lvlText w:val="•"/>
      <w:lvlJc w:val="left"/>
      <w:pPr>
        <w:ind w:left="1590" w:hanging="129"/>
      </w:pPr>
      <w:rPr>
        <w:rFonts w:hint="default"/>
        <w:lang w:val="en-US" w:eastAsia="en-US" w:bidi="en-US"/>
      </w:rPr>
    </w:lvl>
    <w:lvl w:ilvl="2" w:tplc="3AAC5026">
      <w:numFmt w:val="bullet"/>
      <w:lvlText w:val="•"/>
      <w:lvlJc w:val="left"/>
      <w:pPr>
        <w:ind w:left="2601" w:hanging="129"/>
      </w:pPr>
      <w:rPr>
        <w:rFonts w:hint="default"/>
        <w:lang w:val="en-US" w:eastAsia="en-US" w:bidi="en-US"/>
      </w:rPr>
    </w:lvl>
    <w:lvl w:ilvl="3" w:tplc="384C2A38">
      <w:numFmt w:val="bullet"/>
      <w:lvlText w:val="•"/>
      <w:lvlJc w:val="left"/>
      <w:pPr>
        <w:ind w:left="3611" w:hanging="129"/>
      </w:pPr>
      <w:rPr>
        <w:rFonts w:hint="default"/>
        <w:lang w:val="en-US" w:eastAsia="en-US" w:bidi="en-US"/>
      </w:rPr>
    </w:lvl>
    <w:lvl w:ilvl="4" w:tplc="246CB274">
      <w:numFmt w:val="bullet"/>
      <w:lvlText w:val="•"/>
      <w:lvlJc w:val="left"/>
      <w:pPr>
        <w:ind w:left="4622" w:hanging="129"/>
      </w:pPr>
      <w:rPr>
        <w:rFonts w:hint="default"/>
        <w:lang w:val="en-US" w:eastAsia="en-US" w:bidi="en-US"/>
      </w:rPr>
    </w:lvl>
    <w:lvl w:ilvl="5" w:tplc="7A7A2E18">
      <w:numFmt w:val="bullet"/>
      <w:lvlText w:val="•"/>
      <w:lvlJc w:val="left"/>
      <w:pPr>
        <w:ind w:left="5632" w:hanging="129"/>
      </w:pPr>
      <w:rPr>
        <w:rFonts w:hint="default"/>
        <w:lang w:val="en-US" w:eastAsia="en-US" w:bidi="en-US"/>
      </w:rPr>
    </w:lvl>
    <w:lvl w:ilvl="6" w:tplc="AE58052A">
      <w:numFmt w:val="bullet"/>
      <w:lvlText w:val="•"/>
      <w:lvlJc w:val="left"/>
      <w:pPr>
        <w:ind w:left="6643" w:hanging="129"/>
      </w:pPr>
      <w:rPr>
        <w:rFonts w:hint="default"/>
        <w:lang w:val="en-US" w:eastAsia="en-US" w:bidi="en-US"/>
      </w:rPr>
    </w:lvl>
    <w:lvl w:ilvl="7" w:tplc="58C600BC">
      <w:numFmt w:val="bullet"/>
      <w:lvlText w:val="•"/>
      <w:lvlJc w:val="left"/>
      <w:pPr>
        <w:ind w:left="7653" w:hanging="129"/>
      </w:pPr>
      <w:rPr>
        <w:rFonts w:hint="default"/>
        <w:lang w:val="en-US" w:eastAsia="en-US" w:bidi="en-US"/>
      </w:rPr>
    </w:lvl>
    <w:lvl w:ilvl="8" w:tplc="AB463AAC">
      <w:numFmt w:val="bullet"/>
      <w:lvlText w:val="•"/>
      <w:lvlJc w:val="left"/>
      <w:pPr>
        <w:ind w:left="8664" w:hanging="129"/>
      </w:pPr>
      <w:rPr>
        <w:rFonts w:hint="default"/>
        <w:lang w:val="en-US" w:eastAsia="en-US" w:bidi="en-US"/>
      </w:rPr>
    </w:lvl>
  </w:abstractNum>
  <w:abstractNum w:abstractNumId="9" w15:restartNumberingAfterBreak="0">
    <w:nsid w:val="20632708"/>
    <w:multiLevelType w:val="hybridMultilevel"/>
    <w:tmpl w:val="217A9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762EE1"/>
    <w:multiLevelType w:val="hybridMultilevel"/>
    <w:tmpl w:val="37D8A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8B1C70"/>
    <w:multiLevelType w:val="hybridMultilevel"/>
    <w:tmpl w:val="6D8C1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5B6857"/>
    <w:multiLevelType w:val="hybridMultilevel"/>
    <w:tmpl w:val="E05EF1DE"/>
    <w:lvl w:ilvl="0" w:tplc="73EC99DA">
      <w:start w:val="83"/>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1C4DAF"/>
    <w:multiLevelType w:val="hybridMultilevel"/>
    <w:tmpl w:val="80883E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850630"/>
    <w:multiLevelType w:val="hybridMultilevel"/>
    <w:tmpl w:val="C0B44C86"/>
    <w:lvl w:ilvl="0" w:tplc="73EC99DA">
      <w:start w:val="83"/>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8F3895"/>
    <w:multiLevelType w:val="hybridMultilevel"/>
    <w:tmpl w:val="D03C173E"/>
    <w:lvl w:ilvl="0" w:tplc="73EC99DA">
      <w:start w:val="83"/>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082874"/>
    <w:multiLevelType w:val="hybridMultilevel"/>
    <w:tmpl w:val="6270F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3D3599"/>
    <w:multiLevelType w:val="hybridMultilevel"/>
    <w:tmpl w:val="A1AE2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EE196C"/>
    <w:multiLevelType w:val="hybridMultilevel"/>
    <w:tmpl w:val="02C24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BF17E2"/>
    <w:multiLevelType w:val="hybridMultilevel"/>
    <w:tmpl w:val="EDA44B9A"/>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0" w15:restartNumberingAfterBreak="0">
    <w:nsid w:val="44E37670"/>
    <w:multiLevelType w:val="hybridMultilevel"/>
    <w:tmpl w:val="D892DFB8"/>
    <w:lvl w:ilvl="0" w:tplc="73EC99DA">
      <w:start w:val="83"/>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FA06FF"/>
    <w:multiLevelType w:val="hybridMultilevel"/>
    <w:tmpl w:val="7C80D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EE4D8B"/>
    <w:multiLevelType w:val="hybridMultilevel"/>
    <w:tmpl w:val="1A50E28E"/>
    <w:lvl w:ilvl="0" w:tplc="73EC99DA">
      <w:start w:val="83"/>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ED3DF4"/>
    <w:multiLevelType w:val="hybridMultilevel"/>
    <w:tmpl w:val="A8AC5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742A7D"/>
    <w:multiLevelType w:val="hybridMultilevel"/>
    <w:tmpl w:val="8A9CF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3B5A0F"/>
    <w:multiLevelType w:val="hybridMultilevel"/>
    <w:tmpl w:val="5200356C"/>
    <w:lvl w:ilvl="0" w:tplc="73EC99DA">
      <w:start w:val="83"/>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26D75D0"/>
    <w:multiLevelType w:val="hybridMultilevel"/>
    <w:tmpl w:val="E3C82EBE"/>
    <w:lvl w:ilvl="0" w:tplc="73EC99DA">
      <w:start w:val="83"/>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0C0621"/>
    <w:multiLevelType w:val="hybridMultilevel"/>
    <w:tmpl w:val="216A2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D570D9"/>
    <w:multiLevelType w:val="hybridMultilevel"/>
    <w:tmpl w:val="0BCE3B6C"/>
    <w:lvl w:ilvl="0" w:tplc="73EC99DA">
      <w:start w:val="83"/>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D83938"/>
    <w:multiLevelType w:val="hybridMultilevel"/>
    <w:tmpl w:val="D79CF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5020B5"/>
    <w:multiLevelType w:val="hybridMultilevel"/>
    <w:tmpl w:val="FFAABF1E"/>
    <w:lvl w:ilvl="0" w:tplc="73EC99DA">
      <w:start w:val="83"/>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59562D"/>
    <w:multiLevelType w:val="hybridMultilevel"/>
    <w:tmpl w:val="7A4048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3C2603"/>
    <w:multiLevelType w:val="hybridMultilevel"/>
    <w:tmpl w:val="E570C0B6"/>
    <w:lvl w:ilvl="0" w:tplc="73EC99DA">
      <w:start w:val="83"/>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EE4B86"/>
    <w:multiLevelType w:val="hybridMultilevel"/>
    <w:tmpl w:val="545A71E4"/>
    <w:lvl w:ilvl="0" w:tplc="73EC99DA">
      <w:start w:val="83"/>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1B6191"/>
    <w:multiLevelType w:val="hybridMultilevel"/>
    <w:tmpl w:val="868AC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745D15"/>
    <w:multiLevelType w:val="hybridMultilevel"/>
    <w:tmpl w:val="7666B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907322"/>
    <w:multiLevelType w:val="hybridMultilevel"/>
    <w:tmpl w:val="7AA0E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35238E"/>
    <w:multiLevelType w:val="hybridMultilevel"/>
    <w:tmpl w:val="6F3CD75A"/>
    <w:lvl w:ilvl="0" w:tplc="0C090001">
      <w:start w:val="1"/>
      <w:numFmt w:val="bullet"/>
      <w:lvlText w:val=""/>
      <w:lvlJc w:val="left"/>
      <w:pPr>
        <w:ind w:left="6480" w:hanging="360"/>
      </w:pPr>
      <w:rPr>
        <w:rFonts w:ascii="Symbol" w:hAnsi="Symbol" w:hint="default"/>
      </w:rPr>
    </w:lvl>
    <w:lvl w:ilvl="1" w:tplc="0C090003" w:tentative="1">
      <w:start w:val="1"/>
      <w:numFmt w:val="bullet"/>
      <w:lvlText w:val="o"/>
      <w:lvlJc w:val="left"/>
      <w:pPr>
        <w:ind w:left="7200" w:hanging="360"/>
      </w:pPr>
      <w:rPr>
        <w:rFonts w:ascii="Courier New" w:hAnsi="Courier New" w:cs="Courier New" w:hint="default"/>
      </w:rPr>
    </w:lvl>
    <w:lvl w:ilvl="2" w:tplc="0C090005" w:tentative="1">
      <w:start w:val="1"/>
      <w:numFmt w:val="bullet"/>
      <w:lvlText w:val=""/>
      <w:lvlJc w:val="left"/>
      <w:pPr>
        <w:ind w:left="7920" w:hanging="360"/>
      </w:pPr>
      <w:rPr>
        <w:rFonts w:ascii="Wingdings" w:hAnsi="Wingdings" w:hint="default"/>
      </w:rPr>
    </w:lvl>
    <w:lvl w:ilvl="3" w:tplc="0C090001" w:tentative="1">
      <w:start w:val="1"/>
      <w:numFmt w:val="bullet"/>
      <w:lvlText w:val=""/>
      <w:lvlJc w:val="left"/>
      <w:pPr>
        <w:ind w:left="8640" w:hanging="360"/>
      </w:pPr>
      <w:rPr>
        <w:rFonts w:ascii="Symbol" w:hAnsi="Symbol" w:hint="default"/>
      </w:rPr>
    </w:lvl>
    <w:lvl w:ilvl="4" w:tplc="0C090003" w:tentative="1">
      <w:start w:val="1"/>
      <w:numFmt w:val="bullet"/>
      <w:lvlText w:val="o"/>
      <w:lvlJc w:val="left"/>
      <w:pPr>
        <w:ind w:left="9360" w:hanging="360"/>
      </w:pPr>
      <w:rPr>
        <w:rFonts w:ascii="Courier New" w:hAnsi="Courier New" w:cs="Courier New" w:hint="default"/>
      </w:rPr>
    </w:lvl>
    <w:lvl w:ilvl="5" w:tplc="0C090005" w:tentative="1">
      <w:start w:val="1"/>
      <w:numFmt w:val="bullet"/>
      <w:lvlText w:val=""/>
      <w:lvlJc w:val="left"/>
      <w:pPr>
        <w:ind w:left="10080" w:hanging="360"/>
      </w:pPr>
      <w:rPr>
        <w:rFonts w:ascii="Wingdings" w:hAnsi="Wingdings" w:hint="default"/>
      </w:rPr>
    </w:lvl>
    <w:lvl w:ilvl="6" w:tplc="0C090001" w:tentative="1">
      <w:start w:val="1"/>
      <w:numFmt w:val="bullet"/>
      <w:lvlText w:val=""/>
      <w:lvlJc w:val="left"/>
      <w:pPr>
        <w:ind w:left="10800" w:hanging="360"/>
      </w:pPr>
      <w:rPr>
        <w:rFonts w:ascii="Symbol" w:hAnsi="Symbol" w:hint="default"/>
      </w:rPr>
    </w:lvl>
    <w:lvl w:ilvl="7" w:tplc="0C090003" w:tentative="1">
      <w:start w:val="1"/>
      <w:numFmt w:val="bullet"/>
      <w:lvlText w:val="o"/>
      <w:lvlJc w:val="left"/>
      <w:pPr>
        <w:ind w:left="11520" w:hanging="360"/>
      </w:pPr>
      <w:rPr>
        <w:rFonts w:ascii="Courier New" w:hAnsi="Courier New" w:cs="Courier New" w:hint="default"/>
      </w:rPr>
    </w:lvl>
    <w:lvl w:ilvl="8" w:tplc="0C090005" w:tentative="1">
      <w:start w:val="1"/>
      <w:numFmt w:val="bullet"/>
      <w:lvlText w:val=""/>
      <w:lvlJc w:val="left"/>
      <w:pPr>
        <w:ind w:left="12240" w:hanging="360"/>
      </w:pPr>
      <w:rPr>
        <w:rFonts w:ascii="Wingdings" w:hAnsi="Wingdings" w:hint="default"/>
      </w:rPr>
    </w:lvl>
  </w:abstractNum>
  <w:abstractNum w:abstractNumId="38" w15:restartNumberingAfterBreak="0">
    <w:nsid w:val="6FFD7B2C"/>
    <w:multiLevelType w:val="hybridMultilevel"/>
    <w:tmpl w:val="EEA49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2C1CE3"/>
    <w:multiLevelType w:val="hybridMultilevel"/>
    <w:tmpl w:val="B480089A"/>
    <w:lvl w:ilvl="0" w:tplc="73EC99DA">
      <w:start w:val="83"/>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A91319"/>
    <w:multiLevelType w:val="hybridMultilevel"/>
    <w:tmpl w:val="9F12F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666AC4"/>
    <w:multiLevelType w:val="hybridMultilevel"/>
    <w:tmpl w:val="46246710"/>
    <w:lvl w:ilvl="0" w:tplc="73EC99DA">
      <w:start w:val="83"/>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2C6AF6"/>
    <w:multiLevelType w:val="hybridMultilevel"/>
    <w:tmpl w:val="54220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901C16"/>
    <w:multiLevelType w:val="hybridMultilevel"/>
    <w:tmpl w:val="673CF3BC"/>
    <w:lvl w:ilvl="0" w:tplc="39944B98">
      <w:numFmt w:val="bullet"/>
      <w:lvlText w:val="•"/>
      <w:lvlJc w:val="left"/>
      <w:pPr>
        <w:ind w:left="680" w:hanging="284"/>
      </w:pPr>
      <w:rPr>
        <w:rFonts w:ascii="VIC Light" w:eastAsia="VIC Light" w:hAnsi="VIC Light" w:cs="VIC Light" w:hint="default"/>
        <w:color w:val="F44C7F"/>
        <w:spacing w:val="-4"/>
        <w:w w:val="100"/>
        <w:sz w:val="19"/>
        <w:szCs w:val="19"/>
        <w:lang w:val="en-US" w:eastAsia="en-US" w:bidi="en-US"/>
      </w:rPr>
    </w:lvl>
    <w:lvl w:ilvl="1" w:tplc="9A8EC47C">
      <w:numFmt w:val="bullet"/>
      <w:lvlText w:val="•"/>
      <w:lvlJc w:val="left"/>
      <w:pPr>
        <w:ind w:left="1502" w:hanging="284"/>
      </w:pPr>
      <w:rPr>
        <w:rFonts w:hint="default"/>
        <w:lang w:val="en-US" w:eastAsia="en-US" w:bidi="en-US"/>
      </w:rPr>
    </w:lvl>
    <w:lvl w:ilvl="2" w:tplc="424232C4">
      <w:numFmt w:val="bullet"/>
      <w:lvlText w:val="•"/>
      <w:lvlJc w:val="left"/>
      <w:pPr>
        <w:ind w:left="2324" w:hanging="284"/>
      </w:pPr>
      <w:rPr>
        <w:rFonts w:hint="default"/>
        <w:lang w:val="en-US" w:eastAsia="en-US" w:bidi="en-US"/>
      </w:rPr>
    </w:lvl>
    <w:lvl w:ilvl="3" w:tplc="E57C4C44">
      <w:numFmt w:val="bullet"/>
      <w:lvlText w:val="•"/>
      <w:lvlJc w:val="left"/>
      <w:pPr>
        <w:ind w:left="3146" w:hanging="284"/>
      </w:pPr>
      <w:rPr>
        <w:rFonts w:hint="default"/>
        <w:lang w:val="en-US" w:eastAsia="en-US" w:bidi="en-US"/>
      </w:rPr>
    </w:lvl>
    <w:lvl w:ilvl="4" w:tplc="28E4097C">
      <w:numFmt w:val="bullet"/>
      <w:lvlText w:val="•"/>
      <w:lvlJc w:val="left"/>
      <w:pPr>
        <w:ind w:left="3968" w:hanging="284"/>
      </w:pPr>
      <w:rPr>
        <w:rFonts w:hint="default"/>
        <w:lang w:val="en-US" w:eastAsia="en-US" w:bidi="en-US"/>
      </w:rPr>
    </w:lvl>
    <w:lvl w:ilvl="5" w:tplc="557262B6">
      <w:numFmt w:val="bullet"/>
      <w:lvlText w:val="•"/>
      <w:lvlJc w:val="left"/>
      <w:pPr>
        <w:ind w:left="4790" w:hanging="284"/>
      </w:pPr>
      <w:rPr>
        <w:rFonts w:hint="default"/>
        <w:lang w:val="en-US" w:eastAsia="en-US" w:bidi="en-US"/>
      </w:rPr>
    </w:lvl>
    <w:lvl w:ilvl="6" w:tplc="54C2FAB6">
      <w:numFmt w:val="bullet"/>
      <w:lvlText w:val="•"/>
      <w:lvlJc w:val="left"/>
      <w:pPr>
        <w:ind w:left="5612" w:hanging="284"/>
      </w:pPr>
      <w:rPr>
        <w:rFonts w:hint="default"/>
        <w:lang w:val="en-US" w:eastAsia="en-US" w:bidi="en-US"/>
      </w:rPr>
    </w:lvl>
    <w:lvl w:ilvl="7" w:tplc="D320F51A">
      <w:numFmt w:val="bullet"/>
      <w:lvlText w:val="•"/>
      <w:lvlJc w:val="left"/>
      <w:pPr>
        <w:ind w:left="6434" w:hanging="284"/>
      </w:pPr>
      <w:rPr>
        <w:rFonts w:hint="default"/>
        <w:lang w:val="en-US" w:eastAsia="en-US" w:bidi="en-US"/>
      </w:rPr>
    </w:lvl>
    <w:lvl w:ilvl="8" w:tplc="A3C42B7E">
      <w:numFmt w:val="bullet"/>
      <w:lvlText w:val="•"/>
      <w:lvlJc w:val="left"/>
      <w:pPr>
        <w:ind w:left="7256" w:hanging="284"/>
      </w:pPr>
      <w:rPr>
        <w:rFonts w:hint="default"/>
        <w:lang w:val="en-US" w:eastAsia="en-US" w:bidi="en-US"/>
      </w:rPr>
    </w:lvl>
  </w:abstractNum>
  <w:num w:numId="1">
    <w:abstractNumId w:val="8"/>
  </w:num>
  <w:num w:numId="2">
    <w:abstractNumId w:val="16"/>
  </w:num>
  <w:num w:numId="3">
    <w:abstractNumId w:val="0"/>
  </w:num>
  <w:num w:numId="4">
    <w:abstractNumId w:val="11"/>
  </w:num>
  <w:num w:numId="5">
    <w:abstractNumId w:val="15"/>
  </w:num>
  <w:num w:numId="6">
    <w:abstractNumId w:val="32"/>
  </w:num>
  <w:num w:numId="7">
    <w:abstractNumId w:val="41"/>
  </w:num>
  <w:num w:numId="8">
    <w:abstractNumId w:val="22"/>
  </w:num>
  <w:num w:numId="9">
    <w:abstractNumId w:val="14"/>
  </w:num>
  <w:num w:numId="10">
    <w:abstractNumId w:val="33"/>
  </w:num>
  <w:num w:numId="11">
    <w:abstractNumId w:val="26"/>
  </w:num>
  <w:num w:numId="12">
    <w:abstractNumId w:val="5"/>
  </w:num>
  <w:num w:numId="13">
    <w:abstractNumId w:val="43"/>
  </w:num>
  <w:num w:numId="14">
    <w:abstractNumId w:val="28"/>
  </w:num>
  <w:num w:numId="15">
    <w:abstractNumId w:val="20"/>
  </w:num>
  <w:num w:numId="16">
    <w:abstractNumId w:val="12"/>
  </w:num>
  <w:num w:numId="17">
    <w:abstractNumId w:val="39"/>
  </w:num>
  <w:num w:numId="18">
    <w:abstractNumId w:val="30"/>
  </w:num>
  <w:num w:numId="19">
    <w:abstractNumId w:val="18"/>
  </w:num>
  <w:num w:numId="20">
    <w:abstractNumId w:val="36"/>
  </w:num>
  <w:num w:numId="21">
    <w:abstractNumId w:val="9"/>
  </w:num>
  <w:num w:numId="22">
    <w:abstractNumId w:val="35"/>
  </w:num>
  <w:num w:numId="23">
    <w:abstractNumId w:val="34"/>
  </w:num>
  <w:num w:numId="24">
    <w:abstractNumId w:val="25"/>
  </w:num>
  <w:num w:numId="25">
    <w:abstractNumId w:val="40"/>
  </w:num>
  <w:num w:numId="26">
    <w:abstractNumId w:val="17"/>
  </w:num>
  <w:num w:numId="27">
    <w:abstractNumId w:val="3"/>
  </w:num>
  <w:num w:numId="28">
    <w:abstractNumId w:val="1"/>
  </w:num>
  <w:num w:numId="29">
    <w:abstractNumId w:val="7"/>
  </w:num>
  <w:num w:numId="30">
    <w:abstractNumId w:val="19"/>
  </w:num>
  <w:num w:numId="31">
    <w:abstractNumId w:val="37"/>
  </w:num>
  <w:num w:numId="32">
    <w:abstractNumId w:val="4"/>
  </w:num>
  <w:num w:numId="33">
    <w:abstractNumId w:val="13"/>
  </w:num>
  <w:num w:numId="34">
    <w:abstractNumId w:val="42"/>
  </w:num>
  <w:num w:numId="35">
    <w:abstractNumId w:val="10"/>
  </w:num>
  <w:num w:numId="36">
    <w:abstractNumId w:val="21"/>
  </w:num>
  <w:num w:numId="37">
    <w:abstractNumId w:val="2"/>
  </w:num>
  <w:num w:numId="38">
    <w:abstractNumId w:val="6"/>
  </w:num>
  <w:num w:numId="39">
    <w:abstractNumId w:val="23"/>
  </w:num>
  <w:num w:numId="40">
    <w:abstractNumId w:val="24"/>
  </w:num>
  <w:num w:numId="41">
    <w:abstractNumId w:val="38"/>
  </w:num>
  <w:num w:numId="42">
    <w:abstractNumId w:val="31"/>
  </w:num>
  <w:num w:numId="43">
    <w:abstractNumId w:val="29"/>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8A7"/>
    <w:rsid w:val="00000F88"/>
    <w:rsid w:val="00002A6E"/>
    <w:rsid w:val="0000636F"/>
    <w:rsid w:val="00013743"/>
    <w:rsid w:val="000149AD"/>
    <w:rsid w:val="00020020"/>
    <w:rsid w:val="000226CB"/>
    <w:rsid w:val="00031151"/>
    <w:rsid w:val="00034972"/>
    <w:rsid w:val="000447A3"/>
    <w:rsid w:val="00047FCB"/>
    <w:rsid w:val="00053462"/>
    <w:rsid w:val="00054426"/>
    <w:rsid w:val="00063959"/>
    <w:rsid w:val="00070301"/>
    <w:rsid w:val="0008308F"/>
    <w:rsid w:val="00083D8A"/>
    <w:rsid w:val="00083FA3"/>
    <w:rsid w:val="000A686C"/>
    <w:rsid w:val="000A74EF"/>
    <w:rsid w:val="000B3C1D"/>
    <w:rsid w:val="000B3DED"/>
    <w:rsid w:val="000C0CEA"/>
    <w:rsid w:val="000C207C"/>
    <w:rsid w:val="000C34FE"/>
    <w:rsid w:val="000C56DC"/>
    <w:rsid w:val="000E32C5"/>
    <w:rsid w:val="000E3FDC"/>
    <w:rsid w:val="000E7776"/>
    <w:rsid w:val="000F0B51"/>
    <w:rsid w:val="00101E4D"/>
    <w:rsid w:val="001138B1"/>
    <w:rsid w:val="00114E70"/>
    <w:rsid w:val="00114FCD"/>
    <w:rsid w:val="00115DCA"/>
    <w:rsid w:val="0012306D"/>
    <w:rsid w:val="00130784"/>
    <w:rsid w:val="001315D2"/>
    <w:rsid w:val="00137EA2"/>
    <w:rsid w:val="00142E6F"/>
    <w:rsid w:val="00150CA5"/>
    <w:rsid w:val="00151035"/>
    <w:rsid w:val="00152387"/>
    <w:rsid w:val="00161D0D"/>
    <w:rsid w:val="0016524C"/>
    <w:rsid w:val="00165EB4"/>
    <w:rsid w:val="001749B1"/>
    <w:rsid w:val="00175805"/>
    <w:rsid w:val="0018203F"/>
    <w:rsid w:val="00193DC5"/>
    <w:rsid w:val="001A0988"/>
    <w:rsid w:val="001A5888"/>
    <w:rsid w:val="001A60A5"/>
    <w:rsid w:val="001B4BE3"/>
    <w:rsid w:val="001B63A2"/>
    <w:rsid w:val="001C2193"/>
    <w:rsid w:val="001C3BAE"/>
    <w:rsid w:val="001C7DDF"/>
    <w:rsid w:val="00214EC7"/>
    <w:rsid w:val="00220C16"/>
    <w:rsid w:val="00220DC9"/>
    <w:rsid w:val="00222117"/>
    <w:rsid w:val="0022345D"/>
    <w:rsid w:val="0023508D"/>
    <w:rsid w:val="002505A9"/>
    <w:rsid w:val="00252D77"/>
    <w:rsid w:val="002557F4"/>
    <w:rsid w:val="0026204B"/>
    <w:rsid w:val="00266EB0"/>
    <w:rsid w:val="0027146A"/>
    <w:rsid w:val="002728B2"/>
    <w:rsid w:val="002828A7"/>
    <w:rsid w:val="002841E8"/>
    <w:rsid w:val="00293A5F"/>
    <w:rsid w:val="00293AD9"/>
    <w:rsid w:val="00296661"/>
    <w:rsid w:val="002A1CF9"/>
    <w:rsid w:val="002B1D7F"/>
    <w:rsid w:val="002B21C3"/>
    <w:rsid w:val="002B4D3A"/>
    <w:rsid w:val="002C0C18"/>
    <w:rsid w:val="002C59FD"/>
    <w:rsid w:val="002D53DB"/>
    <w:rsid w:val="002E4BE9"/>
    <w:rsid w:val="002E53D8"/>
    <w:rsid w:val="002F3BD4"/>
    <w:rsid w:val="003013C6"/>
    <w:rsid w:val="00305A7E"/>
    <w:rsid w:val="0031068F"/>
    <w:rsid w:val="00311814"/>
    <w:rsid w:val="00313A7D"/>
    <w:rsid w:val="00313A89"/>
    <w:rsid w:val="00314F94"/>
    <w:rsid w:val="00316A0D"/>
    <w:rsid w:val="00317D48"/>
    <w:rsid w:val="00321EFB"/>
    <w:rsid w:val="00323C66"/>
    <w:rsid w:val="003268C0"/>
    <w:rsid w:val="00331333"/>
    <w:rsid w:val="003350BE"/>
    <w:rsid w:val="00335A15"/>
    <w:rsid w:val="003406DD"/>
    <w:rsid w:val="00346E08"/>
    <w:rsid w:val="0035150A"/>
    <w:rsid w:val="0035763A"/>
    <w:rsid w:val="00357967"/>
    <w:rsid w:val="0036403D"/>
    <w:rsid w:val="00381BDB"/>
    <w:rsid w:val="0038265D"/>
    <w:rsid w:val="00393D34"/>
    <w:rsid w:val="003A2626"/>
    <w:rsid w:val="003A29E5"/>
    <w:rsid w:val="003B75C8"/>
    <w:rsid w:val="003C374F"/>
    <w:rsid w:val="003C68B5"/>
    <w:rsid w:val="003D1946"/>
    <w:rsid w:val="003D546B"/>
    <w:rsid w:val="003F02BB"/>
    <w:rsid w:val="003F78A3"/>
    <w:rsid w:val="004026A7"/>
    <w:rsid w:val="00414520"/>
    <w:rsid w:val="00417086"/>
    <w:rsid w:val="00420AF4"/>
    <w:rsid w:val="00426F6D"/>
    <w:rsid w:val="00433419"/>
    <w:rsid w:val="00452BD9"/>
    <w:rsid w:val="00462627"/>
    <w:rsid w:val="00467486"/>
    <w:rsid w:val="004756D3"/>
    <w:rsid w:val="004A380A"/>
    <w:rsid w:val="004B2022"/>
    <w:rsid w:val="004B3E2A"/>
    <w:rsid w:val="004B4339"/>
    <w:rsid w:val="004B48A3"/>
    <w:rsid w:val="004B57BD"/>
    <w:rsid w:val="004C5EA5"/>
    <w:rsid w:val="004D5B05"/>
    <w:rsid w:val="004E124A"/>
    <w:rsid w:val="004E47C6"/>
    <w:rsid w:val="004E5B53"/>
    <w:rsid w:val="00505C97"/>
    <w:rsid w:val="00513A95"/>
    <w:rsid w:val="005177B7"/>
    <w:rsid w:val="0052060B"/>
    <w:rsid w:val="005207D0"/>
    <w:rsid w:val="0052149B"/>
    <w:rsid w:val="0053062A"/>
    <w:rsid w:val="00531510"/>
    <w:rsid w:val="00540DE5"/>
    <w:rsid w:val="00542309"/>
    <w:rsid w:val="00542684"/>
    <w:rsid w:val="00550A82"/>
    <w:rsid w:val="00554FF7"/>
    <w:rsid w:val="00562290"/>
    <w:rsid w:val="00577952"/>
    <w:rsid w:val="00580F95"/>
    <w:rsid w:val="00582A1F"/>
    <w:rsid w:val="00594B3D"/>
    <w:rsid w:val="00595E88"/>
    <w:rsid w:val="005A313C"/>
    <w:rsid w:val="005B66CD"/>
    <w:rsid w:val="005C2ECB"/>
    <w:rsid w:val="005C71B5"/>
    <w:rsid w:val="005C739D"/>
    <w:rsid w:val="005D44DB"/>
    <w:rsid w:val="005E23C7"/>
    <w:rsid w:val="005F049D"/>
    <w:rsid w:val="005F18C8"/>
    <w:rsid w:val="00622088"/>
    <w:rsid w:val="006222DC"/>
    <w:rsid w:val="00622E48"/>
    <w:rsid w:val="0062794A"/>
    <w:rsid w:val="00632FFF"/>
    <w:rsid w:val="006375EA"/>
    <w:rsid w:val="00642072"/>
    <w:rsid w:val="00644326"/>
    <w:rsid w:val="00644B3B"/>
    <w:rsid w:val="00651C35"/>
    <w:rsid w:val="006619CF"/>
    <w:rsid w:val="00670429"/>
    <w:rsid w:val="006A161F"/>
    <w:rsid w:val="006A299D"/>
    <w:rsid w:val="006A3759"/>
    <w:rsid w:val="006B2762"/>
    <w:rsid w:val="006B5499"/>
    <w:rsid w:val="006C15BF"/>
    <w:rsid w:val="006C1D43"/>
    <w:rsid w:val="006D09F8"/>
    <w:rsid w:val="006D0C21"/>
    <w:rsid w:val="007005E8"/>
    <w:rsid w:val="00702B66"/>
    <w:rsid w:val="00703D76"/>
    <w:rsid w:val="00706EEA"/>
    <w:rsid w:val="007074CA"/>
    <w:rsid w:val="00712419"/>
    <w:rsid w:val="00714310"/>
    <w:rsid w:val="00722400"/>
    <w:rsid w:val="00723798"/>
    <w:rsid w:val="00723FE7"/>
    <w:rsid w:val="007310F3"/>
    <w:rsid w:val="00732521"/>
    <w:rsid w:val="00734375"/>
    <w:rsid w:val="00734F83"/>
    <w:rsid w:val="00736F5C"/>
    <w:rsid w:val="00740B11"/>
    <w:rsid w:val="00744BE2"/>
    <w:rsid w:val="00750938"/>
    <w:rsid w:val="007567FF"/>
    <w:rsid w:val="00763A77"/>
    <w:rsid w:val="00764A5C"/>
    <w:rsid w:val="0076535B"/>
    <w:rsid w:val="007814DE"/>
    <w:rsid w:val="0078442F"/>
    <w:rsid w:val="007851FC"/>
    <w:rsid w:val="00785D88"/>
    <w:rsid w:val="007966A7"/>
    <w:rsid w:val="007A3787"/>
    <w:rsid w:val="007A46CE"/>
    <w:rsid w:val="007B0F8F"/>
    <w:rsid w:val="007B15C3"/>
    <w:rsid w:val="007C4E42"/>
    <w:rsid w:val="007D25F1"/>
    <w:rsid w:val="007D3F88"/>
    <w:rsid w:val="007E0972"/>
    <w:rsid w:val="007E1472"/>
    <w:rsid w:val="007E21F5"/>
    <w:rsid w:val="007E3915"/>
    <w:rsid w:val="007E4A16"/>
    <w:rsid w:val="007F065D"/>
    <w:rsid w:val="007F7740"/>
    <w:rsid w:val="008011A3"/>
    <w:rsid w:val="00801910"/>
    <w:rsid w:val="0080474C"/>
    <w:rsid w:val="0080475A"/>
    <w:rsid w:val="00805019"/>
    <w:rsid w:val="00805253"/>
    <w:rsid w:val="0082536A"/>
    <w:rsid w:val="00825B56"/>
    <w:rsid w:val="00830DB5"/>
    <w:rsid w:val="00831DDC"/>
    <w:rsid w:val="008332BC"/>
    <w:rsid w:val="00833F15"/>
    <w:rsid w:val="0083481D"/>
    <w:rsid w:val="00834D24"/>
    <w:rsid w:val="008400F3"/>
    <w:rsid w:val="0084267C"/>
    <w:rsid w:val="0086408B"/>
    <w:rsid w:val="00865AA4"/>
    <w:rsid w:val="00865AAE"/>
    <w:rsid w:val="00872DA7"/>
    <w:rsid w:val="00875BE3"/>
    <w:rsid w:val="00875C5F"/>
    <w:rsid w:val="008976A7"/>
    <w:rsid w:val="008A041D"/>
    <w:rsid w:val="008A13E2"/>
    <w:rsid w:val="008A1822"/>
    <w:rsid w:val="008A37B4"/>
    <w:rsid w:val="008B279A"/>
    <w:rsid w:val="008B39AC"/>
    <w:rsid w:val="008C1198"/>
    <w:rsid w:val="008C6D7D"/>
    <w:rsid w:val="008C6F1C"/>
    <w:rsid w:val="008D1907"/>
    <w:rsid w:val="008E0E48"/>
    <w:rsid w:val="00902EA0"/>
    <w:rsid w:val="009035AC"/>
    <w:rsid w:val="0091248B"/>
    <w:rsid w:val="00912E88"/>
    <w:rsid w:val="0092029E"/>
    <w:rsid w:val="0092229D"/>
    <w:rsid w:val="0092673E"/>
    <w:rsid w:val="0093023F"/>
    <w:rsid w:val="00931428"/>
    <w:rsid w:val="0093434C"/>
    <w:rsid w:val="009374C0"/>
    <w:rsid w:val="00942620"/>
    <w:rsid w:val="00943FB0"/>
    <w:rsid w:val="00947C7D"/>
    <w:rsid w:val="00953430"/>
    <w:rsid w:val="00962223"/>
    <w:rsid w:val="0096521E"/>
    <w:rsid w:val="00980CB2"/>
    <w:rsid w:val="0098163C"/>
    <w:rsid w:val="009878BA"/>
    <w:rsid w:val="009B0760"/>
    <w:rsid w:val="009B136F"/>
    <w:rsid w:val="009B21AE"/>
    <w:rsid w:val="009C1408"/>
    <w:rsid w:val="009C2A29"/>
    <w:rsid w:val="009C4F71"/>
    <w:rsid w:val="009D7D8F"/>
    <w:rsid w:val="009E21F8"/>
    <w:rsid w:val="009E6BC6"/>
    <w:rsid w:val="009F030F"/>
    <w:rsid w:val="009F6AB8"/>
    <w:rsid w:val="00A035FE"/>
    <w:rsid w:val="00A03E05"/>
    <w:rsid w:val="00A07FE9"/>
    <w:rsid w:val="00A102A5"/>
    <w:rsid w:val="00A10936"/>
    <w:rsid w:val="00A17FA8"/>
    <w:rsid w:val="00A20CF5"/>
    <w:rsid w:val="00A218AE"/>
    <w:rsid w:val="00A31FD5"/>
    <w:rsid w:val="00A32463"/>
    <w:rsid w:val="00A43F1A"/>
    <w:rsid w:val="00A43F28"/>
    <w:rsid w:val="00A44837"/>
    <w:rsid w:val="00A46110"/>
    <w:rsid w:val="00A57D7A"/>
    <w:rsid w:val="00A67CDA"/>
    <w:rsid w:val="00A73020"/>
    <w:rsid w:val="00A748B9"/>
    <w:rsid w:val="00A94A5D"/>
    <w:rsid w:val="00AA39EB"/>
    <w:rsid w:val="00AA5101"/>
    <w:rsid w:val="00AA6681"/>
    <w:rsid w:val="00AB057A"/>
    <w:rsid w:val="00AC0805"/>
    <w:rsid w:val="00AD7155"/>
    <w:rsid w:val="00AE108A"/>
    <w:rsid w:val="00AE1BD3"/>
    <w:rsid w:val="00AF3E38"/>
    <w:rsid w:val="00B0426D"/>
    <w:rsid w:val="00B04AA9"/>
    <w:rsid w:val="00B05316"/>
    <w:rsid w:val="00B07B7E"/>
    <w:rsid w:val="00B15716"/>
    <w:rsid w:val="00B15919"/>
    <w:rsid w:val="00B17D81"/>
    <w:rsid w:val="00B31BCA"/>
    <w:rsid w:val="00B31DC4"/>
    <w:rsid w:val="00B44903"/>
    <w:rsid w:val="00B467CD"/>
    <w:rsid w:val="00B540DC"/>
    <w:rsid w:val="00B6510D"/>
    <w:rsid w:val="00B653BE"/>
    <w:rsid w:val="00B65C0F"/>
    <w:rsid w:val="00B7319E"/>
    <w:rsid w:val="00B73694"/>
    <w:rsid w:val="00B82B4E"/>
    <w:rsid w:val="00B9145B"/>
    <w:rsid w:val="00BB212E"/>
    <w:rsid w:val="00BB2AC3"/>
    <w:rsid w:val="00BB372B"/>
    <w:rsid w:val="00BB68BA"/>
    <w:rsid w:val="00BC1A7F"/>
    <w:rsid w:val="00BE434E"/>
    <w:rsid w:val="00BE7D0C"/>
    <w:rsid w:val="00C043E4"/>
    <w:rsid w:val="00C123DE"/>
    <w:rsid w:val="00C13DBE"/>
    <w:rsid w:val="00C31280"/>
    <w:rsid w:val="00C375F5"/>
    <w:rsid w:val="00C42C5E"/>
    <w:rsid w:val="00C51F76"/>
    <w:rsid w:val="00C70EA8"/>
    <w:rsid w:val="00C83539"/>
    <w:rsid w:val="00C84289"/>
    <w:rsid w:val="00C95029"/>
    <w:rsid w:val="00CA0BB9"/>
    <w:rsid w:val="00CA65A9"/>
    <w:rsid w:val="00CB05F2"/>
    <w:rsid w:val="00CB1705"/>
    <w:rsid w:val="00CB3C28"/>
    <w:rsid w:val="00CC2354"/>
    <w:rsid w:val="00CC2C48"/>
    <w:rsid w:val="00CC616B"/>
    <w:rsid w:val="00CC6F7D"/>
    <w:rsid w:val="00CD51E3"/>
    <w:rsid w:val="00CE1764"/>
    <w:rsid w:val="00CE77CF"/>
    <w:rsid w:val="00CF235D"/>
    <w:rsid w:val="00CF5B43"/>
    <w:rsid w:val="00D00942"/>
    <w:rsid w:val="00D02179"/>
    <w:rsid w:val="00D03606"/>
    <w:rsid w:val="00D07635"/>
    <w:rsid w:val="00D1666E"/>
    <w:rsid w:val="00D17E83"/>
    <w:rsid w:val="00D228E6"/>
    <w:rsid w:val="00D23D00"/>
    <w:rsid w:val="00D241C3"/>
    <w:rsid w:val="00D3195A"/>
    <w:rsid w:val="00D436A8"/>
    <w:rsid w:val="00D4413A"/>
    <w:rsid w:val="00D51351"/>
    <w:rsid w:val="00D65795"/>
    <w:rsid w:val="00D66D19"/>
    <w:rsid w:val="00D735BC"/>
    <w:rsid w:val="00D74B94"/>
    <w:rsid w:val="00D929FC"/>
    <w:rsid w:val="00D93787"/>
    <w:rsid w:val="00D96027"/>
    <w:rsid w:val="00D9796B"/>
    <w:rsid w:val="00DA1796"/>
    <w:rsid w:val="00DA3E86"/>
    <w:rsid w:val="00DB26B3"/>
    <w:rsid w:val="00DB2AF4"/>
    <w:rsid w:val="00DB3E3F"/>
    <w:rsid w:val="00DC683D"/>
    <w:rsid w:val="00DD1963"/>
    <w:rsid w:val="00DD25D3"/>
    <w:rsid w:val="00DD64C9"/>
    <w:rsid w:val="00DE691F"/>
    <w:rsid w:val="00DF0289"/>
    <w:rsid w:val="00DF2556"/>
    <w:rsid w:val="00DF593D"/>
    <w:rsid w:val="00E0453C"/>
    <w:rsid w:val="00E066EB"/>
    <w:rsid w:val="00E1133D"/>
    <w:rsid w:val="00E14070"/>
    <w:rsid w:val="00E26553"/>
    <w:rsid w:val="00E27BC2"/>
    <w:rsid w:val="00E42B40"/>
    <w:rsid w:val="00E45E44"/>
    <w:rsid w:val="00E45E75"/>
    <w:rsid w:val="00E4707B"/>
    <w:rsid w:val="00E4730E"/>
    <w:rsid w:val="00E50905"/>
    <w:rsid w:val="00E53F79"/>
    <w:rsid w:val="00E554B3"/>
    <w:rsid w:val="00E55AE1"/>
    <w:rsid w:val="00E575A8"/>
    <w:rsid w:val="00E576D5"/>
    <w:rsid w:val="00E57985"/>
    <w:rsid w:val="00E661FE"/>
    <w:rsid w:val="00E67B98"/>
    <w:rsid w:val="00E70962"/>
    <w:rsid w:val="00E74785"/>
    <w:rsid w:val="00E85D86"/>
    <w:rsid w:val="00E92BA3"/>
    <w:rsid w:val="00E96700"/>
    <w:rsid w:val="00EA0BE1"/>
    <w:rsid w:val="00EA5DD1"/>
    <w:rsid w:val="00EB2264"/>
    <w:rsid w:val="00EB44F6"/>
    <w:rsid w:val="00EC15DB"/>
    <w:rsid w:val="00EC7B84"/>
    <w:rsid w:val="00ED2F56"/>
    <w:rsid w:val="00ED572C"/>
    <w:rsid w:val="00EE76A3"/>
    <w:rsid w:val="00EF2C9D"/>
    <w:rsid w:val="00F00D3C"/>
    <w:rsid w:val="00F0464C"/>
    <w:rsid w:val="00F049FB"/>
    <w:rsid w:val="00F3142B"/>
    <w:rsid w:val="00F31D2C"/>
    <w:rsid w:val="00F32BA5"/>
    <w:rsid w:val="00F37EA4"/>
    <w:rsid w:val="00F43698"/>
    <w:rsid w:val="00F5117F"/>
    <w:rsid w:val="00F53576"/>
    <w:rsid w:val="00F60962"/>
    <w:rsid w:val="00F61E69"/>
    <w:rsid w:val="00F65B28"/>
    <w:rsid w:val="00F70EC2"/>
    <w:rsid w:val="00F839C8"/>
    <w:rsid w:val="00F9602D"/>
    <w:rsid w:val="00FB5305"/>
    <w:rsid w:val="00FB5883"/>
    <w:rsid w:val="00FB6411"/>
    <w:rsid w:val="00FC582B"/>
    <w:rsid w:val="00FD3805"/>
    <w:rsid w:val="00FD7F43"/>
    <w:rsid w:val="00FE301A"/>
    <w:rsid w:val="00FF1A0B"/>
    <w:rsid w:val="00FF1C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4BF8C"/>
  <w15:docId w15:val="{08876C65-7203-EC46-8F0E-EDD3613E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A041D"/>
  </w:style>
  <w:style w:type="paragraph" w:styleId="Heading1">
    <w:name w:val="heading 1"/>
    <w:basedOn w:val="Normal"/>
    <w:link w:val="Heading1Char"/>
    <w:uiPriority w:val="1"/>
    <w:qFormat/>
    <w:rsid w:val="002828A7"/>
    <w:pPr>
      <w:widowControl w:val="0"/>
      <w:autoSpaceDE w:val="0"/>
      <w:autoSpaceDN w:val="0"/>
      <w:spacing w:before="49" w:after="0" w:line="240" w:lineRule="auto"/>
      <w:outlineLvl w:val="0"/>
    </w:pPr>
    <w:rPr>
      <w:rFonts w:ascii="VIC Light" w:eastAsia="VIC Light" w:hAnsi="VIC Light" w:cs="VIC Light"/>
      <w:sz w:val="80"/>
      <w:szCs w:val="80"/>
      <w:lang w:val="en-US" w:bidi="en-US"/>
    </w:rPr>
  </w:style>
  <w:style w:type="paragraph" w:styleId="Heading2">
    <w:name w:val="heading 2"/>
    <w:basedOn w:val="Normal"/>
    <w:next w:val="Normal"/>
    <w:link w:val="Heading2Char"/>
    <w:uiPriority w:val="9"/>
    <w:unhideWhenUsed/>
    <w:qFormat/>
    <w:rsid w:val="002234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2345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540D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28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28A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1"/>
    <w:rsid w:val="002828A7"/>
    <w:rPr>
      <w:rFonts w:ascii="VIC Light" w:eastAsia="VIC Light" w:hAnsi="VIC Light" w:cs="VIC Light"/>
      <w:sz w:val="80"/>
      <w:szCs w:val="80"/>
      <w:lang w:val="en-US" w:bidi="en-US"/>
    </w:rPr>
  </w:style>
  <w:style w:type="paragraph" w:styleId="BodyText">
    <w:name w:val="Body Text"/>
    <w:basedOn w:val="Normal"/>
    <w:link w:val="BodyTextChar"/>
    <w:uiPriority w:val="1"/>
    <w:qFormat/>
    <w:rsid w:val="002828A7"/>
    <w:pPr>
      <w:widowControl w:val="0"/>
      <w:autoSpaceDE w:val="0"/>
      <w:autoSpaceDN w:val="0"/>
      <w:spacing w:after="0" w:line="240" w:lineRule="auto"/>
    </w:pPr>
    <w:rPr>
      <w:rFonts w:ascii="VIC Light" w:eastAsia="VIC Light" w:hAnsi="VIC Light" w:cs="VIC Light"/>
      <w:sz w:val="20"/>
      <w:szCs w:val="20"/>
      <w:lang w:val="en-US" w:bidi="en-US"/>
    </w:rPr>
  </w:style>
  <w:style w:type="character" w:customStyle="1" w:styleId="BodyTextChar">
    <w:name w:val="Body Text Char"/>
    <w:basedOn w:val="DefaultParagraphFont"/>
    <w:link w:val="BodyText"/>
    <w:uiPriority w:val="1"/>
    <w:rsid w:val="002828A7"/>
    <w:rPr>
      <w:rFonts w:ascii="VIC Light" w:eastAsia="VIC Light" w:hAnsi="VIC Light" w:cs="VIC Light"/>
      <w:sz w:val="20"/>
      <w:szCs w:val="20"/>
      <w:lang w:val="en-US" w:bidi="en-US"/>
    </w:rPr>
  </w:style>
  <w:style w:type="paragraph" w:styleId="ListParagraph">
    <w:name w:val="List Paragraph"/>
    <w:basedOn w:val="Normal"/>
    <w:uiPriority w:val="1"/>
    <w:qFormat/>
    <w:rsid w:val="006375EA"/>
    <w:pPr>
      <w:widowControl w:val="0"/>
      <w:autoSpaceDE w:val="0"/>
      <w:autoSpaceDN w:val="0"/>
      <w:spacing w:before="37" w:after="0" w:line="240" w:lineRule="auto"/>
      <w:ind w:left="1249" w:hanging="284"/>
    </w:pPr>
    <w:rPr>
      <w:rFonts w:ascii="VIC Light" w:eastAsia="VIC Light" w:hAnsi="VIC Light" w:cs="VIC Light"/>
      <w:lang w:val="en-US" w:bidi="en-US"/>
    </w:rPr>
  </w:style>
  <w:style w:type="paragraph" w:styleId="BalloonText">
    <w:name w:val="Balloon Text"/>
    <w:basedOn w:val="Normal"/>
    <w:link w:val="BalloonTextChar"/>
    <w:uiPriority w:val="99"/>
    <w:semiHidden/>
    <w:unhideWhenUsed/>
    <w:rsid w:val="00223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45D"/>
    <w:rPr>
      <w:rFonts w:ascii="Tahoma" w:hAnsi="Tahoma" w:cs="Tahoma"/>
      <w:sz w:val="16"/>
      <w:szCs w:val="16"/>
    </w:rPr>
  </w:style>
  <w:style w:type="character" w:customStyle="1" w:styleId="Heading2Char">
    <w:name w:val="Heading 2 Char"/>
    <w:basedOn w:val="DefaultParagraphFont"/>
    <w:link w:val="Heading2"/>
    <w:uiPriority w:val="9"/>
    <w:rsid w:val="0022345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2345D"/>
    <w:rPr>
      <w:rFonts w:asciiTheme="majorHAnsi" w:eastAsiaTheme="majorEastAsia" w:hAnsiTheme="majorHAnsi" w:cstheme="majorBidi"/>
      <w:b/>
      <w:bCs/>
      <w:color w:val="4F81BD" w:themeColor="accent1"/>
    </w:rPr>
  </w:style>
  <w:style w:type="table" w:styleId="TableGrid">
    <w:name w:val="Table Grid"/>
    <w:basedOn w:val="TableNormal"/>
    <w:uiPriority w:val="59"/>
    <w:rsid w:val="00223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540DC"/>
    <w:rPr>
      <w:rFonts w:asciiTheme="majorHAnsi" w:eastAsiaTheme="majorEastAsia" w:hAnsiTheme="majorHAnsi" w:cstheme="majorBidi"/>
      <w:b/>
      <w:bCs/>
      <w:i/>
      <w:iCs/>
      <w:color w:val="4F81BD" w:themeColor="accent1"/>
    </w:rPr>
  </w:style>
  <w:style w:type="paragraph" w:customStyle="1" w:styleId="TableParagraph">
    <w:name w:val="Table Paragraph"/>
    <w:basedOn w:val="Normal"/>
    <w:uiPriority w:val="1"/>
    <w:qFormat/>
    <w:rsid w:val="008976A7"/>
    <w:pPr>
      <w:widowControl w:val="0"/>
      <w:autoSpaceDE w:val="0"/>
      <w:autoSpaceDN w:val="0"/>
      <w:spacing w:after="0" w:line="240" w:lineRule="auto"/>
    </w:pPr>
    <w:rPr>
      <w:rFonts w:ascii="VIC" w:eastAsia="VIC" w:hAnsi="VIC" w:cs="VIC"/>
      <w:lang w:val="en-US" w:bidi="en-US"/>
    </w:rPr>
  </w:style>
  <w:style w:type="character" w:styleId="Hyperlink">
    <w:name w:val="Hyperlink"/>
    <w:basedOn w:val="DefaultParagraphFont"/>
    <w:uiPriority w:val="99"/>
    <w:unhideWhenUsed/>
    <w:rsid w:val="00785D88"/>
    <w:rPr>
      <w:color w:val="0000FF" w:themeColor="hyperlink"/>
      <w:u w:val="single"/>
    </w:rPr>
  </w:style>
  <w:style w:type="paragraph" w:styleId="TOCHeading">
    <w:name w:val="TOC Heading"/>
    <w:basedOn w:val="Heading1"/>
    <w:next w:val="Normal"/>
    <w:uiPriority w:val="39"/>
    <w:unhideWhenUsed/>
    <w:qFormat/>
    <w:rsid w:val="007851FC"/>
    <w:pPr>
      <w:keepNext/>
      <w:keepLines/>
      <w:widowControl/>
      <w:autoSpaceDE/>
      <w:autoSpaceDN/>
      <w:spacing w:before="480" w:line="276" w:lineRule="auto"/>
      <w:outlineLvl w:val="9"/>
    </w:pPr>
    <w:rPr>
      <w:rFonts w:asciiTheme="majorHAnsi" w:eastAsiaTheme="majorEastAsia" w:hAnsiTheme="majorHAnsi" w:cstheme="majorBidi"/>
      <w:b/>
      <w:bCs/>
      <w:color w:val="365F91" w:themeColor="accent1" w:themeShade="BF"/>
      <w:sz w:val="28"/>
      <w:szCs w:val="28"/>
      <w:lang w:bidi="ar-SA"/>
    </w:rPr>
  </w:style>
  <w:style w:type="paragraph" w:styleId="TOC1">
    <w:name w:val="toc 1"/>
    <w:basedOn w:val="Normal"/>
    <w:next w:val="Normal"/>
    <w:autoRedefine/>
    <w:uiPriority w:val="39"/>
    <w:unhideWhenUsed/>
    <w:rsid w:val="007851FC"/>
    <w:pPr>
      <w:spacing w:before="120" w:after="120"/>
    </w:pPr>
    <w:rPr>
      <w:rFonts w:cstheme="minorHAnsi"/>
      <w:b/>
      <w:bCs/>
      <w:caps/>
      <w:sz w:val="20"/>
      <w:szCs w:val="20"/>
    </w:rPr>
  </w:style>
  <w:style w:type="paragraph" w:styleId="TOC2">
    <w:name w:val="toc 2"/>
    <w:basedOn w:val="Normal"/>
    <w:next w:val="Normal"/>
    <w:autoRedefine/>
    <w:uiPriority w:val="39"/>
    <w:unhideWhenUsed/>
    <w:rsid w:val="007851FC"/>
    <w:pPr>
      <w:spacing w:after="0"/>
      <w:ind w:left="220"/>
    </w:pPr>
    <w:rPr>
      <w:rFonts w:cstheme="minorHAnsi"/>
      <w:smallCaps/>
      <w:sz w:val="20"/>
      <w:szCs w:val="20"/>
    </w:rPr>
  </w:style>
  <w:style w:type="paragraph" w:styleId="TOC3">
    <w:name w:val="toc 3"/>
    <w:basedOn w:val="Normal"/>
    <w:next w:val="Normal"/>
    <w:autoRedefine/>
    <w:uiPriority w:val="39"/>
    <w:unhideWhenUsed/>
    <w:rsid w:val="007851FC"/>
    <w:pPr>
      <w:spacing w:after="0"/>
      <w:ind w:left="440"/>
    </w:pPr>
    <w:rPr>
      <w:rFonts w:cstheme="minorHAnsi"/>
      <w:i/>
      <w:iCs/>
      <w:sz w:val="20"/>
      <w:szCs w:val="20"/>
    </w:rPr>
  </w:style>
  <w:style w:type="paragraph" w:styleId="TOC4">
    <w:name w:val="toc 4"/>
    <w:basedOn w:val="Normal"/>
    <w:next w:val="Normal"/>
    <w:autoRedefine/>
    <w:uiPriority w:val="39"/>
    <w:semiHidden/>
    <w:unhideWhenUsed/>
    <w:rsid w:val="007851FC"/>
    <w:pPr>
      <w:spacing w:after="0"/>
      <w:ind w:left="660"/>
    </w:pPr>
    <w:rPr>
      <w:rFonts w:cstheme="minorHAnsi"/>
      <w:sz w:val="18"/>
      <w:szCs w:val="18"/>
    </w:rPr>
  </w:style>
  <w:style w:type="paragraph" w:styleId="TOC5">
    <w:name w:val="toc 5"/>
    <w:basedOn w:val="Normal"/>
    <w:next w:val="Normal"/>
    <w:autoRedefine/>
    <w:uiPriority w:val="39"/>
    <w:semiHidden/>
    <w:unhideWhenUsed/>
    <w:rsid w:val="007851FC"/>
    <w:pPr>
      <w:spacing w:after="0"/>
      <w:ind w:left="880"/>
    </w:pPr>
    <w:rPr>
      <w:rFonts w:cstheme="minorHAnsi"/>
      <w:sz w:val="18"/>
      <w:szCs w:val="18"/>
    </w:rPr>
  </w:style>
  <w:style w:type="paragraph" w:styleId="TOC6">
    <w:name w:val="toc 6"/>
    <w:basedOn w:val="Normal"/>
    <w:next w:val="Normal"/>
    <w:autoRedefine/>
    <w:uiPriority w:val="39"/>
    <w:semiHidden/>
    <w:unhideWhenUsed/>
    <w:rsid w:val="007851FC"/>
    <w:pPr>
      <w:spacing w:after="0"/>
      <w:ind w:left="1100"/>
    </w:pPr>
    <w:rPr>
      <w:rFonts w:cstheme="minorHAnsi"/>
      <w:sz w:val="18"/>
      <w:szCs w:val="18"/>
    </w:rPr>
  </w:style>
  <w:style w:type="paragraph" w:styleId="TOC7">
    <w:name w:val="toc 7"/>
    <w:basedOn w:val="Normal"/>
    <w:next w:val="Normal"/>
    <w:autoRedefine/>
    <w:uiPriority w:val="39"/>
    <w:semiHidden/>
    <w:unhideWhenUsed/>
    <w:rsid w:val="007851FC"/>
    <w:pPr>
      <w:spacing w:after="0"/>
      <w:ind w:left="1320"/>
    </w:pPr>
    <w:rPr>
      <w:rFonts w:cstheme="minorHAnsi"/>
      <w:sz w:val="18"/>
      <w:szCs w:val="18"/>
    </w:rPr>
  </w:style>
  <w:style w:type="paragraph" w:styleId="TOC8">
    <w:name w:val="toc 8"/>
    <w:basedOn w:val="Normal"/>
    <w:next w:val="Normal"/>
    <w:autoRedefine/>
    <w:uiPriority w:val="39"/>
    <w:semiHidden/>
    <w:unhideWhenUsed/>
    <w:rsid w:val="007851FC"/>
    <w:pPr>
      <w:spacing w:after="0"/>
      <w:ind w:left="1540"/>
    </w:pPr>
    <w:rPr>
      <w:rFonts w:cstheme="minorHAnsi"/>
      <w:sz w:val="18"/>
      <w:szCs w:val="18"/>
    </w:rPr>
  </w:style>
  <w:style w:type="paragraph" w:styleId="TOC9">
    <w:name w:val="toc 9"/>
    <w:basedOn w:val="Normal"/>
    <w:next w:val="Normal"/>
    <w:autoRedefine/>
    <w:uiPriority w:val="39"/>
    <w:semiHidden/>
    <w:unhideWhenUsed/>
    <w:rsid w:val="007851FC"/>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The_State_of_Victorias_Children_Report_2018_accessible_version</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D71A8-453C-4AD3-9069-CA99F4858049}"/>
</file>

<file path=customXml/itemProps2.xml><?xml version="1.0" encoding="utf-8"?>
<ds:datastoreItem xmlns:ds="http://schemas.openxmlformats.org/officeDocument/2006/customXml" ds:itemID="{4B5C3871-1CD4-4FA0-BF93-7E68D9FA697C}">
  <ds:schemaRefs>
    <ds:schemaRef ds:uri="http://schemas.microsoft.com/sharepoint/v3/contenttype/forms"/>
  </ds:schemaRefs>
</ds:datastoreItem>
</file>

<file path=customXml/itemProps3.xml><?xml version="1.0" encoding="utf-8"?>
<ds:datastoreItem xmlns:ds="http://schemas.openxmlformats.org/officeDocument/2006/customXml" ds:itemID="{8F017B01-2638-42C0-8EF7-58F831C84220}">
  <ds:schemaRefs>
    <ds:schemaRef ds:uri="http://www.w3.org/XML/1998/namespace"/>
    <ds:schemaRef ds:uri="http://schemas.microsoft.com/office/2006/metadata/properties"/>
    <ds:schemaRef ds:uri="189fd009-0beb-4494-8af8-3574aebc10b3"/>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4"/>
  </ds:schemaRefs>
</ds:datastoreItem>
</file>

<file path=customXml/itemProps4.xml><?xml version="1.0" encoding="utf-8"?>
<ds:datastoreItem xmlns:ds="http://schemas.openxmlformats.org/officeDocument/2006/customXml" ds:itemID="{B4D7FA0D-374F-4D25-AAFB-CBA77AE8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116</Pages>
  <Words>37654</Words>
  <Characters>214633</Characters>
  <Application>Microsoft Office Word</Application>
  <DocSecurity>0</DocSecurity>
  <Lines>1788</Lines>
  <Paragraphs>503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Brown, Hamish S</cp:lastModifiedBy>
  <cp:revision>2</cp:revision>
  <dcterms:created xsi:type="dcterms:W3CDTF">2020-03-18T06:04:00Z</dcterms:created>
  <dcterms:modified xsi:type="dcterms:W3CDTF">2020-03-18T06:04:00Z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