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AA4BF8" w14:textId="611CA0EA" w:rsidR="00A63D55" w:rsidRPr="009426E0" w:rsidRDefault="0043128F" w:rsidP="001B78D5">
      <w:pPr>
        <w:pStyle w:val="Covertitle"/>
      </w:pPr>
      <w:r w:rsidRPr="009426E0">
        <w:t>The State of Victoria’s Children 2021</w:t>
      </w:r>
      <w:r w:rsidR="007326A6" w:rsidRPr="009426E0">
        <w:t xml:space="preserve"> and 20</w:t>
      </w:r>
      <w:r w:rsidRPr="009426E0">
        <w:t>22</w:t>
      </w:r>
    </w:p>
    <w:p w14:paraId="52314B40" w14:textId="32C45A55" w:rsidR="00A63D55" w:rsidRPr="009426E0" w:rsidRDefault="0043128F" w:rsidP="001B78D5">
      <w:pPr>
        <w:pStyle w:val="Coversubtitle"/>
      </w:pPr>
      <w:r w:rsidRPr="009426E0">
        <w:t>Meeting local needs</w:t>
      </w:r>
    </w:p>
    <w:p w14:paraId="4820AE24" w14:textId="77777777" w:rsidR="00DA3218" w:rsidRPr="009426E0" w:rsidRDefault="00DA3218" w:rsidP="001B78D5">
      <w:pPr>
        <w:pStyle w:val="Heading1"/>
        <w:sectPr w:rsidR="00DA3218" w:rsidRPr="009426E0" w:rsidSect="00463A1D">
          <w:headerReference w:type="default" r:id="rId11"/>
          <w:footerReference w:type="even" r:id="rId12"/>
          <w:pgSz w:w="11900" w:h="16840"/>
          <w:pgMar w:top="2128" w:right="1134" w:bottom="1701" w:left="1134" w:header="227" w:footer="709" w:gutter="0"/>
          <w:cols w:space="708"/>
          <w:docGrid w:linePitch="360"/>
        </w:sectPr>
      </w:pPr>
    </w:p>
    <w:p w14:paraId="2E9AD192" w14:textId="77777777" w:rsidR="0043128F" w:rsidRPr="009426E0" w:rsidRDefault="0043128F" w:rsidP="00B25939">
      <w:pPr>
        <w:pStyle w:val="Heading1"/>
        <w:rPr>
          <w:rFonts w:eastAsiaTheme="minorHAnsi"/>
          <w:lang w:val="en-US"/>
        </w:rPr>
      </w:pPr>
      <w:bookmarkStart w:id="0" w:name="_Toc176332542"/>
      <w:bookmarkStart w:id="1" w:name="_Toc191465853"/>
      <w:r w:rsidRPr="009426E0">
        <w:rPr>
          <w:rFonts w:eastAsiaTheme="minorHAnsi"/>
          <w:lang w:val="en-US"/>
        </w:rPr>
        <w:lastRenderedPageBreak/>
        <w:t>State of Victoria’s Children</w:t>
      </w:r>
      <w:bookmarkEnd w:id="1"/>
    </w:p>
    <w:p w14:paraId="04669B38" w14:textId="77777777" w:rsidR="0043128F" w:rsidRPr="009426E0" w:rsidRDefault="0043128F" w:rsidP="0043128F">
      <w:pPr>
        <w:spacing w:after="160" w:line="259" w:lineRule="auto"/>
        <w:rPr>
          <w:lang w:val="en-US"/>
        </w:rPr>
      </w:pPr>
      <w:r w:rsidRPr="009426E0">
        <w:rPr>
          <w:lang w:val="en-US"/>
        </w:rPr>
        <w:t xml:space="preserve">The State of Victoria’s Children report series is produced by the Department of Education on behalf of the Children’s Services Coordination Board. The Board comprises the Chief Commissioner for Police and the secretaries of the departments of Premier and Cabinet, Treasury and Finance, Education, Health, Families, Fairness and Housing, and Justice and Community Safety. </w:t>
      </w:r>
    </w:p>
    <w:p w14:paraId="6DC29202" w14:textId="6BCF7B84" w:rsidR="0043128F" w:rsidRPr="009426E0" w:rsidRDefault="0043128F" w:rsidP="0043128F">
      <w:pPr>
        <w:spacing w:after="160" w:line="259" w:lineRule="auto"/>
        <w:rPr>
          <w:lang w:val="en-US"/>
        </w:rPr>
      </w:pPr>
      <w:r w:rsidRPr="009426E0">
        <w:rPr>
          <w:b/>
          <w:bCs/>
          <w:lang w:val="en-US"/>
        </w:rPr>
        <w:t>Note:</w:t>
      </w:r>
      <w:r w:rsidRPr="009426E0">
        <w:rPr>
          <w:lang w:val="en-US"/>
        </w:rPr>
        <w:t xml:space="preserve"> During and following the period covered by this report, the Victorian Government issued administrative orders restructuring some of its activities via machinery of government changes. As part of the machinery of government restructure, on 1 February 2021, the Department of Health and Human Services became 2 new departments, the Department of Health and the Department of Families, Fairness and Housing. </w:t>
      </w:r>
      <w:r w:rsidRPr="009426E0">
        <w:rPr>
          <w:lang w:val="en-US"/>
        </w:rPr>
        <w:br/>
        <w:t>On 1 January 2023, the Department of Education and Training was renamed the Department of Education. Also on this date, the Department of Jobs, Precincts and Regions was renamed the Department of Jobs, Skills, Industry and Regions and the Department of Transport was renamed the Department of Transport and Planning.</w:t>
      </w:r>
    </w:p>
    <w:p w14:paraId="5C6858BA" w14:textId="77777777" w:rsidR="0043128F" w:rsidRPr="009426E0" w:rsidRDefault="0043128F" w:rsidP="00B25939">
      <w:pPr>
        <w:pStyle w:val="Heading2"/>
        <w:rPr>
          <w:lang w:val="en-US"/>
        </w:rPr>
      </w:pPr>
      <w:bookmarkStart w:id="2" w:name="_Toc191465854"/>
      <w:r w:rsidRPr="009426E0">
        <w:rPr>
          <w:lang w:val="en-US"/>
        </w:rPr>
        <w:t>Recommended citation</w:t>
      </w:r>
      <w:bookmarkEnd w:id="2"/>
    </w:p>
    <w:p w14:paraId="2A20B71B" w14:textId="77777777" w:rsidR="0043128F" w:rsidRPr="009426E0" w:rsidRDefault="0043128F" w:rsidP="0043128F">
      <w:pPr>
        <w:spacing w:after="160" w:line="259" w:lineRule="auto"/>
        <w:rPr>
          <w:lang w:val="en-US"/>
        </w:rPr>
      </w:pPr>
      <w:r w:rsidRPr="009426E0">
        <w:rPr>
          <w:lang w:val="en-US"/>
        </w:rPr>
        <w:t xml:space="preserve">Department of Education. (2024). </w:t>
      </w:r>
      <w:r w:rsidRPr="009426E0">
        <w:rPr>
          <w:i/>
          <w:iCs/>
          <w:lang w:val="en-US"/>
        </w:rPr>
        <w:t>The State of Victoria’s Children, 2021 and 2022: Meeting local needs.</w:t>
      </w:r>
      <w:r w:rsidRPr="009426E0">
        <w:rPr>
          <w:lang w:val="en-US"/>
        </w:rPr>
        <w:t xml:space="preserve"> Melbourne: State of Victoria.</w:t>
      </w:r>
    </w:p>
    <w:p w14:paraId="441D50FD" w14:textId="77777777" w:rsidR="0043128F" w:rsidRPr="009426E0" w:rsidRDefault="0043128F" w:rsidP="00B25939">
      <w:pPr>
        <w:pStyle w:val="Heading2"/>
        <w:rPr>
          <w:lang w:val="en-US"/>
        </w:rPr>
      </w:pPr>
      <w:bookmarkStart w:id="3" w:name="_Toc191465855"/>
      <w:r w:rsidRPr="009426E0">
        <w:rPr>
          <w:lang w:val="en-US"/>
        </w:rPr>
        <w:t>Language statement</w:t>
      </w:r>
      <w:bookmarkEnd w:id="3"/>
    </w:p>
    <w:p w14:paraId="33B8CD02" w14:textId="77777777" w:rsidR="0043128F" w:rsidRPr="009426E0" w:rsidRDefault="0043128F" w:rsidP="0043128F">
      <w:pPr>
        <w:spacing w:after="160" w:line="259" w:lineRule="auto"/>
        <w:rPr>
          <w:lang w:val="en-US"/>
        </w:rPr>
      </w:pPr>
      <w:r w:rsidRPr="009426E0">
        <w:rPr>
          <w:lang w:val="en-US"/>
        </w:rPr>
        <w:t xml:space="preserve">We </w:t>
      </w:r>
      <w:proofErr w:type="spellStart"/>
      <w:r w:rsidRPr="009426E0">
        <w:rPr>
          <w:lang w:val="en-US"/>
        </w:rPr>
        <w:t>recognise</w:t>
      </w:r>
      <w:proofErr w:type="spellEnd"/>
      <w:r w:rsidRPr="009426E0">
        <w:rPr>
          <w:lang w:val="en-US"/>
        </w:rPr>
        <w:t xml:space="preserve"> the diversity of Aboriginal people living throughout Victoria. While the terms ‘Koorie’ or ‘Koori’ are commonly used to describe Aboriginal people of southeast Australia, we have used the term ‘Aboriginal’ to include all people of Aboriginal and Torres Strait Islander descent who are living in Victoria.</w:t>
      </w:r>
    </w:p>
    <w:p w14:paraId="539D8A0F" w14:textId="77777777" w:rsidR="0043128F" w:rsidRPr="009426E0" w:rsidRDefault="0043128F" w:rsidP="0043128F">
      <w:pPr>
        <w:spacing w:after="160" w:line="259" w:lineRule="auto"/>
        <w:rPr>
          <w:lang w:val="en-US"/>
        </w:rPr>
      </w:pPr>
    </w:p>
    <w:p w14:paraId="488D907E" w14:textId="77777777" w:rsidR="00D76502" w:rsidRPr="009426E0" w:rsidRDefault="00D76502" w:rsidP="0043128F">
      <w:pPr>
        <w:spacing w:after="160" w:line="259" w:lineRule="auto"/>
        <w:rPr>
          <w:lang w:val="en-US"/>
        </w:rPr>
      </w:pPr>
    </w:p>
    <w:p w14:paraId="14200C04" w14:textId="77777777" w:rsidR="00D76502" w:rsidRPr="009426E0" w:rsidRDefault="00D76502" w:rsidP="0043128F">
      <w:pPr>
        <w:spacing w:after="160" w:line="259" w:lineRule="auto"/>
        <w:rPr>
          <w:lang w:val="en-US"/>
        </w:rPr>
      </w:pPr>
    </w:p>
    <w:p w14:paraId="517DCDB4" w14:textId="77777777" w:rsidR="00D76502" w:rsidRPr="009426E0" w:rsidRDefault="00D76502" w:rsidP="0043128F">
      <w:pPr>
        <w:spacing w:after="160" w:line="259" w:lineRule="auto"/>
        <w:rPr>
          <w:lang w:val="en-US"/>
        </w:rPr>
      </w:pPr>
    </w:p>
    <w:p w14:paraId="30A2493F" w14:textId="77777777" w:rsidR="00D76502" w:rsidRPr="009426E0" w:rsidRDefault="00D76502" w:rsidP="0043128F">
      <w:pPr>
        <w:spacing w:after="160" w:line="259" w:lineRule="auto"/>
        <w:rPr>
          <w:lang w:val="en-US"/>
        </w:rPr>
      </w:pPr>
    </w:p>
    <w:p w14:paraId="6D847E9E" w14:textId="77777777" w:rsidR="00D76502" w:rsidRPr="009426E0" w:rsidRDefault="00D76502" w:rsidP="0043128F">
      <w:pPr>
        <w:spacing w:after="160" w:line="259" w:lineRule="auto"/>
        <w:rPr>
          <w:lang w:val="en-US"/>
        </w:rPr>
      </w:pPr>
    </w:p>
    <w:p w14:paraId="5DC65476" w14:textId="77777777" w:rsidR="0043128F" w:rsidRPr="009426E0" w:rsidRDefault="0043128F" w:rsidP="00CD3778">
      <w:pPr>
        <w:pStyle w:val="Copyrighttext"/>
        <w:spacing w:before="40" w:after="0" w:line="240" w:lineRule="auto"/>
        <w:ind w:right="278"/>
      </w:pPr>
      <w:r w:rsidRPr="009426E0">
        <w:t>Published by the Department of Education</w:t>
      </w:r>
    </w:p>
    <w:p w14:paraId="1CA32C1B" w14:textId="77777777" w:rsidR="0043128F" w:rsidRPr="009426E0" w:rsidRDefault="0043128F" w:rsidP="00CD3778">
      <w:pPr>
        <w:pStyle w:val="Copyrighttext"/>
        <w:spacing w:before="40" w:after="0" w:line="240" w:lineRule="auto"/>
        <w:ind w:right="278"/>
      </w:pPr>
      <w:r w:rsidRPr="009426E0">
        <w:t>Melbourne, November 2024</w:t>
      </w:r>
    </w:p>
    <w:p w14:paraId="3ADFB73D" w14:textId="77777777" w:rsidR="0043128F" w:rsidRPr="009426E0" w:rsidRDefault="0043128F" w:rsidP="00CD3778">
      <w:pPr>
        <w:pStyle w:val="Copyrighttext"/>
        <w:spacing w:before="40" w:after="0" w:line="240" w:lineRule="auto"/>
        <w:ind w:right="278"/>
      </w:pPr>
      <w:r w:rsidRPr="009426E0">
        <w:t>ISSN 2207-3272-Online</w:t>
      </w:r>
    </w:p>
    <w:p w14:paraId="3385782D" w14:textId="77777777" w:rsidR="0043128F" w:rsidRPr="009426E0" w:rsidRDefault="0043128F" w:rsidP="00CD3778">
      <w:pPr>
        <w:pStyle w:val="Copyrighttext"/>
        <w:spacing w:before="40" w:after="0" w:line="240" w:lineRule="auto"/>
        <w:ind w:right="278"/>
      </w:pPr>
      <w:r w:rsidRPr="009426E0">
        <w:rPr>
          <w:rtl/>
        </w:rPr>
        <w:t xml:space="preserve">© </w:t>
      </w:r>
      <w:r w:rsidRPr="009426E0">
        <w:t>State of Victoria (Department of Education)</w:t>
      </w:r>
      <w:r w:rsidRPr="009426E0">
        <w:rPr>
          <w:rtl/>
        </w:rPr>
        <w:t xml:space="preserve"> </w:t>
      </w:r>
      <w:r w:rsidRPr="009426E0">
        <w:t>2024</w:t>
      </w:r>
    </w:p>
    <w:p w14:paraId="22602819" w14:textId="480D42C1" w:rsidR="0043128F" w:rsidRPr="009426E0" w:rsidRDefault="0043128F" w:rsidP="00CD3778">
      <w:pPr>
        <w:pStyle w:val="Copyrighttext"/>
        <w:spacing w:before="40" w:after="0" w:line="240" w:lineRule="auto"/>
        <w:ind w:right="278"/>
      </w:pPr>
      <w:r w:rsidRPr="009426E0">
        <w:br/>
        <w:t xml:space="preserve">The copyright in this document is licensed under a Creative Commons Attribution 4.0 </w:t>
      </w:r>
      <w:proofErr w:type="spellStart"/>
      <w:r w:rsidRPr="009426E0">
        <w:t>licence</w:t>
      </w:r>
      <w:proofErr w:type="spellEnd"/>
      <w:r w:rsidRPr="009426E0">
        <w:t>.</w:t>
      </w:r>
      <w:r w:rsidR="00D76502" w:rsidRPr="009426E0">
        <w:t xml:space="preserve"> </w:t>
      </w:r>
      <w:r w:rsidRPr="009426E0">
        <w:t xml:space="preserve">You are free to reuse the work under that </w:t>
      </w:r>
      <w:proofErr w:type="spellStart"/>
      <w:r w:rsidRPr="009426E0">
        <w:t>licence</w:t>
      </w:r>
      <w:proofErr w:type="spellEnd"/>
      <w:r w:rsidRPr="009426E0">
        <w:t xml:space="preserve">, on the condition that you credit the State of Victoria (Department of Education), indicate if changes were made and comply with the other </w:t>
      </w:r>
      <w:proofErr w:type="spellStart"/>
      <w:r w:rsidRPr="009426E0">
        <w:t>licence</w:t>
      </w:r>
      <w:proofErr w:type="spellEnd"/>
      <w:r w:rsidRPr="009426E0">
        <w:t xml:space="preserve"> terms available at: http://creativecommons.org/licenses/by/4.0/deed.en</w:t>
      </w:r>
    </w:p>
    <w:p w14:paraId="5DEF0113" w14:textId="77777777" w:rsidR="0043128F" w:rsidRPr="009426E0" w:rsidRDefault="0043128F" w:rsidP="00CD3778">
      <w:pPr>
        <w:pStyle w:val="Copyrighttext"/>
        <w:spacing w:before="40" w:after="0" w:line="240" w:lineRule="auto"/>
        <w:ind w:right="278"/>
      </w:pPr>
      <w:r w:rsidRPr="009426E0">
        <w:t xml:space="preserve">The </w:t>
      </w:r>
      <w:proofErr w:type="spellStart"/>
      <w:r w:rsidRPr="009426E0">
        <w:t>licence</w:t>
      </w:r>
      <w:proofErr w:type="spellEnd"/>
      <w:r w:rsidRPr="009426E0">
        <w:t xml:space="preserve"> does not apply to:</w:t>
      </w:r>
    </w:p>
    <w:p w14:paraId="3509265F" w14:textId="77777777" w:rsidR="0043128F" w:rsidRPr="009426E0" w:rsidRDefault="0043128F" w:rsidP="00CD3778">
      <w:pPr>
        <w:pStyle w:val="Copyrighttext"/>
        <w:spacing w:before="40" w:after="0" w:line="240" w:lineRule="auto"/>
        <w:ind w:right="278"/>
      </w:pPr>
      <w:r w:rsidRPr="009426E0">
        <w:t>• any trademarks or branding, including the Victorian Government logo and the Department of Education logo</w:t>
      </w:r>
    </w:p>
    <w:p w14:paraId="3B11D6A4" w14:textId="77777777" w:rsidR="0043128F" w:rsidRPr="009426E0" w:rsidRDefault="0043128F" w:rsidP="00CD3778">
      <w:pPr>
        <w:pStyle w:val="Copyrighttext"/>
        <w:spacing w:before="40" w:after="0" w:line="240" w:lineRule="auto"/>
        <w:ind w:right="278"/>
      </w:pPr>
      <w:r w:rsidRPr="009426E0">
        <w:t>• images or photographs or other content supplied by third parties.</w:t>
      </w:r>
    </w:p>
    <w:p w14:paraId="36641A09" w14:textId="77777777" w:rsidR="0043128F" w:rsidRPr="009426E0" w:rsidRDefault="0043128F" w:rsidP="00CD3778">
      <w:pPr>
        <w:pStyle w:val="Copyrighttext"/>
        <w:spacing w:before="40" w:after="0" w:line="240" w:lineRule="auto"/>
        <w:ind w:right="278"/>
      </w:pPr>
      <w:r w:rsidRPr="009426E0">
        <w:t>Copyright queries may be directed to: copyright@education.vic.gov.au</w:t>
      </w:r>
    </w:p>
    <w:p w14:paraId="3947978C" w14:textId="77777777" w:rsidR="0043128F" w:rsidRPr="009426E0" w:rsidRDefault="0043128F" w:rsidP="00CD3778">
      <w:pPr>
        <w:pStyle w:val="Copyrighttext"/>
        <w:spacing w:before="40" w:after="0" w:line="240" w:lineRule="auto"/>
        <w:ind w:right="278"/>
      </w:pPr>
      <w:proofErr w:type="spellStart"/>
      <w:r w:rsidRPr="009426E0">
        <w:t>Authorised</w:t>
      </w:r>
      <w:proofErr w:type="spellEnd"/>
      <w:r w:rsidRPr="009426E0">
        <w:t xml:space="preserve"> by the Department of Education, 2 Treasury Place, East Melbourne, Victoria, 3002.</w:t>
      </w:r>
    </w:p>
    <w:p w14:paraId="0A8DAC41" w14:textId="77777777" w:rsidR="0043128F" w:rsidRPr="009426E0" w:rsidRDefault="0043128F" w:rsidP="0043128F">
      <w:pPr>
        <w:spacing w:line="259" w:lineRule="auto"/>
        <w:rPr>
          <w:lang w:val="en-US"/>
        </w:rPr>
      </w:pPr>
    </w:p>
    <w:p w14:paraId="3A8208C7" w14:textId="0EFD6C4E" w:rsidR="00DA3218" w:rsidRPr="009426E0" w:rsidRDefault="0043128F" w:rsidP="00D76502">
      <w:pPr>
        <w:pStyle w:val="Heading1"/>
      </w:pPr>
      <w:r w:rsidRPr="009426E0">
        <w:br w:type="column"/>
      </w:r>
      <w:bookmarkStart w:id="4" w:name="_Toc191465856"/>
      <w:r w:rsidR="00144FD5" w:rsidRPr="009426E0">
        <w:lastRenderedPageBreak/>
        <w:t>Contents</w:t>
      </w:r>
      <w:bookmarkEnd w:id="0"/>
      <w:bookmarkEnd w:id="4"/>
    </w:p>
    <w:bookmarkStart w:id="5" w:name="_Toc176332543" w:displacedByCustomXml="next"/>
    <w:sdt>
      <w:sdtPr>
        <w:rPr>
          <w:rFonts w:asciiTheme="minorHAnsi" w:eastAsiaTheme="minorHAnsi" w:hAnsiTheme="minorHAnsi" w:cstheme="minorBidi"/>
          <w:b w:val="0"/>
          <w:bCs w:val="0"/>
          <w:color w:val="auto"/>
          <w:sz w:val="20"/>
          <w:szCs w:val="20"/>
          <w:lang w:val="en-AU"/>
        </w:rPr>
        <w:id w:val="1268044735"/>
        <w:docPartObj>
          <w:docPartGallery w:val="Table of Contents"/>
          <w:docPartUnique/>
        </w:docPartObj>
      </w:sdtPr>
      <w:sdtEndPr>
        <w:rPr>
          <w:noProof/>
        </w:rPr>
      </w:sdtEndPr>
      <w:sdtContent>
        <w:p w14:paraId="576AE023" w14:textId="61CF312B" w:rsidR="00BB51F8" w:rsidRPr="009426E0" w:rsidRDefault="0028328A" w:rsidP="00CD05B6">
          <w:pPr>
            <w:pStyle w:val="TOCHeading"/>
            <w:rPr>
              <w:rFonts w:eastAsiaTheme="minorEastAsia" w:cstheme="minorBidi"/>
              <w:b w:val="0"/>
              <w:bCs w:val="0"/>
              <w:i/>
              <w:iCs/>
              <w:noProof/>
              <w:kern w:val="2"/>
              <w:lang w:eastAsia="en-AU"/>
              <w14:ligatures w14:val="standardContextual"/>
            </w:rPr>
          </w:pPr>
          <w:r w:rsidRPr="009426E0">
            <w:rPr>
              <w:rStyle w:val="Hyperlink"/>
              <w:noProof/>
              <w:u w:val="none"/>
            </w:rPr>
            <w:t>The</w:t>
          </w:r>
          <w:r w:rsidRPr="009426E0">
            <w:rPr>
              <w:rFonts w:asciiTheme="minorHAnsi" w:eastAsiaTheme="minorHAnsi" w:hAnsiTheme="minorHAnsi" w:cstheme="minorBidi"/>
              <w:b w:val="0"/>
              <w:bCs w:val="0"/>
              <w:color w:val="auto"/>
              <w:sz w:val="20"/>
              <w:szCs w:val="20"/>
              <w:lang w:val="en-AU"/>
            </w:rPr>
            <w:t xml:space="preserve"> </w:t>
          </w:r>
          <w:r w:rsidR="00BF1863" w:rsidRPr="009426E0">
            <w:rPr>
              <w:rFonts w:cstheme="minorHAnsi"/>
              <w:sz w:val="22"/>
              <w:szCs w:val="22"/>
            </w:rPr>
            <w:fldChar w:fldCharType="begin"/>
          </w:r>
          <w:r w:rsidR="00BF1863" w:rsidRPr="009426E0">
            <w:instrText xml:space="preserve"> TOC \o "1-3" \h \z \u </w:instrText>
          </w:r>
          <w:r w:rsidR="00BF1863" w:rsidRPr="009426E0">
            <w:rPr>
              <w:rFonts w:cstheme="minorHAnsi"/>
              <w:sz w:val="22"/>
              <w:szCs w:val="22"/>
            </w:rPr>
            <w:fldChar w:fldCharType="separate"/>
          </w:r>
          <w:hyperlink w:anchor="_Toc191465853" w:history="1">
            <w:r w:rsidR="00BB51F8" w:rsidRPr="009426E0">
              <w:rPr>
                <w:rStyle w:val="Hyperlink"/>
                <w:rFonts w:eastAsiaTheme="minorHAnsi"/>
                <w:noProof/>
                <w:u w:val="none"/>
              </w:rPr>
              <w:t>State of Victoria’s Children</w:t>
            </w:r>
          </w:hyperlink>
          <w:r w:rsidRPr="009426E0">
            <w:rPr>
              <w:rStyle w:val="Hyperlink"/>
              <w:noProof/>
              <w:u w:val="none"/>
            </w:rPr>
            <w:t xml:space="preserve"> 2021 and 2022</w:t>
          </w:r>
        </w:p>
        <w:p w14:paraId="3A258272" w14:textId="0D7DB384" w:rsidR="00BB51F8" w:rsidRPr="009426E0" w:rsidRDefault="00BB51F8" w:rsidP="00CD05B6">
          <w:pPr>
            <w:pStyle w:val="TOC2"/>
            <w:rPr>
              <w:rFonts w:eastAsiaTheme="minorEastAsia" w:cstheme="minorBidi"/>
              <w:kern w:val="2"/>
              <w:sz w:val="24"/>
              <w:szCs w:val="24"/>
              <w:lang w:eastAsia="en-AU"/>
              <w14:ligatures w14:val="standardContextual"/>
            </w:rPr>
          </w:pPr>
          <w:hyperlink w:anchor="_Toc191465854" w:history="1">
            <w:r w:rsidRPr="009426E0">
              <w:rPr>
                <w:rStyle w:val="Hyperlink"/>
                <w:u w:val="none"/>
                <w:lang w:val="en-US"/>
              </w:rPr>
              <w:t>Recommended citation</w:t>
            </w:r>
            <w:r w:rsidRPr="009426E0">
              <w:rPr>
                <w:webHidden/>
              </w:rPr>
              <w:tab/>
            </w:r>
            <w:r w:rsidRPr="009426E0">
              <w:rPr>
                <w:webHidden/>
              </w:rPr>
              <w:fldChar w:fldCharType="begin"/>
            </w:r>
            <w:r w:rsidRPr="009426E0">
              <w:rPr>
                <w:webHidden/>
              </w:rPr>
              <w:instrText xml:space="preserve"> PAGEREF _Toc191465854 \h </w:instrText>
            </w:r>
            <w:r w:rsidRPr="009426E0">
              <w:rPr>
                <w:webHidden/>
              </w:rPr>
            </w:r>
            <w:r w:rsidRPr="009426E0">
              <w:rPr>
                <w:webHidden/>
              </w:rPr>
              <w:fldChar w:fldCharType="separate"/>
            </w:r>
            <w:r w:rsidR="00A26049" w:rsidRPr="009426E0">
              <w:rPr>
                <w:webHidden/>
              </w:rPr>
              <w:t>2</w:t>
            </w:r>
            <w:r w:rsidRPr="009426E0">
              <w:rPr>
                <w:webHidden/>
              </w:rPr>
              <w:fldChar w:fldCharType="end"/>
            </w:r>
          </w:hyperlink>
        </w:p>
        <w:p w14:paraId="4C0A2030" w14:textId="388358F7" w:rsidR="00BB51F8" w:rsidRPr="009426E0" w:rsidRDefault="00BB51F8" w:rsidP="00CD05B6">
          <w:pPr>
            <w:pStyle w:val="TOC2"/>
            <w:rPr>
              <w:rFonts w:eastAsiaTheme="minorEastAsia" w:cstheme="minorBidi"/>
              <w:kern w:val="2"/>
              <w:sz w:val="24"/>
              <w:szCs w:val="24"/>
              <w:lang w:eastAsia="en-AU"/>
              <w14:ligatures w14:val="standardContextual"/>
            </w:rPr>
          </w:pPr>
          <w:hyperlink w:anchor="_Toc191465855" w:history="1">
            <w:r w:rsidRPr="009426E0">
              <w:rPr>
                <w:rStyle w:val="Hyperlink"/>
                <w:u w:val="none"/>
                <w:lang w:val="en-US"/>
              </w:rPr>
              <w:t>Language statement</w:t>
            </w:r>
            <w:r w:rsidRPr="009426E0">
              <w:rPr>
                <w:webHidden/>
              </w:rPr>
              <w:tab/>
            </w:r>
            <w:r w:rsidRPr="009426E0">
              <w:rPr>
                <w:webHidden/>
              </w:rPr>
              <w:fldChar w:fldCharType="begin"/>
            </w:r>
            <w:r w:rsidRPr="009426E0">
              <w:rPr>
                <w:webHidden/>
              </w:rPr>
              <w:instrText xml:space="preserve"> PAGEREF _Toc191465855 \h </w:instrText>
            </w:r>
            <w:r w:rsidRPr="009426E0">
              <w:rPr>
                <w:webHidden/>
              </w:rPr>
            </w:r>
            <w:r w:rsidRPr="009426E0">
              <w:rPr>
                <w:webHidden/>
              </w:rPr>
              <w:fldChar w:fldCharType="separate"/>
            </w:r>
            <w:r w:rsidR="00A26049" w:rsidRPr="009426E0">
              <w:rPr>
                <w:webHidden/>
              </w:rPr>
              <w:t>2</w:t>
            </w:r>
            <w:r w:rsidRPr="009426E0">
              <w:rPr>
                <w:webHidden/>
              </w:rPr>
              <w:fldChar w:fldCharType="end"/>
            </w:r>
          </w:hyperlink>
        </w:p>
        <w:p w14:paraId="3B81A3EF" w14:textId="5E99BC94" w:rsidR="00BB51F8" w:rsidRPr="009426E0" w:rsidRDefault="00BB51F8">
          <w:pPr>
            <w:pStyle w:val="TOC1"/>
            <w:tabs>
              <w:tab w:val="right" w:leader="dot" w:pos="9622"/>
            </w:tabs>
            <w:rPr>
              <w:rFonts w:eastAsiaTheme="minorEastAsia" w:cstheme="minorBidi"/>
              <w:b w:val="0"/>
              <w:bCs w:val="0"/>
              <w:i w:val="0"/>
              <w:iCs w:val="0"/>
              <w:noProof/>
              <w:kern w:val="2"/>
              <w:lang w:eastAsia="en-AU"/>
              <w14:ligatures w14:val="standardContextual"/>
            </w:rPr>
          </w:pPr>
          <w:hyperlink w:anchor="_Toc191465856" w:history="1">
            <w:r w:rsidRPr="009426E0">
              <w:rPr>
                <w:rStyle w:val="Hyperlink"/>
                <w:noProof/>
                <w:u w:val="none"/>
              </w:rPr>
              <w:t>Contents</w:t>
            </w:r>
            <w:r w:rsidRPr="009426E0">
              <w:rPr>
                <w:noProof/>
                <w:webHidden/>
              </w:rPr>
              <w:tab/>
            </w:r>
            <w:r w:rsidRPr="009426E0">
              <w:rPr>
                <w:noProof/>
                <w:webHidden/>
              </w:rPr>
              <w:fldChar w:fldCharType="begin"/>
            </w:r>
            <w:r w:rsidRPr="009426E0">
              <w:rPr>
                <w:noProof/>
                <w:webHidden/>
              </w:rPr>
              <w:instrText xml:space="preserve"> PAGEREF _Toc191465856 \h </w:instrText>
            </w:r>
            <w:r w:rsidRPr="009426E0">
              <w:rPr>
                <w:noProof/>
                <w:webHidden/>
              </w:rPr>
            </w:r>
            <w:r w:rsidRPr="009426E0">
              <w:rPr>
                <w:noProof/>
                <w:webHidden/>
              </w:rPr>
              <w:fldChar w:fldCharType="separate"/>
            </w:r>
            <w:r w:rsidR="00A26049" w:rsidRPr="009426E0">
              <w:rPr>
                <w:noProof/>
                <w:webHidden/>
              </w:rPr>
              <w:t>3</w:t>
            </w:r>
            <w:r w:rsidRPr="009426E0">
              <w:rPr>
                <w:noProof/>
                <w:webHidden/>
              </w:rPr>
              <w:fldChar w:fldCharType="end"/>
            </w:r>
          </w:hyperlink>
        </w:p>
        <w:p w14:paraId="777AE123" w14:textId="34067761" w:rsidR="00BB51F8" w:rsidRPr="009426E0" w:rsidRDefault="00BB51F8">
          <w:pPr>
            <w:pStyle w:val="TOC1"/>
            <w:tabs>
              <w:tab w:val="right" w:leader="dot" w:pos="9622"/>
            </w:tabs>
            <w:rPr>
              <w:rFonts w:eastAsiaTheme="minorEastAsia" w:cstheme="minorBidi"/>
              <w:b w:val="0"/>
              <w:bCs w:val="0"/>
              <w:i w:val="0"/>
              <w:iCs w:val="0"/>
              <w:noProof/>
              <w:kern w:val="2"/>
              <w:lang w:eastAsia="en-AU"/>
              <w14:ligatures w14:val="standardContextual"/>
            </w:rPr>
          </w:pPr>
          <w:hyperlink w:anchor="_Toc191465857" w:history="1">
            <w:r w:rsidRPr="009426E0">
              <w:rPr>
                <w:rStyle w:val="Hyperlink"/>
                <w:noProof/>
                <w:u w:val="none"/>
                <w:lang w:val="en-US"/>
              </w:rPr>
              <w:t>Table of figures</w:t>
            </w:r>
            <w:r w:rsidRPr="009426E0">
              <w:rPr>
                <w:noProof/>
                <w:webHidden/>
              </w:rPr>
              <w:tab/>
            </w:r>
            <w:r w:rsidRPr="009426E0">
              <w:rPr>
                <w:noProof/>
                <w:webHidden/>
              </w:rPr>
              <w:fldChar w:fldCharType="begin"/>
            </w:r>
            <w:r w:rsidRPr="009426E0">
              <w:rPr>
                <w:noProof/>
                <w:webHidden/>
              </w:rPr>
              <w:instrText xml:space="preserve"> PAGEREF _Toc191465857 \h </w:instrText>
            </w:r>
            <w:r w:rsidRPr="009426E0">
              <w:rPr>
                <w:noProof/>
                <w:webHidden/>
              </w:rPr>
            </w:r>
            <w:r w:rsidRPr="009426E0">
              <w:rPr>
                <w:noProof/>
                <w:webHidden/>
              </w:rPr>
              <w:fldChar w:fldCharType="separate"/>
            </w:r>
            <w:r w:rsidR="00A26049" w:rsidRPr="009426E0">
              <w:rPr>
                <w:noProof/>
                <w:webHidden/>
              </w:rPr>
              <w:t>4</w:t>
            </w:r>
            <w:r w:rsidRPr="009426E0">
              <w:rPr>
                <w:noProof/>
                <w:webHidden/>
              </w:rPr>
              <w:fldChar w:fldCharType="end"/>
            </w:r>
          </w:hyperlink>
        </w:p>
        <w:p w14:paraId="401BE956" w14:textId="6A924EBB" w:rsidR="00BB51F8" w:rsidRPr="009426E0" w:rsidRDefault="00BB51F8">
          <w:pPr>
            <w:pStyle w:val="TOC1"/>
            <w:tabs>
              <w:tab w:val="right" w:leader="dot" w:pos="9622"/>
            </w:tabs>
            <w:rPr>
              <w:rFonts w:eastAsiaTheme="minorEastAsia" w:cstheme="minorBidi"/>
              <w:b w:val="0"/>
              <w:bCs w:val="0"/>
              <w:i w:val="0"/>
              <w:iCs w:val="0"/>
              <w:noProof/>
              <w:kern w:val="2"/>
              <w:lang w:eastAsia="en-AU"/>
              <w14:ligatures w14:val="standardContextual"/>
            </w:rPr>
          </w:pPr>
          <w:hyperlink w:anchor="_Toc191465858" w:history="1">
            <w:r w:rsidRPr="009426E0">
              <w:rPr>
                <w:rStyle w:val="Hyperlink"/>
                <w:noProof/>
                <w:u w:val="none"/>
                <w:lang w:val="en-US"/>
              </w:rPr>
              <w:t>Introduction</w:t>
            </w:r>
            <w:r w:rsidRPr="009426E0">
              <w:rPr>
                <w:noProof/>
                <w:webHidden/>
              </w:rPr>
              <w:tab/>
            </w:r>
            <w:r w:rsidRPr="009426E0">
              <w:rPr>
                <w:noProof/>
                <w:webHidden/>
              </w:rPr>
              <w:fldChar w:fldCharType="begin"/>
            </w:r>
            <w:r w:rsidRPr="009426E0">
              <w:rPr>
                <w:noProof/>
                <w:webHidden/>
              </w:rPr>
              <w:instrText xml:space="preserve"> PAGEREF _Toc191465858 \h </w:instrText>
            </w:r>
            <w:r w:rsidRPr="009426E0">
              <w:rPr>
                <w:noProof/>
                <w:webHidden/>
              </w:rPr>
            </w:r>
            <w:r w:rsidRPr="009426E0">
              <w:rPr>
                <w:noProof/>
                <w:webHidden/>
              </w:rPr>
              <w:fldChar w:fldCharType="separate"/>
            </w:r>
            <w:r w:rsidR="00A26049" w:rsidRPr="009426E0">
              <w:rPr>
                <w:noProof/>
                <w:webHidden/>
              </w:rPr>
              <w:t>6</w:t>
            </w:r>
            <w:r w:rsidRPr="009426E0">
              <w:rPr>
                <w:noProof/>
                <w:webHidden/>
              </w:rPr>
              <w:fldChar w:fldCharType="end"/>
            </w:r>
          </w:hyperlink>
        </w:p>
        <w:p w14:paraId="09D35832" w14:textId="70EE0C6C" w:rsidR="00BB51F8" w:rsidRPr="009426E0" w:rsidRDefault="00BB51F8">
          <w:pPr>
            <w:pStyle w:val="TOC1"/>
            <w:tabs>
              <w:tab w:val="right" w:leader="dot" w:pos="9622"/>
            </w:tabs>
            <w:rPr>
              <w:rFonts w:eastAsiaTheme="minorEastAsia" w:cstheme="minorBidi"/>
              <w:b w:val="0"/>
              <w:bCs w:val="0"/>
              <w:i w:val="0"/>
              <w:iCs w:val="0"/>
              <w:noProof/>
              <w:kern w:val="2"/>
              <w:lang w:eastAsia="en-AU"/>
              <w14:ligatures w14:val="standardContextual"/>
            </w:rPr>
          </w:pPr>
          <w:hyperlink w:anchor="_Toc191465859" w:history="1">
            <w:r w:rsidRPr="009426E0">
              <w:rPr>
                <w:rStyle w:val="Hyperlink"/>
                <w:noProof/>
                <w:u w:val="none"/>
                <w:lang w:val="en-US"/>
              </w:rPr>
              <w:t>Key findings | Health and development</w:t>
            </w:r>
            <w:r w:rsidRPr="009426E0">
              <w:rPr>
                <w:noProof/>
                <w:webHidden/>
              </w:rPr>
              <w:tab/>
            </w:r>
            <w:r w:rsidRPr="009426E0">
              <w:rPr>
                <w:noProof/>
                <w:webHidden/>
              </w:rPr>
              <w:fldChar w:fldCharType="begin"/>
            </w:r>
            <w:r w:rsidRPr="009426E0">
              <w:rPr>
                <w:noProof/>
                <w:webHidden/>
              </w:rPr>
              <w:instrText xml:space="preserve"> PAGEREF _Toc191465859 \h </w:instrText>
            </w:r>
            <w:r w:rsidRPr="009426E0">
              <w:rPr>
                <w:noProof/>
                <w:webHidden/>
              </w:rPr>
            </w:r>
            <w:r w:rsidRPr="009426E0">
              <w:rPr>
                <w:noProof/>
                <w:webHidden/>
              </w:rPr>
              <w:fldChar w:fldCharType="separate"/>
            </w:r>
            <w:r w:rsidR="00A26049" w:rsidRPr="009426E0">
              <w:rPr>
                <w:noProof/>
                <w:webHidden/>
              </w:rPr>
              <w:t>7</w:t>
            </w:r>
            <w:r w:rsidRPr="009426E0">
              <w:rPr>
                <w:noProof/>
                <w:webHidden/>
              </w:rPr>
              <w:fldChar w:fldCharType="end"/>
            </w:r>
          </w:hyperlink>
        </w:p>
        <w:p w14:paraId="0BEB2260" w14:textId="237B8738" w:rsidR="00BB51F8" w:rsidRPr="009426E0" w:rsidRDefault="00BB51F8" w:rsidP="00CD05B6">
          <w:pPr>
            <w:pStyle w:val="TOC2"/>
            <w:rPr>
              <w:rFonts w:eastAsiaTheme="minorEastAsia" w:cstheme="minorBidi"/>
              <w:kern w:val="2"/>
              <w:sz w:val="24"/>
              <w:szCs w:val="24"/>
              <w:lang w:eastAsia="en-AU"/>
              <w14:ligatures w14:val="standardContextual"/>
            </w:rPr>
          </w:pPr>
          <w:hyperlink w:anchor="_Toc191465860" w:history="1">
            <w:r w:rsidRPr="009426E0">
              <w:rPr>
                <w:rStyle w:val="Hyperlink"/>
                <w:u w:val="none"/>
              </w:rPr>
              <w:t>In 2021:</w:t>
            </w:r>
            <w:r w:rsidRPr="009426E0">
              <w:rPr>
                <w:webHidden/>
              </w:rPr>
              <w:tab/>
            </w:r>
            <w:r w:rsidRPr="009426E0">
              <w:rPr>
                <w:webHidden/>
              </w:rPr>
              <w:fldChar w:fldCharType="begin"/>
            </w:r>
            <w:r w:rsidRPr="009426E0">
              <w:rPr>
                <w:webHidden/>
              </w:rPr>
              <w:instrText xml:space="preserve"> PAGEREF _Toc191465860 \h </w:instrText>
            </w:r>
            <w:r w:rsidRPr="009426E0">
              <w:rPr>
                <w:webHidden/>
              </w:rPr>
            </w:r>
            <w:r w:rsidRPr="009426E0">
              <w:rPr>
                <w:webHidden/>
              </w:rPr>
              <w:fldChar w:fldCharType="separate"/>
            </w:r>
            <w:r w:rsidR="00A26049" w:rsidRPr="009426E0">
              <w:rPr>
                <w:webHidden/>
              </w:rPr>
              <w:t>7</w:t>
            </w:r>
            <w:r w:rsidRPr="009426E0">
              <w:rPr>
                <w:webHidden/>
              </w:rPr>
              <w:fldChar w:fldCharType="end"/>
            </w:r>
          </w:hyperlink>
        </w:p>
        <w:p w14:paraId="569276CB" w14:textId="5C0CD6C5" w:rsidR="00BB51F8" w:rsidRPr="009426E0" w:rsidRDefault="00BB51F8">
          <w:pPr>
            <w:pStyle w:val="TOC1"/>
            <w:tabs>
              <w:tab w:val="right" w:leader="dot" w:pos="9622"/>
            </w:tabs>
            <w:rPr>
              <w:rFonts w:eastAsiaTheme="minorEastAsia" w:cstheme="minorBidi"/>
              <w:b w:val="0"/>
              <w:bCs w:val="0"/>
              <w:i w:val="0"/>
              <w:iCs w:val="0"/>
              <w:noProof/>
              <w:kern w:val="2"/>
              <w:lang w:eastAsia="en-AU"/>
              <w14:ligatures w14:val="standardContextual"/>
            </w:rPr>
          </w:pPr>
          <w:hyperlink w:anchor="_Toc191465861" w:history="1">
            <w:r w:rsidRPr="009426E0">
              <w:rPr>
                <w:rStyle w:val="Hyperlink"/>
                <w:noProof/>
                <w:u w:val="none"/>
                <w:lang w:val="en-US"/>
              </w:rPr>
              <w:t>Key findings | Education</w:t>
            </w:r>
            <w:r w:rsidRPr="009426E0">
              <w:rPr>
                <w:noProof/>
                <w:webHidden/>
              </w:rPr>
              <w:tab/>
            </w:r>
            <w:r w:rsidRPr="009426E0">
              <w:rPr>
                <w:noProof/>
                <w:webHidden/>
              </w:rPr>
              <w:fldChar w:fldCharType="begin"/>
            </w:r>
            <w:r w:rsidRPr="009426E0">
              <w:rPr>
                <w:noProof/>
                <w:webHidden/>
              </w:rPr>
              <w:instrText xml:space="preserve"> PAGEREF _Toc191465861 \h </w:instrText>
            </w:r>
            <w:r w:rsidRPr="009426E0">
              <w:rPr>
                <w:noProof/>
                <w:webHidden/>
              </w:rPr>
            </w:r>
            <w:r w:rsidRPr="009426E0">
              <w:rPr>
                <w:noProof/>
                <w:webHidden/>
              </w:rPr>
              <w:fldChar w:fldCharType="separate"/>
            </w:r>
            <w:r w:rsidR="00A26049" w:rsidRPr="009426E0">
              <w:rPr>
                <w:noProof/>
                <w:webHidden/>
              </w:rPr>
              <w:t>7</w:t>
            </w:r>
            <w:r w:rsidRPr="009426E0">
              <w:rPr>
                <w:noProof/>
                <w:webHidden/>
              </w:rPr>
              <w:fldChar w:fldCharType="end"/>
            </w:r>
          </w:hyperlink>
        </w:p>
        <w:p w14:paraId="4BE4333F" w14:textId="2DDAEE63" w:rsidR="00BB51F8" w:rsidRPr="009426E0" w:rsidRDefault="00BB51F8">
          <w:pPr>
            <w:pStyle w:val="TOC1"/>
            <w:tabs>
              <w:tab w:val="right" w:leader="dot" w:pos="9622"/>
            </w:tabs>
            <w:rPr>
              <w:rFonts w:eastAsiaTheme="minorEastAsia" w:cstheme="minorBidi"/>
              <w:b w:val="0"/>
              <w:bCs w:val="0"/>
              <w:i w:val="0"/>
              <w:iCs w:val="0"/>
              <w:noProof/>
              <w:kern w:val="2"/>
              <w:lang w:eastAsia="en-AU"/>
              <w14:ligatures w14:val="standardContextual"/>
            </w:rPr>
          </w:pPr>
          <w:hyperlink w:anchor="_Toc191465862" w:history="1">
            <w:r w:rsidRPr="009426E0">
              <w:rPr>
                <w:rStyle w:val="Hyperlink"/>
                <w:noProof/>
                <w:u w:val="none"/>
                <w:lang w:val="en-US"/>
              </w:rPr>
              <w:t>Key findings | Safety</w:t>
            </w:r>
            <w:r w:rsidRPr="009426E0">
              <w:rPr>
                <w:noProof/>
                <w:webHidden/>
              </w:rPr>
              <w:tab/>
            </w:r>
            <w:r w:rsidRPr="009426E0">
              <w:rPr>
                <w:noProof/>
                <w:webHidden/>
              </w:rPr>
              <w:fldChar w:fldCharType="begin"/>
            </w:r>
            <w:r w:rsidRPr="009426E0">
              <w:rPr>
                <w:noProof/>
                <w:webHidden/>
              </w:rPr>
              <w:instrText xml:space="preserve"> PAGEREF _Toc191465862 \h </w:instrText>
            </w:r>
            <w:r w:rsidRPr="009426E0">
              <w:rPr>
                <w:noProof/>
                <w:webHidden/>
              </w:rPr>
            </w:r>
            <w:r w:rsidRPr="009426E0">
              <w:rPr>
                <w:noProof/>
                <w:webHidden/>
              </w:rPr>
              <w:fldChar w:fldCharType="separate"/>
            </w:r>
            <w:r w:rsidR="00A26049" w:rsidRPr="009426E0">
              <w:rPr>
                <w:noProof/>
                <w:webHidden/>
              </w:rPr>
              <w:t>8</w:t>
            </w:r>
            <w:r w:rsidRPr="009426E0">
              <w:rPr>
                <w:noProof/>
                <w:webHidden/>
              </w:rPr>
              <w:fldChar w:fldCharType="end"/>
            </w:r>
          </w:hyperlink>
        </w:p>
        <w:p w14:paraId="0C8EC823" w14:textId="40A1D19E" w:rsidR="00BB51F8" w:rsidRPr="009426E0" w:rsidRDefault="00BB51F8" w:rsidP="00CD05B6">
          <w:pPr>
            <w:pStyle w:val="TOC2"/>
            <w:rPr>
              <w:rFonts w:eastAsiaTheme="minorEastAsia" w:cstheme="minorBidi"/>
              <w:b/>
              <w:bCs/>
              <w:kern w:val="2"/>
              <w:sz w:val="24"/>
              <w:szCs w:val="24"/>
              <w:lang w:eastAsia="en-AU"/>
              <w14:ligatures w14:val="standardContextual"/>
            </w:rPr>
          </w:pPr>
          <w:hyperlink w:anchor="_Toc191465863" w:history="1">
            <w:r w:rsidRPr="009426E0">
              <w:rPr>
                <w:rStyle w:val="Hyperlink"/>
                <w:u w:val="none"/>
                <w:lang w:val="en-US"/>
              </w:rPr>
              <w:t>In 2021 and 2022:</w:t>
            </w:r>
            <w:r w:rsidRPr="009426E0">
              <w:rPr>
                <w:webHidden/>
              </w:rPr>
              <w:tab/>
            </w:r>
            <w:r w:rsidRPr="009426E0">
              <w:rPr>
                <w:webHidden/>
              </w:rPr>
              <w:fldChar w:fldCharType="begin"/>
            </w:r>
            <w:r w:rsidRPr="009426E0">
              <w:rPr>
                <w:webHidden/>
              </w:rPr>
              <w:instrText xml:space="preserve"> PAGEREF _Toc191465863 \h </w:instrText>
            </w:r>
            <w:r w:rsidRPr="009426E0">
              <w:rPr>
                <w:webHidden/>
              </w:rPr>
            </w:r>
            <w:r w:rsidRPr="009426E0">
              <w:rPr>
                <w:webHidden/>
              </w:rPr>
              <w:fldChar w:fldCharType="separate"/>
            </w:r>
            <w:r w:rsidR="00A26049" w:rsidRPr="009426E0">
              <w:rPr>
                <w:webHidden/>
              </w:rPr>
              <w:t>8</w:t>
            </w:r>
            <w:r w:rsidRPr="009426E0">
              <w:rPr>
                <w:webHidden/>
              </w:rPr>
              <w:fldChar w:fldCharType="end"/>
            </w:r>
          </w:hyperlink>
        </w:p>
        <w:p w14:paraId="5CA0AECB" w14:textId="08745D33" w:rsidR="00BB51F8" w:rsidRPr="009426E0" w:rsidRDefault="00BB51F8" w:rsidP="00CD05B6">
          <w:pPr>
            <w:pStyle w:val="TOC2"/>
            <w:rPr>
              <w:rFonts w:eastAsiaTheme="minorEastAsia" w:cstheme="minorBidi"/>
              <w:b/>
              <w:bCs/>
              <w:kern w:val="2"/>
              <w:sz w:val="24"/>
              <w:szCs w:val="24"/>
              <w:lang w:eastAsia="en-AU"/>
              <w14:ligatures w14:val="standardContextual"/>
            </w:rPr>
          </w:pPr>
          <w:hyperlink w:anchor="_Toc191465864" w:history="1">
            <w:r w:rsidRPr="009426E0">
              <w:rPr>
                <w:rStyle w:val="Hyperlink"/>
                <w:u w:val="none"/>
                <w:lang w:val="en-US"/>
              </w:rPr>
              <w:t>2018-19 to 2021-22</w:t>
            </w:r>
            <w:r w:rsidRPr="009426E0">
              <w:rPr>
                <w:webHidden/>
              </w:rPr>
              <w:tab/>
            </w:r>
            <w:r w:rsidRPr="009426E0">
              <w:rPr>
                <w:webHidden/>
              </w:rPr>
              <w:fldChar w:fldCharType="begin"/>
            </w:r>
            <w:r w:rsidRPr="009426E0">
              <w:rPr>
                <w:webHidden/>
              </w:rPr>
              <w:instrText xml:space="preserve"> PAGEREF _Toc191465864 \h </w:instrText>
            </w:r>
            <w:r w:rsidRPr="009426E0">
              <w:rPr>
                <w:webHidden/>
              </w:rPr>
            </w:r>
            <w:r w:rsidRPr="009426E0">
              <w:rPr>
                <w:webHidden/>
              </w:rPr>
              <w:fldChar w:fldCharType="separate"/>
            </w:r>
            <w:r w:rsidR="00A26049" w:rsidRPr="009426E0">
              <w:rPr>
                <w:webHidden/>
              </w:rPr>
              <w:t>8</w:t>
            </w:r>
            <w:r w:rsidRPr="009426E0">
              <w:rPr>
                <w:webHidden/>
              </w:rPr>
              <w:fldChar w:fldCharType="end"/>
            </w:r>
          </w:hyperlink>
        </w:p>
        <w:p w14:paraId="1B5E97E9" w14:textId="64450385" w:rsidR="00BB51F8" w:rsidRPr="009426E0" w:rsidRDefault="00BB51F8">
          <w:pPr>
            <w:pStyle w:val="TOC1"/>
            <w:tabs>
              <w:tab w:val="right" w:leader="dot" w:pos="9622"/>
            </w:tabs>
            <w:rPr>
              <w:rFonts w:eastAsiaTheme="minorEastAsia" w:cstheme="minorBidi"/>
              <w:b w:val="0"/>
              <w:bCs w:val="0"/>
              <w:i w:val="0"/>
              <w:iCs w:val="0"/>
              <w:noProof/>
              <w:kern w:val="2"/>
              <w:lang w:eastAsia="en-AU"/>
              <w14:ligatures w14:val="standardContextual"/>
            </w:rPr>
          </w:pPr>
          <w:hyperlink w:anchor="_Toc191465865" w:history="1">
            <w:r w:rsidRPr="009426E0">
              <w:rPr>
                <w:rStyle w:val="Hyperlink"/>
                <w:noProof/>
                <w:u w:val="none"/>
                <w:lang w:val="en-US"/>
              </w:rPr>
              <w:t>1. Health and development</w:t>
            </w:r>
            <w:r w:rsidRPr="009426E0">
              <w:rPr>
                <w:noProof/>
                <w:webHidden/>
              </w:rPr>
              <w:tab/>
            </w:r>
            <w:r w:rsidRPr="009426E0">
              <w:rPr>
                <w:noProof/>
                <w:webHidden/>
              </w:rPr>
              <w:fldChar w:fldCharType="begin"/>
            </w:r>
            <w:r w:rsidRPr="009426E0">
              <w:rPr>
                <w:noProof/>
                <w:webHidden/>
              </w:rPr>
              <w:instrText xml:space="preserve"> PAGEREF _Toc191465865 \h </w:instrText>
            </w:r>
            <w:r w:rsidRPr="009426E0">
              <w:rPr>
                <w:noProof/>
                <w:webHidden/>
              </w:rPr>
            </w:r>
            <w:r w:rsidRPr="009426E0">
              <w:rPr>
                <w:noProof/>
                <w:webHidden/>
              </w:rPr>
              <w:fldChar w:fldCharType="separate"/>
            </w:r>
            <w:r w:rsidR="00A26049" w:rsidRPr="009426E0">
              <w:rPr>
                <w:noProof/>
                <w:webHidden/>
              </w:rPr>
              <w:t>9</w:t>
            </w:r>
            <w:r w:rsidRPr="009426E0">
              <w:rPr>
                <w:noProof/>
                <w:webHidden/>
              </w:rPr>
              <w:fldChar w:fldCharType="end"/>
            </w:r>
          </w:hyperlink>
        </w:p>
        <w:p w14:paraId="16F68A48" w14:textId="3E3451A7" w:rsidR="00BB51F8" w:rsidRPr="009426E0" w:rsidRDefault="00BB51F8" w:rsidP="00CD05B6">
          <w:pPr>
            <w:pStyle w:val="TOC2"/>
            <w:rPr>
              <w:rFonts w:eastAsiaTheme="minorEastAsia" w:cstheme="minorBidi"/>
              <w:b/>
              <w:bCs/>
              <w:kern w:val="2"/>
              <w:sz w:val="24"/>
              <w:szCs w:val="24"/>
              <w:lang w:eastAsia="en-AU"/>
              <w14:ligatures w14:val="standardContextual"/>
            </w:rPr>
          </w:pPr>
          <w:hyperlink w:anchor="_Toc191465866" w:history="1">
            <w:r w:rsidRPr="009426E0">
              <w:rPr>
                <w:rStyle w:val="Hyperlink"/>
                <w:u w:val="none"/>
                <w:lang w:val="en-US"/>
              </w:rPr>
              <w:t>1.1 Early development</w:t>
            </w:r>
            <w:r w:rsidRPr="009426E0">
              <w:rPr>
                <w:webHidden/>
              </w:rPr>
              <w:tab/>
            </w:r>
            <w:r w:rsidRPr="009426E0">
              <w:rPr>
                <w:webHidden/>
              </w:rPr>
              <w:fldChar w:fldCharType="begin"/>
            </w:r>
            <w:r w:rsidRPr="009426E0">
              <w:rPr>
                <w:webHidden/>
              </w:rPr>
              <w:instrText xml:space="preserve"> PAGEREF _Toc191465866 \h </w:instrText>
            </w:r>
            <w:r w:rsidRPr="009426E0">
              <w:rPr>
                <w:webHidden/>
              </w:rPr>
            </w:r>
            <w:r w:rsidRPr="009426E0">
              <w:rPr>
                <w:webHidden/>
              </w:rPr>
              <w:fldChar w:fldCharType="separate"/>
            </w:r>
            <w:r w:rsidR="00A26049" w:rsidRPr="009426E0">
              <w:rPr>
                <w:webHidden/>
              </w:rPr>
              <w:t>9</w:t>
            </w:r>
            <w:r w:rsidRPr="009426E0">
              <w:rPr>
                <w:webHidden/>
              </w:rPr>
              <w:fldChar w:fldCharType="end"/>
            </w:r>
          </w:hyperlink>
        </w:p>
        <w:p w14:paraId="0B23AE52" w14:textId="7B4899D0" w:rsidR="00BB51F8" w:rsidRPr="009426E0" w:rsidRDefault="00BB51F8">
          <w:pPr>
            <w:pStyle w:val="TOC1"/>
            <w:tabs>
              <w:tab w:val="right" w:leader="dot" w:pos="9622"/>
            </w:tabs>
            <w:rPr>
              <w:rFonts w:eastAsiaTheme="minorEastAsia" w:cstheme="minorBidi"/>
              <w:b w:val="0"/>
              <w:bCs w:val="0"/>
              <w:i w:val="0"/>
              <w:iCs w:val="0"/>
              <w:noProof/>
              <w:kern w:val="2"/>
              <w:lang w:eastAsia="en-AU"/>
              <w14:ligatures w14:val="standardContextual"/>
            </w:rPr>
          </w:pPr>
          <w:hyperlink w:anchor="_Toc191465867" w:history="1">
            <w:r w:rsidRPr="009426E0">
              <w:rPr>
                <w:rStyle w:val="Hyperlink"/>
                <w:noProof/>
                <w:u w:val="none"/>
                <w:lang w:val="en-US"/>
              </w:rPr>
              <w:t>Meeting local needs</w:t>
            </w:r>
            <w:r w:rsidRPr="009426E0">
              <w:rPr>
                <w:noProof/>
                <w:webHidden/>
              </w:rPr>
              <w:tab/>
            </w:r>
            <w:r w:rsidRPr="009426E0">
              <w:rPr>
                <w:noProof/>
                <w:webHidden/>
              </w:rPr>
              <w:fldChar w:fldCharType="begin"/>
            </w:r>
            <w:r w:rsidRPr="009426E0">
              <w:rPr>
                <w:noProof/>
                <w:webHidden/>
              </w:rPr>
              <w:instrText xml:space="preserve"> PAGEREF _Toc191465867 \h </w:instrText>
            </w:r>
            <w:r w:rsidRPr="009426E0">
              <w:rPr>
                <w:noProof/>
                <w:webHidden/>
              </w:rPr>
            </w:r>
            <w:r w:rsidRPr="009426E0">
              <w:rPr>
                <w:noProof/>
                <w:webHidden/>
              </w:rPr>
              <w:fldChar w:fldCharType="separate"/>
            </w:r>
            <w:r w:rsidR="00A26049" w:rsidRPr="009426E0">
              <w:rPr>
                <w:noProof/>
                <w:webHidden/>
              </w:rPr>
              <w:t>11</w:t>
            </w:r>
            <w:r w:rsidRPr="009426E0">
              <w:rPr>
                <w:noProof/>
                <w:webHidden/>
              </w:rPr>
              <w:fldChar w:fldCharType="end"/>
            </w:r>
          </w:hyperlink>
        </w:p>
        <w:p w14:paraId="72E3422C" w14:textId="11DB0FFE" w:rsidR="00BB51F8" w:rsidRPr="009426E0" w:rsidRDefault="00BB51F8" w:rsidP="00CD05B6">
          <w:pPr>
            <w:pStyle w:val="TOC2"/>
            <w:rPr>
              <w:rFonts w:eastAsiaTheme="minorEastAsia" w:cstheme="minorBidi"/>
              <w:b/>
              <w:bCs/>
              <w:kern w:val="2"/>
              <w:sz w:val="24"/>
              <w:szCs w:val="24"/>
              <w:lang w:eastAsia="en-AU"/>
              <w14:ligatures w14:val="standardContextual"/>
            </w:rPr>
          </w:pPr>
          <w:hyperlink w:anchor="_Toc191465868" w:history="1">
            <w:r w:rsidRPr="009426E0">
              <w:rPr>
                <w:rStyle w:val="Hyperlink"/>
                <w:u w:val="none"/>
                <w:lang w:val="en-US"/>
              </w:rPr>
              <w:t>A Comprehensive Monitoring System</w:t>
            </w:r>
            <w:r w:rsidRPr="009426E0">
              <w:rPr>
                <w:webHidden/>
              </w:rPr>
              <w:tab/>
            </w:r>
            <w:r w:rsidRPr="009426E0">
              <w:rPr>
                <w:webHidden/>
              </w:rPr>
              <w:fldChar w:fldCharType="begin"/>
            </w:r>
            <w:r w:rsidRPr="009426E0">
              <w:rPr>
                <w:webHidden/>
              </w:rPr>
              <w:instrText xml:space="preserve"> PAGEREF _Toc191465868 \h </w:instrText>
            </w:r>
            <w:r w:rsidRPr="009426E0">
              <w:rPr>
                <w:webHidden/>
              </w:rPr>
            </w:r>
            <w:r w:rsidRPr="009426E0">
              <w:rPr>
                <w:webHidden/>
              </w:rPr>
              <w:fldChar w:fldCharType="separate"/>
            </w:r>
            <w:r w:rsidR="00A26049" w:rsidRPr="009426E0">
              <w:rPr>
                <w:webHidden/>
              </w:rPr>
              <w:t>11</w:t>
            </w:r>
            <w:r w:rsidRPr="009426E0">
              <w:rPr>
                <w:webHidden/>
              </w:rPr>
              <w:fldChar w:fldCharType="end"/>
            </w:r>
          </w:hyperlink>
        </w:p>
        <w:p w14:paraId="136E8FA4" w14:textId="755658A7" w:rsidR="00BB51F8" w:rsidRPr="009426E0" w:rsidRDefault="00BB51F8" w:rsidP="00CD05B6">
          <w:pPr>
            <w:pStyle w:val="TOC2"/>
            <w:rPr>
              <w:rFonts w:eastAsiaTheme="minorEastAsia" w:cstheme="minorBidi"/>
              <w:b/>
              <w:bCs/>
              <w:kern w:val="2"/>
              <w:sz w:val="24"/>
              <w:szCs w:val="24"/>
              <w:lang w:eastAsia="en-AU"/>
              <w14:ligatures w14:val="standardContextual"/>
            </w:rPr>
          </w:pPr>
          <w:hyperlink w:anchor="_Toc191465869" w:history="1">
            <w:r w:rsidRPr="009426E0">
              <w:rPr>
                <w:rStyle w:val="Hyperlink"/>
                <w:u w:val="none"/>
                <w:lang w:val="en-US"/>
              </w:rPr>
              <w:t>Child and Family Health and Wellbeing Locals</w:t>
            </w:r>
            <w:r w:rsidRPr="009426E0">
              <w:rPr>
                <w:webHidden/>
              </w:rPr>
              <w:tab/>
            </w:r>
            <w:r w:rsidRPr="009426E0">
              <w:rPr>
                <w:webHidden/>
              </w:rPr>
              <w:fldChar w:fldCharType="begin"/>
            </w:r>
            <w:r w:rsidRPr="009426E0">
              <w:rPr>
                <w:webHidden/>
              </w:rPr>
              <w:instrText xml:space="preserve"> PAGEREF _Toc191465869 \h </w:instrText>
            </w:r>
            <w:r w:rsidRPr="009426E0">
              <w:rPr>
                <w:webHidden/>
              </w:rPr>
            </w:r>
            <w:r w:rsidRPr="009426E0">
              <w:rPr>
                <w:webHidden/>
              </w:rPr>
              <w:fldChar w:fldCharType="separate"/>
            </w:r>
            <w:r w:rsidR="00A26049" w:rsidRPr="009426E0">
              <w:rPr>
                <w:webHidden/>
              </w:rPr>
              <w:t>11</w:t>
            </w:r>
            <w:r w:rsidRPr="009426E0">
              <w:rPr>
                <w:webHidden/>
              </w:rPr>
              <w:fldChar w:fldCharType="end"/>
            </w:r>
          </w:hyperlink>
        </w:p>
        <w:p w14:paraId="13895196" w14:textId="22C57848" w:rsidR="00BB51F8" w:rsidRPr="009426E0" w:rsidRDefault="00BB51F8" w:rsidP="00CD05B6">
          <w:pPr>
            <w:pStyle w:val="TOC2"/>
            <w:rPr>
              <w:rFonts w:eastAsiaTheme="minorEastAsia" w:cstheme="minorBidi"/>
              <w:b/>
              <w:bCs/>
              <w:kern w:val="2"/>
              <w:sz w:val="24"/>
              <w:szCs w:val="24"/>
              <w:lang w:eastAsia="en-AU"/>
              <w14:ligatures w14:val="standardContextual"/>
            </w:rPr>
          </w:pPr>
          <w:hyperlink w:anchor="_Toc191465870" w:history="1">
            <w:r w:rsidRPr="009426E0">
              <w:rPr>
                <w:rStyle w:val="Hyperlink"/>
                <w:u w:val="none"/>
                <w:lang w:val="en-US"/>
              </w:rPr>
              <w:t>BEAR bus (Brimbank Early Years)</w:t>
            </w:r>
            <w:r w:rsidRPr="009426E0">
              <w:rPr>
                <w:webHidden/>
              </w:rPr>
              <w:tab/>
            </w:r>
            <w:r w:rsidRPr="009426E0">
              <w:rPr>
                <w:webHidden/>
              </w:rPr>
              <w:fldChar w:fldCharType="begin"/>
            </w:r>
            <w:r w:rsidRPr="009426E0">
              <w:rPr>
                <w:webHidden/>
              </w:rPr>
              <w:instrText xml:space="preserve"> PAGEREF _Toc191465870 \h </w:instrText>
            </w:r>
            <w:r w:rsidRPr="009426E0">
              <w:rPr>
                <w:webHidden/>
              </w:rPr>
            </w:r>
            <w:r w:rsidRPr="009426E0">
              <w:rPr>
                <w:webHidden/>
              </w:rPr>
              <w:fldChar w:fldCharType="separate"/>
            </w:r>
            <w:r w:rsidR="00A26049" w:rsidRPr="009426E0">
              <w:rPr>
                <w:webHidden/>
              </w:rPr>
              <w:t>11</w:t>
            </w:r>
            <w:r w:rsidRPr="009426E0">
              <w:rPr>
                <w:webHidden/>
              </w:rPr>
              <w:fldChar w:fldCharType="end"/>
            </w:r>
          </w:hyperlink>
        </w:p>
        <w:p w14:paraId="160B9427" w14:textId="13341C19" w:rsidR="00BB51F8" w:rsidRPr="009426E0" w:rsidRDefault="00BB51F8" w:rsidP="00CD05B6">
          <w:pPr>
            <w:pStyle w:val="TOC2"/>
            <w:rPr>
              <w:rFonts w:eastAsiaTheme="minorEastAsia" w:cstheme="minorBidi"/>
              <w:b/>
              <w:bCs/>
              <w:kern w:val="2"/>
              <w:sz w:val="24"/>
              <w:szCs w:val="24"/>
              <w:lang w:eastAsia="en-AU"/>
              <w14:ligatures w14:val="standardContextual"/>
            </w:rPr>
          </w:pPr>
          <w:hyperlink w:anchor="_Toc191465871" w:history="1">
            <w:r w:rsidRPr="009426E0">
              <w:rPr>
                <w:rStyle w:val="Hyperlink"/>
                <w:u w:val="none"/>
                <w:lang w:val="en-US"/>
              </w:rPr>
              <w:t>B4Kids (Ballarat 4 Kids)</w:t>
            </w:r>
            <w:r w:rsidRPr="009426E0">
              <w:rPr>
                <w:webHidden/>
              </w:rPr>
              <w:tab/>
            </w:r>
            <w:r w:rsidRPr="009426E0">
              <w:rPr>
                <w:webHidden/>
              </w:rPr>
              <w:fldChar w:fldCharType="begin"/>
            </w:r>
            <w:r w:rsidRPr="009426E0">
              <w:rPr>
                <w:webHidden/>
              </w:rPr>
              <w:instrText xml:space="preserve"> PAGEREF _Toc191465871 \h </w:instrText>
            </w:r>
            <w:r w:rsidRPr="009426E0">
              <w:rPr>
                <w:webHidden/>
              </w:rPr>
            </w:r>
            <w:r w:rsidRPr="009426E0">
              <w:rPr>
                <w:webHidden/>
              </w:rPr>
              <w:fldChar w:fldCharType="separate"/>
            </w:r>
            <w:r w:rsidR="00A26049" w:rsidRPr="009426E0">
              <w:rPr>
                <w:webHidden/>
              </w:rPr>
              <w:t>11</w:t>
            </w:r>
            <w:r w:rsidRPr="009426E0">
              <w:rPr>
                <w:webHidden/>
              </w:rPr>
              <w:fldChar w:fldCharType="end"/>
            </w:r>
          </w:hyperlink>
        </w:p>
        <w:p w14:paraId="553F5989" w14:textId="51670814" w:rsidR="00BB51F8" w:rsidRPr="009426E0" w:rsidRDefault="00BB51F8" w:rsidP="00CD05B6">
          <w:pPr>
            <w:pStyle w:val="TOC2"/>
            <w:rPr>
              <w:rFonts w:eastAsiaTheme="minorEastAsia" w:cstheme="minorBidi"/>
              <w:b/>
              <w:bCs/>
              <w:kern w:val="2"/>
              <w:sz w:val="24"/>
              <w:szCs w:val="24"/>
              <w:lang w:eastAsia="en-AU"/>
              <w14:ligatures w14:val="standardContextual"/>
            </w:rPr>
          </w:pPr>
          <w:hyperlink w:anchor="_Toc191465872" w:history="1">
            <w:r w:rsidRPr="009426E0">
              <w:rPr>
                <w:rStyle w:val="Hyperlink"/>
                <w:u w:val="none"/>
                <w:lang w:val="en-US"/>
              </w:rPr>
              <w:t>1.2 Healthy foundations</w:t>
            </w:r>
            <w:r w:rsidRPr="009426E0">
              <w:rPr>
                <w:webHidden/>
              </w:rPr>
              <w:tab/>
            </w:r>
            <w:r w:rsidRPr="009426E0">
              <w:rPr>
                <w:webHidden/>
              </w:rPr>
              <w:fldChar w:fldCharType="begin"/>
            </w:r>
            <w:r w:rsidRPr="009426E0">
              <w:rPr>
                <w:webHidden/>
              </w:rPr>
              <w:instrText xml:space="preserve"> PAGEREF _Toc191465872 \h </w:instrText>
            </w:r>
            <w:r w:rsidRPr="009426E0">
              <w:rPr>
                <w:webHidden/>
              </w:rPr>
            </w:r>
            <w:r w:rsidRPr="009426E0">
              <w:rPr>
                <w:webHidden/>
              </w:rPr>
              <w:fldChar w:fldCharType="separate"/>
            </w:r>
            <w:r w:rsidR="00A26049" w:rsidRPr="009426E0">
              <w:rPr>
                <w:webHidden/>
              </w:rPr>
              <w:t>12</w:t>
            </w:r>
            <w:r w:rsidRPr="009426E0">
              <w:rPr>
                <w:webHidden/>
              </w:rPr>
              <w:fldChar w:fldCharType="end"/>
            </w:r>
          </w:hyperlink>
        </w:p>
        <w:p w14:paraId="7A5AAD8A" w14:textId="3D01188B" w:rsidR="00BB51F8" w:rsidRPr="009426E0" w:rsidRDefault="00BB51F8">
          <w:pPr>
            <w:pStyle w:val="TOC1"/>
            <w:tabs>
              <w:tab w:val="right" w:leader="dot" w:pos="9622"/>
            </w:tabs>
            <w:rPr>
              <w:rFonts w:eastAsiaTheme="minorEastAsia" w:cstheme="minorBidi"/>
              <w:b w:val="0"/>
              <w:bCs w:val="0"/>
              <w:i w:val="0"/>
              <w:iCs w:val="0"/>
              <w:noProof/>
              <w:kern w:val="2"/>
              <w:lang w:eastAsia="en-AU"/>
              <w14:ligatures w14:val="standardContextual"/>
            </w:rPr>
          </w:pPr>
          <w:hyperlink w:anchor="_Toc191465873" w:history="1">
            <w:r w:rsidRPr="009426E0">
              <w:rPr>
                <w:rStyle w:val="Hyperlink"/>
                <w:noProof/>
                <w:u w:val="none"/>
                <w:lang w:val="en-US"/>
              </w:rPr>
              <w:t>Meeting local needs</w:t>
            </w:r>
            <w:r w:rsidRPr="009426E0">
              <w:rPr>
                <w:noProof/>
                <w:webHidden/>
              </w:rPr>
              <w:tab/>
            </w:r>
            <w:r w:rsidRPr="009426E0">
              <w:rPr>
                <w:noProof/>
                <w:webHidden/>
              </w:rPr>
              <w:fldChar w:fldCharType="begin"/>
            </w:r>
            <w:r w:rsidRPr="009426E0">
              <w:rPr>
                <w:noProof/>
                <w:webHidden/>
              </w:rPr>
              <w:instrText xml:space="preserve"> PAGEREF _Toc191465873 \h </w:instrText>
            </w:r>
            <w:r w:rsidRPr="009426E0">
              <w:rPr>
                <w:noProof/>
                <w:webHidden/>
              </w:rPr>
            </w:r>
            <w:r w:rsidRPr="009426E0">
              <w:rPr>
                <w:noProof/>
                <w:webHidden/>
              </w:rPr>
              <w:fldChar w:fldCharType="separate"/>
            </w:r>
            <w:r w:rsidR="00A26049" w:rsidRPr="009426E0">
              <w:rPr>
                <w:noProof/>
                <w:webHidden/>
              </w:rPr>
              <w:t>13</w:t>
            </w:r>
            <w:r w:rsidRPr="009426E0">
              <w:rPr>
                <w:noProof/>
                <w:webHidden/>
              </w:rPr>
              <w:fldChar w:fldCharType="end"/>
            </w:r>
          </w:hyperlink>
        </w:p>
        <w:p w14:paraId="03C07FFF" w14:textId="0F2BAC0B" w:rsidR="00BB51F8" w:rsidRPr="009426E0" w:rsidRDefault="00BB51F8" w:rsidP="00CD05B6">
          <w:pPr>
            <w:pStyle w:val="TOC2"/>
            <w:rPr>
              <w:rFonts w:eastAsiaTheme="minorEastAsia" w:cstheme="minorBidi"/>
              <w:b/>
              <w:bCs/>
              <w:kern w:val="2"/>
              <w:sz w:val="24"/>
              <w:szCs w:val="24"/>
              <w:lang w:eastAsia="en-AU"/>
              <w14:ligatures w14:val="standardContextual"/>
            </w:rPr>
          </w:pPr>
          <w:hyperlink w:anchor="_Toc191465874" w:history="1">
            <w:r w:rsidRPr="009426E0">
              <w:rPr>
                <w:rStyle w:val="Hyperlink"/>
                <w:u w:val="none"/>
                <w:lang w:val="en-US"/>
              </w:rPr>
              <w:t>Vic Kids Eat Well, supported by Healthy Kids Advisors</w:t>
            </w:r>
            <w:r w:rsidRPr="009426E0">
              <w:rPr>
                <w:webHidden/>
              </w:rPr>
              <w:tab/>
            </w:r>
            <w:r w:rsidRPr="009426E0">
              <w:rPr>
                <w:webHidden/>
              </w:rPr>
              <w:fldChar w:fldCharType="begin"/>
            </w:r>
            <w:r w:rsidRPr="009426E0">
              <w:rPr>
                <w:webHidden/>
              </w:rPr>
              <w:instrText xml:space="preserve"> PAGEREF _Toc191465874 \h </w:instrText>
            </w:r>
            <w:r w:rsidRPr="009426E0">
              <w:rPr>
                <w:webHidden/>
              </w:rPr>
            </w:r>
            <w:r w:rsidRPr="009426E0">
              <w:rPr>
                <w:webHidden/>
              </w:rPr>
              <w:fldChar w:fldCharType="separate"/>
            </w:r>
            <w:r w:rsidR="00A26049" w:rsidRPr="009426E0">
              <w:rPr>
                <w:webHidden/>
              </w:rPr>
              <w:t>13</w:t>
            </w:r>
            <w:r w:rsidRPr="009426E0">
              <w:rPr>
                <w:webHidden/>
              </w:rPr>
              <w:fldChar w:fldCharType="end"/>
            </w:r>
          </w:hyperlink>
        </w:p>
        <w:p w14:paraId="0AFB0CAB" w14:textId="0CABCACE" w:rsidR="00BB51F8" w:rsidRPr="009426E0" w:rsidRDefault="00BB51F8" w:rsidP="00CD05B6">
          <w:pPr>
            <w:pStyle w:val="TOC2"/>
            <w:rPr>
              <w:rFonts w:eastAsiaTheme="minorEastAsia" w:cstheme="minorBidi"/>
              <w:b/>
              <w:bCs/>
              <w:kern w:val="2"/>
              <w:sz w:val="24"/>
              <w:szCs w:val="24"/>
              <w:lang w:eastAsia="en-AU"/>
              <w14:ligatures w14:val="standardContextual"/>
            </w:rPr>
          </w:pPr>
          <w:hyperlink w:anchor="_Toc191465875" w:history="1">
            <w:r w:rsidRPr="009426E0">
              <w:rPr>
                <w:rStyle w:val="Hyperlink"/>
                <w:u w:val="none"/>
                <w:lang w:val="en-US"/>
              </w:rPr>
              <w:t>Active Schools</w:t>
            </w:r>
            <w:r w:rsidRPr="009426E0">
              <w:rPr>
                <w:webHidden/>
              </w:rPr>
              <w:tab/>
            </w:r>
            <w:r w:rsidRPr="009426E0">
              <w:rPr>
                <w:webHidden/>
              </w:rPr>
              <w:fldChar w:fldCharType="begin"/>
            </w:r>
            <w:r w:rsidRPr="009426E0">
              <w:rPr>
                <w:webHidden/>
              </w:rPr>
              <w:instrText xml:space="preserve"> PAGEREF _Toc191465875 \h </w:instrText>
            </w:r>
            <w:r w:rsidRPr="009426E0">
              <w:rPr>
                <w:webHidden/>
              </w:rPr>
            </w:r>
            <w:r w:rsidRPr="009426E0">
              <w:rPr>
                <w:webHidden/>
              </w:rPr>
              <w:fldChar w:fldCharType="separate"/>
            </w:r>
            <w:r w:rsidR="00A26049" w:rsidRPr="009426E0">
              <w:rPr>
                <w:webHidden/>
              </w:rPr>
              <w:t>14</w:t>
            </w:r>
            <w:r w:rsidRPr="009426E0">
              <w:rPr>
                <w:webHidden/>
              </w:rPr>
              <w:fldChar w:fldCharType="end"/>
            </w:r>
          </w:hyperlink>
        </w:p>
        <w:p w14:paraId="5C21A3FB" w14:textId="6D99BE5F" w:rsidR="00BB51F8" w:rsidRPr="009426E0" w:rsidRDefault="00BB51F8">
          <w:pPr>
            <w:pStyle w:val="TOC1"/>
            <w:tabs>
              <w:tab w:val="right" w:leader="dot" w:pos="9622"/>
            </w:tabs>
            <w:rPr>
              <w:rFonts w:eastAsiaTheme="minorEastAsia" w:cstheme="minorBidi"/>
              <w:b w:val="0"/>
              <w:bCs w:val="0"/>
              <w:i w:val="0"/>
              <w:iCs w:val="0"/>
              <w:noProof/>
              <w:kern w:val="2"/>
              <w:lang w:eastAsia="en-AU"/>
              <w14:ligatures w14:val="standardContextual"/>
            </w:rPr>
          </w:pPr>
          <w:hyperlink w:anchor="_Toc191465876" w:history="1">
            <w:r w:rsidRPr="009426E0">
              <w:rPr>
                <w:rStyle w:val="Hyperlink"/>
                <w:noProof/>
                <w:u w:val="none"/>
                <w:lang w:val="en-US"/>
              </w:rPr>
              <w:t>2.Education</w:t>
            </w:r>
            <w:r w:rsidRPr="009426E0">
              <w:rPr>
                <w:noProof/>
                <w:webHidden/>
              </w:rPr>
              <w:tab/>
            </w:r>
            <w:r w:rsidRPr="009426E0">
              <w:rPr>
                <w:noProof/>
                <w:webHidden/>
              </w:rPr>
              <w:fldChar w:fldCharType="begin"/>
            </w:r>
            <w:r w:rsidRPr="009426E0">
              <w:rPr>
                <w:noProof/>
                <w:webHidden/>
              </w:rPr>
              <w:instrText xml:space="preserve"> PAGEREF _Toc191465876 \h </w:instrText>
            </w:r>
            <w:r w:rsidRPr="009426E0">
              <w:rPr>
                <w:noProof/>
                <w:webHidden/>
              </w:rPr>
            </w:r>
            <w:r w:rsidRPr="009426E0">
              <w:rPr>
                <w:noProof/>
                <w:webHidden/>
              </w:rPr>
              <w:fldChar w:fldCharType="separate"/>
            </w:r>
            <w:r w:rsidR="00A26049" w:rsidRPr="009426E0">
              <w:rPr>
                <w:noProof/>
                <w:webHidden/>
              </w:rPr>
              <w:t>16</w:t>
            </w:r>
            <w:r w:rsidRPr="009426E0">
              <w:rPr>
                <w:noProof/>
                <w:webHidden/>
              </w:rPr>
              <w:fldChar w:fldCharType="end"/>
            </w:r>
          </w:hyperlink>
        </w:p>
        <w:p w14:paraId="119CC64D" w14:textId="4DF74EFD" w:rsidR="00BB51F8" w:rsidRPr="009426E0" w:rsidRDefault="00BB51F8" w:rsidP="00CD05B6">
          <w:pPr>
            <w:pStyle w:val="TOC2"/>
            <w:rPr>
              <w:rFonts w:eastAsiaTheme="minorEastAsia" w:cstheme="minorBidi"/>
              <w:b/>
              <w:bCs/>
              <w:kern w:val="2"/>
              <w:sz w:val="24"/>
              <w:szCs w:val="24"/>
              <w:lang w:eastAsia="en-AU"/>
              <w14:ligatures w14:val="standardContextual"/>
            </w:rPr>
          </w:pPr>
          <w:hyperlink w:anchor="_Toc191465877" w:history="1">
            <w:r w:rsidRPr="009426E0">
              <w:rPr>
                <w:rStyle w:val="Hyperlink"/>
                <w:u w:val="none"/>
                <w:lang w:val="en-US"/>
              </w:rPr>
              <w:t>2.1 Early childhood education</w:t>
            </w:r>
            <w:r w:rsidRPr="009426E0">
              <w:rPr>
                <w:webHidden/>
              </w:rPr>
              <w:tab/>
            </w:r>
            <w:r w:rsidRPr="009426E0">
              <w:rPr>
                <w:webHidden/>
              </w:rPr>
              <w:fldChar w:fldCharType="begin"/>
            </w:r>
            <w:r w:rsidRPr="009426E0">
              <w:rPr>
                <w:webHidden/>
              </w:rPr>
              <w:instrText xml:space="preserve"> PAGEREF _Toc191465877 \h </w:instrText>
            </w:r>
            <w:r w:rsidRPr="009426E0">
              <w:rPr>
                <w:webHidden/>
              </w:rPr>
            </w:r>
            <w:r w:rsidRPr="009426E0">
              <w:rPr>
                <w:webHidden/>
              </w:rPr>
              <w:fldChar w:fldCharType="separate"/>
            </w:r>
            <w:r w:rsidR="00A26049" w:rsidRPr="009426E0">
              <w:rPr>
                <w:webHidden/>
              </w:rPr>
              <w:t>16</w:t>
            </w:r>
            <w:r w:rsidRPr="009426E0">
              <w:rPr>
                <w:webHidden/>
              </w:rPr>
              <w:fldChar w:fldCharType="end"/>
            </w:r>
          </w:hyperlink>
        </w:p>
        <w:p w14:paraId="467043F3" w14:textId="03BEC762" w:rsidR="00BB51F8" w:rsidRPr="009426E0" w:rsidRDefault="00BB51F8">
          <w:pPr>
            <w:pStyle w:val="TOC1"/>
            <w:tabs>
              <w:tab w:val="right" w:leader="dot" w:pos="9622"/>
            </w:tabs>
            <w:rPr>
              <w:rFonts w:eastAsiaTheme="minorEastAsia" w:cstheme="minorBidi"/>
              <w:b w:val="0"/>
              <w:bCs w:val="0"/>
              <w:i w:val="0"/>
              <w:iCs w:val="0"/>
              <w:noProof/>
              <w:kern w:val="2"/>
              <w:lang w:eastAsia="en-AU"/>
              <w14:ligatures w14:val="standardContextual"/>
            </w:rPr>
          </w:pPr>
          <w:hyperlink w:anchor="_Toc191465878" w:history="1">
            <w:r w:rsidRPr="009426E0">
              <w:rPr>
                <w:rStyle w:val="Hyperlink"/>
                <w:noProof/>
                <w:u w:val="none"/>
                <w:lang w:val="en-US"/>
              </w:rPr>
              <w:t>Meeting local needs</w:t>
            </w:r>
            <w:r w:rsidRPr="009426E0">
              <w:rPr>
                <w:noProof/>
                <w:webHidden/>
              </w:rPr>
              <w:tab/>
            </w:r>
            <w:r w:rsidRPr="009426E0">
              <w:rPr>
                <w:noProof/>
                <w:webHidden/>
              </w:rPr>
              <w:fldChar w:fldCharType="begin"/>
            </w:r>
            <w:r w:rsidRPr="009426E0">
              <w:rPr>
                <w:noProof/>
                <w:webHidden/>
              </w:rPr>
              <w:instrText xml:space="preserve"> PAGEREF _Toc191465878 \h </w:instrText>
            </w:r>
            <w:r w:rsidRPr="009426E0">
              <w:rPr>
                <w:noProof/>
                <w:webHidden/>
              </w:rPr>
            </w:r>
            <w:r w:rsidRPr="009426E0">
              <w:rPr>
                <w:noProof/>
                <w:webHidden/>
              </w:rPr>
              <w:fldChar w:fldCharType="separate"/>
            </w:r>
            <w:r w:rsidR="00A26049" w:rsidRPr="009426E0">
              <w:rPr>
                <w:noProof/>
                <w:webHidden/>
              </w:rPr>
              <w:t>16</w:t>
            </w:r>
            <w:r w:rsidRPr="009426E0">
              <w:rPr>
                <w:noProof/>
                <w:webHidden/>
              </w:rPr>
              <w:fldChar w:fldCharType="end"/>
            </w:r>
          </w:hyperlink>
        </w:p>
        <w:p w14:paraId="5BEBA229" w14:textId="4641F442" w:rsidR="00BB51F8" w:rsidRPr="009426E0" w:rsidRDefault="00BB51F8" w:rsidP="00CD05B6">
          <w:pPr>
            <w:pStyle w:val="TOC2"/>
            <w:rPr>
              <w:rFonts w:eastAsiaTheme="minorEastAsia" w:cstheme="minorBidi"/>
              <w:b/>
              <w:bCs/>
              <w:kern w:val="2"/>
              <w:sz w:val="24"/>
              <w:szCs w:val="24"/>
              <w:lang w:eastAsia="en-AU"/>
              <w14:ligatures w14:val="standardContextual"/>
            </w:rPr>
          </w:pPr>
          <w:hyperlink w:anchor="_Toc191465879" w:history="1">
            <w:r w:rsidRPr="009426E0">
              <w:rPr>
                <w:rStyle w:val="Hyperlink"/>
                <w:u w:val="none"/>
                <w:lang w:val="en-US"/>
              </w:rPr>
              <w:t>School Readiness Funding</w:t>
            </w:r>
            <w:r w:rsidRPr="009426E0">
              <w:rPr>
                <w:webHidden/>
              </w:rPr>
              <w:tab/>
            </w:r>
            <w:r w:rsidRPr="009426E0">
              <w:rPr>
                <w:webHidden/>
              </w:rPr>
              <w:fldChar w:fldCharType="begin"/>
            </w:r>
            <w:r w:rsidRPr="009426E0">
              <w:rPr>
                <w:webHidden/>
              </w:rPr>
              <w:instrText xml:space="preserve"> PAGEREF _Toc191465879 \h </w:instrText>
            </w:r>
            <w:r w:rsidRPr="009426E0">
              <w:rPr>
                <w:webHidden/>
              </w:rPr>
            </w:r>
            <w:r w:rsidRPr="009426E0">
              <w:rPr>
                <w:webHidden/>
              </w:rPr>
              <w:fldChar w:fldCharType="separate"/>
            </w:r>
            <w:r w:rsidR="00A26049" w:rsidRPr="009426E0">
              <w:rPr>
                <w:webHidden/>
              </w:rPr>
              <w:t>16</w:t>
            </w:r>
            <w:r w:rsidRPr="009426E0">
              <w:rPr>
                <w:webHidden/>
              </w:rPr>
              <w:fldChar w:fldCharType="end"/>
            </w:r>
          </w:hyperlink>
        </w:p>
        <w:p w14:paraId="79B8D369" w14:textId="39B6FD1B" w:rsidR="00BB51F8" w:rsidRPr="009426E0" w:rsidRDefault="00BB51F8" w:rsidP="00CD05B6">
          <w:pPr>
            <w:pStyle w:val="TOC2"/>
            <w:rPr>
              <w:rFonts w:eastAsiaTheme="minorEastAsia" w:cstheme="minorBidi"/>
              <w:b/>
              <w:bCs/>
              <w:kern w:val="2"/>
              <w:sz w:val="24"/>
              <w:szCs w:val="24"/>
              <w:lang w:eastAsia="en-AU"/>
              <w14:ligatures w14:val="standardContextual"/>
            </w:rPr>
          </w:pPr>
          <w:hyperlink w:anchor="_Toc191465880" w:history="1">
            <w:r w:rsidRPr="009426E0">
              <w:rPr>
                <w:rStyle w:val="Hyperlink"/>
                <w:u w:val="none"/>
                <w:lang w:val="en-US"/>
              </w:rPr>
              <w:t>Ready, Set, Prep!</w:t>
            </w:r>
            <w:r w:rsidRPr="009426E0">
              <w:rPr>
                <w:webHidden/>
              </w:rPr>
              <w:tab/>
            </w:r>
            <w:r w:rsidRPr="009426E0">
              <w:rPr>
                <w:webHidden/>
              </w:rPr>
              <w:fldChar w:fldCharType="begin"/>
            </w:r>
            <w:r w:rsidRPr="009426E0">
              <w:rPr>
                <w:webHidden/>
              </w:rPr>
              <w:instrText xml:space="preserve"> PAGEREF _Toc191465880 \h </w:instrText>
            </w:r>
            <w:r w:rsidRPr="009426E0">
              <w:rPr>
                <w:webHidden/>
              </w:rPr>
            </w:r>
            <w:r w:rsidRPr="009426E0">
              <w:rPr>
                <w:webHidden/>
              </w:rPr>
              <w:fldChar w:fldCharType="separate"/>
            </w:r>
            <w:r w:rsidR="00A26049" w:rsidRPr="009426E0">
              <w:rPr>
                <w:webHidden/>
              </w:rPr>
              <w:t>17</w:t>
            </w:r>
            <w:r w:rsidRPr="009426E0">
              <w:rPr>
                <w:webHidden/>
              </w:rPr>
              <w:fldChar w:fldCharType="end"/>
            </w:r>
          </w:hyperlink>
        </w:p>
        <w:p w14:paraId="42935F27" w14:textId="1F40C208" w:rsidR="00BB51F8" w:rsidRPr="009426E0" w:rsidRDefault="00BB51F8" w:rsidP="00CD05B6">
          <w:pPr>
            <w:pStyle w:val="TOC2"/>
            <w:rPr>
              <w:rFonts w:eastAsiaTheme="minorEastAsia" w:cstheme="minorBidi"/>
              <w:b/>
              <w:bCs/>
              <w:kern w:val="2"/>
              <w:sz w:val="24"/>
              <w:szCs w:val="24"/>
              <w:lang w:eastAsia="en-AU"/>
              <w14:ligatures w14:val="standardContextual"/>
            </w:rPr>
          </w:pPr>
          <w:hyperlink w:anchor="_Toc191465881" w:history="1">
            <w:r w:rsidRPr="009426E0">
              <w:rPr>
                <w:rStyle w:val="Hyperlink"/>
                <w:u w:val="none"/>
                <w:lang w:val="en-US"/>
              </w:rPr>
              <w:t>LOOKOUT Early Childhood Learning Advisors</w:t>
            </w:r>
            <w:r w:rsidRPr="009426E0">
              <w:rPr>
                <w:webHidden/>
              </w:rPr>
              <w:tab/>
            </w:r>
            <w:r w:rsidRPr="009426E0">
              <w:rPr>
                <w:webHidden/>
              </w:rPr>
              <w:fldChar w:fldCharType="begin"/>
            </w:r>
            <w:r w:rsidRPr="009426E0">
              <w:rPr>
                <w:webHidden/>
              </w:rPr>
              <w:instrText xml:space="preserve"> PAGEREF _Toc191465881 \h </w:instrText>
            </w:r>
            <w:r w:rsidRPr="009426E0">
              <w:rPr>
                <w:webHidden/>
              </w:rPr>
            </w:r>
            <w:r w:rsidRPr="009426E0">
              <w:rPr>
                <w:webHidden/>
              </w:rPr>
              <w:fldChar w:fldCharType="separate"/>
            </w:r>
            <w:r w:rsidR="00A26049" w:rsidRPr="009426E0">
              <w:rPr>
                <w:webHidden/>
              </w:rPr>
              <w:t>17</w:t>
            </w:r>
            <w:r w:rsidRPr="009426E0">
              <w:rPr>
                <w:webHidden/>
              </w:rPr>
              <w:fldChar w:fldCharType="end"/>
            </w:r>
          </w:hyperlink>
        </w:p>
        <w:p w14:paraId="2AB62653" w14:textId="16A35E2C" w:rsidR="00BB51F8" w:rsidRPr="009426E0" w:rsidRDefault="00BB51F8" w:rsidP="00CD05B6">
          <w:pPr>
            <w:pStyle w:val="TOC2"/>
            <w:rPr>
              <w:rFonts w:eastAsiaTheme="minorEastAsia" w:cstheme="minorBidi"/>
              <w:b/>
              <w:bCs/>
              <w:kern w:val="2"/>
              <w:sz w:val="24"/>
              <w:szCs w:val="24"/>
              <w:lang w:eastAsia="en-AU"/>
              <w14:ligatures w14:val="standardContextual"/>
            </w:rPr>
          </w:pPr>
          <w:hyperlink w:anchor="_Toc191465882" w:history="1">
            <w:r w:rsidRPr="009426E0">
              <w:rPr>
                <w:rStyle w:val="Hyperlink"/>
                <w:u w:val="none"/>
                <w:lang w:val="en-US"/>
              </w:rPr>
              <w:t>2.2 School education</w:t>
            </w:r>
            <w:r w:rsidRPr="009426E0">
              <w:rPr>
                <w:webHidden/>
              </w:rPr>
              <w:tab/>
            </w:r>
            <w:r w:rsidRPr="009426E0">
              <w:rPr>
                <w:webHidden/>
              </w:rPr>
              <w:fldChar w:fldCharType="begin"/>
            </w:r>
            <w:r w:rsidRPr="009426E0">
              <w:rPr>
                <w:webHidden/>
              </w:rPr>
              <w:instrText xml:space="preserve"> PAGEREF _Toc191465882 \h </w:instrText>
            </w:r>
            <w:r w:rsidRPr="009426E0">
              <w:rPr>
                <w:webHidden/>
              </w:rPr>
            </w:r>
            <w:r w:rsidRPr="009426E0">
              <w:rPr>
                <w:webHidden/>
              </w:rPr>
              <w:fldChar w:fldCharType="separate"/>
            </w:r>
            <w:r w:rsidR="00A26049" w:rsidRPr="009426E0">
              <w:rPr>
                <w:webHidden/>
              </w:rPr>
              <w:t>17</w:t>
            </w:r>
            <w:r w:rsidRPr="009426E0">
              <w:rPr>
                <w:webHidden/>
              </w:rPr>
              <w:fldChar w:fldCharType="end"/>
            </w:r>
          </w:hyperlink>
        </w:p>
        <w:p w14:paraId="28E8F8BF" w14:textId="55493261" w:rsidR="00BB51F8" w:rsidRPr="009426E0" w:rsidRDefault="00BB51F8">
          <w:pPr>
            <w:pStyle w:val="TOC1"/>
            <w:tabs>
              <w:tab w:val="right" w:leader="dot" w:pos="9622"/>
            </w:tabs>
            <w:rPr>
              <w:rFonts w:eastAsiaTheme="minorEastAsia" w:cstheme="minorBidi"/>
              <w:b w:val="0"/>
              <w:bCs w:val="0"/>
              <w:i w:val="0"/>
              <w:iCs w:val="0"/>
              <w:noProof/>
              <w:kern w:val="2"/>
              <w:lang w:eastAsia="en-AU"/>
              <w14:ligatures w14:val="standardContextual"/>
            </w:rPr>
          </w:pPr>
          <w:hyperlink w:anchor="_Toc191465883" w:history="1">
            <w:r w:rsidRPr="009426E0">
              <w:rPr>
                <w:rStyle w:val="Hyperlink"/>
                <w:noProof/>
                <w:u w:val="none"/>
                <w:lang w:val="en-US"/>
              </w:rPr>
              <w:t>Meeting local needs</w:t>
            </w:r>
            <w:r w:rsidRPr="009426E0">
              <w:rPr>
                <w:noProof/>
                <w:webHidden/>
              </w:rPr>
              <w:tab/>
            </w:r>
            <w:r w:rsidRPr="009426E0">
              <w:rPr>
                <w:noProof/>
                <w:webHidden/>
              </w:rPr>
              <w:fldChar w:fldCharType="begin"/>
            </w:r>
            <w:r w:rsidRPr="009426E0">
              <w:rPr>
                <w:noProof/>
                <w:webHidden/>
              </w:rPr>
              <w:instrText xml:space="preserve"> PAGEREF _Toc191465883 \h </w:instrText>
            </w:r>
            <w:r w:rsidRPr="009426E0">
              <w:rPr>
                <w:noProof/>
                <w:webHidden/>
              </w:rPr>
            </w:r>
            <w:r w:rsidRPr="009426E0">
              <w:rPr>
                <w:noProof/>
                <w:webHidden/>
              </w:rPr>
              <w:fldChar w:fldCharType="separate"/>
            </w:r>
            <w:r w:rsidR="00A26049" w:rsidRPr="009426E0">
              <w:rPr>
                <w:noProof/>
                <w:webHidden/>
              </w:rPr>
              <w:t>20</w:t>
            </w:r>
            <w:r w:rsidRPr="009426E0">
              <w:rPr>
                <w:noProof/>
                <w:webHidden/>
              </w:rPr>
              <w:fldChar w:fldCharType="end"/>
            </w:r>
          </w:hyperlink>
        </w:p>
        <w:p w14:paraId="0C9B92E1" w14:textId="558F6D7C" w:rsidR="00BB51F8" w:rsidRPr="009426E0" w:rsidRDefault="00BB51F8" w:rsidP="00CD05B6">
          <w:pPr>
            <w:pStyle w:val="TOC2"/>
            <w:rPr>
              <w:rFonts w:eastAsiaTheme="minorEastAsia" w:cstheme="minorBidi"/>
              <w:b/>
              <w:bCs/>
              <w:kern w:val="2"/>
              <w:sz w:val="24"/>
              <w:szCs w:val="24"/>
              <w:lang w:eastAsia="en-AU"/>
              <w14:ligatures w14:val="standardContextual"/>
            </w:rPr>
          </w:pPr>
          <w:hyperlink w:anchor="_Toc191465884" w:history="1">
            <w:r w:rsidRPr="009426E0">
              <w:rPr>
                <w:rStyle w:val="Hyperlink"/>
                <w:u w:val="none"/>
                <w:lang w:val="en-US"/>
              </w:rPr>
              <w:t>Our Place</w:t>
            </w:r>
            <w:r w:rsidRPr="009426E0">
              <w:rPr>
                <w:webHidden/>
              </w:rPr>
              <w:tab/>
            </w:r>
            <w:r w:rsidRPr="009426E0">
              <w:rPr>
                <w:webHidden/>
              </w:rPr>
              <w:fldChar w:fldCharType="begin"/>
            </w:r>
            <w:r w:rsidRPr="009426E0">
              <w:rPr>
                <w:webHidden/>
              </w:rPr>
              <w:instrText xml:space="preserve"> PAGEREF _Toc191465884 \h </w:instrText>
            </w:r>
            <w:r w:rsidRPr="009426E0">
              <w:rPr>
                <w:webHidden/>
              </w:rPr>
            </w:r>
            <w:r w:rsidRPr="009426E0">
              <w:rPr>
                <w:webHidden/>
              </w:rPr>
              <w:fldChar w:fldCharType="separate"/>
            </w:r>
            <w:r w:rsidR="00A26049" w:rsidRPr="009426E0">
              <w:rPr>
                <w:webHidden/>
              </w:rPr>
              <w:t>20</w:t>
            </w:r>
            <w:r w:rsidRPr="009426E0">
              <w:rPr>
                <w:webHidden/>
              </w:rPr>
              <w:fldChar w:fldCharType="end"/>
            </w:r>
          </w:hyperlink>
        </w:p>
        <w:p w14:paraId="475E6CE6" w14:textId="06144958" w:rsidR="00BB51F8" w:rsidRPr="009426E0" w:rsidRDefault="00BB51F8" w:rsidP="00CD05B6">
          <w:pPr>
            <w:pStyle w:val="TOC2"/>
            <w:rPr>
              <w:rFonts w:eastAsiaTheme="minorEastAsia" w:cstheme="minorBidi"/>
              <w:b/>
              <w:bCs/>
              <w:kern w:val="2"/>
              <w:sz w:val="24"/>
              <w:szCs w:val="24"/>
              <w:lang w:eastAsia="en-AU"/>
              <w14:ligatures w14:val="standardContextual"/>
            </w:rPr>
          </w:pPr>
          <w:hyperlink w:anchor="_Toc191465885" w:history="1">
            <w:r w:rsidRPr="009426E0">
              <w:rPr>
                <w:rStyle w:val="Hyperlink"/>
                <w:u w:val="none"/>
                <w:lang w:val="en-US"/>
              </w:rPr>
              <w:t>Side by Side</w:t>
            </w:r>
            <w:r w:rsidRPr="009426E0">
              <w:rPr>
                <w:webHidden/>
              </w:rPr>
              <w:tab/>
            </w:r>
            <w:r w:rsidRPr="009426E0">
              <w:rPr>
                <w:webHidden/>
              </w:rPr>
              <w:fldChar w:fldCharType="begin"/>
            </w:r>
            <w:r w:rsidRPr="009426E0">
              <w:rPr>
                <w:webHidden/>
              </w:rPr>
              <w:instrText xml:space="preserve"> PAGEREF _Toc191465885 \h </w:instrText>
            </w:r>
            <w:r w:rsidRPr="009426E0">
              <w:rPr>
                <w:webHidden/>
              </w:rPr>
            </w:r>
            <w:r w:rsidRPr="009426E0">
              <w:rPr>
                <w:webHidden/>
              </w:rPr>
              <w:fldChar w:fldCharType="separate"/>
            </w:r>
            <w:r w:rsidR="00A26049" w:rsidRPr="009426E0">
              <w:rPr>
                <w:webHidden/>
              </w:rPr>
              <w:t>20</w:t>
            </w:r>
            <w:r w:rsidRPr="009426E0">
              <w:rPr>
                <w:webHidden/>
              </w:rPr>
              <w:fldChar w:fldCharType="end"/>
            </w:r>
          </w:hyperlink>
        </w:p>
        <w:p w14:paraId="0C847F03" w14:textId="03572017" w:rsidR="00BB51F8" w:rsidRPr="009426E0" w:rsidRDefault="00BB51F8">
          <w:pPr>
            <w:pStyle w:val="TOC1"/>
            <w:tabs>
              <w:tab w:val="right" w:leader="dot" w:pos="9622"/>
            </w:tabs>
            <w:rPr>
              <w:rFonts w:eastAsiaTheme="minorEastAsia" w:cstheme="minorBidi"/>
              <w:b w:val="0"/>
              <w:bCs w:val="0"/>
              <w:i w:val="0"/>
              <w:iCs w:val="0"/>
              <w:noProof/>
              <w:kern w:val="2"/>
              <w:lang w:eastAsia="en-AU"/>
              <w14:ligatures w14:val="standardContextual"/>
            </w:rPr>
          </w:pPr>
          <w:hyperlink w:anchor="_Toc191465886" w:history="1">
            <w:r w:rsidRPr="009426E0">
              <w:rPr>
                <w:rStyle w:val="Hyperlink"/>
                <w:noProof/>
                <w:u w:val="none"/>
                <w:lang w:val="en-US"/>
              </w:rPr>
              <w:t>3. Safety</w:t>
            </w:r>
            <w:r w:rsidRPr="009426E0">
              <w:rPr>
                <w:noProof/>
                <w:webHidden/>
              </w:rPr>
              <w:tab/>
            </w:r>
            <w:r w:rsidRPr="009426E0">
              <w:rPr>
                <w:noProof/>
                <w:webHidden/>
              </w:rPr>
              <w:fldChar w:fldCharType="begin"/>
            </w:r>
            <w:r w:rsidRPr="009426E0">
              <w:rPr>
                <w:noProof/>
                <w:webHidden/>
              </w:rPr>
              <w:instrText xml:space="preserve"> PAGEREF _Toc191465886 \h </w:instrText>
            </w:r>
            <w:r w:rsidRPr="009426E0">
              <w:rPr>
                <w:noProof/>
                <w:webHidden/>
              </w:rPr>
            </w:r>
            <w:r w:rsidRPr="009426E0">
              <w:rPr>
                <w:noProof/>
                <w:webHidden/>
              </w:rPr>
              <w:fldChar w:fldCharType="separate"/>
            </w:r>
            <w:r w:rsidR="00A26049" w:rsidRPr="009426E0">
              <w:rPr>
                <w:noProof/>
                <w:webHidden/>
              </w:rPr>
              <w:t>21</w:t>
            </w:r>
            <w:r w:rsidRPr="009426E0">
              <w:rPr>
                <w:noProof/>
                <w:webHidden/>
              </w:rPr>
              <w:fldChar w:fldCharType="end"/>
            </w:r>
          </w:hyperlink>
        </w:p>
        <w:p w14:paraId="52094631" w14:textId="24D8AD59" w:rsidR="00BB51F8" w:rsidRPr="009426E0" w:rsidRDefault="00BB51F8" w:rsidP="00CD05B6">
          <w:pPr>
            <w:pStyle w:val="TOC2"/>
            <w:rPr>
              <w:rFonts w:eastAsiaTheme="minorEastAsia" w:cstheme="minorBidi"/>
              <w:b/>
              <w:bCs/>
              <w:kern w:val="2"/>
              <w:sz w:val="24"/>
              <w:szCs w:val="24"/>
              <w:lang w:eastAsia="en-AU"/>
              <w14:ligatures w14:val="standardContextual"/>
            </w:rPr>
          </w:pPr>
          <w:hyperlink w:anchor="_Toc191465887" w:history="1">
            <w:r w:rsidRPr="009426E0">
              <w:rPr>
                <w:rStyle w:val="Hyperlink"/>
                <w:u w:val="none"/>
                <w:lang w:val="en-US"/>
              </w:rPr>
              <w:t>3.1 Children in care</w:t>
            </w:r>
            <w:r w:rsidRPr="009426E0">
              <w:rPr>
                <w:webHidden/>
              </w:rPr>
              <w:tab/>
            </w:r>
            <w:r w:rsidRPr="009426E0">
              <w:rPr>
                <w:webHidden/>
              </w:rPr>
              <w:fldChar w:fldCharType="begin"/>
            </w:r>
            <w:r w:rsidRPr="009426E0">
              <w:rPr>
                <w:webHidden/>
              </w:rPr>
              <w:instrText xml:space="preserve"> PAGEREF _Toc191465887 \h </w:instrText>
            </w:r>
            <w:r w:rsidRPr="009426E0">
              <w:rPr>
                <w:webHidden/>
              </w:rPr>
            </w:r>
            <w:r w:rsidRPr="009426E0">
              <w:rPr>
                <w:webHidden/>
              </w:rPr>
              <w:fldChar w:fldCharType="separate"/>
            </w:r>
            <w:r w:rsidR="00A26049" w:rsidRPr="009426E0">
              <w:rPr>
                <w:webHidden/>
              </w:rPr>
              <w:t>21</w:t>
            </w:r>
            <w:r w:rsidRPr="009426E0">
              <w:rPr>
                <w:webHidden/>
              </w:rPr>
              <w:fldChar w:fldCharType="end"/>
            </w:r>
          </w:hyperlink>
        </w:p>
        <w:p w14:paraId="48D6B72B" w14:textId="4F78AFB1" w:rsidR="00BB51F8" w:rsidRPr="009426E0" w:rsidRDefault="00BB51F8">
          <w:pPr>
            <w:pStyle w:val="TOC1"/>
            <w:tabs>
              <w:tab w:val="right" w:leader="dot" w:pos="9622"/>
            </w:tabs>
            <w:rPr>
              <w:rFonts w:eastAsiaTheme="minorEastAsia" w:cstheme="minorBidi"/>
              <w:b w:val="0"/>
              <w:bCs w:val="0"/>
              <w:i w:val="0"/>
              <w:iCs w:val="0"/>
              <w:noProof/>
              <w:kern w:val="2"/>
              <w:lang w:eastAsia="en-AU"/>
              <w14:ligatures w14:val="standardContextual"/>
            </w:rPr>
          </w:pPr>
          <w:hyperlink w:anchor="_Toc191465888" w:history="1">
            <w:r w:rsidRPr="009426E0">
              <w:rPr>
                <w:rStyle w:val="Hyperlink"/>
                <w:noProof/>
                <w:u w:val="none"/>
                <w:lang w:val="en-US"/>
              </w:rPr>
              <w:t>Meeting local needs</w:t>
            </w:r>
            <w:r w:rsidRPr="009426E0">
              <w:rPr>
                <w:noProof/>
                <w:webHidden/>
              </w:rPr>
              <w:tab/>
            </w:r>
            <w:r w:rsidRPr="009426E0">
              <w:rPr>
                <w:noProof/>
                <w:webHidden/>
              </w:rPr>
              <w:fldChar w:fldCharType="begin"/>
            </w:r>
            <w:r w:rsidRPr="009426E0">
              <w:rPr>
                <w:noProof/>
                <w:webHidden/>
              </w:rPr>
              <w:instrText xml:space="preserve"> PAGEREF _Toc191465888 \h </w:instrText>
            </w:r>
            <w:r w:rsidRPr="009426E0">
              <w:rPr>
                <w:noProof/>
                <w:webHidden/>
              </w:rPr>
            </w:r>
            <w:r w:rsidRPr="009426E0">
              <w:rPr>
                <w:noProof/>
                <w:webHidden/>
              </w:rPr>
              <w:fldChar w:fldCharType="separate"/>
            </w:r>
            <w:r w:rsidR="00A26049" w:rsidRPr="009426E0">
              <w:rPr>
                <w:noProof/>
                <w:webHidden/>
              </w:rPr>
              <w:t>23</w:t>
            </w:r>
            <w:r w:rsidRPr="009426E0">
              <w:rPr>
                <w:noProof/>
                <w:webHidden/>
              </w:rPr>
              <w:fldChar w:fldCharType="end"/>
            </w:r>
          </w:hyperlink>
        </w:p>
        <w:p w14:paraId="703DBFA4" w14:textId="5FB447D6" w:rsidR="00BB51F8" w:rsidRPr="009426E0" w:rsidRDefault="00BB51F8" w:rsidP="00CD05B6">
          <w:pPr>
            <w:pStyle w:val="TOC2"/>
            <w:rPr>
              <w:rFonts w:eastAsiaTheme="minorEastAsia" w:cstheme="minorBidi"/>
              <w:b/>
              <w:bCs/>
              <w:kern w:val="2"/>
              <w:sz w:val="24"/>
              <w:szCs w:val="24"/>
              <w:lang w:eastAsia="en-AU"/>
              <w14:ligatures w14:val="standardContextual"/>
            </w:rPr>
          </w:pPr>
          <w:hyperlink w:anchor="_Toc191465889" w:history="1">
            <w:r w:rsidRPr="009426E0">
              <w:rPr>
                <w:rStyle w:val="Hyperlink"/>
                <w:u w:val="none"/>
                <w:lang w:val="en-US"/>
              </w:rPr>
              <w:t>Family Preservation and Reunification Response</w:t>
            </w:r>
            <w:r w:rsidRPr="009426E0">
              <w:rPr>
                <w:webHidden/>
              </w:rPr>
              <w:tab/>
            </w:r>
            <w:r w:rsidRPr="009426E0">
              <w:rPr>
                <w:webHidden/>
              </w:rPr>
              <w:fldChar w:fldCharType="begin"/>
            </w:r>
            <w:r w:rsidRPr="009426E0">
              <w:rPr>
                <w:webHidden/>
              </w:rPr>
              <w:instrText xml:space="preserve"> PAGEREF _Toc191465889 \h </w:instrText>
            </w:r>
            <w:r w:rsidRPr="009426E0">
              <w:rPr>
                <w:webHidden/>
              </w:rPr>
            </w:r>
            <w:r w:rsidRPr="009426E0">
              <w:rPr>
                <w:webHidden/>
              </w:rPr>
              <w:fldChar w:fldCharType="separate"/>
            </w:r>
            <w:r w:rsidR="00A26049" w:rsidRPr="009426E0">
              <w:rPr>
                <w:webHidden/>
              </w:rPr>
              <w:t>23</w:t>
            </w:r>
            <w:r w:rsidRPr="009426E0">
              <w:rPr>
                <w:webHidden/>
              </w:rPr>
              <w:fldChar w:fldCharType="end"/>
            </w:r>
          </w:hyperlink>
        </w:p>
        <w:p w14:paraId="0BEDDA50" w14:textId="5D69AB7C" w:rsidR="00BB51F8" w:rsidRPr="009426E0" w:rsidRDefault="00BB51F8" w:rsidP="00CD05B6">
          <w:pPr>
            <w:pStyle w:val="TOC2"/>
            <w:rPr>
              <w:rFonts w:eastAsiaTheme="minorEastAsia" w:cstheme="minorBidi"/>
              <w:b/>
              <w:bCs/>
              <w:kern w:val="2"/>
              <w:sz w:val="24"/>
              <w:szCs w:val="24"/>
              <w:lang w:eastAsia="en-AU"/>
              <w14:ligatures w14:val="standardContextual"/>
            </w:rPr>
          </w:pPr>
          <w:hyperlink w:anchor="_Toc191465890" w:history="1">
            <w:r w:rsidRPr="009426E0">
              <w:rPr>
                <w:rStyle w:val="Hyperlink"/>
                <w:u w:val="none"/>
              </w:rPr>
              <w:t>This service model includes:</w:t>
            </w:r>
            <w:r w:rsidRPr="009426E0">
              <w:rPr>
                <w:webHidden/>
              </w:rPr>
              <w:tab/>
            </w:r>
            <w:r w:rsidRPr="009426E0">
              <w:rPr>
                <w:webHidden/>
              </w:rPr>
              <w:fldChar w:fldCharType="begin"/>
            </w:r>
            <w:r w:rsidRPr="009426E0">
              <w:rPr>
                <w:webHidden/>
              </w:rPr>
              <w:instrText xml:space="preserve"> PAGEREF _Toc191465890 \h </w:instrText>
            </w:r>
            <w:r w:rsidRPr="009426E0">
              <w:rPr>
                <w:webHidden/>
              </w:rPr>
            </w:r>
            <w:r w:rsidRPr="009426E0">
              <w:rPr>
                <w:webHidden/>
              </w:rPr>
              <w:fldChar w:fldCharType="separate"/>
            </w:r>
            <w:r w:rsidR="00A26049" w:rsidRPr="009426E0">
              <w:rPr>
                <w:webHidden/>
              </w:rPr>
              <w:t>23</w:t>
            </w:r>
            <w:r w:rsidRPr="009426E0">
              <w:rPr>
                <w:webHidden/>
              </w:rPr>
              <w:fldChar w:fldCharType="end"/>
            </w:r>
          </w:hyperlink>
        </w:p>
        <w:p w14:paraId="3EDCD98C" w14:textId="14B31AA2" w:rsidR="00BB51F8" w:rsidRPr="009426E0" w:rsidRDefault="00BB51F8" w:rsidP="00CD05B6">
          <w:pPr>
            <w:pStyle w:val="TOC2"/>
            <w:rPr>
              <w:rFonts w:eastAsiaTheme="minorEastAsia" w:cstheme="minorBidi"/>
              <w:b/>
              <w:bCs/>
              <w:kern w:val="2"/>
              <w:sz w:val="24"/>
              <w:szCs w:val="24"/>
              <w:lang w:eastAsia="en-AU"/>
              <w14:ligatures w14:val="standardContextual"/>
            </w:rPr>
          </w:pPr>
          <w:hyperlink w:anchor="_Toc191465891" w:history="1">
            <w:r w:rsidRPr="009426E0">
              <w:rPr>
                <w:rStyle w:val="Hyperlink"/>
                <w:u w:val="none"/>
                <w:lang w:val="en-US"/>
              </w:rPr>
              <w:t>Putting Families First</w:t>
            </w:r>
            <w:r w:rsidRPr="009426E0">
              <w:rPr>
                <w:webHidden/>
              </w:rPr>
              <w:tab/>
            </w:r>
            <w:r w:rsidRPr="009426E0">
              <w:rPr>
                <w:webHidden/>
              </w:rPr>
              <w:fldChar w:fldCharType="begin"/>
            </w:r>
            <w:r w:rsidRPr="009426E0">
              <w:rPr>
                <w:webHidden/>
              </w:rPr>
              <w:instrText xml:space="preserve"> PAGEREF _Toc191465891 \h </w:instrText>
            </w:r>
            <w:r w:rsidRPr="009426E0">
              <w:rPr>
                <w:webHidden/>
              </w:rPr>
            </w:r>
            <w:r w:rsidRPr="009426E0">
              <w:rPr>
                <w:webHidden/>
              </w:rPr>
              <w:fldChar w:fldCharType="separate"/>
            </w:r>
            <w:r w:rsidR="00A26049" w:rsidRPr="009426E0">
              <w:rPr>
                <w:webHidden/>
              </w:rPr>
              <w:t>23</w:t>
            </w:r>
            <w:r w:rsidRPr="009426E0">
              <w:rPr>
                <w:webHidden/>
              </w:rPr>
              <w:fldChar w:fldCharType="end"/>
            </w:r>
          </w:hyperlink>
        </w:p>
        <w:p w14:paraId="3992A953" w14:textId="579D8B5B" w:rsidR="00BB51F8" w:rsidRPr="009426E0" w:rsidRDefault="00BB51F8" w:rsidP="00CD05B6">
          <w:pPr>
            <w:pStyle w:val="TOC2"/>
            <w:rPr>
              <w:rFonts w:eastAsiaTheme="minorEastAsia" w:cstheme="minorBidi"/>
              <w:b/>
              <w:bCs/>
              <w:kern w:val="2"/>
              <w:sz w:val="24"/>
              <w:szCs w:val="24"/>
              <w:lang w:eastAsia="en-AU"/>
              <w14:ligatures w14:val="standardContextual"/>
            </w:rPr>
          </w:pPr>
          <w:hyperlink w:anchor="_Toc191465892" w:history="1">
            <w:r w:rsidRPr="009426E0">
              <w:rPr>
                <w:rStyle w:val="Hyperlink"/>
                <w:u w:val="none"/>
                <w:lang w:val="en-US"/>
              </w:rPr>
              <w:t>Local Site Executive Committees</w:t>
            </w:r>
            <w:r w:rsidRPr="009426E0">
              <w:rPr>
                <w:webHidden/>
              </w:rPr>
              <w:tab/>
            </w:r>
            <w:r w:rsidRPr="009426E0">
              <w:rPr>
                <w:webHidden/>
              </w:rPr>
              <w:fldChar w:fldCharType="begin"/>
            </w:r>
            <w:r w:rsidRPr="009426E0">
              <w:rPr>
                <w:webHidden/>
              </w:rPr>
              <w:instrText xml:space="preserve"> PAGEREF _Toc191465892 \h </w:instrText>
            </w:r>
            <w:r w:rsidRPr="009426E0">
              <w:rPr>
                <w:webHidden/>
              </w:rPr>
            </w:r>
            <w:r w:rsidRPr="009426E0">
              <w:rPr>
                <w:webHidden/>
              </w:rPr>
              <w:fldChar w:fldCharType="separate"/>
            </w:r>
            <w:r w:rsidR="00A26049" w:rsidRPr="009426E0">
              <w:rPr>
                <w:webHidden/>
              </w:rPr>
              <w:t>23</w:t>
            </w:r>
            <w:r w:rsidRPr="009426E0">
              <w:rPr>
                <w:webHidden/>
              </w:rPr>
              <w:fldChar w:fldCharType="end"/>
            </w:r>
          </w:hyperlink>
        </w:p>
        <w:p w14:paraId="4A76AA58" w14:textId="339E202C" w:rsidR="00BB51F8" w:rsidRPr="009426E0" w:rsidRDefault="00BB51F8" w:rsidP="00CD05B6">
          <w:pPr>
            <w:pStyle w:val="TOC2"/>
            <w:rPr>
              <w:rFonts w:eastAsiaTheme="minorEastAsia" w:cstheme="minorBidi"/>
              <w:b/>
              <w:bCs/>
              <w:kern w:val="2"/>
              <w:sz w:val="24"/>
              <w:szCs w:val="24"/>
              <w:lang w:eastAsia="en-AU"/>
              <w14:ligatures w14:val="standardContextual"/>
            </w:rPr>
          </w:pPr>
          <w:hyperlink w:anchor="_Toc191465893" w:history="1">
            <w:r w:rsidRPr="009426E0">
              <w:rPr>
                <w:rStyle w:val="Hyperlink"/>
                <w:u w:val="none"/>
                <w:lang w:val="en-US"/>
              </w:rPr>
              <w:t>3.2 Youth offending</w:t>
            </w:r>
            <w:r w:rsidRPr="009426E0">
              <w:rPr>
                <w:webHidden/>
              </w:rPr>
              <w:tab/>
            </w:r>
            <w:r w:rsidRPr="009426E0">
              <w:rPr>
                <w:webHidden/>
              </w:rPr>
              <w:fldChar w:fldCharType="begin"/>
            </w:r>
            <w:r w:rsidRPr="009426E0">
              <w:rPr>
                <w:webHidden/>
              </w:rPr>
              <w:instrText xml:space="preserve"> PAGEREF _Toc191465893 \h </w:instrText>
            </w:r>
            <w:r w:rsidRPr="009426E0">
              <w:rPr>
                <w:webHidden/>
              </w:rPr>
            </w:r>
            <w:r w:rsidRPr="009426E0">
              <w:rPr>
                <w:webHidden/>
              </w:rPr>
              <w:fldChar w:fldCharType="separate"/>
            </w:r>
            <w:r w:rsidR="00A26049" w:rsidRPr="009426E0">
              <w:rPr>
                <w:webHidden/>
              </w:rPr>
              <w:t>23</w:t>
            </w:r>
            <w:r w:rsidRPr="009426E0">
              <w:rPr>
                <w:webHidden/>
              </w:rPr>
              <w:fldChar w:fldCharType="end"/>
            </w:r>
          </w:hyperlink>
        </w:p>
        <w:p w14:paraId="4571DFF7" w14:textId="78D51CCE" w:rsidR="00BB51F8" w:rsidRPr="009426E0" w:rsidRDefault="00BB51F8">
          <w:pPr>
            <w:pStyle w:val="TOC1"/>
            <w:tabs>
              <w:tab w:val="right" w:leader="dot" w:pos="9622"/>
            </w:tabs>
            <w:rPr>
              <w:rFonts w:eastAsiaTheme="minorEastAsia" w:cstheme="minorBidi"/>
              <w:b w:val="0"/>
              <w:bCs w:val="0"/>
              <w:i w:val="0"/>
              <w:iCs w:val="0"/>
              <w:noProof/>
              <w:kern w:val="2"/>
              <w:lang w:eastAsia="en-AU"/>
              <w14:ligatures w14:val="standardContextual"/>
            </w:rPr>
          </w:pPr>
          <w:hyperlink w:anchor="_Toc191465894" w:history="1">
            <w:r w:rsidRPr="009426E0">
              <w:rPr>
                <w:rStyle w:val="Hyperlink"/>
                <w:noProof/>
                <w:u w:val="none"/>
                <w:lang w:val="en-US"/>
              </w:rPr>
              <w:t>Meeting local needs</w:t>
            </w:r>
            <w:r w:rsidRPr="009426E0">
              <w:rPr>
                <w:noProof/>
                <w:webHidden/>
              </w:rPr>
              <w:tab/>
            </w:r>
            <w:r w:rsidRPr="009426E0">
              <w:rPr>
                <w:noProof/>
                <w:webHidden/>
              </w:rPr>
              <w:fldChar w:fldCharType="begin"/>
            </w:r>
            <w:r w:rsidRPr="009426E0">
              <w:rPr>
                <w:noProof/>
                <w:webHidden/>
              </w:rPr>
              <w:instrText xml:space="preserve"> PAGEREF _Toc191465894 \h </w:instrText>
            </w:r>
            <w:r w:rsidRPr="009426E0">
              <w:rPr>
                <w:noProof/>
                <w:webHidden/>
              </w:rPr>
            </w:r>
            <w:r w:rsidRPr="009426E0">
              <w:rPr>
                <w:noProof/>
                <w:webHidden/>
              </w:rPr>
              <w:fldChar w:fldCharType="separate"/>
            </w:r>
            <w:r w:rsidR="00A26049" w:rsidRPr="009426E0">
              <w:rPr>
                <w:noProof/>
                <w:webHidden/>
              </w:rPr>
              <w:t>25</w:t>
            </w:r>
            <w:r w:rsidRPr="009426E0">
              <w:rPr>
                <w:noProof/>
                <w:webHidden/>
              </w:rPr>
              <w:fldChar w:fldCharType="end"/>
            </w:r>
          </w:hyperlink>
        </w:p>
        <w:p w14:paraId="3CA9D315" w14:textId="138DAD9C" w:rsidR="00BB51F8" w:rsidRPr="009426E0" w:rsidRDefault="00BB51F8" w:rsidP="00CD05B6">
          <w:pPr>
            <w:pStyle w:val="TOC2"/>
            <w:rPr>
              <w:rFonts w:eastAsiaTheme="minorEastAsia" w:cstheme="minorBidi"/>
              <w:b/>
              <w:bCs/>
              <w:kern w:val="2"/>
              <w:sz w:val="24"/>
              <w:szCs w:val="24"/>
              <w:lang w:eastAsia="en-AU"/>
              <w14:ligatures w14:val="standardContextual"/>
            </w:rPr>
          </w:pPr>
          <w:hyperlink w:anchor="_Toc191465895" w:history="1">
            <w:r w:rsidRPr="009426E0">
              <w:rPr>
                <w:rStyle w:val="Hyperlink"/>
                <w:u w:val="none"/>
                <w:lang w:val="en-US"/>
              </w:rPr>
              <w:t>Empowering Communities Partnerships</w:t>
            </w:r>
            <w:r w:rsidRPr="009426E0">
              <w:rPr>
                <w:webHidden/>
              </w:rPr>
              <w:tab/>
            </w:r>
            <w:r w:rsidRPr="009426E0">
              <w:rPr>
                <w:webHidden/>
              </w:rPr>
              <w:fldChar w:fldCharType="begin"/>
            </w:r>
            <w:r w:rsidRPr="009426E0">
              <w:rPr>
                <w:webHidden/>
              </w:rPr>
              <w:instrText xml:space="preserve"> PAGEREF _Toc191465895 \h </w:instrText>
            </w:r>
            <w:r w:rsidRPr="009426E0">
              <w:rPr>
                <w:webHidden/>
              </w:rPr>
            </w:r>
            <w:r w:rsidRPr="009426E0">
              <w:rPr>
                <w:webHidden/>
              </w:rPr>
              <w:fldChar w:fldCharType="separate"/>
            </w:r>
            <w:r w:rsidR="00A26049" w:rsidRPr="009426E0">
              <w:rPr>
                <w:webHidden/>
              </w:rPr>
              <w:t>25</w:t>
            </w:r>
            <w:r w:rsidRPr="009426E0">
              <w:rPr>
                <w:webHidden/>
              </w:rPr>
              <w:fldChar w:fldCharType="end"/>
            </w:r>
          </w:hyperlink>
        </w:p>
        <w:p w14:paraId="5A13A9FD" w14:textId="5AADDEDC" w:rsidR="00BB51F8" w:rsidRPr="009426E0" w:rsidRDefault="00BB51F8" w:rsidP="00CD05B6">
          <w:pPr>
            <w:pStyle w:val="TOC2"/>
            <w:rPr>
              <w:rFonts w:eastAsiaTheme="minorEastAsia" w:cstheme="minorBidi"/>
              <w:b/>
              <w:bCs/>
              <w:kern w:val="2"/>
              <w:sz w:val="24"/>
              <w:szCs w:val="24"/>
              <w:lang w:eastAsia="en-AU"/>
              <w14:ligatures w14:val="standardContextual"/>
            </w:rPr>
          </w:pPr>
          <w:hyperlink w:anchor="_Toc191465896" w:history="1">
            <w:r w:rsidRPr="009426E0">
              <w:rPr>
                <w:rStyle w:val="Hyperlink"/>
                <w:u w:val="none"/>
                <w:lang w:val="en-US"/>
              </w:rPr>
              <w:t>Youth Crime Prevention Program</w:t>
            </w:r>
            <w:r w:rsidRPr="009426E0">
              <w:rPr>
                <w:webHidden/>
              </w:rPr>
              <w:tab/>
            </w:r>
            <w:r w:rsidRPr="009426E0">
              <w:rPr>
                <w:webHidden/>
              </w:rPr>
              <w:fldChar w:fldCharType="begin"/>
            </w:r>
            <w:r w:rsidRPr="009426E0">
              <w:rPr>
                <w:webHidden/>
              </w:rPr>
              <w:instrText xml:space="preserve"> PAGEREF _Toc191465896 \h </w:instrText>
            </w:r>
            <w:r w:rsidRPr="009426E0">
              <w:rPr>
                <w:webHidden/>
              </w:rPr>
            </w:r>
            <w:r w:rsidRPr="009426E0">
              <w:rPr>
                <w:webHidden/>
              </w:rPr>
              <w:fldChar w:fldCharType="separate"/>
            </w:r>
            <w:r w:rsidR="00A26049" w:rsidRPr="009426E0">
              <w:rPr>
                <w:webHidden/>
              </w:rPr>
              <w:t>25</w:t>
            </w:r>
            <w:r w:rsidRPr="009426E0">
              <w:rPr>
                <w:webHidden/>
              </w:rPr>
              <w:fldChar w:fldCharType="end"/>
            </w:r>
          </w:hyperlink>
        </w:p>
        <w:p w14:paraId="3F6D3530" w14:textId="7B7A4BC6" w:rsidR="00BB51F8" w:rsidRPr="009426E0" w:rsidRDefault="00BB51F8" w:rsidP="00CD05B6">
          <w:pPr>
            <w:pStyle w:val="TOC2"/>
            <w:rPr>
              <w:rFonts w:eastAsiaTheme="minorEastAsia" w:cstheme="minorBidi"/>
              <w:b/>
              <w:bCs/>
              <w:kern w:val="2"/>
              <w:sz w:val="24"/>
              <w:szCs w:val="24"/>
              <w:lang w:eastAsia="en-AU"/>
              <w14:ligatures w14:val="standardContextual"/>
            </w:rPr>
          </w:pPr>
          <w:hyperlink w:anchor="_Toc191465897" w:history="1">
            <w:r w:rsidRPr="009426E0">
              <w:rPr>
                <w:rStyle w:val="Hyperlink"/>
                <w:u w:val="none"/>
                <w:lang w:val="en-US"/>
              </w:rPr>
              <w:t>Aboriginal Youth Cautioning Program</w:t>
            </w:r>
            <w:r w:rsidRPr="009426E0">
              <w:rPr>
                <w:webHidden/>
              </w:rPr>
              <w:tab/>
            </w:r>
            <w:r w:rsidRPr="009426E0">
              <w:rPr>
                <w:webHidden/>
              </w:rPr>
              <w:fldChar w:fldCharType="begin"/>
            </w:r>
            <w:r w:rsidRPr="009426E0">
              <w:rPr>
                <w:webHidden/>
              </w:rPr>
              <w:instrText xml:space="preserve"> PAGEREF _Toc191465897 \h </w:instrText>
            </w:r>
            <w:r w:rsidRPr="009426E0">
              <w:rPr>
                <w:webHidden/>
              </w:rPr>
            </w:r>
            <w:r w:rsidRPr="009426E0">
              <w:rPr>
                <w:webHidden/>
              </w:rPr>
              <w:fldChar w:fldCharType="separate"/>
            </w:r>
            <w:r w:rsidR="00A26049" w:rsidRPr="009426E0">
              <w:rPr>
                <w:webHidden/>
              </w:rPr>
              <w:t>25</w:t>
            </w:r>
            <w:r w:rsidRPr="009426E0">
              <w:rPr>
                <w:webHidden/>
              </w:rPr>
              <w:fldChar w:fldCharType="end"/>
            </w:r>
          </w:hyperlink>
        </w:p>
        <w:p w14:paraId="5B9E49F4" w14:textId="7E4242C1" w:rsidR="00BB51F8" w:rsidRPr="009426E0" w:rsidRDefault="00BB51F8" w:rsidP="00CD05B6">
          <w:pPr>
            <w:pStyle w:val="TOC2"/>
            <w:rPr>
              <w:rFonts w:eastAsiaTheme="minorEastAsia" w:cstheme="minorBidi"/>
              <w:b/>
              <w:bCs/>
              <w:kern w:val="2"/>
              <w:sz w:val="24"/>
              <w:szCs w:val="24"/>
              <w:lang w:eastAsia="en-AU"/>
              <w14:ligatures w14:val="standardContextual"/>
            </w:rPr>
          </w:pPr>
          <w:hyperlink w:anchor="_Toc191465898" w:history="1">
            <w:r w:rsidRPr="009426E0">
              <w:rPr>
                <w:rStyle w:val="Hyperlink"/>
                <w:u w:val="none"/>
                <w:lang w:val="en-US"/>
              </w:rPr>
              <w:t>Aboriginal Youth Justice Hubs</w:t>
            </w:r>
            <w:r w:rsidRPr="009426E0">
              <w:rPr>
                <w:webHidden/>
              </w:rPr>
              <w:tab/>
            </w:r>
            <w:r w:rsidRPr="009426E0">
              <w:rPr>
                <w:webHidden/>
              </w:rPr>
              <w:fldChar w:fldCharType="begin"/>
            </w:r>
            <w:r w:rsidRPr="009426E0">
              <w:rPr>
                <w:webHidden/>
              </w:rPr>
              <w:instrText xml:space="preserve"> PAGEREF _Toc191465898 \h </w:instrText>
            </w:r>
            <w:r w:rsidRPr="009426E0">
              <w:rPr>
                <w:webHidden/>
              </w:rPr>
            </w:r>
            <w:r w:rsidRPr="009426E0">
              <w:rPr>
                <w:webHidden/>
              </w:rPr>
              <w:fldChar w:fldCharType="separate"/>
            </w:r>
            <w:r w:rsidR="00A26049" w:rsidRPr="009426E0">
              <w:rPr>
                <w:webHidden/>
              </w:rPr>
              <w:t>26</w:t>
            </w:r>
            <w:r w:rsidRPr="009426E0">
              <w:rPr>
                <w:webHidden/>
              </w:rPr>
              <w:fldChar w:fldCharType="end"/>
            </w:r>
          </w:hyperlink>
        </w:p>
        <w:p w14:paraId="6287F579" w14:textId="7F350B0F" w:rsidR="00BB51F8" w:rsidRPr="009426E0" w:rsidRDefault="00BB51F8">
          <w:pPr>
            <w:pStyle w:val="TOC1"/>
            <w:tabs>
              <w:tab w:val="right" w:leader="dot" w:pos="9622"/>
            </w:tabs>
            <w:rPr>
              <w:rFonts w:eastAsiaTheme="minorEastAsia" w:cstheme="minorBidi"/>
              <w:b w:val="0"/>
              <w:bCs w:val="0"/>
              <w:i w:val="0"/>
              <w:iCs w:val="0"/>
              <w:noProof/>
              <w:kern w:val="2"/>
              <w:lang w:eastAsia="en-AU"/>
              <w14:ligatures w14:val="standardContextual"/>
            </w:rPr>
          </w:pPr>
          <w:hyperlink w:anchor="_Toc191465899" w:history="1">
            <w:r w:rsidRPr="009426E0">
              <w:rPr>
                <w:rStyle w:val="Hyperlink"/>
                <w:noProof/>
                <w:u w:val="none"/>
                <w:lang w:val="en-US"/>
              </w:rPr>
              <w:t>Conclusion</w:t>
            </w:r>
            <w:r w:rsidRPr="009426E0">
              <w:rPr>
                <w:noProof/>
                <w:webHidden/>
              </w:rPr>
              <w:tab/>
            </w:r>
            <w:r w:rsidRPr="009426E0">
              <w:rPr>
                <w:noProof/>
                <w:webHidden/>
              </w:rPr>
              <w:fldChar w:fldCharType="begin"/>
            </w:r>
            <w:r w:rsidRPr="009426E0">
              <w:rPr>
                <w:noProof/>
                <w:webHidden/>
              </w:rPr>
              <w:instrText xml:space="preserve"> PAGEREF _Toc191465899 \h </w:instrText>
            </w:r>
            <w:r w:rsidRPr="009426E0">
              <w:rPr>
                <w:noProof/>
                <w:webHidden/>
              </w:rPr>
            </w:r>
            <w:r w:rsidRPr="009426E0">
              <w:rPr>
                <w:noProof/>
                <w:webHidden/>
              </w:rPr>
              <w:fldChar w:fldCharType="separate"/>
            </w:r>
            <w:r w:rsidR="00A26049" w:rsidRPr="009426E0">
              <w:rPr>
                <w:noProof/>
                <w:webHidden/>
              </w:rPr>
              <w:t>27</w:t>
            </w:r>
            <w:r w:rsidRPr="009426E0">
              <w:rPr>
                <w:noProof/>
                <w:webHidden/>
              </w:rPr>
              <w:fldChar w:fldCharType="end"/>
            </w:r>
          </w:hyperlink>
        </w:p>
        <w:p w14:paraId="14E10903" w14:textId="73526D07" w:rsidR="00BB51F8" w:rsidRPr="009426E0" w:rsidRDefault="00BB51F8">
          <w:pPr>
            <w:pStyle w:val="TOC1"/>
            <w:tabs>
              <w:tab w:val="right" w:leader="dot" w:pos="9622"/>
            </w:tabs>
            <w:rPr>
              <w:rFonts w:eastAsiaTheme="minorEastAsia" w:cstheme="minorBidi"/>
              <w:b w:val="0"/>
              <w:bCs w:val="0"/>
              <w:i w:val="0"/>
              <w:iCs w:val="0"/>
              <w:noProof/>
              <w:kern w:val="2"/>
              <w:lang w:eastAsia="en-AU"/>
              <w14:ligatures w14:val="standardContextual"/>
            </w:rPr>
          </w:pPr>
          <w:hyperlink w:anchor="_Toc191465900" w:history="1">
            <w:r w:rsidRPr="009426E0">
              <w:rPr>
                <w:rStyle w:val="Hyperlink"/>
                <w:noProof/>
                <w:u w:val="none"/>
                <w:lang w:val="en-US"/>
              </w:rPr>
              <w:t>References</w:t>
            </w:r>
            <w:r w:rsidRPr="009426E0">
              <w:rPr>
                <w:noProof/>
                <w:webHidden/>
              </w:rPr>
              <w:tab/>
            </w:r>
            <w:r w:rsidRPr="009426E0">
              <w:rPr>
                <w:noProof/>
                <w:webHidden/>
              </w:rPr>
              <w:fldChar w:fldCharType="begin"/>
            </w:r>
            <w:r w:rsidRPr="009426E0">
              <w:rPr>
                <w:noProof/>
                <w:webHidden/>
              </w:rPr>
              <w:instrText xml:space="preserve"> PAGEREF _Toc191465900 \h </w:instrText>
            </w:r>
            <w:r w:rsidRPr="009426E0">
              <w:rPr>
                <w:noProof/>
                <w:webHidden/>
              </w:rPr>
            </w:r>
            <w:r w:rsidRPr="009426E0">
              <w:rPr>
                <w:noProof/>
                <w:webHidden/>
              </w:rPr>
              <w:fldChar w:fldCharType="separate"/>
            </w:r>
            <w:r w:rsidR="00A26049" w:rsidRPr="009426E0">
              <w:rPr>
                <w:noProof/>
                <w:webHidden/>
              </w:rPr>
              <w:t>28</w:t>
            </w:r>
            <w:r w:rsidRPr="009426E0">
              <w:rPr>
                <w:noProof/>
                <w:webHidden/>
              </w:rPr>
              <w:fldChar w:fldCharType="end"/>
            </w:r>
          </w:hyperlink>
        </w:p>
        <w:p w14:paraId="46A74325" w14:textId="18237AB4" w:rsidR="00BF1863" w:rsidRPr="009426E0" w:rsidRDefault="00BF1863" w:rsidP="005C5EFA">
          <w:pPr>
            <w:tabs>
              <w:tab w:val="right" w:leader="dot" w:pos="9356"/>
            </w:tabs>
          </w:pPr>
          <w:r w:rsidRPr="009426E0">
            <w:rPr>
              <w:b/>
              <w:bCs/>
              <w:noProof/>
            </w:rPr>
            <w:fldChar w:fldCharType="end"/>
          </w:r>
        </w:p>
      </w:sdtContent>
    </w:sdt>
    <w:p w14:paraId="1487EF5C" w14:textId="6DEBDA08" w:rsidR="0043128F" w:rsidRPr="009426E0" w:rsidRDefault="0043128F" w:rsidP="0043128F">
      <w:pPr>
        <w:pStyle w:val="Heading1"/>
        <w:rPr>
          <w:rFonts w:eastAsiaTheme="minorHAnsi"/>
          <w:lang w:val="en-US"/>
        </w:rPr>
      </w:pPr>
      <w:bookmarkStart w:id="6" w:name="_Toc191465857"/>
      <w:r w:rsidRPr="009426E0">
        <w:rPr>
          <w:rFonts w:eastAsiaTheme="minorHAnsi"/>
          <w:lang w:val="en-US"/>
        </w:rPr>
        <w:t>Table of figures</w:t>
      </w:r>
      <w:bookmarkEnd w:id="6"/>
    </w:p>
    <w:p w14:paraId="29B5F227" w14:textId="77777777" w:rsidR="00B603EC" w:rsidRPr="009426E0" w:rsidRDefault="00B603EC" w:rsidP="0043128F">
      <w:pPr>
        <w:spacing w:after="160"/>
        <w:rPr>
          <w:lang w:val="en-US"/>
        </w:rPr>
      </w:pPr>
    </w:p>
    <w:tbl>
      <w:tblPr>
        <w:tblStyle w:val="TableGrid"/>
        <w:tblW w:w="0" w:type="auto"/>
        <w:tblLook w:val="04A0" w:firstRow="1" w:lastRow="0" w:firstColumn="1" w:lastColumn="0" w:noHBand="0" w:noVBand="1"/>
      </w:tblPr>
      <w:tblGrid>
        <w:gridCol w:w="1271"/>
        <w:gridCol w:w="8351"/>
      </w:tblGrid>
      <w:tr w:rsidR="00B603EC" w:rsidRPr="009426E0" w14:paraId="6242CD1A" w14:textId="77777777" w:rsidTr="00511C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B6E9EA" w:themeFill="accent2"/>
            <w:vAlign w:val="center"/>
          </w:tcPr>
          <w:p w14:paraId="20DFDE68" w14:textId="20174D15" w:rsidR="00B603EC" w:rsidRPr="009426E0" w:rsidRDefault="00B603EC" w:rsidP="00511C6E">
            <w:pPr>
              <w:pStyle w:val="TableHead"/>
              <w:rPr>
                <w:b/>
                <w:bCs w:val="0"/>
              </w:rPr>
            </w:pPr>
            <w:r w:rsidRPr="009426E0">
              <w:rPr>
                <w:b/>
                <w:bCs w:val="0"/>
              </w:rPr>
              <w:t>Figure 1:</w:t>
            </w:r>
          </w:p>
        </w:tc>
        <w:tc>
          <w:tcPr>
            <w:tcW w:w="8351" w:type="dxa"/>
            <w:shd w:val="clear" w:color="auto" w:fill="auto"/>
            <w:vAlign w:val="center"/>
          </w:tcPr>
          <w:p w14:paraId="4763FF37" w14:textId="0833A060" w:rsidR="00B603EC" w:rsidRPr="009426E0" w:rsidRDefault="00B603EC" w:rsidP="00511C6E">
            <w:pPr>
              <w:pStyle w:val="Tablebody"/>
              <w:cnfStyle w:val="100000000000" w:firstRow="1" w:lastRow="0" w:firstColumn="0" w:lastColumn="0" w:oddVBand="0" w:evenVBand="0" w:oddHBand="0" w:evenHBand="0" w:firstRowFirstColumn="0" w:firstRowLastColumn="0" w:lastRowFirstColumn="0" w:lastRowLastColumn="0"/>
              <w:rPr>
                <w:b w:val="0"/>
                <w:bCs/>
              </w:rPr>
            </w:pPr>
            <w:r w:rsidRPr="009426E0">
              <w:rPr>
                <w:b w:val="0"/>
                <w:bCs/>
              </w:rPr>
              <w:t>Children developmentally on track by local government area socioeconomic advantage/disadvantage, 2021</w:t>
            </w:r>
            <w:r w:rsidRPr="009426E0">
              <w:rPr>
                <w:b w:val="0"/>
                <w:bCs/>
              </w:rPr>
              <w:tab/>
            </w:r>
          </w:p>
        </w:tc>
      </w:tr>
      <w:tr w:rsidR="00B603EC" w:rsidRPr="009426E0" w14:paraId="5B41632D" w14:textId="77777777" w:rsidTr="00511C6E">
        <w:tc>
          <w:tcPr>
            <w:cnfStyle w:val="001000000000" w:firstRow="0" w:lastRow="0" w:firstColumn="1" w:lastColumn="0" w:oddVBand="0" w:evenVBand="0" w:oddHBand="0" w:evenHBand="0" w:firstRowFirstColumn="0" w:firstRowLastColumn="0" w:lastRowFirstColumn="0" w:lastRowLastColumn="0"/>
            <w:tcW w:w="1271" w:type="dxa"/>
            <w:shd w:val="clear" w:color="auto" w:fill="B6E9EA" w:themeFill="accent2"/>
            <w:vAlign w:val="center"/>
          </w:tcPr>
          <w:p w14:paraId="37C33C68" w14:textId="49965156" w:rsidR="00B603EC" w:rsidRPr="009426E0" w:rsidRDefault="00B603EC" w:rsidP="00511C6E">
            <w:pPr>
              <w:pStyle w:val="TableHead"/>
              <w:rPr>
                <w:bCs w:val="0"/>
              </w:rPr>
            </w:pPr>
            <w:r w:rsidRPr="009426E0">
              <w:rPr>
                <w:bCs w:val="0"/>
              </w:rPr>
              <w:t>Figure 2:</w:t>
            </w:r>
          </w:p>
        </w:tc>
        <w:tc>
          <w:tcPr>
            <w:tcW w:w="8351" w:type="dxa"/>
            <w:vAlign w:val="center"/>
          </w:tcPr>
          <w:p w14:paraId="57F13314" w14:textId="6100FD01" w:rsidR="00B603EC" w:rsidRPr="009426E0" w:rsidRDefault="00B603EC" w:rsidP="00511C6E">
            <w:pPr>
              <w:spacing w:after="160"/>
              <w:cnfStyle w:val="000000000000" w:firstRow="0" w:lastRow="0" w:firstColumn="0" w:lastColumn="0" w:oddVBand="0" w:evenVBand="0" w:oddHBand="0" w:evenHBand="0" w:firstRowFirstColumn="0" w:firstRowLastColumn="0" w:lastRowFirstColumn="0" w:lastRowLastColumn="0"/>
              <w:rPr>
                <w:lang w:val="en-US"/>
              </w:rPr>
            </w:pPr>
            <w:r w:rsidRPr="009426E0">
              <w:rPr>
                <w:lang w:val="en-US"/>
              </w:rPr>
              <w:t>Proportion of children aged 5 to 12 years undertaking the recommended amount of physical activity, 2021</w:t>
            </w:r>
          </w:p>
        </w:tc>
      </w:tr>
      <w:tr w:rsidR="00B603EC" w:rsidRPr="009426E0" w14:paraId="33030C98" w14:textId="77777777" w:rsidTr="00511C6E">
        <w:tc>
          <w:tcPr>
            <w:cnfStyle w:val="001000000000" w:firstRow="0" w:lastRow="0" w:firstColumn="1" w:lastColumn="0" w:oddVBand="0" w:evenVBand="0" w:oddHBand="0" w:evenHBand="0" w:firstRowFirstColumn="0" w:firstRowLastColumn="0" w:lastRowFirstColumn="0" w:lastRowLastColumn="0"/>
            <w:tcW w:w="1271" w:type="dxa"/>
            <w:shd w:val="clear" w:color="auto" w:fill="B6E9EA" w:themeFill="accent2"/>
            <w:vAlign w:val="center"/>
          </w:tcPr>
          <w:p w14:paraId="7686982D" w14:textId="40842D99" w:rsidR="00B603EC" w:rsidRPr="009426E0" w:rsidRDefault="00B603EC" w:rsidP="00511C6E">
            <w:pPr>
              <w:pStyle w:val="TableHead"/>
              <w:rPr>
                <w:bCs w:val="0"/>
              </w:rPr>
            </w:pPr>
            <w:r w:rsidRPr="009426E0">
              <w:rPr>
                <w:bCs w:val="0"/>
              </w:rPr>
              <w:t>Figure 3:</w:t>
            </w:r>
          </w:p>
        </w:tc>
        <w:tc>
          <w:tcPr>
            <w:tcW w:w="8351" w:type="dxa"/>
            <w:vAlign w:val="center"/>
          </w:tcPr>
          <w:p w14:paraId="2488E698" w14:textId="59CC172E" w:rsidR="00B603EC" w:rsidRPr="009426E0" w:rsidRDefault="00B603EC" w:rsidP="00511C6E">
            <w:pPr>
              <w:spacing w:after="160"/>
              <w:cnfStyle w:val="000000000000" w:firstRow="0" w:lastRow="0" w:firstColumn="0" w:lastColumn="0" w:oddVBand="0" w:evenVBand="0" w:oddHBand="0" w:evenHBand="0" w:firstRowFirstColumn="0" w:firstRowLastColumn="0" w:lastRowFirstColumn="0" w:lastRowLastColumn="0"/>
              <w:rPr>
                <w:lang w:val="en-US"/>
              </w:rPr>
            </w:pPr>
            <w:r w:rsidRPr="009426E0">
              <w:rPr>
                <w:lang w:val="en-US"/>
              </w:rPr>
              <w:t>Local government areas with Healthy Kids Advisors, 2022</w:t>
            </w:r>
          </w:p>
        </w:tc>
      </w:tr>
      <w:tr w:rsidR="00B603EC" w:rsidRPr="009426E0" w14:paraId="623DC19E" w14:textId="77777777" w:rsidTr="00511C6E">
        <w:tc>
          <w:tcPr>
            <w:cnfStyle w:val="001000000000" w:firstRow="0" w:lastRow="0" w:firstColumn="1" w:lastColumn="0" w:oddVBand="0" w:evenVBand="0" w:oddHBand="0" w:evenHBand="0" w:firstRowFirstColumn="0" w:firstRowLastColumn="0" w:lastRowFirstColumn="0" w:lastRowLastColumn="0"/>
            <w:tcW w:w="1271" w:type="dxa"/>
            <w:shd w:val="clear" w:color="auto" w:fill="B6E9EA" w:themeFill="accent2"/>
            <w:vAlign w:val="center"/>
          </w:tcPr>
          <w:p w14:paraId="1706DF9D" w14:textId="3F766A15" w:rsidR="00B603EC" w:rsidRPr="009426E0" w:rsidRDefault="00236717" w:rsidP="00511C6E">
            <w:pPr>
              <w:pStyle w:val="TableHead"/>
              <w:rPr>
                <w:bCs w:val="0"/>
              </w:rPr>
            </w:pPr>
            <w:r w:rsidRPr="009426E0">
              <w:rPr>
                <w:bCs w:val="0"/>
              </w:rPr>
              <w:t>Figure 4:</w:t>
            </w:r>
          </w:p>
        </w:tc>
        <w:tc>
          <w:tcPr>
            <w:tcW w:w="8351" w:type="dxa"/>
            <w:vAlign w:val="center"/>
          </w:tcPr>
          <w:p w14:paraId="7DBD4CF1" w14:textId="583EF900" w:rsidR="00B603EC" w:rsidRPr="009426E0" w:rsidRDefault="00B603EC" w:rsidP="00511C6E">
            <w:pPr>
              <w:spacing w:after="160"/>
              <w:cnfStyle w:val="000000000000" w:firstRow="0" w:lastRow="0" w:firstColumn="0" w:lastColumn="0" w:oddVBand="0" w:evenVBand="0" w:oddHBand="0" w:evenHBand="0" w:firstRowFirstColumn="0" w:firstRowLastColumn="0" w:lastRowFirstColumn="0" w:lastRowLastColumn="0"/>
              <w:rPr>
                <w:lang w:val="en-US"/>
              </w:rPr>
            </w:pPr>
            <w:r w:rsidRPr="009426E0">
              <w:rPr>
                <w:lang w:val="en-US"/>
              </w:rPr>
              <w:t>Kindergarten participation in the year before school</w:t>
            </w:r>
          </w:p>
        </w:tc>
      </w:tr>
      <w:tr w:rsidR="00B603EC" w:rsidRPr="009426E0" w14:paraId="7AE089CF" w14:textId="77777777" w:rsidTr="00511C6E">
        <w:tc>
          <w:tcPr>
            <w:cnfStyle w:val="001000000000" w:firstRow="0" w:lastRow="0" w:firstColumn="1" w:lastColumn="0" w:oddVBand="0" w:evenVBand="0" w:oddHBand="0" w:evenHBand="0" w:firstRowFirstColumn="0" w:firstRowLastColumn="0" w:lastRowFirstColumn="0" w:lastRowLastColumn="0"/>
            <w:tcW w:w="1271" w:type="dxa"/>
            <w:shd w:val="clear" w:color="auto" w:fill="B6E9EA" w:themeFill="accent2"/>
            <w:vAlign w:val="center"/>
          </w:tcPr>
          <w:p w14:paraId="7639C534" w14:textId="28733D6C" w:rsidR="00B603EC" w:rsidRPr="009426E0" w:rsidRDefault="00236717" w:rsidP="00511C6E">
            <w:pPr>
              <w:pStyle w:val="TableHead"/>
              <w:rPr>
                <w:bCs w:val="0"/>
              </w:rPr>
            </w:pPr>
            <w:r w:rsidRPr="009426E0">
              <w:rPr>
                <w:bCs w:val="0"/>
              </w:rPr>
              <w:t>Figure 5:</w:t>
            </w:r>
          </w:p>
        </w:tc>
        <w:tc>
          <w:tcPr>
            <w:tcW w:w="8351" w:type="dxa"/>
            <w:vAlign w:val="center"/>
          </w:tcPr>
          <w:p w14:paraId="214F50EE" w14:textId="0E2D3A4A" w:rsidR="00B603EC" w:rsidRPr="009426E0" w:rsidRDefault="00B603EC" w:rsidP="00511C6E">
            <w:pPr>
              <w:spacing w:after="160"/>
              <w:cnfStyle w:val="000000000000" w:firstRow="0" w:lastRow="0" w:firstColumn="0" w:lastColumn="0" w:oddVBand="0" w:evenVBand="0" w:oddHBand="0" w:evenHBand="0" w:firstRowFirstColumn="0" w:firstRowLastColumn="0" w:lastRowFirstColumn="0" w:lastRowLastColumn="0"/>
              <w:rPr>
                <w:lang w:val="en-US"/>
              </w:rPr>
            </w:pPr>
            <w:r w:rsidRPr="009426E0">
              <w:rPr>
                <w:lang w:val="en-US"/>
              </w:rPr>
              <w:t>Year 5 Reading scores by geographic location, 2016 to 2022</w:t>
            </w:r>
          </w:p>
        </w:tc>
      </w:tr>
      <w:tr w:rsidR="00B603EC" w:rsidRPr="009426E0" w14:paraId="3A2D2C75" w14:textId="77777777" w:rsidTr="00511C6E">
        <w:tc>
          <w:tcPr>
            <w:cnfStyle w:val="001000000000" w:firstRow="0" w:lastRow="0" w:firstColumn="1" w:lastColumn="0" w:oddVBand="0" w:evenVBand="0" w:oddHBand="0" w:evenHBand="0" w:firstRowFirstColumn="0" w:firstRowLastColumn="0" w:lastRowFirstColumn="0" w:lastRowLastColumn="0"/>
            <w:tcW w:w="1271" w:type="dxa"/>
            <w:shd w:val="clear" w:color="auto" w:fill="B6E9EA" w:themeFill="accent2"/>
            <w:vAlign w:val="center"/>
          </w:tcPr>
          <w:p w14:paraId="1313B1C1" w14:textId="318A31AF" w:rsidR="00B603EC" w:rsidRPr="009426E0" w:rsidRDefault="00236717" w:rsidP="00511C6E">
            <w:pPr>
              <w:pStyle w:val="TableHead"/>
              <w:rPr>
                <w:bCs w:val="0"/>
              </w:rPr>
            </w:pPr>
            <w:r w:rsidRPr="009426E0">
              <w:rPr>
                <w:bCs w:val="0"/>
              </w:rPr>
              <w:t>Figure 6:</w:t>
            </w:r>
          </w:p>
        </w:tc>
        <w:tc>
          <w:tcPr>
            <w:tcW w:w="8351" w:type="dxa"/>
            <w:vAlign w:val="center"/>
          </w:tcPr>
          <w:p w14:paraId="7596EDC9" w14:textId="007430AA" w:rsidR="00B603EC" w:rsidRPr="009426E0" w:rsidRDefault="00B603EC" w:rsidP="00511C6E">
            <w:pPr>
              <w:spacing w:after="160"/>
              <w:cnfStyle w:val="000000000000" w:firstRow="0" w:lastRow="0" w:firstColumn="0" w:lastColumn="0" w:oddVBand="0" w:evenVBand="0" w:oddHBand="0" w:evenHBand="0" w:firstRowFirstColumn="0" w:firstRowLastColumn="0" w:lastRowFirstColumn="0" w:lastRowLastColumn="0"/>
              <w:rPr>
                <w:lang w:val="en-US"/>
              </w:rPr>
            </w:pPr>
            <w:r w:rsidRPr="009426E0">
              <w:rPr>
                <w:lang w:val="en-US"/>
              </w:rPr>
              <w:t>Year 9 Reading scores by local government area socioeconomic disadvantage/advantage, 2022</w:t>
            </w:r>
            <w:r w:rsidRPr="009426E0">
              <w:rPr>
                <w:lang w:val="en-US"/>
              </w:rPr>
              <w:tab/>
            </w:r>
          </w:p>
        </w:tc>
      </w:tr>
      <w:tr w:rsidR="00B603EC" w:rsidRPr="009426E0" w14:paraId="26B680D0" w14:textId="77777777" w:rsidTr="00511C6E">
        <w:tc>
          <w:tcPr>
            <w:cnfStyle w:val="001000000000" w:firstRow="0" w:lastRow="0" w:firstColumn="1" w:lastColumn="0" w:oddVBand="0" w:evenVBand="0" w:oddHBand="0" w:evenHBand="0" w:firstRowFirstColumn="0" w:firstRowLastColumn="0" w:lastRowFirstColumn="0" w:lastRowLastColumn="0"/>
            <w:tcW w:w="1271" w:type="dxa"/>
            <w:shd w:val="clear" w:color="auto" w:fill="B6E9EA" w:themeFill="accent2"/>
            <w:vAlign w:val="center"/>
          </w:tcPr>
          <w:p w14:paraId="720F68D5" w14:textId="483C8596" w:rsidR="00B603EC" w:rsidRPr="009426E0" w:rsidRDefault="00236717" w:rsidP="00511C6E">
            <w:pPr>
              <w:pStyle w:val="TableHead"/>
              <w:rPr>
                <w:bCs w:val="0"/>
              </w:rPr>
            </w:pPr>
            <w:r w:rsidRPr="009426E0">
              <w:rPr>
                <w:bCs w:val="0"/>
              </w:rPr>
              <w:t>Figure 7:</w:t>
            </w:r>
          </w:p>
        </w:tc>
        <w:tc>
          <w:tcPr>
            <w:tcW w:w="8351" w:type="dxa"/>
            <w:vAlign w:val="center"/>
          </w:tcPr>
          <w:p w14:paraId="54359589" w14:textId="1454A398" w:rsidR="00B603EC" w:rsidRPr="009426E0" w:rsidRDefault="00B603EC" w:rsidP="00511C6E">
            <w:pPr>
              <w:spacing w:after="160"/>
              <w:cnfStyle w:val="000000000000" w:firstRow="0" w:lastRow="0" w:firstColumn="0" w:lastColumn="0" w:oddVBand="0" w:evenVBand="0" w:oddHBand="0" w:evenHBand="0" w:firstRowFirstColumn="0" w:firstRowLastColumn="0" w:lastRowFirstColumn="0" w:lastRowLastColumn="0"/>
              <w:rPr>
                <w:lang w:val="en-US"/>
              </w:rPr>
            </w:pPr>
            <w:r w:rsidRPr="009426E0">
              <w:rPr>
                <w:lang w:val="en-US"/>
              </w:rPr>
              <w:t>Children in care by placement type, at end June 2022</w:t>
            </w:r>
            <w:r w:rsidRPr="009426E0">
              <w:rPr>
                <w:lang w:val="en-US"/>
              </w:rPr>
              <w:tab/>
            </w:r>
          </w:p>
        </w:tc>
      </w:tr>
      <w:tr w:rsidR="00B603EC" w:rsidRPr="009426E0" w14:paraId="553423C8" w14:textId="77777777" w:rsidTr="00511C6E">
        <w:tc>
          <w:tcPr>
            <w:cnfStyle w:val="001000000000" w:firstRow="0" w:lastRow="0" w:firstColumn="1" w:lastColumn="0" w:oddVBand="0" w:evenVBand="0" w:oddHBand="0" w:evenHBand="0" w:firstRowFirstColumn="0" w:firstRowLastColumn="0" w:lastRowFirstColumn="0" w:lastRowLastColumn="0"/>
            <w:tcW w:w="1271" w:type="dxa"/>
            <w:shd w:val="clear" w:color="auto" w:fill="B6E9EA" w:themeFill="accent2"/>
            <w:vAlign w:val="center"/>
          </w:tcPr>
          <w:p w14:paraId="42786F73" w14:textId="635591FC" w:rsidR="00B603EC" w:rsidRPr="009426E0" w:rsidRDefault="00236717" w:rsidP="00511C6E">
            <w:pPr>
              <w:pStyle w:val="TableHead"/>
              <w:rPr>
                <w:bCs w:val="0"/>
              </w:rPr>
            </w:pPr>
            <w:r w:rsidRPr="009426E0">
              <w:rPr>
                <w:bCs w:val="0"/>
              </w:rPr>
              <w:t>Figure 8:</w:t>
            </w:r>
          </w:p>
        </w:tc>
        <w:tc>
          <w:tcPr>
            <w:tcW w:w="8351" w:type="dxa"/>
            <w:vAlign w:val="center"/>
          </w:tcPr>
          <w:p w14:paraId="215857FC" w14:textId="494EBC8A" w:rsidR="00B603EC" w:rsidRPr="009426E0" w:rsidRDefault="00B603EC" w:rsidP="00511C6E">
            <w:pPr>
              <w:spacing w:after="160"/>
              <w:cnfStyle w:val="000000000000" w:firstRow="0" w:lastRow="0" w:firstColumn="0" w:lastColumn="0" w:oddVBand="0" w:evenVBand="0" w:oddHBand="0" w:evenHBand="0" w:firstRowFirstColumn="0" w:firstRowLastColumn="0" w:lastRowFirstColumn="0" w:lastRowLastColumn="0"/>
              <w:rPr>
                <w:lang w:val="en-US"/>
              </w:rPr>
            </w:pPr>
            <w:r w:rsidRPr="009426E0">
              <w:rPr>
                <w:lang w:val="en-US"/>
              </w:rPr>
              <w:t>Rate per 10,000 population of children in out-of-home care by local government area socioeconomic advantage/disadvantage, at end June 2022</w:t>
            </w:r>
          </w:p>
        </w:tc>
      </w:tr>
      <w:tr w:rsidR="00B603EC" w:rsidRPr="009426E0" w14:paraId="5EDE85C5" w14:textId="77777777" w:rsidTr="00511C6E">
        <w:tc>
          <w:tcPr>
            <w:cnfStyle w:val="001000000000" w:firstRow="0" w:lastRow="0" w:firstColumn="1" w:lastColumn="0" w:oddVBand="0" w:evenVBand="0" w:oddHBand="0" w:evenHBand="0" w:firstRowFirstColumn="0" w:firstRowLastColumn="0" w:lastRowFirstColumn="0" w:lastRowLastColumn="0"/>
            <w:tcW w:w="1271" w:type="dxa"/>
            <w:shd w:val="clear" w:color="auto" w:fill="B6E9EA" w:themeFill="accent2"/>
            <w:vAlign w:val="center"/>
          </w:tcPr>
          <w:p w14:paraId="4C4D8333" w14:textId="4330F374" w:rsidR="00B603EC" w:rsidRPr="009426E0" w:rsidRDefault="00236717" w:rsidP="00511C6E">
            <w:pPr>
              <w:pStyle w:val="TableHead"/>
              <w:rPr>
                <w:bCs w:val="0"/>
              </w:rPr>
            </w:pPr>
            <w:r w:rsidRPr="009426E0">
              <w:rPr>
                <w:bCs w:val="0"/>
              </w:rPr>
              <w:t>Figure 9:</w:t>
            </w:r>
          </w:p>
        </w:tc>
        <w:tc>
          <w:tcPr>
            <w:tcW w:w="8351" w:type="dxa"/>
            <w:vAlign w:val="center"/>
          </w:tcPr>
          <w:p w14:paraId="54AF29AC" w14:textId="411BE1E8" w:rsidR="00B603EC" w:rsidRPr="009426E0" w:rsidRDefault="00B603EC" w:rsidP="00511C6E">
            <w:pPr>
              <w:spacing w:after="160"/>
              <w:cnfStyle w:val="000000000000" w:firstRow="0" w:lastRow="0" w:firstColumn="0" w:lastColumn="0" w:oddVBand="0" w:evenVBand="0" w:oddHBand="0" w:evenHBand="0" w:firstRowFirstColumn="0" w:firstRowLastColumn="0" w:lastRowFirstColumn="0" w:lastRowLastColumn="0"/>
              <w:rPr>
                <w:lang w:val="en-US"/>
              </w:rPr>
            </w:pPr>
            <w:r w:rsidRPr="009426E0">
              <w:rPr>
                <w:lang w:val="en-US"/>
              </w:rPr>
              <w:t>Rate of alleged offender incidents per 100,000 population, ages 10 to 17, 2013 to 2022</w:t>
            </w:r>
            <w:r w:rsidRPr="009426E0">
              <w:rPr>
                <w:lang w:val="en-US"/>
              </w:rPr>
              <w:tab/>
            </w:r>
          </w:p>
        </w:tc>
      </w:tr>
      <w:tr w:rsidR="00B603EC" w:rsidRPr="009426E0" w14:paraId="63E18F70" w14:textId="77777777" w:rsidTr="00511C6E">
        <w:tc>
          <w:tcPr>
            <w:cnfStyle w:val="001000000000" w:firstRow="0" w:lastRow="0" w:firstColumn="1" w:lastColumn="0" w:oddVBand="0" w:evenVBand="0" w:oddHBand="0" w:evenHBand="0" w:firstRowFirstColumn="0" w:firstRowLastColumn="0" w:lastRowFirstColumn="0" w:lastRowLastColumn="0"/>
            <w:tcW w:w="1271" w:type="dxa"/>
            <w:shd w:val="clear" w:color="auto" w:fill="B6E9EA" w:themeFill="accent2"/>
            <w:vAlign w:val="center"/>
          </w:tcPr>
          <w:p w14:paraId="19BED20D" w14:textId="2CEF02F2" w:rsidR="00B603EC" w:rsidRPr="009426E0" w:rsidRDefault="00236717" w:rsidP="00511C6E">
            <w:pPr>
              <w:pStyle w:val="TableHead"/>
              <w:rPr>
                <w:bCs w:val="0"/>
              </w:rPr>
            </w:pPr>
            <w:r w:rsidRPr="009426E0">
              <w:rPr>
                <w:bCs w:val="0"/>
              </w:rPr>
              <w:t>Figure 10:</w:t>
            </w:r>
          </w:p>
        </w:tc>
        <w:tc>
          <w:tcPr>
            <w:tcW w:w="8351" w:type="dxa"/>
            <w:vAlign w:val="center"/>
          </w:tcPr>
          <w:p w14:paraId="488CFD63" w14:textId="7A3BAD42" w:rsidR="00B603EC" w:rsidRPr="009426E0" w:rsidRDefault="00B603EC" w:rsidP="00511C6E">
            <w:pPr>
              <w:spacing w:after="160"/>
              <w:cnfStyle w:val="000000000000" w:firstRow="0" w:lastRow="0" w:firstColumn="0" w:lastColumn="0" w:oddVBand="0" w:evenVBand="0" w:oddHBand="0" w:evenHBand="0" w:firstRowFirstColumn="0" w:firstRowLastColumn="0" w:lastRowFirstColumn="0" w:lastRowLastColumn="0"/>
              <w:rPr>
                <w:lang w:val="en-US"/>
              </w:rPr>
            </w:pPr>
            <w:r w:rsidRPr="009426E0">
              <w:rPr>
                <w:lang w:val="en-US"/>
              </w:rPr>
              <w:t>Local government areas with the highest numbers of alleged offender incidents for young people, ages 10 to 17, 2022</w:t>
            </w:r>
            <w:r w:rsidRPr="009426E0">
              <w:rPr>
                <w:lang w:val="en-US"/>
              </w:rPr>
              <w:tab/>
            </w:r>
          </w:p>
        </w:tc>
      </w:tr>
      <w:tr w:rsidR="00236717" w:rsidRPr="009426E0" w14:paraId="5415710A" w14:textId="77777777" w:rsidTr="00511C6E">
        <w:trPr>
          <w:trHeight w:val="731"/>
        </w:trPr>
        <w:tc>
          <w:tcPr>
            <w:cnfStyle w:val="001000000000" w:firstRow="0" w:lastRow="0" w:firstColumn="1" w:lastColumn="0" w:oddVBand="0" w:evenVBand="0" w:oddHBand="0" w:evenHBand="0" w:firstRowFirstColumn="0" w:firstRowLastColumn="0" w:lastRowFirstColumn="0" w:lastRowLastColumn="0"/>
            <w:tcW w:w="1271" w:type="dxa"/>
            <w:tcBorders>
              <w:bottom w:val="single" w:sz="4" w:space="0" w:color="1F1646" w:themeColor="text1"/>
            </w:tcBorders>
            <w:shd w:val="clear" w:color="auto" w:fill="B6E9EA" w:themeFill="accent2"/>
            <w:vAlign w:val="center"/>
          </w:tcPr>
          <w:p w14:paraId="29CE8758" w14:textId="0C0A74B2" w:rsidR="00236717" w:rsidRPr="009426E0" w:rsidRDefault="00236717" w:rsidP="00511C6E">
            <w:pPr>
              <w:pStyle w:val="TableHead"/>
              <w:rPr>
                <w:bCs w:val="0"/>
              </w:rPr>
            </w:pPr>
            <w:r w:rsidRPr="009426E0">
              <w:rPr>
                <w:bCs w:val="0"/>
              </w:rPr>
              <w:t>Figure 11:</w:t>
            </w:r>
          </w:p>
        </w:tc>
        <w:tc>
          <w:tcPr>
            <w:tcW w:w="8351" w:type="dxa"/>
            <w:tcBorders>
              <w:bottom w:val="single" w:sz="4" w:space="0" w:color="1F1646" w:themeColor="text1"/>
            </w:tcBorders>
            <w:vAlign w:val="center"/>
          </w:tcPr>
          <w:p w14:paraId="732B02C0" w14:textId="4326FDBD" w:rsidR="00236717" w:rsidRPr="009426E0" w:rsidRDefault="00236717" w:rsidP="00511C6E">
            <w:pPr>
              <w:spacing w:after="160"/>
              <w:cnfStyle w:val="000000000000" w:firstRow="0" w:lastRow="0" w:firstColumn="0" w:lastColumn="0" w:oddVBand="0" w:evenVBand="0" w:oddHBand="0" w:evenHBand="0" w:firstRowFirstColumn="0" w:firstRowLastColumn="0" w:lastRowFirstColumn="0" w:lastRowLastColumn="0"/>
              <w:rPr>
                <w:lang w:val="en-US"/>
              </w:rPr>
            </w:pPr>
            <w:r w:rsidRPr="009426E0">
              <w:rPr>
                <w:lang w:val="en-US"/>
              </w:rPr>
              <w:t>Cautioning rates for Aboriginal first-time youth offenders, ages 10 to 17, 2017-18 to 2021-22</w:t>
            </w:r>
          </w:p>
        </w:tc>
      </w:tr>
      <w:tr w:rsidR="00B603EC" w:rsidRPr="009426E0" w14:paraId="067CFE48" w14:textId="77777777" w:rsidTr="00511C6E">
        <w:tc>
          <w:tcPr>
            <w:cnfStyle w:val="001000000000" w:firstRow="0" w:lastRow="0" w:firstColumn="1" w:lastColumn="0" w:oddVBand="0" w:evenVBand="0" w:oddHBand="0" w:evenHBand="0" w:firstRowFirstColumn="0" w:firstRowLastColumn="0" w:lastRowFirstColumn="0" w:lastRowLastColumn="0"/>
            <w:tcW w:w="1271" w:type="dxa"/>
            <w:tcBorders>
              <w:top w:val="single" w:sz="4" w:space="0" w:color="1F1646" w:themeColor="text1"/>
              <w:bottom w:val="single" w:sz="2" w:space="0" w:color="auto"/>
            </w:tcBorders>
            <w:shd w:val="clear" w:color="auto" w:fill="B6E9EA" w:themeFill="accent2"/>
            <w:vAlign w:val="center"/>
          </w:tcPr>
          <w:p w14:paraId="5F4898AC" w14:textId="682BAC52" w:rsidR="00B603EC" w:rsidRPr="009426E0" w:rsidRDefault="00236717" w:rsidP="00511C6E">
            <w:pPr>
              <w:pStyle w:val="TableHead"/>
              <w:rPr>
                <w:bCs w:val="0"/>
              </w:rPr>
            </w:pPr>
            <w:r w:rsidRPr="009426E0">
              <w:rPr>
                <w:bCs w:val="0"/>
              </w:rPr>
              <w:lastRenderedPageBreak/>
              <w:t>Figure 12:</w:t>
            </w:r>
          </w:p>
        </w:tc>
        <w:tc>
          <w:tcPr>
            <w:tcW w:w="8351" w:type="dxa"/>
            <w:tcBorders>
              <w:top w:val="single" w:sz="4" w:space="0" w:color="1F1646" w:themeColor="text1"/>
              <w:bottom w:val="single" w:sz="2" w:space="0" w:color="auto"/>
            </w:tcBorders>
            <w:vAlign w:val="center"/>
          </w:tcPr>
          <w:p w14:paraId="7F15E848" w14:textId="16856857" w:rsidR="00B603EC" w:rsidRPr="009426E0" w:rsidRDefault="00236717" w:rsidP="00511C6E">
            <w:pPr>
              <w:spacing w:after="160"/>
              <w:cnfStyle w:val="000000000000" w:firstRow="0" w:lastRow="0" w:firstColumn="0" w:lastColumn="0" w:oddVBand="0" w:evenVBand="0" w:oddHBand="0" w:evenHBand="0" w:firstRowFirstColumn="0" w:firstRowLastColumn="0" w:lastRowFirstColumn="0" w:lastRowLastColumn="0"/>
              <w:rPr>
                <w:lang w:val="en-US"/>
              </w:rPr>
            </w:pPr>
            <w:r w:rsidRPr="009426E0">
              <w:rPr>
                <w:lang w:val="en-US"/>
              </w:rPr>
              <w:t>Cautioning rates for local government areas with the highest numbers of cautions for Aboriginal first-time youth offenders ages 10 to 17, 2021-22</w:t>
            </w:r>
            <w:r w:rsidRPr="009426E0">
              <w:rPr>
                <w:lang w:val="en-US"/>
              </w:rPr>
              <w:tab/>
            </w:r>
          </w:p>
        </w:tc>
      </w:tr>
    </w:tbl>
    <w:p w14:paraId="3ED49D67" w14:textId="77777777" w:rsidR="00B603EC" w:rsidRPr="009426E0" w:rsidRDefault="00B603EC" w:rsidP="00236717">
      <w:pPr>
        <w:spacing w:after="160"/>
        <w:rPr>
          <w:lang w:val="en-US"/>
        </w:rPr>
      </w:pPr>
    </w:p>
    <w:p w14:paraId="1B03ACCD" w14:textId="427205B5" w:rsidR="0043128F" w:rsidRPr="009426E0" w:rsidRDefault="0043128F" w:rsidP="0043128F">
      <w:pPr>
        <w:spacing w:after="160" w:line="259" w:lineRule="auto"/>
        <w:rPr>
          <w:lang w:val="en-US"/>
        </w:rPr>
      </w:pPr>
    </w:p>
    <w:p w14:paraId="37E3F7A8" w14:textId="77777777" w:rsidR="0043128F" w:rsidRPr="009426E0" w:rsidRDefault="0043128F" w:rsidP="0043128F">
      <w:pPr>
        <w:pStyle w:val="Heading1"/>
        <w:rPr>
          <w:lang w:val="en-US"/>
        </w:rPr>
      </w:pPr>
      <w:r w:rsidRPr="009426E0">
        <w:br w:type="column"/>
      </w:r>
      <w:bookmarkStart w:id="7" w:name="_Toc191465858"/>
      <w:r w:rsidRPr="009426E0">
        <w:rPr>
          <w:rFonts w:eastAsiaTheme="minorHAnsi"/>
          <w:lang w:val="en-US"/>
        </w:rPr>
        <w:lastRenderedPageBreak/>
        <w:t>Introduction</w:t>
      </w:r>
      <w:bookmarkEnd w:id="7"/>
      <w:r w:rsidRPr="009426E0">
        <w:rPr>
          <w:lang w:val="en-US"/>
        </w:rPr>
        <w:t xml:space="preserve"> </w:t>
      </w:r>
    </w:p>
    <w:p w14:paraId="09EF06CA" w14:textId="684B9D71" w:rsidR="0043128F" w:rsidRPr="009426E0" w:rsidRDefault="0043128F" w:rsidP="0043128F">
      <w:pPr>
        <w:spacing w:after="160" w:line="259" w:lineRule="auto"/>
        <w:rPr>
          <w:lang w:val="en-US"/>
        </w:rPr>
      </w:pPr>
      <w:r w:rsidRPr="009426E0">
        <w:rPr>
          <w:lang w:val="en-US"/>
        </w:rPr>
        <w:t xml:space="preserve">The locations in which children live, play, and go to school can have a strong influence on their development, experiences, and life outcomes. Significant geographic variables can include the proximity and quality of services, existence of social and support networks, availability of family-friendly activities, perceptions of </w:t>
      </w:r>
      <w:proofErr w:type="spellStart"/>
      <w:r w:rsidRPr="009426E0">
        <w:rPr>
          <w:lang w:val="en-US"/>
        </w:rPr>
        <w:t>neighbourhood</w:t>
      </w:r>
      <w:proofErr w:type="spellEnd"/>
      <w:r w:rsidRPr="009426E0">
        <w:rPr>
          <w:lang w:val="en-US"/>
        </w:rPr>
        <w:t xml:space="preserve"> safety, and aspects of the built environment such as the quality of public open spaces (Goldfeld, et al., 2018; Crawford, et al., 2017). </w:t>
      </w:r>
    </w:p>
    <w:p w14:paraId="31E41CE5" w14:textId="77777777" w:rsidR="0043128F" w:rsidRPr="009426E0" w:rsidRDefault="0043128F" w:rsidP="0043128F">
      <w:pPr>
        <w:spacing w:after="160" w:line="259" w:lineRule="auto"/>
        <w:rPr>
          <w:lang w:val="en-US"/>
        </w:rPr>
      </w:pPr>
      <w:r w:rsidRPr="009426E0">
        <w:rPr>
          <w:lang w:val="en-US"/>
        </w:rPr>
        <w:t xml:space="preserve">There is also a significant intersection between geography and socioeconomic disadvantage, a factor known to negatively affect many aspects of people’s lives including physical and mental health, educational attainment, and safety (Lamb, et al., 2020; Australian Institute of Health and Welfare, 2022; Australian Institute of Family Studies, 2017). Australian research has found that high concentrations of socioeconomic disadvantage in an area are correlated with poorer life outcomes, having the potential to exacerbate the disadvantages experienced by individual households and increase the risks of intergenerational disadvantage (Vinson, 2009). </w:t>
      </w:r>
    </w:p>
    <w:p w14:paraId="173548CC" w14:textId="77777777" w:rsidR="0043128F" w:rsidRPr="009426E0" w:rsidRDefault="0043128F" w:rsidP="0043128F">
      <w:pPr>
        <w:spacing w:after="160" w:line="259" w:lineRule="auto"/>
        <w:rPr>
          <w:lang w:val="en-US"/>
        </w:rPr>
      </w:pPr>
      <w:r w:rsidRPr="009426E0">
        <w:rPr>
          <w:lang w:val="en-US"/>
        </w:rPr>
        <w:t xml:space="preserve">This report examines the health and development, education, and safety of Victorian children and young people in 2021 and 2022, and analyses how related outcomes can vary depending on where they live. Data used in this report is from these years only and does not reflect the impact of new or expanded services or programs that have occurred since 2022. </w:t>
      </w:r>
    </w:p>
    <w:p w14:paraId="72367826" w14:textId="77777777" w:rsidR="0043128F" w:rsidRPr="009426E0" w:rsidRDefault="0043128F" w:rsidP="0043128F">
      <w:pPr>
        <w:spacing w:after="160" w:line="259" w:lineRule="auto"/>
        <w:rPr>
          <w:lang w:val="en-US"/>
        </w:rPr>
      </w:pPr>
      <w:r w:rsidRPr="009426E0">
        <w:rPr>
          <w:lang w:val="en-US"/>
        </w:rPr>
        <w:t xml:space="preserve">Throughout each section of this report, examples are given of where government initiatives have been tailored to intervene earlier and meet the local needs of children, young people, and their families during this period, or where communities themselves have taken a leading role in the design, decision making, and implementation of place-based services. </w:t>
      </w:r>
    </w:p>
    <w:p w14:paraId="2EAC32EE" w14:textId="66008DE6" w:rsidR="0043128F" w:rsidRPr="009426E0" w:rsidRDefault="0043128F" w:rsidP="0043128F">
      <w:pPr>
        <w:spacing w:after="160" w:line="259" w:lineRule="auto"/>
        <w:rPr>
          <w:lang w:val="en-US"/>
        </w:rPr>
      </w:pPr>
      <w:r w:rsidRPr="009426E0">
        <w:rPr>
          <w:lang w:val="en-US"/>
        </w:rPr>
        <w:t>The report finds that while most children and young people in Victoria are healthy, safe, and doing well in their education, some are more likely to experience poorer outcomes. The collated data support the existing evidence that geographic location is a significant factor in driving inequitable access and outcomes for Victorian children and young people.</w:t>
      </w:r>
    </w:p>
    <w:p w14:paraId="73921037" w14:textId="77777777" w:rsidR="00B603EC" w:rsidRPr="009426E0" w:rsidRDefault="00B603EC" w:rsidP="00B603EC">
      <w:pPr>
        <w:pBdr>
          <w:bottom w:val="single" w:sz="2" w:space="1" w:color="auto"/>
        </w:pBdr>
        <w:spacing w:after="160" w:line="259" w:lineRule="auto"/>
        <w:rPr>
          <w:lang w:val="en-US"/>
        </w:rPr>
      </w:pPr>
    </w:p>
    <w:p w14:paraId="031EE019" w14:textId="77777777" w:rsidR="0043128F" w:rsidRPr="009426E0" w:rsidRDefault="0043128F" w:rsidP="0043128F">
      <w:pPr>
        <w:pStyle w:val="Heading1"/>
        <w:rPr>
          <w:rFonts w:eastAsiaTheme="minorHAnsi"/>
          <w:lang w:val="en-US"/>
        </w:rPr>
      </w:pPr>
      <w:r w:rsidRPr="009426E0">
        <w:rPr>
          <w:lang w:val="en-US"/>
        </w:rPr>
        <w:br w:type="column"/>
      </w:r>
      <w:bookmarkStart w:id="8" w:name="_Toc191465859"/>
      <w:r w:rsidRPr="009426E0">
        <w:rPr>
          <w:rFonts w:eastAsiaTheme="minorHAnsi"/>
          <w:lang w:val="en-US"/>
        </w:rPr>
        <w:lastRenderedPageBreak/>
        <w:t>Key findings | Health and development</w:t>
      </w:r>
      <w:bookmarkEnd w:id="8"/>
    </w:p>
    <w:p w14:paraId="1CEEB83D" w14:textId="77777777" w:rsidR="00AD12C9" w:rsidRPr="009426E0" w:rsidRDefault="00AD12C9" w:rsidP="00AD12C9">
      <w:pPr>
        <w:rPr>
          <w:lang w:val="en-US"/>
        </w:rPr>
      </w:pPr>
    </w:p>
    <w:p w14:paraId="5287D5A1" w14:textId="77777777" w:rsidR="0043128F" w:rsidRPr="009426E0" w:rsidRDefault="0043128F" w:rsidP="0043128F">
      <w:pPr>
        <w:spacing w:after="160" w:line="259" w:lineRule="auto"/>
        <w:rPr>
          <w:lang w:val="en-US"/>
        </w:rPr>
      </w:pPr>
      <w:r w:rsidRPr="009426E0">
        <w:rPr>
          <w:lang w:val="en-US"/>
        </w:rPr>
        <w:t>In Victoria, the proportion of children developmentally on track on all 5 domains of the Australian Early Development Census has remained stable.</w:t>
      </w:r>
    </w:p>
    <w:p w14:paraId="59DC6101" w14:textId="54C96D79" w:rsidR="0043128F" w:rsidRPr="009426E0" w:rsidRDefault="0043128F" w:rsidP="0043128F">
      <w:pPr>
        <w:spacing w:after="160" w:line="259" w:lineRule="auto"/>
        <w:rPr>
          <w:lang w:val="en-US"/>
        </w:rPr>
      </w:pPr>
      <w:r w:rsidRPr="009426E0">
        <w:rPr>
          <w:lang w:val="en-US"/>
        </w:rPr>
        <w:t>2009</w:t>
      </w:r>
      <w:r w:rsidR="00E47C32" w:rsidRPr="009426E0">
        <w:rPr>
          <w:lang w:val="en-US"/>
        </w:rPr>
        <w:t xml:space="preserve"> (56%)</w:t>
      </w:r>
      <w:r w:rsidRPr="009426E0">
        <w:rPr>
          <w:lang w:val="en-US"/>
        </w:rPr>
        <w:t xml:space="preserve"> to 2021</w:t>
      </w:r>
      <w:r w:rsidR="00E47C32" w:rsidRPr="009426E0">
        <w:rPr>
          <w:lang w:val="en-US"/>
        </w:rPr>
        <w:t xml:space="preserve"> (</w:t>
      </w:r>
      <w:r w:rsidRPr="009426E0">
        <w:rPr>
          <w:lang w:val="en-US"/>
        </w:rPr>
        <w:t>58%</w:t>
      </w:r>
      <w:r w:rsidR="00E47C32" w:rsidRPr="009426E0">
        <w:rPr>
          <w:lang w:val="en-US"/>
        </w:rPr>
        <w:t>)</w:t>
      </w:r>
    </w:p>
    <w:p w14:paraId="76823901" w14:textId="77777777" w:rsidR="0043128F" w:rsidRPr="009426E0" w:rsidRDefault="0043128F" w:rsidP="0043128F">
      <w:pPr>
        <w:rPr>
          <w:lang w:val="en-US"/>
        </w:rPr>
      </w:pPr>
      <w:r w:rsidRPr="009426E0">
        <w:rPr>
          <w:lang w:val="en-US"/>
        </w:rPr>
        <w:t>The 5 domains are:</w:t>
      </w:r>
    </w:p>
    <w:p w14:paraId="7CD1CCCD" w14:textId="77777777" w:rsidR="0043128F" w:rsidRPr="009426E0" w:rsidRDefault="0043128F" w:rsidP="00B35996">
      <w:pPr>
        <w:pStyle w:val="Bullet1"/>
        <w:rPr>
          <w:lang w:val="en-US"/>
        </w:rPr>
      </w:pPr>
      <w:r w:rsidRPr="009426E0">
        <w:rPr>
          <w:lang w:val="en-US"/>
        </w:rPr>
        <w:t>Physical health and wellbeing</w:t>
      </w:r>
    </w:p>
    <w:p w14:paraId="17AAD4FA" w14:textId="77777777" w:rsidR="0043128F" w:rsidRPr="009426E0" w:rsidRDefault="0043128F" w:rsidP="00B35996">
      <w:pPr>
        <w:pStyle w:val="Bullet1"/>
        <w:rPr>
          <w:lang w:val="en-US"/>
        </w:rPr>
      </w:pPr>
      <w:r w:rsidRPr="009426E0">
        <w:rPr>
          <w:lang w:val="en-US"/>
        </w:rPr>
        <w:t>Social competence</w:t>
      </w:r>
    </w:p>
    <w:p w14:paraId="0FB94215" w14:textId="77777777" w:rsidR="0043128F" w:rsidRPr="009426E0" w:rsidRDefault="0043128F" w:rsidP="00B35996">
      <w:pPr>
        <w:pStyle w:val="Bullet1"/>
        <w:rPr>
          <w:lang w:val="en-US"/>
        </w:rPr>
      </w:pPr>
      <w:r w:rsidRPr="009426E0">
        <w:rPr>
          <w:lang w:val="en-US"/>
        </w:rPr>
        <w:t>Emotional maturity</w:t>
      </w:r>
    </w:p>
    <w:p w14:paraId="5128C923" w14:textId="77777777" w:rsidR="0043128F" w:rsidRPr="009426E0" w:rsidRDefault="0043128F" w:rsidP="00B35996">
      <w:pPr>
        <w:pStyle w:val="Bullet1"/>
        <w:rPr>
          <w:lang w:val="en-US"/>
        </w:rPr>
      </w:pPr>
      <w:r w:rsidRPr="009426E0">
        <w:rPr>
          <w:lang w:val="en-US"/>
        </w:rPr>
        <w:t xml:space="preserve">Language and cognitive skills (school based) </w:t>
      </w:r>
    </w:p>
    <w:p w14:paraId="24B935AF" w14:textId="77777777" w:rsidR="0043128F" w:rsidRPr="009426E0" w:rsidRDefault="0043128F" w:rsidP="00B35996">
      <w:pPr>
        <w:pStyle w:val="Bullet1"/>
        <w:rPr>
          <w:lang w:val="en-US"/>
        </w:rPr>
      </w:pPr>
      <w:r w:rsidRPr="009426E0">
        <w:rPr>
          <w:lang w:val="en-US"/>
        </w:rPr>
        <w:t>Communication skills and general knowledge</w:t>
      </w:r>
    </w:p>
    <w:p w14:paraId="5D81C828" w14:textId="5D6DC2F4" w:rsidR="0043128F" w:rsidRPr="009426E0" w:rsidRDefault="0043128F" w:rsidP="0043128F">
      <w:r w:rsidRPr="009426E0">
        <w:t xml:space="preserve">2021 results show, however, that </w:t>
      </w:r>
      <w:r w:rsidRPr="009426E0">
        <w:rPr>
          <w:rFonts w:cs="VIC SemiBold"/>
        </w:rPr>
        <w:t>disadvantaged children</w:t>
      </w:r>
      <w:r w:rsidRPr="009426E0">
        <w:t xml:space="preserve">, including those from lower socioeconomic status areas, are </w:t>
      </w:r>
      <w:r w:rsidRPr="009426E0">
        <w:rPr>
          <w:rFonts w:cs="VIC SemiBold"/>
        </w:rPr>
        <w:t>less likely to be developmentally on track</w:t>
      </w:r>
      <w:r w:rsidR="00B35996" w:rsidRPr="009426E0">
        <w:t xml:space="preserve"> </w:t>
      </w:r>
      <w:r w:rsidRPr="009426E0">
        <w:t>at the time they commence school.</w:t>
      </w:r>
    </w:p>
    <w:p w14:paraId="56E8A0BD" w14:textId="77777777" w:rsidR="0043128F" w:rsidRPr="009426E0" w:rsidRDefault="0043128F" w:rsidP="00B35996">
      <w:pPr>
        <w:pStyle w:val="Heading2"/>
      </w:pPr>
      <w:bookmarkStart w:id="9" w:name="_Toc185920963"/>
      <w:bookmarkStart w:id="10" w:name="_Toc191465860"/>
      <w:r w:rsidRPr="009426E0">
        <w:t>In 2021:</w:t>
      </w:r>
      <w:bookmarkEnd w:id="9"/>
      <w:bookmarkEnd w:id="10"/>
    </w:p>
    <w:p w14:paraId="71DB2B3A" w14:textId="6055F59E" w:rsidR="0043128F" w:rsidRPr="009426E0" w:rsidRDefault="0043128F" w:rsidP="00721B8A">
      <w:pPr>
        <w:pStyle w:val="Bullet1"/>
        <w:rPr>
          <w:lang w:val="en-US"/>
        </w:rPr>
      </w:pPr>
      <w:r w:rsidRPr="009426E0">
        <w:rPr>
          <w:lang w:val="en-US"/>
        </w:rPr>
        <w:t>7 out of 10 (72%) Victorian children were reported to eat the recommended daily serves of fruit</w:t>
      </w:r>
      <w:r w:rsidR="00721B8A" w:rsidRPr="009426E0">
        <w:rPr>
          <w:lang w:val="en-US"/>
        </w:rPr>
        <w:t xml:space="preserve">, </w:t>
      </w:r>
      <w:r w:rsidRPr="009426E0">
        <w:rPr>
          <w:lang w:val="en-US"/>
        </w:rPr>
        <w:t xml:space="preserve">but very few children from any demographic were likely to eat the recommended daily serves of vegetables, with a statewide average of 2.9%. </w:t>
      </w:r>
    </w:p>
    <w:p w14:paraId="00164D0E" w14:textId="77777777" w:rsidR="0043128F" w:rsidRPr="009426E0" w:rsidRDefault="0043128F" w:rsidP="00B35996">
      <w:pPr>
        <w:pStyle w:val="Bullet1"/>
        <w:rPr>
          <w:lang w:val="en-US"/>
        </w:rPr>
      </w:pPr>
      <w:r w:rsidRPr="009426E0">
        <w:rPr>
          <w:lang w:val="en-US"/>
        </w:rPr>
        <w:t>Children living in the most disadvantaged areas were twice as likely to drink one or more cups of sweetened beverages every day compared to those living in the least disadvantaged areas.</w:t>
      </w:r>
    </w:p>
    <w:p w14:paraId="7296C4A9" w14:textId="77777777" w:rsidR="0043128F" w:rsidRPr="009426E0" w:rsidRDefault="0043128F" w:rsidP="00B35996">
      <w:pPr>
        <w:pStyle w:val="Bullet1"/>
        <w:rPr>
          <w:i/>
          <w:iCs/>
          <w:lang w:val="en-US"/>
        </w:rPr>
      </w:pPr>
      <w:r w:rsidRPr="009426E0">
        <w:rPr>
          <w:lang w:val="en-US"/>
        </w:rPr>
        <w:t xml:space="preserve">In many parts of Victoria, fewer than half of children aged 5 to 12 years were undertaking enough physical activity to meet the </w:t>
      </w:r>
      <w:r w:rsidRPr="009426E0">
        <w:rPr>
          <w:i/>
          <w:iCs/>
          <w:lang w:val="en-US"/>
        </w:rPr>
        <w:t>Australian 24-Hour Movement Guidelines for Children and Young People.</w:t>
      </w:r>
    </w:p>
    <w:p w14:paraId="1D03788A" w14:textId="77777777" w:rsidR="0043128F" w:rsidRPr="009426E0" w:rsidRDefault="0043128F" w:rsidP="00B35996">
      <w:pPr>
        <w:pStyle w:val="Bullet1"/>
        <w:rPr>
          <w:lang w:val="en-US"/>
        </w:rPr>
      </w:pPr>
      <w:r w:rsidRPr="009426E0">
        <w:rPr>
          <w:lang w:val="en-US"/>
        </w:rPr>
        <w:t>Some of the lowest levels of physical activity were in metropolitan areas, highlighting that city children may experience more barriers to active play and transport than their rural and regional counterparts.</w:t>
      </w:r>
    </w:p>
    <w:p w14:paraId="29341209" w14:textId="77777777" w:rsidR="0043128F" w:rsidRPr="009426E0" w:rsidRDefault="0043128F" w:rsidP="00B35996">
      <w:pPr>
        <w:pStyle w:val="Bullet1"/>
        <w:rPr>
          <w:lang w:val="en-US"/>
        </w:rPr>
      </w:pPr>
      <w:r w:rsidRPr="009426E0">
        <w:rPr>
          <w:lang w:val="en-US"/>
        </w:rPr>
        <w:t>Children living in the most disadvantaged areas were twice as likely to drink one or more cups of sweetened beverages every day compared to those living in the least disadvantaged areas.</w:t>
      </w:r>
    </w:p>
    <w:p w14:paraId="4DA4BD2F" w14:textId="77777777" w:rsidR="0043128F" w:rsidRPr="009426E0" w:rsidRDefault="0043128F" w:rsidP="0043128F">
      <w:pPr>
        <w:spacing w:after="160" w:line="259" w:lineRule="auto"/>
        <w:rPr>
          <w:lang w:val="en-US"/>
        </w:rPr>
      </w:pPr>
    </w:p>
    <w:p w14:paraId="43FA8CB7" w14:textId="77777777" w:rsidR="0043128F" w:rsidRPr="009426E0" w:rsidRDefault="0043128F" w:rsidP="0043128F">
      <w:pPr>
        <w:pStyle w:val="Heading1"/>
        <w:rPr>
          <w:lang w:val="en-US"/>
        </w:rPr>
      </w:pPr>
      <w:bookmarkStart w:id="11" w:name="_Toc191465861"/>
      <w:r w:rsidRPr="009426E0">
        <w:rPr>
          <w:lang w:val="en-US"/>
        </w:rPr>
        <w:t>Key findings | Education</w:t>
      </w:r>
      <w:bookmarkEnd w:id="11"/>
    </w:p>
    <w:p w14:paraId="5793D561" w14:textId="77777777" w:rsidR="00B603EC" w:rsidRPr="009426E0" w:rsidRDefault="00B603EC" w:rsidP="00B603EC">
      <w:pPr>
        <w:rPr>
          <w:lang w:val="en-US"/>
        </w:rPr>
      </w:pPr>
    </w:p>
    <w:p w14:paraId="7DF51DBF" w14:textId="77777777" w:rsidR="0043128F" w:rsidRPr="009426E0" w:rsidRDefault="0043128F" w:rsidP="00B35996">
      <w:pPr>
        <w:pStyle w:val="Bullet1"/>
      </w:pPr>
      <w:r w:rsidRPr="009426E0">
        <w:t>In 2022, Victoria’s 4-year-old kindergarten participation rate remained high over the 5 years to 2022 but experienced a small temporary decline in 2020 due to the COVID-19 pandemic.</w:t>
      </w:r>
    </w:p>
    <w:p w14:paraId="3F831D5A" w14:textId="77777777" w:rsidR="0043128F" w:rsidRPr="009426E0" w:rsidRDefault="0043128F" w:rsidP="00B35996">
      <w:pPr>
        <w:pStyle w:val="Bullet1"/>
      </w:pPr>
      <w:r w:rsidRPr="009426E0">
        <w:t>Over the same period participation was consistently higher in non-metropolitan areas than in metropolitan areas.</w:t>
      </w:r>
    </w:p>
    <w:p w14:paraId="2409CE01" w14:textId="77777777" w:rsidR="0043128F" w:rsidRPr="009426E0" w:rsidRDefault="0043128F" w:rsidP="00B35996">
      <w:pPr>
        <w:pStyle w:val="Bullet1"/>
      </w:pPr>
      <w:r w:rsidRPr="009426E0">
        <w:t xml:space="preserve">Victoria’s overall performance in standardised achievement testing is strong, with NAPLAN results among top performing Australian states and territories and showing long-term improvement in Reading scores at primary school year levels. </w:t>
      </w:r>
    </w:p>
    <w:p w14:paraId="2730BAB5" w14:textId="4786B7F9" w:rsidR="00B603EC" w:rsidRPr="009426E0" w:rsidRDefault="0043128F" w:rsidP="00B35996">
      <w:pPr>
        <w:pStyle w:val="Bullet1"/>
      </w:pPr>
      <w:r w:rsidRPr="009426E0">
        <w:t>2022 results show, however, that students in non-metropolitan and disadvantaged areas are more likely to achieve lower scores in reading assessments.</w:t>
      </w:r>
    </w:p>
    <w:p w14:paraId="7D552C05" w14:textId="389F4330" w:rsidR="0043128F" w:rsidRPr="009426E0" w:rsidRDefault="0043128F" w:rsidP="00B603EC">
      <w:pPr>
        <w:pStyle w:val="Bullet1"/>
        <w:numPr>
          <w:ilvl w:val="0"/>
          <w:numId w:val="0"/>
        </w:numPr>
      </w:pPr>
    </w:p>
    <w:p w14:paraId="13776A07" w14:textId="24CB8DA2" w:rsidR="0043128F" w:rsidRPr="009426E0" w:rsidRDefault="00B603EC" w:rsidP="0043128F">
      <w:pPr>
        <w:pStyle w:val="Heading1"/>
        <w:rPr>
          <w:lang w:val="en-US"/>
        </w:rPr>
      </w:pPr>
      <w:r w:rsidRPr="009426E0">
        <w:rPr>
          <w:lang w:val="en-US"/>
        </w:rPr>
        <w:br w:type="column"/>
      </w:r>
      <w:bookmarkStart w:id="12" w:name="_Toc191465862"/>
      <w:r w:rsidR="0043128F" w:rsidRPr="009426E0">
        <w:rPr>
          <w:lang w:val="en-US"/>
        </w:rPr>
        <w:lastRenderedPageBreak/>
        <w:t>Key findings | Safety</w:t>
      </w:r>
      <w:bookmarkEnd w:id="12"/>
    </w:p>
    <w:p w14:paraId="672B51D4" w14:textId="77777777" w:rsidR="0043128F" w:rsidRPr="009426E0" w:rsidRDefault="0043128F" w:rsidP="00B35996">
      <w:pPr>
        <w:pStyle w:val="Heading2"/>
        <w:rPr>
          <w:lang w:val="en-US"/>
        </w:rPr>
      </w:pPr>
      <w:bookmarkStart w:id="13" w:name="_Toc185920966"/>
      <w:bookmarkStart w:id="14" w:name="_Toc191465863"/>
      <w:r w:rsidRPr="009426E0">
        <w:rPr>
          <w:lang w:val="en-US"/>
        </w:rPr>
        <w:t>In 2021 and 2022:</w:t>
      </w:r>
      <w:bookmarkEnd w:id="13"/>
      <w:bookmarkEnd w:id="14"/>
    </w:p>
    <w:p w14:paraId="03EF1034" w14:textId="4A2D6207" w:rsidR="0043128F" w:rsidRPr="009426E0" w:rsidRDefault="0043128F" w:rsidP="0072611F">
      <w:pPr>
        <w:rPr>
          <w:lang w:val="en-US"/>
        </w:rPr>
      </w:pPr>
      <w:r w:rsidRPr="009426E0">
        <w:rPr>
          <w:lang w:val="en-US"/>
        </w:rPr>
        <w:t xml:space="preserve">Rates of children in out-of-home care are highest in non-metropolitan areas with high levels of disadvantage and lowest in metropolitan areas with low levels of disadvantage. </w:t>
      </w:r>
    </w:p>
    <w:p w14:paraId="054D5ABC" w14:textId="77777777" w:rsidR="0043128F" w:rsidRPr="009426E0" w:rsidRDefault="0043128F" w:rsidP="0072611F">
      <w:pPr>
        <w:rPr>
          <w:lang w:val="en-US"/>
        </w:rPr>
      </w:pPr>
      <w:r w:rsidRPr="009426E0">
        <w:rPr>
          <w:lang w:val="en-US"/>
        </w:rPr>
        <w:t>Most Victorian children in out-of-home care were placed in kinship care arrangements (75.7%) where care was provided by relatives or other members of a child’s social network.</w:t>
      </w:r>
    </w:p>
    <w:p w14:paraId="039E887C" w14:textId="77777777" w:rsidR="0043128F" w:rsidRPr="009426E0" w:rsidRDefault="0043128F" w:rsidP="0072611F">
      <w:pPr>
        <w:rPr>
          <w:lang w:val="en-US"/>
        </w:rPr>
      </w:pPr>
      <w:r w:rsidRPr="009426E0">
        <w:rPr>
          <w:lang w:val="en-US"/>
        </w:rPr>
        <w:t>The rate of alleged offender incidents for young people ages 10 to 17 was at its lowest levels since 2013.</w:t>
      </w:r>
    </w:p>
    <w:p w14:paraId="7592E4E4" w14:textId="0D1ECE83" w:rsidR="0043128F" w:rsidRPr="009426E0" w:rsidRDefault="0043128F" w:rsidP="0072611F">
      <w:pPr>
        <w:rPr>
          <w:lang w:val="en-US"/>
        </w:rPr>
      </w:pPr>
      <w:r w:rsidRPr="009426E0">
        <w:rPr>
          <w:lang w:val="en-US"/>
        </w:rPr>
        <w:t xml:space="preserve">Locations with high numbers of alleged offences include places where young people congregate, such as the Melbourne central business district, and destinations like shopping </w:t>
      </w:r>
      <w:proofErr w:type="spellStart"/>
      <w:r w:rsidRPr="009426E0">
        <w:rPr>
          <w:lang w:val="en-US"/>
        </w:rPr>
        <w:t>centres</w:t>
      </w:r>
      <w:proofErr w:type="spellEnd"/>
      <w:r w:rsidRPr="009426E0">
        <w:rPr>
          <w:lang w:val="en-US"/>
        </w:rPr>
        <w:t xml:space="preserve"> where young people commit acquisitive crimes such as shoplifting.</w:t>
      </w:r>
    </w:p>
    <w:p w14:paraId="1F63EB67" w14:textId="77777777" w:rsidR="0043128F" w:rsidRPr="009426E0" w:rsidRDefault="0043128F" w:rsidP="00B35996">
      <w:pPr>
        <w:pStyle w:val="Heading2"/>
        <w:rPr>
          <w:lang w:val="en-US"/>
        </w:rPr>
      </w:pPr>
      <w:bookmarkStart w:id="15" w:name="_Toc185920967"/>
      <w:bookmarkStart w:id="16" w:name="_Toc191465864"/>
      <w:r w:rsidRPr="009426E0">
        <w:rPr>
          <w:lang w:val="en-US"/>
        </w:rPr>
        <w:t>2018-19 to 2021-22</w:t>
      </w:r>
      <w:bookmarkEnd w:id="15"/>
      <w:bookmarkEnd w:id="16"/>
    </w:p>
    <w:p w14:paraId="574A8989" w14:textId="608DA409" w:rsidR="0072611F" w:rsidRPr="009426E0" w:rsidRDefault="0043128F" w:rsidP="0072611F">
      <w:pPr>
        <w:rPr>
          <w:lang w:val="en-US"/>
        </w:rPr>
      </w:pPr>
      <w:r w:rsidRPr="009426E0">
        <w:rPr>
          <w:lang w:val="en-US"/>
        </w:rPr>
        <w:t>The cautioning rate for Aboriginal first-time offenders ages 10 to 17 increased from 52.0% to 70.6%, meaning that more Aboriginal young people were being diverted from further contact with the justice system. This reflects the introduction of the Aboriginal Youth Cautioning Program, amendments to the Victoria Police Manual to broaden cautioning criteria, and increased monitoring of cautioning decisions.</w:t>
      </w:r>
    </w:p>
    <w:p w14:paraId="7D8735CE" w14:textId="77777777" w:rsidR="00AD12C9" w:rsidRPr="009426E0" w:rsidRDefault="00AD12C9" w:rsidP="00AD12C9">
      <w:pPr>
        <w:pBdr>
          <w:bottom w:val="single" w:sz="2" w:space="1" w:color="auto"/>
        </w:pBdr>
        <w:rPr>
          <w:lang w:val="en-US"/>
        </w:rPr>
      </w:pPr>
    </w:p>
    <w:p w14:paraId="04A0B27A" w14:textId="77777777" w:rsidR="0072611F" w:rsidRPr="009426E0" w:rsidRDefault="0072611F" w:rsidP="0072611F">
      <w:pPr>
        <w:pStyle w:val="Heading1"/>
        <w:rPr>
          <w:lang w:val="en-US"/>
        </w:rPr>
      </w:pPr>
      <w:r w:rsidRPr="009426E0">
        <w:rPr>
          <w:lang w:val="en-US"/>
        </w:rPr>
        <w:br w:type="column"/>
      </w:r>
      <w:bookmarkStart w:id="17" w:name="_Toc191465865"/>
      <w:r w:rsidRPr="009426E0">
        <w:rPr>
          <w:lang w:val="en-US"/>
        </w:rPr>
        <w:lastRenderedPageBreak/>
        <w:t>1. Health and development</w:t>
      </w:r>
      <w:bookmarkEnd w:id="17"/>
    </w:p>
    <w:p w14:paraId="23EB9C95" w14:textId="77777777" w:rsidR="0072611F" w:rsidRPr="009426E0" w:rsidRDefault="0072611F" w:rsidP="0072611F">
      <w:pPr>
        <w:spacing w:after="160" w:line="259" w:lineRule="auto"/>
        <w:rPr>
          <w:lang w:val="en-US"/>
        </w:rPr>
      </w:pPr>
      <w:r w:rsidRPr="009426E0">
        <w:rPr>
          <w:lang w:val="en-US"/>
        </w:rPr>
        <w:t xml:space="preserve">The conditions in which children are born and live play a crucial role in their lifelong health outcomes (Commission on the Social Determinants of Health, 2008). Socioeconomic position, experiences of discrimination, and individual health literacy all influence health, as do geographically variable factors such as community networks and aspects of the physical environment that may enable or discourage healthy </w:t>
      </w:r>
      <w:proofErr w:type="spellStart"/>
      <w:r w:rsidRPr="009426E0">
        <w:rPr>
          <w:lang w:val="en-US"/>
        </w:rPr>
        <w:t>behaviours</w:t>
      </w:r>
      <w:proofErr w:type="spellEnd"/>
      <w:r w:rsidRPr="009426E0">
        <w:rPr>
          <w:lang w:val="en-US"/>
        </w:rPr>
        <w:t xml:space="preserve"> like active transport. These non-medical factors that influence health outcomes – known as social determinants of health – are a consequence of the broader political, social, and economic contexts that influence the distribution of social resources (Islam, 2019). This is why services targeting health and wellbeing inequalities for children and their families must often focus on the specific needs of a particular area and community.        </w:t>
      </w:r>
    </w:p>
    <w:p w14:paraId="20E2C4B1" w14:textId="77777777" w:rsidR="0072611F" w:rsidRPr="009426E0" w:rsidRDefault="0072611F" w:rsidP="0072611F">
      <w:pPr>
        <w:pStyle w:val="Heading2"/>
        <w:rPr>
          <w:lang w:val="en-US"/>
        </w:rPr>
      </w:pPr>
      <w:bookmarkStart w:id="18" w:name="_Toc191465866"/>
      <w:r w:rsidRPr="009426E0">
        <w:rPr>
          <w:lang w:val="en-US"/>
        </w:rPr>
        <w:t>1.1 Early development</w:t>
      </w:r>
      <w:bookmarkEnd w:id="18"/>
      <w:r w:rsidRPr="009426E0">
        <w:rPr>
          <w:lang w:val="en-US"/>
        </w:rPr>
        <w:t xml:space="preserve"> </w:t>
      </w:r>
    </w:p>
    <w:p w14:paraId="36A0757F" w14:textId="77777777" w:rsidR="0072611F" w:rsidRPr="009426E0" w:rsidRDefault="0072611F" w:rsidP="0072611F">
      <w:pPr>
        <w:spacing w:after="160" w:line="259" w:lineRule="auto"/>
        <w:rPr>
          <w:lang w:val="en-US"/>
        </w:rPr>
      </w:pPr>
      <w:r w:rsidRPr="009426E0">
        <w:rPr>
          <w:lang w:val="en-US"/>
        </w:rPr>
        <w:t xml:space="preserve">Children’s early development, including cognitive, emotional, and </w:t>
      </w:r>
      <w:proofErr w:type="spellStart"/>
      <w:r w:rsidRPr="009426E0">
        <w:rPr>
          <w:lang w:val="en-US"/>
        </w:rPr>
        <w:t>behavioural</w:t>
      </w:r>
      <w:proofErr w:type="spellEnd"/>
      <w:r w:rsidRPr="009426E0">
        <w:rPr>
          <w:lang w:val="en-US"/>
        </w:rPr>
        <w:t xml:space="preserve"> attributes, is highly predictive of their abilities at older ages (Tayler, Cloney, &amp; Niklas, 2015). The Australian Early Development Census is a national data collection completed by teachers of children in their first year of school every 3 years. The instrument collects data relating to domains of early childhood development, which include physical health and wellbeing; social competence; emotional maturity; language and cognitive skills; and communication skills and general knowledge. Children are assessed as being on track, at risk, or vulnerable in each domain. The results from the Australian Early Development Census help communities understand how local children have developed by the time they start formal full-time school and informs preparation in early childhood practice. This information enables communities to better understand what is working well to prepare children for school and address the gaps.</w:t>
      </w:r>
    </w:p>
    <w:p w14:paraId="44C84FA5" w14:textId="77777777" w:rsidR="0072611F" w:rsidRPr="009426E0" w:rsidRDefault="0072611F" w:rsidP="0072611F">
      <w:pPr>
        <w:spacing w:after="160" w:line="259" w:lineRule="auto"/>
        <w:rPr>
          <w:lang w:val="en-US"/>
        </w:rPr>
      </w:pPr>
      <w:r w:rsidRPr="009426E0">
        <w:rPr>
          <w:lang w:val="en-US"/>
        </w:rPr>
        <w:t>In Victoria, the proportion of children developmentally on track across all domains at school entry has remained stable from 2009 to 2021, sitting at between 56% and 58%. Children living in the most disadvantaged communities, however, persistently show higher rates of developmental vulnerability. Consistent with previous results, 2021 data shows that some cohorts are less likely to be assessed as on track, including Aboriginal children, children who did not attend pre-school, and children for whom English is a second language. Male children (49.8%) are also less likely to be assessed as developmentally on track than female children (64.9%).</w:t>
      </w:r>
    </w:p>
    <w:p w14:paraId="53A443DB" w14:textId="77777777" w:rsidR="0072611F" w:rsidRPr="009426E0" w:rsidRDefault="0072611F" w:rsidP="0072611F">
      <w:pPr>
        <w:spacing w:after="160" w:line="259" w:lineRule="auto"/>
        <w:rPr>
          <w:lang w:val="en-US"/>
        </w:rPr>
      </w:pPr>
      <w:r w:rsidRPr="009426E0">
        <w:rPr>
          <w:lang w:val="en-US"/>
        </w:rPr>
        <w:t xml:space="preserve">Over the 5 Australian Early Development Censuses conducted from 2009 to 2021, some local government areas have experienced a decline in developmental vulnerability in the context of demographic change and reductions in local levels of disadvantage. However, in other cases local government areas have reduced rates of developmental vulnerability while local levels of disadvantage have remained stable or even increased. This shows that in addition to shifts in socioeconomic disadvantage and advantage there are other local factors that can influence changes in children’s outcomes over time. </w:t>
      </w:r>
    </w:p>
    <w:p w14:paraId="5FCC1D5F" w14:textId="77777777" w:rsidR="0072611F" w:rsidRPr="009426E0" w:rsidRDefault="0072611F" w:rsidP="0072611F">
      <w:pPr>
        <w:spacing w:after="160" w:line="259" w:lineRule="auto"/>
        <w:rPr>
          <w:lang w:val="en-US"/>
        </w:rPr>
      </w:pPr>
      <w:r w:rsidRPr="009426E0">
        <w:rPr>
          <w:lang w:val="en-US"/>
        </w:rPr>
        <w:t xml:space="preserve">These factors may include access to high quality services, improvements in infrastructure, presence of community networks, and strong local leadership. </w:t>
      </w:r>
    </w:p>
    <w:p w14:paraId="348FA62C" w14:textId="77777777" w:rsidR="0072611F" w:rsidRPr="009426E0" w:rsidRDefault="0072611F" w:rsidP="0072611F">
      <w:pPr>
        <w:spacing w:after="160" w:line="259" w:lineRule="auto"/>
        <w:rPr>
          <w:lang w:val="en-US"/>
        </w:rPr>
      </w:pPr>
      <w:r w:rsidRPr="009426E0">
        <w:rPr>
          <w:b/>
          <w:bCs/>
          <w:lang w:val="en-US"/>
        </w:rPr>
        <w:t>Figure 1</w:t>
      </w:r>
      <w:r w:rsidRPr="009426E0">
        <w:rPr>
          <w:lang w:val="en-US"/>
        </w:rPr>
        <w:t xml:space="preserve"> shows the proportion of Victorian children developmentally on track across all Australian Early Development Census domains by local government area against the Index of Relative Socioeconomic Advantage and Disadvantage, which </w:t>
      </w:r>
      <w:proofErr w:type="spellStart"/>
      <w:r w:rsidRPr="009426E0">
        <w:rPr>
          <w:lang w:val="en-US"/>
        </w:rPr>
        <w:t>summarises</w:t>
      </w:r>
      <w:proofErr w:type="spellEnd"/>
      <w:r w:rsidRPr="009426E0">
        <w:rPr>
          <w:lang w:val="en-US"/>
        </w:rPr>
        <w:t xml:space="preserve"> economic and social conditions, based on a suite of economic, education, income, occupation, and household characteristics measures. This illustrates that on average children from areas with higher levels of disadvantage are at greater risk of developmental vulnerability, while children from areas of higher advantage are more likely to be developmentally on track.</w:t>
      </w:r>
    </w:p>
    <w:p w14:paraId="27FDD6EA" w14:textId="77777777" w:rsidR="00E47C32" w:rsidRPr="009426E0" w:rsidRDefault="00E47C32" w:rsidP="0072611F">
      <w:pPr>
        <w:spacing w:after="160" w:line="259" w:lineRule="auto"/>
        <w:rPr>
          <w:lang w:val="en-US"/>
        </w:rPr>
      </w:pPr>
    </w:p>
    <w:p w14:paraId="0C43F02E" w14:textId="77777777" w:rsidR="00966329" w:rsidRPr="009426E0" w:rsidRDefault="00966329" w:rsidP="0072611F">
      <w:pPr>
        <w:spacing w:after="160" w:line="259" w:lineRule="auto"/>
        <w:rPr>
          <w:lang w:val="en-US"/>
        </w:rPr>
      </w:pPr>
    </w:p>
    <w:p w14:paraId="32EDAF40" w14:textId="77777777" w:rsidR="00966329" w:rsidRPr="009426E0" w:rsidRDefault="00966329" w:rsidP="0072611F">
      <w:pPr>
        <w:spacing w:after="160" w:line="259" w:lineRule="auto"/>
        <w:rPr>
          <w:lang w:val="en-US"/>
        </w:rPr>
      </w:pPr>
    </w:p>
    <w:p w14:paraId="1F67D7A9" w14:textId="6C1C5406" w:rsidR="001C09C9" w:rsidRPr="009426E0" w:rsidRDefault="00203C7B" w:rsidP="00203C7B">
      <w:pPr>
        <w:pStyle w:val="Figuretitle"/>
        <w:rPr>
          <w:lang w:val="en-US"/>
        </w:rPr>
      </w:pPr>
      <w:r w:rsidRPr="009426E0">
        <w:rPr>
          <w:lang w:val="en-US"/>
        </w:rPr>
        <w:lastRenderedPageBreak/>
        <w:t>Figure 1: Children developmentally on track by local government area socioeconomic advantage/disadvantage, 2021</w:t>
      </w:r>
    </w:p>
    <w:p w14:paraId="35249FCE" w14:textId="5FA75E5C" w:rsidR="00581646" w:rsidRPr="009426E0" w:rsidRDefault="00581646" w:rsidP="00203C7B">
      <w:pPr>
        <w:pStyle w:val="Figuretitle"/>
        <w:rPr>
          <w:lang w:val="en-US"/>
        </w:rPr>
      </w:pPr>
      <w:r w:rsidRPr="009426E0">
        <w:rPr>
          <w:noProof/>
          <w:lang w:val="en-US"/>
        </w:rPr>
        <w:drawing>
          <wp:inline distT="0" distB="0" distL="0" distR="0" wp14:anchorId="32DBC8D0" wp14:editId="10488443">
            <wp:extent cx="6116320" cy="3922395"/>
            <wp:effectExtent l="0" t="0" r="0" b="0"/>
            <wp:docPr id="980910246" name="Picture 1" descr="A chart showing the proportion children developmentally on track against the socioeconomic advantage or disadvantage of their local government area. &#10;&#10;The chart shows that on average children from areas with higher levels of disadvantage are at greater risk of developmental vulnerability, while children from areas of higher advantage are more likely to be developmentally on track.&#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0910246" name="Picture 1" descr="A chart showing the proportion children developmentally on track against the socioeconomic advantage or disadvantage of their local government area. &#10;&#10;The chart shows that on average children from areas with higher levels of disadvantage are at greater risk of developmental vulnerability, while children from areas of higher advantage are more likely to be developmentally on track.&#10;"/>
                    <pic:cNvPicPr/>
                  </pic:nvPicPr>
                  <pic:blipFill>
                    <a:blip r:embed="rId13">
                      <a:extLst>
                        <a:ext uri="{28A0092B-C50C-407E-A947-70E740481C1C}">
                          <a14:useLocalDpi xmlns:a14="http://schemas.microsoft.com/office/drawing/2010/main" val="0"/>
                        </a:ext>
                      </a:extLst>
                    </a:blip>
                    <a:stretch>
                      <a:fillRect/>
                    </a:stretch>
                  </pic:blipFill>
                  <pic:spPr>
                    <a:xfrm>
                      <a:off x="0" y="0"/>
                      <a:ext cx="6116320" cy="3922395"/>
                    </a:xfrm>
                    <a:prstGeom prst="rect">
                      <a:avLst/>
                    </a:prstGeom>
                  </pic:spPr>
                </pic:pic>
              </a:graphicData>
            </a:graphic>
          </wp:inline>
        </w:drawing>
      </w:r>
    </w:p>
    <w:p w14:paraId="5AB8F650" w14:textId="77777777" w:rsidR="00581646" w:rsidRPr="009426E0" w:rsidRDefault="00581646" w:rsidP="00203C7B">
      <w:pPr>
        <w:pStyle w:val="Figuretitle"/>
        <w:rPr>
          <w:lang w:val="en-US"/>
        </w:rPr>
      </w:pPr>
    </w:p>
    <w:p w14:paraId="05E6A59A" w14:textId="2208CCAD" w:rsidR="0072611F" w:rsidRPr="009426E0" w:rsidRDefault="0072611F" w:rsidP="0072611F">
      <w:pPr>
        <w:spacing w:after="160" w:line="259" w:lineRule="auto"/>
        <w:rPr>
          <w:i/>
          <w:iCs/>
          <w:lang w:val="en-US"/>
        </w:rPr>
      </w:pPr>
      <w:r w:rsidRPr="009426E0">
        <w:rPr>
          <w:b/>
          <w:bCs/>
          <w:i/>
          <w:iCs/>
          <w:lang w:val="en-US"/>
        </w:rPr>
        <w:t xml:space="preserve">Source: </w:t>
      </w:r>
      <w:r w:rsidRPr="009426E0">
        <w:rPr>
          <w:i/>
          <w:iCs/>
          <w:lang w:val="en-US"/>
        </w:rPr>
        <w:t>Australian Early Development Census (Department of Education, Skills and Employment, 2022); Index of Relative Socioeconomic Advantage and Disadvantage (Australian Bureau of Statistics, 2021a)</w:t>
      </w:r>
    </w:p>
    <w:p w14:paraId="4F719C8E" w14:textId="77777777" w:rsidR="000F25A7" w:rsidRPr="009426E0" w:rsidRDefault="000F25A7">
      <w:pPr>
        <w:spacing w:before="0" w:after="0" w:line="240" w:lineRule="auto"/>
        <w:rPr>
          <w:rFonts w:asciiTheme="majorHAnsi" w:eastAsiaTheme="majorEastAsia" w:hAnsiTheme="majorHAnsi" w:cs="Times New Roman (Headings CS)"/>
          <w:bCs/>
          <w:color w:val="1F1646" w:themeColor="text1"/>
          <w:sz w:val="32"/>
          <w:szCs w:val="32"/>
          <w:lang w:val="en-US"/>
        </w:rPr>
      </w:pPr>
      <w:bookmarkStart w:id="19" w:name="_Toc185920970"/>
      <w:r w:rsidRPr="009426E0">
        <w:rPr>
          <w:lang w:val="en-US"/>
        </w:rPr>
        <w:br w:type="page"/>
      </w:r>
    </w:p>
    <w:p w14:paraId="7C6BC096" w14:textId="58B91543" w:rsidR="0072611F" w:rsidRPr="009426E0" w:rsidRDefault="0072611F" w:rsidP="0072611F">
      <w:pPr>
        <w:pStyle w:val="Heading1"/>
        <w:rPr>
          <w:lang w:val="en-US"/>
        </w:rPr>
      </w:pPr>
      <w:bookmarkStart w:id="20" w:name="_Toc191465867"/>
      <w:r w:rsidRPr="009426E0">
        <w:rPr>
          <w:lang w:val="en-US"/>
        </w:rPr>
        <w:lastRenderedPageBreak/>
        <w:t>Meeting local needs</w:t>
      </w:r>
      <w:bookmarkEnd w:id="19"/>
      <w:bookmarkEnd w:id="20"/>
    </w:p>
    <w:p w14:paraId="4CC82ACF" w14:textId="77777777" w:rsidR="0072611F" w:rsidRPr="009426E0" w:rsidRDefault="0072611F" w:rsidP="0072611F">
      <w:pPr>
        <w:pStyle w:val="Heading2"/>
        <w:rPr>
          <w:lang w:val="en-US"/>
        </w:rPr>
      </w:pPr>
      <w:bookmarkStart w:id="21" w:name="_Toc191465868"/>
      <w:r w:rsidRPr="009426E0">
        <w:rPr>
          <w:lang w:val="en-US"/>
        </w:rPr>
        <w:t>A Comprehensive Monitoring System</w:t>
      </w:r>
      <w:bookmarkEnd w:id="21"/>
    </w:p>
    <w:p w14:paraId="361F2BD4" w14:textId="77777777" w:rsidR="0072611F" w:rsidRPr="009426E0" w:rsidRDefault="0072611F" w:rsidP="0072611F">
      <w:pPr>
        <w:spacing w:after="160" w:line="259" w:lineRule="auto"/>
        <w:rPr>
          <w:lang w:val="en-US"/>
        </w:rPr>
      </w:pPr>
      <w:r w:rsidRPr="009426E0">
        <w:rPr>
          <w:lang w:val="en-US"/>
        </w:rPr>
        <w:t xml:space="preserve">The Comprehensive Monitoring System is a project aimed at providing governments and local communities with additional data to complement the information captured by the Australian Early Development Census. The Comprehensive Monitoring System delivers 8 surveys at key developmental points from infancy through to 21 years of age. The surveys collect information about children and young people’s mental health and wellbeing, and social and emotional development. </w:t>
      </w:r>
    </w:p>
    <w:p w14:paraId="64E13BAE" w14:textId="77777777" w:rsidR="0072611F" w:rsidRPr="009426E0" w:rsidRDefault="0072611F" w:rsidP="0072611F">
      <w:pPr>
        <w:spacing w:after="160" w:line="259" w:lineRule="auto"/>
        <w:rPr>
          <w:lang w:val="en-US"/>
        </w:rPr>
      </w:pPr>
      <w:r w:rsidRPr="009426E0">
        <w:rPr>
          <w:lang w:val="en-US"/>
        </w:rPr>
        <w:t xml:space="preserve">In 2021 and 2022, a trial of the Comprehensive Monitoring System was undertaken in </w:t>
      </w:r>
      <w:proofErr w:type="spellStart"/>
      <w:r w:rsidRPr="009426E0">
        <w:rPr>
          <w:lang w:val="en-US"/>
        </w:rPr>
        <w:t>Buloke</w:t>
      </w:r>
      <w:proofErr w:type="spellEnd"/>
      <w:r w:rsidRPr="009426E0">
        <w:rPr>
          <w:lang w:val="en-US"/>
        </w:rPr>
        <w:t>, Loddon, and Gannawarra, facilitated by the North Central Local Learning and Employment Network and supported by the Centre for Social and Early Emotional Development at Deakin University, the Victorian Department of Education, and the Human Early Learning Partnership at the University of British Columbia, Canada.</w:t>
      </w:r>
    </w:p>
    <w:p w14:paraId="2FBB6FFB" w14:textId="77777777" w:rsidR="0072611F" w:rsidRPr="009426E0" w:rsidRDefault="0072611F" w:rsidP="0072611F">
      <w:pPr>
        <w:spacing w:after="160" w:line="259" w:lineRule="auto"/>
        <w:rPr>
          <w:lang w:val="en-US"/>
        </w:rPr>
      </w:pPr>
      <w:r w:rsidRPr="009426E0">
        <w:rPr>
          <w:lang w:val="en-US"/>
        </w:rPr>
        <w:t xml:space="preserve">The communities of </w:t>
      </w:r>
      <w:proofErr w:type="spellStart"/>
      <w:r w:rsidRPr="009426E0">
        <w:rPr>
          <w:lang w:val="en-US"/>
        </w:rPr>
        <w:t>Buloke</w:t>
      </w:r>
      <w:proofErr w:type="spellEnd"/>
      <w:r w:rsidRPr="009426E0">
        <w:rPr>
          <w:lang w:val="en-US"/>
        </w:rPr>
        <w:t xml:space="preserve">, Loddon, and Gannawarra reported that the additional data provided by the Comprehensive Monitoring System had immediate benefits including supporting conversations across sectors and strengthening existing collaborations. Additionally, the communities reported that the data was used to inform planning and decision-making, including evaluation of initiatives and policies, and making cases for future investments.  </w:t>
      </w:r>
    </w:p>
    <w:p w14:paraId="44C3CDFE" w14:textId="77777777" w:rsidR="0072611F" w:rsidRPr="009426E0" w:rsidRDefault="0072611F" w:rsidP="0072611F">
      <w:pPr>
        <w:pStyle w:val="Heading2"/>
        <w:rPr>
          <w:lang w:val="en-US"/>
        </w:rPr>
      </w:pPr>
      <w:bookmarkStart w:id="22" w:name="_Toc191465869"/>
      <w:r w:rsidRPr="009426E0">
        <w:rPr>
          <w:lang w:val="en-US"/>
        </w:rPr>
        <w:t>Child and Family Health and Wellbeing Locals</w:t>
      </w:r>
      <w:bookmarkEnd w:id="22"/>
    </w:p>
    <w:p w14:paraId="26C27300" w14:textId="77777777" w:rsidR="0072611F" w:rsidRPr="009426E0" w:rsidRDefault="0072611F" w:rsidP="0072611F">
      <w:pPr>
        <w:spacing w:after="160" w:line="259" w:lineRule="auto"/>
        <w:rPr>
          <w:lang w:val="en-US"/>
        </w:rPr>
      </w:pPr>
      <w:r w:rsidRPr="009426E0">
        <w:rPr>
          <w:lang w:val="en-US"/>
        </w:rPr>
        <w:t>Child and Family Health and Wellbeing Locals are a place-based and family-</w:t>
      </w:r>
      <w:proofErr w:type="spellStart"/>
      <w:r w:rsidRPr="009426E0">
        <w:rPr>
          <w:lang w:val="en-US"/>
        </w:rPr>
        <w:t>focussed</w:t>
      </w:r>
      <w:proofErr w:type="spellEnd"/>
      <w:r w:rsidRPr="009426E0">
        <w:rPr>
          <w:lang w:val="en-US"/>
        </w:rPr>
        <w:t xml:space="preserve"> approach to delivering integrated health and social services for children ages birth to 11 who are experiencing developmental, emotional, relational, or </w:t>
      </w:r>
      <w:proofErr w:type="spellStart"/>
      <w:r w:rsidRPr="009426E0">
        <w:rPr>
          <w:lang w:val="en-US"/>
        </w:rPr>
        <w:t>behavioural</w:t>
      </w:r>
      <w:proofErr w:type="spellEnd"/>
      <w:r w:rsidRPr="009426E0">
        <w:rPr>
          <w:lang w:val="en-US"/>
        </w:rPr>
        <w:t xml:space="preserve"> challenges. The services encompass </w:t>
      </w:r>
      <w:proofErr w:type="spellStart"/>
      <w:r w:rsidRPr="009426E0">
        <w:rPr>
          <w:lang w:val="en-US"/>
        </w:rPr>
        <w:t>paediatric</w:t>
      </w:r>
      <w:proofErr w:type="spellEnd"/>
      <w:r w:rsidRPr="009426E0">
        <w:rPr>
          <w:lang w:val="en-US"/>
        </w:rPr>
        <w:t xml:space="preserve"> health, mental health, family, and parenting supports and are delivered through community health services funded by the Victorian government in partnership with the Commonwealth through the national Head to Health Kids network. The services </w:t>
      </w:r>
      <w:proofErr w:type="gramStart"/>
      <w:r w:rsidRPr="009426E0">
        <w:rPr>
          <w:lang w:val="en-US"/>
        </w:rPr>
        <w:t>are located in</w:t>
      </w:r>
      <w:proofErr w:type="gramEnd"/>
      <w:r w:rsidRPr="009426E0">
        <w:rPr>
          <w:lang w:val="en-US"/>
        </w:rPr>
        <w:t xml:space="preserve"> areas of high disadvantage and have been co-designed in partnership with the community, people with lived experience, and the service sector.</w:t>
      </w:r>
    </w:p>
    <w:p w14:paraId="0CC285CB" w14:textId="77777777" w:rsidR="0072611F" w:rsidRPr="009426E0" w:rsidRDefault="0072611F" w:rsidP="0072611F">
      <w:pPr>
        <w:spacing w:after="160" w:line="259" w:lineRule="auto"/>
        <w:rPr>
          <w:lang w:val="en-US"/>
        </w:rPr>
      </w:pPr>
      <w:r w:rsidRPr="009426E0">
        <w:rPr>
          <w:lang w:val="en-US"/>
        </w:rPr>
        <w:t xml:space="preserve">The Child and Family Health and Wellbeing Locals received funding in 2021-22 and respond to Recommendation 19.3 of the Royal Commission into Victoria’s Mental Health System. To </w:t>
      </w:r>
      <w:proofErr w:type="spellStart"/>
      <w:r w:rsidRPr="009426E0">
        <w:rPr>
          <w:lang w:val="en-US"/>
        </w:rPr>
        <w:t>prioritise</w:t>
      </w:r>
      <w:proofErr w:type="spellEnd"/>
      <w:r w:rsidRPr="009426E0">
        <w:rPr>
          <w:lang w:val="en-US"/>
        </w:rPr>
        <w:t xml:space="preserve"> sites for the initiative, an index was calculated using 6 indicators of need and vulnerability and consideration was given to local system capacity. This helped identify areas where children were experiencing poor health, development, and wellbeing outcomes because of experiences of adversity, and informed the decision to establish sites at locations in the </w:t>
      </w:r>
      <w:proofErr w:type="spellStart"/>
      <w:r w:rsidRPr="009426E0">
        <w:rPr>
          <w:lang w:val="en-US"/>
        </w:rPr>
        <w:t>Brimbank</w:t>
      </w:r>
      <w:proofErr w:type="spellEnd"/>
      <w:r w:rsidRPr="009426E0">
        <w:rPr>
          <w:lang w:val="en-US"/>
        </w:rPr>
        <w:t xml:space="preserve"> Melton, Southern Melbourne, and Loddon areas.</w:t>
      </w:r>
    </w:p>
    <w:p w14:paraId="1D937877" w14:textId="77777777" w:rsidR="0072611F" w:rsidRPr="009426E0" w:rsidRDefault="0072611F" w:rsidP="0072611F">
      <w:pPr>
        <w:pStyle w:val="Heading2"/>
        <w:rPr>
          <w:lang w:val="en-US"/>
        </w:rPr>
      </w:pPr>
      <w:bookmarkStart w:id="23" w:name="_Toc191465870"/>
      <w:r w:rsidRPr="009426E0">
        <w:rPr>
          <w:lang w:val="en-US"/>
        </w:rPr>
        <w:t>BEAR bus (</w:t>
      </w:r>
      <w:proofErr w:type="spellStart"/>
      <w:r w:rsidRPr="009426E0">
        <w:rPr>
          <w:lang w:val="en-US"/>
        </w:rPr>
        <w:t>Brimbank</w:t>
      </w:r>
      <w:proofErr w:type="spellEnd"/>
      <w:r w:rsidRPr="009426E0">
        <w:rPr>
          <w:lang w:val="en-US"/>
        </w:rPr>
        <w:t xml:space="preserve"> Early Years)</w:t>
      </w:r>
      <w:bookmarkEnd w:id="23"/>
      <w:r w:rsidRPr="009426E0">
        <w:rPr>
          <w:lang w:val="en-US"/>
        </w:rPr>
        <w:t xml:space="preserve"> </w:t>
      </w:r>
    </w:p>
    <w:p w14:paraId="3D813E27" w14:textId="77777777" w:rsidR="0072611F" w:rsidRPr="009426E0" w:rsidRDefault="0072611F" w:rsidP="0072611F">
      <w:pPr>
        <w:spacing w:after="160" w:line="259" w:lineRule="auto"/>
        <w:rPr>
          <w:lang w:val="en-US"/>
        </w:rPr>
      </w:pPr>
      <w:r w:rsidRPr="009426E0">
        <w:rPr>
          <w:lang w:val="en-US"/>
        </w:rPr>
        <w:t xml:space="preserve">Participation in early childhood services, such as maternal and child health checks, can enable early diagnosis and intervention for health and developmental concerns that parents might not </w:t>
      </w:r>
      <w:proofErr w:type="spellStart"/>
      <w:r w:rsidRPr="009426E0">
        <w:rPr>
          <w:lang w:val="en-US"/>
        </w:rPr>
        <w:t>recognise</w:t>
      </w:r>
      <w:proofErr w:type="spellEnd"/>
      <w:r w:rsidRPr="009426E0">
        <w:rPr>
          <w:lang w:val="en-US"/>
        </w:rPr>
        <w:t xml:space="preserve"> by themselves, and which could present barriers to later development and learning (Harris, 2016; Rudolph &amp; Leonard, 2016). </w:t>
      </w:r>
    </w:p>
    <w:p w14:paraId="223A3E9A" w14:textId="77777777" w:rsidR="0072611F" w:rsidRPr="009426E0" w:rsidRDefault="0072611F" w:rsidP="0072611F">
      <w:pPr>
        <w:spacing w:after="160" w:line="259" w:lineRule="auto"/>
        <w:rPr>
          <w:lang w:val="en-US"/>
        </w:rPr>
      </w:pPr>
      <w:r w:rsidRPr="009426E0">
        <w:rPr>
          <w:lang w:val="en-US"/>
        </w:rPr>
        <w:t xml:space="preserve">The BEAR bus is a mobile outreach service used by the </w:t>
      </w:r>
      <w:proofErr w:type="spellStart"/>
      <w:r w:rsidRPr="009426E0">
        <w:rPr>
          <w:lang w:val="en-US"/>
        </w:rPr>
        <w:t>Brimbank</w:t>
      </w:r>
      <w:proofErr w:type="spellEnd"/>
      <w:r w:rsidRPr="009426E0">
        <w:rPr>
          <w:lang w:val="en-US"/>
        </w:rPr>
        <w:t xml:space="preserve"> City Council to deliver services to families at their homes, including the Maternal and Child Health Service. During the COVID-19 pandemic, the BEAR bus conducted more than 450 home visits across the local government area, enabling families to engage with the Maternal and Child Health Service while still under public health restrictions. These outreach activities were one of the few face-to-face services families received during this period and facilitated critical early intervention referrals to general practitioners and other health professionals. The BEAR bus continues to promote the Maternal and Child Health Service at community events and is used for outreach by the Enhanced Maternal and Child Health Service teams to visit families in their homes.</w:t>
      </w:r>
    </w:p>
    <w:p w14:paraId="2F806B05" w14:textId="77777777" w:rsidR="0072611F" w:rsidRPr="009426E0" w:rsidRDefault="0072611F" w:rsidP="0072611F">
      <w:pPr>
        <w:pStyle w:val="Heading2"/>
        <w:rPr>
          <w:lang w:val="en-US"/>
        </w:rPr>
      </w:pPr>
      <w:bookmarkStart w:id="24" w:name="_Toc191465871"/>
      <w:r w:rsidRPr="009426E0">
        <w:rPr>
          <w:lang w:val="en-US"/>
        </w:rPr>
        <w:t>B4Kids (Ballarat 4 Kids)</w:t>
      </w:r>
      <w:bookmarkEnd w:id="24"/>
    </w:p>
    <w:p w14:paraId="6C9666D2" w14:textId="77777777" w:rsidR="0072611F" w:rsidRPr="009426E0" w:rsidRDefault="0072611F" w:rsidP="0072611F">
      <w:pPr>
        <w:spacing w:after="160" w:line="259" w:lineRule="auto"/>
        <w:rPr>
          <w:lang w:val="en-US"/>
        </w:rPr>
      </w:pPr>
      <w:r w:rsidRPr="009426E0">
        <w:rPr>
          <w:lang w:val="en-US"/>
        </w:rPr>
        <w:t xml:space="preserve">B4Kids was formed in 2019 as a coalition of organisations taking a whole-of-city approach to supporting children and families in Ballarat to access the support they need to thrive. B4Kids aims to reduce the number </w:t>
      </w:r>
      <w:r w:rsidRPr="009426E0">
        <w:rPr>
          <w:lang w:val="en-US"/>
        </w:rPr>
        <w:lastRenderedPageBreak/>
        <w:t>of families falling through gaps in service delivery or experiencing barriers to participation by providing access to coordinated social, health, and education services.</w:t>
      </w:r>
    </w:p>
    <w:p w14:paraId="60F3757B" w14:textId="77777777" w:rsidR="0072611F" w:rsidRPr="009426E0" w:rsidRDefault="0072611F" w:rsidP="0072611F">
      <w:pPr>
        <w:spacing w:after="160" w:line="259" w:lineRule="auto"/>
        <w:rPr>
          <w:lang w:val="en-US"/>
        </w:rPr>
      </w:pPr>
      <w:r w:rsidRPr="009426E0">
        <w:rPr>
          <w:lang w:val="en-US"/>
        </w:rPr>
        <w:t xml:space="preserve">To understand the issues affecting their community and inform system design, the initiative uses a variety of children’s outcomes data including the Australian Early Development Census, data collected by the Crime Statistics Agency, and surveys administered by the Department of Education. Findings from this data include that Ballarat has: </w:t>
      </w:r>
    </w:p>
    <w:p w14:paraId="76EEDECD" w14:textId="77777777" w:rsidR="0072611F" w:rsidRPr="009426E0" w:rsidRDefault="0072611F" w:rsidP="00B57C5B">
      <w:pPr>
        <w:pStyle w:val="Bullet1"/>
        <w:rPr>
          <w:lang w:val="en-US"/>
        </w:rPr>
      </w:pPr>
      <w:r w:rsidRPr="009426E0">
        <w:rPr>
          <w:lang w:val="en-US"/>
        </w:rPr>
        <w:t xml:space="preserve">an average rate of 22% of children vulnerable in at least one developmental domain, but rates as high as 39% in some areas (Department of Education, Skills and Employment, 2022) </w:t>
      </w:r>
    </w:p>
    <w:p w14:paraId="44E6469F" w14:textId="77777777" w:rsidR="0072611F" w:rsidRPr="009426E0" w:rsidRDefault="0072611F" w:rsidP="00B57C5B">
      <w:pPr>
        <w:pStyle w:val="Bullet1"/>
        <w:rPr>
          <w:lang w:val="en-US"/>
        </w:rPr>
      </w:pPr>
      <w:r w:rsidRPr="009426E0">
        <w:rPr>
          <w:lang w:val="en-US"/>
        </w:rPr>
        <w:t>153 family members ages birth to 17 affected by family violence in the year ending September 2022 (Crime Statistics Agency, 2022)</w:t>
      </w:r>
    </w:p>
    <w:p w14:paraId="51302E2F" w14:textId="77777777" w:rsidR="0072611F" w:rsidRPr="009426E0" w:rsidRDefault="0072611F" w:rsidP="00B57C5B">
      <w:pPr>
        <w:pStyle w:val="Bullet1"/>
        <w:rPr>
          <w:lang w:val="en-US"/>
        </w:rPr>
      </w:pPr>
      <w:r w:rsidRPr="009426E0">
        <w:rPr>
          <w:lang w:val="en-US"/>
        </w:rPr>
        <w:t>a larger proportion of families experiencing high or very high stress (12.1%) than the Victorian average of 8.8% (Department of Education, 2022).</w:t>
      </w:r>
    </w:p>
    <w:p w14:paraId="4068948B" w14:textId="77777777" w:rsidR="0072611F" w:rsidRPr="009426E0" w:rsidRDefault="0072611F" w:rsidP="0072611F">
      <w:pPr>
        <w:spacing w:after="160" w:line="259" w:lineRule="auto"/>
        <w:rPr>
          <w:lang w:val="en-US"/>
        </w:rPr>
      </w:pPr>
      <w:r w:rsidRPr="009426E0">
        <w:rPr>
          <w:lang w:val="en-US"/>
        </w:rPr>
        <w:t>Working in partnership with families, B4Kids are helping to build parents’ skills and capacity, prevent family violence, and address the intergenerational impacts of disadvantage and poverty. B4Kids has over 35 participating coalition members across Ballarat. Representing early learning, health, community, education, sport, First Nations, disability, LGBTQIA+, justice services and local and state governments, they are working together to increase opportunities for children and their families to participate in and benefit from Ballarat’s services and community life.</w:t>
      </w:r>
    </w:p>
    <w:p w14:paraId="07177FAD" w14:textId="77777777" w:rsidR="0072611F" w:rsidRPr="009426E0" w:rsidRDefault="0072611F" w:rsidP="0072611F">
      <w:pPr>
        <w:pStyle w:val="Heading2"/>
        <w:rPr>
          <w:lang w:val="en-US"/>
        </w:rPr>
      </w:pPr>
      <w:bookmarkStart w:id="25" w:name="_Toc191465872"/>
      <w:r w:rsidRPr="009426E0">
        <w:rPr>
          <w:lang w:val="en-US"/>
        </w:rPr>
        <w:t>1.2 Healthy foundations</w:t>
      </w:r>
      <w:bookmarkEnd w:id="25"/>
    </w:p>
    <w:p w14:paraId="2B89C7E5" w14:textId="77777777" w:rsidR="0072611F" w:rsidRPr="009426E0" w:rsidRDefault="0072611F" w:rsidP="0072611F">
      <w:pPr>
        <w:spacing w:after="160" w:line="259" w:lineRule="auto"/>
        <w:rPr>
          <w:lang w:val="en-US"/>
        </w:rPr>
      </w:pPr>
      <w:r w:rsidRPr="009426E0">
        <w:rPr>
          <w:lang w:val="en-US"/>
        </w:rPr>
        <w:t xml:space="preserve">Healthy eating and active living support healthy growth and physical and cognitive development. They equip children and young people to stay alert, concentrate and learn better in the classroom, and protect against infections, poor mental health, and the development of chronic diseases in later life. </w:t>
      </w:r>
    </w:p>
    <w:p w14:paraId="5FC670EF" w14:textId="77777777" w:rsidR="0072611F" w:rsidRPr="009426E0" w:rsidRDefault="0072611F" w:rsidP="0072611F">
      <w:pPr>
        <w:spacing w:after="160" w:line="259" w:lineRule="auto"/>
        <w:rPr>
          <w:lang w:val="en-US"/>
        </w:rPr>
      </w:pPr>
      <w:r w:rsidRPr="009426E0">
        <w:rPr>
          <w:lang w:val="en-US"/>
        </w:rPr>
        <w:t xml:space="preserve">Building strong foundations for good health and reducing the risk of unhealthy weight can be strongly influenced by location. The physical, socioeconomic, and cultural features of </w:t>
      </w:r>
      <w:proofErr w:type="spellStart"/>
      <w:proofErr w:type="gramStart"/>
      <w:r w:rsidRPr="009426E0">
        <w:rPr>
          <w:lang w:val="en-US"/>
        </w:rPr>
        <w:t>neighbourhoods</w:t>
      </w:r>
      <w:proofErr w:type="spellEnd"/>
      <w:proofErr w:type="gramEnd"/>
      <w:r w:rsidRPr="009426E0">
        <w:rPr>
          <w:lang w:val="en-US"/>
        </w:rPr>
        <w:t xml:space="preserve"> influence parents’ perceptions of whether it is safe for their children to undertake active methods of transport, such as walking and cycling, or independent free play in public spaces without adult supervision (Crawford, et al., 2017; Francis, Martin, Wood, &amp; Foster, 2017). </w:t>
      </w:r>
      <w:proofErr w:type="spellStart"/>
      <w:r w:rsidRPr="009426E0">
        <w:rPr>
          <w:lang w:val="en-US"/>
        </w:rPr>
        <w:t>Emphasising</w:t>
      </w:r>
      <w:proofErr w:type="spellEnd"/>
      <w:r w:rsidRPr="009426E0">
        <w:rPr>
          <w:lang w:val="en-US"/>
        </w:rPr>
        <w:t xml:space="preserve"> the relationship between social disadvantage related to place and health outcomes, research has also found that those experiencing food insecurity are more likely to be obese, as food insecurity can lead to a reliance on cheaper, nutrient-poor foods (Carvajal-Aldaz, Cucalon, &amp; Ordonez, 2022). From 2020 to 2022, the proportion of adults reporting food insecurity in the Victorian Population Health Survey increased significantly from 5.8% to 8.1% (Department of Health). This data showed that adults experiencing food insecurity were more likely to have children aged 17 years or younger (36%) than those not experiencing food insecurity (28%). </w:t>
      </w:r>
    </w:p>
    <w:p w14:paraId="5AE76B5F" w14:textId="77777777" w:rsidR="0072611F" w:rsidRPr="009426E0" w:rsidRDefault="0072611F" w:rsidP="0072611F">
      <w:pPr>
        <w:spacing w:after="160" w:line="259" w:lineRule="auto"/>
        <w:rPr>
          <w:lang w:val="en-US"/>
        </w:rPr>
      </w:pPr>
      <w:r w:rsidRPr="009426E0">
        <w:rPr>
          <w:lang w:val="en-US"/>
        </w:rPr>
        <w:t xml:space="preserve">The latest state data from the National Health Survey 2017-18 (Australian Bureau of Statistics, 2018) suggests that more than one-fifth of Victorian children are overweight or obese. National data shows that over one-quarter of Australian children (27.7%) were overweight or obese in 2022, while 7.5% were underweight (Australian Bureau of Statistics, 2023). Boys and girls had similar rates of overweight and obesity (29.2% and 26.1% respectively). Data collected by the Department of Education show that while 72.0% of Victorian children were reported to eat the recommended daily serves of fruit in 2021, very few children from any demographic were likely to eat the recommended daily serves of vegetables, with a statewide average of only 2.9% (Department of Education, 2023). It was also found that children living in the most disadvantaged areas were twice as likely to drink one or more cups of sweetened beverages every day compared to those living in the least disadvantaged areas. </w:t>
      </w:r>
    </w:p>
    <w:p w14:paraId="7B0F0096" w14:textId="77777777" w:rsidR="0072611F" w:rsidRPr="009426E0" w:rsidRDefault="0072611F" w:rsidP="0072611F">
      <w:pPr>
        <w:spacing w:after="160" w:line="259" w:lineRule="auto"/>
        <w:rPr>
          <w:lang w:val="en-US"/>
        </w:rPr>
      </w:pPr>
      <w:r w:rsidRPr="009426E0">
        <w:rPr>
          <w:lang w:val="en-US"/>
        </w:rPr>
        <w:t xml:space="preserve">Figure 2 below shows that in many parts of Victoria in 2021 fewer than half of children ages 5 to 12 were undertaking enough physical activity to meet the Australian 24-Hour Movement Guidelines for Children and Young People (Department of Health and Aged Care, 2021). While physical activity levels are low generally, some of the areas with the lowest levels were metropolitan areas, highlighting barriers to physical activity that city children can experience, such as smaller backyards or concerns that undertaking active methods of transport, such as walking and cycling, or independent free play in public spaces is unsafe without an adult present (Crawford, et al., 2017). A 2018 survey of young people ages 10 to 17 found that even fewer in this age group were physically active with only around one-quarter meeting the guidelines (Department of Education and Training, 2019). </w:t>
      </w:r>
    </w:p>
    <w:p w14:paraId="3CD42E9F" w14:textId="6987EF89" w:rsidR="00DF7950" w:rsidRPr="009426E0" w:rsidRDefault="0072611F" w:rsidP="0072611F">
      <w:pPr>
        <w:spacing w:after="160" w:line="259" w:lineRule="auto"/>
        <w:rPr>
          <w:lang w:val="en-US"/>
        </w:rPr>
      </w:pPr>
      <w:r w:rsidRPr="009426E0">
        <w:rPr>
          <w:lang w:val="en-US"/>
        </w:rPr>
        <w:lastRenderedPageBreak/>
        <w:t xml:space="preserve">Survey data also reveal a substantial increase in the proportion of Victorian children ages 5 to 12 years exceeding the recommended daily recreational screen time limit of 2 hours per day, which remained stable at around 18.0% from 2013 to 2019 before growing to 32.5% in 2021 (Department of Education, 2023). This change is most likely attributable to the COVID-19 pandemic which is known to have affected children’s activities and </w:t>
      </w:r>
      <w:proofErr w:type="spellStart"/>
      <w:r w:rsidRPr="009426E0">
        <w:rPr>
          <w:lang w:val="en-US"/>
        </w:rPr>
        <w:t>behaviours</w:t>
      </w:r>
      <w:proofErr w:type="spellEnd"/>
      <w:r w:rsidRPr="009426E0">
        <w:rPr>
          <w:lang w:val="en-US"/>
        </w:rPr>
        <w:t xml:space="preserve"> in several ways, including increased screen time (The Royal Children’s Hospital National Child Health Poll, 2020; Centre for Community Child Health, 2022). </w:t>
      </w:r>
    </w:p>
    <w:p w14:paraId="0F72497A" w14:textId="502A97D6" w:rsidR="00203C7B" w:rsidRPr="009426E0" w:rsidRDefault="00203C7B" w:rsidP="00E47C32">
      <w:pPr>
        <w:pStyle w:val="Figuretitle"/>
        <w:rPr>
          <w:lang w:val="en-US"/>
        </w:rPr>
      </w:pPr>
      <w:r w:rsidRPr="009426E0">
        <w:rPr>
          <w:lang w:val="en-US"/>
        </w:rPr>
        <w:t>Figure 2: Proportion of children aged 5 to 12 years undertaking the recommended amount of physical activity, 2021</w:t>
      </w:r>
    </w:p>
    <w:tbl>
      <w:tblPr>
        <w:tblW w:w="5954" w:type="dxa"/>
        <w:tblBorders>
          <w:insideH w:val="single" w:sz="2" w:space="0" w:color="auto"/>
        </w:tblBorders>
        <w:tblLook w:val="04A0" w:firstRow="1" w:lastRow="0" w:firstColumn="1" w:lastColumn="0" w:noHBand="0" w:noVBand="1"/>
      </w:tblPr>
      <w:tblGrid>
        <w:gridCol w:w="4395"/>
        <w:gridCol w:w="1559"/>
      </w:tblGrid>
      <w:tr w:rsidR="00203C7B" w:rsidRPr="009426E0" w14:paraId="4A3B4B7B" w14:textId="77777777" w:rsidTr="00453FFD">
        <w:trPr>
          <w:trHeight w:val="283"/>
        </w:trPr>
        <w:tc>
          <w:tcPr>
            <w:tcW w:w="4395" w:type="dxa"/>
            <w:shd w:val="clear" w:color="auto" w:fill="B6E9EA" w:themeFill="accent2"/>
            <w:vAlign w:val="center"/>
            <w:hideMark/>
          </w:tcPr>
          <w:p w14:paraId="6183B9A0" w14:textId="77777777" w:rsidR="00203C7B" w:rsidRPr="009426E0" w:rsidRDefault="00203C7B" w:rsidP="00203C7B">
            <w:pPr>
              <w:pStyle w:val="TableHead"/>
              <w:rPr>
                <w:lang w:eastAsia="en-GB"/>
              </w:rPr>
            </w:pPr>
            <w:r w:rsidRPr="009426E0">
              <w:rPr>
                <w:lang w:eastAsia="en-GB"/>
              </w:rPr>
              <w:t>Area name</w:t>
            </w:r>
          </w:p>
        </w:tc>
        <w:tc>
          <w:tcPr>
            <w:tcW w:w="1559" w:type="dxa"/>
            <w:shd w:val="clear" w:color="auto" w:fill="B6E9EA" w:themeFill="accent2"/>
            <w:vAlign w:val="center"/>
            <w:hideMark/>
          </w:tcPr>
          <w:p w14:paraId="157525E4" w14:textId="77777777" w:rsidR="00203C7B" w:rsidRPr="009426E0" w:rsidRDefault="00203C7B" w:rsidP="00272FD3">
            <w:pPr>
              <w:pStyle w:val="TableHead"/>
              <w:jc w:val="right"/>
              <w:rPr>
                <w:lang w:eastAsia="en-GB"/>
              </w:rPr>
            </w:pPr>
            <w:r w:rsidRPr="009426E0">
              <w:rPr>
                <w:lang w:eastAsia="en-GB"/>
              </w:rPr>
              <w:t>Proportion</w:t>
            </w:r>
          </w:p>
        </w:tc>
      </w:tr>
      <w:tr w:rsidR="00203C7B" w:rsidRPr="009426E0" w14:paraId="7C60BDC7" w14:textId="77777777" w:rsidTr="00651F17">
        <w:trPr>
          <w:trHeight w:val="454"/>
        </w:trPr>
        <w:tc>
          <w:tcPr>
            <w:tcW w:w="4395" w:type="dxa"/>
            <w:shd w:val="clear" w:color="auto" w:fill="auto"/>
            <w:vAlign w:val="center"/>
            <w:hideMark/>
          </w:tcPr>
          <w:p w14:paraId="5FCB9B9A" w14:textId="77777777" w:rsidR="00203C7B" w:rsidRPr="009426E0" w:rsidRDefault="00203C7B" w:rsidP="00203C7B">
            <w:pPr>
              <w:pStyle w:val="Tablebody"/>
              <w:rPr>
                <w:lang w:eastAsia="en-GB"/>
              </w:rPr>
            </w:pPr>
            <w:r w:rsidRPr="009426E0">
              <w:rPr>
                <w:lang w:eastAsia="en-GB"/>
              </w:rPr>
              <w:t>Mallee</w:t>
            </w:r>
          </w:p>
        </w:tc>
        <w:tc>
          <w:tcPr>
            <w:tcW w:w="1559" w:type="dxa"/>
            <w:shd w:val="clear" w:color="000000" w:fill="FFFF66"/>
            <w:vAlign w:val="center"/>
            <w:hideMark/>
          </w:tcPr>
          <w:p w14:paraId="211D4EB2" w14:textId="77777777" w:rsidR="00203C7B" w:rsidRPr="009426E0" w:rsidRDefault="00203C7B" w:rsidP="00272FD3">
            <w:pPr>
              <w:pStyle w:val="Tablebody"/>
              <w:jc w:val="right"/>
              <w:rPr>
                <w:lang w:eastAsia="en-GB"/>
              </w:rPr>
            </w:pPr>
            <w:r w:rsidRPr="009426E0">
              <w:rPr>
                <w:lang w:eastAsia="en-GB"/>
              </w:rPr>
              <w:t>57.3%</w:t>
            </w:r>
          </w:p>
        </w:tc>
      </w:tr>
      <w:tr w:rsidR="00203C7B" w:rsidRPr="009426E0" w14:paraId="7270DEFC" w14:textId="77777777" w:rsidTr="00651F17">
        <w:trPr>
          <w:trHeight w:val="454"/>
        </w:trPr>
        <w:tc>
          <w:tcPr>
            <w:tcW w:w="4395" w:type="dxa"/>
            <w:shd w:val="clear" w:color="auto" w:fill="auto"/>
            <w:vAlign w:val="center"/>
            <w:hideMark/>
          </w:tcPr>
          <w:p w14:paraId="265D8790" w14:textId="77777777" w:rsidR="00203C7B" w:rsidRPr="009426E0" w:rsidRDefault="00203C7B" w:rsidP="00203C7B">
            <w:pPr>
              <w:pStyle w:val="Tablebody"/>
              <w:rPr>
                <w:lang w:eastAsia="en-GB"/>
              </w:rPr>
            </w:pPr>
            <w:r w:rsidRPr="009426E0">
              <w:rPr>
                <w:lang w:eastAsia="en-GB"/>
              </w:rPr>
              <w:t>Outer Gippsland</w:t>
            </w:r>
          </w:p>
        </w:tc>
        <w:tc>
          <w:tcPr>
            <w:tcW w:w="1559" w:type="dxa"/>
            <w:shd w:val="clear" w:color="000000" w:fill="F9E55B"/>
            <w:vAlign w:val="center"/>
            <w:hideMark/>
          </w:tcPr>
          <w:p w14:paraId="6D2653FC" w14:textId="77777777" w:rsidR="00203C7B" w:rsidRPr="009426E0" w:rsidRDefault="00203C7B" w:rsidP="00272FD3">
            <w:pPr>
              <w:pStyle w:val="Tablebody"/>
              <w:jc w:val="right"/>
              <w:rPr>
                <w:lang w:eastAsia="en-GB"/>
              </w:rPr>
            </w:pPr>
            <w:r w:rsidRPr="009426E0">
              <w:rPr>
                <w:lang w:eastAsia="en-GB"/>
              </w:rPr>
              <w:t>55.6%</w:t>
            </w:r>
          </w:p>
        </w:tc>
      </w:tr>
      <w:tr w:rsidR="00203C7B" w:rsidRPr="009426E0" w14:paraId="1CCA553F" w14:textId="77777777" w:rsidTr="00651F17">
        <w:trPr>
          <w:trHeight w:val="454"/>
        </w:trPr>
        <w:tc>
          <w:tcPr>
            <w:tcW w:w="4395" w:type="dxa"/>
            <w:shd w:val="clear" w:color="auto" w:fill="auto"/>
            <w:vAlign w:val="center"/>
            <w:hideMark/>
          </w:tcPr>
          <w:p w14:paraId="6F274DE0" w14:textId="77777777" w:rsidR="00203C7B" w:rsidRPr="009426E0" w:rsidRDefault="00203C7B" w:rsidP="00203C7B">
            <w:pPr>
              <w:pStyle w:val="Tablebody"/>
              <w:rPr>
                <w:lang w:eastAsia="en-GB"/>
              </w:rPr>
            </w:pPr>
            <w:r w:rsidRPr="009426E0">
              <w:rPr>
                <w:lang w:eastAsia="en-GB"/>
              </w:rPr>
              <w:t>Ovens Murray</w:t>
            </w:r>
          </w:p>
        </w:tc>
        <w:tc>
          <w:tcPr>
            <w:tcW w:w="1559" w:type="dxa"/>
            <w:shd w:val="clear" w:color="000000" w:fill="F8DF59"/>
            <w:vAlign w:val="center"/>
            <w:hideMark/>
          </w:tcPr>
          <w:p w14:paraId="51E36C9B" w14:textId="77777777" w:rsidR="00203C7B" w:rsidRPr="009426E0" w:rsidRDefault="00203C7B" w:rsidP="00272FD3">
            <w:pPr>
              <w:pStyle w:val="Tablebody"/>
              <w:jc w:val="right"/>
              <w:rPr>
                <w:lang w:eastAsia="en-GB"/>
              </w:rPr>
            </w:pPr>
            <w:r w:rsidRPr="009426E0">
              <w:rPr>
                <w:lang w:eastAsia="en-GB"/>
              </w:rPr>
              <w:t>55.2%</w:t>
            </w:r>
          </w:p>
        </w:tc>
      </w:tr>
      <w:tr w:rsidR="00203C7B" w:rsidRPr="009426E0" w14:paraId="2C55CA22" w14:textId="77777777" w:rsidTr="00651F17">
        <w:trPr>
          <w:trHeight w:val="454"/>
        </w:trPr>
        <w:tc>
          <w:tcPr>
            <w:tcW w:w="4395" w:type="dxa"/>
            <w:shd w:val="clear" w:color="auto" w:fill="auto"/>
            <w:vAlign w:val="center"/>
            <w:hideMark/>
          </w:tcPr>
          <w:p w14:paraId="19350AAF" w14:textId="77777777" w:rsidR="00203C7B" w:rsidRPr="009426E0" w:rsidRDefault="00203C7B" w:rsidP="00203C7B">
            <w:pPr>
              <w:pStyle w:val="Tablebody"/>
              <w:rPr>
                <w:lang w:eastAsia="en-GB"/>
              </w:rPr>
            </w:pPr>
            <w:r w:rsidRPr="009426E0">
              <w:rPr>
                <w:lang w:eastAsia="en-GB"/>
              </w:rPr>
              <w:t>Central Highlands</w:t>
            </w:r>
          </w:p>
        </w:tc>
        <w:tc>
          <w:tcPr>
            <w:tcW w:w="1559" w:type="dxa"/>
            <w:shd w:val="clear" w:color="000000" w:fill="EFB347"/>
            <w:vAlign w:val="center"/>
            <w:hideMark/>
          </w:tcPr>
          <w:p w14:paraId="22E7A947" w14:textId="77777777" w:rsidR="00203C7B" w:rsidRPr="009426E0" w:rsidRDefault="00203C7B" w:rsidP="00272FD3">
            <w:pPr>
              <w:pStyle w:val="Tablebody"/>
              <w:jc w:val="right"/>
              <w:rPr>
                <w:lang w:eastAsia="en-GB"/>
              </w:rPr>
            </w:pPr>
            <w:r w:rsidRPr="009426E0">
              <w:rPr>
                <w:lang w:eastAsia="en-GB"/>
              </w:rPr>
              <w:t>52.3%</w:t>
            </w:r>
          </w:p>
        </w:tc>
      </w:tr>
      <w:tr w:rsidR="00203C7B" w:rsidRPr="009426E0" w14:paraId="79F4C69B" w14:textId="77777777" w:rsidTr="00651F17">
        <w:trPr>
          <w:trHeight w:val="454"/>
        </w:trPr>
        <w:tc>
          <w:tcPr>
            <w:tcW w:w="4395" w:type="dxa"/>
            <w:shd w:val="clear" w:color="auto" w:fill="auto"/>
            <w:vAlign w:val="center"/>
            <w:hideMark/>
          </w:tcPr>
          <w:p w14:paraId="72383CCF" w14:textId="77777777" w:rsidR="00203C7B" w:rsidRPr="009426E0" w:rsidRDefault="00203C7B" w:rsidP="00203C7B">
            <w:pPr>
              <w:pStyle w:val="Tablebody"/>
              <w:rPr>
                <w:lang w:eastAsia="en-GB"/>
              </w:rPr>
            </w:pPr>
            <w:r w:rsidRPr="009426E0">
              <w:rPr>
                <w:lang w:eastAsia="en-GB"/>
              </w:rPr>
              <w:t>Inner Gippsland</w:t>
            </w:r>
          </w:p>
        </w:tc>
        <w:tc>
          <w:tcPr>
            <w:tcW w:w="1559" w:type="dxa"/>
            <w:shd w:val="clear" w:color="000000" w:fill="EB9F3F"/>
            <w:vAlign w:val="center"/>
            <w:hideMark/>
          </w:tcPr>
          <w:p w14:paraId="7281D5D2" w14:textId="77777777" w:rsidR="00203C7B" w:rsidRPr="009426E0" w:rsidRDefault="00203C7B" w:rsidP="00272FD3">
            <w:pPr>
              <w:pStyle w:val="Tablebody"/>
              <w:jc w:val="right"/>
              <w:rPr>
                <w:lang w:eastAsia="en-GB"/>
              </w:rPr>
            </w:pPr>
            <w:r w:rsidRPr="009426E0">
              <w:rPr>
                <w:lang w:eastAsia="en-GB"/>
              </w:rPr>
              <w:t>51.0%</w:t>
            </w:r>
          </w:p>
        </w:tc>
      </w:tr>
      <w:tr w:rsidR="00203C7B" w:rsidRPr="009426E0" w14:paraId="5BE441B9" w14:textId="77777777" w:rsidTr="00651F17">
        <w:trPr>
          <w:trHeight w:val="454"/>
        </w:trPr>
        <w:tc>
          <w:tcPr>
            <w:tcW w:w="4395" w:type="dxa"/>
            <w:shd w:val="clear" w:color="auto" w:fill="auto"/>
            <w:vAlign w:val="center"/>
            <w:hideMark/>
          </w:tcPr>
          <w:p w14:paraId="3E74291C" w14:textId="77777777" w:rsidR="00203C7B" w:rsidRPr="009426E0" w:rsidRDefault="00203C7B" w:rsidP="00203C7B">
            <w:pPr>
              <w:pStyle w:val="Tablebody"/>
              <w:rPr>
                <w:lang w:eastAsia="en-GB"/>
              </w:rPr>
            </w:pPr>
            <w:r w:rsidRPr="009426E0">
              <w:rPr>
                <w:lang w:eastAsia="en-GB"/>
              </w:rPr>
              <w:t>Hume Moreland</w:t>
            </w:r>
          </w:p>
        </w:tc>
        <w:tc>
          <w:tcPr>
            <w:tcW w:w="1559" w:type="dxa"/>
            <w:shd w:val="clear" w:color="000000" w:fill="EB9C3E"/>
            <w:vAlign w:val="center"/>
            <w:hideMark/>
          </w:tcPr>
          <w:p w14:paraId="0959FA4E" w14:textId="77777777" w:rsidR="00203C7B" w:rsidRPr="009426E0" w:rsidRDefault="00203C7B" w:rsidP="00272FD3">
            <w:pPr>
              <w:pStyle w:val="Tablebody"/>
              <w:jc w:val="right"/>
              <w:rPr>
                <w:lang w:eastAsia="en-GB"/>
              </w:rPr>
            </w:pPr>
            <w:r w:rsidRPr="009426E0">
              <w:rPr>
                <w:lang w:eastAsia="en-GB"/>
              </w:rPr>
              <w:t>50.8%</w:t>
            </w:r>
          </w:p>
        </w:tc>
      </w:tr>
      <w:tr w:rsidR="00203C7B" w:rsidRPr="009426E0" w14:paraId="128298E8" w14:textId="77777777" w:rsidTr="00651F17">
        <w:trPr>
          <w:trHeight w:val="454"/>
        </w:trPr>
        <w:tc>
          <w:tcPr>
            <w:tcW w:w="4395" w:type="dxa"/>
            <w:shd w:val="clear" w:color="auto" w:fill="auto"/>
            <w:vAlign w:val="center"/>
            <w:hideMark/>
          </w:tcPr>
          <w:p w14:paraId="5EBA49AC" w14:textId="77777777" w:rsidR="00203C7B" w:rsidRPr="009426E0" w:rsidRDefault="00203C7B" w:rsidP="00203C7B">
            <w:pPr>
              <w:pStyle w:val="Tablebody"/>
              <w:rPr>
                <w:lang w:eastAsia="en-GB"/>
              </w:rPr>
            </w:pPr>
            <w:r w:rsidRPr="009426E0">
              <w:rPr>
                <w:lang w:eastAsia="en-GB"/>
              </w:rPr>
              <w:t xml:space="preserve">Wimmera </w:t>
            </w:r>
            <w:proofErr w:type="gramStart"/>
            <w:r w:rsidRPr="009426E0">
              <w:rPr>
                <w:lang w:eastAsia="en-GB"/>
              </w:rPr>
              <w:t>South West</w:t>
            </w:r>
            <w:proofErr w:type="gramEnd"/>
          </w:p>
        </w:tc>
        <w:tc>
          <w:tcPr>
            <w:tcW w:w="1559" w:type="dxa"/>
            <w:shd w:val="clear" w:color="000000" w:fill="E9933B"/>
            <w:vAlign w:val="center"/>
            <w:hideMark/>
          </w:tcPr>
          <w:p w14:paraId="2BA921CE" w14:textId="77777777" w:rsidR="00203C7B" w:rsidRPr="009426E0" w:rsidRDefault="00203C7B" w:rsidP="00272FD3">
            <w:pPr>
              <w:pStyle w:val="Tablebody"/>
              <w:jc w:val="right"/>
              <w:rPr>
                <w:lang w:eastAsia="en-GB"/>
              </w:rPr>
            </w:pPr>
            <w:r w:rsidRPr="009426E0">
              <w:rPr>
                <w:lang w:eastAsia="en-GB"/>
              </w:rPr>
              <w:t>50.2%</w:t>
            </w:r>
          </w:p>
        </w:tc>
      </w:tr>
      <w:tr w:rsidR="00203C7B" w:rsidRPr="009426E0" w14:paraId="37C8A21E" w14:textId="77777777" w:rsidTr="00651F17">
        <w:trPr>
          <w:trHeight w:val="454"/>
        </w:trPr>
        <w:tc>
          <w:tcPr>
            <w:tcW w:w="4395" w:type="dxa"/>
            <w:tcBorders>
              <w:bottom w:val="single" w:sz="2" w:space="0" w:color="auto"/>
            </w:tcBorders>
            <w:shd w:val="clear" w:color="auto" w:fill="auto"/>
            <w:vAlign w:val="center"/>
            <w:hideMark/>
          </w:tcPr>
          <w:p w14:paraId="3730B12E" w14:textId="77777777" w:rsidR="00203C7B" w:rsidRPr="009426E0" w:rsidRDefault="00203C7B" w:rsidP="00203C7B">
            <w:pPr>
              <w:pStyle w:val="Tablebody"/>
              <w:rPr>
                <w:lang w:eastAsia="en-GB"/>
              </w:rPr>
            </w:pPr>
            <w:r w:rsidRPr="009426E0">
              <w:rPr>
                <w:lang w:eastAsia="en-GB"/>
              </w:rPr>
              <w:t>Loddon</w:t>
            </w:r>
          </w:p>
        </w:tc>
        <w:tc>
          <w:tcPr>
            <w:tcW w:w="1559" w:type="dxa"/>
            <w:tcBorders>
              <w:bottom w:val="single" w:sz="2" w:space="0" w:color="auto"/>
            </w:tcBorders>
            <w:shd w:val="clear" w:color="000000" w:fill="E78936"/>
            <w:vAlign w:val="center"/>
            <w:hideMark/>
          </w:tcPr>
          <w:p w14:paraId="620A14B1" w14:textId="77777777" w:rsidR="00203C7B" w:rsidRPr="009426E0" w:rsidRDefault="00203C7B" w:rsidP="00272FD3">
            <w:pPr>
              <w:pStyle w:val="Tablebody"/>
              <w:jc w:val="right"/>
              <w:rPr>
                <w:lang w:eastAsia="en-GB"/>
              </w:rPr>
            </w:pPr>
            <w:r w:rsidRPr="009426E0">
              <w:rPr>
                <w:lang w:eastAsia="en-GB"/>
              </w:rPr>
              <w:t>49.5%</w:t>
            </w:r>
          </w:p>
        </w:tc>
      </w:tr>
      <w:tr w:rsidR="00203C7B" w:rsidRPr="009426E0" w14:paraId="4DF41AD4" w14:textId="77777777" w:rsidTr="00651F17">
        <w:trPr>
          <w:trHeight w:val="454"/>
        </w:trPr>
        <w:tc>
          <w:tcPr>
            <w:tcW w:w="4395" w:type="dxa"/>
            <w:tcBorders>
              <w:top w:val="single" w:sz="2" w:space="0" w:color="auto"/>
              <w:bottom w:val="single" w:sz="2" w:space="0" w:color="auto"/>
            </w:tcBorders>
            <w:shd w:val="clear" w:color="auto" w:fill="auto"/>
            <w:vAlign w:val="center"/>
            <w:hideMark/>
          </w:tcPr>
          <w:p w14:paraId="27002E3E" w14:textId="77777777" w:rsidR="00203C7B" w:rsidRPr="009426E0" w:rsidRDefault="00203C7B" w:rsidP="00203C7B">
            <w:pPr>
              <w:pStyle w:val="Tablebody"/>
              <w:rPr>
                <w:lang w:eastAsia="en-GB"/>
              </w:rPr>
            </w:pPr>
            <w:r w:rsidRPr="009426E0">
              <w:rPr>
                <w:lang w:eastAsia="en-GB"/>
              </w:rPr>
              <w:t>Western Melbourne</w:t>
            </w:r>
          </w:p>
        </w:tc>
        <w:tc>
          <w:tcPr>
            <w:tcW w:w="1559" w:type="dxa"/>
            <w:tcBorders>
              <w:top w:val="single" w:sz="2" w:space="0" w:color="auto"/>
              <w:bottom w:val="single" w:sz="2" w:space="0" w:color="auto"/>
            </w:tcBorders>
            <w:shd w:val="clear" w:color="000000" w:fill="E78936"/>
            <w:vAlign w:val="center"/>
            <w:hideMark/>
          </w:tcPr>
          <w:p w14:paraId="4CFAD617" w14:textId="77777777" w:rsidR="00203C7B" w:rsidRPr="009426E0" w:rsidRDefault="00203C7B" w:rsidP="00272FD3">
            <w:pPr>
              <w:pStyle w:val="Tablebody"/>
              <w:jc w:val="right"/>
              <w:rPr>
                <w:lang w:eastAsia="en-GB"/>
              </w:rPr>
            </w:pPr>
            <w:r w:rsidRPr="009426E0">
              <w:rPr>
                <w:lang w:eastAsia="en-GB"/>
              </w:rPr>
              <w:t>49.5%</w:t>
            </w:r>
          </w:p>
        </w:tc>
      </w:tr>
      <w:tr w:rsidR="00203C7B" w:rsidRPr="009426E0" w14:paraId="1F4C0B98" w14:textId="77777777" w:rsidTr="00651F17">
        <w:trPr>
          <w:trHeight w:val="454"/>
        </w:trPr>
        <w:tc>
          <w:tcPr>
            <w:tcW w:w="4395" w:type="dxa"/>
            <w:tcBorders>
              <w:top w:val="single" w:sz="2" w:space="0" w:color="auto"/>
            </w:tcBorders>
            <w:shd w:val="clear" w:color="auto" w:fill="auto"/>
            <w:vAlign w:val="center"/>
            <w:hideMark/>
          </w:tcPr>
          <w:p w14:paraId="28B61521" w14:textId="77777777" w:rsidR="00203C7B" w:rsidRPr="009426E0" w:rsidRDefault="00203C7B" w:rsidP="00203C7B">
            <w:pPr>
              <w:pStyle w:val="Tablebody"/>
              <w:rPr>
                <w:lang w:eastAsia="en-GB"/>
              </w:rPr>
            </w:pPr>
            <w:r w:rsidRPr="009426E0">
              <w:rPr>
                <w:lang w:eastAsia="en-GB"/>
              </w:rPr>
              <w:t>Barwon</w:t>
            </w:r>
          </w:p>
        </w:tc>
        <w:tc>
          <w:tcPr>
            <w:tcW w:w="1559" w:type="dxa"/>
            <w:tcBorders>
              <w:top w:val="single" w:sz="2" w:space="0" w:color="auto"/>
            </w:tcBorders>
            <w:shd w:val="clear" w:color="000000" w:fill="E2712D"/>
            <w:vAlign w:val="center"/>
            <w:hideMark/>
          </w:tcPr>
          <w:p w14:paraId="6C554BDB" w14:textId="77777777" w:rsidR="00203C7B" w:rsidRPr="009426E0" w:rsidRDefault="00203C7B" w:rsidP="00272FD3">
            <w:pPr>
              <w:pStyle w:val="Tablebody"/>
              <w:jc w:val="right"/>
              <w:rPr>
                <w:color w:val="FFFFFF" w:themeColor="background1"/>
                <w:lang w:eastAsia="en-GB"/>
              </w:rPr>
            </w:pPr>
            <w:r w:rsidRPr="009426E0">
              <w:rPr>
                <w:color w:val="FFFFFF" w:themeColor="background1"/>
                <w:lang w:eastAsia="en-GB"/>
              </w:rPr>
              <w:t>47.9%</w:t>
            </w:r>
          </w:p>
        </w:tc>
      </w:tr>
      <w:tr w:rsidR="00203C7B" w:rsidRPr="009426E0" w14:paraId="4D761D33" w14:textId="77777777" w:rsidTr="00651F17">
        <w:trPr>
          <w:trHeight w:val="454"/>
        </w:trPr>
        <w:tc>
          <w:tcPr>
            <w:tcW w:w="4395" w:type="dxa"/>
            <w:shd w:val="clear" w:color="auto" w:fill="auto"/>
            <w:vAlign w:val="center"/>
            <w:hideMark/>
          </w:tcPr>
          <w:p w14:paraId="43658396" w14:textId="77777777" w:rsidR="00203C7B" w:rsidRPr="009426E0" w:rsidRDefault="00203C7B" w:rsidP="00203C7B">
            <w:pPr>
              <w:pStyle w:val="Tablebody"/>
              <w:rPr>
                <w:lang w:eastAsia="en-GB"/>
              </w:rPr>
            </w:pPr>
            <w:r w:rsidRPr="009426E0">
              <w:rPr>
                <w:lang w:eastAsia="en-GB"/>
              </w:rPr>
              <w:t>Southern Melbourne</w:t>
            </w:r>
          </w:p>
        </w:tc>
        <w:tc>
          <w:tcPr>
            <w:tcW w:w="1559" w:type="dxa"/>
            <w:shd w:val="clear" w:color="000000" w:fill="E06528"/>
            <w:vAlign w:val="center"/>
            <w:hideMark/>
          </w:tcPr>
          <w:p w14:paraId="2875E244" w14:textId="77777777" w:rsidR="00203C7B" w:rsidRPr="009426E0" w:rsidRDefault="00203C7B" w:rsidP="00272FD3">
            <w:pPr>
              <w:pStyle w:val="Tablebody"/>
              <w:jc w:val="right"/>
              <w:rPr>
                <w:color w:val="FFFFFF" w:themeColor="background1"/>
                <w:lang w:eastAsia="en-GB"/>
              </w:rPr>
            </w:pPr>
            <w:r w:rsidRPr="009426E0">
              <w:rPr>
                <w:color w:val="FFFFFF" w:themeColor="background1"/>
                <w:lang w:eastAsia="en-GB"/>
              </w:rPr>
              <w:t>47.1%</w:t>
            </w:r>
          </w:p>
        </w:tc>
      </w:tr>
      <w:tr w:rsidR="00203C7B" w:rsidRPr="009426E0" w14:paraId="0562D673" w14:textId="77777777" w:rsidTr="00651F17">
        <w:trPr>
          <w:trHeight w:val="454"/>
        </w:trPr>
        <w:tc>
          <w:tcPr>
            <w:tcW w:w="4395" w:type="dxa"/>
            <w:shd w:val="clear" w:color="auto" w:fill="auto"/>
            <w:vAlign w:val="center"/>
            <w:hideMark/>
          </w:tcPr>
          <w:p w14:paraId="474B06D7" w14:textId="77777777" w:rsidR="00203C7B" w:rsidRPr="009426E0" w:rsidRDefault="00203C7B" w:rsidP="00203C7B">
            <w:pPr>
              <w:pStyle w:val="Tablebody"/>
              <w:rPr>
                <w:lang w:eastAsia="en-GB"/>
              </w:rPr>
            </w:pPr>
            <w:r w:rsidRPr="009426E0">
              <w:rPr>
                <w:lang w:eastAsia="en-GB"/>
              </w:rPr>
              <w:t>Goulburn</w:t>
            </w:r>
          </w:p>
        </w:tc>
        <w:tc>
          <w:tcPr>
            <w:tcW w:w="1559" w:type="dxa"/>
            <w:shd w:val="clear" w:color="000000" w:fill="DE5C24"/>
            <w:vAlign w:val="center"/>
            <w:hideMark/>
          </w:tcPr>
          <w:p w14:paraId="245253BA" w14:textId="77777777" w:rsidR="00203C7B" w:rsidRPr="009426E0" w:rsidRDefault="00203C7B" w:rsidP="00272FD3">
            <w:pPr>
              <w:pStyle w:val="Tablebody"/>
              <w:jc w:val="right"/>
              <w:rPr>
                <w:color w:val="FFFFFF" w:themeColor="background1"/>
                <w:lang w:eastAsia="en-GB"/>
              </w:rPr>
            </w:pPr>
            <w:r w:rsidRPr="009426E0">
              <w:rPr>
                <w:color w:val="FFFFFF" w:themeColor="background1"/>
                <w:lang w:eastAsia="en-GB"/>
              </w:rPr>
              <w:t>46.5%</w:t>
            </w:r>
          </w:p>
        </w:tc>
      </w:tr>
      <w:tr w:rsidR="00203C7B" w:rsidRPr="009426E0" w14:paraId="5C52FAAE" w14:textId="77777777" w:rsidTr="00651F17">
        <w:trPr>
          <w:trHeight w:val="454"/>
        </w:trPr>
        <w:tc>
          <w:tcPr>
            <w:tcW w:w="4395" w:type="dxa"/>
            <w:shd w:val="clear" w:color="auto" w:fill="auto"/>
            <w:vAlign w:val="center"/>
            <w:hideMark/>
          </w:tcPr>
          <w:p w14:paraId="3BC99F04" w14:textId="77777777" w:rsidR="00203C7B" w:rsidRPr="009426E0" w:rsidRDefault="00203C7B" w:rsidP="00203C7B">
            <w:pPr>
              <w:pStyle w:val="Tablebody"/>
              <w:rPr>
                <w:lang w:eastAsia="en-GB"/>
              </w:rPr>
            </w:pPr>
            <w:r w:rsidRPr="009426E0">
              <w:rPr>
                <w:lang w:eastAsia="en-GB"/>
              </w:rPr>
              <w:t>Inner Eastern Melbourne</w:t>
            </w:r>
          </w:p>
        </w:tc>
        <w:tc>
          <w:tcPr>
            <w:tcW w:w="1559" w:type="dxa"/>
            <w:shd w:val="clear" w:color="000000" w:fill="DE5A24"/>
            <w:vAlign w:val="center"/>
            <w:hideMark/>
          </w:tcPr>
          <w:p w14:paraId="40E640DB" w14:textId="77777777" w:rsidR="00203C7B" w:rsidRPr="009426E0" w:rsidRDefault="00203C7B" w:rsidP="00272FD3">
            <w:pPr>
              <w:pStyle w:val="Tablebody"/>
              <w:jc w:val="right"/>
              <w:rPr>
                <w:color w:val="FFFFFF" w:themeColor="background1"/>
                <w:lang w:eastAsia="en-GB"/>
              </w:rPr>
            </w:pPr>
            <w:r w:rsidRPr="009426E0">
              <w:rPr>
                <w:color w:val="FFFFFF" w:themeColor="background1"/>
                <w:lang w:eastAsia="en-GB"/>
              </w:rPr>
              <w:t>46.4%</w:t>
            </w:r>
          </w:p>
        </w:tc>
      </w:tr>
      <w:tr w:rsidR="00203C7B" w:rsidRPr="009426E0" w14:paraId="59956E08" w14:textId="77777777" w:rsidTr="00651F17">
        <w:trPr>
          <w:trHeight w:val="454"/>
        </w:trPr>
        <w:tc>
          <w:tcPr>
            <w:tcW w:w="4395" w:type="dxa"/>
            <w:shd w:val="clear" w:color="auto" w:fill="auto"/>
            <w:vAlign w:val="center"/>
            <w:hideMark/>
          </w:tcPr>
          <w:p w14:paraId="7667DF57" w14:textId="77777777" w:rsidR="00203C7B" w:rsidRPr="009426E0" w:rsidRDefault="00203C7B" w:rsidP="00203C7B">
            <w:pPr>
              <w:pStyle w:val="Tablebody"/>
              <w:rPr>
                <w:lang w:eastAsia="en-GB"/>
              </w:rPr>
            </w:pPr>
            <w:proofErr w:type="gramStart"/>
            <w:r w:rsidRPr="009426E0">
              <w:rPr>
                <w:lang w:eastAsia="en-GB"/>
              </w:rPr>
              <w:t>North Eastern</w:t>
            </w:r>
            <w:proofErr w:type="gramEnd"/>
            <w:r w:rsidRPr="009426E0">
              <w:rPr>
                <w:lang w:eastAsia="en-GB"/>
              </w:rPr>
              <w:t xml:space="preserve"> Melbourne</w:t>
            </w:r>
          </w:p>
        </w:tc>
        <w:tc>
          <w:tcPr>
            <w:tcW w:w="1559" w:type="dxa"/>
            <w:shd w:val="clear" w:color="000000" w:fill="DD5622"/>
            <w:vAlign w:val="center"/>
            <w:hideMark/>
          </w:tcPr>
          <w:p w14:paraId="09F00FA9" w14:textId="77777777" w:rsidR="00203C7B" w:rsidRPr="009426E0" w:rsidRDefault="00203C7B" w:rsidP="00272FD3">
            <w:pPr>
              <w:pStyle w:val="Tablebody"/>
              <w:jc w:val="right"/>
              <w:rPr>
                <w:color w:val="FFFFFF" w:themeColor="background1"/>
                <w:lang w:eastAsia="en-GB"/>
              </w:rPr>
            </w:pPr>
            <w:r w:rsidRPr="009426E0">
              <w:rPr>
                <w:color w:val="FFFFFF" w:themeColor="background1"/>
                <w:lang w:eastAsia="en-GB"/>
              </w:rPr>
              <w:t>46.1%</w:t>
            </w:r>
          </w:p>
        </w:tc>
      </w:tr>
      <w:tr w:rsidR="00203C7B" w:rsidRPr="009426E0" w14:paraId="3B0254EB" w14:textId="77777777" w:rsidTr="00651F17">
        <w:trPr>
          <w:trHeight w:val="454"/>
        </w:trPr>
        <w:tc>
          <w:tcPr>
            <w:tcW w:w="4395" w:type="dxa"/>
            <w:shd w:val="clear" w:color="auto" w:fill="auto"/>
            <w:vAlign w:val="center"/>
            <w:hideMark/>
          </w:tcPr>
          <w:p w14:paraId="54AB061E" w14:textId="77777777" w:rsidR="00203C7B" w:rsidRPr="009426E0" w:rsidRDefault="00203C7B" w:rsidP="00203C7B">
            <w:pPr>
              <w:pStyle w:val="Tablebody"/>
            </w:pPr>
            <w:r w:rsidRPr="009426E0">
              <w:t>Bayside Peninsula</w:t>
            </w:r>
          </w:p>
        </w:tc>
        <w:tc>
          <w:tcPr>
            <w:tcW w:w="1559" w:type="dxa"/>
            <w:shd w:val="clear" w:color="000000" w:fill="DB4C1E"/>
            <w:vAlign w:val="center"/>
            <w:hideMark/>
          </w:tcPr>
          <w:p w14:paraId="4016853D" w14:textId="77777777" w:rsidR="00203C7B" w:rsidRPr="009426E0" w:rsidRDefault="00203C7B" w:rsidP="00272FD3">
            <w:pPr>
              <w:pStyle w:val="Tablebody"/>
              <w:jc w:val="right"/>
              <w:rPr>
                <w:color w:val="FFFFFF" w:themeColor="background1"/>
              </w:rPr>
            </w:pPr>
            <w:r w:rsidRPr="009426E0">
              <w:rPr>
                <w:color w:val="FFFFFF" w:themeColor="background1"/>
              </w:rPr>
              <w:t>45.5%</w:t>
            </w:r>
          </w:p>
        </w:tc>
      </w:tr>
      <w:tr w:rsidR="00203C7B" w:rsidRPr="009426E0" w14:paraId="6C7D869E" w14:textId="77777777" w:rsidTr="00651F17">
        <w:trPr>
          <w:trHeight w:val="454"/>
        </w:trPr>
        <w:tc>
          <w:tcPr>
            <w:tcW w:w="4395" w:type="dxa"/>
            <w:tcBorders>
              <w:bottom w:val="single" w:sz="2" w:space="0" w:color="auto"/>
            </w:tcBorders>
            <w:shd w:val="clear" w:color="auto" w:fill="auto"/>
            <w:vAlign w:val="center"/>
            <w:hideMark/>
          </w:tcPr>
          <w:p w14:paraId="63809A74" w14:textId="77777777" w:rsidR="00203C7B" w:rsidRPr="009426E0" w:rsidRDefault="00203C7B" w:rsidP="00203C7B">
            <w:pPr>
              <w:pStyle w:val="Tablebody"/>
            </w:pPr>
            <w:proofErr w:type="spellStart"/>
            <w:r w:rsidRPr="009426E0">
              <w:t>Brimbank</w:t>
            </w:r>
            <w:proofErr w:type="spellEnd"/>
            <w:r w:rsidRPr="009426E0">
              <w:t xml:space="preserve"> Melton</w:t>
            </w:r>
          </w:p>
        </w:tc>
        <w:tc>
          <w:tcPr>
            <w:tcW w:w="1559" w:type="dxa"/>
            <w:tcBorders>
              <w:bottom w:val="single" w:sz="2" w:space="0" w:color="auto"/>
            </w:tcBorders>
            <w:shd w:val="clear" w:color="000000" w:fill="CE0D05"/>
            <w:vAlign w:val="center"/>
            <w:hideMark/>
          </w:tcPr>
          <w:p w14:paraId="57B2413C" w14:textId="77777777" w:rsidR="00203C7B" w:rsidRPr="009426E0" w:rsidRDefault="00203C7B" w:rsidP="00272FD3">
            <w:pPr>
              <w:pStyle w:val="Tablebody"/>
              <w:jc w:val="right"/>
              <w:rPr>
                <w:color w:val="FFFFFF" w:themeColor="background1"/>
              </w:rPr>
            </w:pPr>
            <w:r w:rsidRPr="009426E0">
              <w:rPr>
                <w:color w:val="FFFFFF" w:themeColor="background1"/>
              </w:rPr>
              <w:t>41.3%</w:t>
            </w:r>
          </w:p>
        </w:tc>
      </w:tr>
      <w:tr w:rsidR="00203C7B" w:rsidRPr="009426E0" w14:paraId="55A9CB30" w14:textId="77777777" w:rsidTr="00651F17">
        <w:trPr>
          <w:trHeight w:val="454"/>
        </w:trPr>
        <w:tc>
          <w:tcPr>
            <w:tcW w:w="4395" w:type="dxa"/>
            <w:tcBorders>
              <w:top w:val="single" w:sz="2" w:space="0" w:color="auto"/>
              <w:bottom w:val="single" w:sz="2" w:space="0" w:color="auto"/>
            </w:tcBorders>
            <w:shd w:val="clear" w:color="auto" w:fill="auto"/>
            <w:vAlign w:val="center"/>
            <w:hideMark/>
          </w:tcPr>
          <w:p w14:paraId="26A243DA" w14:textId="77777777" w:rsidR="00203C7B" w:rsidRPr="009426E0" w:rsidRDefault="00203C7B" w:rsidP="00203C7B">
            <w:pPr>
              <w:pStyle w:val="Tablebody"/>
            </w:pPr>
            <w:r w:rsidRPr="009426E0">
              <w:t>Outer Eastern Melbourne</w:t>
            </w:r>
          </w:p>
        </w:tc>
        <w:tc>
          <w:tcPr>
            <w:tcW w:w="1559" w:type="dxa"/>
            <w:tcBorders>
              <w:top w:val="single" w:sz="2" w:space="0" w:color="auto"/>
              <w:bottom w:val="single" w:sz="2" w:space="0" w:color="auto"/>
            </w:tcBorders>
            <w:shd w:val="clear" w:color="000000" w:fill="CC0000"/>
            <w:vAlign w:val="center"/>
            <w:hideMark/>
          </w:tcPr>
          <w:p w14:paraId="3A11BDC4" w14:textId="77777777" w:rsidR="00203C7B" w:rsidRPr="009426E0" w:rsidRDefault="00203C7B" w:rsidP="00272FD3">
            <w:pPr>
              <w:pStyle w:val="Tablebody"/>
              <w:jc w:val="right"/>
              <w:rPr>
                <w:color w:val="FFFFFF" w:themeColor="background1"/>
              </w:rPr>
            </w:pPr>
            <w:r w:rsidRPr="009426E0">
              <w:rPr>
                <w:color w:val="FFFFFF" w:themeColor="background1"/>
              </w:rPr>
              <w:t>40.4%</w:t>
            </w:r>
          </w:p>
        </w:tc>
      </w:tr>
    </w:tbl>
    <w:p w14:paraId="6D1EAE23" w14:textId="77777777" w:rsidR="0072611F" w:rsidRPr="009426E0" w:rsidRDefault="0072611F" w:rsidP="0072611F">
      <w:pPr>
        <w:rPr>
          <w:i/>
          <w:iCs/>
          <w:lang w:val="en-US"/>
        </w:rPr>
      </w:pPr>
      <w:r w:rsidRPr="009426E0">
        <w:rPr>
          <w:b/>
          <w:bCs/>
          <w:i/>
          <w:iCs/>
          <w:lang w:val="en-US"/>
        </w:rPr>
        <w:t>Source:</w:t>
      </w:r>
      <w:r w:rsidRPr="009426E0">
        <w:rPr>
          <w:i/>
          <w:iCs/>
          <w:lang w:val="en-US"/>
        </w:rPr>
        <w:t xml:space="preserve"> Victorian Child Health and Wellbeing Survey (Department of Education, 2021)</w:t>
      </w:r>
    </w:p>
    <w:p w14:paraId="46C004AC" w14:textId="77777777" w:rsidR="0072611F" w:rsidRPr="009426E0" w:rsidRDefault="0072611F" w:rsidP="0072611F">
      <w:pPr>
        <w:pStyle w:val="Heading1"/>
        <w:rPr>
          <w:lang w:val="en-US"/>
        </w:rPr>
      </w:pPr>
      <w:bookmarkStart w:id="26" w:name="_Toc185920976"/>
      <w:bookmarkStart w:id="27" w:name="_Toc191465873"/>
      <w:r w:rsidRPr="009426E0">
        <w:rPr>
          <w:lang w:val="en-US"/>
        </w:rPr>
        <w:t>Meeting local needs</w:t>
      </w:r>
      <w:bookmarkEnd w:id="26"/>
      <w:bookmarkEnd w:id="27"/>
    </w:p>
    <w:p w14:paraId="4F802508" w14:textId="77777777" w:rsidR="0072611F" w:rsidRPr="009426E0" w:rsidRDefault="0072611F" w:rsidP="0072611F">
      <w:pPr>
        <w:pStyle w:val="Heading2"/>
        <w:rPr>
          <w:lang w:val="en-US"/>
        </w:rPr>
      </w:pPr>
      <w:bookmarkStart w:id="28" w:name="_Toc191465874"/>
      <w:r w:rsidRPr="009426E0">
        <w:rPr>
          <w:lang w:val="en-US"/>
        </w:rPr>
        <w:t>Vic Kids Eat Well, supported by Healthy Kids Advisors</w:t>
      </w:r>
      <w:bookmarkEnd w:id="28"/>
    </w:p>
    <w:p w14:paraId="021988FD" w14:textId="77777777" w:rsidR="0072611F" w:rsidRPr="009426E0" w:rsidRDefault="0072611F" w:rsidP="0072611F">
      <w:pPr>
        <w:spacing w:after="160" w:line="259" w:lineRule="auto"/>
        <w:rPr>
          <w:lang w:val="en-US"/>
        </w:rPr>
      </w:pPr>
      <w:r w:rsidRPr="009426E0">
        <w:rPr>
          <w:lang w:val="en-US"/>
        </w:rPr>
        <w:t xml:space="preserve">Vic Kids Eat Well was launched in October 2021 as a flagship initiative of Victoria’s Healthy Kids Healthy Futures Strategy with a focus on creating healthier food and drink environments in children’s settings. Funded by the Victorian Government, Vic Kids Eat Well is delivered by Cancer Council Victoria’s Achievement Program in partnership with Nutrition Australia’s Healthy Eating Advisory Service. To support Vic </w:t>
      </w:r>
      <w:proofErr w:type="gramStart"/>
      <w:r w:rsidRPr="009426E0">
        <w:rPr>
          <w:lang w:val="en-US"/>
        </w:rPr>
        <w:t>Kids</w:t>
      </w:r>
      <w:proofErr w:type="gramEnd"/>
      <w:r w:rsidRPr="009426E0">
        <w:rPr>
          <w:lang w:val="en-US"/>
        </w:rPr>
        <w:t xml:space="preserve"> Eat Well the Department of Health has leveraged Commonwealth Government funding to promote healthy eating in 13 local government areas through Healthy Kids Advisors. Working with the Stephanie Alexander Kitchen Garden Foundation, the Healthy Kids Advisors connect schools, sports clubs, and council operated facilities with community resources and offer guidance on how they can reach their healthy eating goals. </w:t>
      </w:r>
    </w:p>
    <w:p w14:paraId="128854A2" w14:textId="77777777" w:rsidR="00272FD3" w:rsidRPr="009426E0" w:rsidRDefault="0072611F" w:rsidP="0072611F">
      <w:pPr>
        <w:rPr>
          <w:lang w:val="en-US"/>
        </w:rPr>
      </w:pPr>
      <w:r w:rsidRPr="009426E0">
        <w:rPr>
          <w:lang w:val="en-US"/>
        </w:rPr>
        <w:lastRenderedPageBreak/>
        <w:t xml:space="preserve">Healthy Kids Advisors </w:t>
      </w:r>
      <w:proofErr w:type="gramStart"/>
      <w:r w:rsidRPr="009426E0">
        <w:rPr>
          <w:lang w:val="en-US"/>
        </w:rPr>
        <w:t>were located in</w:t>
      </w:r>
      <w:proofErr w:type="gramEnd"/>
      <w:r w:rsidRPr="009426E0">
        <w:rPr>
          <w:lang w:val="en-US"/>
        </w:rPr>
        <w:t xml:space="preserve"> selected communities aligned with the VicHealth Local Government Partnership initiative (see </w:t>
      </w:r>
      <w:r w:rsidRPr="009426E0">
        <w:rPr>
          <w:b/>
          <w:bCs/>
          <w:lang w:val="en-US"/>
        </w:rPr>
        <w:t>Figure 3</w:t>
      </w:r>
      <w:r w:rsidRPr="009426E0">
        <w:rPr>
          <w:lang w:val="en-US"/>
        </w:rPr>
        <w:t xml:space="preserve">). These communities have shown success in encouraging participation in Vic Kids Eat Well and making healthier food and drink options more available for children. The 13 communities accounted for 33% of schools registered for the initiative, and 51% of the recommended small changes recorded by schools and organisations across the state. </w:t>
      </w:r>
    </w:p>
    <w:p w14:paraId="52A6DA37" w14:textId="77777777" w:rsidR="00272FD3" w:rsidRPr="009426E0" w:rsidRDefault="00272FD3" w:rsidP="0072611F">
      <w:pPr>
        <w:rPr>
          <w:lang w:val="en-US"/>
        </w:rPr>
      </w:pPr>
    </w:p>
    <w:p w14:paraId="3C08D029" w14:textId="77777777" w:rsidR="00272FD3" w:rsidRPr="009426E0" w:rsidRDefault="00272FD3" w:rsidP="00272FD3">
      <w:pPr>
        <w:pStyle w:val="Figuretitle"/>
        <w:rPr>
          <w:lang w:val="en-US"/>
        </w:rPr>
      </w:pPr>
      <w:r w:rsidRPr="009426E0">
        <w:rPr>
          <w:lang w:val="en-US"/>
        </w:rPr>
        <w:t>Figure 3: Local government areas with Healthy Kids Advisors, 2022</w:t>
      </w:r>
    </w:p>
    <w:tbl>
      <w:tblPr>
        <w:tblW w:w="5812" w:type="dxa"/>
        <w:tblBorders>
          <w:bottom w:val="single" w:sz="2" w:space="0" w:color="auto"/>
          <w:insideH w:val="single" w:sz="2" w:space="0" w:color="auto"/>
        </w:tblBorders>
        <w:tblLook w:val="04A0" w:firstRow="1" w:lastRow="0" w:firstColumn="1" w:lastColumn="0" w:noHBand="0" w:noVBand="1"/>
      </w:tblPr>
      <w:tblGrid>
        <w:gridCol w:w="5812"/>
      </w:tblGrid>
      <w:tr w:rsidR="00341B6D" w:rsidRPr="009426E0" w14:paraId="40C30F00" w14:textId="77777777" w:rsidTr="00341B6D">
        <w:trPr>
          <w:trHeight w:val="300"/>
        </w:trPr>
        <w:tc>
          <w:tcPr>
            <w:tcW w:w="5812" w:type="dxa"/>
            <w:shd w:val="clear" w:color="auto" w:fill="B6E9EA" w:themeFill="accent2"/>
            <w:noWrap/>
            <w:vAlign w:val="bottom"/>
            <w:hideMark/>
          </w:tcPr>
          <w:p w14:paraId="314F9FF5" w14:textId="77777777" w:rsidR="00341B6D" w:rsidRPr="009426E0" w:rsidRDefault="00341B6D" w:rsidP="00272FD3">
            <w:pPr>
              <w:pStyle w:val="TableHead"/>
              <w:rPr>
                <w:lang w:eastAsia="en-GB"/>
              </w:rPr>
            </w:pPr>
            <w:r w:rsidRPr="009426E0">
              <w:rPr>
                <w:lang w:eastAsia="en-GB"/>
              </w:rPr>
              <w:t>LGA</w:t>
            </w:r>
          </w:p>
        </w:tc>
      </w:tr>
      <w:tr w:rsidR="00341B6D" w:rsidRPr="009426E0" w14:paraId="5F548661" w14:textId="77777777" w:rsidTr="00341B6D">
        <w:trPr>
          <w:trHeight w:val="510"/>
        </w:trPr>
        <w:tc>
          <w:tcPr>
            <w:tcW w:w="5812" w:type="dxa"/>
            <w:shd w:val="clear" w:color="auto" w:fill="auto"/>
            <w:noWrap/>
            <w:vAlign w:val="bottom"/>
            <w:hideMark/>
          </w:tcPr>
          <w:p w14:paraId="16233C0F" w14:textId="5626EC96" w:rsidR="00341B6D" w:rsidRPr="009426E0" w:rsidRDefault="00341B6D" w:rsidP="00341B6D">
            <w:pPr>
              <w:pStyle w:val="Tablebody"/>
              <w:rPr>
                <w:lang w:eastAsia="en-GB"/>
              </w:rPr>
            </w:pPr>
            <w:r w:rsidRPr="009426E0">
              <w:rPr>
                <w:lang w:eastAsia="en-GB"/>
              </w:rPr>
              <w:t>Glenelg Shire</w:t>
            </w:r>
          </w:p>
        </w:tc>
      </w:tr>
      <w:tr w:rsidR="00341B6D" w:rsidRPr="009426E0" w14:paraId="3C548545" w14:textId="77777777" w:rsidTr="00341B6D">
        <w:trPr>
          <w:trHeight w:val="510"/>
        </w:trPr>
        <w:tc>
          <w:tcPr>
            <w:tcW w:w="5812" w:type="dxa"/>
            <w:shd w:val="clear" w:color="auto" w:fill="auto"/>
            <w:noWrap/>
            <w:vAlign w:val="bottom"/>
            <w:hideMark/>
          </w:tcPr>
          <w:p w14:paraId="48B41892" w14:textId="2C1548D3" w:rsidR="00341B6D" w:rsidRPr="009426E0" w:rsidRDefault="00341B6D" w:rsidP="00341B6D">
            <w:pPr>
              <w:pStyle w:val="Tablebody"/>
              <w:rPr>
                <w:lang w:eastAsia="en-GB"/>
              </w:rPr>
            </w:pPr>
            <w:r w:rsidRPr="009426E0">
              <w:rPr>
                <w:lang w:eastAsia="en-GB"/>
              </w:rPr>
              <w:t>Mildura Rural City</w:t>
            </w:r>
          </w:p>
        </w:tc>
      </w:tr>
      <w:tr w:rsidR="00341B6D" w:rsidRPr="009426E0" w14:paraId="721A4C5B" w14:textId="77777777" w:rsidTr="00341B6D">
        <w:trPr>
          <w:trHeight w:val="510"/>
        </w:trPr>
        <w:tc>
          <w:tcPr>
            <w:tcW w:w="5812" w:type="dxa"/>
            <w:shd w:val="clear" w:color="auto" w:fill="auto"/>
            <w:noWrap/>
            <w:vAlign w:val="bottom"/>
            <w:hideMark/>
          </w:tcPr>
          <w:p w14:paraId="11896CEE" w14:textId="1E9E9754" w:rsidR="00341B6D" w:rsidRPr="009426E0" w:rsidRDefault="00341B6D" w:rsidP="00341B6D">
            <w:pPr>
              <w:pStyle w:val="Tablebody"/>
              <w:rPr>
                <w:lang w:eastAsia="en-GB"/>
              </w:rPr>
            </w:pPr>
            <w:r w:rsidRPr="009426E0">
              <w:rPr>
                <w:lang w:eastAsia="en-GB"/>
              </w:rPr>
              <w:t>Southern Grampians Shire</w:t>
            </w:r>
          </w:p>
        </w:tc>
      </w:tr>
      <w:tr w:rsidR="00341B6D" w:rsidRPr="009426E0" w14:paraId="2A7294BB" w14:textId="77777777" w:rsidTr="00341B6D">
        <w:trPr>
          <w:trHeight w:val="510"/>
        </w:trPr>
        <w:tc>
          <w:tcPr>
            <w:tcW w:w="5812" w:type="dxa"/>
            <w:shd w:val="clear" w:color="auto" w:fill="auto"/>
            <w:noWrap/>
            <w:vAlign w:val="bottom"/>
            <w:hideMark/>
          </w:tcPr>
          <w:p w14:paraId="75F025C8" w14:textId="7E6E67F9" w:rsidR="00341B6D" w:rsidRPr="009426E0" w:rsidRDefault="00341B6D" w:rsidP="00341B6D">
            <w:pPr>
              <w:pStyle w:val="Tablebody"/>
              <w:rPr>
                <w:lang w:eastAsia="en-GB"/>
              </w:rPr>
            </w:pPr>
            <w:r w:rsidRPr="009426E0">
              <w:rPr>
                <w:lang w:eastAsia="en-GB"/>
              </w:rPr>
              <w:t>Northern Grampians Shire</w:t>
            </w:r>
          </w:p>
        </w:tc>
      </w:tr>
      <w:tr w:rsidR="00341B6D" w:rsidRPr="009426E0" w14:paraId="1954641C" w14:textId="77777777" w:rsidTr="00341B6D">
        <w:trPr>
          <w:trHeight w:val="510"/>
        </w:trPr>
        <w:tc>
          <w:tcPr>
            <w:tcW w:w="5812" w:type="dxa"/>
            <w:shd w:val="clear" w:color="auto" w:fill="auto"/>
            <w:noWrap/>
            <w:vAlign w:val="bottom"/>
            <w:hideMark/>
          </w:tcPr>
          <w:p w14:paraId="08C09A09" w14:textId="16403A8A" w:rsidR="00341B6D" w:rsidRPr="009426E0" w:rsidRDefault="00341B6D" w:rsidP="00341B6D">
            <w:pPr>
              <w:pStyle w:val="Tablebody"/>
              <w:rPr>
                <w:lang w:eastAsia="en-GB"/>
              </w:rPr>
            </w:pPr>
            <w:proofErr w:type="spellStart"/>
            <w:r w:rsidRPr="009426E0">
              <w:rPr>
                <w:lang w:eastAsia="en-GB"/>
              </w:rPr>
              <w:t>Buloke</w:t>
            </w:r>
            <w:proofErr w:type="spellEnd"/>
            <w:r w:rsidRPr="009426E0">
              <w:rPr>
                <w:lang w:eastAsia="en-GB"/>
              </w:rPr>
              <w:t xml:space="preserve"> Shire</w:t>
            </w:r>
          </w:p>
        </w:tc>
      </w:tr>
      <w:tr w:rsidR="00341B6D" w:rsidRPr="009426E0" w14:paraId="05EA870E" w14:textId="77777777" w:rsidTr="00341B6D">
        <w:trPr>
          <w:trHeight w:val="510"/>
        </w:trPr>
        <w:tc>
          <w:tcPr>
            <w:tcW w:w="5812" w:type="dxa"/>
            <w:shd w:val="clear" w:color="auto" w:fill="auto"/>
            <w:noWrap/>
            <w:vAlign w:val="bottom"/>
            <w:hideMark/>
          </w:tcPr>
          <w:p w14:paraId="55914F87" w14:textId="135A3FD0" w:rsidR="00341B6D" w:rsidRPr="009426E0" w:rsidRDefault="00341B6D" w:rsidP="00341B6D">
            <w:pPr>
              <w:pStyle w:val="Tablebody"/>
              <w:rPr>
                <w:lang w:eastAsia="en-GB"/>
              </w:rPr>
            </w:pPr>
            <w:r w:rsidRPr="009426E0">
              <w:rPr>
                <w:lang w:eastAsia="en-GB"/>
              </w:rPr>
              <w:t>Central Goldfields Shire</w:t>
            </w:r>
          </w:p>
        </w:tc>
      </w:tr>
      <w:tr w:rsidR="00341B6D" w:rsidRPr="009426E0" w14:paraId="36855F92" w14:textId="77777777" w:rsidTr="00341B6D">
        <w:trPr>
          <w:trHeight w:val="510"/>
        </w:trPr>
        <w:tc>
          <w:tcPr>
            <w:tcW w:w="5812" w:type="dxa"/>
            <w:shd w:val="clear" w:color="auto" w:fill="auto"/>
            <w:noWrap/>
            <w:vAlign w:val="bottom"/>
            <w:hideMark/>
          </w:tcPr>
          <w:p w14:paraId="114BD0F9" w14:textId="5287B382" w:rsidR="00341B6D" w:rsidRPr="009426E0" w:rsidRDefault="00341B6D" w:rsidP="00341B6D">
            <w:pPr>
              <w:pStyle w:val="Tablebody"/>
              <w:rPr>
                <w:lang w:eastAsia="en-GB"/>
              </w:rPr>
            </w:pPr>
            <w:r w:rsidRPr="009426E0">
              <w:rPr>
                <w:lang w:eastAsia="en-GB"/>
              </w:rPr>
              <w:t>Greater Bendigo City</w:t>
            </w:r>
          </w:p>
        </w:tc>
      </w:tr>
      <w:tr w:rsidR="00341B6D" w:rsidRPr="009426E0" w14:paraId="374ADAFC" w14:textId="77777777" w:rsidTr="00341B6D">
        <w:trPr>
          <w:trHeight w:val="510"/>
        </w:trPr>
        <w:tc>
          <w:tcPr>
            <w:tcW w:w="5812" w:type="dxa"/>
            <w:shd w:val="clear" w:color="auto" w:fill="auto"/>
            <w:noWrap/>
            <w:vAlign w:val="bottom"/>
            <w:hideMark/>
          </w:tcPr>
          <w:p w14:paraId="35B032CA" w14:textId="4C667B1B" w:rsidR="00341B6D" w:rsidRPr="009426E0" w:rsidRDefault="00341B6D" w:rsidP="00341B6D">
            <w:pPr>
              <w:pStyle w:val="Tablebody"/>
              <w:rPr>
                <w:lang w:eastAsia="en-GB"/>
              </w:rPr>
            </w:pPr>
            <w:r w:rsidRPr="009426E0">
              <w:rPr>
                <w:lang w:eastAsia="en-GB"/>
              </w:rPr>
              <w:t>Hume City</w:t>
            </w:r>
          </w:p>
        </w:tc>
      </w:tr>
      <w:tr w:rsidR="00341B6D" w:rsidRPr="009426E0" w14:paraId="38EDB73F" w14:textId="77777777" w:rsidTr="00341B6D">
        <w:trPr>
          <w:trHeight w:val="510"/>
        </w:trPr>
        <w:tc>
          <w:tcPr>
            <w:tcW w:w="5812" w:type="dxa"/>
            <w:shd w:val="clear" w:color="auto" w:fill="auto"/>
            <w:noWrap/>
            <w:vAlign w:val="bottom"/>
            <w:hideMark/>
          </w:tcPr>
          <w:p w14:paraId="4DBFD7C7" w14:textId="5B11070C" w:rsidR="00341B6D" w:rsidRPr="009426E0" w:rsidRDefault="00341B6D" w:rsidP="00341B6D">
            <w:pPr>
              <w:pStyle w:val="Tablebody"/>
              <w:rPr>
                <w:lang w:eastAsia="en-GB"/>
              </w:rPr>
            </w:pPr>
            <w:r w:rsidRPr="009426E0">
              <w:rPr>
                <w:lang w:eastAsia="en-GB"/>
              </w:rPr>
              <w:t>Greater Shepparton City</w:t>
            </w:r>
          </w:p>
        </w:tc>
      </w:tr>
      <w:tr w:rsidR="00341B6D" w:rsidRPr="009426E0" w14:paraId="4F0764FD" w14:textId="77777777" w:rsidTr="00341B6D">
        <w:trPr>
          <w:trHeight w:val="510"/>
        </w:trPr>
        <w:tc>
          <w:tcPr>
            <w:tcW w:w="5812" w:type="dxa"/>
            <w:shd w:val="clear" w:color="auto" w:fill="auto"/>
            <w:noWrap/>
            <w:vAlign w:val="bottom"/>
            <w:hideMark/>
          </w:tcPr>
          <w:p w14:paraId="129BACDA" w14:textId="688B7813" w:rsidR="00341B6D" w:rsidRPr="009426E0" w:rsidRDefault="00341B6D" w:rsidP="00341B6D">
            <w:pPr>
              <w:pStyle w:val="Tablebody"/>
              <w:rPr>
                <w:lang w:eastAsia="en-GB"/>
              </w:rPr>
            </w:pPr>
            <w:r w:rsidRPr="009426E0">
              <w:rPr>
                <w:lang w:eastAsia="en-GB"/>
              </w:rPr>
              <w:t>East Gippsland Shire</w:t>
            </w:r>
          </w:p>
        </w:tc>
      </w:tr>
      <w:tr w:rsidR="00341B6D" w:rsidRPr="009426E0" w14:paraId="48086090" w14:textId="77777777" w:rsidTr="00341B6D">
        <w:trPr>
          <w:trHeight w:val="510"/>
        </w:trPr>
        <w:tc>
          <w:tcPr>
            <w:tcW w:w="5812" w:type="dxa"/>
            <w:shd w:val="clear" w:color="auto" w:fill="auto"/>
            <w:noWrap/>
            <w:vAlign w:val="bottom"/>
            <w:hideMark/>
          </w:tcPr>
          <w:p w14:paraId="69BA22E9" w14:textId="5DB1FB08" w:rsidR="00341B6D" w:rsidRPr="009426E0" w:rsidRDefault="00341B6D" w:rsidP="00341B6D">
            <w:pPr>
              <w:pStyle w:val="Tablebody"/>
              <w:rPr>
                <w:lang w:eastAsia="en-GB"/>
              </w:rPr>
            </w:pPr>
            <w:r w:rsidRPr="009426E0">
              <w:rPr>
                <w:lang w:eastAsia="en-GB"/>
              </w:rPr>
              <w:t>Colac-Otway Shire</w:t>
            </w:r>
          </w:p>
        </w:tc>
      </w:tr>
      <w:tr w:rsidR="00341B6D" w:rsidRPr="009426E0" w14:paraId="43A805D9" w14:textId="77777777" w:rsidTr="00341B6D">
        <w:trPr>
          <w:trHeight w:val="510"/>
        </w:trPr>
        <w:tc>
          <w:tcPr>
            <w:tcW w:w="5812" w:type="dxa"/>
            <w:shd w:val="clear" w:color="auto" w:fill="auto"/>
            <w:noWrap/>
            <w:vAlign w:val="bottom"/>
            <w:hideMark/>
          </w:tcPr>
          <w:p w14:paraId="046D4C6F" w14:textId="45576F2C" w:rsidR="00341B6D" w:rsidRPr="009426E0" w:rsidRDefault="00341B6D" w:rsidP="00341B6D">
            <w:pPr>
              <w:pStyle w:val="Tablebody"/>
              <w:rPr>
                <w:lang w:eastAsia="en-GB"/>
              </w:rPr>
            </w:pPr>
            <w:r w:rsidRPr="009426E0">
              <w:rPr>
                <w:lang w:eastAsia="en-GB"/>
              </w:rPr>
              <w:t>Melton City</w:t>
            </w:r>
          </w:p>
        </w:tc>
      </w:tr>
      <w:tr w:rsidR="00341B6D" w:rsidRPr="009426E0" w14:paraId="135EC51D" w14:textId="77777777" w:rsidTr="00341B6D">
        <w:trPr>
          <w:trHeight w:val="510"/>
        </w:trPr>
        <w:tc>
          <w:tcPr>
            <w:tcW w:w="5812" w:type="dxa"/>
            <w:shd w:val="clear" w:color="auto" w:fill="auto"/>
            <w:noWrap/>
            <w:vAlign w:val="bottom"/>
            <w:hideMark/>
          </w:tcPr>
          <w:p w14:paraId="1FF533CB" w14:textId="25CF0AFA" w:rsidR="00341B6D" w:rsidRPr="009426E0" w:rsidRDefault="00341B6D" w:rsidP="00341B6D">
            <w:pPr>
              <w:pStyle w:val="Tablebody"/>
              <w:rPr>
                <w:lang w:eastAsia="en-GB"/>
              </w:rPr>
            </w:pPr>
            <w:r w:rsidRPr="009426E0">
              <w:rPr>
                <w:lang w:eastAsia="en-GB"/>
              </w:rPr>
              <w:t>Greater Dandenong City</w:t>
            </w:r>
          </w:p>
        </w:tc>
      </w:tr>
    </w:tbl>
    <w:p w14:paraId="77715670" w14:textId="7E01D9D4" w:rsidR="0072611F" w:rsidRPr="009426E0" w:rsidRDefault="0072611F" w:rsidP="00272FD3">
      <w:pPr>
        <w:rPr>
          <w:lang w:val="en-US"/>
        </w:rPr>
      </w:pPr>
      <w:r w:rsidRPr="009426E0">
        <w:rPr>
          <w:b/>
          <w:bCs/>
          <w:lang w:val="en-US"/>
        </w:rPr>
        <w:t>Source:</w:t>
      </w:r>
      <w:r w:rsidRPr="009426E0">
        <w:rPr>
          <w:i/>
          <w:iCs/>
          <w:lang w:val="en-US"/>
        </w:rPr>
        <w:t xml:space="preserve"> Healthy Kids Advisors (Stephanie Alexander Kitchen Garden Foundation, 2023)</w:t>
      </w:r>
    </w:p>
    <w:p w14:paraId="520DFDBF" w14:textId="77777777" w:rsidR="0072611F" w:rsidRPr="009426E0" w:rsidRDefault="0072611F" w:rsidP="0072611F">
      <w:pPr>
        <w:rPr>
          <w:lang w:val="en-US"/>
        </w:rPr>
      </w:pPr>
    </w:p>
    <w:p w14:paraId="7DCC7A59" w14:textId="77777777" w:rsidR="0072611F" w:rsidRPr="009426E0" w:rsidRDefault="0072611F" w:rsidP="0072611F">
      <w:pPr>
        <w:pStyle w:val="Heading2"/>
        <w:rPr>
          <w:lang w:val="en-US"/>
        </w:rPr>
      </w:pPr>
      <w:bookmarkStart w:id="29" w:name="_Toc191465875"/>
      <w:r w:rsidRPr="009426E0">
        <w:rPr>
          <w:lang w:val="en-US"/>
        </w:rPr>
        <w:t>Active Schools</w:t>
      </w:r>
      <w:bookmarkEnd w:id="29"/>
      <w:r w:rsidRPr="009426E0">
        <w:rPr>
          <w:lang w:val="en-US"/>
        </w:rPr>
        <w:t xml:space="preserve"> </w:t>
      </w:r>
    </w:p>
    <w:p w14:paraId="287EB31A" w14:textId="77777777" w:rsidR="0072611F" w:rsidRPr="009426E0" w:rsidRDefault="0072611F" w:rsidP="0072611F">
      <w:pPr>
        <w:spacing w:after="160" w:line="259" w:lineRule="auto"/>
        <w:rPr>
          <w:lang w:val="en-US"/>
        </w:rPr>
      </w:pPr>
      <w:r w:rsidRPr="009426E0">
        <w:rPr>
          <w:lang w:val="en-US"/>
        </w:rPr>
        <w:t xml:space="preserve">Active Schools aims for all Victorian students to have the skills, confidence, and motivation to be active in life. Active Schools builds on existing programs and funding to boost support and resources for schools to get kids moving. The initiative includes a toolkit for school leaders and teachers, expert Physical Activity Advisors, and funding for schools. </w:t>
      </w:r>
    </w:p>
    <w:p w14:paraId="1FA9AF35" w14:textId="77777777" w:rsidR="0072611F" w:rsidRPr="009426E0" w:rsidRDefault="0072611F" w:rsidP="0072611F">
      <w:pPr>
        <w:spacing w:after="160" w:line="259" w:lineRule="auto"/>
        <w:rPr>
          <w:lang w:val="en-US"/>
        </w:rPr>
      </w:pPr>
      <w:r w:rsidRPr="009426E0">
        <w:rPr>
          <w:lang w:val="en-US"/>
        </w:rPr>
        <w:t>Schools are encouraged to use student voice and agency on their journey to becoming an Active School to ensure students identify the barriers to participating in physical activity in their school and community and are included in the planning and decision making about related strategies and improvements to the school environment.</w:t>
      </w:r>
    </w:p>
    <w:p w14:paraId="4BB35806" w14:textId="77777777" w:rsidR="0072611F" w:rsidRPr="009426E0" w:rsidRDefault="0072611F" w:rsidP="0072611F">
      <w:pPr>
        <w:spacing w:after="160" w:line="259" w:lineRule="auto"/>
        <w:rPr>
          <w:lang w:val="en-US"/>
        </w:rPr>
      </w:pPr>
      <w:r w:rsidRPr="009426E0">
        <w:rPr>
          <w:lang w:val="en-US"/>
        </w:rPr>
        <w:t xml:space="preserve">At Belle Vue Park Primary School it was found that many </w:t>
      </w:r>
      <w:proofErr w:type="gramStart"/>
      <w:r w:rsidRPr="009426E0">
        <w:rPr>
          <w:lang w:val="en-US"/>
        </w:rPr>
        <w:t>Year</w:t>
      </w:r>
      <w:proofErr w:type="gramEnd"/>
      <w:r w:rsidRPr="009426E0">
        <w:rPr>
          <w:lang w:val="en-US"/>
        </w:rPr>
        <w:t xml:space="preserve"> 6 boys were involved in community sport, but not girls. A goal for the school was to engage students in active play in the playground via improved access and opportunities to transition into community sport, with students identifying netball as a sport associated with fun and inclusion. Staff spent lunch times and sports lessons with students to assist with training, building teamwork, and developing students’ understanding of the rules and game. Over time, the growth of </w:t>
      </w:r>
      <w:r w:rsidRPr="009426E0">
        <w:rPr>
          <w:lang w:val="en-US"/>
        </w:rPr>
        <w:lastRenderedPageBreak/>
        <w:t>student confidence and capabilities enabled a student team to play in weekly competitions through the local Darebin Netball Association.</w:t>
      </w:r>
    </w:p>
    <w:p w14:paraId="3A44BADE" w14:textId="77777777" w:rsidR="0072611F" w:rsidRPr="009426E0" w:rsidRDefault="0072611F" w:rsidP="0072611F">
      <w:pPr>
        <w:spacing w:after="160" w:line="259" w:lineRule="auto"/>
        <w:rPr>
          <w:lang w:val="en-US"/>
        </w:rPr>
      </w:pPr>
      <w:r w:rsidRPr="009426E0">
        <w:rPr>
          <w:lang w:val="en-US"/>
        </w:rPr>
        <w:t xml:space="preserve">At Bundalaguah Primary School many students reported that they were not active on weekends due the geographic barriers to participating in extra-curricular activities. A goal for the school was to provide students with a stimulating learning environment and update playground spaces to engage students in active recreation. Students participated in discussions and decisions about new play spaces, and it was identified that the existing playground equipment was not challenging or interesting for the older students. Ideas generated for the Active Schools grant included different climbing structures and alternative play spaces, which have now been installed. Students are now more active and there has been a decrease in challenging </w:t>
      </w:r>
      <w:proofErr w:type="spellStart"/>
      <w:r w:rsidRPr="009426E0">
        <w:rPr>
          <w:lang w:val="en-US"/>
        </w:rPr>
        <w:t>behaviour</w:t>
      </w:r>
      <w:proofErr w:type="spellEnd"/>
      <w:r w:rsidRPr="009426E0">
        <w:rPr>
          <w:lang w:val="en-US"/>
        </w:rPr>
        <w:t xml:space="preserve"> incidents in the yard.</w:t>
      </w:r>
    </w:p>
    <w:p w14:paraId="79C1A492" w14:textId="77777777" w:rsidR="0072611F" w:rsidRPr="009426E0" w:rsidRDefault="0072611F" w:rsidP="0072611F">
      <w:pPr>
        <w:rPr>
          <w:lang w:val="en-US"/>
        </w:rPr>
      </w:pPr>
      <w:r w:rsidRPr="009426E0">
        <w:rPr>
          <w:lang w:val="en-US"/>
        </w:rPr>
        <w:t>At Yuille Park Community College the installation of a new track around the school grounds was originally intended to support the Bike Education program but was discovered to be an opportunity for students to be active throughout the entire school day. Students participated in the design and mapping of the track, which is now used to promote active breaks and incorporate outdoor physical activity into learning as part of cross-curricular activities. Classroom teachers now provide physical education staff with activities to be used in warmups, and physical education staff link physical literacy to classroom active breaks. Student physical activity levels have improved significantly, and active breaks have supported students to better self-regulate and regain focus on learning.</w:t>
      </w:r>
    </w:p>
    <w:p w14:paraId="70CAE145" w14:textId="77777777" w:rsidR="00966329" w:rsidRPr="009426E0" w:rsidRDefault="00966329" w:rsidP="00966329">
      <w:pPr>
        <w:pBdr>
          <w:bottom w:val="single" w:sz="2" w:space="1" w:color="auto"/>
        </w:pBdr>
        <w:rPr>
          <w:lang w:val="en-US"/>
        </w:rPr>
      </w:pPr>
    </w:p>
    <w:p w14:paraId="2D9C23B2" w14:textId="77777777" w:rsidR="0072611F" w:rsidRPr="009426E0" w:rsidRDefault="0072611F" w:rsidP="00B57C5B">
      <w:pPr>
        <w:pStyle w:val="Heading1"/>
        <w:rPr>
          <w:lang w:val="en-US"/>
        </w:rPr>
      </w:pPr>
      <w:r w:rsidRPr="009426E0">
        <w:rPr>
          <w:lang w:val="en-US"/>
        </w:rPr>
        <w:br w:type="column"/>
      </w:r>
      <w:bookmarkStart w:id="30" w:name="_Toc191465876"/>
      <w:r w:rsidRPr="009426E0">
        <w:rPr>
          <w:lang w:val="en-US"/>
        </w:rPr>
        <w:lastRenderedPageBreak/>
        <w:t>2.Education</w:t>
      </w:r>
      <w:bookmarkEnd w:id="30"/>
    </w:p>
    <w:p w14:paraId="5A122DFE" w14:textId="77777777" w:rsidR="0072611F" w:rsidRPr="009426E0" w:rsidRDefault="0072611F" w:rsidP="00B57C5B">
      <w:pPr>
        <w:pStyle w:val="Heading2"/>
        <w:rPr>
          <w:lang w:val="en-US"/>
        </w:rPr>
      </w:pPr>
      <w:bookmarkStart w:id="31" w:name="_Toc191465877"/>
      <w:r w:rsidRPr="009426E0">
        <w:rPr>
          <w:lang w:val="en-US"/>
        </w:rPr>
        <w:t>2.1 Early childhood education</w:t>
      </w:r>
      <w:bookmarkEnd w:id="31"/>
    </w:p>
    <w:p w14:paraId="067B4A4F" w14:textId="77777777" w:rsidR="0072611F" w:rsidRPr="009426E0" w:rsidRDefault="0072611F" w:rsidP="0072611F">
      <w:pPr>
        <w:spacing w:after="160" w:line="259" w:lineRule="auto"/>
        <w:rPr>
          <w:lang w:val="en-US"/>
        </w:rPr>
      </w:pPr>
      <w:r w:rsidRPr="009426E0">
        <w:rPr>
          <w:lang w:val="en-US"/>
        </w:rPr>
        <w:t xml:space="preserve">There is strong evidence that children from vulnerable and low-income households benefit the most from full-time attendance at kindergarten as compared to part-time attendance (Campbell, et al., 2012; Sylva, Melhuish, Sammons, Siraj-Blatchford, &amp; Taggart, 2004). In Australia, however, family advantage factors, such as socioeconomic status and education levels, have historically predicted higher hours of kindergarten attendance (Tayler </w:t>
      </w:r>
      <w:proofErr w:type="gramStart"/>
      <w:r w:rsidRPr="009426E0">
        <w:rPr>
          <w:lang w:val="en-US"/>
        </w:rPr>
        <w:t>C. ,</w:t>
      </w:r>
      <w:proofErr w:type="gramEnd"/>
      <w:r w:rsidRPr="009426E0">
        <w:rPr>
          <w:lang w:val="en-US"/>
        </w:rPr>
        <w:t xml:space="preserve"> 2016), while disadvantaged families have been more likely to experience barriers to accessing early education (Fox &amp; Geddes, 2016). In Victoria, fee subsidies and programs such as Early Start Kindergarten are targeted at reducing these barriers and increasing participation in kindergarten before school. Funding is also provided to help kindergartens make facilities and activities more accessible to children of all abilities, and to enhance learning environments for children with disability or additional needs.</w:t>
      </w:r>
    </w:p>
    <w:p w14:paraId="42DE74CB" w14:textId="77777777" w:rsidR="0072611F" w:rsidRPr="009426E0" w:rsidRDefault="0072611F" w:rsidP="0072611F">
      <w:pPr>
        <w:spacing w:after="160" w:line="259" w:lineRule="auto"/>
        <w:rPr>
          <w:lang w:val="en-US"/>
        </w:rPr>
      </w:pPr>
      <w:r w:rsidRPr="009426E0">
        <w:rPr>
          <w:lang w:val="en-US"/>
        </w:rPr>
        <w:t xml:space="preserve">As shown in </w:t>
      </w:r>
      <w:r w:rsidRPr="009426E0">
        <w:rPr>
          <w:b/>
          <w:bCs/>
          <w:lang w:val="en-US"/>
        </w:rPr>
        <w:t>Figure 4</w:t>
      </w:r>
      <w:r w:rsidRPr="009426E0">
        <w:rPr>
          <w:lang w:val="en-US"/>
        </w:rPr>
        <w:t xml:space="preserve">, 4-year-old kindergarten participation rates remained high in Victoria over the 5 years to 2022 but experienced a small temporary decline in 2020 due to the COVID-19 pandemic. Over the same period participation was consistently higher in non-metropolitan areas than in metropolitan areas. At the local government area level, kindergarten attendance does not necessarily correlate with socioeconomic variables, with higher and lower levels of participation found across advantaged and disadvantaged areas. However, as the calculation of rates relies on population estimates derived from Australia Census data, rates for areas with smaller populations can be inaccurate or fluctuate substantially from year to year. </w:t>
      </w:r>
    </w:p>
    <w:p w14:paraId="6B335D25" w14:textId="77777777" w:rsidR="0072611F" w:rsidRPr="009426E0" w:rsidRDefault="0072611F" w:rsidP="0072611F">
      <w:pPr>
        <w:rPr>
          <w:lang w:val="en-US"/>
        </w:rPr>
      </w:pPr>
      <w:r w:rsidRPr="009426E0">
        <w:rPr>
          <w:b/>
          <w:bCs/>
          <w:lang w:val="en-US"/>
        </w:rPr>
        <w:t>Figure 4:</w:t>
      </w:r>
      <w:r w:rsidRPr="009426E0">
        <w:rPr>
          <w:lang w:val="en-US"/>
        </w:rPr>
        <w:t xml:space="preserve"> Kindergarten participation in the year before school</w:t>
      </w:r>
    </w:p>
    <w:p w14:paraId="6C993306" w14:textId="77777777" w:rsidR="00A474E9" w:rsidRPr="009426E0" w:rsidRDefault="00A474E9" w:rsidP="0072611F">
      <w:pPr>
        <w:rPr>
          <w:lang w:val="en-US"/>
        </w:rPr>
      </w:pPr>
    </w:p>
    <w:tbl>
      <w:tblPr>
        <w:tblW w:w="8648" w:type="dxa"/>
        <w:tblBorders>
          <w:bottom w:val="single" w:sz="2" w:space="0" w:color="auto"/>
          <w:insideH w:val="single" w:sz="2" w:space="0" w:color="auto"/>
        </w:tblBorders>
        <w:tblLook w:val="04A0" w:firstRow="1" w:lastRow="0" w:firstColumn="1" w:lastColumn="0" w:noHBand="0" w:noVBand="1"/>
      </w:tblPr>
      <w:tblGrid>
        <w:gridCol w:w="2268"/>
        <w:gridCol w:w="1276"/>
        <w:gridCol w:w="1276"/>
        <w:gridCol w:w="1276"/>
        <w:gridCol w:w="1276"/>
        <w:gridCol w:w="1276"/>
      </w:tblGrid>
      <w:tr w:rsidR="00A474E9" w:rsidRPr="009426E0" w14:paraId="2F1BEBAC" w14:textId="77777777" w:rsidTr="00951EEE">
        <w:trPr>
          <w:trHeight w:val="300"/>
        </w:trPr>
        <w:tc>
          <w:tcPr>
            <w:tcW w:w="2268" w:type="dxa"/>
            <w:shd w:val="clear" w:color="auto" w:fill="auto"/>
            <w:noWrap/>
            <w:hideMark/>
          </w:tcPr>
          <w:p w14:paraId="3679E730" w14:textId="77777777" w:rsidR="00A474E9" w:rsidRPr="009426E0" w:rsidRDefault="00A474E9" w:rsidP="00A474E9">
            <w:pPr>
              <w:pStyle w:val="TableHead"/>
              <w:rPr>
                <w:lang w:eastAsia="en-GB"/>
              </w:rPr>
            </w:pPr>
            <w:r w:rsidRPr="009426E0">
              <w:rPr>
                <w:lang w:eastAsia="en-GB"/>
              </w:rPr>
              <w:t> </w:t>
            </w:r>
          </w:p>
        </w:tc>
        <w:tc>
          <w:tcPr>
            <w:tcW w:w="1276" w:type="dxa"/>
            <w:tcBorders>
              <w:top w:val="nil"/>
              <w:bottom w:val="single" w:sz="2" w:space="0" w:color="auto"/>
            </w:tcBorders>
            <w:shd w:val="clear" w:color="auto" w:fill="B6E9EA" w:themeFill="accent2"/>
            <w:noWrap/>
            <w:hideMark/>
          </w:tcPr>
          <w:p w14:paraId="7DA6FB4B" w14:textId="77777777" w:rsidR="00A474E9" w:rsidRPr="009426E0" w:rsidRDefault="00A474E9" w:rsidP="00A474E9">
            <w:pPr>
              <w:pStyle w:val="TableHead"/>
              <w:jc w:val="right"/>
            </w:pPr>
            <w:r w:rsidRPr="009426E0">
              <w:t>2018</w:t>
            </w:r>
          </w:p>
        </w:tc>
        <w:tc>
          <w:tcPr>
            <w:tcW w:w="1276" w:type="dxa"/>
            <w:tcBorders>
              <w:top w:val="nil"/>
              <w:bottom w:val="single" w:sz="2" w:space="0" w:color="auto"/>
            </w:tcBorders>
            <w:shd w:val="clear" w:color="auto" w:fill="B6E9EA" w:themeFill="accent2"/>
            <w:noWrap/>
            <w:hideMark/>
          </w:tcPr>
          <w:p w14:paraId="0A036ACE" w14:textId="77777777" w:rsidR="00A474E9" w:rsidRPr="009426E0" w:rsidRDefault="00A474E9" w:rsidP="00A474E9">
            <w:pPr>
              <w:pStyle w:val="TableHead"/>
              <w:jc w:val="right"/>
            </w:pPr>
            <w:r w:rsidRPr="009426E0">
              <w:t>2019</w:t>
            </w:r>
          </w:p>
        </w:tc>
        <w:tc>
          <w:tcPr>
            <w:tcW w:w="1276" w:type="dxa"/>
            <w:tcBorders>
              <w:top w:val="nil"/>
              <w:bottom w:val="single" w:sz="2" w:space="0" w:color="auto"/>
            </w:tcBorders>
            <w:shd w:val="clear" w:color="auto" w:fill="B6E9EA" w:themeFill="accent2"/>
            <w:noWrap/>
            <w:hideMark/>
          </w:tcPr>
          <w:p w14:paraId="40250C5F" w14:textId="77777777" w:rsidR="00A474E9" w:rsidRPr="009426E0" w:rsidRDefault="00A474E9" w:rsidP="00A474E9">
            <w:pPr>
              <w:pStyle w:val="TableHead"/>
              <w:jc w:val="right"/>
            </w:pPr>
            <w:r w:rsidRPr="009426E0">
              <w:t>2020</w:t>
            </w:r>
          </w:p>
        </w:tc>
        <w:tc>
          <w:tcPr>
            <w:tcW w:w="1276" w:type="dxa"/>
            <w:tcBorders>
              <w:top w:val="nil"/>
              <w:bottom w:val="single" w:sz="2" w:space="0" w:color="auto"/>
            </w:tcBorders>
            <w:shd w:val="clear" w:color="auto" w:fill="B6E9EA" w:themeFill="accent2"/>
            <w:noWrap/>
            <w:hideMark/>
          </w:tcPr>
          <w:p w14:paraId="68586071" w14:textId="77777777" w:rsidR="00A474E9" w:rsidRPr="009426E0" w:rsidRDefault="00A474E9" w:rsidP="00A474E9">
            <w:pPr>
              <w:pStyle w:val="TableHead"/>
              <w:jc w:val="right"/>
            </w:pPr>
            <w:r w:rsidRPr="009426E0">
              <w:t>2021</w:t>
            </w:r>
          </w:p>
        </w:tc>
        <w:tc>
          <w:tcPr>
            <w:tcW w:w="1276" w:type="dxa"/>
            <w:tcBorders>
              <w:top w:val="nil"/>
              <w:bottom w:val="single" w:sz="2" w:space="0" w:color="auto"/>
            </w:tcBorders>
            <w:shd w:val="clear" w:color="auto" w:fill="B6E9EA" w:themeFill="accent2"/>
            <w:noWrap/>
            <w:hideMark/>
          </w:tcPr>
          <w:p w14:paraId="2178B747" w14:textId="77777777" w:rsidR="00A474E9" w:rsidRPr="009426E0" w:rsidRDefault="00A474E9" w:rsidP="00A474E9">
            <w:pPr>
              <w:pStyle w:val="TableHead"/>
              <w:jc w:val="right"/>
            </w:pPr>
            <w:r w:rsidRPr="009426E0">
              <w:t>2022</w:t>
            </w:r>
          </w:p>
        </w:tc>
      </w:tr>
      <w:tr w:rsidR="00A474E9" w:rsidRPr="009426E0" w14:paraId="626094DE" w14:textId="77777777" w:rsidTr="00951EEE">
        <w:trPr>
          <w:trHeight w:val="300"/>
        </w:trPr>
        <w:tc>
          <w:tcPr>
            <w:tcW w:w="2268" w:type="dxa"/>
            <w:shd w:val="clear" w:color="auto" w:fill="B6E9EA" w:themeFill="accent2"/>
            <w:noWrap/>
            <w:hideMark/>
          </w:tcPr>
          <w:p w14:paraId="5D2CE6E5" w14:textId="77777777" w:rsidR="00A474E9" w:rsidRPr="009426E0" w:rsidRDefault="00A474E9" w:rsidP="00A474E9">
            <w:pPr>
              <w:pStyle w:val="TableHead"/>
              <w:rPr>
                <w:lang w:eastAsia="en-GB"/>
              </w:rPr>
            </w:pPr>
            <w:r w:rsidRPr="009426E0">
              <w:rPr>
                <w:lang w:eastAsia="en-GB"/>
              </w:rPr>
              <w:t>Non-Metropolitan</w:t>
            </w:r>
          </w:p>
        </w:tc>
        <w:tc>
          <w:tcPr>
            <w:tcW w:w="1276" w:type="dxa"/>
            <w:tcBorders>
              <w:top w:val="single" w:sz="2" w:space="0" w:color="auto"/>
            </w:tcBorders>
            <w:shd w:val="clear" w:color="auto" w:fill="auto"/>
            <w:noWrap/>
            <w:hideMark/>
          </w:tcPr>
          <w:p w14:paraId="1EA2CEFD" w14:textId="312DD340" w:rsidR="00A474E9" w:rsidRPr="009426E0" w:rsidRDefault="00A474E9" w:rsidP="00A474E9">
            <w:pPr>
              <w:pStyle w:val="Tablebody"/>
              <w:jc w:val="right"/>
              <w:rPr>
                <w:lang w:eastAsia="en-GB"/>
              </w:rPr>
            </w:pPr>
            <w:r w:rsidRPr="009426E0">
              <w:rPr>
                <w:lang w:eastAsia="en-GB"/>
              </w:rPr>
              <w:t>96.1%</w:t>
            </w:r>
          </w:p>
        </w:tc>
        <w:tc>
          <w:tcPr>
            <w:tcW w:w="1276" w:type="dxa"/>
            <w:tcBorders>
              <w:top w:val="single" w:sz="2" w:space="0" w:color="auto"/>
            </w:tcBorders>
            <w:shd w:val="clear" w:color="auto" w:fill="auto"/>
            <w:noWrap/>
            <w:hideMark/>
          </w:tcPr>
          <w:p w14:paraId="66EB73AF" w14:textId="212A30CB" w:rsidR="00A474E9" w:rsidRPr="009426E0" w:rsidRDefault="00A474E9" w:rsidP="00A474E9">
            <w:pPr>
              <w:pStyle w:val="Tablebody"/>
              <w:jc w:val="right"/>
              <w:rPr>
                <w:lang w:eastAsia="en-GB"/>
              </w:rPr>
            </w:pPr>
            <w:r w:rsidRPr="009426E0">
              <w:rPr>
                <w:lang w:eastAsia="en-GB"/>
              </w:rPr>
              <w:t>97.3%</w:t>
            </w:r>
          </w:p>
        </w:tc>
        <w:tc>
          <w:tcPr>
            <w:tcW w:w="1276" w:type="dxa"/>
            <w:tcBorders>
              <w:top w:val="single" w:sz="2" w:space="0" w:color="auto"/>
            </w:tcBorders>
            <w:shd w:val="clear" w:color="auto" w:fill="auto"/>
            <w:noWrap/>
            <w:hideMark/>
          </w:tcPr>
          <w:p w14:paraId="71C1EE1E" w14:textId="649AD952" w:rsidR="00A474E9" w:rsidRPr="009426E0" w:rsidRDefault="00A474E9" w:rsidP="00A474E9">
            <w:pPr>
              <w:pStyle w:val="Tablebody"/>
              <w:jc w:val="right"/>
              <w:rPr>
                <w:lang w:eastAsia="en-GB"/>
              </w:rPr>
            </w:pPr>
            <w:r w:rsidRPr="009426E0">
              <w:rPr>
                <w:lang w:eastAsia="en-GB"/>
              </w:rPr>
              <w:t>92.2%</w:t>
            </w:r>
          </w:p>
        </w:tc>
        <w:tc>
          <w:tcPr>
            <w:tcW w:w="1276" w:type="dxa"/>
            <w:tcBorders>
              <w:top w:val="single" w:sz="2" w:space="0" w:color="auto"/>
            </w:tcBorders>
            <w:shd w:val="clear" w:color="auto" w:fill="auto"/>
            <w:noWrap/>
            <w:hideMark/>
          </w:tcPr>
          <w:p w14:paraId="37D8E42B" w14:textId="65C08478" w:rsidR="00A474E9" w:rsidRPr="009426E0" w:rsidRDefault="00A474E9" w:rsidP="00A474E9">
            <w:pPr>
              <w:pStyle w:val="Tablebody"/>
              <w:jc w:val="right"/>
              <w:rPr>
                <w:lang w:eastAsia="en-GB"/>
              </w:rPr>
            </w:pPr>
            <w:r w:rsidRPr="009426E0">
              <w:rPr>
                <w:lang w:eastAsia="en-GB"/>
              </w:rPr>
              <w:t>98.0%</w:t>
            </w:r>
          </w:p>
        </w:tc>
        <w:tc>
          <w:tcPr>
            <w:tcW w:w="1276" w:type="dxa"/>
            <w:tcBorders>
              <w:top w:val="single" w:sz="2" w:space="0" w:color="auto"/>
            </w:tcBorders>
            <w:shd w:val="clear" w:color="auto" w:fill="auto"/>
            <w:noWrap/>
            <w:hideMark/>
          </w:tcPr>
          <w:p w14:paraId="16B6156C" w14:textId="0C0BA7AB" w:rsidR="00A474E9" w:rsidRPr="009426E0" w:rsidRDefault="00A474E9" w:rsidP="00A474E9">
            <w:pPr>
              <w:pStyle w:val="Tablebody"/>
              <w:jc w:val="right"/>
              <w:rPr>
                <w:lang w:eastAsia="en-GB"/>
              </w:rPr>
            </w:pPr>
            <w:r w:rsidRPr="009426E0">
              <w:rPr>
                <w:lang w:eastAsia="en-GB"/>
              </w:rPr>
              <w:t>95.9%</w:t>
            </w:r>
          </w:p>
        </w:tc>
      </w:tr>
      <w:tr w:rsidR="00A474E9" w:rsidRPr="009426E0" w14:paraId="5A85D4BA" w14:textId="77777777" w:rsidTr="00951EEE">
        <w:trPr>
          <w:trHeight w:val="300"/>
        </w:trPr>
        <w:tc>
          <w:tcPr>
            <w:tcW w:w="2268" w:type="dxa"/>
            <w:shd w:val="clear" w:color="auto" w:fill="B6E9EA" w:themeFill="accent2"/>
            <w:noWrap/>
            <w:hideMark/>
          </w:tcPr>
          <w:p w14:paraId="2E3BF12D" w14:textId="77777777" w:rsidR="00A474E9" w:rsidRPr="009426E0" w:rsidRDefault="00A474E9" w:rsidP="00A474E9">
            <w:pPr>
              <w:pStyle w:val="TableHead"/>
              <w:rPr>
                <w:lang w:eastAsia="en-GB"/>
              </w:rPr>
            </w:pPr>
            <w:r w:rsidRPr="009426E0">
              <w:rPr>
                <w:lang w:eastAsia="en-GB"/>
              </w:rPr>
              <w:t>Metropolitan</w:t>
            </w:r>
          </w:p>
        </w:tc>
        <w:tc>
          <w:tcPr>
            <w:tcW w:w="1276" w:type="dxa"/>
            <w:shd w:val="clear" w:color="auto" w:fill="auto"/>
            <w:noWrap/>
            <w:hideMark/>
          </w:tcPr>
          <w:p w14:paraId="4CA00DBC" w14:textId="460DF985" w:rsidR="00A474E9" w:rsidRPr="009426E0" w:rsidRDefault="00A474E9" w:rsidP="00A474E9">
            <w:pPr>
              <w:pStyle w:val="Tablebody"/>
              <w:jc w:val="right"/>
              <w:rPr>
                <w:lang w:eastAsia="en-GB"/>
              </w:rPr>
            </w:pPr>
            <w:r w:rsidRPr="009426E0">
              <w:rPr>
                <w:lang w:eastAsia="en-GB"/>
              </w:rPr>
              <w:t>91.3%</w:t>
            </w:r>
          </w:p>
        </w:tc>
        <w:tc>
          <w:tcPr>
            <w:tcW w:w="1276" w:type="dxa"/>
            <w:shd w:val="clear" w:color="auto" w:fill="auto"/>
            <w:noWrap/>
            <w:hideMark/>
          </w:tcPr>
          <w:p w14:paraId="333BBC97" w14:textId="6A9EAE8A" w:rsidR="00A474E9" w:rsidRPr="009426E0" w:rsidRDefault="00A474E9" w:rsidP="00A474E9">
            <w:pPr>
              <w:pStyle w:val="Tablebody"/>
              <w:jc w:val="right"/>
              <w:rPr>
                <w:lang w:eastAsia="en-GB"/>
              </w:rPr>
            </w:pPr>
            <w:r w:rsidRPr="009426E0">
              <w:rPr>
                <w:lang w:eastAsia="en-GB"/>
              </w:rPr>
              <w:t>90.4%</w:t>
            </w:r>
          </w:p>
        </w:tc>
        <w:tc>
          <w:tcPr>
            <w:tcW w:w="1276" w:type="dxa"/>
            <w:shd w:val="clear" w:color="auto" w:fill="auto"/>
            <w:noWrap/>
            <w:hideMark/>
          </w:tcPr>
          <w:p w14:paraId="15BEB7C9" w14:textId="238FFBED" w:rsidR="00A474E9" w:rsidRPr="009426E0" w:rsidRDefault="00A474E9" w:rsidP="00A474E9">
            <w:pPr>
              <w:pStyle w:val="Tablebody"/>
              <w:jc w:val="right"/>
              <w:rPr>
                <w:lang w:eastAsia="en-GB"/>
              </w:rPr>
            </w:pPr>
            <w:r w:rsidRPr="009426E0">
              <w:rPr>
                <w:lang w:eastAsia="en-GB"/>
              </w:rPr>
              <w:t>88.5%</w:t>
            </w:r>
          </w:p>
        </w:tc>
        <w:tc>
          <w:tcPr>
            <w:tcW w:w="1276" w:type="dxa"/>
            <w:shd w:val="clear" w:color="auto" w:fill="auto"/>
            <w:noWrap/>
            <w:hideMark/>
          </w:tcPr>
          <w:p w14:paraId="509D6612" w14:textId="25A6D37A" w:rsidR="00A474E9" w:rsidRPr="009426E0" w:rsidRDefault="00A474E9" w:rsidP="00A474E9">
            <w:pPr>
              <w:pStyle w:val="Tablebody"/>
              <w:jc w:val="right"/>
              <w:rPr>
                <w:lang w:eastAsia="en-GB"/>
              </w:rPr>
            </w:pPr>
            <w:r w:rsidRPr="009426E0">
              <w:rPr>
                <w:lang w:eastAsia="en-GB"/>
              </w:rPr>
              <w:t>91.7%</w:t>
            </w:r>
          </w:p>
        </w:tc>
        <w:tc>
          <w:tcPr>
            <w:tcW w:w="1276" w:type="dxa"/>
            <w:shd w:val="clear" w:color="auto" w:fill="auto"/>
            <w:noWrap/>
            <w:hideMark/>
          </w:tcPr>
          <w:p w14:paraId="4161A864" w14:textId="362C1560" w:rsidR="00A474E9" w:rsidRPr="009426E0" w:rsidRDefault="00A474E9" w:rsidP="00A474E9">
            <w:pPr>
              <w:pStyle w:val="Tablebody"/>
              <w:jc w:val="right"/>
              <w:rPr>
                <w:lang w:eastAsia="en-GB"/>
              </w:rPr>
            </w:pPr>
            <w:r w:rsidRPr="009426E0">
              <w:rPr>
                <w:lang w:eastAsia="en-GB"/>
              </w:rPr>
              <w:t>90.5%</w:t>
            </w:r>
          </w:p>
        </w:tc>
      </w:tr>
    </w:tbl>
    <w:p w14:paraId="2C8946A2" w14:textId="77777777" w:rsidR="0072611F" w:rsidRPr="009426E0" w:rsidRDefault="0072611F" w:rsidP="0072611F">
      <w:pPr>
        <w:spacing w:after="160" w:line="259" w:lineRule="auto"/>
        <w:rPr>
          <w:i/>
          <w:iCs/>
          <w:lang w:val="en-US"/>
        </w:rPr>
      </w:pPr>
      <w:r w:rsidRPr="009426E0">
        <w:rPr>
          <w:b/>
          <w:bCs/>
          <w:i/>
          <w:iCs/>
          <w:lang w:val="en-US"/>
        </w:rPr>
        <w:t>Source:</w:t>
      </w:r>
      <w:r w:rsidRPr="009426E0">
        <w:rPr>
          <w:i/>
          <w:iCs/>
          <w:lang w:val="en-US"/>
        </w:rPr>
        <w:t xml:space="preserve"> Children enrolled in Victorian government funded kindergarten services (Department of Education, 2023)  </w:t>
      </w:r>
    </w:p>
    <w:p w14:paraId="296787CD" w14:textId="77777777" w:rsidR="0072611F" w:rsidRPr="009426E0" w:rsidRDefault="0072611F" w:rsidP="0072611F">
      <w:pPr>
        <w:spacing w:after="160" w:line="259" w:lineRule="auto"/>
        <w:rPr>
          <w:lang w:val="en-US"/>
        </w:rPr>
      </w:pPr>
    </w:p>
    <w:p w14:paraId="03D179E0" w14:textId="77777777" w:rsidR="0072611F" w:rsidRPr="009426E0" w:rsidRDefault="0072611F" w:rsidP="0072611F">
      <w:pPr>
        <w:pStyle w:val="Heading1"/>
        <w:rPr>
          <w:lang w:val="en-US"/>
        </w:rPr>
      </w:pPr>
      <w:bookmarkStart w:id="32" w:name="_Toc185920981"/>
      <w:bookmarkStart w:id="33" w:name="_Toc191465878"/>
      <w:r w:rsidRPr="009426E0">
        <w:rPr>
          <w:lang w:val="en-US"/>
        </w:rPr>
        <w:t>Meeting local needs</w:t>
      </w:r>
      <w:bookmarkEnd w:id="32"/>
      <w:bookmarkEnd w:id="33"/>
    </w:p>
    <w:p w14:paraId="163D34E9" w14:textId="77777777" w:rsidR="0072611F" w:rsidRPr="009426E0" w:rsidRDefault="0072611F" w:rsidP="0072611F">
      <w:pPr>
        <w:pStyle w:val="Heading2"/>
        <w:rPr>
          <w:lang w:val="en-US"/>
        </w:rPr>
      </w:pPr>
      <w:bookmarkStart w:id="34" w:name="_Toc191465879"/>
      <w:r w:rsidRPr="009426E0">
        <w:rPr>
          <w:lang w:val="en-US"/>
        </w:rPr>
        <w:t>School Readiness Funding</w:t>
      </w:r>
      <w:bookmarkEnd w:id="34"/>
      <w:r w:rsidRPr="009426E0">
        <w:rPr>
          <w:lang w:val="en-US"/>
        </w:rPr>
        <w:t xml:space="preserve">  </w:t>
      </w:r>
    </w:p>
    <w:p w14:paraId="45237A67" w14:textId="77777777" w:rsidR="0072611F" w:rsidRPr="009426E0" w:rsidRDefault="0072611F" w:rsidP="0072611F">
      <w:pPr>
        <w:spacing w:after="160" w:line="259" w:lineRule="auto"/>
        <w:rPr>
          <w:lang w:val="en-US"/>
        </w:rPr>
      </w:pPr>
      <w:r w:rsidRPr="009426E0">
        <w:rPr>
          <w:lang w:val="en-US"/>
        </w:rPr>
        <w:t>School Readiness Funding is an ongoing component of the Victorian kindergarten funding model that services can use to enhance kindergarten programs and improve outcomes for children, particularly those more likely to experience educational disadvantage. Funding is needs-based and informed by the parental occupation and education of the children attending the service. Kindergarten services spend their School Readiness Funding allocation on items from a menu of evidence-informed programs and supports, which align with the priority areas of Communication (language development), Wellbeing (social and emotional), and Access and Inclusion.</w:t>
      </w:r>
    </w:p>
    <w:p w14:paraId="7D1B9E40" w14:textId="77777777" w:rsidR="0072611F" w:rsidRPr="009426E0" w:rsidRDefault="0072611F" w:rsidP="0072611F">
      <w:pPr>
        <w:spacing w:after="160" w:line="259" w:lineRule="auto"/>
        <w:rPr>
          <w:lang w:val="en-US"/>
        </w:rPr>
      </w:pPr>
      <w:r w:rsidRPr="009426E0">
        <w:rPr>
          <w:lang w:val="en-US"/>
        </w:rPr>
        <w:t>Services that receive more than $5,000 in School Readiness Funding will have a portion of their funding allocated to allied health sessions. Allied health professionals will collaborate with educators, families, and children in the kindergarten service to address the service’s identified needs and goals, and to build on existing skills and improve outcomes for children. Different areas of the state show different preferences for how these sessions are used as determined by local needs. In 2021 and 2022, for example, services in non-metropolitan areas spent a higher proportion of their allied health sessions on speech pathology compared to those in metropolitan areas.</w:t>
      </w:r>
    </w:p>
    <w:p w14:paraId="2792FF7A" w14:textId="77777777" w:rsidR="0072611F" w:rsidRPr="009426E0" w:rsidRDefault="0072611F" w:rsidP="0072611F">
      <w:pPr>
        <w:spacing w:after="160" w:line="259" w:lineRule="auto"/>
        <w:rPr>
          <w:lang w:val="en-US"/>
        </w:rPr>
      </w:pPr>
      <w:r w:rsidRPr="009426E0">
        <w:rPr>
          <w:lang w:val="en-US"/>
        </w:rPr>
        <w:t xml:space="preserve">In 2022, kindergarten service providers were asked to evaluate the impact of School Readiness Funding, available menu items, and the allied health allocation (if applicable). Between 89% and 100% of providers in </w:t>
      </w:r>
      <w:r w:rsidRPr="009426E0">
        <w:rPr>
          <w:lang w:val="en-US"/>
        </w:rPr>
        <w:lastRenderedPageBreak/>
        <w:t xml:space="preserve">each of the Department of Education’s 17 operational areas reported that at least some knowledge and skills development outcomes were met by the program, and between 64% and 92% of providers in each area reporting that all outcomes were met or exceeded. </w:t>
      </w:r>
    </w:p>
    <w:p w14:paraId="4D5FB978" w14:textId="77777777" w:rsidR="0072611F" w:rsidRPr="009426E0" w:rsidRDefault="0072611F" w:rsidP="0072611F">
      <w:pPr>
        <w:spacing w:after="160" w:line="259" w:lineRule="auto"/>
        <w:rPr>
          <w:lang w:val="en-US"/>
        </w:rPr>
      </w:pPr>
      <w:r w:rsidRPr="009426E0">
        <w:rPr>
          <w:lang w:val="en-US"/>
        </w:rPr>
        <w:t>It has been found that, after controlling for student characteristics, children who attended kindergartens in receipt of School Readiness Funding performed better in reading tests and were less likely to be absent in their first year of school, as compared to the children who attended the same kindergartens before School Readiness Funding was available.</w:t>
      </w:r>
    </w:p>
    <w:p w14:paraId="6C5B1BBD" w14:textId="77777777" w:rsidR="0072611F" w:rsidRPr="009426E0" w:rsidRDefault="0072611F" w:rsidP="0072611F">
      <w:pPr>
        <w:pStyle w:val="Heading2"/>
        <w:rPr>
          <w:lang w:val="en-US"/>
        </w:rPr>
      </w:pPr>
      <w:bookmarkStart w:id="35" w:name="_Toc191465880"/>
      <w:r w:rsidRPr="009426E0">
        <w:rPr>
          <w:lang w:val="en-US"/>
        </w:rPr>
        <w:t>Ready, Set, Prep!</w:t>
      </w:r>
      <w:bookmarkEnd w:id="35"/>
      <w:r w:rsidRPr="009426E0">
        <w:rPr>
          <w:lang w:val="en-US"/>
        </w:rPr>
        <w:t xml:space="preserve"> </w:t>
      </w:r>
    </w:p>
    <w:p w14:paraId="7E44181E" w14:textId="77777777" w:rsidR="0072611F" w:rsidRPr="009426E0" w:rsidRDefault="0072611F" w:rsidP="0072611F">
      <w:pPr>
        <w:spacing w:after="160" w:line="259" w:lineRule="auto"/>
        <w:rPr>
          <w:lang w:val="en-US"/>
        </w:rPr>
      </w:pPr>
      <w:r w:rsidRPr="009426E0">
        <w:rPr>
          <w:i/>
          <w:iCs/>
          <w:lang w:val="en-US"/>
        </w:rPr>
        <w:t>Ready, Set, Prep!</w:t>
      </w:r>
      <w:r w:rsidRPr="009426E0">
        <w:rPr>
          <w:lang w:val="en-US"/>
        </w:rPr>
        <w:t xml:space="preserve"> is a community initiative aimed at improving school readiness, health, and educational outcomes for children in the culturally diverse suburb of </w:t>
      </w:r>
      <w:proofErr w:type="spellStart"/>
      <w:r w:rsidRPr="009426E0">
        <w:rPr>
          <w:lang w:val="en-US"/>
        </w:rPr>
        <w:t>Fawkner</w:t>
      </w:r>
      <w:proofErr w:type="spellEnd"/>
      <w:r w:rsidRPr="009426E0">
        <w:rPr>
          <w:lang w:val="en-US"/>
        </w:rPr>
        <w:t xml:space="preserve">. The initiative was established in response to the 2015 Australian Early Development Census which showed that in </w:t>
      </w:r>
      <w:proofErr w:type="spellStart"/>
      <w:r w:rsidRPr="009426E0">
        <w:rPr>
          <w:lang w:val="en-US"/>
        </w:rPr>
        <w:t>Fawkner</w:t>
      </w:r>
      <w:proofErr w:type="spellEnd"/>
      <w:r w:rsidRPr="009426E0">
        <w:rPr>
          <w:lang w:val="en-US"/>
        </w:rPr>
        <w:t xml:space="preserve"> the proportion of children starting school vulnerable in one or more developmental domains was significantly higher than the state average. Schools in the area also reported high rates of late school enrolment, and a substantial number of students arriving at school on their first day not having enrolled or attended a transition to school session. </w:t>
      </w:r>
    </w:p>
    <w:p w14:paraId="155E3DD9" w14:textId="77777777" w:rsidR="0072611F" w:rsidRPr="009426E0" w:rsidRDefault="0072611F" w:rsidP="0072611F">
      <w:pPr>
        <w:spacing w:after="160" w:line="259" w:lineRule="auto"/>
        <w:rPr>
          <w:lang w:val="en-US"/>
        </w:rPr>
      </w:pPr>
      <w:r w:rsidRPr="009426E0">
        <w:rPr>
          <w:lang w:val="en-US"/>
        </w:rPr>
        <w:t>Merri Health, in partnership with Merri-</w:t>
      </w:r>
      <w:proofErr w:type="spellStart"/>
      <w:r w:rsidRPr="009426E0">
        <w:rPr>
          <w:lang w:val="en-US"/>
        </w:rPr>
        <w:t>bek</w:t>
      </w:r>
      <w:proofErr w:type="spellEnd"/>
      <w:r w:rsidRPr="009426E0">
        <w:rPr>
          <w:lang w:val="en-US"/>
        </w:rPr>
        <w:t xml:space="preserve"> City Council and with funding from the Department of Health and Human Services, worked to strengthen relationships between kindergartens, primary schools, early years services and other community services. Weekly educational sessions for parents and guardians of pre-school aged children were rolled out to local schools. Following these efforts, the percentage of developmentally vulnerable children in </w:t>
      </w:r>
      <w:proofErr w:type="spellStart"/>
      <w:r w:rsidRPr="009426E0">
        <w:rPr>
          <w:lang w:val="en-US"/>
        </w:rPr>
        <w:t>Fawkner</w:t>
      </w:r>
      <w:proofErr w:type="spellEnd"/>
      <w:r w:rsidRPr="009426E0">
        <w:rPr>
          <w:lang w:val="en-US"/>
        </w:rPr>
        <w:t xml:space="preserve"> dropped from 36.6% in 2015 to 25.5% in 2018. </w:t>
      </w:r>
    </w:p>
    <w:p w14:paraId="5B77668D" w14:textId="77777777" w:rsidR="0072611F" w:rsidRPr="009426E0" w:rsidRDefault="0072611F" w:rsidP="0072611F">
      <w:pPr>
        <w:spacing w:after="160" w:line="259" w:lineRule="auto"/>
        <w:rPr>
          <w:lang w:val="en-US"/>
        </w:rPr>
      </w:pPr>
      <w:r w:rsidRPr="009426E0">
        <w:rPr>
          <w:lang w:val="en-US"/>
        </w:rPr>
        <w:t xml:space="preserve">In 2021, kindergarten attendance rates were impacted by the COVID-19 lockdowns and Australian Early Development Census data showed increasing rates of vulnerability. Building on the efforts of </w:t>
      </w:r>
      <w:r w:rsidRPr="009426E0">
        <w:rPr>
          <w:i/>
          <w:iCs/>
          <w:lang w:val="en-US"/>
        </w:rPr>
        <w:t xml:space="preserve">Ready, Set </w:t>
      </w:r>
      <w:proofErr w:type="gramStart"/>
      <w:r w:rsidRPr="009426E0">
        <w:rPr>
          <w:i/>
          <w:iCs/>
          <w:lang w:val="en-US"/>
        </w:rPr>
        <w:t>Prep!,</w:t>
      </w:r>
      <w:proofErr w:type="gramEnd"/>
      <w:r w:rsidRPr="009426E0">
        <w:rPr>
          <w:lang w:val="en-US"/>
        </w:rPr>
        <w:t xml:space="preserve"> City of Merri-</w:t>
      </w:r>
      <w:proofErr w:type="spellStart"/>
      <w:r w:rsidRPr="009426E0">
        <w:rPr>
          <w:lang w:val="en-US"/>
        </w:rPr>
        <w:t>bek</w:t>
      </w:r>
      <w:proofErr w:type="spellEnd"/>
      <w:r w:rsidRPr="009426E0">
        <w:rPr>
          <w:lang w:val="en-US"/>
        </w:rPr>
        <w:t xml:space="preserve"> service providers were able to respond to these changes. Supported by School Readiness Funding from the Department of Education, Merri Health worked collaboratively with kindergartens, providing multidisciplinary and evidence-based support to meet local needs. Initiatives included the employment of community workers and community champions from different language and cultural backgrounds to support children’s attendance at maternal and child health checks, and school readiness sessions. </w:t>
      </w:r>
    </w:p>
    <w:p w14:paraId="0EA61C52" w14:textId="77777777" w:rsidR="0072611F" w:rsidRPr="009426E0" w:rsidRDefault="0072611F" w:rsidP="0072611F">
      <w:pPr>
        <w:spacing w:after="160" w:line="259" w:lineRule="auto"/>
        <w:rPr>
          <w:lang w:val="en-US"/>
        </w:rPr>
      </w:pPr>
    </w:p>
    <w:p w14:paraId="15993B40" w14:textId="77777777" w:rsidR="0072611F" w:rsidRPr="009426E0" w:rsidRDefault="0072611F" w:rsidP="0072611F">
      <w:pPr>
        <w:pStyle w:val="Heading2"/>
        <w:rPr>
          <w:lang w:val="en-US"/>
        </w:rPr>
      </w:pPr>
      <w:bookmarkStart w:id="36" w:name="_Toc191465881"/>
      <w:r w:rsidRPr="009426E0">
        <w:rPr>
          <w:lang w:val="en-US"/>
        </w:rPr>
        <w:t>LOOKOUT Early Childhood Learning Advisors</w:t>
      </w:r>
      <w:bookmarkEnd w:id="36"/>
    </w:p>
    <w:p w14:paraId="3282C857" w14:textId="77777777" w:rsidR="0072611F" w:rsidRPr="009426E0" w:rsidRDefault="0072611F" w:rsidP="0072611F">
      <w:pPr>
        <w:spacing w:after="160" w:line="259" w:lineRule="auto"/>
        <w:rPr>
          <w:lang w:val="en-US"/>
        </w:rPr>
      </w:pPr>
      <w:r w:rsidRPr="009426E0">
        <w:rPr>
          <w:lang w:val="en-US"/>
        </w:rPr>
        <w:t>The LOOKOUT program was established in 2016 to improve the educational outcomes for school-aged children in out-of-home care. In 2018, 13 early childhood advisers joined the program to work with local governments, kindergartens, and maternal and child health nurses to better support children in out-of-home care before they start school. These advisors facilitate and monitor children’s participation in 2 years of high-quality kindergarten, promote Early Start Kindergarten, and facilitate the transition to school.</w:t>
      </w:r>
    </w:p>
    <w:p w14:paraId="5E4C6D06" w14:textId="77777777" w:rsidR="0072611F" w:rsidRPr="009426E0" w:rsidRDefault="0072611F" w:rsidP="0072611F">
      <w:pPr>
        <w:spacing w:after="160" w:line="259" w:lineRule="auto"/>
        <w:rPr>
          <w:lang w:val="en-US"/>
        </w:rPr>
      </w:pPr>
      <w:r w:rsidRPr="009426E0">
        <w:rPr>
          <w:lang w:val="en-US"/>
        </w:rPr>
        <w:t>The Victorian Budget 2022-23 provided $20.9 million to continue early intervention for vulnerable children, including funding for the Early Childhood LOOKOUT, Access to Early Learning programs, and to expand the Kindergarten Fee Subsidy to all children known to child protection and those from refugee and asylum seeker backgrounds.</w:t>
      </w:r>
    </w:p>
    <w:p w14:paraId="34FF5A98" w14:textId="77777777" w:rsidR="0072611F" w:rsidRPr="009426E0" w:rsidRDefault="0072611F" w:rsidP="0072611F">
      <w:pPr>
        <w:pStyle w:val="Heading2"/>
        <w:rPr>
          <w:lang w:val="en-US"/>
        </w:rPr>
      </w:pPr>
      <w:bookmarkStart w:id="37" w:name="_Toc191465882"/>
      <w:r w:rsidRPr="009426E0">
        <w:rPr>
          <w:lang w:val="en-US"/>
        </w:rPr>
        <w:t>2.2 School education</w:t>
      </w:r>
      <w:bookmarkEnd w:id="37"/>
    </w:p>
    <w:p w14:paraId="434343C6" w14:textId="77777777" w:rsidR="0072611F" w:rsidRPr="009426E0" w:rsidRDefault="0072611F" w:rsidP="0072611F">
      <w:pPr>
        <w:spacing w:after="160" w:line="259" w:lineRule="auto"/>
        <w:rPr>
          <w:lang w:val="en-US"/>
        </w:rPr>
      </w:pPr>
      <w:r w:rsidRPr="009426E0">
        <w:rPr>
          <w:lang w:val="en-US"/>
        </w:rPr>
        <w:t>Literacy is a foundational skill for participation in education, employment, and civic life. Students with high levels of literacy are more likely to complete school (Curtis &amp; McMillan, 2008), undertake further education, and have a wider range of employment opportunities available to them (</w:t>
      </w:r>
      <w:proofErr w:type="spellStart"/>
      <w:r w:rsidRPr="009426E0">
        <w:rPr>
          <w:lang w:val="en-US"/>
        </w:rPr>
        <w:t>Shomos</w:t>
      </w:r>
      <w:proofErr w:type="spellEnd"/>
      <w:r w:rsidRPr="009426E0">
        <w:rPr>
          <w:lang w:val="en-US"/>
        </w:rPr>
        <w:t xml:space="preserve"> &amp; Forbes, 2014). In Australia, both skilled and unskilled employment require relatively high levels of literacy as compared to other countries (OECD, 2016).</w:t>
      </w:r>
    </w:p>
    <w:p w14:paraId="068BD282" w14:textId="77777777" w:rsidR="0072611F" w:rsidRPr="009426E0" w:rsidRDefault="0072611F" w:rsidP="0072611F">
      <w:pPr>
        <w:spacing w:after="160" w:line="259" w:lineRule="auto"/>
        <w:rPr>
          <w:lang w:val="en-US"/>
        </w:rPr>
      </w:pPr>
      <w:r w:rsidRPr="009426E0">
        <w:rPr>
          <w:lang w:val="en-US"/>
        </w:rPr>
        <w:t xml:space="preserve">Student literacy achievement is known to be influenced by individual characteristics, teaching quality (Hattie, 2009), and negative experiences such as bullying (Thomson, Hillman, Schmid, Rodrigues, &amp; Fullarton, 2017). However, other important variables include the quality of resources available in the home learning environment from an early age, family background and cultural capital, parental education levels, and </w:t>
      </w:r>
      <w:r w:rsidRPr="009426E0">
        <w:rPr>
          <w:lang w:val="en-US"/>
        </w:rPr>
        <w:lastRenderedPageBreak/>
        <w:t xml:space="preserve">parental aspirations for their children’s education, all of which are highly interrelated and are associated with socioeconomic status (Niklas, Tayler, &amp; Schneider, 2015; Crampton &amp; Hall, 2017; Tayler, Zubrick, &amp; Christensen, 2016; Walker &amp; Berthelsen, 2010).   </w:t>
      </w:r>
    </w:p>
    <w:p w14:paraId="3D1774F5" w14:textId="77777777" w:rsidR="0072611F" w:rsidRPr="009426E0" w:rsidRDefault="0072611F" w:rsidP="0072611F">
      <w:pPr>
        <w:spacing w:after="160" w:line="259" w:lineRule="auto"/>
        <w:rPr>
          <w:lang w:val="en-US"/>
        </w:rPr>
      </w:pPr>
      <w:r w:rsidRPr="009426E0">
        <w:rPr>
          <w:lang w:val="en-US"/>
        </w:rPr>
        <w:t xml:space="preserve">Victoria’s overall performance in </w:t>
      </w:r>
      <w:proofErr w:type="spellStart"/>
      <w:r w:rsidRPr="009426E0">
        <w:rPr>
          <w:lang w:val="en-US"/>
        </w:rPr>
        <w:t>standardised</w:t>
      </w:r>
      <w:proofErr w:type="spellEnd"/>
      <w:r w:rsidRPr="009426E0">
        <w:rPr>
          <w:lang w:val="en-US"/>
        </w:rPr>
        <w:t xml:space="preserve"> achievement testing is strong, with NAPLAN results among top performing Australian states and territories. Reading at primary school year levels </w:t>
      </w:r>
      <w:proofErr w:type="gramStart"/>
      <w:r w:rsidRPr="009426E0">
        <w:rPr>
          <w:lang w:val="en-US"/>
        </w:rPr>
        <w:t>shows</w:t>
      </w:r>
      <w:proofErr w:type="gramEnd"/>
      <w:r w:rsidRPr="009426E0">
        <w:rPr>
          <w:lang w:val="en-US"/>
        </w:rPr>
        <w:t xml:space="preserve"> a long-term trend of improvement with statewide results in 2021 and 2022 being the highest since testing begun in 2008.</w:t>
      </w:r>
      <w:r w:rsidRPr="009426E0">
        <w:rPr>
          <w:vertAlign w:val="superscript"/>
          <w:lang w:val="en-US"/>
        </w:rPr>
        <w:footnoteReference w:id="1"/>
      </w:r>
      <w:r w:rsidRPr="009426E0">
        <w:rPr>
          <w:lang w:val="en-US"/>
        </w:rPr>
        <w:t xml:space="preserve">  There are, however, achievement gaps in NAPLAN Reading for cohorts including Aboriginal students, students with low parental education levels, and male students as compared to female students. </w:t>
      </w:r>
    </w:p>
    <w:p w14:paraId="47EEA987" w14:textId="77777777" w:rsidR="0072611F" w:rsidRPr="009426E0" w:rsidRDefault="0072611F" w:rsidP="0072611F">
      <w:pPr>
        <w:spacing w:after="160" w:line="259" w:lineRule="auto"/>
        <w:rPr>
          <w:lang w:val="en-US"/>
        </w:rPr>
      </w:pPr>
      <w:r w:rsidRPr="009426E0">
        <w:rPr>
          <w:b/>
          <w:bCs/>
          <w:lang w:val="en-US"/>
        </w:rPr>
        <w:t xml:space="preserve">Figure 5 </w:t>
      </w:r>
      <w:r w:rsidRPr="009426E0">
        <w:rPr>
          <w:lang w:val="en-US"/>
        </w:rPr>
        <w:t xml:space="preserve">below shows trends in NAPLAN Reading mean scores for Year 5 students by geographic location, with those in metropolitan areas having higher average Reading scores than those living in non-metropolitan areas.  </w:t>
      </w:r>
      <w:r w:rsidRPr="009426E0">
        <w:rPr>
          <w:b/>
          <w:bCs/>
          <w:lang w:val="en-US"/>
        </w:rPr>
        <w:t>Figure 6</w:t>
      </w:r>
      <w:r w:rsidRPr="009426E0">
        <w:rPr>
          <w:lang w:val="en-US"/>
        </w:rPr>
        <w:t xml:space="preserve"> demonstrates the relationship between socioeconomic status and literacy, comparing local government areas by their Index of Relative Socioeconomic Advantage and Disadvantage, and students’ achievement in NAPLAN Year 9 Reading. Higher levels of socioeconomic advantage are associated with higher average Reading scores, and higher levels of disadvantage are associated with lower average Reading scores. </w:t>
      </w:r>
    </w:p>
    <w:p w14:paraId="5F77A9CD" w14:textId="77777777" w:rsidR="001F326D" w:rsidRPr="009426E0" w:rsidRDefault="001F326D" w:rsidP="0072611F">
      <w:pPr>
        <w:spacing w:after="160" w:line="259" w:lineRule="auto"/>
        <w:rPr>
          <w:lang w:val="en-US"/>
        </w:rPr>
      </w:pPr>
    </w:p>
    <w:p w14:paraId="6C5B049B" w14:textId="4D452E84" w:rsidR="000160F9" w:rsidRPr="009426E0" w:rsidRDefault="0072611F" w:rsidP="003F7C19">
      <w:pPr>
        <w:pStyle w:val="Figuretitle"/>
        <w:rPr>
          <w:lang w:val="en-US"/>
        </w:rPr>
      </w:pPr>
      <w:r w:rsidRPr="009426E0">
        <w:rPr>
          <w:bCs/>
          <w:lang w:val="en-US"/>
        </w:rPr>
        <w:t>Figure 5:</w:t>
      </w:r>
      <w:r w:rsidRPr="009426E0">
        <w:rPr>
          <w:lang w:val="en-US"/>
        </w:rPr>
        <w:t xml:space="preserve"> Year 5 Reading scores by geographic location, 2016 to 2022</w:t>
      </w:r>
    </w:p>
    <w:tbl>
      <w:tblPr>
        <w:tblW w:w="9508" w:type="dxa"/>
        <w:tblBorders>
          <w:bottom w:val="single" w:sz="2" w:space="0" w:color="auto"/>
          <w:insideH w:val="single" w:sz="2" w:space="0" w:color="auto"/>
        </w:tblBorders>
        <w:tblLook w:val="04A0" w:firstRow="1" w:lastRow="0" w:firstColumn="1" w:lastColumn="0" w:noHBand="0" w:noVBand="1"/>
      </w:tblPr>
      <w:tblGrid>
        <w:gridCol w:w="1976"/>
        <w:gridCol w:w="1076"/>
        <w:gridCol w:w="1076"/>
        <w:gridCol w:w="1076"/>
        <w:gridCol w:w="1076"/>
        <w:gridCol w:w="1076"/>
        <w:gridCol w:w="1076"/>
        <w:gridCol w:w="1076"/>
      </w:tblGrid>
      <w:tr w:rsidR="000160F9" w:rsidRPr="009426E0" w14:paraId="61FA0C6E" w14:textId="77777777" w:rsidTr="000160F9">
        <w:trPr>
          <w:trHeight w:val="300"/>
        </w:trPr>
        <w:tc>
          <w:tcPr>
            <w:tcW w:w="1976" w:type="dxa"/>
            <w:shd w:val="clear" w:color="auto" w:fill="auto"/>
            <w:noWrap/>
            <w:vAlign w:val="bottom"/>
            <w:hideMark/>
          </w:tcPr>
          <w:p w14:paraId="39FDE11E" w14:textId="77777777" w:rsidR="000160F9" w:rsidRPr="009426E0" w:rsidRDefault="000160F9" w:rsidP="000160F9">
            <w:pPr>
              <w:pStyle w:val="Tablebody"/>
            </w:pPr>
          </w:p>
        </w:tc>
        <w:tc>
          <w:tcPr>
            <w:tcW w:w="1076" w:type="dxa"/>
            <w:shd w:val="clear" w:color="auto" w:fill="B6E9EA" w:themeFill="accent2"/>
            <w:noWrap/>
            <w:vAlign w:val="bottom"/>
            <w:hideMark/>
          </w:tcPr>
          <w:p w14:paraId="5BB20CE5" w14:textId="77777777" w:rsidR="000160F9" w:rsidRPr="009426E0" w:rsidRDefault="000160F9" w:rsidP="000160F9">
            <w:pPr>
              <w:pStyle w:val="TableHead"/>
              <w:jc w:val="right"/>
            </w:pPr>
            <w:r w:rsidRPr="009426E0">
              <w:t>2016</w:t>
            </w:r>
          </w:p>
        </w:tc>
        <w:tc>
          <w:tcPr>
            <w:tcW w:w="1076" w:type="dxa"/>
            <w:shd w:val="clear" w:color="auto" w:fill="B6E9EA" w:themeFill="accent2"/>
            <w:noWrap/>
            <w:vAlign w:val="bottom"/>
            <w:hideMark/>
          </w:tcPr>
          <w:p w14:paraId="58A59497" w14:textId="77777777" w:rsidR="000160F9" w:rsidRPr="009426E0" w:rsidRDefault="000160F9" w:rsidP="000160F9">
            <w:pPr>
              <w:pStyle w:val="TableHead"/>
              <w:jc w:val="right"/>
            </w:pPr>
            <w:r w:rsidRPr="009426E0">
              <w:t>2017</w:t>
            </w:r>
          </w:p>
        </w:tc>
        <w:tc>
          <w:tcPr>
            <w:tcW w:w="1076" w:type="dxa"/>
            <w:shd w:val="clear" w:color="auto" w:fill="B6E9EA" w:themeFill="accent2"/>
            <w:noWrap/>
            <w:vAlign w:val="bottom"/>
            <w:hideMark/>
          </w:tcPr>
          <w:p w14:paraId="6342582B" w14:textId="77777777" w:rsidR="000160F9" w:rsidRPr="009426E0" w:rsidRDefault="000160F9" w:rsidP="000160F9">
            <w:pPr>
              <w:pStyle w:val="TableHead"/>
              <w:jc w:val="right"/>
            </w:pPr>
            <w:r w:rsidRPr="009426E0">
              <w:t>2018</w:t>
            </w:r>
          </w:p>
        </w:tc>
        <w:tc>
          <w:tcPr>
            <w:tcW w:w="1076" w:type="dxa"/>
            <w:shd w:val="clear" w:color="auto" w:fill="B6E9EA" w:themeFill="accent2"/>
            <w:noWrap/>
            <w:vAlign w:val="bottom"/>
            <w:hideMark/>
          </w:tcPr>
          <w:p w14:paraId="033D585F" w14:textId="77777777" w:rsidR="000160F9" w:rsidRPr="009426E0" w:rsidRDefault="000160F9" w:rsidP="000160F9">
            <w:pPr>
              <w:pStyle w:val="TableHead"/>
              <w:jc w:val="right"/>
            </w:pPr>
            <w:r w:rsidRPr="009426E0">
              <w:t>2019</w:t>
            </w:r>
          </w:p>
        </w:tc>
        <w:tc>
          <w:tcPr>
            <w:tcW w:w="1076" w:type="dxa"/>
            <w:shd w:val="clear" w:color="auto" w:fill="B6E9EA" w:themeFill="accent2"/>
            <w:noWrap/>
            <w:vAlign w:val="bottom"/>
            <w:hideMark/>
          </w:tcPr>
          <w:p w14:paraId="6373D375" w14:textId="77777777" w:rsidR="000160F9" w:rsidRPr="009426E0" w:rsidRDefault="000160F9" w:rsidP="000160F9">
            <w:pPr>
              <w:pStyle w:val="TableHead"/>
              <w:jc w:val="right"/>
            </w:pPr>
            <w:r w:rsidRPr="009426E0">
              <w:t>2020</w:t>
            </w:r>
          </w:p>
        </w:tc>
        <w:tc>
          <w:tcPr>
            <w:tcW w:w="1076" w:type="dxa"/>
            <w:shd w:val="clear" w:color="auto" w:fill="B6E9EA" w:themeFill="accent2"/>
            <w:noWrap/>
            <w:vAlign w:val="bottom"/>
            <w:hideMark/>
          </w:tcPr>
          <w:p w14:paraId="6D840A04" w14:textId="77777777" w:rsidR="000160F9" w:rsidRPr="009426E0" w:rsidRDefault="000160F9" w:rsidP="000160F9">
            <w:pPr>
              <w:pStyle w:val="TableHead"/>
              <w:jc w:val="right"/>
            </w:pPr>
            <w:r w:rsidRPr="009426E0">
              <w:t>2021</w:t>
            </w:r>
          </w:p>
        </w:tc>
        <w:tc>
          <w:tcPr>
            <w:tcW w:w="1076" w:type="dxa"/>
            <w:shd w:val="clear" w:color="auto" w:fill="B6E9EA" w:themeFill="accent2"/>
            <w:noWrap/>
            <w:vAlign w:val="bottom"/>
            <w:hideMark/>
          </w:tcPr>
          <w:p w14:paraId="7D813C7A" w14:textId="77777777" w:rsidR="000160F9" w:rsidRPr="009426E0" w:rsidRDefault="000160F9" w:rsidP="000160F9">
            <w:pPr>
              <w:pStyle w:val="TableHead"/>
              <w:jc w:val="right"/>
            </w:pPr>
            <w:r w:rsidRPr="009426E0">
              <w:t>2022</w:t>
            </w:r>
          </w:p>
        </w:tc>
      </w:tr>
      <w:tr w:rsidR="000160F9" w:rsidRPr="009426E0" w14:paraId="154E8C90" w14:textId="77777777" w:rsidTr="000160F9">
        <w:trPr>
          <w:trHeight w:val="300"/>
        </w:trPr>
        <w:tc>
          <w:tcPr>
            <w:tcW w:w="1976" w:type="dxa"/>
            <w:shd w:val="clear" w:color="auto" w:fill="auto"/>
            <w:noWrap/>
            <w:vAlign w:val="bottom"/>
            <w:hideMark/>
          </w:tcPr>
          <w:p w14:paraId="50BBB865" w14:textId="77777777" w:rsidR="000160F9" w:rsidRPr="009426E0" w:rsidRDefault="000160F9" w:rsidP="000160F9">
            <w:pPr>
              <w:pStyle w:val="TableHead"/>
            </w:pPr>
            <w:r w:rsidRPr="009426E0">
              <w:t>Major cities</w:t>
            </w:r>
          </w:p>
        </w:tc>
        <w:tc>
          <w:tcPr>
            <w:tcW w:w="1076" w:type="dxa"/>
            <w:shd w:val="clear" w:color="auto" w:fill="auto"/>
            <w:noWrap/>
            <w:vAlign w:val="bottom"/>
            <w:hideMark/>
          </w:tcPr>
          <w:p w14:paraId="4C9DCBC3" w14:textId="77777777" w:rsidR="000160F9" w:rsidRPr="009426E0" w:rsidRDefault="000160F9" w:rsidP="000160F9">
            <w:pPr>
              <w:pStyle w:val="Tablebody"/>
              <w:jc w:val="right"/>
            </w:pPr>
            <w:r w:rsidRPr="009426E0">
              <w:t>515.2</w:t>
            </w:r>
          </w:p>
        </w:tc>
        <w:tc>
          <w:tcPr>
            <w:tcW w:w="1076" w:type="dxa"/>
            <w:shd w:val="clear" w:color="auto" w:fill="auto"/>
            <w:noWrap/>
            <w:vAlign w:val="bottom"/>
            <w:hideMark/>
          </w:tcPr>
          <w:p w14:paraId="5C9EE635" w14:textId="77777777" w:rsidR="000160F9" w:rsidRPr="009426E0" w:rsidRDefault="000160F9" w:rsidP="000160F9">
            <w:pPr>
              <w:pStyle w:val="Tablebody"/>
              <w:jc w:val="right"/>
            </w:pPr>
            <w:r w:rsidRPr="009426E0">
              <w:t>518.6</w:t>
            </w:r>
          </w:p>
        </w:tc>
        <w:tc>
          <w:tcPr>
            <w:tcW w:w="1076" w:type="dxa"/>
            <w:shd w:val="clear" w:color="auto" w:fill="auto"/>
            <w:noWrap/>
            <w:vAlign w:val="bottom"/>
            <w:hideMark/>
          </w:tcPr>
          <w:p w14:paraId="56F26E72" w14:textId="77777777" w:rsidR="000160F9" w:rsidRPr="009426E0" w:rsidRDefault="000160F9" w:rsidP="000160F9">
            <w:pPr>
              <w:pStyle w:val="Tablebody"/>
              <w:jc w:val="right"/>
            </w:pPr>
            <w:r w:rsidRPr="009426E0">
              <w:t>523.2</w:t>
            </w:r>
          </w:p>
        </w:tc>
        <w:tc>
          <w:tcPr>
            <w:tcW w:w="1076" w:type="dxa"/>
            <w:shd w:val="clear" w:color="auto" w:fill="auto"/>
            <w:noWrap/>
            <w:vAlign w:val="bottom"/>
            <w:hideMark/>
          </w:tcPr>
          <w:p w14:paraId="2D83FA89" w14:textId="77777777" w:rsidR="000160F9" w:rsidRPr="009426E0" w:rsidRDefault="000160F9" w:rsidP="000160F9">
            <w:pPr>
              <w:pStyle w:val="Tablebody"/>
              <w:jc w:val="right"/>
            </w:pPr>
            <w:r w:rsidRPr="009426E0">
              <w:t>518.6</w:t>
            </w:r>
          </w:p>
        </w:tc>
        <w:tc>
          <w:tcPr>
            <w:tcW w:w="1076" w:type="dxa"/>
            <w:shd w:val="clear" w:color="auto" w:fill="auto"/>
            <w:noWrap/>
            <w:vAlign w:val="bottom"/>
            <w:hideMark/>
          </w:tcPr>
          <w:p w14:paraId="3B2F1B8F" w14:textId="3EB8CEF5" w:rsidR="000160F9" w:rsidRPr="009426E0" w:rsidRDefault="000160F9" w:rsidP="000160F9">
            <w:pPr>
              <w:pStyle w:val="Tablebody"/>
              <w:jc w:val="right"/>
            </w:pPr>
            <w:r w:rsidRPr="009426E0">
              <w:t>-</w:t>
            </w:r>
          </w:p>
        </w:tc>
        <w:tc>
          <w:tcPr>
            <w:tcW w:w="1076" w:type="dxa"/>
            <w:shd w:val="clear" w:color="auto" w:fill="auto"/>
            <w:noWrap/>
            <w:vAlign w:val="bottom"/>
            <w:hideMark/>
          </w:tcPr>
          <w:p w14:paraId="194102DC" w14:textId="77777777" w:rsidR="000160F9" w:rsidRPr="009426E0" w:rsidRDefault="000160F9" w:rsidP="000160F9">
            <w:pPr>
              <w:pStyle w:val="Tablebody"/>
              <w:jc w:val="right"/>
            </w:pPr>
            <w:r w:rsidRPr="009426E0">
              <w:t>525.8</w:t>
            </w:r>
          </w:p>
        </w:tc>
        <w:tc>
          <w:tcPr>
            <w:tcW w:w="1076" w:type="dxa"/>
            <w:shd w:val="clear" w:color="auto" w:fill="auto"/>
            <w:noWrap/>
            <w:vAlign w:val="bottom"/>
            <w:hideMark/>
          </w:tcPr>
          <w:p w14:paraId="6E177774" w14:textId="77777777" w:rsidR="000160F9" w:rsidRPr="009426E0" w:rsidRDefault="000160F9" w:rsidP="000160F9">
            <w:pPr>
              <w:pStyle w:val="Tablebody"/>
              <w:jc w:val="right"/>
            </w:pPr>
            <w:r w:rsidRPr="009426E0">
              <w:t>523.1</w:t>
            </w:r>
          </w:p>
        </w:tc>
      </w:tr>
      <w:tr w:rsidR="000160F9" w:rsidRPr="009426E0" w14:paraId="1CE32061" w14:textId="77777777" w:rsidTr="000160F9">
        <w:trPr>
          <w:trHeight w:val="300"/>
        </w:trPr>
        <w:tc>
          <w:tcPr>
            <w:tcW w:w="1976" w:type="dxa"/>
            <w:shd w:val="clear" w:color="auto" w:fill="auto"/>
            <w:noWrap/>
            <w:vAlign w:val="bottom"/>
            <w:hideMark/>
          </w:tcPr>
          <w:p w14:paraId="017327B0" w14:textId="77777777" w:rsidR="000160F9" w:rsidRPr="009426E0" w:rsidRDefault="000160F9" w:rsidP="000160F9">
            <w:pPr>
              <w:pStyle w:val="TableHead"/>
            </w:pPr>
            <w:r w:rsidRPr="009426E0">
              <w:t>Inner regional</w:t>
            </w:r>
          </w:p>
        </w:tc>
        <w:tc>
          <w:tcPr>
            <w:tcW w:w="1076" w:type="dxa"/>
            <w:shd w:val="clear" w:color="auto" w:fill="auto"/>
            <w:noWrap/>
            <w:vAlign w:val="bottom"/>
            <w:hideMark/>
          </w:tcPr>
          <w:p w14:paraId="39C64755" w14:textId="77777777" w:rsidR="000160F9" w:rsidRPr="009426E0" w:rsidRDefault="000160F9" w:rsidP="000160F9">
            <w:pPr>
              <w:pStyle w:val="Tablebody"/>
              <w:jc w:val="right"/>
            </w:pPr>
            <w:r w:rsidRPr="009426E0">
              <w:t>499.7</w:t>
            </w:r>
          </w:p>
        </w:tc>
        <w:tc>
          <w:tcPr>
            <w:tcW w:w="1076" w:type="dxa"/>
            <w:shd w:val="clear" w:color="auto" w:fill="auto"/>
            <w:noWrap/>
            <w:vAlign w:val="bottom"/>
            <w:hideMark/>
          </w:tcPr>
          <w:p w14:paraId="06AB4ACB" w14:textId="77777777" w:rsidR="000160F9" w:rsidRPr="009426E0" w:rsidRDefault="000160F9" w:rsidP="000160F9">
            <w:pPr>
              <w:pStyle w:val="Tablebody"/>
              <w:jc w:val="right"/>
            </w:pPr>
            <w:r w:rsidRPr="009426E0">
              <w:t>503.1</w:t>
            </w:r>
          </w:p>
        </w:tc>
        <w:tc>
          <w:tcPr>
            <w:tcW w:w="1076" w:type="dxa"/>
            <w:shd w:val="clear" w:color="auto" w:fill="auto"/>
            <w:noWrap/>
            <w:vAlign w:val="bottom"/>
            <w:hideMark/>
          </w:tcPr>
          <w:p w14:paraId="7461148D" w14:textId="77777777" w:rsidR="000160F9" w:rsidRPr="009426E0" w:rsidRDefault="000160F9" w:rsidP="000160F9">
            <w:pPr>
              <w:pStyle w:val="Tablebody"/>
              <w:jc w:val="right"/>
            </w:pPr>
            <w:r w:rsidRPr="009426E0">
              <w:t>510.4</w:t>
            </w:r>
          </w:p>
        </w:tc>
        <w:tc>
          <w:tcPr>
            <w:tcW w:w="1076" w:type="dxa"/>
            <w:shd w:val="clear" w:color="auto" w:fill="auto"/>
            <w:noWrap/>
            <w:vAlign w:val="bottom"/>
            <w:hideMark/>
          </w:tcPr>
          <w:p w14:paraId="4B5E5803" w14:textId="77777777" w:rsidR="000160F9" w:rsidRPr="009426E0" w:rsidRDefault="000160F9" w:rsidP="000160F9">
            <w:pPr>
              <w:pStyle w:val="Tablebody"/>
              <w:jc w:val="right"/>
            </w:pPr>
            <w:r w:rsidRPr="009426E0">
              <w:t>504.0</w:t>
            </w:r>
          </w:p>
        </w:tc>
        <w:tc>
          <w:tcPr>
            <w:tcW w:w="1076" w:type="dxa"/>
            <w:shd w:val="clear" w:color="auto" w:fill="auto"/>
            <w:noWrap/>
            <w:vAlign w:val="bottom"/>
            <w:hideMark/>
          </w:tcPr>
          <w:p w14:paraId="7D634F6A" w14:textId="52E86F3C" w:rsidR="000160F9" w:rsidRPr="009426E0" w:rsidRDefault="000160F9" w:rsidP="000160F9">
            <w:pPr>
              <w:pStyle w:val="Tablebody"/>
              <w:jc w:val="right"/>
            </w:pPr>
            <w:r w:rsidRPr="009426E0">
              <w:t>-</w:t>
            </w:r>
          </w:p>
        </w:tc>
        <w:tc>
          <w:tcPr>
            <w:tcW w:w="1076" w:type="dxa"/>
            <w:shd w:val="clear" w:color="auto" w:fill="auto"/>
            <w:noWrap/>
            <w:vAlign w:val="bottom"/>
            <w:hideMark/>
          </w:tcPr>
          <w:p w14:paraId="65EA9E06" w14:textId="77777777" w:rsidR="000160F9" w:rsidRPr="009426E0" w:rsidRDefault="000160F9" w:rsidP="000160F9">
            <w:pPr>
              <w:pStyle w:val="Tablebody"/>
              <w:jc w:val="right"/>
            </w:pPr>
            <w:r w:rsidRPr="009426E0">
              <w:t>509.5</w:t>
            </w:r>
          </w:p>
        </w:tc>
        <w:tc>
          <w:tcPr>
            <w:tcW w:w="1076" w:type="dxa"/>
            <w:shd w:val="clear" w:color="auto" w:fill="auto"/>
            <w:noWrap/>
            <w:vAlign w:val="bottom"/>
            <w:hideMark/>
          </w:tcPr>
          <w:p w14:paraId="74BD4A95" w14:textId="77777777" w:rsidR="000160F9" w:rsidRPr="009426E0" w:rsidRDefault="000160F9" w:rsidP="000160F9">
            <w:pPr>
              <w:pStyle w:val="Tablebody"/>
              <w:jc w:val="right"/>
            </w:pPr>
            <w:r w:rsidRPr="009426E0">
              <w:t>507.0</w:t>
            </w:r>
          </w:p>
        </w:tc>
      </w:tr>
      <w:tr w:rsidR="000160F9" w:rsidRPr="009426E0" w14:paraId="5D2E68AE" w14:textId="77777777" w:rsidTr="000160F9">
        <w:trPr>
          <w:trHeight w:val="300"/>
        </w:trPr>
        <w:tc>
          <w:tcPr>
            <w:tcW w:w="1976" w:type="dxa"/>
            <w:shd w:val="clear" w:color="auto" w:fill="auto"/>
            <w:noWrap/>
            <w:vAlign w:val="bottom"/>
            <w:hideMark/>
          </w:tcPr>
          <w:p w14:paraId="505DF298" w14:textId="77777777" w:rsidR="000160F9" w:rsidRPr="009426E0" w:rsidRDefault="000160F9" w:rsidP="000160F9">
            <w:pPr>
              <w:pStyle w:val="TableHead"/>
            </w:pPr>
            <w:r w:rsidRPr="009426E0">
              <w:t>Outer regional</w:t>
            </w:r>
          </w:p>
        </w:tc>
        <w:tc>
          <w:tcPr>
            <w:tcW w:w="1076" w:type="dxa"/>
            <w:shd w:val="clear" w:color="auto" w:fill="auto"/>
            <w:noWrap/>
            <w:vAlign w:val="bottom"/>
            <w:hideMark/>
          </w:tcPr>
          <w:p w14:paraId="3F308464" w14:textId="77777777" w:rsidR="000160F9" w:rsidRPr="009426E0" w:rsidRDefault="000160F9" w:rsidP="000160F9">
            <w:pPr>
              <w:pStyle w:val="Tablebody"/>
              <w:jc w:val="right"/>
            </w:pPr>
            <w:r w:rsidRPr="009426E0">
              <w:t>493.6</w:t>
            </w:r>
          </w:p>
        </w:tc>
        <w:tc>
          <w:tcPr>
            <w:tcW w:w="1076" w:type="dxa"/>
            <w:shd w:val="clear" w:color="auto" w:fill="auto"/>
            <w:noWrap/>
            <w:vAlign w:val="bottom"/>
            <w:hideMark/>
          </w:tcPr>
          <w:p w14:paraId="4353BBA2" w14:textId="77777777" w:rsidR="000160F9" w:rsidRPr="009426E0" w:rsidRDefault="000160F9" w:rsidP="000160F9">
            <w:pPr>
              <w:pStyle w:val="Tablebody"/>
              <w:jc w:val="right"/>
            </w:pPr>
            <w:r w:rsidRPr="009426E0">
              <w:t>501.6</w:t>
            </w:r>
          </w:p>
        </w:tc>
        <w:tc>
          <w:tcPr>
            <w:tcW w:w="1076" w:type="dxa"/>
            <w:shd w:val="clear" w:color="auto" w:fill="auto"/>
            <w:noWrap/>
            <w:vAlign w:val="bottom"/>
            <w:hideMark/>
          </w:tcPr>
          <w:p w14:paraId="7E51FE61" w14:textId="77777777" w:rsidR="000160F9" w:rsidRPr="009426E0" w:rsidRDefault="000160F9" w:rsidP="000160F9">
            <w:pPr>
              <w:pStyle w:val="Tablebody"/>
              <w:jc w:val="right"/>
            </w:pPr>
            <w:r w:rsidRPr="009426E0">
              <w:t>507.3</w:t>
            </w:r>
          </w:p>
        </w:tc>
        <w:tc>
          <w:tcPr>
            <w:tcW w:w="1076" w:type="dxa"/>
            <w:shd w:val="clear" w:color="auto" w:fill="auto"/>
            <w:noWrap/>
            <w:vAlign w:val="bottom"/>
            <w:hideMark/>
          </w:tcPr>
          <w:p w14:paraId="2A98C8D9" w14:textId="77777777" w:rsidR="000160F9" w:rsidRPr="009426E0" w:rsidRDefault="000160F9" w:rsidP="000160F9">
            <w:pPr>
              <w:pStyle w:val="Tablebody"/>
              <w:jc w:val="right"/>
            </w:pPr>
            <w:r w:rsidRPr="009426E0">
              <w:t>501.1</w:t>
            </w:r>
          </w:p>
        </w:tc>
        <w:tc>
          <w:tcPr>
            <w:tcW w:w="1076" w:type="dxa"/>
            <w:shd w:val="clear" w:color="auto" w:fill="auto"/>
            <w:noWrap/>
            <w:vAlign w:val="bottom"/>
            <w:hideMark/>
          </w:tcPr>
          <w:p w14:paraId="425DFF2E" w14:textId="3A002FA8" w:rsidR="000160F9" w:rsidRPr="009426E0" w:rsidRDefault="000160F9" w:rsidP="000160F9">
            <w:pPr>
              <w:pStyle w:val="Tablebody"/>
              <w:jc w:val="right"/>
            </w:pPr>
            <w:r w:rsidRPr="009426E0">
              <w:t>-</w:t>
            </w:r>
          </w:p>
        </w:tc>
        <w:tc>
          <w:tcPr>
            <w:tcW w:w="1076" w:type="dxa"/>
            <w:shd w:val="clear" w:color="auto" w:fill="auto"/>
            <w:noWrap/>
            <w:vAlign w:val="bottom"/>
            <w:hideMark/>
          </w:tcPr>
          <w:p w14:paraId="2B135317" w14:textId="77777777" w:rsidR="000160F9" w:rsidRPr="009426E0" w:rsidRDefault="000160F9" w:rsidP="000160F9">
            <w:pPr>
              <w:pStyle w:val="Tablebody"/>
              <w:jc w:val="right"/>
            </w:pPr>
            <w:r w:rsidRPr="009426E0">
              <w:t>508.2</w:t>
            </w:r>
          </w:p>
        </w:tc>
        <w:tc>
          <w:tcPr>
            <w:tcW w:w="1076" w:type="dxa"/>
            <w:shd w:val="clear" w:color="auto" w:fill="auto"/>
            <w:noWrap/>
            <w:vAlign w:val="bottom"/>
            <w:hideMark/>
          </w:tcPr>
          <w:p w14:paraId="1F6768DB" w14:textId="77777777" w:rsidR="000160F9" w:rsidRPr="009426E0" w:rsidRDefault="000160F9" w:rsidP="000160F9">
            <w:pPr>
              <w:pStyle w:val="Tablebody"/>
              <w:jc w:val="right"/>
            </w:pPr>
            <w:r w:rsidRPr="009426E0">
              <w:t>502.3</w:t>
            </w:r>
          </w:p>
        </w:tc>
      </w:tr>
    </w:tbl>
    <w:p w14:paraId="25638CFB" w14:textId="77777777" w:rsidR="0072611F" w:rsidRPr="009426E0" w:rsidRDefault="0072611F" w:rsidP="0072611F">
      <w:pPr>
        <w:spacing w:after="160" w:line="259" w:lineRule="auto"/>
        <w:rPr>
          <w:b/>
          <w:bCs/>
          <w:i/>
          <w:iCs/>
          <w:lang w:val="en-US"/>
        </w:rPr>
      </w:pPr>
      <w:r w:rsidRPr="009426E0">
        <w:rPr>
          <w:b/>
          <w:bCs/>
          <w:i/>
          <w:iCs/>
          <w:lang w:val="en-US"/>
        </w:rPr>
        <w:t>Source:</w:t>
      </w:r>
      <w:r w:rsidRPr="009426E0">
        <w:rPr>
          <w:i/>
          <w:iCs/>
          <w:lang w:val="en-US"/>
        </w:rPr>
        <w:t xml:space="preserve"> NAPLAN Year 5 Reading mean scores (Department of Education, 2023)</w:t>
      </w:r>
      <w:r w:rsidRPr="009426E0">
        <w:rPr>
          <w:i/>
          <w:iCs/>
          <w:lang w:val="en-US"/>
        </w:rPr>
        <w:br/>
      </w:r>
      <w:r w:rsidRPr="009426E0">
        <w:rPr>
          <w:b/>
          <w:bCs/>
          <w:i/>
          <w:iCs/>
          <w:lang w:val="en-US"/>
        </w:rPr>
        <w:t xml:space="preserve">Note: </w:t>
      </w:r>
      <w:r w:rsidRPr="009426E0">
        <w:rPr>
          <w:i/>
          <w:iCs/>
          <w:lang w:val="en-US"/>
        </w:rPr>
        <w:t>NAPLAN testing was not conducted in 2020 due to the COVID-19 pandemic</w:t>
      </w:r>
      <w:r w:rsidRPr="009426E0">
        <w:rPr>
          <w:b/>
          <w:bCs/>
          <w:i/>
          <w:iCs/>
          <w:lang w:val="en-US"/>
        </w:rPr>
        <w:t xml:space="preserve"> </w:t>
      </w:r>
    </w:p>
    <w:p w14:paraId="28AB845F" w14:textId="77777777" w:rsidR="00BF1C27" w:rsidRPr="009426E0" w:rsidRDefault="00BF1C27" w:rsidP="0072611F">
      <w:pPr>
        <w:spacing w:after="160" w:line="259" w:lineRule="auto"/>
        <w:rPr>
          <w:b/>
          <w:bCs/>
          <w:i/>
          <w:iCs/>
          <w:lang w:val="en-US"/>
        </w:rPr>
      </w:pPr>
    </w:p>
    <w:p w14:paraId="1660B577" w14:textId="0247859D" w:rsidR="00BD232B" w:rsidRPr="009426E0" w:rsidRDefault="0072611F" w:rsidP="00BF1C27">
      <w:pPr>
        <w:pStyle w:val="Figuretitle"/>
        <w:rPr>
          <w:lang w:val="en-US"/>
        </w:rPr>
      </w:pPr>
      <w:r w:rsidRPr="009426E0">
        <w:rPr>
          <w:bCs/>
          <w:lang w:val="en-US"/>
        </w:rPr>
        <w:lastRenderedPageBreak/>
        <w:t>Figure 6:</w:t>
      </w:r>
      <w:r w:rsidRPr="009426E0">
        <w:rPr>
          <w:lang w:val="en-US"/>
        </w:rPr>
        <w:t xml:space="preserve"> Year 9 Reading scores by local government area socioeconomic advantage/disadvantage, 2022</w:t>
      </w:r>
    </w:p>
    <w:p w14:paraId="132A98D5" w14:textId="77777777" w:rsidR="00581646" w:rsidRPr="009426E0" w:rsidRDefault="00581646" w:rsidP="00BF1C27">
      <w:pPr>
        <w:pStyle w:val="Figuretitle"/>
        <w:rPr>
          <w:lang w:val="en-US"/>
        </w:rPr>
      </w:pPr>
    </w:p>
    <w:p w14:paraId="03044444" w14:textId="185CB34D" w:rsidR="00581646" w:rsidRPr="009426E0" w:rsidRDefault="00581646" w:rsidP="00BF1C27">
      <w:pPr>
        <w:pStyle w:val="Figuretitle"/>
        <w:rPr>
          <w:lang w:val="en-US"/>
        </w:rPr>
      </w:pPr>
      <w:r w:rsidRPr="009426E0">
        <w:rPr>
          <w:noProof/>
          <w:lang w:val="en-US"/>
        </w:rPr>
        <w:drawing>
          <wp:inline distT="0" distB="0" distL="0" distR="0" wp14:anchorId="37575E26" wp14:editId="45389ABF">
            <wp:extent cx="6116320" cy="4079240"/>
            <wp:effectExtent l="0" t="0" r="0" b="0"/>
            <wp:docPr id="566271071" name="Picture 2" descr="A chart showing students' average NAPLAN Reading scores against the socioeconomic advantage or disadvantage of their local government area. &#10;&#10;The chart shows that on average children from areas with higher levels of disadvantage have lower scores, while children from areas of higher advantage are more likely to have higher sco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271071" name="Picture 2" descr="A chart showing students' average NAPLAN Reading scores against the socioeconomic advantage or disadvantage of their local government area. &#10;&#10;The chart shows that on average children from areas with higher levels of disadvantage have lower scores, while children from areas of higher advantage are more likely to have higher scores."/>
                    <pic:cNvPicPr/>
                  </pic:nvPicPr>
                  <pic:blipFill>
                    <a:blip r:embed="rId14">
                      <a:extLst>
                        <a:ext uri="{28A0092B-C50C-407E-A947-70E740481C1C}">
                          <a14:useLocalDpi xmlns:a14="http://schemas.microsoft.com/office/drawing/2010/main" val="0"/>
                        </a:ext>
                      </a:extLst>
                    </a:blip>
                    <a:stretch>
                      <a:fillRect/>
                    </a:stretch>
                  </pic:blipFill>
                  <pic:spPr>
                    <a:xfrm>
                      <a:off x="0" y="0"/>
                      <a:ext cx="6116320" cy="4079240"/>
                    </a:xfrm>
                    <a:prstGeom prst="rect">
                      <a:avLst/>
                    </a:prstGeom>
                  </pic:spPr>
                </pic:pic>
              </a:graphicData>
            </a:graphic>
          </wp:inline>
        </w:drawing>
      </w:r>
    </w:p>
    <w:p w14:paraId="4319D253" w14:textId="77777777" w:rsidR="0072611F" w:rsidRPr="009426E0" w:rsidRDefault="0072611F" w:rsidP="0072611F">
      <w:pPr>
        <w:rPr>
          <w:i/>
          <w:iCs/>
          <w:lang w:val="en-US"/>
        </w:rPr>
      </w:pPr>
      <w:r w:rsidRPr="009426E0">
        <w:rPr>
          <w:b/>
          <w:bCs/>
          <w:i/>
          <w:iCs/>
          <w:lang w:val="en-US"/>
        </w:rPr>
        <w:t xml:space="preserve">Source: </w:t>
      </w:r>
      <w:r w:rsidRPr="009426E0">
        <w:rPr>
          <w:i/>
          <w:iCs/>
          <w:lang w:val="en-US"/>
        </w:rPr>
        <w:t>NAPLAN Year 9 Reading mean scores (Victorian Curriculum and Assessment Authority, 2023); Index of Relative Socioeconomic Advantage and Disadvantage (Australian Bureau of Statistics, 2021a)</w:t>
      </w:r>
    </w:p>
    <w:p w14:paraId="50A68A1A" w14:textId="77777777" w:rsidR="0072611F" w:rsidRPr="009426E0" w:rsidRDefault="0072611F" w:rsidP="0072611F">
      <w:pPr>
        <w:spacing w:after="160" w:line="259" w:lineRule="auto"/>
        <w:rPr>
          <w:lang w:val="en-US"/>
        </w:rPr>
      </w:pPr>
    </w:p>
    <w:p w14:paraId="66EF4423" w14:textId="77777777" w:rsidR="00966329" w:rsidRPr="009426E0" w:rsidRDefault="00966329" w:rsidP="0072611F">
      <w:pPr>
        <w:spacing w:after="160" w:line="259" w:lineRule="auto"/>
        <w:rPr>
          <w:lang w:val="en-US"/>
        </w:rPr>
      </w:pPr>
    </w:p>
    <w:p w14:paraId="53AB7161" w14:textId="77777777" w:rsidR="00966329" w:rsidRPr="009426E0" w:rsidRDefault="00966329" w:rsidP="0072611F">
      <w:pPr>
        <w:spacing w:after="160" w:line="259" w:lineRule="auto"/>
        <w:rPr>
          <w:lang w:val="en-US"/>
        </w:rPr>
      </w:pPr>
    </w:p>
    <w:p w14:paraId="7EE8BA86" w14:textId="77777777" w:rsidR="00966329" w:rsidRPr="009426E0" w:rsidRDefault="00966329" w:rsidP="0072611F">
      <w:pPr>
        <w:spacing w:after="160" w:line="259" w:lineRule="auto"/>
        <w:rPr>
          <w:lang w:val="en-US"/>
        </w:rPr>
      </w:pPr>
    </w:p>
    <w:p w14:paraId="1ED96F3E" w14:textId="77777777" w:rsidR="00966329" w:rsidRPr="009426E0" w:rsidRDefault="00966329" w:rsidP="0072611F">
      <w:pPr>
        <w:spacing w:after="160" w:line="259" w:lineRule="auto"/>
        <w:rPr>
          <w:lang w:val="en-US"/>
        </w:rPr>
      </w:pPr>
    </w:p>
    <w:p w14:paraId="54D48820" w14:textId="77777777" w:rsidR="00966329" w:rsidRPr="009426E0" w:rsidRDefault="00966329" w:rsidP="0072611F">
      <w:pPr>
        <w:spacing w:after="160" w:line="259" w:lineRule="auto"/>
        <w:rPr>
          <w:lang w:val="en-US"/>
        </w:rPr>
      </w:pPr>
    </w:p>
    <w:p w14:paraId="32E378EB" w14:textId="77777777" w:rsidR="00127672" w:rsidRPr="009426E0" w:rsidRDefault="00127672">
      <w:pPr>
        <w:spacing w:before="0" w:after="0" w:line="240" w:lineRule="auto"/>
        <w:rPr>
          <w:rFonts w:asciiTheme="majorHAnsi" w:eastAsiaTheme="majorEastAsia" w:hAnsiTheme="majorHAnsi" w:cs="Times New Roman (Headings CS)"/>
          <w:bCs/>
          <w:color w:val="1F1646" w:themeColor="text1"/>
          <w:sz w:val="32"/>
          <w:szCs w:val="32"/>
          <w:lang w:val="en-US"/>
        </w:rPr>
      </w:pPr>
      <w:bookmarkStart w:id="38" w:name="_Toc185920986"/>
      <w:r w:rsidRPr="009426E0">
        <w:rPr>
          <w:lang w:val="en-US"/>
        </w:rPr>
        <w:br w:type="page"/>
      </w:r>
    </w:p>
    <w:p w14:paraId="200CDA05" w14:textId="142036D0" w:rsidR="0072611F" w:rsidRPr="009426E0" w:rsidRDefault="0072611F" w:rsidP="0072611F">
      <w:pPr>
        <w:pStyle w:val="Heading1"/>
        <w:rPr>
          <w:lang w:val="en-US"/>
        </w:rPr>
      </w:pPr>
      <w:bookmarkStart w:id="39" w:name="_Toc191465883"/>
      <w:r w:rsidRPr="009426E0">
        <w:rPr>
          <w:lang w:val="en-US"/>
        </w:rPr>
        <w:lastRenderedPageBreak/>
        <w:t>Meeting local needs</w:t>
      </w:r>
      <w:bookmarkEnd w:id="38"/>
      <w:bookmarkEnd w:id="39"/>
    </w:p>
    <w:p w14:paraId="2814ABBD" w14:textId="77777777" w:rsidR="0072611F" w:rsidRPr="009426E0" w:rsidRDefault="0072611F" w:rsidP="0072611F">
      <w:pPr>
        <w:pStyle w:val="Heading2"/>
        <w:rPr>
          <w:lang w:val="en-US"/>
        </w:rPr>
      </w:pPr>
      <w:bookmarkStart w:id="40" w:name="_Toc191465884"/>
      <w:r w:rsidRPr="009426E0">
        <w:rPr>
          <w:lang w:val="en-US"/>
        </w:rPr>
        <w:t>Our Place</w:t>
      </w:r>
      <w:bookmarkEnd w:id="40"/>
    </w:p>
    <w:p w14:paraId="3C0D34CC" w14:textId="77777777" w:rsidR="0072611F" w:rsidRPr="009426E0" w:rsidRDefault="0072611F" w:rsidP="0072611F">
      <w:pPr>
        <w:spacing w:after="160" w:line="259" w:lineRule="auto"/>
        <w:rPr>
          <w:b/>
          <w:bCs/>
          <w:lang w:val="en-US"/>
        </w:rPr>
      </w:pPr>
      <w:r w:rsidRPr="009426E0">
        <w:rPr>
          <w:lang w:val="en-US"/>
        </w:rPr>
        <w:t xml:space="preserve">The Department of Education has a partnership with the Colman Education Foundation, a philanthropic </w:t>
      </w:r>
      <w:proofErr w:type="spellStart"/>
      <w:r w:rsidRPr="009426E0">
        <w:rPr>
          <w:lang w:val="en-US"/>
        </w:rPr>
        <w:t>organisation</w:t>
      </w:r>
      <w:proofErr w:type="spellEnd"/>
      <w:r w:rsidRPr="009426E0">
        <w:rPr>
          <w:lang w:val="en-US"/>
        </w:rPr>
        <w:t xml:space="preserve">, to implement the Our Place approach. The approach was first established by Colman at </w:t>
      </w:r>
      <w:proofErr w:type="spellStart"/>
      <w:r w:rsidRPr="009426E0">
        <w:rPr>
          <w:lang w:val="en-US"/>
        </w:rPr>
        <w:t>Doveton</w:t>
      </w:r>
      <w:proofErr w:type="spellEnd"/>
      <w:r w:rsidRPr="009426E0">
        <w:rPr>
          <w:lang w:val="en-US"/>
        </w:rPr>
        <w:t xml:space="preserve"> College in southern Melbourne in 2012. The approach </w:t>
      </w:r>
      <w:proofErr w:type="spellStart"/>
      <w:r w:rsidRPr="009426E0">
        <w:rPr>
          <w:lang w:val="en-US"/>
        </w:rPr>
        <w:t>realises</w:t>
      </w:r>
      <w:proofErr w:type="spellEnd"/>
      <w:r w:rsidRPr="009426E0">
        <w:rPr>
          <w:lang w:val="en-US"/>
        </w:rPr>
        <w:t xml:space="preserve"> the value of schools as a universal platform to deliver education, health, and family services for the local community from a single location, creating an integrated community resource to support improved outcomes for children and families. These services include early childhood education and care, primary and adult education, the Maternal and Child Health Service, and training and job seeking services. Our Place is currently being implemented at 11 schools in disadvantaged communities across Victoria.</w:t>
      </w:r>
    </w:p>
    <w:p w14:paraId="61AF465B" w14:textId="77777777" w:rsidR="0072611F" w:rsidRPr="009426E0" w:rsidRDefault="0072611F" w:rsidP="0072611F">
      <w:pPr>
        <w:pStyle w:val="Heading2"/>
        <w:rPr>
          <w:lang w:val="en-US"/>
        </w:rPr>
      </w:pPr>
      <w:bookmarkStart w:id="41" w:name="_Toc191465885"/>
      <w:r w:rsidRPr="009426E0">
        <w:rPr>
          <w:lang w:val="en-US"/>
        </w:rPr>
        <w:t>Side by Side</w:t>
      </w:r>
      <w:bookmarkEnd w:id="41"/>
    </w:p>
    <w:p w14:paraId="1C2AFF81" w14:textId="77777777" w:rsidR="0072611F" w:rsidRPr="009426E0" w:rsidRDefault="0072611F" w:rsidP="0072611F">
      <w:pPr>
        <w:spacing w:after="160" w:line="259" w:lineRule="auto"/>
        <w:rPr>
          <w:lang w:val="en-US"/>
        </w:rPr>
      </w:pPr>
      <w:r w:rsidRPr="009426E0">
        <w:rPr>
          <w:lang w:val="en-US"/>
        </w:rPr>
        <w:t>Side by Side provides student and family support for primary school students, particularly Aboriginal and Torres Strait Islander students, as well as training for schools to improve school culture and inclusiveness. The program is delivered by Berry Street and the Victorian Aboriginal Child Care Agency through funding from the Victorian Government’s Partnerships Addressing Disadvantage initiative. It is supported by the Department of Treasury and Finance, Department of Education, and investors who are managed by Social Ventures Australia.</w:t>
      </w:r>
    </w:p>
    <w:p w14:paraId="3898C7AA" w14:textId="1A7F8D27" w:rsidR="0072611F" w:rsidRPr="009426E0" w:rsidRDefault="0072611F" w:rsidP="0072611F">
      <w:pPr>
        <w:rPr>
          <w:lang w:val="en-US"/>
        </w:rPr>
      </w:pPr>
      <w:r w:rsidRPr="009426E0">
        <w:rPr>
          <w:lang w:val="en-US"/>
        </w:rPr>
        <w:t xml:space="preserve">Side by Side was launched in 2021 and </w:t>
      </w:r>
      <w:proofErr w:type="gramStart"/>
      <w:r w:rsidRPr="009426E0">
        <w:rPr>
          <w:lang w:val="en-US"/>
        </w:rPr>
        <w:t>is located in</w:t>
      </w:r>
      <w:proofErr w:type="gramEnd"/>
      <w:r w:rsidRPr="009426E0">
        <w:rPr>
          <w:lang w:val="en-US"/>
        </w:rPr>
        <w:t xml:space="preserve"> 3 areas: northern Melbourne, western Melbourne, and inner Gippsland. Working with 9 Victorian schools and supporting 300 children and their families, each student and family receives 12 months of intensive support to help them progress. Evidence-based approaches used by the program include one-on-one student and family support, literacy tutoring at the school, and training for the whole school that is both trauma-aware and culturally grounded to improve school culture and inclusiveness.</w:t>
      </w:r>
    </w:p>
    <w:p w14:paraId="08519D1D" w14:textId="77777777" w:rsidR="00966329" w:rsidRPr="009426E0" w:rsidRDefault="00966329" w:rsidP="00966329">
      <w:pPr>
        <w:pBdr>
          <w:bottom w:val="single" w:sz="2" w:space="1" w:color="auto"/>
        </w:pBdr>
        <w:rPr>
          <w:lang w:val="en-US"/>
        </w:rPr>
      </w:pPr>
    </w:p>
    <w:p w14:paraId="2A56DF6F" w14:textId="77777777" w:rsidR="0072611F" w:rsidRPr="009426E0" w:rsidRDefault="0072611F" w:rsidP="00B57C5B">
      <w:pPr>
        <w:pStyle w:val="Heading1"/>
        <w:rPr>
          <w:lang w:val="en-US"/>
        </w:rPr>
      </w:pPr>
      <w:r w:rsidRPr="009426E0">
        <w:rPr>
          <w:lang w:val="en-US"/>
        </w:rPr>
        <w:br w:type="column"/>
      </w:r>
      <w:bookmarkStart w:id="42" w:name="_Toc191465886"/>
      <w:r w:rsidRPr="009426E0">
        <w:rPr>
          <w:lang w:val="en-US"/>
        </w:rPr>
        <w:lastRenderedPageBreak/>
        <w:t>3. Safety</w:t>
      </w:r>
      <w:bookmarkEnd w:id="42"/>
    </w:p>
    <w:p w14:paraId="61C66161" w14:textId="77777777" w:rsidR="0072611F" w:rsidRPr="009426E0" w:rsidRDefault="0072611F" w:rsidP="00B57C5B">
      <w:pPr>
        <w:pStyle w:val="Heading2"/>
        <w:rPr>
          <w:lang w:val="en-US"/>
        </w:rPr>
      </w:pPr>
      <w:bookmarkStart w:id="43" w:name="_Toc191465887"/>
      <w:r w:rsidRPr="009426E0">
        <w:rPr>
          <w:lang w:val="en-US"/>
        </w:rPr>
        <w:t>3.1 Children in care</w:t>
      </w:r>
      <w:bookmarkEnd w:id="43"/>
    </w:p>
    <w:p w14:paraId="1292A357" w14:textId="77777777" w:rsidR="0072611F" w:rsidRPr="009426E0" w:rsidRDefault="0072611F" w:rsidP="0072611F">
      <w:pPr>
        <w:spacing w:after="160" w:line="259" w:lineRule="auto"/>
        <w:rPr>
          <w:lang w:val="en-US"/>
        </w:rPr>
      </w:pPr>
      <w:r w:rsidRPr="009426E0">
        <w:rPr>
          <w:lang w:val="en-US"/>
        </w:rPr>
        <w:t xml:space="preserve">Families residing in different locations, often with intersecting socioeconomic variances, can encounter distinct challenges that can significantly affect the support they are able to provide to their children. Geographic disparities can impact employment availability, accessibility of services, parental education attainment, and other community contexts that can contribute to the level of stress experienced by families and parental capacity to meet their children’s needs. </w:t>
      </w:r>
    </w:p>
    <w:p w14:paraId="1E90FB5A" w14:textId="77777777" w:rsidR="0072611F" w:rsidRPr="009426E0" w:rsidRDefault="0072611F" w:rsidP="0072611F">
      <w:pPr>
        <w:spacing w:after="160" w:line="259" w:lineRule="auto"/>
        <w:rPr>
          <w:lang w:val="en-US"/>
        </w:rPr>
      </w:pPr>
      <w:r w:rsidRPr="009426E0">
        <w:rPr>
          <w:lang w:val="en-US"/>
        </w:rPr>
        <w:t>Victoria’s children and families service system supports children, young people and their families to improve safety and developmental outcomes, while building capacity and resilience for children, families and communities. When children cannot stay safely in their family home, due to significant family difficulties, abuse or neglect, they may be placed in out-of-home care, which provides a safe alternative placement and supports to heal and grow, including working towards reunification with parents where possible.</w:t>
      </w:r>
    </w:p>
    <w:p w14:paraId="3B076EC2" w14:textId="77777777" w:rsidR="0072611F" w:rsidRPr="009426E0" w:rsidRDefault="0072611F" w:rsidP="0072611F">
      <w:pPr>
        <w:spacing w:after="160" w:line="259" w:lineRule="auto"/>
        <w:rPr>
          <w:lang w:val="en-US"/>
        </w:rPr>
      </w:pPr>
      <w:r w:rsidRPr="009426E0">
        <w:rPr>
          <w:lang w:val="en-US"/>
        </w:rPr>
        <w:t>Over the 5 years from 2017-18 to 2021-22, the number of children in out-of-home care in Victoria increased from 7,954 to 9,124, excluding children on third party parental responsibility orders (Productivity Commission, 2023, 16A.2).  However, the number of children being admitted into care fell by an average of 8.8 per cent per year between 2018-19 and 2021-22. This is considerably faster than comparable states such as New South Wales (2.9 per cent decrease per year) and Queensland (0.2 per cent increase per year) (Productivity Commission, 2024, 16A.4). On 30 June 2022, Victoria had the lowest rate of children in out-of-home care in Australia (Productivity Commission, 2024, 16A.2).</w:t>
      </w:r>
    </w:p>
    <w:p w14:paraId="2730D1C2" w14:textId="77777777" w:rsidR="0072611F" w:rsidRPr="009426E0" w:rsidRDefault="0072611F" w:rsidP="0072611F">
      <w:pPr>
        <w:spacing w:after="160" w:line="259" w:lineRule="auto"/>
        <w:rPr>
          <w:lang w:val="en-US"/>
        </w:rPr>
      </w:pPr>
      <w:r w:rsidRPr="009426E0">
        <w:rPr>
          <w:lang w:val="en-US"/>
        </w:rPr>
        <w:t xml:space="preserve">Aboriginal children and young people are over-represented in child protection services in all Australian states and territories. In Victoria, one in ten Aboriginal children were in care placements (102.2 per 1000) </w:t>
      </w:r>
      <w:proofErr w:type="gramStart"/>
      <w:r w:rsidRPr="009426E0">
        <w:rPr>
          <w:lang w:val="en-US"/>
        </w:rPr>
        <w:t>at</w:t>
      </w:r>
      <w:proofErr w:type="gramEnd"/>
      <w:r w:rsidRPr="009426E0">
        <w:rPr>
          <w:lang w:val="en-US"/>
        </w:rPr>
        <w:t xml:space="preserve"> 30 June 2022, a rate 21.7 times that of their non-Aboriginal counterparts (Productivity Commission, 2024, 16A.2). Victoria continues work with Aboriginal Community Controlled Organisations and Aboriginal community to reduce over-representation, delivering on an important aspect of Victoria’s Aboriginal Child Placement Principle to ensure Aboriginal children have the right to be raised in their own family, culture and community. As </w:t>
      </w:r>
      <w:proofErr w:type="gramStart"/>
      <w:r w:rsidRPr="009426E0">
        <w:rPr>
          <w:lang w:val="en-US"/>
        </w:rPr>
        <w:t>at</w:t>
      </w:r>
      <w:proofErr w:type="gramEnd"/>
      <w:r w:rsidRPr="009426E0">
        <w:rPr>
          <w:lang w:val="en-US"/>
        </w:rPr>
        <w:t xml:space="preserve"> 30 June 2022, Victoria had the highest proportion of Aboriginal children placed with relatives/kin in Australia (77.8 per cent) (Productivity Commission, 2023, 16A.22). </w:t>
      </w:r>
    </w:p>
    <w:p w14:paraId="16EBCBAE" w14:textId="77777777" w:rsidR="0072611F" w:rsidRPr="009426E0" w:rsidRDefault="0072611F" w:rsidP="0072611F">
      <w:pPr>
        <w:spacing w:after="160" w:line="259" w:lineRule="auto"/>
        <w:rPr>
          <w:lang w:val="en-US"/>
        </w:rPr>
      </w:pPr>
      <w:r w:rsidRPr="009426E0">
        <w:rPr>
          <w:lang w:val="en-US"/>
        </w:rPr>
        <w:t xml:space="preserve">As shown in </w:t>
      </w:r>
      <w:r w:rsidRPr="009426E0">
        <w:rPr>
          <w:b/>
          <w:bCs/>
          <w:lang w:val="en-US"/>
        </w:rPr>
        <w:t>Figure 7,</w:t>
      </w:r>
      <w:r w:rsidRPr="009426E0">
        <w:rPr>
          <w:lang w:val="en-US"/>
        </w:rPr>
        <w:t xml:space="preserve"> </w:t>
      </w:r>
      <w:proofErr w:type="gramStart"/>
      <w:r w:rsidRPr="009426E0">
        <w:rPr>
          <w:lang w:val="en-US"/>
        </w:rPr>
        <w:t>the majority of</w:t>
      </w:r>
      <w:proofErr w:type="gramEnd"/>
      <w:r w:rsidRPr="009426E0">
        <w:rPr>
          <w:lang w:val="en-US"/>
        </w:rPr>
        <w:t xml:space="preserve"> children in out-of-home care in 2021-22 were placed in kinship care (75.7%), provided by relatives or other members of a child’s social network. Rates of children in out-of-home care show a strong socioeconomic gradient. Families in areas experiencing relative disadvantage are more likely to experience a range of challenges. This can include fewer employment opportunities and reduced accessibility of services. These factors can significantly affect the capacity of families to meet their children’s needs and, where the safety of a child is a significant concern, can lead to higher rates of children in out-of-home care (</w:t>
      </w:r>
      <w:r w:rsidRPr="009426E0">
        <w:rPr>
          <w:b/>
          <w:bCs/>
          <w:lang w:val="en-US"/>
        </w:rPr>
        <w:t>see Figure 8</w:t>
      </w:r>
      <w:r w:rsidRPr="009426E0">
        <w:rPr>
          <w:lang w:val="en-US"/>
        </w:rPr>
        <w:t xml:space="preserve">).  </w:t>
      </w:r>
    </w:p>
    <w:p w14:paraId="6EF1A1A2" w14:textId="77777777" w:rsidR="0072611F" w:rsidRPr="009426E0" w:rsidRDefault="0072611F" w:rsidP="0077492A">
      <w:pPr>
        <w:pStyle w:val="Figuretitle"/>
        <w:rPr>
          <w:lang w:val="en-US"/>
        </w:rPr>
      </w:pPr>
      <w:r w:rsidRPr="009426E0">
        <w:rPr>
          <w:bCs/>
          <w:lang w:val="en-US"/>
        </w:rPr>
        <w:t>Figure 7:</w:t>
      </w:r>
      <w:r w:rsidRPr="009426E0">
        <w:rPr>
          <w:lang w:val="en-US"/>
        </w:rPr>
        <w:t xml:space="preserve"> Children in care by placement type, at end June 2022</w:t>
      </w:r>
    </w:p>
    <w:tbl>
      <w:tblPr>
        <w:tblW w:w="7451" w:type="dxa"/>
        <w:tblBorders>
          <w:bottom w:val="single" w:sz="2" w:space="0" w:color="auto"/>
          <w:insideH w:val="single" w:sz="2" w:space="0" w:color="auto"/>
        </w:tblBorders>
        <w:tblLook w:val="04A0" w:firstRow="1" w:lastRow="0" w:firstColumn="1" w:lastColumn="0" w:noHBand="0" w:noVBand="1"/>
      </w:tblPr>
      <w:tblGrid>
        <w:gridCol w:w="4253"/>
        <w:gridCol w:w="1322"/>
        <w:gridCol w:w="1876"/>
      </w:tblGrid>
      <w:tr w:rsidR="0077492A" w:rsidRPr="009426E0" w14:paraId="3ADCF9BC" w14:textId="77777777" w:rsidTr="0077492A">
        <w:trPr>
          <w:trHeight w:val="300"/>
        </w:trPr>
        <w:tc>
          <w:tcPr>
            <w:tcW w:w="4253" w:type="dxa"/>
            <w:shd w:val="clear" w:color="auto" w:fill="B6E9EA" w:themeFill="accent2"/>
            <w:noWrap/>
            <w:vAlign w:val="bottom"/>
            <w:hideMark/>
          </w:tcPr>
          <w:p w14:paraId="27CF6F7E" w14:textId="77777777" w:rsidR="0077492A" w:rsidRPr="009426E0" w:rsidRDefault="0077492A" w:rsidP="0077492A">
            <w:pPr>
              <w:pStyle w:val="TableHead"/>
            </w:pPr>
            <w:r w:rsidRPr="009426E0">
              <w:t>Placement type</w:t>
            </w:r>
          </w:p>
        </w:tc>
        <w:tc>
          <w:tcPr>
            <w:tcW w:w="1322" w:type="dxa"/>
            <w:shd w:val="clear" w:color="auto" w:fill="B6E9EA" w:themeFill="accent2"/>
            <w:noWrap/>
            <w:vAlign w:val="bottom"/>
            <w:hideMark/>
          </w:tcPr>
          <w:p w14:paraId="5BF4EA92" w14:textId="77777777" w:rsidR="0077492A" w:rsidRPr="009426E0" w:rsidRDefault="0077492A" w:rsidP="0077492A">
            <w:pPr>
              <w:pStyle w:val="TableHead"/>
              <w:jc w:val="right"/>
            </w:pPr>
            <w:r w:rsidRPr="009426E0">
              <w:t xml:space="preserve">Number </w:t>
            </w:r>
          </w:p>
        </w:tc>
        <w:tc>
          <w:tcPr>
            <w:tcW w:w="1876" w:type="dxa"/>
            <w:shd w:val="clear" w:color="auto" w:fill="B6E9EA" w:themeFill="accent2"/>
            <w:noWrap/>
            <w:vAlign w:val="bottom"/>
            <w:hideMark/>
          </w:tcPr>
          <w:p w14:paraId="5DD7CCE9" w14:textId="77777777" w:rsidR="0077492A" w:rsidRPr="009426E0" w:rsidRDefault="0077492A" w:rsidP="0077492A">
            <w:pPr>
              <w:pStyle w:val="TableHead"/>
              <w:jc w:val="right"/>
            </w:pPr>
            <w:r w:rsidRPr="009426E0">
              <w:t>Percent</w:t>
            </w:r>
          </w:p>
        </w:tc>
      </w:tr>
      <w:tr w:rsidR="0077492A" w:rsidRPr="009426E0" w14:paraId="3434FB49" w14:textId="77777777" w:rsidTr="0077492A">
        <w:trPr>
          <w:trHeight w:val="300"/>
        </w:trPr>
        <w:tc>
          <w:tcPr>
            <w:tcW w:w="4253" w:type="dxa"/>
            <w:shd w:val="clear" w:color="auto" w:fill="auto"/>
            <w:noWrap/>
            <w:vAlign w:val="bottom"/>
            <w:hideMark/>
          </w:tcPr>
          <w:p w14:paraId="4A657B23" w14:textId="77777777" w:rsidR="0077492A" w:rsidRPr="009426E0" w:rsidRDefault="0077492A" w:rsidP="0077492A">
            <w:pPr>
              <w:pStyle w:val="Tablebody"/>
            </w:pPr>
            <w:r w:rsidRPr="009426E0">
              <w:t>Kinship care</w:t>
            </w:r>
          </w:p>
        </w:tc>
        <w:tc>
          <w:tcPr>
            <w:tcW w:w="1322" w:type="dxa"/>
            <w:shd w:val="clear" w:color="auto" w:fill="auto"/>
            <w:noWrap/>
            <w:vAlign w:val="bottom"/>
            <w:hideMark/>
          </w:tcPr>
          <w:p w14:paraId="3231BF63" w14:textId="77777777" w:rsidR="0077492A" w:rsidRPr="009426E0" w:rsidRDefault="0077492A" w:rsidP="0077492A">
            <w:pPr>
              <w:pStyle w:val="Tablebody"/>
              <w:jc w:val="right"/>
            </w:pPr>
            <w:r w:rsidRPr="009426E0">
              <w:t>6909</w:t>
            </w:r>
          </w:p>
        </w:tc>
        <w:tc>
          <w:tcPr>
            <w:tcW w:w="1876" w:type="dxa"/>
            <w:shd w:val="clear" w:color="auto" w:fill="auto"/>
            <w:noWrap/>
            <w:vAlign w:val="bottom"/>
            <w:hideMark/>
          </w:tcPr>
          <w:p w14:paraId="3988125B" w14:textId="77777777" w:rsidR="0077492A" w:rsidRPr="009426E0" w:rsidRDefault="0077492A" w:rsidP="0077492A">
            <w:pPr>
              <w:pStyle w:val="Tablebody"/>
              <w:jc w:val="right"/>
            </w:pPr>
            <w:r w:rsidRPr="009426E0">
              <w:t>75.7%</w:t>
            </w:r>
          </w:p>
        </w:tc>
      </w:tr>
      <w:tr w:rsidR="0077492A" w:rsidRPr="009426E0" w14:paraId="71C8D404" w14:textId="77777777" w:rsidTr="0077492A">
        <w:trPr>
          <w:trHeight w:val="300"/>
        </w:trPr>
        <w:tc>
          <w:tcPr>
            <w:tcW w:w="4253" w:type="dxa"/>
            <w:shd w:val="clear" w:color="auto" w:fill="auto"/>
            <w:noWrap/>
            <w:vAlign w:val="bottom"/>
            <w:hideMark/>
          </w:tcPr>
          <w:p w14:paraId="6F98EB45" w14:textId="77777777" w:rsidR="0077492A" w:rsidRPr="009426E0" w:rsidRDefault="0077492A" w:rsidP="0077492A">
            <w:pPr>
              <w:pStyle w:val="Tablebody"/>
            </w:pPr>
            <w:r w:rsidRPr="009426E0">
              <w:t>Foster care</w:t>
            </w:r>
          </w:p>
        </w:tc>
        <w:tc>
          <w:tcPr>
            <w:tcW w:w="1322" w:type="dxa"/>
            <w:shd w:val="clear" w:color="auto" w:fill="auto"/>
            <w:noWrap/>
            <w:vAlign w:val="bottom"/>
            <w:hideMark/>
          </w:tcPr>
          <w:p w14:paraId="5886A868" w14:textId="77777777" w:rsidR="0077492A" w:rsidRPr="009426E0" w:rsidRDefault="0077492A" w:rsidP="0077492A">
            <w:pPr>
              <w:pStyle w:val="Tablebody"/>
              <w:jc w:val="right"/>
            </w:pPr>
            <w:r w:rsidRPr="009426E0">
              <w:t>1489</w:t>
            </w:r>
          </w:p>
        </w:tc>
        <w:tc>
          <w:tcPr>
            <w:tcW w:w="1876" w:type="dxa"/>
            <w:shd w:val="clear" w:color="auto" w:fill="auto"/>
            <w:noWrap/>
            <w:vAlign w:val="bottom"/>
            <w:hideMark/>
          </w:tcPr>
          <w:p w14:paraId="40F77ED0" w14:textId="77777777" w:rsidR="0077492A" w:rsidRPr="009426E0" w:rsidRDefault="0077492A" w:rsidP="0077492A">
            <w:pPr>
              <w:pStyle w:val="Tablebody"/>
              <w:jc w:val="right"/>
            </w:pPr>
            <w:r w:rsidRPr="009426E0">
              <w:t>16.3%</w:t>
            </w:r>
          </w:p>
        </w:tc>
      </w:tr>
      <w:tr w:rsidR="0077492A" w:rsidRPr="009426E0" w14:paraId="7FFFF81C" w14:textId="77777777" w:rsidTr="0077492A">
        <w:trPr>
          <w:trHeight w:val="300"/>
        </w:trPr>
        <w:tc>
          <w:tcPr>
            <w:tcW w:w="4253" w:type="dxa"/>
            <w:shd w:val="clear" w:color="auto" w:fill="auto"/>
            <w:noWrap/>
            <w:vAlign w:val="bottom"/>
            <w:hideMark/>
          </w:tcPr>
          <w:p w14:paraId="407A9138" w14:textId="77777777" w:rsidR="0077492A" w:rsidRPr="009426E0" w:rsidRDefault="0077492A" w:rsidP="0077492A">
            <w:pPr>
              <w:pStyle w:val="Tablebody"/>
            </w:pPr>
            <w:r w:rsidRPr="009426E0">
              <w:t>Residential care</w:t>
            </w:r>
          </w:p>
        </w:tc>
        <w:tc>
          <w:tcPr>
            <w:tcW w:w="1322" w:type="dxa"/>
            <w:shd w:val="clear" w:color="auto" w:fill="auto"/>
            <w:noWrap/>
            <w:vAlign w:val="bottom"/>
            <w:hideMark/>
          </w:tcPr>
          <w:p w14:paraId="3921DD3F" w14:textId="77777777" w:rsidR="0077492A" w:rsidRPr="009426E0" w:rsidRDefault="0077492A" w:rsidP="0077492A">
            <w:pPr>
              <w:pStyle w:val="Tablebody"/>
              <w:jc w:val="right"/>
            </w:pPr>
            <w:r w:rsidRPr="009426E0">
              <w:t>488</w:t>
            </w:r>
          </w:p>
        </w:tc>
        <w:tc>
          <w:tcPr>
            <w:tcW w:w="1876" w:type="dxa"/>
            <w:shd w:val="clear" w:color="auto" w:fill="auto"/>
            <w:noWrap/>
            <w:vAlign w:val="bottom"/>
            <w:hideMark/>
          </w:tcPr>
          <w:p w14:paraId="633193CD" w14:textId="77777777" w:rsidR="0077492A" w:rsidRPr="009426E0" w:rsidRDefault="0077492A" w:rsidP="0077492A">
            <w:pPr>
              <w:pStyle w:val="Tablebody"/>
              <w:jc w:val="right"/>
            </w:pPr>
            <w:r w:rsidRPr="009426E0">
              <w:t>5.3%</w:t>
            </w:r>
          </w:p>
        </w:tc>
      </w:tr>
      <w:tr w:rsidR="0077492A" w:rsidRPr="009426E0" w14:paraId="621D6709" w14:textId="77777777" w:rsidTr="0077492A">
        <w:trPr>
          <w:trHeight w:val="300"/>
        </w:trPr>
        <w:tc>
          <w:tcPr>
            <w:tcW w:w="4253" w:type="dxa"/>
            <w:shd w:val="clear" w:color="auto" w:fill="auto"/>
            <w:noWrap/>
            <w:vAlign w:val="bottom"/>
            <w:hideMark/>
          </w:tcPr>
          <w:p w14:paraId="19DE45CE" w14:textId="77777777" w:rsidR="0077492A" w:rsidRPr="009426E0" w:rsidRDefault="0077492A" w:rsidP="0077492A">
            <w:pPr>
              <w:pStyle w:val="Tablebody"/>
            </w:pPr>
            <w:r w:rsidRPr="009426E0">
              <w:t xml:space="preserve">Other </w:t>
            </w:r>
            <w:proofErr w:type="gramStart"/>
            <w:r w:rsidRPr="009426E0">
              <w:t>home based</w:t>
            </w:r>
            <w:proofErr w:type="gramEnd"/>
            <w:r w:rsidRPr="009426E0">
              <w:t xml:space="preserve"> care</w:t>
            </w:r>
          </w:p>
        </w:tc>
        <w:tc>
          <w:tcPr>
            <w:tcW w:w="1322" w:type="dxa"/>
            <w:shd w:val="clear" w:color="auto" w:fill="auto"/>
            <w:noWrap/>
            <w:vAlign w:val="bottom"/>
            <w:hideMark/>
          </w:tcPr>
          <w:p w14:paraId="7F28BE95" w14:textId="77777777" w:rsidR="0077492A" w:rsidRPr="009426E0" w:rsidRDefault="0077492A" w:rsidP="0077492A">
            <w:pPr>
              <w:pStyle w:val="Tablebody"/>
              <w:jc w:val="right"/>
            </w:pPr>
            <w:r w:rsidRPr="009426E0">
              <w:t>194</w:t>
            </w:r>
          </w:p>
        </w:tc>
        <w:tc>
          <w:tcPr>
            <w:tcW w:w="1876" w:type="dxa"/>
            <w:shd w:val="clear" w:color="auto" w:fill="auto"/>
            <w:noWrap/>
            <w:vAlign w:val="bottom"/>
            <w:hideMark/>
          </w:tcPr>
          <w:p w14:paraId="592456A9" w14:textId="77777777" w:rsidR="0077492A" w:rsidRPr="009426E0" w:rsidRDefault="0077492A" w:rsidP="0077492A">
            <w:pPr>
              <w:pStyle w:val="Tablebody"/>
              <w:jc w:val="right"/>
            </w:pPr>
            <w:r w:rsidRPr="009426E0">
              <w:t>2.1%</w:t>
            </w:r>
          </w:p>
        </w:tc>
      </w:tr>
      <w:tr w:rsidR="0077492A" w:rsidRPr="009426E0" w14:paraId="42CEE205" w14:textId="77777777" w:rsidTr="0077492A">
        <w:trPr>
          <w:trHeight w:val="300"/>
        </w:trPr>
        <w:tc>
          <w:tcPr>
            <w:tcW w:w="4253" w:type="dxa"/>
            <w:shd w:val="clear" w:color="auto" w:fill="auto"/>
            <w:noWrap/>
            <w:vAlign w:val="bottom"/>
            <w:hideMark/>
          </w:tcPr>
          <w:p w14:paraId="1D06B5B7" w14:textId="77777777" w:rsidR="0077492A" w:rsidRPr="009426E0" w:rsidRDefault="0077492A" w:rsidP="0077492A">
            <w:pPr>
              <w:pStyle w:val="Tablebody"/>
            </w:pPr>
            <w:r w:rsidRPr="009426E0">
              <w:t>Independent living (incl. private board)</w:t>
            </w:r>
          </w:p>
        </w:tc>
        <w:tc>
          <w:tcPr>
            <w:tcW w:w="1322" w:type="dxa"/>
            <w:shd w:val="clear" w:color="auto" w:fill="auto"/>
            <w:noWrap/>
            <w:vAlign w:val="bottom"/>
            <w:hideMark/>
          </w:tcPr>
          <w:p w14:paraId="2575E11C" w14:textId="77777777" w:rsidR="0077492A" w:rsidRPr="009426E0" w:rsidRDefault="0077492A" w:rsidP="0077492A">
            <w:pPr>
              <w:pStyle w:val="Tablebody"/>
              <w:jc w:val="right"/>
            </w:pPr>
            <w:r w:rsidRPr="009426E0">
              <w:t>42</w:t>
            </w:r>
          </w:p>
        </w:tc>
        <w:tc>
          <w:tcPr>
            <w:tcW w:w="1876" w:type="dxa"/>
            <w:shd w:val="clear" w:color="auto" w:fill="auto"/>
            <w:noWrap/>
            <w:vAlign w:val="bottom"/>
            <w:hideMark/>
          </w:tcPr>
          <w:p w14:paraId="3649A86B" w14:textId="77777777" w:rsidR="0077492A" w:rsidRPr="009426E0" w:rsidRDefault="0077492A" w:rsidP="0077492A">
            <w:pPr>
              <w:pStyle w:val="Tablebody"/>
              <w:jc w:val="right"/>
            </w:pPr>
            <w:r w:rsidRPr="009426E0">
              <w:t>0.5%</w:t>
            </w:r>
          </w:p>
        </w:tc>
      </w:tr>
      <w:tr w:rsidR="0077492A" w:rsidRPr="009426E0" w14:paraId="2C8F907B" w14:textId="77777777" w:rsidTr="0077492A">
        <w:trPr>
          <w:trHeight w:val="300"/>
        </w:trPr>
        <w:tc>
          <w:tcPr>
            <w:tcW w:w="4253" w:type="dxa"/>
            <w:shd w:val="clear" w:color="auto" w:fill="auto"/>
            <w:noWrap/>
            <w:vAlign w:val="bottom"/>
            <w:hideMark/>
          </w:tcPr>
          <w:p w14:paraId="15C1A8CB" w14:textId="77777777" w:rsidR="0077492A" w:rsidRPr="009426E0" w:rsidRDefault="0077492A" w:rsidP="0077492A">
            <w:pPr>
              <w:pStyle w:val="Tablebody"/>
            </w:pPr>
            <w:r w:rsidRPr="009426E0">
              <w:t>Other</w:t>
            </w:r>
          </w:p>
        </w:tc>
        <w:tc>
          <w:tcPr>
            <w:tcW w:w="1322" w:type="dxa"/>
            <w:shd w:val="clear" w:color="auto" w:fill="auto"/>
            <w:noWrap/>
            <w:vAlign w:val="bottom"/>
            <w:hideMark/>
          </w:tcPr>
          <w:p w14:paraId="41753875" w14:textId="77777777" w:rsidR="0077492A" w:rsidRPr="009426E0" w:rsidRDefault="0077492A" w:rsidP="0077492A">
            <w:pPr>
              <w:pStyle w:val="Tablebody"/>
              <w:jc w:val="right"/>
            </w:pPr>
            <w:r w:rsidRPr="009426E0">
              <w:t>2</w:t>
            </w:r>
          </w:p>
        </w:tc>
        <w:tc>
          <w:tcPr>
            <w:tcW w:w="1876" w:type="dxa"/>
            <w:shd w:val="clear" w:color="auto" w:fill="auto"/>
            <w:noWrap/>
            <w:vAlign w:val="bottom"/>
            <w:hideMark/>
          </w:tcPr>
          <w:p w14:paraId="4903A9A2" w14:textId="77777777" w:rsidR="0077492A" w:rsidRPr="009426E0" w:rsidRDefault="0077492A" w:rsidP="0077492A">
            <w:pPr>
              <w:pStyle w:val="Tablebody"/>
              <w:jc w:val="right"/>
            </w:pPr>
            <w:r w:rsidRPr="009426E0">
              <w:t>0.0%</w:t>
            </w:r>
          </w:p>
        </w:tc>
      </w:tr>
      <w:tr w:rsidR="0077492A" w:rsidRPr="009426E0" w14:paraId="2AE573A1" w14:textId="77777777" w:rsidTr="0077492A">
        <w:trPr>
          <w:trHeight w:val="300"/>
        </w:trPr>
        <w:tc>
          <w:tcPr>
            <w:tcW w:w="4253" w:type="dxa"/>
            <w:shd w:val="clear" w:color="auto" w:fill="auto"/>
            <w:noWrap/>
            <w:vAlign w:val="bottom"/>
            <w:hideMark/>
          </w:tcPr>
          <w:p w14:paraId="0D3C5866" w14:textId="77777777" w:rsidR="0077492A" w:rsidRPr="009426E0" w:rsidRDefault="0077492A" w:rsidP="0077492A">
            <w:pPr>
              <w:pStyle w:val="Tablebody"/>
              <w:rPr>
                <w:b/>
                <w:bCs/>
              </w:rPr>
            </w:pPr>
            <w:r w:rsidRPr="009426E0">
              <w:rPr>
                <w:b/>
                <w:bCs/>
              </w:rPr>
              <w:t>Total</w:t>
            </w:r>
          </w:p>
        </w:tc>
        <w:tc>
          <w:tcPr>
            <w:tcW w:w="1322" w:type="dxa"/>
            <w:shd w:val="clear" w:color="auto" w:fill="auto"/>
            <w:noWrap/>
            <w:vAlign w:val="bottom"/>
            <w:hideMark/>
          </w:tcPr>
          <w:p w14:paraId="5F17FCC5" w14:textId="77777777" w:rsidR="0077492A" w:rsidRPr="009426E0" w:rsidRDefault="0077492A" w:rsidP="0077492A">
            <w:pPr>
              <w:pStyle w:val="Tablebody"/>
              <w:jc w:val="right"/>
              <w:rPr>
                <w:b/>
                <w:bCs/>
              </w:rPr>
            </w:pPr>
            <w:r w:rsidRPr="009426E0">
              <w:rPr>
                <w:b/>
                <w:bCs/>
              </w:rPr>
              <w:t>9124</w:t>
            </w:r>
          </w:p>
        </w:tc>
        <w:tc>
          <w:tcPr>
            <w:tcW w:w="1876" w:type="dxa"/>
            <w:shd w:val="clear" w:color="auto" w:fill="auto"/>
            <w:noWrap/>
            <w:vAlign w:val="bottom"/>
            <w:hideMark/>
          </w:tcPr>
          <w:p w14:paraId="364908DA" w14:textId="77777777" w:rsidR="0077492A" w:rsidRPr="009426E0" w:rsidRDefault="0077492A" w:rsidP="0077492A">
            <w:pPr>
              <w:pStyle w:val="Tablebody"/>
              <w:jc w:val="right"/>
              <w:rPr>
                <w:b/>
                <w:bCs/>
              </w:rPr>
            </w:pPr>
          </w:p>
        </w:tc>
      </w:tr>
    </w:tbl>
    <w:p w14:paraId="46D2B25F" w14:textId="77777777" w:rsidR="0072611F" w:rsidRPr="009426E0" w:rsidRDefault="0072611F" w:rsidP="0072611F">
      <w:pPr>
        <w:spacing w:after="160" w:line="259" w:lineRule="auto"/>
        <w:rPr>
          <w:i/>
          <w:iCs/>
          <w:lang w:val="en-US"/>
        </w:rPr>
      </w:pPr>
      <w:r w:rsidRPr="009426E0">
        <w:rPr>
          <w:b/>
          <w:bCs/>
          <w:i/>
          <w:iCs/>
          <w:lang w:val="en-US"/>
        </w:rPr>
        <w:t xml:space="preserve">Source: </w:t>
      </w:r>
      <w:r w:rsidRPr="009426E0">
        <w:rPr>
          <w:i/>
          <w:iCs/>
          <w:lang w:val="en-US"/>
        </w:rPr>
        <w:t>Report on Government Services 2023, Table 16A.20 (Productivity Commission, 2023)</w:t>
      </w:r>
    </w:p>
    <w:p w14:paraId="1C11BD5B" w14:textId="77777777" w:rsidR="0072611F" w:rsidRPr="009426E0" w:rsidRDefault="0072611F" w:rsidP="005A3A50">
      <w:pPr>
        <w:pStyle w:val="Figuretitle"/>
        <w:rPr>
          <w:lang w:val="en-US"/>
        </w:rPr>
      </w:pPr>
      <w:r w:rsidRPr="009426E0">
        <w:rPr>
          <w:bCs/>
          <w:lang w:val="en-US"/>
        </w:rPr>
        <w:lastRenderedPageBreak/>
        <w:t>Figure 8:</w:t>
      </w:r>
      <w:r w:rsidRPr="009426E0">
        <w:rPr>
          <w:lang w:val="en-US"/>
        </w:rPr>
        <w:t xml:space="preserve"> Children in out-of-home care by local government area socioeconomic advantage/disadvantage, rate per 10,000 population at end June 2022</w:t>
      </w:r>
    </w:p>
    <w:p w14:paraId="3B20BD68" w14:textId="77777777" w:rsidR="00581646" w:rsidRPr="009426E0" w:rsidRDefault="00581646" w:rsidP="005A3A50">
      <w:pPr>
        <w:pStyle w:val="Figuretitle"/>
        <w:rPr>
          <w:lang w:val="en-US"/>
        </w:rPr>
      </w:pPr>
    </w:p>
    <w:p w14:paraId="447BC81C" w14:textId="4654821D" w:rsidR="00581646" w:rsidRPr="009426E0" w:rsidRDefault="00581646" w:rsidP="005A3A50">
      <w:pPr>
        <w:pStyle w:val="Figuretitle"/>
        <w:rPr>
          <w:lang w:val="en-US"/>
        </w:rPr>
      </w:pPr>
      <w:r w:rsidRPr="009426E0">
        <w:rPr>
          <w:noProof/>
          <w:lang w:val="en-US"/>
        </w:rPr>
        <w:drawing>
          <wp:inline distT="0" distB="0" distL="0" distR="0" wp14:anchorId="33106A21" wp14:editId="696789B6">
            <wp:extent cx="6116320" cy="4079240"/>
            <wp:effectExtent l="0" t="0" r="0" b="0"/>
            <wp:docPr id="1788857833" name="Picture 3" descr="A chart showing the rate of children in out-of-home-care against the socioeconomic advantage or disadvantage of their local government area. &#10;&#10;The chart shows that on average children from areas with higher levels of disadvantage are more likely to be placed in out-of-home care, while children from areas of higher advantage are less likely to be placed in out-of-home 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8857833" name="Picture 3" descr="A chart showing the rate of children in out-of-home-care against the socioeconomic advantage or disadvantage of their local government area. &#10;&#10;The chart shows that on average children from areas with higher levels of disadvantage are more likely to be placed in out-of-home care, while children from areas of higher advantage are less likely to be placed in out-of-home care."/>
                    <pic:cNvPicPr/>
                  </pic:nvPicPr>
                  <pic:blipFill>
                    <a:blip r:embed="rId15">
                      <a:extLst>
                        <a:ext uri="{28A0092B-C50C-407E-A947-70E740481C1C}">
                          <a14:useLocalDpi xmlns:a14="http://schemas.microsoft.com/office/drawing/2010/main" val="0"/>
                        </a:ext>
                      </a:extLst>
                    </a:blip>
                    <a:stretch>
                      <a:fillRect/>
                    </a:stretch>
                  </pic:blipFill>
                  <pic:spPr>
                    <a:xfrm>
                      <a:off x="0" y="0"/>
                      <a:ext cx="6116320" cy="4079240"/>
                    </a:xfrm>
                    <a:prstGeom prst="rect">
                      <a:avLst/>
                    </a:prstGeom>
                  </pic:spPr>
                </pic:pic>
              </a:graphicData>
            </a:graphic>
          </wp:inline>
        </w:drawing>
      </w:r>
    </w:p>
    <w:p w14:paraId="6F9A138A" w14:textId="77777777" w:rsidR="0072611F" w:rsidRPr="009426E0" w:rsidRDefault="0072611F" w:rsidP="0072611F">
      <w:pPr>
        <w:spacing w:after="160" w:line="259" w:lineRule="auto"/>
        <w:rPr>
          <w:i/>
          <w:iCs/>
          <w:lang w:val="en-US"/>
        </w:rPr>
      </w:pPr>
      <w:r w:rsidRPr="009426E0">
        <w:rPr>
          <w:b/>
          <w:bCs/>
          <w:i/>
          <w:iCs/>
          <w:lang w:val="en-US"/>
        </w:rPr>
        <w:t>Note:</w:t>
      </w:r>
      <w:r w:rsidRPr="009426E0">
        <w:rPr>
          <w:i/>
          <w:iCs/>
          <w:lang w:val="en-US"/>
        </w:rPr>
        <w:t xml:space="preserve"> The placement of children in out-of-home care is based on safety or welfare concerns for the child, not socioeconomic status. Index of Relative Socioeconomic Advantage and Disadvantage factors such as employment, education, income and housing can impact parental capacity to keep a child safe, which can </w:t>
      </w:r>
      <w:r w:rsidRPr="009426E0">
        <w:rPr>
          <w:i/>
          <w:iCs/>
          <w:lang w:val="en-US"/>
        </w:rPr>
        <w:br/>
        <w:t>in turn lead to higher rates of children in out-of-home care.</w:t>
      </w:r>
    </w:p>
    <w:p w14:paraId="04EC79EA" w14:textId="77777777" w:rsidR="0072611F" w:rsidRPr="009426E0" w:rsidRDefault="0072611F" w:rsidP="0072611F">
      <w:pPr>
        <w:spacing w:after="160" w:line="259" w:lineRule="auto"/>
        <w:rPr>
          <w:i/>
          <w:iCs/>
          <w:lang w:val="en-US"/>
        </w:rPr>
      </w:pPr>
      <w:r w:rsidRPr="009426E0">
        <w:rPr>
          <w:i/>
          <w:iCs/>
          <w:lang w:val="en-US"/>
        </w:rPr>
        <w:t>Location is based on care service placement and not the originating residential intake location of the child.</w:t>
      </w:r>
    </w:p>
    <w:p w14:paraId="7F0DC552" w14:textId="77777777" w:rsidR="0072611F" w:rsidRPr="009426E0" w:rsidRDefault="0072611F" w:rsidP="0072611F">
      <w:pPr>
        <w:rPr>
          <w:i/>
          <w:iCs/>
          <w:lang w:val="en-US"/>
        </w:rPr>
      </w:pPr>
      <w:r w:rsidRPr="009426E0">
        <w:rPr>
          <w:b/>
          <w:bCs/>
          <w:lang w:val="en-US"/>
        </w:rPr>
        <w:t>Source:</w:t>
      </w:r>
      <w:r w:rsidRPr="009426E0">
        <w:rPr>
          <w:i/>
          <w:iCs/>
          <w:lang w:val="en-US"/>
        </w:rPr>
        <w:t xml:space="preserve"> Client Relationship Information System (Department of Families, Fairness and Housing, 2023); Index of Relative Socioeconomic Advantage and Disadvantage (Australian Bureau of Statistics, 2021a); Estimated Residential Population (Australian Bureau of Statistics, 2021b).</w:t>
      </w:r>
    </w:p>
    <w:p w14:paraId="4E57C749" w14:textId="77777777" w:rsidR="0072611F" w:rsidRPr="009426E0" w:rsidRDefault="0072611F" w:rsidP="0072611F">
      <w:pPr>
        <w:rPr>
          <w:i/>
          <w:iCs/>
          <w:lang w:val="en-US"/>
        </w:rPr>
      </w:pPr>
    </w:p>
    <w:p w14:paraId="1C3ABA02" w14:textId="77777777" w:rsidR="000917A2" w:rsidRPr="009426E0" w:rsidRDefault="000917A2">
      <w:pPr>
        <w:spacing w:before="0" w:after="0" w:line="240" w:lineRule="auto"/>
        <w:rPr>
          <w:rFonts w:asciiTheme="majorHAnsi" w:eastAsiaTheme="majorEastAsia" w:hAnsiTheme="majorHAnsi" w:cs="Times New Roman (Headings CS)"/>
          <w:bCs/>
          <w:color w:val="1F1646" w:themeColor="text1"/>
          <w:sz w:val="32"/>
          <w:szCs w:val="32"/>
          <w:lang w:val="en-US"/>
        </w:rPr>
      </w:pPr>
      <w:bookmarkStart w:id="44" w:name="_Toc185920991"/>
      <w:r w:rsidRPr="009426E0">
        <w:rPr>
          <w:lang w:val="en-US"/>
        </w:rPr>
        <w:br w:type="page"/>
      </w:r>
    </w:p>
    <w:p w14:paraId="44A83B0F" w14:textId="14EE7CE9" w:rsidR="0072611F" w:rsidRPr="009426E0" w:rsidRDefault="0072611F" w:rsidP="001F326D">
      <w:pPr>
        <w:pStyle w:val="Heading1"/>
        <w:rPr>
          <w:lang w:val="en-US"/>
        </w:rPr>
      </w:pPr>
      <w:bookmarkStart w:id="45" w:name="_Toc191465888"/>
      <w:r w:rsidRPr="009426E0">
        <w:rPr>
          <w:lang w:val="en-US"/>
        </w:rPr>
        <w:lastRenderedPageBreak/>
        <w:t>Meeting local needs</w:t>
      </w:r>
      <w:bookmarkEnd w:id="44"/>
      <w:bookmarkEnd w:id="45"/>
    </w:p>
    <w:p w14:paraId="04EE8D3D" w14:textId="77777777" w:rsidR="0072611F" w:rsidRPr="009426E0" w:rsidRDefault="0072611F" w:rsidP="0072611F">
      <w:pPr>
        <w:pStyle w:val="Heading2"/>
        <w:rPr>
          <w:lang w:val="en-US"/>
        </w:rPr>
      </w:pPr>
      <w:bookmarkStart w:id="46" w:name="_Toc191465889"/>
      <w:r w:rsidRPr="009426E0">
        <w:rPr>
          <w:lang w:val="en-US"/>
        </w:rPr>
        <w:t>Family Preservation and Reunification Response</w:t>
      </w:r>
      <w:bookmarkEnd w:id="46"/>
      <w:r w:rsidRPr="009426E0">
        <w:rPr>
          <w:lang w:val="en-US"/>
        </w:rPr>
        <w:t xml:space="preserve"> </w:t>
      </w:r>
    </w:p>
    <w:p w14:paraId="4EAD0805" w14:textId="77777777" w:rsidR="0072611F" w:rsidRPr="009426E0" w:rsidRDefault="0072611F" w:rsidP="0072611F">
      <w:pPr>
        <w:spacing w:after="160" w:line="259" w:lineRule="auto"/>
        <w:rPr>
          <w:lang w:val="en-US"/>
        </w:rPr>
      </w:pPr>
      <w:r w:rsidRPr="009426E0">
        <w:rPr>
          <w:lang w:val="en-US"/>
        </w:rPr>
        <w:t xml:space="preserve">The Family Preservation and Reunification Response (the Response) aims to promote strong families with children who are safe, healthy, resilient, and thriving and parents </w:t>
      </w:r>
      <w:r w:rsidRPr="009426E0">
        <w:rPr>
          <w:lang w:val="en-US"/>
        </w:rPr>
        <w:br/>
        <w:t xml:space="preserve">and caregivers who are supported to create a safe and nurturing home environment. </w:t>
      </w:r>
      <w:r w:rsidRPr="009426E0">
        <w:rPr>
          <w:lang w:val="en-US"/>
        </w:rPr>
        <w:br/>
        <w:t xml:space="preserve">The Response is being delivered by 21 community service organisations in partnership </w:t>
      </w:r>
      <w:r w:rsidRPr="009426E0">
        <w:rPr>
          <w:lang w:val="en-US"/>
        </w:rPr>
        <w:br/>
        <w:t>with 12 Aboriginal Community Controlled Organisations and child protection services in each of the 17 Department of Families, Fairness and Housing operational areas.</w:t>
      </w:r>
    </w:p>
    <w:p w14:paraId="5F197DC2" w14:textId="77777777" w:rsidR="0072611F" w:rsidRPr="009426E0" w:rsidRDefault="0072611F" w:rsidP="00FD56C2">
      <w:pPr>
        <w:pStyle w:val="Heading2"/>
      </w:pPr>
      <w:bookmarkStart w:id="47" w:name="_Toc191465890"/>
      <w:r w:rsidRPr="009426E0">
        <w:t>This service model includes:</w:t>
      </w:r>
      <w:bookmarkEnd w:id="47"/>
      <w:r w:rsidRPr="009426E0">
        <w:t xml:space="preserve"> </w:t>
      </w:r>
    </w:p>
    <w:p w14:paraId="6FFA626D" w14:textId="77777777" w:rsidR="0072611F" w:rsidRPr="009426E0" w:rsidRDefault="0072611F" w:rsidP="00B57C5B">
      <w:pPr>
        <w:pStyle w:val="Bullet1"/>
        <w:rPr>
          <w:lang w:val="en-US"/>
        </w:rPr>
      </w:pPr>
      <w:r w:rsidRPr="009426E0">
        <w:rPr>
          <w:lang w:val="en-US"/>
        </w:rPr>
        <w:t>Child Protection Navigators in each area who proactively identify and connect children and families with intensive support and facilitate connected service responses between family services and child protection</w:t>
      </w:r>
    </w:p>
    <w:p w14:paraId="739EDF76" w14:textId="77777777" w:rsidR="0072611F" w:rsidRPr="009426E0" w:rsidRDefault="0072611F" w:rsidP="00B57C5B">
      <w:pPr>
        <w:pStyle w:val="Bullet1"/>
        <w:rPr>
          <w:lang w:val="en-US"/>
        </w:rPr>
      </w:pPr>
      <w:r w:rsidRPr="009426E0">
        <w:rPr>
          <w:lang w:val="en-US"/>
        </w:rPr>
        <w:t xml:space="preserve">evidence-informed practice modules, along with workforce capability supports, for more effective engagement, </w:t>
      </w:r>
      <w:proofErr w:type="spellStart"/>
      <w:r w:rsidRPr="009426E0">
        <w:rPr>
          <w:lang w:val="en-US"/>
        </w:rPr>
        <w:t>behaviour</w:t>
      </w:r>
      <w:proofErr w:type="spellEnd"/>
      <w:r w:rsidRPr="009426E0">
        <w:rPr>
          <w:lang w:val="en-US"/>
        </w:rPr>
        <w:t xml:space="preserve"> change, and capability building</w:t>
      </w:r>
    </w:p>
    <w:p w14:paraId="30EFB96A" w14:textId="77777777" w:rsidR="0072611F" w:rsidRPr="009426E0" w:rsidRDefault="0072611F" w:rsidP="00B57C5B">
      <w:pPr>
        <w:pStyle w:val="Bullet1"/>
        <w:rPr>
          <w:lang w:val="en-US"/>
        </w:rPr>
      </w:pPr>
      <w:r w:rsidRPr="009426E0">
        <w:rPr>
          <w:lang w:val="en-US"/>
        </w:rPr>
        <w:t>integrated cultural practice elements that capture unique ways of working with Aboriginal children and families, as co-designed with Aboriginal Community Controlled Organisations.</w:t>
      </w:r>
    </w:p>
    <w:p w14:paraId="77A8E19C" w14:textId="77777777" w:rsidR="0072611F" w:rsidRPr="009426E0" w:rsidRDefault="0072611F" w:rsidP="0072611F">
      <w:pPr>
        <w:pStyle w:val="Heading2"/>
        <w:rPr>
          <w:lang w:val="en-US"/>
        </w:rPr>
      </w:pPr>
      <w:bookmarkStart w:id="48" w:name="_Toc191465891"/>
      <w:r w:rsidRPr="009426E0">
        <w:rPr>
          <w:lang w:val="en-US"/>
        </w:rPr>
        <w:t>Putting Families First</w:t>
      </w:r>
      <w:bookmarkEnd w:id="48"/>
      <w:r w:rsidRPr="009426E0">
        <w:rPr>
          <w:lang w:val="en-US"/>
        </w:rPr>
        <w:t xml:space="preserve"> </w:t>
      </w:r>
    </w:p>
    <w:p w14:paraId="24E4102A" w14:textId="77777777" w:rsidR="0072611F" w:rsidRPr="009426E0" w:rsidRDefault="0072611F" w:rsidP="0072611F">
      <w:pPr>
        <w:spacing w:before="0" w:after="160" w:line="259" w:lineRule="auto"/>
        <w:rPr>
          <w:lang w:val="en-US"/>
        </w:rPr>
      </w:pPr>
      <w:r w:rsidRPr="009426E0">
        <w:rPr>
          <w:lang w:val="en-US"/>
        </w:rPr>
        <w:t xml:space="preserve">Putting Families First is an intensive, whole-of-family service response, designed for justice-engaged families who require multiple supports across health, social and justice services. Interdisciplinary teams, led by a family practitioner, deliver coordinated assessments and integrated supports that aim to divert families from long term, acute and statutory service usage. Putting Families First is being </w:t>
      </w:r>
      <w:proofErr w:type="spellStart"/>
      <w:r w:rsidRPr="009426E0">
        <w:rPr>
          <w:lang w:val="en-US"/>
        </w:rPr>
        <w:t>trialled</w:t>
      </w:r>
      <w:proofErr w:type="spellEnd"/>
      <w:r w:rsidRPr="009426E0">
        <w:rPr>
          <w:lang w:val="en-US"/>
        </w:rPr>
        <w:t xml:space="preserve"> in </w:t>
      </w:r>
      <w:proofErr w:type="spellStart"/>
      <w:r w:rsidRPr="009426E0">
        <w:rPr>
          <w:lang w:val="en-US"/>
        </w:rPr>
        <w:t>Brimbank</w:t>
      </w:r>
      <w:proofErr w:type="spellEnd"/>
      <w:r w:rsidRPr="009426E0">
        <w:rPr>
          <w:lang w:val="en-US"/>
        </w:rPr>
        <w:t xml:space="preserve"> Melton and Goulburn Areas.</w:t>
      </w:r>
    </w:p>
    <w:p w14:paraId="5C4CE3B6" w14:textId="77777777" w:rsidR="0072611F" w:rsidRPr="009426E0" w:rsidRDefault="0072611F" w:rsidP="0072611F">
      <w:pPr>
        <w:pStyle w:val="Heading2"/>
        <w:rPr>
          <w:lang w:val="en-US"/>
        </w:rPr>
      </w:pPr>
      <w:bookmarkStart w:id="49" w:name="_Toc191465892"/>
      <w:r w:rsidRPr="009426E0">
        <w:rPr>
          <w:lang w:val="en-US"/>
        </w:rPr>
        <w:t>Local Site Executive Committees</w:t>
      </w:r>
      <w:bookmarkEnd w:id="49"/>
    </w:p>
    <w:p w14:paraId="0CC8AFC3" w14:textId="77777777" w:rsidR="0072611F" w:rsidRPr="009426E0" w:rsidRDefault="0072611F" w:rsidP="0072611F">
      <w:pPr>
        <w:spacing w:after="160" w:line="259" w:lineRule="auto"/>
        <w:rPr>
          <w:lang w:val="en-US"/>
        </w:rPr>
      </w:pPr>
      <w:r w:rsidRPr="009426E0">
        <w:rPr>
          <w:lang w:val="en-US"/>
        </w:rPr>
        <w:t xml:space="preserve">Local Site Executive Committees are local area strategic governance bodies, co-chaired by the departments of Families, Fairness and Housing and Justice and Community Safety, that bring together local leaders across government departments and Victoria Police, and in some areas, Aboriginal organisations, and sector organisations. As place-based structures they build on their local knowledge and networks to identify local issues and priorities for action. Many of the Local Site Executive Committees have </w:t>
      </w:r>
      <w:proofErr w:type="spellStart"/>
      <w:r w:rsidRPr="009426E0">
        <w:rPr>
          <w:lang w:val="en-US"/>
        </w:rPr>
        <w:t>prioritised</w:t>
      </w:r>
      <w:proofErr w:type="spellEnd"/>
      <w:r w:rsidRPr="009426E0">
        <w:rPr>
          <w:lang w:val="en-US"/>
        </w:rPr>
        <w:t xml:space="preserve"> activities that focus on improving outcomes for young people and support new ways of working at the local level. For example, the West Metropolitan Integrated Strategic Executive and Goulburn Local Site Executive Committees supported the design and implementation of the Putting Families First initiative (see above). Since June 2022 there have been Local Site Executive Committees established in all 17 Department of Families, Fairness and Housing administrative areas across Victoria.</w:t>
      </w:r>
    </w:p>
    <w:p w14:paraId="0A0B7BDF" w14:textId="77777777" w:rsidR="0072611F" w:rsidRPr="009426E0" w:rsidRDefault="0072611F" w:rsidP="0072611F">
      <w:pPr>
        <w:pStyle w:val="Heading2"/>
        <w:rPr>
          <w:lang w:val="en-US"/>
        </w:rPr>
      </w:pPr>
      <w:bookmarkStart w:id="50" w:name="_Toc191465893"/>
      <w:r w:rsidRPr="009426E0">
        <w:rPr>
          <w:lang w:val="en-US"/>
        </w:rPr>
        <w:t>3.2 Youth offending</w:t>
      </w:r>
      <w:bookmarkEnd w:id="50"/>
    </w:p>
    <w:p w14:paraId="759BDE0B" w14:textId="77777777" w:rsidR="0072611F" w:rsidRPr="009426E0" w:rsidRDefault="0072611F" w:rsidP="0072611F">
      <w:pPr>
        <w:spacing w:after="160" w:line="259" w:lineRule="auto"/>
        <w:rPr>
          <w:lang w:val="en-US"/>
        </w:rPr>
      </w:pPr>
      <w:r w:rsidRPr="009426E0">
        <w:rPr>
          <w:lang w:val="en-US"/>
        </w:rPr>
        <w:t xml:space="preserve">The social and economic environments of different geographic areas can also influence the risk of young people engaging in anti-social or criminal </w:t>
      </w:r>
      <w:proofErr w:type="spellStart"/>
      <w:r w:rsidRPr="009426E0">
        <w:rPr>
          <w:lang w:val="en-US"/>
        </w:rPr>
        <w:t>behaviour</w:t>
      </w:r>
      <w:proofErr w:type="spellEnd"/>
      <w:r w:rsidRPr="009426E0">
        <w:rPr>
          <w:lang w:val="en-US"/>
        </w:rPr>
        <w:t>. By involving local organisations in the design and implementation of programs, place-based approaches promote a sense of ownership within the community and can better target the unique circumstances to prevent criminality and support positive alternatives for young people.</w:t>
      </w:r>
    </w:p>
    <w:p w14:paraId="77A2497F" w14:textId="77777777" w:rsidR="0072611F" w:rsidRPr="009426E0" w:rsidRDefault="0072611F" w:rsidP="0072611F">
      <w:pPr>
        <w:spacing w:after="160" w:line="259" w:lineRule="auto"/>
        <w:rPr>
          <w:lang w:val="en-US"/>
        </w:rPr>
      </w:pPr>
      <w:r w:rsidRPr="009426E0">
        <w:rPr>
          <w:lang w:val="en-US"/>
        </w:rPr>
        <w:t>Alleged offender incidents data are based on alleged incidents where a person has been charged, and do not represent actual offences where a person is prosecuted and pleads guilty or is found guilty by a court.</w:t>
      </w:r>
      <w:r w:rsidRPr="009426E0">
        <w:rPr>
          <w:vertAlign w:val="superscript"/>
          <w:lang w:val="en-US"/>
        </w:rPr>
        <w:footnoteReference w:id="2"/>
      </w:r>
      <w:r w:rsidRPr="009426E0">
        <w:rPr>
          <w:lang w:val="en-US"/>
        </w:rPr>
        <w:t xml:space="preserve">  </w:t>
      </w:r>
      <w:r w:rsidRPr="009426E0">
        <w:rPr>
          <w:lang w:val="en-US"/>
        </w:rPr>
        <w:lastRenderedPageBreak/>
        <w:t>Over the decade from 2013 to 2022, the rate of alleged offended incidents for young people ages 10 to 17 in Victoria trended downward, with results for 2021 and 2022 below pre-pandemic levels (</w:t>
      </w:r>
      <w:r w:rsidRPr="009426E0">
        <w:rPr>
          <w:b/>
          <w:bCs/>
          <w:lang w:val="en-US"/>
        </w:rPr>
        <w:t>Figure 9</w:t>
      </w:r>
      <w:r w:rsidRPr="009426E0">
        <w:rPr>
          <w:lang w:val="en-US"/>
        </w:rPr>
        <w:t xml:space="preserve">). In 2022, young males had a 2.8 times higher rate of alleged offender incidents than young females, and those aged 15 to 17 had a rate 3.6 times higher rate than those aged 10 to 14. </w:t>
      </w:r>
    </w:p>
    <w:p w14:paraId="7124150A" w14:textId="77777777" w:rsidR="001F326D" w:rsidRPr="009426E0" w:rsidRDefault="0072611F" w:rsidP="0072611F">
      <w:pPr>
        <w:rPr>
          <w:lang w:val="en-US"/>
        </w:rPr>
      </w:pPr>
      <w:r w:rsidRPr="009426E0">
        <w:rPr>
          <w:b/>
          <w:bCs/>
          <w:lang w:val="en-US"/>
        </w:rPr>
        <w:t>Figure 10</w:t>
      </w:r>
      <w:r w:rsidRPr="009426E0">
        <w:rPr>
          <w:lang w:val="en-US"/>
        </w:rPr>
        <w:t xml:space="preserve"> shows local government areas with the highest numbers of alleged offender incidents for young people, representing the locations where the crimes occurred as opposed to the alleged offenders’ last known residence, which may have been in a different local government area. Locations with high numbers of alleged offences include places where young people congregate, such as the Melbourne central business district, and destinations like shopping </w:t>
      </w:r>
      <w:proofErr w:type="spellStart"/>
      <w:r w:rsidRPr="009426E0">
        <w:rPr>
          <w:lang w:val="en-US"/>
        </w:rPr>
        <w:t>centres</w:t>
      </w:r>
      <w:proofErr w:type="spellEnd"/>
      <w:r w:rsidRPr="009426E0">
        <w:rPr>
          <w:lang w:val="en-US"/>
        </w:rPr>
        <w:t xml:space="preserve"> where young people commit acquisitive crimes such as shoplifting. </w:t>
      </w:r>
    </w:p>
    <w:p w14:paraId="6DAD03CC" w14:textId="77777777" w:rsidR="0072611F" w:rsidRPr="009426E0" w:rsidRDefault="0072611F" w:rsidP="008E4544">
      <w:pPr>
        <w:pStyle w:val="Figuretitle"/>
        <w:rPr>
          <w:lang w:val="en-US"/>
        </w:rPr>
      </w:pPr>
      <w:r w:rsidRPr="009426E0">
        <w:rPr>
          <w:bCs/>
          <w:lang w:val="en-US"/>
        </w:rPr>
        <w:t>Figure 9:</w:t>
      </w:r>
      <w:r w:rsidRPr="009426E0">
        <w:rPr>
          <w:lang w:val="en-US"/>
        </w:rPr>
        <w:t xml:space="preserve"> Alleged offender incidents, rate per 100,000 population ages 10 to 17, 2013 to 2022</w:t>
      </w: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00"/>
        <w:gridCol w:w="892"/>
        <w:gridCol w:w="946"/>
        <w:gridCol w:w="1106"/>
        <w:gridCol w:w="892"/>
        <w:gridCol w:w="946"/>
        <w:gridCol w:w="1106"/>
        <w:gridCol w:w="892"/>
        <w:gridCol w:w="946"/>
        <w:gridCol w:w="1106"/>
      </w:tblGrid>
      <w:tr w:rsidR="009E3D6A" w:rsidRPr="009426E0" w14:paraId="4C30EEA5" w14:textId="77777777" w:rsidTr="005F0D0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 w:type="dxa"/>
            <w:tcBorders>
              <w:top w:val="nil"/>
              <w:left w:val="nil"/>
              <w:bottom w:val="nil"/>
            </w:tcBorders>
            <w:shd w:val="clear" w:color="auto" w:fill="auto"/>
          </w:tcPr>
          <w:p w14:paraId="66DFC7F3" w14:textId="77777777" w:rsidR="009E3D6A" w:rsidRPr="009426E0" w:rsidRDefault="009E3D6A" w:rsidP="0072611F">
            <w:pPr>
              <w:spacing w:after="160" w:line="259" w:lineRule="auto"/>
              <w:rPr>
                <w:lang w:val="en-US"/>
              </w:rPr>
            </w:pPr>
          </w:p>
        </w:tc>
        <w:tc>
          <w:tcPr>
            <w:tcW w:w="2886" w:type="dxa"/>
            <w:gridSpan w:val="3"/>
            <w:tcBorders>
              <w:top w:val="nil"/>
            </w:tcBorders>
          </w:tcPr>
          <w:p w14:paraId="0697423A" w14:textId="7C0FF759" w:rsidR="009E3D6A" w:rsidRPr="009426E0" w:rsidRDefault="009E3D6A" w:rsidP="0070533A">
            <w:pPr>
              <w:pStyle w:val="TableHead"/>
              <w:jc w:val="center"/>
              <w:cnfStyle w:val="100000000000" w:firstRow="1" w:lastRow="0" w:firstColumn="0" w:lastColumn="0" w:oddVBand="0" w:evenVBand="0" w:oddHBand="0" w:evenHBand="0" w:firstRowFirstColumn="0" w:firstRowLastColumn="0" w:lastRowFirstColumn="0" w:lastRowLastColumn="0"/>
              <w:rPr>
                <w:b/>
                <w:bCs w:val="0"/>
              </w:rPr>
            </w:pPr>
            <w:r w:rsidRPr="009426E0">
              <w:rPr>
                <w:b/>
                <w:bCs w:val="0"/>
              </w:rPr>
              <w:t>10-14 years</w:t>
            </w:r>
          </w:p>
        </w:tc>
        <w:tc>
          <w:tcPr>
            <w:tcW w:w="2886" w:type="dxa"/>
            <w:gridSpan w:val="3"/>
            <w:tcBorders>
              <w:top w:val="nil"/>
            </w:tcBorders>
          </w:tcPr>
          <w:p w14:paraId="738CA3B9" w14:textId="119B8E6D" w:rsidR="009E3D6A" w:rsidRPr="009426E0" w:rsidRDefault="009E3D6A" w:rsidP="0070533A">
            <w:pPr>
              <w:pStyle w:val="TableHead"/>
              <w:jc w:val="center"/>
              <w:cnfStyle w:val="100000000000" w:firstRow="1" w:lastRow="0" w:firstColumn="0" w:lastColumn="0" w:oddVBand="0" w:evenVBand="0" w:oddHBand="0" w:evenHBand="0" w:firstRowFirstColumn="0" w:firstRowLastColumn="0" w:lastRowFirstColumn="0" w:lastRowLastColumn="0"/>
              <w:rPr>
                <w:b/>
                <w:bCs w:val="0"/>
              </w:rPr>
            </w:pPr>
            <w:r w:rsidRPr="009426E0">
              <w:rPr>
                <w:b/>
                <w:bCs w:val="0"/>
              </w:rPr>
              <w:t>15-17 Years</w:t>
            </w:r>
          </w:p>
        </w:tc>
        <w:tc>
          <w:tcPr>
            <w:tcW w:w="2888" w:type="dxa"/>
            <w:gridSpan w:val="3"/>
            <w:tcBorders>
              <w:top w:val="nil"/>
              <w:right w:val="nil"/>
            </w:tcBorders>
          </w:tcPr>
          <w:p w14:paraId="787F7178" w14:textId="2E0BD1F1" w:rsidR="009E3D6A" w:rsidRPr="009426E0" w:rsidRDefault="009E3D6A" w:rsidP="0070533A">
            <w:pPr>
              <w:pStyle w:val="TableHead"/>
              <w:jc w:val="center"/>
              <w:cnfStyle w:val="100000000000" w:firstRow="1" w:lastRow="0" w:firstColumn="0" w:lastColumn="0" w:oddVBand="0" w:evenVBand="0" w:oddHBand="0" w:evenHBand="0" w:firstRowFirstColumn="0" w:firstRowLastColumn="0" w:lastRowFirstColumn="0" w:lastRowLastColumn="0"/>
              <w:rPr>
                <w:b/>
                <w:bCs w:val="0"/>
              </w:rPr>
            </w:pPr>
            <w:r w:rsidRPr="009426E0">
              <w:rPr>
                <w:b/>
                <w:bCs w:val="0"/>
              </w:rPr>
              <w:t>Total</w:t>
            </w:r>
          </w:p>
        </w:tc>
      </w:tr>
      <w:tr w:rsidR="008012E8" w:rsidRPr="009426E0" w14:paraId="054FAC17" w14:textId="77777777" w:rsidTr="005F0D0C">
        <w:tc>
          <w:tcPr>
            <w:cnfStyle w:val="001000000000" w:firstRow="0" w:lastRow="0" w:firstColumn="1" w:lastColumn="0" w:oddVBand="0" w:evenVBand="0" w:oddHBand="0" w:evenHBand="0" w:firstRowFirstColumn="0" w:firstRowLastColumn="0" w:lastRowFirstColumn="0" w:lastRowLastColumn="0"/>
            <w:tcW w:w="962" w:type="dxa"/>
            <w:tcBorders>
              <w:top w:val="nil"/>
              <w:left w:val="nil"/>
            </w:tcBorders>
          </w:tcPr>
          <w:p w14:paraId="027961FC" w14:textId="77777777" w:rsidR="008012E8" w:rsidRPr="009426E0" w:rsidRDefault="008012E8" w:rsidP="008012E8">
            <w:pPr>
              <w:spacing w:after="160" w:line="259" w:lineRule="auto"/>
              <w:rPr>
                <w:b/>
                <w:lang w:val="en-US"/>
              </w:rPr>
            </w:pPr>
          </w:p>
        </w:tc>
        <w:tc>
          <w:tcPr>
            <w:tcW w:w="962" w:type="dxa"/>
          </w:tcPr>
          <w:p w14:paraId="05B0AC3C" w14:textId="1726EB78" w:rsidR="008012E8" w:rsidRPr="009426E0" w:rsidRDefault="008012E8" w:rsidP="008012E8">
            <w:pPr>
              <w:spacing w:after="160" w:line="259" w:lineRule="auto"/>
              <w:cnfStyle w:val="000000000000" w:firstRow="0" w:lastRow="0" w:firstColumn="0" w:lastColumn="0" w:oddVBand="0" w:evenVBand="0" w:oddHBand="0" w:evenHBand="0" w:firstRowFirstColumn="0" w:firstRowLastColumn="0" w:lastRowFirstColumn="0" w:lastRowLastColumn="0"/>
              <w:rPr>
                <w:lang w:val="en-US"/>
              </w:rPr>
            </w:pPr>
            <w:r w:rsidRPr="009426E0">
              <w:rPr>
                <w:rFonts w:ascii="Arial" w:eastAsia="Times New Roman" w:hAnsi="Arial" w:cs="Arial"/>
                <w:b/>
                <w:bCs/>
                <w:color w:val="000000"/>
                <w:sz w:val="14"/>
                <w:szCs w:val="14"/>
                <w:lang w:eastAsia="en-GB"/>
              </w:rPr>
              <w:t>Alleged Offender Incidents</w:t>
            </w:r>
          </w:p>
        </w:tc>
        <w:tc>
          <w:tcPr>
            <w:tcW w:w="962" w:type="dxa"/>
          </w:tcPr>
          <w:p w14:paraId="65CC294D" w14:textId="5F7BF615" w:rsidR="008012E8" w:rsidRPr="009426E0" w:rsidRDefault="008012E8" w:rsidP="008012E8">
            <w:pPr>
              <w:spacing w:after="160" w:line="259" w:lineRule="auto"/>
              <w:cnfStyle w:val="000000000000" w:firstRow="0" w:lastRow="0" w:firstColumn="0" w:lastColumn="0" w:oddVBand="0" w:evenVBand="0" w:oddHBand="0" w:evenHBand="0" w:firstRowFirstColumn="0" w:firstRowLastColumn="0" w:lastRowFirstColumn="0" w:lastRowLastColumn="0"/>
              <w:rPr>
                <w:lang w:val="en-US"/>
              </w:rPr>
            </w:pPr>
            <w:r w:rsidRPr="009426E0">
              <w:rPr>
                <w:rFonts w:ascii="Arial" w:eastAsia="Times New Roman" w:hAnsi="Arial" w:cs="Arial"/>
                <w:b/>
                <w:bCs/>
                <w:color w:val="000000"/>
                <w:sz w:val="14"/>
                <w:szCs w:val="14"/>
                <w:lang w:eastAsia="en-GB"/>
              </w:rPr>
              <w:t>Rate per 100,000 population</w:t>
            </w:r>
          </w:p>
        </w:tc>
        <w:tc>
          <w:tcPr>
            <w:tcW w:w="962" w:type="dxa"/>
          </w:tcPr>
          <w:p w14:paraId="645965F3" w14:textId="319C7E36" w:rsidR="008012E8" w:rsidRPr="009426E0" w:rsidRDefault="008012E8" w:rsidP="008012E8">
            <w:pPr>
              <w:spacing w:after="160" w:line="259" w:lineRule="auto"/>
              <w:cnfStyle w:val="000000000000" w:firstRow="0" w:lastRow="0" w:firstColumn="0" w:lastColumn="0" w:oddVBand="0" w:evenVBand="0" w:oddHBand="0" w:evenHBand="0" w:firstRowFirstColumn="0" w:firstRowLastColumn="0" w:lastRowFirstColumn="0" w:lastRowLastColumn="0"/>
              <w:rPr>
                <w:lang w:val="en-US"/>
              </w:rPr>
            </w:pPr>
            <w:r w:rsidRPr="009426E0">
              <w:rPr>
                <w:rFonts w:ascii="Arial" w:eastAsia="Times New Roman" w:hAnsi="Arial" w:cs="Arial"/>
                <w:b/>
                <w:bCs/>
                <w:color w:val="000000"/>
                <w:sz w:val="14"/>
                <w:szCs w:val="14"/>
                <w:lang w:eastAsia="en-GB"/>
              </w:rPr>
              <w:t>Est. Population</w:t>
            </w:r>
          </w:p>
        </w:tc>
        <w:tc>
          <w:tcPr>
            <w:tcW w:w="962" w:type="dxa"/>
          </w:tcPr>
          <w:p w14:paraId="54A8F6EA" w14:textId="53D5CD57" w:rsidR="008012E8" w:rsidRPr="009426E0" w:rsidRDefault="008012E8" w:rsidP="008012E8">
            <w:pPr>
              <w:spacing w:after="160" w:line="259" w:lineRule="auto"/>
              <w:cnfStyle w:val="000000000000" w:firstRow="0" w:lastRow="0" w:firstColumn="0" w:lastColumn="0" w:oddVBand="0" w:evenVBand="0" w:oddHBand="0" w:evenHBand="0" w:firstRowFirstColumn="0" w:firstRowLastColumn="0" w:lastRowFirstColumn="0" w:lastRowLastColumn="0"/>
              <w:rPr>
                <w:lang w:val="en-US"/>
              </w:rPr>
            </w:pPr>
            <w:r w:rsidRPr="009426E0">
              <w:rPr>
                <w:rFonts w:ascii="Arial" w:eastAsia="Times New Roman" w:hAnsi="Arial" w:cs="Arial"/>
                <w:b/>
                <w:bCs/>
                <w:color w:val="000000"/>
                <w:sz w:val="14"/>
                <w:szCs w:val="14"/>
                <w:lang w:eastAsia="en-GB"/>
              </w:rPr>
              <w:t>Alleged Offender Incidents</w:t>
            </w:r>
          </w:p>
        </w:tc>
        <w:tc>
          <w:tcPr>
            <w:tcW w:w="962" w:type="dxa"/>
          </w:tcPr>
          <w:p w14:paraId="71154E77" w14:textId="4C3364E9" w:rsidR="008012E8" w:rsidRPr="009426E0" w:rsidRDefault="008012E8" w:rsidP="008012E8">
            <w:pPr>
              <w:spacing w:after="160" w:line="259" w:lineRule="auto"/>
              <w:cnfStyle w:val="000000000000" w:firstRow="0" w:lastRow="0" w:firstColumn="0" w:lastColumn="0" w:oddVBand="0" w:evenVBand="0" w:oddHBand="0" w:evenHBand="0" w:firstRowFirstColumn="0" w:firstRowLastColumn="0" w:lastRowFirstColumn="0" w:lastRowLastColumn="0"/>
              <w:rPr>
                <w:lang w:val="en-US"/>
              </w:rPr>
            </w:pPr>
            <w:r w:rsidRPr="009426E0">
              <w:rPr>
                <w:rFonts w:ascii="Arial" w:eastAsia="Times New Roman" w:hAnsi="Arial" w:cs="Arial"/>
                <w:b/>
                <w:bCs/>
                <w:color w:val="000000"/>
                <w:sz w:val="14"/>
                <w:szCs w:val="14"/>
                <w:lang w:eastAsia="en-GB"/>
              </w:rPr>
              <w:t>Rate per 100,000 population</w:t>
            </w:r>
          </w:p>
        </w:tc>
        <w:tc>
          <w:tcPr>
            <w:tcW w:w="962" w:type="dxa"/>
          </w:tcPr>
          <w:p w14:paraId="597014CE" w14:textId="6AB32478" w:rsidR="008012E8" w:rsidRPr="009426E0" w:rsidRDefault="008012E8" w:rsidP="008012E8">
            <w:pPr>
              <w:spacing w:after="160" w:line="259" w:lineRule="auto"/>
              <w:cnfStyle w:val="000000000000" w:firstRow="0" w:lastRow="0" w:firstColumn="0" w:lastColumn="0" w:oddVBand="0" w:evenVBand="0" w:oddHBand="0" w:evenHBand="0" w:firstRowFirstColumn="0" w:firstRowLastColumn="0" w:lastRowFirstColumn="0" w:lastRowLastColumn="0"/>
              <w:rPr>
                <w:lang w:val="en-US"/>
              </w:rPr>
            </w:pPr>
            <w:r w:rsidRPr="009426E0">
              <w:rPr>
                <w:rFonts w:ascii="Arial" w:eastAsia="Times New Roman" w:hAnsi="Arial" w:cs="Arial"/>
                <w:b/>
                <w:bCs/>
                <w:color w:val="000000"/>
                <w:sz w:val="14"/>
                <w:szCs w:val="14"/>
                <w:lang w:eastAsia="en-GB"/>
              </w:rPr>
              <w:t>Est. Population</w:t>
            </w:r>
          </w:p>
        </w:tc>
        <w:tc>
          <w:tcPr>
            <w:tcW w:w="962" w:type="dxa"/>
          </w:tcPr>
          <w:p w14:paraId="3BDAFA21" w14:textId="022BFF2A" w:rsidR="008012E8" w:rsidRPr="009426E0" w:rsidRDefault="008012E8" w:rsidP="008012E8">
            <w:pPr>
              <w:spacing w:after="160" w:line="259" w:lineRule="auto"/>
              <w:cnfStyle w:val="000000000000" w:firstRow="0" w:lastRow="0" w:firstColumn="0" w:lastColumn="0" w:oddVBand="0" w:evenVBand="0" w:oddHBand="0" w:evenHBand="0" w:firstRowFirstColumn="0" w:firstRowLastColumn="0" w:lastRowFirstColumn="0" w:lastRowLastColumn="0"/>
              <w:rPr>
                <w:lang w:val="en-US"/>
              </w:rPr>
            </w:pPr>
            <w:r w:rsidRPr="009426E0">
              <w:rPr>
                <w:rFonts w:ascii="Arial" w:eastAsia="Times New Roman" w:hAnsi="Arial" w:cs="Arial"/>
                <w:b/>
                <w:bCs/>
                <w:color w:val="000000"/>
                <w:sz w:val="14"/>
                <w:szCs w:val="14"/>
                <w:lang w:eastAsia="en-GB"/>
              </w:rPr>
              <w:t>Alleged Offender Incidents</w:t>
            </w:r>
          </w:p>
        </w:tc>
        <w:tc>
          <w:tcPr>
            <w:tcW w:w="963" w:type="dxa"/>
          </w:tcPr>
          <w:p w14:paraId="5ABA8EEA" w14:textId="6CE8AEEB" w:rsidR="008012E8" w:rsidRPr="009426E0" w:rsidRDefault="008012E8" w:rsidP="008012E8">
            <w:pPr>
              <w:spacing w:after="160" w:line="259" w:lineRule="auto"/>
              <w:cnfStyle w:val="000000000000" w:firstRow="0" w:lastRow="0" w:firstColumn="0" w:lastColumn="0" w:oddVBand="0" w:evenVBand="0" w:oddHBand="0" w:evenHBand="0" w:firstRowFirstColumn="0" w:firstRowLastColumn="0" w:lastRowFirstColumn="0" w:lastRowLastColumn="0"/>
              <w:rPr>
                <w:lang w:val="en-US"/>
              </w:rPr>
            </w:pPr>
            <w:r w:rsidRPr="009426E0">
              <w:rPr>
                <w:rFonts w:ascii="Arial" w:eastAsia="Times New Roman" w:hAnsi="Arial" w:cs="Arial"/>
                <w:b/>
                <w:bCs/>
                <w:color w:val="000000"/>
                <w:sz w:val="14"/>
                <w:szCs w:val="14"/>
                <w:lang w:eastAsia="en-GB"/>
              </w:rPr>
              <w:t>Rate per 100,000 population</w:t>
            </w:r>
          </w:p>
        </w:tc>
        <w:tc>
          <w:tcPr>
            <w:tcW w:w="963" w:type="dxa"/>
            <w:tcBorders>
              <w:right w:val="nil"/>
            </w:tcBorders>
          </w:tcPr>
          <w:p w14:paraId="4209996C" w14:textId="358B6436" w:rsidR="008012E8" w:rsidRPr="009426E0" w:rsidRDefault="008012E8" w:rsidP="008012E8">
            <w:pPr>
              <w:spacing w:after="160" w:line="259" w:lineRule="auto"/>
              <w:cnfStyle w:val="000000000000" w:firstRow="0" w:lastRow="0" w:firstColumn="0" w:lastColumn="0" w:oddVBand="0" w:evenVBand="0" w:oddHBand="0" w:evenHBand="0" w:firstRowFirstColumn="0" w:firstRowLastColumn="0" w:lastRowFirstColumn="0" w:lastRowLastColumn="0"/>
              <w:rPr>
                <w:lang w:val="en-US"/>
              </w:rPr>
            </w:pPr>
            <w:r w:rsidRPr="009426E0">
              <w:rPr>
                <w:rFonts w:ascii="Arial" w:eastAsia="Times New Roman" w:hAnsi="Arial" w:cs="Arial"/>
                <w:b/>
                <w:bCs/>
                <w:color w:val="000000"/>
                <w:sz w:val="14"/>
                <w:szCs w:val="14"/>
                <w:lang w:eastAsia="en-GB"/>
              </w:rPr>
              <w:t>Est. Population</w:t>
            </w:r>
          </w:p>
        </w:tc>
      </w:tr>
      <w:tr w:rsidR="008012E8" w:rsidRPr="009426E0" w14:paraId="03E8EB4D" w14:textId="77777777" w:rsidTr="001F326D">
        <w:trPr>
          <w:trHeight w:val="340"/>
        </w:trPr>
        <w:tc>
          <w:tcPr>
            <w:cnfStyle w:val="001000000000" w:firstRow="0" w:lastRow="0" w:firstColumn="1" w:lastColumn="0" w:oddVBand="0" w:evenVBand="0" w:oddHBand="0" w:evenHBand="0" w:firstRowFirstColumn="0" w:firstRowLastColumn="0" w:lastRowFirstColumn="0" w:lastRowLastColumn="0"/>
            <w:tcW w:w="962" w:type="dxa"/>
            <w:tcBorders>
              <w:left w:val="nil"/>
            </w:tcBorders>
            <w:vAlign w:val="center"/>
          </w:tcPr>
          <w:p w14:paraId="5C899864" w14:textId="389D0DB3" w:rsidR="008012E8" w:rsidRPr="009426E0" w:rsidRDefault="008012E8" w:rsidP="001F326D">
            <w:pPr>
              <w:pStyle w:val="Tablebody"/>
              <w:rPr>
                <w:lang w:val="en-US"/>
              </w:rPr>
            </w:pPr>
            <w:r w:rsidRPr="009426E0">
              <w:rPr>
                <w:lang w:val="en-US"/>
              </w:rPr>
              <w:t>2013</w:t>
            </w:r>
          </w:p>
        </w:tc>
        <w:tc>
          <w:tcPr>
            <w:tcW w:w="962" w:type="dxa"/>
            <w:vAlign w:val="center"/>
          </w:tcPr>
          <w:p w14:paraId="25A80A59" w14:textId="7B015D6D" w:rsidR="008012E8" w:rsidRPr="009426E0" w:rsidRDefault="008012E8" w:rsidP="001F326D">
            <w:pPr>
              <w:pStyle w:val="Tablebody"/>
              <w:cnfStyle w:val="000000000000" w:firstRow="0" w:lastRow="0" w:firstColumn="0" w:lastColumn="0" w:oddVBand="0" w:evenVBand="0" w:oddHBand="0" w:evenHBand="0" w:firstRowFirstColumn="0" w:firstRowLastColumn="0" w:lastRowFirstColumn="0" w:lastRowLastColumn="0"/>
              <w:rPr>
                <w:lang w:val="en-US"/>
              </w:rPr>
            </w:pPr>
            <w:r w:rsidRPr="009426E0">
              <w:rPr>
                <w:lang w:eastAsia="en-GB"/>
              </w:rPr>
              <w:t>5,024</w:t>
            </w:r>
          </w:p>
        </w:tc>
        <w:tc>
          <w:tcPr>
            <w:tcW w:w="962" w:type="dxa"/>
            <w:vAlign w:val="center"/>
          </w:tcPr>
          <w:p w14:paraId="3AA1BFE4" w14:textId="39A8FBBE" w:rsidR="008012E8" w:rsidRPr="009426E0" w:rsidRDefault="009E3D6A" w:rsidP="001F326D">
            <w:pPr>
              <w:pStyle w:val="Tablebody"/>
              <w:cnfStyle w:val="000000000000" w:firstRow="0" w:lastRow="0" w:firstColumn="0" w:lastColumn="0" w:oddVBand="0" w:evenVBand="0" w:oddHBand="0" w:evenHBand="0" w:firstRowFirstColumn="0" w:firstRowLastColumn="0" w:lastRowFirstColumn="0" w:lastRowLastColumn="0"/>
              <w:rPr>
                <w:lang w:val="en-US"/>
              </w:rPr>
            </w:pPr>
            <w:r w:rsidRPr="009426E0">
              <w:rPr>
                <w:lang w:eastAsia="en-GB"/>
              </w:rPr>
              <w:t>1,501.1</w:t>
            </w:r>
          </w:p>
        </w:tc>
        <w:tc>
          <w:tcPr>
            <w:tcW w:w="962" w:type="dxa"/>
            <w:vAlign w:val="center"/>
          </w:tcPr>
          <w:p w14:paraId="6A4B5336" w14:textId="2A442F49" w:rsidR="008012E8" w:rsidRPr="009426E0" w:rsidRDefault="00A93AEB" w:rsidP="001F326D">
            <w:pPr>
              <w:pStyle w:val="Tablebody"/>
              <w:cnfStyle w:val="000000000000" w:firstRow="0" w:lastRow="0" w:firstColumn="0" w:lastColumn="0" w:oddVBand="0" w:evenVBand="0" w:oddHBand="0" w:evenHBand="0" w:firstRowFirstColumn="0" w:firstRowLastColumn="0" w:lastRowFirstColumn="0" w:lastRowLastColumn="0"/>
              <w:rPr>
                <w:lang w:val="en-US"/>
              </w:rPr>
            </w:pPr>
            <w:r w:rsidRPr="009426E0">
              <w:rPr>
                <w:lang w:eastAsia="en-GB"/>
              </w:rPr>
              <w:t>334,698.0</w:t>
            </w:r>
          </w:p>
        </w:tc>
        <w:tc>
          <w:tcPr>
            <w:tcW w:w="962" w:type="dxa"/>
            <w:vAlign w:val="center"/>
          </w:tcPr>
          <w:p w14:paraId="66C42019" w14:textId="6AF4278D" w:rsidR="008012E8" w:rsidRPr="009426E0" w:rsidRDefault="00926C3D" w:rsidP="001F326D">
            <w:pPr>
              <w:pStyle w:val="Tablebody"/>
              <w:cnfStyle w:val="000000000000" w:firstRow="0" w:lastRow="0" w:firstColumn="0" w:lastColumn="0" w:oddVBand="0" w:evenVBand="0" w:oddHBand="0" w:evenHBand="0" w:firstRowFirstColumn="0" w:firstRowLastColumn="0" w:lastRowFirstColumn="0" w:lastRowLastColumn="0"/>
              <w:rPr>
                <w:lang w:val="en-US"/>
              </w:rPr>
            </w:pPr>
            <w:r w:rsidRPr="009426E0">
              <w:rPr>
                <w:lang w:eastAsia="en-GB"/>
              </w:rPr>
              <w:t>13,058</w:t>
            </w:r>
          </w:p>
        </w:tc>
        <w:tc>
          <w:tcPr>
            <w:tcW w:w="962" w:type="dxa"/>
            <w:vAlign w:val="center"/>
          </w:tcPr>
          <w:p w14:paraId="0D1044FD" w14:textId="4561ED54" w:rsidR="008012E8" w:rsidRPr="009426E0" w:rsidRDefault="002E3D20" w:rsidP="001F326D">
            <w:pPr>
              <w:pStyle w:val="Tablebody"/>
              <w:cnfStyle w:val="000000000000" w:firstRow="0" w:lastRow="0" w:firstColumn="0" w:lastColumn="0" w:oddVBand="0" w:evenVBand="0" w:oddHBand="0" w:evenHBand="0" w:firstRowFirstColumn="0" w:firstRowLastColumn="0" w:lastRowFirstColumn="0" w:lastRowLastColumn="0"/>
              <w:rPr>
                <w:lang w:val="en-US"/>
              </w:rPr>
            </w:pPr>
            <w:r w:rsidRPr="009426E0">
              <w:rPr>
                <w:lang w:eastAsia="en-GB"/>
              </w:rPr>
              <w:t>6,244.3</w:t>
            </w:r>
          </w:p>
        </w:tc>
        <w:tc>
          <w:tcPr>
            <w:tcW w:w="962" w:type="dxa"/>
            <w:vAlign w:val="center"/>
          </w:tcPr>
          <w:p w14:paraId="44335296" w14:textId="008FBEE0" w:rsidR="008012E8" w:rsidRPr="009426E0" w:rsidRDefault="002E0714" w:rsidP="001F326D">
            <w:pPr>
              <w:pStyle w:val="Tablebody"/>
              <w:cnfStyle w:val="000000000000" w:firstRow="0" w:lastRow="0" w:firstColumn="0" w:lastColumn="0" w:oddVBand="0" w:evenVBand="0" w:oddHBand="0" w:evenHBand="0" w:firstRowFirstColumn="0" w:firstRowLastColumn="0" w:lastRowFirstColumn="0" w:lastRowLastColumn="0"/>
              <w:rPr>
                <w:lang w:val="en-US"/>
              </w:rPr>
            </w:pPr>
            <w:r w:rsidRPr="009426E0">
              <w:rPr>
                <w:lang w:eastAsia="en-GB"/>
              </w:rPr>
              <w:t>209,118.0</w:t>
            </w:r>
          </w:p>
        </w:tc>
        <w:tc>
          <w:tcPr>
            <w:tcW w:w="962" w:type="dxa"/>
            <w:vAlign w:val="center"/>
          </w:tcPr>
          <w:p w14:paraId="7FF41290" w14:textId="1FEEF6F5" w:rsidR="008012E8" w:rsidRPr="009426E0" w:rsidRDefault="00B05E0A" w:rsidP="001F326D">
            <w:pPr>
              <w:pStyle w:val="Tablebody"/>
              <w:cnfStyle w:val="000000000000" w:firstRow="0" w:lastRow="0" w:firstColumn="0" w:lastColumn="0" w:oddVBand="0" w:evenVBand="0" w:oddHBand="0" w:evenHBand="0" w:firstRowFirstColumn="0" w:firstRowLastColumn="0" w:lastRowFirstColumn="0" w:lastRowLastColumn="0"/>
              <w:rPr>
                <w:lang w:val="en-US"/>
              </w:rPr>
            </w:pPr>
            <w:r w:rsidRPr="009426E0">
              <w:rPr>
                <w:lang w:eastAsia="en-GB"/>
              </w:rPr>
              <w:t>18,082</w:t>
            </w:r>
          </w:p>
        </w:tc>
        <w:tc>
          <w:tcPr>
            <w:tcW w:w="963" w:type="dxa"/>
            <w:vAlign w:val="center"/>
          </w:tcPr>
          <w:p w14:paraId="517928DB" w14:textId="6586F966" w:rsidR="008012E8" w:rsidRPr="009426E0" w:rsidRDefault="00B72202" w:rsidP="001F326D">
            <w:pPr>
              <w:pStyle w:val="Tablebody"/>
              <w:cnfStyle w:val="000000000000" w:firstRow="0" w:lastRow="0" w:firstColumn="0" w:lastColumn="0" w:oddVBand="0" w:evenVBand="0" w:oddHBand="0" w:evenHBand="0" w:firstRowFirstColumn="0" w:firstRowLastColumn="0" w:lastRowFirstColumn="0" w:lastRowLastColumn="0"/>
              <w:rPr>
                <w:lang w:val="en-US"/>
              </w:rPr>
            </w:pPr>
            <w:r w:rsidRPr="009426E0">
              <w:rPr>
                <w:lang w:eastAsia="en-GB"/>
              </w:rPr>
              <w:t>3,325.0</w:t>
            </w:r>
          </w:p>
        </w:tc>
        <w:tc>
          <w:tcPr>
            <w:tcW w:w="963" w:type="dxa"/>
            <w:tcBorders>
              <w:right w:val="nil"/>
            </w:tcBorders>
            <w:vAlign w:val="center"/>
          </w:tcPr>
          <w:p w14:paraId="30212DDB" w14:textId="7CAAA08E" w:rsidR="008012E8" w:rsidRPr="009426E0" w:rsidRDefault="00B72202" w:rsidP="001F326D">
            <w:pPr>
              <w:pStyle w:val="Tablebody"/>
              <w:cnfStyle w:val="000000000000" w:firstRow="0" w:lastRow="0" w:firstColumn="0" w:lastColumn="0" w:oddVBand="0" w:evenVBand="0" w:oddHBand="0" w:evenHBand="0" w:firstRowFirstColumn="0" w:firstRowLastColumn="0" w:lastRowFirstColumn="0" w:lastRowLastColumn="0"/>
              <w:rPr>
                <w:lang w:val="en-US"/>
              </w:rPr>
            </w:pPr>
            <w:r w:rsidRPr="009426E0">
              <w:rPr>
                <w:lang w:eastAsia="en-GB"/>
              </w:rPr>
              <w:t>543,816.0</w:t>
            </w:r>
          </w:p>
        </w:tc>
      </w:tr>
      <w:tr w:rsidR="008012E8" w:rsidRPr="009426E0" w14:paraId="78335EAD" w14:textId="77777777" w:rsidTr="001F326D">
        <w:trPr>
          <w:trHeight w:val="340"/>
        </w:trPr>
        <w:tc>
          <w:tcPr>
            <w:cnfStyle w:val="001000000000" w:firstRow="0" w:lastRow="0" w:firstColumn="1" w:lastColumn="0" w:oddVBand="0" w:evenVBand="0" w:oddHBand="0" w:evenHBand="0" w:firstRowFirstColumn="0" w:firstRowLastColumn="0" w:lastRowFirstColumn="0" w:lastRowLastColumn="0"/>
            <w:tcW w:w="962" w:type="dxa"/>
            <w:tcBorders>
              <w:left w:val="nil"/>
            </w:tcBorders>
            <w:vAlign w:val="center"/>
          </w:tcPr>
          <w:p w14:paraId="19979A0E" w14:textId="221A5665" w:rsidR="008012E8" w:rsidRPr="009426E0" w:rsidRDefault="008012E8" w:rsidP="001F326D">
            <w:pPr>
              <w:pStyle w:val="Tablebody"/>
              <w:rPr>
                <w:lang w:val="en-US"/>
              </w:rPr>
            </w:pPr>
            <w:r w:rsidRPr="009426E0">
              <w:rPr>
                <w:lang w:val="en-US"/>
              </w:rPr>
              <w:t>2014</w:t>
            </w:r>
          </w:p>
        </w:tc>
        <w:tc>
          <w:tcPr>
            <w:tcW w:w="962" w:type="dxa"/>
            <w:vAlign w:val="center"/>
          </w:tcPr>
          <w:p w14:paraId="67FDBD96" w14:textId="6D7926B4" w:rsidR="008012E8" w:rsidRPr="009426E0" w:rsidRDefault="008012E8" w:rsidP="001F326D">
            <w:pPr>
              <w:pStyle w:val="Tablebody"/>
              <w:cnfStyle w:val="000000000000" w:firstRow="0" w:lastRow="0" w:firstColumn="0" w:lastColumn="0" w:oddVBand="0" w:evenVBand="0" w:oddHBand="0" w:evenHBand="0" w:firstRowFirstColumn="0" w:firstRowLastColumn="0" w:lastRowFirstColumn="0" w:lastRowLastColumn="0"/>
              <w:rPr>
                <w:lang w:val="en-US"/>
              </w:rPr>
            </w:pPr>
            <w:r w:rsidRPr="009426E0">
              <w:rPr>
                <w:lang w:eastAsia="en-GB"/>
              </w:rPr>
              <w:t>4,893</w:t>
            </w:r>
          </w:p>
        </w:tc>
        <w:tc>
          <w:tcPr>
            <w:tcW w:w="962" w:type="dxa"/>
            <w:vAlign w:val="center"/>
          </w:tcPr>
          <w:p w14:paraId="0C5F0DAB" w14:textId="1D8C9C43" w:rsidR="008012E8" w:rsidRPr="009426E0" w:rsidRDefault="009E3D6A" w:rsidP="001F326D">
            <w:pPr>
              <w:pStyle w:val="Tablebody"/>
              <w:cnfStyle w:val="000000000000" w:firstRow="0" w:lastRow="0" w:firstColumn="0" w:lastColumn="0" w:oddVBand="0" w:evenVBand="0" w:oddHBand="0" w:evenHBand="0" w:firstRowFirstColumn="0" w:firstRowLastColumn="0" w:lastRowFirstColumn="0" w:lastRowLastColumn="0"/>
              <w:rPr>
                <w:lang w:val="en-US"/>
              </w:rPr>
            </w:pPr>
            <w:r w:rsidRPr="009426E0">
              <w:rPr>
                <w:lang w:eastAsia="en-GB"/>
              </w:rPr>
              <w:t>1,444.6</w:t>
            </w:r>
          </w:p>
        </w:tc>
        <w:tc>
          <w:tcPr>
            <w:tcW w:w="962" w:type="dxa"/>
            <w:vAlign w:val="center"/>
          </w:tcPr>
          <w:p w14:paraId="359C1B5C" w14:textId="26808AF6" w:rsidR="008012E8" w:rsidRPr="009426E0" w:rsidRDefault="00A93AEB" w:rsidP="001F326D">
            <w:pPr>
              <w:pStyle w:val="Tablebody"/>
              <w:cnfStyle w:val="000000000000" w:firstRow="0" w:lastRow="0" w:firstColumn="0" w:lastColumn="0" w:oddVBand="0" w:evenVBand="0" w:oddHBand="0" w:evenHBand="0" w:firstRowFirstColumn="0" w:firstRowLastColumn="0" w:lastRowFirstColumn="0" w:lastRowLastColumn="0"/>
              <w:rPr>
                <w:lang w:val="en-US"/>
              </w:rPr>
            </w:pPr>
            <w:r w:rsidRPr="009426E0">
              <w:rPr>
                <w:lang w:eastAsia="en-GB"/>
              </w:rPr>
              <w:t>338,709.0</w:t>
            </w:r>
          </w:p>
        </w:tc>
        <w:tc>
          <w:tcPr>
            <w:tcW w:w="962" w:type="dxa"/>
            <w:vAlign w:val="center"/>
          </w:tcPr>
          <w:p w14:paraId="40D261C7" w14:textId="0835656B" w:rsidR="008012E8" w:rsidRPr="009426E0" w:rsidRDefault="00926C3D" w:rsidP="001F326D">
            <w:pPr>
              <w:pStyle w:val="Tablebody"/>
              <w:cnfStyle w:val="000000000000" w:firstRow="0" w:lastRow="0" w:firstColumn="0" w:lastColumn="0" w:oddVBand="0" w:evenVBand="0" w:oddHBand="0" w:evenHBand="0" w:firstRowFirstColumn="0" w:firstRowLastColumn="0" w:lastRowFirstColumn="0" w:lastRowLastColumn="0"/>
              <w:rPr>
                <w:lang w:val="en-US"/>
              </w:rPr>
            </w:pPr>
            <w:r w:rsidRPr="009426E0">
              <w:rPr>
                <w:lang w:eastAsia="en-GB"/>
              </w:rPr>
              <w:t>12,726</w:t>
            </w:r>
          </w:p>
        </w:tc>
        <w:tc>
          <w:tcPr>
            <w:tcW w:w="962" w:type="dxa"/>
            <w:vAlign w:val="center"/>
          </w:tcPr>
          <w:p w14:paraId="61FDE276" w14:textId="1B96DF6A" w:rsidR="008012E8" w:rsidRPr="009426E0" w:rsidRDefault="002E3D20" w:rsidP="001F326D">
            <w:pPr>
              <w:pStyle w:val="Tablebody"/>
              <w:cnfStyle w:val="000000000000" w:firstRow="0" w:lastRow="0" w:firstColumn="0" w:lastColumn="0" w:oddVBand="0" w:evenVBand="0" w:oddHBand="0" w:evenHBand="0" w:firstRowFirstColumn="0" w:firstRowLastColumn="0" w:lastRowFirstColumn="0" w:lastRowLastColumn="0"/>
              <w:rPr>
                <w:lang w:val="en-US"/>
              </w:rPr>
            </w:pPr>
            <w:r w:rsidRPr="009426E0">
              <w:rPr>
                <w:lang w:eastAsia="en-GB"/>
              </w:rPr>
              <w:t>6,048.1</w:t>
            </w:r>
          </w:p>
        </w:tc>
        <w:tc>
          <w:tcPr>
            <w:tcW w:w="962" w:type="dxa"/>
            <w:vAlign w:val="center"/>
          </w:tcPr>
          <w:p w14:paraId="63E5BA88" w14:textId="67245BFB" w:rsidR="008012E8" w:rsidRPr="009426E0" w:rsidRDefault="002E0714" w:rsidP="001F326D">
            <w:pPr>
              <w:pStyle w:val="Tablebody"/>
              <w:cnfStyle w:val="000000000000" w:firstRow="0" w:lastRow="0" w:firstColumn="0" w:lastColumn="0" w:oddVBand="0" w:evenVBand="0" w:oddHBand="0" w:evenHBand="0" w:firstRowFirstColumn="0" w:firstRowLastColumn="0" w:lastRowFirstColumn="0" w:lastRowLastColumn="0"/>
              <w:rPr>
                <w:lang w:val="en-US"/>
              </w:rPr>
            </w:pPr>
            <w:r w:rsidRPr="009426E0">
              <w:rPr>
                <w:lang w:eastAsia="en-GB"/>
              </w:rPr>
              <w:t>210,414.0</w:t>
            </w:r>
          </w:p>
        </w:tc>
        <w:tc>
          <w:tcPr>
            <w:tcW w:w="962" w:type="dxa"/>
            <w:vAlign w:val="center"/>
          </w:tcPr>
          <w:p w14:paraId="7F31E24C" w14:textId="7F8E6B25" w:rsidR="008012E8" w:rsidRPr="009426E0" w:rsidRDefault="00B05E0A" w:rsidP="001F326D">
            <w:pPr>
              <w:pStyle w:val="Tablebody"/>
              <w:cnfStyle w:val="000000000000" w:firstRow="0" w:lastRow="0" w:firstColumn="0" w:lastColumn="0" w:oddVBand="0" w:evenVBand="0" w:oddHBand="0" w:evenHBand="0" w:firstRowFirstColumn="0" w:firstRowLastColumn="0" w:lastRowFirstColumn="0" w:lastRowLastColumn="0"/>
              <w:rPr>
                <w:lang w:val="en-US"/>
              </w:rPr>
            </w:pPr>
            <w:r w:rsidRPr="009426E0">
              <w:rPr>
                <w:lang w:eastAsia="en-GB"/>
              </w:rPr>
              <w:t>17,619</w:t>
            </w:r>
          </w:p>
        </w:tc>
        <w:tc>
          <w:tcPr>
            <w:tcW w:w="963" w:type="dxa"/>
            <w:vAlign w:val="center"/>
          </w:tcPr>
          <w:p w14:paraId="37C37738" w14:textId="57EB23AA" w:rsidR="008012E8" w:rsidRPr="009426E0" w:rsidRDefault="00B72202" w:rsidP="001F326D">
            <w:pPr>
              <w:pStyle w:val="Tablebody"/>
              <w:cnfStyle w:val="000000000000" w:firstRow="0" w:lastRow="0" w:firstColumn="0" w:lastColumn="0" w:oddVBand="0" w:evenVBand="0" w:oddHBand="0" w:evenHBand="0" w:firstRowFirstColumn="0" w:firstRowLastColumn="0" w:lastRowFirstColumn="0" w:lastRowLastColumn="0"/>
              <w:rPr>
                <w:lang w:val="en-US"/>
              </w:rPr>
            </w:pPr>
            <w:r w:rsidRPr="009426E0">
              <w:rPr>
                <w:lang w:eastAsia="en-GB"/>
              </w:rPr>
              <w:t>3,208.6</w:t>
            </w:r>
          </w:p>
        </w:tc>
        <w:tc>
          <w:tcPr>
            <w:tcW w:w="963" w:type="dxa"/>
            <w:tcBorders>
              <w:right w:val="nil"/>
            </w:tcBorders>
            <w:vAlign w:val="center"/>
          </w:tcPr>
          <w:p w14:paraId="60C171B0" w14:textId="53652424" w:rsidR="008012E8" w:rsidRPr="009426E0" w:rsidRDefault="00B72202" w:rsidP="001F326D">
            <w:pPr>
              <w:pStyle w:val="Tablebody"/>
              <w:cnfStyle w:val="000000000000" w:firstRow="0" w:lastRow="0" w:firstColumn="0" w:lastColumn="0" w:oddVBand="0" w:evenVBand="0" w:oddHBand="0" w:evenHBand="0" w:firstRowFirstColumn="0" w:firstRowLastColumn="0" w:lastRowFirstColumn="0" w:lastRowLastColumn="0"/>
              <w:rPr>
                <w:lang w:val="en-US"/>
              </w:rPr>
            </w:pPr>
            <w:r w:rsidRPr="009426E0">
              <w:rPr>
                <w:lang w:eastAsia="en-GB"/>
              </w:rPr>
              <w:t>549,123.0</w:t>
            </w:r>
          </w:p>
        </w:tc>
      </w:tr>
      <w:tr w:rsidR="008012E8" w:rsidRPr="009426E0" w14:paraId="65D6C99B" w14:textId="77777777" w:rsidTr="001F326D">
        <w:trPr>
          <w:trHeight w:val="340"/>
        </w:trPr>
        <w:tc>
          <w:tcPr>
            <w:cnfStyle w:val="001000000000" w:firstRow="0" w:lastRow="0" w:firstColumn="1" w:lastColumn="0" w:oddVBand="0" w:evenVBand="0" w:oddHBand="0" w:evenHBand="0" w:firstRowFirstColumn="0" w:firstRowLastColumn="0" w:lastRowFirstColumn="0" w:lastRowLastColumn="0"/>
            <w:tcW w:w="962" w:type="dxa"/>
            <w:tcBorders>
              <w:left w:val="nil"/>
            </w:tcBorders>
            <w:vAlign w:val="center"/>
          </w:tcPr>
          <w:p w14:paraId="65C408B5" w14:textId="1B4BAAE3" w:rsidR="008012E8" w:rsidRPr="009426E0" w:rsidRDefault="008012E8" w:rsidP="001F326D">
            <w:pPr>
              <w:pStyle w:val="Tablebody"/>
              <w:rPr>
                <w:lang w:val="en-US"/>
              </w:rPr>
            </w:pPr>
            <w:r w:rsidRPr="009426E0">
              <w:rPr>
                <w:lang w:val="en-US"/>
              </w:rPr>
              <w:t>2015</w:t>
            </w:r>
          </w:p>
        </w:tc>
        <w:tc>
          <w:tcPr>
            <w:tcW w:w="962" w:type="dxa"/>
            <w:vAlign w:val="center"/>
          </w:tcPr>
          <w:p w14:paraId="2C8EFD51" w14:textId="7D69B2A7" w:rsidR="008012E8" w:rsidRPr="009426E0" w:rsidRDefault="008012E8" w:rsidP="001F326D">
            <w:pPr>
              <w:pStyle w:val="Tablebody"/>
              <w:cnfStyle w:val="000000000000" w:firstRow="0" w:lastRow="0" w:firstColumn="0" w:lastColumn="0" w:oddVBand="0" w:evenVBand="0" w:oddHBand="0" w:evenHBand="0" w:firstRowFirstColumn="0" w:firstRowLastColumn="0" w:lastRowFirstColumn="0" w:lastRowLastColumn="0"/>
              <w:rPr>
                <w:lang w:val="en-US"/>
              </w:rPr>
            </w:pPr>
            <w:r w:rsidRPr="009426E0">
              <w:rPr>
                <w:lang w:eastAsia="en-GB"/>
              </w:rPr>
              <w:t>5,195</w:t>
            </w:r>
          </w:p>
        </w:tc>
        <w:tc>
          <w:tcPr>
            <w:tcW w:w="962" w:type="dxa"/>
            <w:vAlign w:val="center"/>
          </w:tcPr>
          <w:p w14:paraId="0498E60B" w14:textId="1876B7CE" w:rsidR="008012E8" w:rsidRPr="009426E0" w:rsidRDefault="009E3D6A" w:rsidP="001F326D">
            <w:pPr>
              <w:pStyle w:val="Tablebody"/>
              <w:cnfStyle w:val="000000000000" w:firstRow="0" w:lastRow="0" w:firstColumn="0" w:lastColumn="0" w:oddVBand="0" w:evenVBand="0" w:oddHBand="0" w:evenHBand="0" w:firstRowFirstColumn="0" w:firstRowLastColumn="0" w:lastRowFirstColumn="0" w:lastRowLastColumn="0"/>
              <w:rPr>
                <w:lang w:val="en-US"/>
              </w:rPr>
            </w:pPr>
            <w:r w:rsidRPr="009426E0">
              <w:rPr>
                <w:lang w:eastAsia="en-GB"/>
              </w:rPr>
              <w:t>1,514.2</w:t>
            </w:r>
          </w:p>
        </w:tc>
        <w:tc>
          <w:tcPr>
            <w:tcW w:w="962" w:type="dxa"/>
            <w:vAlign w:val="center"/>
          </w:tcPr>
          <w:p w14:paraId="78BDF0C3" w14:textId="033383A2" w:rsidR="008012E8" w:rsidRPr="009426E0" w:rsidRDefault="00A93AEB" w:rsidP="001F326D">
            <w:pPr>
              <w:pStyle w:val="Tablebody"/>
              <w:cnfStyle w:val="000000000000" w:firstRow="0" w:lastRow="0" w:firstColumn="0" w:lastColumn="0" w:oddVBand="0" w:evenVBand="0" w:oddHBand="0" w:evenHBand="0" w:firstRowFirstColumn="0" w:firstRowLastColumn="0" w:lastRowFirstColumn="0" w:lastRowLastColumn="0"/>
              <w:rPr>
                <w:lang w:val="en-US"/>
              </w:rPr>
            </w:pPr>
            <w:r w:rsidRPr="009426E0">
              <w:rPr>
                <w:lang w:eastAsia="en-GB"/>
              </w:rPr>
              <w:t>343,096.0</w:t>
            </w:r>
          </w:p>
        </w:tc>
        <w:tc>
          <w:tcPr>
            <w:tcW w:w="962" w:type="dxa"/>
            <w:vAlign w:val="center"/>
          </w:tcPr>
          <w:p w14:paraId="29CA4E98" w14:textId="138E0F2A" w:rsidR="008012E8" w:rsidRPr="009426E0" w:rsidRDefault="00926C3D" w:rsidP="001F326D">
            <w:pPr>
              <w:pStyle w:val="Tablebody"/>
              <w:cnfStyle w:val="000000000000" w:firstRow="0" w:lastRow="0" w:firstColumn="0" w:lastColumn="0" w:oddVBand="0" w:evenVBand="0" w:oddHBand="0" w:evenHBand="0" w:firstRowFirstColumn="0" w:firstRowLastColumn="0" w:lastRowFirstColumn="0" w:lastRowLastColumn="0"/>
              <w:rPr>
                <w:lang w:val="en-US"/>
              </w:rPr>
            </w:pPr>
            <w:r w:rsidRPr="009426E0">
              <w:rPr>
                <w:lang w:eastAsia="en-GB"/>
              </w:rPr>
              <w:t>13,228</w:t>
            </w:r>
          </w:p>
        </w:tc>
        <w:tc>
          <w:tcPr>
            <w:tcW w:w="962" w:type="dxa"/>
            <w:vAlign w:val="center"/>
          </w:tcPr>
          <w:p w14:paraId="5135EA78" w14:textId="1F5740A9" w:rsidR="008012E8" w:rsidRPr="009426E0" w:rsidRDefault="002E3D20" w:rsidP="001F326D">
            <w:pPr>
              <w:pStyle w:val="Tablebody"/>
              <w:cnfStyle w:val="000000000000" w:firstRow="0" w:lastRow="0" w:firstColumn="0" w:lastColumn="0" w:oddVBand="0" w:evenVBand="0" w:oddHBand="0" w:evenHBand="0" w:firstRowFirstColumn="0" w:firstRowLastColumn="0" w:lastRowFirstColumn="0" w:lastRowLastColumn="0"/>
              <w:rPr>
                <w:lang w:val="en-US"/>
              </w:rPr>
            </w:pPr>
            <w:r w:rsidRPr="009426E0">
              <w:rPr>
                <w:lang w:eastAsia="en-GB"/>
              </w:rPr>
              <w:t>6,242.6</w:t>
            </w:r>
          </w:p>
        </w:tc>
        <w:tc>
          <w:tcPr>
            <w:tcW w:w="962" w:type="dxa"/>
            <w:vAlign w:val="center"/>
          </w:tcPr>
          <w:p w14:paraId="1C70E1DA" w14:textId="116ACDBA" w:rsidR="008012E8" w:rsidRPr="009426E0" w:rsidRDefault="002E0714" w:rsidP="001F326D">
            <w:pPr>
              <w:pStyle w:val="Tablebody"/>
              <w:cnfStyle w:val="000000000000" w:firstRow="0" w:lastRow="0" w:firstColumn="0" w:lastColumn="0" w:oddVBand="0" w:evenVBand="0" w:oddHBand="0" w:evenHBand="0" w:firstRowFirstColumn="0" w:firstRowLastColumn="0" w:lastRowFirstColumn="0" w:lastRowLastColumn="0"/>
              <w:rPr>
                <w:lang w:val="en-US"/>
              </w:rPr>
            </w:pPr>
            <w:r w:rsidRPr="009426E0">
              <w:rPr>
                <w:lang w:eastAsia="en-GB"/>
              </w:rPr>
              <w:t>211,898.0</w:t>
            </w:r>
          </w:p>
        </w:tc>
        <w:tc>
          <w:tcPr>
            <w:tcW w:w="962" w:type="dxa"/>
            <w:vAlign w:val="center"/>
          </w:tcPr>
          <w:p w14:paraId="31951D05" w14:textId="7099DCAA" w:rsidR="008012E8" w:rsidRPr="009426E0" w:rsidRDefault="00B05E0A" w:rsidP="001F326D">
            <w:pPr>
              <w:pStyle w:val="Tablebody"/>
              <w:cnfStyle w:val="000000000000" w:firstRow="0" w:lastRow="0" w:firstColumn="0" w:lastColumn="0" w:oddVBand="0" w:evenVBand="0" w:oddHBand="0" w:evenHBand="0" w:firstRowFirstColumn="0" w:firstRowLastColumn="0" w:lastRowFirstColumn="0" w:lastRowLastColumn="0"/>
              <w:rPr>
                <w:lang w:val="en-US"/>
              </w:rPr>
            </w:pPr>
            <w:r w:rsidRPr="009426E0">
              <w:rPr>
                <w:lang w:eastAsia="en-GB"/>
              </w:rPr>
              <w:t>18,423</w:t>
            </w:r>
          </w:p>
        </w:tc>
        <w:tc>
          <w:tcPr>
            <w:tcW w:w="963" w:type="dxa"/>
            <w:vAlign w:val="center"/>
          </w:tcPr>
          <w:p w14:paraId="408724D4" w14:textId="550910A0" w:rsidR="008012E8" w:rsidRPr="009426E0" w:rsidRDefault="00B72202" w:rsidP="001F326D">
            <w:pPr>
              <w:pStyle w:val="Tablebody"/>
              <w:cnfStyle w:val="000000000000" w:firstRow="0" w:lastRow="0" w:firstColumn="0" w:lastColumn="0" w:oddVBand="0" w:evenVBand="0" w:oddHBand="0" w:evenHBand="0" w:firstRowFirstColumn="0" w:firstRowLastColumn="0" w:lastRowFirstColumn="0" w:lastRowLastColumn="0"/>
              <w:rPr>
                <w:lang w:val="en-US"/>
              </w:rPr>
            </w:pPr>
            <w:r w:rsidRPr="009426E0">
              <w:rPr>
                <w:lang w:eastAsia="en-GB"/>
              </w:rPr>
              <w:t>3,319.5</w:t>
            </w:r>
          </w:p>
        </w:tc>
        <w:tc>
          <w:tcPr>
            <w:tcW w:w="963" w:type="dxa"/>
            <w:tcBorders>
              <w:right w:val="nil"/>
            </w:tcBorders>
            <w:vAlign w:val="center"/>
          </w:tcPr>
          <w:p w14:paraId="1B9CB4F5" w14:textId="694783B9" w:rsidR="008012E8" w:rsidRPr="009426E0" w:rsidRDefault="00B72202" w:rsidP="001F326D">
            <w:pPr>
              <w:pStyle w:val="Tablebody"/>
              <w:cnfStyle w:val="000000000000" w:firstRow="0" w:lastRow="0" w:firstColumn="0" w:lastColumn="0" w:oddVBand="0" w:evenVBand="0" w:oddHBand="0" w:evenHBand="0" w:firstRowFirstColumn="0" w:firstRowLastColumn="0" w:lastRowFirstColumn="0" w:lastRowLastColumn="0"/>
              <w:rPr>
                <w:lang w:val="en-US"/>
              </w:rPr>
            </w:pPr>
            <w:r w:rsidRPr="009426E0">
              <w:rPr>
                <w:lang w:eastAsia="en-GB"/>
              </w:rPr>
              <w:t>554,994.0</w:t>
            </w:r>
          </w:p>
        </w:tc>
      </w:tr>
      <w:tr w:rsidR="008012E8" w:rsidRPr="009426E0" w14:paraId="3B363682" w14:textId="77777777" w:rsidTr="001F326D">
        <w:trPr>
          <w:trHeight w:val="340"/>
        </w:trPr>
        <w:tc>
          <w:tcPr>
            <w:cnfStyle w:val="001000000000" w:firstRow="0" w:lastRow="0" w:firstColumn="1" w:lastColumn="0" w:oddVBand="0" w:evenVBand="0" w:oddHBand="0" w:evenHBand="0" w:firstRowFirstColumn="0" w:firstRowLastColumn="0" w:lastRowFirstColumn="0" w:lastRowLastColumn="0"/>
            <w:tcW w:w="962" w:type="dxa"/>
            <w:tcBorders>
              <w:left w:val="nil"/>
            </w:tcBorders>
            <w:vAlign w:val="center"/>
          </w:tcPr>
          <w:p w14:paraId="7C013EC2" w14:textId="4ED70681" w:rsidR="008012E8" w:rsidRPr="009426E0" w:rsidRDefault="008012E8" w:rsidP="001F326D">
            <w:pPr>
              <w:pStyle w:val="Tablebody"/>
              <w:rPr>
                <w:lang w:val="en-US"/>
              </w:rPr>
            </w:pPr>
            <w:r w:rsidRPr="009426E0">
              <w:rPr>
                <w:lang w:val="en-US"/>
              </w:rPr>
              <w:t>2016</w:t>
            </w:r>
          </w:p>
        </w:tc>
        <w:tc>
          <w:tcPr>
            <w:tcW w:w="962" w:type="dxa"/>
            <w:vAlign w:val="center"/>
          </w:tcPr>
          <w:p w14:paraId="56D1978E" w14:textId="0D2AB308" w:rsidR="008012E8" w:rsidRPr="009426E0" w:rsidRDefault="008012E8" w:rsidP="001F326D">
            <w:pPr>
              <w:pStyle w:val="Tablebody"/>
              <w:cnfStyle w:val="000000000000" w:firstRow="0" w:lastRow="0" w:firstColumn="0" w:lastColumn="0" w:oddVBand="0" w:evenVBand="0" w:oddHBand="0" w:evenHBand="0" w:firstRowFirstColumn="0" w:firstRowLastColumn="0" w:lastRowFirstColumn="0" w:lastRowLastColumn="0"/>
              <w:rPr>
                <w:lang w:val="en-US"/>
              </w:rPr>
            </w:pPr>
            <w:r w:rsidRPr="009426E0">
              <w:rPr>
                <w:lang w:eastAsia="en-GB"/>
              </w:rPr>
              <w:t>5,271</w:t>
            </w:r>
          </w:p>
        </w:tc>
        <w:tc>
          <w:tcPr>
            <w:tcW w:w="962" w:type="dxa"/>
            <w:vAlign w:val="center"/>
          </w:tcPr>
          <w:p w14:paraId="41AFFED3" w14:textId="72721C1A" w:rsidR="008012E8" w:rsidRPr="009426E0" w:rsidRDefault="009E3D6A" w:rsidP="001F326D">
            <w:pPr>
              <w:pStyle w:val="Tablebody"/>
              <w:cnfStyle w:val="000000000000" w:firstRow="0" w:lastRow="0" w:firstColumn="0" w:lastColumn="0" w:oddVBand="0" w:evenVBand="0" w:oddHBand="0" w:evenHBand="0" w:firstRowFirstColumn="0" w:firstRowLastColumn="0" w:lastRowFirstColumn="0" w:lastRowLastColumn="0"/>
              <w:rPr>
                <w:lang w:val="en-US"/>
              </w:rPr>
            </w:pPr>
            <w:r w:rsidRPr="009426E0">
              <w:rPr>
                <w:lang w:eastAsia="en-GB"/>
              </w:rPr>
              <w:t>1,499.5</w:t>
            </w:r>
          </w:p>
        </w:tc>
        <w:tc>
          <w:tcPr>
            <w:tcW w:w="962" w:type="dxa"/>
            <w:vAlign w:val="center"/>
          </w:tcPr>
          <w:p w14:paraId="17CFAF22" w14:textId="10CD6F8C" w:rsidR="008012E8" w:rsidRPr="009426E0" w:rsidRDefault="00A93AEB" w:rsidP="001F326D">
            <w:pPr>
              <w:pStyle w:val="Tablebody"/>
              <w:cnfStyle w:val="000000000000" w:firstRow="0" w:lastRow="0" w:firstColumn="0" w:lastColumn="0" w:oddVBand="0" w:evenVBand="0" w:oddHBand="0" w:evenHBand="0" w:firstRowFirstColumn="0" w:firstRowLastColumn="0" w:lastRowFirstColumn="0" w:lastRowLastColumn="0"/>
              <w:rPr>
                <w:lang w:val="en-US"/>
              </w:rPr>
            </w:pPr>
            <w:r w:rsidRPr="009426E0">
              <w:rPr>
                <w:lang w:eastAsia="en-GB"/>
              </w:rPr>
              <w:t>351,523.0</w:t>
            </w:r>
          </w:p>
        </w:tc>
        <w:tc>
          <w:tcPr>
            <w:tcW w:w="962" w:type="dxa"/>
            <w:vAlign w:val="center"/>
          </w:tcPr>
          <w:p w14:paraId="157E73F6" w14:textId="0D1BD185" w:rsidR="008012E8" w:rsidRPr="009426E0" w:rsidRDefault="00926C3D" w:rsidP="001F326D">
            <w:pPr>
              <w:pStyle w:val="Tablebody"/>
              <w:cnfStyle w:val="000000000000" w:firstRow="0" w:lastRow="0" w:firstColumn="0" w:lastColumn="0" w:oddVBand="0" w:evenVBand="0" w:oddHBand="0" w:evenHBand="0" w:firstRowFirstColumn="0" w:firstRowLastColumn="0" w:lastRowFirstColumn="0" w:lastRowLastColumn="0"/>
              <w:rPr>
                <w:lang w:val="en-US"/>
              </w:rPr>
            </w:pPr>
            <w:r w:rsidRPr="009426E0">
              <w:rPr>
                <w:lang w:eastAsia="en-GB"/>
              </w:rPr>
              <w:t>13,552</w:t>
            </w:r>
          </w:p>
        </w:tc>
        <w:tc>
          <w:tcPr>
            <w:tcW w:w="962" w:type="dxa"/>
            <w:vAlign w:val="center"/>
          </w:tcPr>
          <w:p w14:paraId="2F335838" w14:textId="2351106B" w:rsidR="008012E8" w:rsidRPr="009426E0" w:rsidRDefault="002E3D20" w:rsidP="001F326D">
            <w:pPr>
              <w:pStyle w:val="Tablebody"/>
              <w:cnfStyle w:val="000000000000" w:firstRow="0" w:lastRow="0" w:firstColumn="0" w:lastColumn="0" w:oddVBand="0" w:evenVBand="0" w:oddHBand="0" w:evenHBand="0" w:firstRowFirstColumn="0" w:firstRowLastColumn="0" w:lastRowFirstColumn="0" w:lastRowLastColumn="0"/>
              <w:rPr>
                <w:lang w:val="en-US"/>
              </w:rPr>
            </w:pPr>
            <w:r w:rsidRPr="009426E0">
              <w:rPr>
                <w:lang w:eastAsia="en-GB"/>
              </w:rPr>
              <w:t>6,339.8</w:t>
            </w:r>
          </w:p>
        </w:tc>
        <w:tc>
          <w:tcPr>
            <w:tcW w:w="962" w:type="dxa"/>
            <w:vAlign w:val="center"/>
          </w:tcPr>
          <w:p w14:paraId="5FCC2A7E" w14:textId="388E3719" w:rsidR="008012E8" w:rsidRPr="009426E0" w:rsidRDefault="002E0714" w:rsidP="001F326D">
            <w:pPr>
              <w:pStyle w:val="Tablebody"/>
              <w:cnfStyle w:val="000000000000" w:firstRow="0" w:lastRow="0" w:firstColumn="0" w:lastColumn="0" w:oddVBand="0" w:evenVBand="0" w:oddHBand="0" w:evenHBand="0" w:firstRowFirstColumn="0" w:firstRowLastColumn="0" w:lastRowFirstColumn="0" w:lastRowLastColumn="0"/>
              <w:rPr>
                <w:lang w:val="en-US"/>
              </w:rPr>
            </w:pPr>
            <w:r w:rsidRPr="009426E0">
              <w:rPr>
                <w:lang w:eastAsia="en-GB"/>
              </w:rPr>
              <w:t>213,760.0</w:t>
            </w:r>
          </w:p>
        </w:tc>
        <w:tc>
          <w:tcPr>
            <w:tcW w:w="962" w:type="dxa"/>
            <w:vAlign w:val="center"/>
          </w:tcPr>
          <w:p w14:paraId="36870EEC" w14:textId="438C90CE" w:rsidR="008012E8" w:rsidRPr="009426E0" w:rsidRDefault="00B05E0A" w:rsidP="001F326D">
            <w:pPr>
              <w:pStyle w:val="Tablebody"/>
              <w:cnfStyle w:val="000000000000" w:firstRow="0" w:lastRow="0" w:firstColumn="0" w:lastColumn="0" w:oddVBand="0" w:evenVBand="0" w:oddHBand="0" w:evenHBand="0" w:firstRowFirstColumn="0" w:firstRowLastColumn="0" w:lastRowFirstColumn="0" w:lastRowLastColumn="0"/>
              <w:rPr>
                <w:lang w:val="en-US"/>
              </w:rPr>
            </w:pPr>
            <w:r w:rsidRPr="009426E0">
              <w:rPr>
                <w:lang w:eastAsia="en-GB"/>
              </w:rPr>
              <w:t>18,823</w:t>
            </w:r>
          </w:p>
        </w:tc>
        <w:tc>
          <w:tcPr>
            <w:tcW w:w="963" w:type="dxa"/>
            <w:vAlign w:val="center"/>
          </w:tcPr>
          <w:p w14:paraId="765443D4" w14:textId="1568D183" w:rsidR="008012E8" w:rsidRPr="009426E0" w:rsidRDefault="00B72202" w:rsidP="001F326D">
            <w:pPr>
              <w:pStyle w:val="Tablebody"/>
              <w:cnfStyle w:val="000000000000" w:firstRow="0" w:lastRow="0" w:firstColumn="0" w:lastColumn="0" w:oddVBand="0" w:evenVBand="0" w:oddHBand="0" w:evenHBand="0" w:firstRowFirstColumn="0" w:firstRowLastColumn="0" w:lastRowFirstColumn="0" w:lastRowLastColumn="0"/>
              <w:rPr>
                <w:lang w:val="en-US"/>
              </w:rPr>
            </w:pPr>
            <w:r w:rsidRPr="009426E0">
              <w:rPr>
                <w:lang w:eastAsia="en-GB"/>
              </w:rPr>
              <w:t>3,329.8</w:t>
            </w:r>
          </w:p>
        </w:tc>
        <w:tc>
          <w:tcPr>
            <w:tcW w:w="963" w:type="dxa"/>
            <w:tcBorders>
              <w:right w:val="nil"/>
            </w:tcBorders>
            <w:vAlign w:val="center"/>
          </w:tcPr>
          <w:p w14:paraId="19BB22E4" w14:textId="0B5B84B2" w:rsidR="008012E8" w:rsidRPr="009426E0" w:rsidRDefault="00B72202" w:rsidP="001F326D">
            <w:pPr>
              <w:pStyle w:val="Tablebody"/>
              <w:cnfStyle w:val="000000000000" w:firstRow="0" w:lastRow="0" w:firstColumn="0" w:lastColumn="0" w:oddVBand="0" w:evenVBand="0" w:oddHBand="0" w:evenHBand="0" w:firstRowFirstColumn="0" w:firstRowLastColumn="0" w:lastRowFirstColumn="0" w:lastRowLastColumn="0"/>
              <w:rPr>
                <w:lang w:val="en-US"/>
              </w:rPr>
            </w:pPr>
            <w:r w:rsidRPr="009426E0">
              <w:rPr>
                <w:lang w:eastAsia="en-GB"/>
              </w:rPr>
              <w:t>565,283.0</w:t>
            </w:r>
          </w:p>
        </w:tc>
      </w:tr>
      <w:tr w:rsidR="008012E8" w:rsidRPr="009426E0" w14:paraId="36704116" w14:textId="77777777" w:rsidTr="001F326D">
        <w:trPr>
          <w:trHeight w:val="340"/>
        </w:trPr>
        <w:tc>
          <w:tcPr>
            <w:cnfStyle w:val="001000000000" w:firstRow="0" w:lastRow="0" w:firstColumn="1" w:lastColumn="0" w:oddVBand="0" w:evenVBand="0" w:oddHBand="0" w:evenHBand="0" w:firstRowFirstColumn="0" w:firstRowLastColumn="0" w:lastRowFirstColumn="0" w:lastRowLastColumn="0"/>
            <w:tcW w:w="962" w:type="dxa"/>
            <w:tcBorders>
              <w:left w:val="nil"/>
            </w:tcBorders>
            <w:vAlign w:val="center"/>
          </w:tcPr>
          <w:p w14:paraId="29D5DD1D" w14:textId="48E28DFE" w:rsidR="008012E8" w:rsidRPr="009426E0" w:rsidRDefault="008012E8" w:rsidP="001F326D">
            <w:pPr>
              <w:pStyle w:val="Tablebody"/>
              <w:rPr>
                <w:lang w:val="en-US"/>
              </w:rPr>
            </w:pPr>
            <w:r w:rsidRPr="009426E0">
              <w:rPr>
                <w:lang w:val="en-US"/>
              </w:rPr>
              <w:t>2017</w:t>
            </w:r>
          </w:p>
        </w:tc>
        <w:tc>
          <w:tcPr>
            <w:tcW w:w="962" w:type="dxa"/>
            <w:vAlign w:val="center"/>
          </w:tcPr>
          <w:p w14:paraId="0C906ABE" w14:textId="30241289" w:rsidR="008012E8" w:rsidRPr="009426E0" w:rsidRDefault="008012E8" w:rsidP="001F326D">
            <w:pPr>
              <w:pStyle w:val="Tablebody"/>
              <w:cnfStyle w:val="000000000000" w:firstRow="0" w:lastRow="0" w:firstColumn="0" w:lastColumn="0" w:oddVBand="0" w:evenVBand="0" w:oddHBand="0" w:evenHBand="0" w:firstRowFirstColumn="0" w:firstRowLastColumn="0" w:lastRowFirstColumn="0" w:lastRowLastColumn="0"/>
              <w:rPr>
                <w:lang w:val="en-US"/>
              </w:rPr>
            </w:pPr>
            <w:r w:rsidRPr="009426E0">
              <w:rPr>
                <w:lang w:eastAsia="en-GB"/>
              </w:rPr>
              <w:t>5,510</w:t>
            </w:r>
          </w:p>
        </w:tc>
        <w:tc>
          <w:tcPr>
            <w:tcW w:w="962" w:type="dxa"/>
            <w:vAlign w:val="center"/>
          </w:tcPr>
          <w:p w14:paraId="1B5BC042" w14:textId="741BC4B1" w:rsidR="008012E8" w:rsidRPr="009426E0" w:rsidRDefault="009E3D6A" w:rsidP="001F326D">
            <w:pPr>
              <w:pStyle w:val="Tablebody"/>
              <w:cnfStyle w:val="000000000000" w:firstRow="0" w:lastRow="0" w:firstColumn="0" w:lastColumn="0" w:oddVBand="0" w:evenVBand="0" w:oddHBand="0" w:evenHBand="0" w:firstRowFirstColumn="0" w:firstRowLastColumn="0" w:lastRowFirstColumn="0" w:lastRowLastColumn="0"/>
              <w:rPr>
                <w:lang w:val="en-US"/>
              </w:rPr>
            </w:pPr>
            <w:r w:rsidRPr="009426E0">
              <w:rPr>
                <w:lang w:eastAsia="en-GB"/>
              </w:rPr>
              <w:t>1,516.1</w:t>
            </w:r>
          </w:p>
        </w:tc>
        <w:tc>
          <w:tcPr>
            <w:tcW w:w="962" w:type="dxa"/>
            <w:vAlign w:val="center"/>
          </w:tcPr>
          <w:p w14:paraId="29EB7786" w14:textId="4584F760" w:rsidR="008012E8" w:rsidRPr="009426E0" w:rsidRDefault="00A93AEB" w:rsidP="001F326D">
            <w:pPr>
              <w:pStyle w:val="Tablebody"/>
              <w:cnfStyle w:val="000000000000" w:firstRow="0" w:lastRow="0" w:firstColumn="0" w:lastColumn="0" w:oddVBand="0" w:evenVBand="0" w:oddHBand="0" w:evenHBand="0" w:firstRowFirstColumn="0" w:firstRowLastColumn="0" w:lastRowFirstColumn="0" w:lastRowLastColumn="0"/>
              <w:rPr>
                <w:lang w:val="en-US"/>
              </w:rPr>
            </w:pPr>
            <w:r w:rsidRPr="009426E0">
              <w:rPr>
                <w:lang w:eastAsia="en-GB"/>
              </w:rPr>
              <w:t>363,425.0</w:t>
            </w:r>
          </w:p>
        </w:tc>
        <w:tc>
          <w:tcPr>
            <w:tcW w:w="962" w:type="dxa"/>
            <w:vAlign w:val="center"/>
          </w:tcPr>
          <w:p w14:paraId="49551776" w14:textId="1390DBB2" w:rsidR="008012E8" w:rsidRPr="009426E0" w:rsidRDefault="00926C3D" w:rsidP="001F326D">
            <w:pPr>
              <w:pStyle w:val="Tablebody"/>
              <w:cnfStyle w:val="000000000000" w:firstRow="0" w:lastRow="0" w:firstColumn="0" w:lastColumn="0" w:oddVBand="0" w:evenVBand="0" w:oddHBand="0" w:evenHBand="0" w:firstRowFirstColumn="0" w:firstRowLastColumn="0" w:lastRowFirstColumn="0" w:lastRowLastColumn="0"/>
              <w:rPr>
                <w:lang w:val="en-US"/>
              </w:rPr>
            </w:pPr>
            <w:r w:rsidRPr="009426E0">
              <w:rPr>
                <w:lang w:eastAsia="en-GB"/>
              </w:rPr>
              <w:t>12,906</w:t>
            </w:r>
          </w:p>
        </w:tc>
        <w:tc>
          <w:tcPr>
            <w:tcW w:w="962" w:type="dxa"/>
            <w:vAlign w:val="center"/>
          </w:tcPr>
          <w:p w14:paraId="6071E427" w14:textId="0C076C7A" w:rsidR="008012E8" w:rsidRPr="009426E0" w:rsidRDefault="002E3D20" w:rsidP="001F326D">
            <w:pPr>
              <w:pStyle w:val="Tablebody"/>
              <w:cnfStyle w:val="000000000000" w:firstRow="0" w:lastRow="0" w:firstColumn="0" w:lastColumn="0" w:oddVBand="0" w:evenVBand="0" w:oddHBand="0" w:evenHBand="0" w:firstRowFirstColumn="0" w:firstRowLastColumn="0" w:lastRowFirstColumn="0" w:lastRowLastColumn="0"/>
              <w:rPr>
                <w:lang w:val="en-US"/>
              </w:rPr>
            </w:pPr>
            <w:r w:rsidRPr="009426E0">
              <w:rPr>
                <w:lang w:eastAsia="en-GB"/>
              </w:rPr>
              <w:t>6,025.4</w:t>
            </w:r>
          </w:p>
        </w:tc>
        <w:tc>
          <w:tcPr>
            <w:tcW w:w="962" w:type="dxa"/>
            <w:vAlign w:val="center"/>
          </w:tcPr>
          <w:p w14:paraId="0C4AA7A7" w14:textId="03BF93BE" w:rsidR="008012E8" w:rsidRPr="009426E0" w:rsidRDefault="002E0714" w:rsidP="001F326D">
            <w:pPr>
              <w:pStyle w:val="Tablebody"/>
              <w:cnfStyle w:val="000000000000" w:firstRow="0" w:lastRow="0" w:firstColumn="0" w:lastColumn="0" w:oddVBand="0" w:evenVBand="0" w:oddHBand="0" w:evenHBand="0" w:firstRowFirstColumn="0" w:firstRowLastColumn="0" w:lastRowFirstColumn="0" w:lastRowLastColumn="0"/>
              <w:rPr>
                <w:lang w:val="en-US"/>
              </w:rPr>
            </w:pPr>
            <w:r w:rsidRPr="009426E0">
              <w:rPr>
                <w:lang w:eastAsia="en-GB"/>
              </w:rPr>
              <w:t>214,195.0</w:t>
            </w:r>
          </w:p>
        </w:tc>
        <w:tc>
          <w:tcPr>
            <w:tcW w:w="962" w:type="dxa"/>
            <w:vAlign w:val="center"/>
          </w:tcPr>
          <w:p w14:paraId="270E7255" w14:textId="0E9A2A3A" w:rsidR="008012E8" w:rsidRPr="009426E0" w:rsidRDefault="00B05E0A" w:rsidP="001F326D">
            <w:pPr>
              <w:pStyle w:val="Tablebody"/>
              <w:cnfStyle w:val="000000000000" w:firstRow="0" w:lastRow="0" w:firstColumn="0" w:lastColumn="0" w:oddVBand="0" w:evenVBand="0" w:oddHBand="0" w:evenHBand="0" w:firstRowFirstColumn="0" w:firstRowLastColumn="0" w:lastRowFirstColumn="0" w:lastRowLastColumn="0"/>
              <w:rPr>
                <w:lang w:val="en-US"/>
              </w:rPr>
            </w:pPr>
            <w:r w:rsidRPr="009426E0">
              <w:rPr>
                <w:lang w:eastAsia="en-GB"/>
              </w:rPr>
              <w:t>18,416</w:t>
            </w:r>
          </w:p>
        </w:tc>
        <w:tc>
          <w:tcPr>
            <w:tcW w:w="963" w:type="dxa"/>
            <w:vAlign w:val="center"/>
          </w:tcPr>
          <w:p w14:paraId="7044F759" w14:textId="06AF17CC" w:rsidR="008012E8" w:rsidRPr="009426E0" w:rsidRDefault="00B72202" w:rsidP="001F326D">
            <w:pPr>
              <w:pStyle w:val="Tablebody"/>
              <w:cnfStyle w:val="000000000000" w:firstRow="0" w:lastRow="0" w:firstColumn="0" w:lastColumn="0" w:oddVBand="0" w:evenVBand="0" w:oddHBand="0" w:evenHBand="0" w:firstRowFirstColumn="0" w:firstRowLastColumn="0" w:lastRowFirstColumn="0" w:lastRowLastColumn="0"/>
              <w:rPr>
                <w:lang w:val="en-US"/>
              </w:rPr>
            </w:pPr>
            <w:r w:rsidRPr="009426E0">
              <w:rPr>
                <w:lang w:eastAsia="en-GB"/>
              </w:rPr>
              <w:t>3,188.3</w:t>
            </w:r>
          </w:p>
        </w:tc>
        <w:tc>
          <w:tcPr>
            <w:tcW w:w="963" w:type="dxa"/>
            <w:tcBorders>
              <w:right w:val="nil"/>
            </w:tcBorders>
            <w:vAlign w:val="center"/>
          </w:tcPr>
          <w:p w14:paraId="20D214AF" w14:textId="2FE56661" w:rsidR="008012E8" w:rsidRPr="009426E0" w:rsidRDefault="00B72202" w:rsidP="001F326D">
            <w:pPr>
              <w:pStyle w:val="Tablebody"/>
              <w:cnfStyle w:val="000000000000" w:firstRow="0" w:lastRow="0" w:firstColumn="0" w:lastColumn="0" w:oddVBand="0" w:evenVBand="0" w:oddHBand="0" w:evenHBand="0" w:firstRowFirstColumn="0" w:firstRowLastColumn="0" w:lastRowFirstColumn="0" w:lastRowLastColumn="0"/>
              <w:rPr>
                <w:lang w:val="en-US"/>
              </w:rPr>
            </w:pPr>
            <w:r w:rsidRPr="009426E0">
              <w:rPr>
                <w:lang w:eastAsia="en-GB"/>
              </w:rPr>
              <w:t>577,620.0</w:t>
            </w:r>
          </w:p>
        </w:tc>
      </w:tr>
      <w:tr w:rsidR="008012E8" w:rsidRPr="009426E0" w14:paraId="2EA5E4F9" w14:textId="77777777" w:rsidTr="001F326D">
        <w:trPr>
          <w:trHeight w:val="340"/>
        </w:trPr>
        <w:tc>
          <w:tcPr>
            <w:cnfStyle w:val="001000000000" w:firstRow="0" w:lastRow="0" w:firstColumn="1" w:lastColumn="0" w:oddVBand="0" w:evenVBand="0" w:oddHBand="0" w:evenHBand="0" w:firstRowFirstColumn="0" w:firstRowLastColumn="0" w:lastRowFirstColumn="0" w:lastRowLastColumn="0"/>
            <w:tcW w:w="962" w:type="dxa"/>
            <w:tcBorders>
              <w:left w:val="nil"/>
            </w:tcBorders>
            <w:vAlign w:val="center"/>
          </w:tcPr>
          <w:p w14:paraId="0B7DB5B9" w14:textId="36D082F2" w:rsidR="008012E8" w:rsidRPr="009426E0" w:rsidRDefault="008012E8" w:rsidP="001F326D">
            <w:pPr>
              <w:pStyle w:val="Tablebody"/>
              <w:rPr>
                <w:lang w:val="en-US"/>
              </w:rPr>
            </w:pPr>
            <w:r w:rsidRPr="009426E0">
              <w:rPr>
                <w:lang w:val="en-US"/>
              </w:rPr>
              <w:t>2018</w:t>
            </w:r>
          </w:p>
        </w:tc>
        <w:tc>
          <w:tcPr>
            <w:tcW w:w="962" w:type="dxa"/>
            <w:vAlign w:val="center"/>
          </w:tcPr>
          <w:p w14:paraId="70B12DAE" w14:textId="536CE777" w:rsidR="008012E8" w:rsidRPr="009426E0" w:rsidRDefault="008012E8" w:rsidP="001F326D">
            <w:pPr>
              <w:pStyle w:val="Tablebody"/>
              <w:cnfStyle w:val="000000000000" w:firstRow="0" w:lastRow="0" w:firstColumn="0" w:lastColumn="0" w:oddVBand="0" w:evenVBand="0" w:oddHBand="0" w:evenHBand="0" w:firstRowFirstColumn="0" w:firstRowLastColumn="0" w:lastRowFirstColumn="0" w:lastRowLastColumn="0"/>
              <w:rPr>
                <w:lang w:val="en-US"/>
              </w:rPr>
            </w:pPr>
            <w:r w:rsidRPr="009426E0">
              <w:rPr>
                <w:lang w:eastAsia="en-GB"/>
              </w:rPr>
              <w:t>5,058</w:t>
            </w:r>
          </w:p>
        </w:tc>
        <w:tc>
          <w:tcPr>
            <w:tcW w:w="962" w:type="dxa"/>
            <w:vAlign w:val="center"/>
          </w:tcPr>
          <w:p w14:paraId="5832643F" w14:textId="43C46567" w:rsidR="008012E8" w:rsidRPr="009426E0" w:rsidRDefault="009E3D6A" w:rsidP="001F326D">
            <w:pPr>
              <w:pStyle w:val="Tablebody"/>
              <w:cnfStyle w:val="000000000000" w:firstRow="0" w:lastRow="0" w:firstColumn="0" w:lastColumn="0" w:oddVBand="0" w:evenVBand="0" w:oddHBand="0" w:evenHBand="0" w:firstRowFirstColumn="0" w:firstRowLastColumn="0" w:lastRowFirstColumn="0" w:lastRowLastColumn="0"/>
              <w:rPr>
                <w:lang w:val="en-US"/>
              </w:rPr>
            </w:pPr>
            <w:r w:rsidRPr="009426E0">
              <w:rPr>
                <w:lang w:eastAsia="en-GB"/>
              </w:rPr>
              <w:t>1,349.9</w:t>
            </w:r>
          </w:p>
        </w:tc>
        <w:tc>
          <w:tcPr>
            <w:tcW w:w="962" w:type="dxa"/>
            <w:vAlign w:val="center"/>
          </w:tcPr>
          <w:p w14:paraId="203C9E6E" w14:textId="030FA2F6" w:rsidR="008012E8" w:rsidRPr="009426E0" w:rsidRDefault="00A93AEB" w:rsidP="001F326D">
            <w:pPr>
              <w:pStyle w:val="Tablebody"/>
              <w:cnfStyle w:val="000000000000" w:firstRow="0" w:lastRow="0" w:firstColumn="0" w:lastColumn="0" w:oddVBand="0" w:evenVBand="0" w:oddHBand="0" w:evenHBand="0" w:firstRowFirstColumn="0" w:firstRowLastColumn="0" w:lastRowFirstColumn="0" w:lastRowLastColumn="0"/>
              <w:rPr>
                <w:lang w:val="en-US"/>
              </w:rPr>
            </w:pPr>
            <w:r w:rsidRPr="009426E0">
              <w:rPr>
                <w:lang w:eastAsia="en-GB"/>
              </w:rPr>
              <w:t>374,693.0</w:t>
            </w:r>
          </w:p>
        </w:tc>
        <w:tc>
          <w:tcPr>
            <w:tcW w:w="962" w:type="dxa"/>
            <w:vAlign w:val="center"/>
          </w:tcPr>
          <w:p w14:paraId="509697C2" w14:textId="7F3918F8" w:rsidR="008012E8" w:rsidRPr="009426E0" w:rsidRDefault="00926C3D" w:rsidP="001F326D">
            <w:pPr>
              <w:pStyle w:val="Tablebody"/>
              <w:cnfStyle w:val="000000000000" w:firstRow="0" w:lastRow="0" w:firstColumn="0" w:lastColumn="0" w:oddVBand="0" w:evenVBand="0" w:oddHBand="0" w:evenHBand="0" w:firstRowFirstColumn="0" w:firstRowLastColumn="0" w:lastRowFirstColumn="0" w:lastRowLastColumn="0"/>
              <w:rPr>
                <w:lang w:val="en-US"/>
              </w:rPr>
            </w:pPr>
            <w:r w:rsidRPr="009426E0">
              <w:rPr>
                <w:lang w:eastAsia="en-GB"/>
              </w:rPr>
              <w:t>11,971</w:t>
            </w:r>
          </w:p>
        </w:tc>
        <w:tc>
          <w:tcPr>
            <w:tcW w:w="962" w:type="dxa"/>
            <w:vAlign w:val="center"/>
          </w:tcPr>
          <w:p w14:paraId="3C48D75A" w14:textId="03B7D482" w:rsidR="008012E8" w:rsidRPr="009426E0" w:rsidRDefault="002E3D20" w:rsidP="001F326D">
            <w:pPr>
              <w:pStyle w:val="Tablebody"/>
              <w:cnfStyle w:val="000000000000" w:firstRow="0" w:lastRow="0" w:firstColumn="0" w:lastColumn="0" w:oddVBand="0" w:evenVBand="0" w:oddHBand="0" w:evenHBand="0" w:firstRowFirstColumn="0" w:firstRowLastColumn="0" w:lastRowFirstColumn="0" w:lastRowLastColumn="0"/>
              <w:rPr>
                <w:lang w:val="en-US"/>
              </w:rPr>
            </w:pPr>
            <w:r w:rsidRPr="009426E0">
              <w:rPr>
                <w:lang w:eastAsia="en-GB"/>
              </w:rPr>
              <w:t>5,568.8</w:t>
            </w:r>
          </w:p>
        </w:tc>
        <w:tc>
          <w:tcPr>
            <w:tcW w:w="962" w:type="dxa"/>
            <w:vAlign w:val="center"/>
          </w:tcPr>
          <w:p w14:paraId="517A646C" w14:textId="3478B123" w:rsidR="008012E8" w:rsidRPr="009426E0" w:rsidRDefault="002E0714" w:rsidP="001F326D">
            <w:pPr>
              <w:pStyle w:val="Tablebody"/>
              <w:cnfStyle w:val="000000000000" w:firstRow="0" w:lastRow="0" w:firstColumn="0" w:lastColumn="0" w:oddVBand="0" w:evenVBand="0" w:oddHBand="0" w:evenHBand="0" w:firstRowFirstColumn="0" w:firstRowLastColumn="0" w:lastRowFirstColumn="0" w:lastRowLastColumn="0"/>
              <w:rPr>
                <w:lang w:val="en-US"/>
              </w:rPr>
            </w:pPr>
            <w:r w:rsidRPr="009426E0">
              <w:rPr>
                <w:lang w:eastAsia="en-GB"/>
              </w:rPr>
              <w:t>214,965.0</w:t>
            </w:r>
          </w:p>
        </w:tc>
        <w:tc>
          <w:tcPr>
            <w:tcW w:w="962" w:type="dxa"/>
            <w:vAlign w:val="center"/>
          </w:tcPr>
          <w:p w14:paraId="5F6B5D12" w14:textId="394CD9FD" w:rsidR="008012E8" w:rsidRPr="009426E0" w:rsidRDefault="00B05E0A" w:rsidP="001F326D">
            <w:pPr>
              <w:pStyle w:val="Tablebody"/>
              <w:cnfStyle w:val="000000000000" w:firstRow="0" w:lastRow="0" w:firstColumn="0" w:lastColumn="0" w:oddVBand="0" w:evenVBand="0" w:oddHBand="0" w:evenHBand="0" w:firstRowFirstColumn="0" w:firstRowLastColumn="0" w:lastRowFirstColumn="0" w:lastRowLastColumn="0"/>
              <w:rPr>
                <w:lang w:val="en-US"/>
              </w:rPr>
            </w:pPr>
            <w:r w:rsidRPr="009426E0">
              <w:rPr>
                <w:lang w:eastAsia="en-GB"/>
              </w:rPr>
              <w:t>17,029</w:t>
            </w:r>
          </w:p>
        </w:tc>
        <w:tc>
          <w:tcPr>
            <w:tcW w:w="963" w:type="dxa"/>
            <w:vAlign w:val="center"/>
          </w:tcPr>
          <w:p w14:paraId="34DE7393" w14:textId="629C0710" w:rsidR="008012E8" w:rsidRPr="009426E0" w:rsidRDefault="00B72202" w:rsidP="001F326D">
            <w:pPr>
              <w:pStyle w:val="Tablebody"/>
              <w:cnfStyle w:val="000000000000" w:firstRow="0" w:lastRow="0" w:firstColumn="0" w:lastColumn="0" w:oddVBand="0" w:evenVBand="0" w:oddHBand="0" w:evenHBand="0" w:firstRowFirstColumn="0" w:firstRowLastColumn="0" w:lastRowFirstColumn="0" w:lastRowLastColumn="0"/>
              <w:rPr>
                <w:lang w:val="en-US"/>
              </w:rPr>
            </w:pPr>
            <w:r w:rsidRPr="009426E0">
              <w:rPr>
                <w:lang w:eastAsia="en-GB"/>
              </w:rPr>
              <w:t>2,887.9</w:t>
            </w:r>
          </w:p>
        </w:tc>
        <w:tc>
          <w:tcPr>
            <w:tcW w:w="963" w:type="dxa"/>
            <w:tcBorders>
              <w:right w:val="nil"/>
            </w:tcBorders>
            <w:vAlign w:val="center"/>
          </w:tcPr>
          <w:p w14:paraId="5504A7CA" w14:textId="3803C769" w:rsidR="008012E8" w:rsidRPr="009426E0" w:rsidRDefault="00B72202" w:rsidP="001F326D">
            <w:pPr>
              <w:pStyle w:val="Tablebody"/>
              <w:cnfStyle w:val="000000000000" w:firstRow="0" w:lastRow="0" w:firstColumn="0" w:lastColumn="0" w:oddVBand="0" w:evenVBand="0" w:oddHBand="0" w:evenHBand="0" w:firstRowFirstColumn="0" w:firstRowLastColumn="0" w:lastRowFirstColumn="0" w:lastRowLastColumn="0"/>
              <w:rPr>
                <w:lang w:val="en-US"/>
              </w:rPr>
            </w:pPr>
            <w:r w:rsidRPr="009426E0">
              <w:rPr>
                <w:lang w:eastAsia="en-GB"/>
              </w:rPr>
              <w:t>589,658.0</w:t>
            </w:r>
          </w:p>
        </w:tc>
      </w:tr>
      <w:tr w:rsidR="008012E8" w:rsidRPr="009426E0" w14:paraId="016D5F02" w14:textId="77777777" w:rsidTr="001F326D">
        <w:trPr>
          <w:trHeight w:val="340"/>
        </w:trPr>
        <w:tc>
          <w:tcPr>
            <w:cnfStyle w:val="001000000000" w:firstRow="0" w:lastRow="0" w:firstColumn="1" w:lastColumn="0" w:oddVBand="0" w:evenVBand="0" w:oddHBand="0" w:evenHBand="0" w:firstRowFirstColumn="0" w:firstRowLastColumn="0" w:lastRowFirstColumn="0" w:lastRowLastColumn="0"/>
            <w:tcW w:w="962" w:type="dxa"/>
            <w:tcBorders>
              <w:left w:val="nil"/>
            </w:tcBorders>
            <w:vAlign w:val="center"/>
          </w:tcPr>
          <w:p w14:paraId="2D4DF036" w14:textId="0C6EB7AE" w:rsidR="008012E8" w:rsidRPr="009426E0" w:rsidRDefault="008012E8" w:rsidP="001F326D">
            <w:pPr>
              <w:pStyle w:val="Tablebody"/>
              <w:rPr>
                <w:lang w:val="en-US"/>
              </w:rPr>
            </w:pPr>
            <w:r w:rsidRPr="009426E0">
              <w:rPr>
                <w:lang w:val="en-US"/>
              </w:rPr>
              <w:t>2019</w:t>
            </w:r>
          </w:p>
        </w:tc>
        <w:tc>
          <w:tcPr>
            <w:tcW w:w="962" w:type="dxa"/>
            <w:vAlign w:val="center"/>
          </w:tcPr>
          <w:p w14:paraId="22051399" w14:textId="7524DAC9" w:rsidR="008012E8" w:rsidRPr="009426E0" w:rsidRDefault="008012E8" w:rsidP="001F326D">
            <w:pPr>
              <w:pStyle w:val="Tablebody"/>
              <w:cnfStyle w:val="000000000000" w:firstRow="0" w:lastRow="0" w:firstColumn="0" w:lastColumn="0" w:oddVBand="0" w:evenVBand="0" w:oddHBand="0" w:evenHBand="0" w:firstRowFirstColumn="0" w:firstRowLastColumn="0" w:lastRowFirstColumn="0" w:lastRowLastColumn="0"/>
              <w:rPr>
                <w:lang w:val="en-US"/>
              </w:rPr>
            </w:pPr>
            <w:r w:rsidRPr="009426E0">
              <w:rPr>
                <w:lang w:eastAsia="en-GB"/>
              </w:rPr>
              <w:t>4,981</w:t>
            </w:r>
          </w:p>
        </w:tc>
        <w:tc>
          <w:tcPr>
            <w:tcW w:w="962" w:type="dxa"/>
            <w:vAlign w:val="center"/>
          </w:tcPr>
          <w:p w14:paraId="37CD8F1A" w14:textId="0297EEA3" w:rsidR="008012E8" w:rsidRPr="009426E0" w:rsidRDefault="009E3D6A" w:rsidP="001F326D">
            <w:pPr>
              <w:pStyle w:val="Tablebody"/>
              <w:cnfStyle w:val="000000000000" w:firstRow="0" w:lastRow="0" w:firstColumn="0" w:lastColumn="0" w:oddVBand="0" w:evenVBand="0" w:oddHBand="0" w:evenHBand="0" w:firstRowFirstColumn="0" w:firstRowLastColumn="0" w:lastRowFirstColumn="0" w:lastRowLastColumn="0"/>
              <w:rPr>
                <w:lang w:val="en-US"/>
              </w:rPr>
            </w:pPr>
            <w:r w:rsidRPr="009426E0">
              <w:rPr>
                <w:lang w:eastAsia="en-GB"/>
              </w:rPr>
              <w:t>1,292.3</w:t>
            </w:r>
          </w:p>
        </w:tc>
        <w:tc>
          <w:tcPr>
            <w:tcW w:w="962" w:type="dxa"/>
            <w:vAlign w:val="center"/>
          </w:tcPr>
          <w:p w14:paraId="63F7ACF6" w14:textId="1FF5248A" w:rsidR="008012E8" w:rsidRPr="009426E0" w:rsidRDefault="00A93AEB" w:rsidP="001F326D">
            <w:pPr>
              <w:pStyle w:val="Tablebody"/>
              <w:cnfStyle w:val="000000000000" w:firstRow="0" w:lastRow="0" w:firstColumn="0" w:lastColumn="0" w:oddVBand="0" w:evenVBand="0" w:oddHBand="0" w:evenHBand="0" w:firstRowFirstColumn="0" w:firstRowLastColumn="0" w:lastRowFirstColumn="0" w:lastRowLastColumn="0"/>
              <w:rPr>
                <w:lang w:val="en-US"/>
              </w:rPr>
            </w:pPr>
            <w:r w:rsidRPr="009426E0">
              <w:rPr>
                <w:lang w:eastAsia="en-GB"/>
              </w:rPr>
              <w:t>385,444.0</w:t>
            </w:r>
          </w:p>
        </w:tc>
        <w:tc>
          <w:tcPr>
            <w:tcW w:w="962" w:type="dxa"/>
            <w:vAlign w:val="center"/>
          </w:tcPr>
          <w:p w14:paraId="2FB35560" w14:textId="1240C13E" w:rsidR="008012E8" w:rsidRPr="009426E0" w:rsidRDefault="00926C3D" w:rsidP="001F326D">
            <w:pPr>
              <w:pStyle w:val="Tablebody"/>
              <w:cnfStyle w:val="000000000000" w:firstRow="0" w:lastRow="0" w:firstColumn="0" w:lastColumn="0" w:oddVBand="0" w:evenVBand="0" w:oddHBand="0" w:evenHBand="0" w:firstRowFirstColumn="0" w:firstRowLastColumn="0" w:lastRowFirstColumn="0" w:lastRowLastColumn="0"/>
              <w:rPr>
                <w:lang w:val="en-US"/>
              </w:rPr>
            </w:pPr>
            <w:r w:rsidRPr="009426E0">
              <w:rPr>
                <w:lang w:eastAsia="en-GB"/>
              </w:rPr>
              <w:t>13,140</w:t>
            </w:r>
          </w:p>
        </w:tc>
        <w:tc>
          <w:tcPr>
            <w:tcW w:w="962" w:type="dxa"/>
            <w:vAlign w:val="center"/>
          </w:tcPr>
          <w:p w14:paraId="0DDF0EF5" w14:textId="6BC00D0B" w:rsidR="008012E8" w:rsidRPr="009426E0" w:rsidRDefault="002E3D20" w:rsidP="001F326D">
            <w:pPr>
              <w:pStyle w:val="Tablebody"/>
              <w:cnfStyle w:val="000000000000" w:firstRow="0" w:lastRow="0" w:firstColumn="0" w:lastColumn="0" w:oddVBand="0" w:evenVBand="0" w:oddHBand="0" w:evenHBand="0" w:firstRowFirstColumn="0" w:firstRowLastColumn="0" w:lastRowFirstColumn="0" w:lastRowLastColumn="0"/>
              <w:rPr>
                <w:lang w:val="en-US"/>
              </w:rPr>
            </w:pPr>
            <w:r w:rsidRPr="009426E0">
              <w:rPr>
                <w:lang w:eastAsia="en-GB"/>
              </w:rPr>
              <w:t>6,055.8</w:t>
            </w:r>
          </w:p>
        </w:tc>
        <w:tc>
          <w:tcPr>
            <w:tcW w:w="962" w:type="dxa"/>
            <w:vAlign w:val="center"/>
          </w:tcPr>
          <w:p w14:paraId="414D80A1" w14:textId="047A5DDA" w:rsidR="008012E8" w:rsidRPr="009426E0" w:rsidRDefault="002E0714" w:rsidP="001F326D">
            <w:pPr>
              <w:pStyle w:val="Tablebody"/>
              <w:cnfStyle w:val="000000000000" w:firstRow="0" w:lastRow="0" w:firstColumn="0" w:lastColumn="0" w:oddVBand="0" w:evenVBand="0" w:oddHBand="0" w:evenHBand="0" w:firstRowFirstColumn="0" w:firstRowLastColumn="0" w:lastRowFirstColumn="0" w:lastRowLastColumn="0"/>
              <w:rPr>
                <w:lang w:val="en-US"/>
              </w:rPr>
            </w:pPr>
            <w:r w:rsidRPr="009426E0">
              <w:rPr>
                <w:lang w:eastAsia="en-GB"/>
              </w:rPr>
              <w:t>216,981.0</w:t>
            </w:r>
          </w:p>
        </w:tc>
        <w:tc>
          <w:tcPr>
            <w:tcW w:w="962" w:type="dxa"/>
            <w:vAlign w:val="center"/>
          </w:tcPr>
          <w:p w14:paraId="554C8019" w14:textId="016AC76F" w:rsidR="008012E8" w:rsidRPr="009426E0" w:rsidRDefault="00B05E0A" w:rsidP="001F326D">
            <w:pPr>
              <w:pStyle w:val="Tablebody"/>
              <w:cnfStyle w:val="000000000000" w:firstRow="0" w:lastRow="0" w:firstColumn="0" w:lastColumn="0" w:oddVBand="0" w:evenVBand="0" w:oddHBand="0" w:evenHBand="0" w:firstRowFirstColumn="0" w:firstRowLastColumn="0" w:lastRowFirstColumn="0" w:lastRowLastColumn="0"/>
              <w:rPr>
                <w:lang w:val="en-US"/>
              </w:rPr>
            </w:pPr>
            <w:r w:rsidRPr="009426E0">
              <w:rPr>
                <w:lang w:eastAsia="en-GB"/>
              </w:rPr>
              <w:t>18,121</w:t>
            </w:r>
          </w:p>
        </w:tc>
        <w:tc>
          <w:tcPr>
            <w:tcW w:w="963" w:type="dxa"/>
            <w:vAlign w:val="center"/>
          </w:tcPr>
          <w:p w14:paraId="72DB103A" w14:textId="32FD18D7" w:rsidR="008012E8" w:rsidRPr="009426E0" w:rsidRDefault="00B72202" w:rsidP="001F326D">
            <w:pPr>
              <w:pStyle w:val="Tablebody"/>
              <w:cnfStyle w:val="000000000000" w:firstRow="0" w:lastRow="0" w:firstColumn="0" w:lastColumn="0" w:oddVBand="0" w:evenVBand="0" w:oddHBand="0" w:evenHBand="0" w:firstRowFirstColumn="0" w:firstRowLastColumn="0" w:lastRowFirstColumn="0" w:lastRowLastColumn="0"/>
              <w:rPr>
                <w:lang w:val="en-US"/>
              </w:rPr>
            </w:pPr>
            <w:r w:rsidRPr="009426E0">
              <w:rPr>
                <w:lang w:eastAsia="en-GB"/>
              </w:rPr>
              <w:t>3,008.0</w:t>
            </w:r>
          </w:p>
        </w:tc>
        <w:tc>
          <w:tcPr>
            <w:tcW w:w="963" w:type="dxa"/>
            <w:tcBorders>
              <w:right w:val="nil"/>
            </w:tcBorders>
            <w:vAlign w:val="center"/>
          </w:tcPr>
          <w:p w14:paraId="590A7668" w14:textId="79DFC5C8" w:rsidR="008012E8" w:rsidRPr="009426E0" w:rsidRDefault="00B72202" w:rsidP="001F326D">
            <w:pPr>
              <w:pStyle w:val="Tablebody"/>
              <w:cnfStyle w:val="000000000000" w:firstRow="0" w:lastRow="0" w:firstColumn="0" w:lastColumn="0" w:oddVBand="0" w:evenVBand="0" w:oddHBand="0" w:evenHBand="0" w:firstRowFirstColumn="0" w:firstRowLastColumn="0" w:lastRowFirstColumn="0" w:lastRowLastColumn="0"/>
              <w:rPr>
                <w:lang w:val="en-US"/>
              </w:rPr>
            </w:pPr>
            <w:r w:rsidRPr="009426E0">
              <w:rPr>
                <w:lang w:eastAsia="en-GB"/>
              </w:rPr>
              <w:t>602,425.0</w:t>
            </w:r>
          </w:p>
        </w:tc>
      </w:tr>
      <w:tr w:rsidR="008012E8" w:rsidRPr="009426E0" w14:paraId="070EF102" w14:textId="77777777" w:rsidTr="001F326D">
        <w:trPr>
          <w:trHeight w:val="340"/>
        </w:trPr>
        <w:tc>
          <w:tcPr>
            <w:cnfStyle w:val="001000000000" w:firstRow="0" w:lastRow="0" w:firstColumn="1" w:lastColumn="0" w:oddVBand="0" w:evenVBand="0" w:oddHBand="0" w:evenHBand="0" w:firstRowFirstColumn="0" w:firstRowLastColumn="0" w:lastRowFirstColumn="0" w:lastRowLastColumn="0"/>
            <w:tcW w:w="962" w:type="dxa"/>
            <w:tcBorders>
              <w:left w:val="nil"/>
            </w:tcBorders>
            <w:vAlign w:val="center"/>
          </w:tcPr>
          <w:p w14:paraId="5BE2806E" w14:textId="2B8859FA" w:rsidR="008012E8" w:rsidRPr="009426E0" w:rsidRDefault="008012E8" w:rsidP="001F326D">
            <w:pPr>
              <w:pStyle w:val="Tablebody"/>
              <w:rPr>
                <w:lang w:val="en-US"/>
              </w:rPr>
            </w:pPr>
            <w:r w:rsidRPr="009426E0">
              <w:rPr>
                <w:lang w:val="en-US"/>
              </w:rPr>
              <w:t>2020</w:t>
            </w:r>
          </w:p>
        </w:tc>
        <w:tc>
          <w:tcPr>
            <w:tcW w:w="962" w:type="dxa"/>
            <w:vAlign w:val="center"/>
          </w:tcPr>
          <w:p w14:paraId="1B65D85A" w14:textId="251BEB37" w:rsidR="008012E8" w:rsidRPr="009426E0" w:rsidRDefault="008012E8" w:rsidP="001F326D">
            <w:pPr>
              <w:pStyle w:val="Tablebody"/>
              <w:cnfStyle w:val="000000000000" w:firstRow="0" w:lastRow="0" w:firstColumn="0" w:lastColumn="0" w:oddVBand="0" w:evenVBand="0" w:oddHBand="0" w:evenHBand="0" w:firstRowFirstColumn="0" w:firstRowLastColumn="0" w:lastRowFirstColumn="0" w:lastRowLastColumn="0"/>
              <w:rPr>
                <w:lang w:val="en-US"/>
              </w:rPr>
            </w:pPr>
            <w:r w:rsidRPr="009426E0">
              <w:rPr>
                <w:lang w:eastAsia="en-GB"/>
              </w:rPr>
              <w:t>4,497</w:t>
            </w:r>
          </w:p>
        </w:tc>
        <w:tc>
          <w:tcPr>
            <w:tcW w:w="962" w:type="dxa"/>
            <w:vAlign w:val="center"/>
          </w:tcPr>
          <w:p w14:paraId="2D29B237" w14:textId="1C0344CF" w:rsidR="008012E8" w:rsidRPr="009426E0" w:rsidRDefault="009E3D6A" w:rsidP="001F326D">
            <w:pPr>
              <w:pStyle w:val="Tablebody"/>
              <w:cnfStyle w:val="000000000000" w:firstRow="0" w:lastRow="0" w:firstColumn="0" w:lastColumn="0" w:oddVBand="0" w:evenVBand="0" w:oddHBand="0" w:evenHBand="0" w:firstRowFirstColumn="0" w:firstRowLastColumn="0" w:lastRowFirstColumn="0" w:lastRowLastColumn="0"/>
              <w:rPr>
                <w:lang w:val="en-US"/>
              </w:rPr>
            </w:pPr>
            <w:r w:rsidRPr="009426E0">
              <w:rPr>
                <w:lang w:eastAsia="en-GB"/>
              </w:rPr>
              <w:t>1,135.9</w:t>
            </w:r>
          </w:p>
        </w:tc>
        <w:tc>
          <w:tcPr>
            <w:tcW w:w="962" w:type="dxa"/>
            <w:vAlign w:val="center"/>
          </w:tcPr>
          <w:p w14:paraId="33A6A054" w14:textId="74FAB5B4" w:rsidR="008012E8" w:rsidRPr="009426E0" w:rsidRDefault="00A93AEB" w:rsidP="001F326D">
            <w:pPr>
              <w:pStyle w:val="Tablebody"/>
              <w:cnfStyle w:val="000000000000" w:firstRow="0" w:lastRow="0" w:firstColumn="0" w:lastColumn="0" w:oddVBand="0" w:evenVBand="0" w:oddHBand="0" w:evenHBand="0" w:firstRowFirstColumn="0" w:firstRowLastColumn="0" w:lastRowFirstColumn="0" w:lastRowLastColumn="0"/>
              <w:rPr>
                <w:lang w:val="en-US"/>
              </w:rPr>
            </w:pPr>
            <w:r w:rsidRPr="009426E0">
              <w:rPr>
                <w:lang w:eastAsia="en-GB"/>
              </w:rPr>
              <w:t>395,913.0</w:t>
            </w:r>
          </w:p>
        </w:tc>
        <w:tc>
          <w:tcPr>
            <w:tcW w:w="962" w:type="dxa"/>
            <w:vAlign w:val="center"/>
          </w:tcPr>
          <w:p w14:paraId="1A6180C6" w14:textId="174D2751" w:rsidR="008012E8" w:rsidRPr="009426E0" w:rsidRDefault="00926C3D" w:rsidP="001F326D">
            <w:pPr>
              <w:pStyle w:val="Tablebody"/>
              <w:cnfStyle w:val="000000000000" w:firstRow="0" w:lastRow="0" w:firstColumn="0" w:lastColumn="0" w:oddVBand="0" w:evenVBand="0" w:oddHBand="0" w:evenHBand="0" w:firstRowFirstColumn="0" w:firstRowLastColumn="0" w:lastRowFirstColumn="0" w:lastRowLastColumn="0"/>
              <w:rPr>
                <w:lang w:val="en-US"/>
              </w:rPr>
            </w:pPr>
            <w:r w:rsidRPr="009426E0">
              <w:rPr>
                <w:lang w:eastAsia="en-GB"/>
              </w:rPr>
              <w:t>14,014</w:t>
            </w:r>
          </w:p>
        </w:tc>
        <w:tc>
          <w:tcPr>
            <w:tcW w:w="962" w:type="dxa"/>
            <w:vAlign w:val="center"/>
          </w:tcPr>
          <w:p w14:paraId="2995DFA2" w14:textId="0DBDA3EB" w:rsidR="008012E8" w:rsidRPr="009426E0" w:rsidRDefault="002E3D20" w:rsidP="001F326D">
            <w:pPr>
              <w:pStyle w:val="Tablebody"/>
              <w:cnfStyle w:val="000000000000" w:firstRow="0" w:lastRow="0" w:firstColumn="0" w:lastColumn="0" w:oddVBand="0" w:evenVBand="0" w:oddHBand="0" w:evenHBand="0" w:firstRowFirstColumn="0" w:firstRowLastColumn="0" w:lastRowFirstColumn="0" w:lastRowLastColumn="0"/>
              <w:rPr>
                <w:lang w:val="en-US"/>
              </w:rPr>
            </w:pPr>
            <w:r w:rsidRPr="009426E0">
              <w:rPr>
                <w:lang w:eastAsia="en-GB"/>
              </w:rPr>
              <w:t>6,405.5</w:t>
            </w:r>
          </w:p>
        </w:tc>
        <w:tc>
          <w:tcPr>
            <w:tcW w:w="962" w:type="dxa"/>
            <w:vAlign w:val="center"/>
          </w:tcPr>
          <w:p w14:paraId="75B10A10" w14:textId="1D02F778" w:rsidR="008012E8" w:rsidRPr="009426E0" w:rsidRDefault="002E0714" w:rsidP="001F326D">
            <w:pPr>
              <w:pStyle w:val="Tablebody"/>
              <w:cnfStyle w:val="000000000000" w:firstRow="0" w:lastRow="0" w:firstColumn="0" w:lastColumn="0" w:oddVBand="0" w:evenVBand="0" w:oddHBand="0" w:evenHBand="0" w:firstRowFirstColumn="0" w:firstRowLastColumn="0" w:lastRowFirstColumn="0" w:lastRowLastColumn="0"/>
              <w:rPr>
                <w:lang w:val="en-US"/>
              </w:rPr>
            </w:pPr>
            <w:r w:rsidRPr="009426E0">
              <w:rPr>
                <w:lang w:eastAsia="en-GB"/>
              </w:rPr>
              <w:t>218,781.0</w:t>
            </w:r>
          </w:p>
        </w:tc>
        <w:tc>
          <w:tcPr>
            <w:tcW w:w="962" w:type="dxa"/>
            <w:vAlign w:val="center"/>
          </w:tcPr>
          <w:p w14:paraId="23DBFB34" w14:textId="2A1FB001" w:rsidR="008012E8" w:rsidRPr="009426E0" w:rsidRDefault="00B05E0A" w:rsidP="001F326D">
            <w:pPr>
              <w:pStyle w:val="Tablebody"/>
              <w:cnfStyle w:val="000000000000" w:firstRow="0" w:lastRow="0" w:firstColumn="0" w:lastColumn="0" w:oddVBand="0" w:evenVBand="0" w:oddHBand="0" w:evenHBand="0" w:firstRowFirstColumn="0" w:firstRowLastColumn="0" w:lastRowFirstColumn="0" w:lastRowLastColumn="0"/>
              <w:rPr>
                <w:lang w:val="en-US"/>
              </w:rPr>
            </w:pPr>
            <w:r w:rsidRPr="009426E0">
              <w:rPr>
                <w:lang w:eastAsia="en-GB"/>
              </w:rPr>
              <w:t>18,511</w:t>
            </w:r>
          </w:p>
        </w:tc>
        <w:tc>
          <w:tcPr>
            <w:tcW w:w="963" w:type="dxa"/>
            <w:vAlign w:val="center"/>
          </w:tcPr>
          <w:p w14:paraId="4940C93D" w14:textId="262A47AD" w:rsidR="008012E8" w:rsidRPr="009426E0" w:rsidRDefault="00B72202" w:rsidP="001F326D">
            <w:pPr>
              <w:pStyle w:val="Tablebody"/>
              <w:cnfStyle w:val="000000000000" w:firstRow="0" w:lastRow="0" w:firstColumn="0" w:lastColumn="0" w:oddVBand="0" w:evenVBand="0" w:oddHBand="0" w:evenHBand="0" w:firstRowFirstColumn="0" w:firstRowLastColumn="0" w:lastRowFirstColumn="0" w:lastRowLastColumn="0"/>
              <w:rPr>
                <w:lang w:val="en-US"/>
              </w:rPr>
            </w:pPr>
            <w:r w:rsidRPr="009426E0">
              <w:rPr>
                <w:lang w:eastAsia="en-GB"/>
              </w:rPr>
              <w:t>3,011.4</w:t>
            </w:r>
          </w:p>
        </w:tc>
        <w:tc>
          <w:tcPr>
            <w:tcW w:w="963" w:type="dxa"/>
            <w:tcBorders>
              <w:right w:val="nil"/>
            </w:tcBorders>
            <w:vAlign w:val="center"/>
          </w:tcPr>
          <w:p w14:paraId="557510B6" w14:textId="147E8044" w:rsidR="008012E8" w:rsidRPr="009426E0" w:rsidRDefault="00B72202" w:rsidP="001F326D">
            <w:pPr>
              <w:pStyle w:val="Tablebody"/>
              <w:cnfStyle w:val="000000000000" w:firstRow="0" w:lastRow="0" w:firstColumn="0" w:lastColumn="0" w:oddVBand="0" w:evenVBand="0" w:oddHBand="0" w:evenHBand="0" w:firstRowFirstColumn="0" w:firstRowLastColumn="0" w:lastRowFirstColumn="0" w:lastRowLastColumn="0"/>
              <w:rPr>
                <w:lang w:val="en-US"/>
              </w:rPr>
            </w:pPr>
            <w:r w:rsidRPr="009426E0">
              <w:rPr>
                <w:lang w:eastAsia="en-GB"/>
              </w:rPr>
              <w:t>614,694.0</w:t>
            </w:r>
          </w:p>
        </w:tc>
      </w:tr>
      <w:tr w:rsidR="008012E8" w:rsidRPr="009426E0" w14:paraId="3BEB5334" w14:textId="77777777" w:rsidTr="001F326D">
        <w:trPr>
          <w:trHeight w:val="340"/>
        </w:trPr>
        <w:tc>
          <w:tcPr>
            <w:cnfStyle w:val="001000000000" w:firstRow="0" w:lastRow="0" w:firstColumn="1" w:lastColumn="0" w:oddVBand="0" w:evenVBand="0" w:oddHBand="0" w:evenHBand="0" w:firstRowFirstColumn="0" w:firstRowLastColumn="0" w:lastRowFirstColumn="0" w:lastRowLastColumn="0"/>
            <w:tcW w:w="962" w:type="dxa"/>
            <w:tcBorders>
              <w:left w:val="nil"/>
            </w:tcBorders>
            <w:vAlign w:val="center"/>
          </w:tcPr>
          <w:p w14:paraId="634099DD" w14:textId="6CC18E63" w:rsidR="008012E8" w:rsidRPr="009426E0" w:rsidRDefault="008012E8" w:rsidP="001F326D">
            <w:pPr>
              <w:pStyle w:val="Tablebody"/>
              <w:rPr>
                <w:lang w:val="en-US"/>
              </w:rPr>
            </w:pPr>
            <w:r w:rsidRPr="009426E0">
              <w:rPr>
                <w:lang w:val="en-US"/>
              </w:rPr>
              <w:t>2021</w:t>
            </w:r>
          </w:p>
        </w:tc>
        <w:tc>
          <w:tcPr>
            <w:tcW w:w="962" w:type="dxa"/>
            <w:vAlign w:val="center"/>
          </w:tcPr>
          <w:p w14:paraId="405B9FB5" w14:textId="508A124D" w:rsidR="008012E8" w:rsidRPr="009426E0" w:rsidRDefault="008012E8" w:rsidP="001F326D">
            <w:pPr>
              <w:pStyle w:val="Tablebody"/>
              <w:cnfStyle w:val="000000000000" w:firstRow="0" w:lastRow="0" w:firstColumn="0" w:lastColumn="0" w:oddVBand="0" w:evenVBand="0" w:oddHBand="0" w:evenHBand="0" w:firstRowFirstColumn="0" w:firstRowLastColumn="0" w:lastRowFirstColumn="0" w:lastRowLastColumn="0"/>
              <w:rPr>
                <w:lang w:val="en-US"/>
              </w:rPr>
            </w:pPr>
            <w:r w:rsidRPr="009426E0">
              <w:rPr>
                <w:lang w:eastAsia="en-GB"/>
              </w:rPr>
              <w:t>4,285</w:t>
            </w:r>
          </w:p>
        </w:tc>
        <w:tc>
          <w:tcPr>
            <w:tcW w:w="962" w:type="dxa"/>
            <w:vAlign w:val="center"/>
          </w:tcPr>
          <w:p w14:paraId="160AB63A" w14:textId="20B9FE4F" w:rsidR="008012E8" w:rsidRPr="009426E0" w:rsidRDefault="009E3D6A" w:rsidP="001F326D">
            <w:pPr>
              <w:pStyle w:val="Tablebody"/>
              <w:cnfStyle w:val="000000000000" w:firstRow="0" w:lastRow="0" w:firstColumn="0" w:lastColumn="0" w:oddVBand="0" w:evenVBand="0" w:oddHBand="0" w:evenHBand="0" w:firstRowFirstColumn="0" w:firstRowLastColumn="0" w:lastRowFirstColumn="0" w:lastRowLastColumn="0"/>
              <w:rPr>
                <w:lang w:val="en-US"/>
              </w:rPr>
            </w:pPr>
            <w:r w:rsidRPr="009426E0">
              <w:rPr>
                <w:lang w:eastAsia="en-GB"/>
              </w:rPr>
              <w:t>1,075.3</w:t>
            </w:r>
          </w:p>
        </w:tc>
        <w:tc>
          <w:tcPr>
            <w:tcW w:w="962" w:type="dxa"/>
            <w:vAlign w:val="center"/>
          </w:tcPr>
          <w:p w14:paraId="33FD8FE2" w14:textId="43D754D4" w:rsidR="008012E8" w:rsidRPr="009426E0" w:rsidRDefault="00A93AEB" w:rsidP="001F326D">
            <w:pPr>
              <w:pStyle w:val="Tablebody"/>
              <w:cnfStyle w:val="000000000000" w:firstRow="0" w:lastRow="0" w:firstColumn="0" w:lastColumn="0" w:oddVBand="0" w:evenVBand="0" w:oddHBand="0" w:evenHBand="0" w:firstRowFirstColumn="0" w:firstRowLastColumn="0" w:lastRowFirstColumn="0" w:lastRowLastColumn="0"/>
              <w:rPr>
                <w:lang w:val="en-US"/>
              </w:rPr>
            </w:pPr>
            <w:r w:rsidRPr="009426E0">
              <w:rPr>
                <w:lang w:eastAsia="en-GB"/>
              </w:rPr>
              <w:t>398,509.0</w:t>
            </w:r>
          </w:p>
        </w:tc>
        <w:tc>
          <w:tcPr>
            <w:tcW w:w="962" w:type="dxa"/>
            <w:vAlign w:val="center"/>
          </w:tcPr>
          <w:p w14:paraId="2185AF83" w14:textId="28930ADC" w:rsidR="008012E8" w:rsidRPr="009426E0" w:rsidRDefault="00926C3D" w:rsidP="001F326D">
            <w:pPr>
              <w:pStyle w:val="Tablebody"/>
              <w:cnfStyle w:val="000000000000" w:firstRow="0" w:lastRow="0" w:firstColumn="0" w:lastColumn="0" w:oddVBand="0" w:evenVBand="0" w:oddHBand="0" w:evenHBand="0" w:firstRowFirstColumn="0" w:firstRowLastColumn="0" w:lastRowFirstColumn="0" w:lastRowLastColumn="0"/>
              <w:rPr>
                <w:lang w:val="en-US"/>
              </w:rPr>
            </w:pPr>
            <w:r w:rsidRPr="009426E0">
              <w:rPr>
                <w:lang w:eastAsia="en-GB"/>
              </w:rPr>
              <w:t>11,042</w:t>
            </w:r>
          </w:p>
        </w:tc>
        <w:tc>
          <w:tcPr>
            <w:tcW w:w="962" w:type="dxa"/>
            <w:vAlign w:val="center"/>
          </w:tcPr>
          <w:p w14:paraId="20AB0956" w14:textId="2FAE127F" w:rsidR="008012E8" w:rsidRPr="009426E0" w:rsidRDefault="002E3D20" w:rsidP="001F326D">
            <w:pPr>
              <w:pStyle w:val="Tablebody"/>
              <w:cnfStyle w:val="000000000000" w:firstRow="0" w:lastRow="0" w:firstColumn="0" w:lastColumn="0" w:oddVBand="0" w:evenVBand="0" w:oddHBand="0" w:evenHBand="0" w:firstRowFirstColumn="0" w:firstRowLastColumn="0" w:lastRowFirstColumn="0" w:lastRowLastColumn="0"/>
              <w:rPr>
                <w:lang w:val="en-US"/>
              </w:rPr>
            </w:pPr>
            <w:r w:rsidRPr="009426E0">
              <w:rPr>
                <w:lang w:eastAsia="en-GB"/>
              </w:rPr>
              <w:t>4,991.9</w:t>
            </w:r>
          </w:p>
        </w:tc>
        <w:tc>
          <w:tcPr>
            <w:tcW w:w="962" w:type="dxa"/>
            <w:vAlign w:val="center"/>
          </w:tcPr>
          <w:p w14:paraId="5C91EC6D" w14:textId="1A3F4AA0" w:rsidR="008012E8" w:rsidRPr="009426E0" w:rsidRDefault="002E0714" w:rsidP="001F326D">
            <w:pPr>
              <w:pStyle w:val="Tablebody"/>
              <w:cnfStyle w:val="000000000000" w:firstRow="0" w:lastRow="0" w:firstColumn="0" w:lastColumn="0" w:oddVBand="0" w:evenVBand="0" w:oddHBand="0" w:evenHBand="0" w:firstRowFirstColumn="0" w:firstRowLastColumn="0" w:lastRowFirstColumn="0" w:lastRowLastColumn="0"/>
              <w:rPr>
                <w:lang w:val="en-US"/>
              </w:rPr>
            </w:pPr>
            <w:r w:rsidRPr="009426E0">
              <w:rPr>
                <w:lang w:eastAsia="en-GB"/>
              </w:rPr>
              <w:t>221,199.0</w:t>
            </w:r>
          </w:p>
        </w:tc>
        <w:tc>
          <w:tcPr>
            <w:tcW w:w="962" w:type="dxa"/>
            <w:vAlign w:val="center"/>
          </w:tcPr>
          <w:p w14:paraId="6527F6AD" w14:textId="287358D6" w:rsidR="008012E8" w:rsidRPr="009426E0" w:rsidRDefault="00B05E0A" w:rsidP="001F326D">
            <w:pPr>
              <w:pStyle w:val="Tablebody"/>
              <w:cnfStyle w:val="000000000000" w:firstRow="0" w:lastRow="0" w:firstColumn="0" w:lastColumn="0" w:oddVBand="0" w:evenVBand="0" w:oddHBand="0" w:evenHBand="0" w:firstRowFirstColumn="0" w:firstRowLastColumn="0" w:lastRowFirstColumn="0" w:lastRowLastColumn="0"/>
              <w:rPr>
                <w:lang w:val="en-US"/>
              </w:rPr>
            </w:pPr>
            <w:r w:rsidRPr="009426E0">
              <w:rPr>
                <w:lang w:eastAsia="en-GB"/>
              </w:rPr>
              <w:t>15,327</w:t>
            </w:r>
          </w:p>
        </w:tc>
        <w:tc>
          <w:tcPr>
            <w:tcW w:w="963" w:type="dxa"/>
            <w:vAlign w:val="center"/>
          </w:tcPr>
          <w:p w14:paraId="492F25F6" w14:textId="3D353585" w:rsidR="008012E8" w:rsidRPr="009426E0" w:rsidRDefault="00B72202" w:rsidP="001F326D">
            <w:pPr>
              <w:pStyle w:val="Tablebody"/>
              <w:cnfStyle w:val="000000000000" w:firstRow="0" w:lastRow="0" w:firstColumn="0" w:lastColumn="0" w:oddVBand="0" w:evenVBand="0" w:oddHBand="0" w:evenHBand="0" w:firstRowFirstColumn="0" w:firstRowLastColumn="0" w:lastRowFirstColumn="0" w:lastRowLastColumn="0"/>
              <w:rPr>
                <w:lang w:val="en-US"/>
              </w:rPr>
            </w:pPr>
            <w:r w:rsidRPr="009426E0">
              <w:rPr>
                <w:lang w:eastAsia="en-GB"/>
              </w:rPr>
              <w:t>2,473.3</w:t>
            </w:r>
          </w:p>
        </w:tc>
        <w:tc>
          <w:tcPr>
            <w:tcW w:w="963" w:type="dxa"/>
            <w:tcBorders>
              <w:right w:val="nil"/>
            </w:tcBorders>
            <w:vAlign w:val="center"/>
          </w:tcPr>
          <w:p w14:paraId="30D02369" w14:textId="1F35F0AA" w:rsidR="008012E8" w:rsidRPr="009426E0" w:rsidRDefault="00B72202" w:rsidP="001F326D">
            <w:pPr>
              <w:pStyle w:val="Tablebody"/>
              <w:cnfStyle w:val="000000000000" w:firstRow="0" w:lastRow="0" w:firstColumn="0" w:lastColumn="0" w:oddVBand="0" w:evenVBand="0" w:oddHBand="0" w:evenHBand="0" w:firstRowFirstColumn="0" w:firstRowLastColumn="0" w:lastRowFirstColumn="0" w:lastRowLastColumn="0"/>
              <w:rPr>
                <w:lang w:val="en-US"/>
              </w:rPr>
            </w:pPr>
            <w:r w:rsidRPr="009426E0">
              <w:rPr>
                <w:lang w:eastAsia="en-GB"/>
              </w:rPr>
              <w:t>619,708.0</w:t>
            </w:r>
          </w:p>
        </w:tc>
      </w:tr>
      <w:tr w:rsidR="008012E8" w:rsidRPr="009426E0" w14:paraId="55BF10F5" w14:textId="77777777" w:rsidTr="001F326D">
        <w:trPr>
          <w:trHeight w:val="340"/>
        </w:trPr>
        <w:tc>
          <w:tcPr>
            <w:cnfStyle w:val="001000000000" w:firstRow="0" w:lastRow="0" w:firstColumn="1" w:lastColumn="0" w:oddVBand="0" w:evenVBand="0" w:oddHBand="0" w:evenHBand="0" w:firstRowFirstColumn="0" w:firstRowLastColumn="0" w:lastRowFirstColumn="0" w:lastRowLastColumn="0"/>
            <w:tcW w:w="962" w:type="dxa"/>
            <w:tcBorders>
              <w:left w:val="nil"/>
            </w:tcBorders>
            <w:vAlign w:val="center"/>
          </w:tcPr>
          <w:p w14:paraId="54E7A137" w14:textId="707D271E" w:rsidR="008012E8" w:rsidRPr="009426E0" w:rsidRDefault="008012E8" w:rsidP="001F326D">
            <w:pPr>
              <w:pStyle w:val="Tablebody"/>
              <w:rPr>
                <w:lang w:val="en-US"/>
              </w:rPr>
            </w:pPr>
            <w:r w:rsidRPr="009426E0">
              <w:rPr>
                <w:lang w:val="en-US"/>
              </w:rPr>
              <w:t>2022</w:t>
            </w:r>
          </w:p>
        </w:tc>
        <w:tc>
          <w:tcPr>
            <w:tcW w:w="962" w:type="dxa"/>
            <w:vAlign w:val="center"/>
          </w:tcPr>
          <w:p w14:paraId="55208DB3" w14:textId="5677A5AE" w:rsidR="008012E8" w:rsidRPr="009426E0" w:rsidRDefault="008012E8" w:rsidP="001F326D">
            <w:pPr>
              <w:pStyle w:val="Tablebody"/>
              <w:cnfStyle w:val="000000000000" w:firstRow="0" w:lastRow="0" w:firstColumn="0" w:lastColumn="0" w:oddVBand="0" w:evenVBand="0" w:oddHBand="0" w:evenHBand="0" w:firstRowFirstColumn="0" w:firstRowLastColumn="0" w:lastRowFirstColumn="0" w:lastRowLastColumn="0"/>
              <w:rPr>
                <w:lang w:val="en-US"/>
              </w:rPr>
            </w:pPr>
            <w:r w:rsidRPr="009426E0">
              <w:rPr>
                <w:lang w:eastAsia="en-GB"/>
              </w:rPr>
              <w:t>5,882</w:t>
            </w:r>
          </w:p>
        </w:tc>
        <w:tc>
          <w:tcPr>
            <w:tcW w:w="962" w:type="dxa"/>
            <w:vAlign w:val="center"/>
          </w:tcPr>
          <w:p w14:paraId="5CE8FA3F" w14:textId="5DF7042C" w:rsidR="008012E8" w:rsidRPr="009426E0" w:rsidRDefault="009E3D6A" w:rsidP="001F326D">
            <w:pPr>
              <w:pStyle w:val="Tablebody"/>
              <w:cnfStyle w:val="000000000000" w:firstRow="0" w:lastRow="0" w:firstColumn="0" w:lastColumn="0" w:oddVBand="0" w:evenVBand="0" w:oddHBand="0" w:evenHBand="0" w:firstRowFirstColumn="0" w:firstRowLastColumn="0" w:lastRowFirstColumn="0" w:lastRowLastColumn="0"/>
              <w:rPr>
                <w:lang w:val="en-US"/>
              </w:rPr>
            </w:pPr>
            <w:r w:rsidRPr="009426E0">
              <w:rPr>
                <w:lang w:eastAsia="en-GB"/>
              </w:rPr>
              <w:t>1,463.9</w:t>
            </w:r>
          </w:p>
        </w:tc>
        <w:tc>
          <w:tcPr>
            <w:tcW w:w="962" w:type="dxa"/>
            <w:vAlign w:val="center"/>
          </w:tcPr>
          <w:p w14:paraId="70D52424" w14:textId="7BD284E9" w:rsidR="008012E8" w:rsidRPr="009426E0" w:rsidRDefault="00A93AEB" w:rsidP="001F326D">
            <w:pPr>
              <w:pStyle w:val="Tablebody"/>
              <w:cnfStyle w:val="000000000000" w:firstRow="0" w:lastRow="0" w:firstColumn="0" w:lastColumn="0" w:oddVBand="0" w:evenVBand="0" w:oddHBand="0" w:evenHBand="0" w:firstRowFirstColumn="0" w:firstRowLastColumn="0" w:lastRowFirstColumn="0" w:lastRowLastColumn="0"/>
              <w:rPr>
                <w:lang w:val="en-US"/>
              </w:rPr>
            </w:pPr>
            <w:r w:rsidRPr="009426E0">
              <w:rPr>
                <w:lang w:eastAsia="en-GB"/>
              </w:rPr>
              <w:t>401,799.5</w:t>
            </w:r>
          </w:p>
        </w:tc>
        <w:tc>
          <w:tcPr>
            <w:tcW w:w="962" w:type="dxa"/>
            <w:vAlign w:val="center"/>
          </w:tcPr>
          <w:p w14:paraId="3BD87071" w14:textId="1AD43B98" w:rsidR="008012E8" w:rsidRPr="009426E0" w:rsidRDefault="00926C3D" w:rsidP="001F326D">
            <w:pPr>
              <w:pStyle w:val="Tablebody"/>
              <w:cnfStyle w:val="000000000000" w:firstRow="0" w:lastRow="0" w:firstColumn="0" w:lastColumn="0" w:oddVBand="0" w:evenVBand="0" w:oddHBand="0" w:evenHBand="0" w:firstRowFirstColumn="0" w:firstRowLastColumn="0" w:lastRowFirstColumn="0" w:lastRowLastColumn="0"/>
              <w:rPr>
                <w:lang w:val="en-US"/>
              </w:rPr>
            </w:pPr>
            <w:r w:rsidRPr="009426E0">
              <w:rPr>
                <w:lang w:eastAsia="en-GB"/>
              </w:rPr>
              <w:t>12,237</w:t>
            </w:r>
          </w:p>
        </w:tc>
        <w:tc>
          <w:tcPr>
            <w:tcW w:w="962" w:type="dxa"/>
            <w:vAlign w:val="center"/>
          </w:tcPr>
          <w:p w14:paraId="795E6029" w14:textId="4C8C8E73" w:rsidR="008012E8" w:rsidRPr="009426E0" w:rsidRDefault="002E3D20" w:rsidP="001F326D">
            <w:pPr>
              <w:pStyle w:val="Tablebody"/>
              <w:cnfStyle w:val="000000000000" w:firstRow="0" w:lastRow="0" w:firstColumn="0" w:lastColumn="0" w:oddVBand="0" w:evenVBand="0" w:oddHBand="0" w:evenHBand="0" w:firstRowFirstColumn="0" w:firstRowLastColumn="0" w:lastRowFirstColumn="0" w:lastRowLastColumn="0"/>
              <w:rPr>
                <w:lang w:val="en-US"/>
              </w:rPr>
            </w:pPr>
            <w:r w:rsidRPr="009426E0">
              <w:rPr>
                <w:lang w:eastAsia="en-GB"/>
              </w:rPr>
              <w:t>5,281.8</w:t>
            </w:r>
          </w:p>
        </w:tc>
        <w:tc>
          <w:tcPr>
            <w:tcW w:w="962" w:type="dxa"/>
            <w:vAlign w:val="center"/>
          </w:tcPr>
          <w:p w14:paraId="349BFF2E" w14:textId="6B630B59" w:rsidR="008012E8" w:rsidRPr="009426E0" w:rsidRDefault="002E0714" w:rsidP="001F326D">
            <w:pPr>
              <w:pStyle w:val="Tablebody"/>
              <w:cnfStyle w:val="000000000000" w:firstRow="0" w:lastRow="0" w:firstColumn="0" w:lastColumn="0" w:oddVBand="0" w:evenVBand="0" w:oddHBand="0" w:evenHBand="0" w:firstRowFirstColumn="0" w:firstRowLastColumn="0" w:lastRowFirstColumn="0" w:lastRowLastColumn="0"/>
              <w:rPr>
                <w:lang w:val="en-US"/>
              </w:rPr>
            </w:pPr>
            <w:r w:rsidRPr="009426E0">
              <w:rPr>
                <w:lang w:eastAsia="en-GB"/>
              </w:rPr>
              <w:t>231,682.1</w:t>
            </w:r>
          </w:p>
        </w:tc>
        <w:tc>
          <w:tcPr>
            <w:tcW w:w="962" w:type="dxa"/>
            <w:vAlign w:val="center"/>
          </w:tcPr>
          <w:p w14:paraId="5F994BF8" w14:textId="47DF3AA1" w:rsidR="008012E8" w:rsidRPr="009426E0" w:rsidRDefault="00B05E0A" w:rsidP="001F326D">
            <w:pPr>
              <w:pStyle w:val="Tablebody"/>
              <w:cnfStyle w:val="000000000000" w:firstRow="0" w:lastRow="0" w:firstColumn="0" w:lastColumn="0" w:oddVBand="0" w:evenVBand="0" w:oddHBand="0" w:evenHBand="0" w:firstRowFirstColumn="0" w:firstRowLastColumn="0" w:lastRowFirstColumn="0" w:lastRowLastColumn="0"/>
              <w:rPr>
                <w:lang w:val="en-US"/>
              </w:rPr>
            </w:pPr>
            <w:r w:rsidRPr="009426E0">
              <w:rPr>
                <w:lang w:eastAsia="en-GB"/>
              </w:rPr>
              <w:t>18,119</w:t>
            </w:r>
          </w:p>
        </w:tc>
        <w:tc>
          <w:tcPr>
            <w:tcW w:w="963" w:type="dxa"/>
            <w:vAlign w:val="center"/>
          </w:tcPr>
          <w:p w14:paraId="17045525" w14:textId="3FAE7D97" w:rsidR="008012E8" w:rsidRPr="009426E0" w:rsidRDefault="00B72202" w:rsidP="001F326D">
            <w:pPr>
              <w:pStyle w:val="Tablebody"/>
              <w:cnfStyle w:val="000000000000" w:firstRow="0" w:lastRow="0" w:firstColumn="0" w:lastColumn="0" w:oddVBand="0" w:evenVBand="0" w:oddHBand="0" w:evenHBand="0" w:firstRowFirstColumn="0" w:firstRowLastColumn="0" w:lastRowFirstColumn="0" w:lastRowLastColumn="0"/>
              <w:rPr>
                <w:lang w:val="en-US"/>
              </w:rPr>
            </w:pPr>
            <w:r w:rsidRPr="009426E0">
              <w:rPr>
                <w:lang w:eastAsia="en-GB"/>
              </w:rPr>
              <w:t>2,860.2</w:t>
            </w:r>
          </w:p>
        </w:tc>
        <w:tc>
          <w:tcPr>
            <w:tcW w:w="963" w:type="dxa"/>
            <w:tcBorders>
              <w:right w:val="nil"/>
            </w:tcBorders>
            <w:vAlign w:val="center"/>
          </w:tcPr>
          <w:p w14:paraId="1C431D13" w14:textId="150C358C" w:rsidR="008012E8" w:rsidRPr="009426E0" w:rsidRDefault="00B72202" w:rsidP="001F326D">
            <w:pPr>
              <w:pStyle w:val="Tablebody"/>
              <w:cnfStyle w:val="000000000000" w:firstRow="0" w:lastRow="0" w:firstColumn="0" w:lastColumn="0" w:oddVBand="0" w:evenVBand="0" w:oddHBand="0" w:evenHBand="0" w:firstRowFirstColumn="0" w:firstRowLastColumn="0" w:lastRowFirstColumn="0" w:lastRowLastColumn="0"/>
              <w:rPr>
                <w:lang w:val="en-US"/>
              </w:rPr>
            </w:pPr>
            <w:r w:rsidRPr="009426E0">
              <w:rPr>
                <w:lang w:eastAsia="en-GB"/>
              </w:rPr>
              <w:t>633,481.6</w:t>
            </w:r>
          </w:p>
        </w:tc>
      </w:tr>
    </w:tbl>
    <w:p w14:paraId="2177930F" w14:textId="77777777" w:rsidR="0072611F" w:rsidRPr="009426E0" w:rsidRDefault="0072611F" w:rsidP="0072611F">
      <w:pPr>
        <w:spacing w:after="160" w:line="259" w:lineRule="auto"/>
        <w:rPr>
          <w:i/>
          <w:iCs/>
          <w:lang w:val="en-US"/>
        </w:rPr>
      </w:pPr>
      <w:r w:rsidRPr="009426E0">
        <w:rPr>
          <w:b/>
          <w:bCs/>
          <w:i/>
          <w:iCs/>
          <w:lang w:val="en-US"/>
        </w:rPr>
        <w:t xml:space="preserve">Source: </w:t>
      </w:r>
      <w:r w:rsidRPr="009426E0">
        <w:rPr>
          <w:i/>
          <w:iCs/>
          <w:lang w:val="en-US"/>
        </w:rPr>
        <w:t>Rate of alleged offender incidents (Crime Statistics Agency, 2023)</w:t>
      </w:r>
    </w:p>
    <w:p w14:paraId="5493967F" w14:textId="77777777" w:rsidR="00596B86" w:rsidRPr="009426E0" w:rsidRDefault="00596B86" w:rsidP="0072611F">
      <w:pPr>
        <w:spacing w:after="160" w:line="259" w:lineRule="auto"/>
        <w:rPr>
          <w:i/>
          <w:iCs/>
          <w:lang w:val="en-US"/>
        </w:rPr>
      </w:pPr>
    </w:p>
    <w:p w14:paraId="03517A4C" w14:textId="77777777" w:rsidR="0072611F" w:rsidRPr="009426E0" w:rsidRDefault="0072611F" w:rsidP="00596B86">
      <w:pPr>
        <w:pStyle w:val="Figuretitle"/>
      </w:pPr>
      <w:r w:rsidRPr="009426E0">
        <w:t>Figure 10: Local government areas with the highest numbers of alleged offender incidents for young people, ages 10 to 17, 2022</w:t>
      </w:r>
    </w:p>
    <w:tbl>
      <w:tblPr>
        <w:tblW w:w="6804" w:type="dxa"/>
        <w:tblBorders>
          <w:bottom w:val="single" w:sz="2" w:space="0" w:color="auto"/>
          <w:insideH w:val="single" w:sz="2" w:space="0" w:color="auto"/>
        </w:tblBorders>
        <w:tblLook w:val="04A0" w:firstRow="1" w:lastRow="0" w:firstColumn="1" w:lastColumn="0" w:noHBand="0" w:noVBand="1"/>
      </w:tblPr>
      <w:tblGrid>
        <w:gridCol w:w="6804"/>
      </w:tblGrid>
      <w:tr w:rsidR="00CE5610" w:rsidRPr="009426E0" w14:paraId="222F2922" w14:textId="77777777" w:rsidTr="00CE5610">
        <w:trPr>
          <w:trHeight w:val="300"/>
        </w:trPr>
        <w:tc>
          <w:tcPr>
            <w:tcW w:w="6804" w:type="dxa"/>
            <w:shd w:val="clear" w:color="auto" w:fill="B6E9EA" w:themeFill="accent2"/>
            <w:noWrap/>
            <w:vAlign w:val="bottom"/>
            <w:hideMark/>
          </w:tcPr>
          <w:p w14:paraId="0AB6CEFB" w14:textId="4600B0A5" w:rsidR="00CE5610" w:rsidRPr="009426E0" w:rsidRDefault="00CE5610" w:rsidP="008E4544">
            <w:pPr>
              <w:pStyle w:val="TableHead"/>
            </w:pPr>
            <w:r w:rsidRPr="009426E0">
              <w:t>LGA</w:t>
            </w:r>
          </w:p>
        </w:tc>
      </w:tr>
      <w:tr w:rsidR="00CE5610" w:rsidRPr="009426E0" w14:paraId="5DBCA0D9" w14:textId="77777777" w:rsidTr="00CE5610">
        <w:trPr>
          <w:trHeight w:val="300"/>
        </w:trPr>
        <w:tc>
          <w:tcPr>
            <w:tcW w:w="6804" w:type="dxa"/>
            <w:shd w:val="clear" w:color="auto" w:fill="auto"/>
            <w:noWrap/>
            <w:vAlign w:val="bottom"/>
            <w:hideMark/>
          </w:tcPr>
          <w:p w14:paraId="0D6E5B98" w14:textId="77777777" w:rsidR="00CE5610" w:rsidRPr="009426E0" w:rsidRDefault="00CE5610" w:rsidP="008E4544">
            <w:pPr>
              <w:pStyle w:val="Tablebody"/>
              <w:rPr>
                <w:lang w:eastAsia="en-GB"/>
              </w:rPr>
            </w:pPr>
            <w:r w:rsidRPr="009426E0">
              <w:rPr>
                <w:lang w:eastAsia="en-GB"/>
              </w:rPr>
              <w:t>Casey City</w:t>
            </w:r>
          </w:p>
        </w:tc>
      </w:tr>
      <w:tr w:rsidR="00CE5610" w:rsidRPr="009426E0" w14:paraId="420B4C1D" w14:textId="77777777" w:rsidTr="00CE5610">
        <w:trPr>
          <w:trHeight w:val="300"/>
        </w:trPr>
        <w:tc>
          <w:tcPr>
            <w:tcW w:w="6804" w:type="dxa"/>
            <w:shd w:val="clear" w:color="auto" w:fill="auto"/>
            <w:noWrap/>
            <w:vAlign w:val="bottom"/>
            <w:hideMark/>
          </w:tcPr>
          <w:p w14:paraId="4741CABB" w14:textId="77777777" w:rsidR="00CE5610" w:rsidRPr="009426E0" w:rsidRDefault="00CE5610" w:rsidP="008E4544">
            <w:pPr>
              <w:pStyle w:val="Tablebody"/>
              <w:rPr>
                <w:lang w:eastAsia="en-GB"/>
              </w:rPr>
            </w:pPr>
            <w:r w:rsidRPr="009426E0">
              <w:rPr>
                <w:lang w:eastAsia="en-GB"/>
              </w:rPr>
              <w:t>Greater Geelong City</w:t>
            </w:r>
          </w:p>
        </w:tc>
      </w:tr>
      <w:tr w:rsidR="00CE5610" w:rsidRPr="009426E0" w14:paraId="516FC444" w14:textId="77777777" w:rsidTr="00CE5610">
        <w:trPr>
          <w:trHeight w:val="300"/>
        </w:trPr>
        <w:tc>
          <w:tcPr>
            <w:tcW w:w="6804" w:type="dxa"/>
            <w:shd w:val="clear" w:color="auto" w:fill="auto"/>
            <w:noWrap/>
            <w:vAlign w:val="bottom"/>
            <w:hideMark/>
          </w:tcPr>
          <w:p w14:paraId="311D7073" w14:textId="77777777" w:rsidR="00CE5610" w:rsidRPr="009426E0" w:rsidRDefault="00CE5610" w:rsidP="008E4544">
            <w:pPr>
              <w:pStyle w:val="Tablebody"/>
              <w:rPr>
                <w:lang w:eastAsia="en-GB"/>
              </w:rPr>
            </w:pPr>
            <w:r w:rsidRPr="009426E0">
              <w:rPr>
                <w:lang w:eastAsia="en-GB"/>
              </w:rPr>
              <w:t>Wyndham City</w:t>
            </w:r>
          </w:p>
        </w:tc>
      </w:tr>
      <w:tr w:rsidR="00CE5610" w:rsidRPr="009426E0" w14:paraId="7088120C" w14:textId="77777777" w:rsidTr="00CE5610">
        <w:trPr>
          <w:trHeight w:val="300"/>
        </w:trPr>
        <w:tc>
          <w:tcPr>
            <w:tcW w:w="6804" w:type="dxa"/>
            <w:shd w:val="clear" w:color="auto" w:fill="auto"/>
            <w:noWrap/>
            <w:vAlign w:val="bottom"/>
            <w:hideMark/>
          </w:tcPr>
          <w:p w14:paraId="4D9BE409" w14:textId="77777777" w:rsidR="00CE5610" w:rsidRPr="009426E0" w:rsidRDefault="00CE5610" w:rsidP="008E4544">
            <w:pPr>
              <w:pStyle w:val="Tablebody"/>
              <w:rPr>
                <w:lang w:eastAsia="en-GB"/>
              </w:rPr>
            </w:pPr>
            <w:r w:rsidRPr="009426E0">
              <w:rPr>
                <w:lang w:eastAsia="en-GB"/>
              </w:rPr>
              <w:t>Melbourne City</w:t>
            </w:r>
          </w:p>
        </w:tc>
      </w:tr>
      <w:tr w:rsidR="00CE5610" w:rsidRPr="009426E0" w14:paraId="1379346F" w14:textId="77777777" w:rsidTr="00CE5610">
        <w:trPr>
          <w:trHeight w:val="300"/>
        </w:trPr>
        <w:tc>
          <w:tcPr>
            <w:tcW w:w="6804" w:type="dxa"/>
            <w:shd w:val="clear" w:color="auto" w:fill="auto"/>
            <w:noWrap/>
            <w:vAlign w:val="bottom"/>
            <w:hideMark/>
          </w:tcPr>
          <w:p w14:paraId="5BFCFCC0" w14:textId="77777777" w:rsidR="00CE5610" w:rsidRPr="009426E0" w:rsidRDefault="00CE5610" w:rsidP="008E4544">
            <w:pPr>
              <w:pStyle w:val="Tablebody"/>
              <w:rPr>
                <w:lang w:eastAsia="en-GB"/>
              </w:rPr>
            </w:pPr>
            <w:r w:rsidRPr="009426E0">
              <w:rPr>
                <w:lang w:eastAsia="en-GB"/>
              </w:rPr>
              <w:t>Latrobe City</w:t>
            </w:r>
          </w:p>
        </w:tc>
      </w:tr>
      <w:tr w:rsidR="00CE5610" w:rsidRPr="009426E0" w14:paraId="3B4DEB84" w14:textId="77777777" w:rsidTr="00CE5610">
        <w:trPr>
          <w:trHeight w:val="300"/>
        </w:trPr>
        <w:tc>
          <w:tcPr>
            <w:tcW w:w="6804" w:type="dxa"/>
            <w:shd w:val="clear" w:color="auto" w:fill="auto"/>
            <w:noWrap/>
            <w:vAlign w:val="bottom"/>
            <w:hideMark/>
          </w:tcPr>
          <w:p w14:paraId="683B0579" w14:textId="77777777" w:rsidR="00CE5610" w:rsidRPr="009426E0" w:rsidRDefault="00CE5610" w:rsidP="008E4544">
            <w:pPr>
              <w:pStyle w:val="Tablebody"/>
              <w:rPr>
                <w:lang w:eastAsia="en-GB"/>
              </w:rPr>
            </w:pPr>
            <w:r w:rsidRPr="009426E0">
              <w:rPr>
                <w:lang w:eastAsia="en-GB"/>
              </w:rPr>
              <w:t>Frankston City</w:t>
            </w:r>
          </w:p>
        </w:tc>
      </w:tr>
      <w:tr w:rsidR="00CE5610" w:rsidRPr="009426E0" w14:paraId="15578289" w14:textId="77777777" w:rsidTr="00CE5610">
        <w:trPr>
          <w:trHeight w:val="300"/>
        </w:trPr>
        <w:tc>
          <w:tcPr>
            <w:tcW w:w="6804" w:type="dxa"/>
            <w:shd w:val="clear" w:color="auto" w:fill="auto"/>
            <w:noWrap/>
            <w:vAlign w:val="bottom"/>
            <w:hideMark/>
          </w:tcPr>
          <w:p w14:paraId="6B0E0EB7" w14:textId="77777777" w:rsidR="00CE5610" w:rsidRPr="009426E0" w:rsidRDefault="00CE5610" w:rsidP="008E4544">
            <w:pPr>
              <w:pStyle w:val="Tablebody"/>
              <w:rPr>
                <w:lang w:eastAsia="en-GB"/>
              </w:rPr>
            </w:pPr>
            <w:r w:rsidRPr="009426E0">
              <w:rPr>
                <w:lang w:eastAsia="en-GB"/>
              </w:rPr>
              <w:lastRenderedPageBreak/>
              <w:t>Greater Bendigo City</w:t>
            </w:r>
          </w:p>
        </w:tc>
      </w:tr>
      <w:tr w:rsidR="00CE5610" w:rsidRPr="009426E0" w14:paraId="4DC50A08" w14:textId="77777777" w:rsidTr="00CE5610">
        <w:trPr>
          <w:trHeight w:val="300"/>
        </w:trPr>
        <w:tc>
          <w:tcPr>
            <w:tcW w:w="6804" w:type="dxa"/>
            <w:shd w:val="clear" w:color="auto" w:fill="auto"/>
            <w:noWrap/>
            <w:vAlign w:val="bottom"/>
            <w:hideMark/>
          </w:tcPr>
          <w:p w14:paraId="70E64A80" w14:textId="77777777" w:rsidR="00CE5610" w:rsidRPr="009426E0" w:rsidRDefault="00CE5610" w:rsidP="008E4544">
            <w:pPr>
              <w:pStyle w:val="Tablebody"/>
              <w:rPr>
                <w:lang w:eastAsia="en-GB"/>
              </w:rPr>
            </w:pPr>
            <w:r w:rsidRPr="009426E0">
              <w:rPr>
                <w:lang w:eastAsia="en-GB"/>
              </w:rPr>
              <w:t>Whittlesea City</w:t>
            </w:r>
          </w:p>
        </w:tc>
      </w:tr>
      <w:tr w:rsidR="00CE5610" w:rsidRPr="009426E0" w14:paraId="711D1E37" w14:textId="77777777" w:rsidTr="00CE5610">
        <w:trPr>
          <w:trHeight w:val="300"/>
        </w:trPr>
        <w:tc>
          <w:tcPr>
            <w:tcW w:w="6804" w:type="dxa"/>
            <w:shd w:val="clear" w:color="auto" w:fill="auto"/>
            <w:noWrap/>
            <w:vAlign w:val="bottom"/>
            <w:hideMark/>
          </w:tcPr>
          <w:p w14:paraId="3B7420DA" w14:textId="77777777" w:rsidR="00CE5610" w:rsidRPr="009426E0" w:rsidRDefault="00CE5610" w:rsidP="008E4544">
            <w:pPr>
              <w:pStyle w:val="Tablebody"/>
              <w:rPr>
                <w:lang w:eastAsia="en-GB"/>
              </w:rPr>
            </w:pPr>
            <w:r w:rsidRPr="009426E0">
              <w:rPr>
                <w:lang w:eastAsia="en-GB"/>
              </w:rPr>
              <w:t>Greater Dandenong City</w:t>
            </w:r>
          </w:p>
        </w:tc>
      </w:tr>
      <w:tr w:rsidR="00CE5610" w:rsidRPr="009426E0" w14:paraId="43C0055C" w14:textId="77777777" w:rsidTr="00CE5610">
        <w:trPr>
          <w:trHeight w:val="300"/>
        </w:trPr>
        <w:tc>
          <w:tcPr>
            <w:tcW w:w="6804" w:type="dxa"/>
            <w:shd w:val="clear" w:color="auto" w:fill="auto"/>
            <w:noWrap/>
            <w:vAlign w:val="bottom"/>
            <w:hideMark/>
          </w:tcPr>
          <w:p w14:paraId="16FB5A33" w14:textId="77777777" w:rsidR="00CE5610" w:rsidRPr="009426E0" w:rsidRDefault="00CE5610" w:rsidP="008E4544">
            <w:pPr>
              <w:pStyle w:val="Tablebody"/>
              <w:rPr>
                <w:lang w:eastAsia="en-GB"/>
              </w:rPr>
            </w:pPr>
            <w:r w:rsidRPr="009426E0">
              <w:rPr>
                <w:lang w:eastAsia="en-GB"/>
              </w:rPr>
              <w:t>Mornington Peninsula Shire</w:t>
            </w:r>
          </w:p>
        </w:tc>
      </w:tr>
      <w:tr w:rsidR="00CE5610" w:rsidRPr="009426E0" w14:paraId="71CEB7A2" w14:textId="77777777" w:rsidTr="00CE5610">
        <w:trPr>
          <w:trHeight w:val="300"/>
        </w:trPr>
        <w:tc>
          <w:tcPr>
            <w:tcW w:w="6804" w:type="dxa"/>
            <w:shd w:val="clear" w:color="auto" w:fill="auto"/>
            <w:noWrap/>
            <w:vAlign w:val="bottom"/>
            <w:hideMark/>
          </w:tcPr>
          <w:p w14:paraId="2F15C90D" w14:textId="77777777" w:rsidR="00CE5610" w:rsidRPr="009426E0" w:rsidRDefault="00CE5610" w:rsidP="008E4544">
            <w:pPr>
              <w:pStyle w:val="Tablebody"/>
              <w:rPr>
                <w:lang w:eastAsia="en-GB"/>
              </w:rPr>
            </w:pPr>
            <w:r w:rsidRPr="009426E0">
              <w:rPr>
                <w:lang w:eastAsia="en-GB"/>
              </w:rPr>
              <w:t>Yarra Ranges Shire</w:t>
            </w:r>
          </w:p>
        </w:tc>
      </w:tr>
      <w:tr w:rsidR="00CE5610" w:rsidRPr="009426E0" w14:paraId="451B3F97" w14:textId="77777777" w:rsidTr="00CE5610">
        <w:trPr>
          <w:trHeight w:val="300"/>
        </w:trPr>
        <w:tc>
          <w:tcPr>
            <w:tcW w:w="6804" w:type="dxa"/>
            <w:shd w:val="clear" w:color="auto" w:fill="auto"/>
            <w:noWrap/>
            <w:vAlign w:val="bottom"/>
            <w:hideMark/>
          </w:tcPr>
          <w:p w14:paraId="277B6D42" w14:textId="77777777" w:rsidR="00CE5610" w:rsidRPr="009426E0" w:rsidRDefault="00CE5610" w:rsidP="008E4544">
            <w:pPr>
              <w:pStyle w:val="Tablebody"/>
              <w:rPr>
                <w:lang w:eastAsia="en-GB"/>
              </w:rPr>
            </w:pPr>
            <w:r w:rsidRPr="009426E0">
              <w:rPr>
                <w:lang w:eastAsia="en-GB"/>
              </w:rPr>
              <w:t>Kingston City</w:t>
            </w:r>
          </w:p>
        </w:tc>
      </w:tr>
      <w:tr w:rsidR="00CE5610" w:rsidRPr="009426E0" w14:paraId="628E5C1E" w14:textId="77777777" w:rsidTr="00CE5610">
        <w:trPr>
          <w:trHeight w:val="300"/>
        </w:trPr>
        <w:tc>
          <w:tcPr>
            <w:tcW w:w="6804" w:type="dxa"/>
            <w:shd w:val="clear" w:color="auto" w:fill="auto"/>
            <w:noWrap/>
            <w:vAlign w:val="bottom"/>
            <w:hideMark/>
          </w:tcPr>
          <w:p w14:paraId="069A251C" w14:textId="77777777" w:rsidR="00CE5610" w:rsidRPr="009426E0" w:rsidRDefault="00CE5610" w:rsidP="008E4544">
            <w:pPr>
              <w:pStyle w:val="Tablebody"/>
              <w:rPr>
                <w:lang w:eastAsia="en-GB"/>
              </w:rPr>
            </w:pPr>
            <w:r w:rsidRPr="009426E0">
              <w:rPr>
                <w:lang w:eastAsia="en-GB"/>
              </w:rPr>
              <w:t>Melton City</w:t>
            </w:r>
          </w:p>
        </w:tc>
      </w:tr>
      <w:tr w:rsidR="00CE5610" w:rsidRPr="009426E0" w14:paraId="77034028" w14:textId="77777777" w:rsidTr="00CE5610">
        <w:trPr>
          <w:trHeight w:val="300"/>
        </w:trPr>
        <w:tc>
          <w:tcPr>
            <w:tcW w:w="6804" w:type="dxa"/>
            <w:shd w:val="clear" w:color="auto" w:fill="auto"/>
            <w:noWrap/>
            <w:vAlign w:val="bottom"/>
            <w:hideMark/>
          </w:tcPr>
          <w:p w14:paraId="1A3B7BA6" w14:textId="77777777" w:rsidR="00CE5610" w:rsidRPr="009426E0" w:rsidRDefault="00CE5610" w:rsidP="008E4544">
            <w:pPr>
              <w:pStyle w:val="Tablebody"/>
              <w:rPr>
                <w:lang w:eastAsia="en-GB"/>
              </w:rPr>
            </w:pPr>
            <w:r w:rsidRPr="009426E0">
              <w:rPr>
                <w:lang w:eastAsia="en-GB"/>
              </w:rPr>
              <w:t>Cardinia Shire</w:t>
            </w:r>
          </w:p>
        </w:tc>
      </w:tr>
      <w:tr w:rsidR="00CE5610" w:rsidRPr="009426E0" w14:paraId="1D2543F5" w14:textId="77777777" w:rsidTr="00CE5610">
        <w:trPr>
          <w:trHeight w:val="300"/>
        </w:trPr>
        <w:tc>
          <w:tcPr>
            <w:tcW w:w="6804" w:type="dxa"/>
            <w:shd w:val="clear" w:color="auto" w:fill="auto"/>
            <w:noWrap/>
            <w:vAlign w:val="bottom"/>
            <w:hideMark/>
          </w:tcPr>
          <w:p w14:paraId="2CD5B248" w14:textId="77777777" w:rsidR="00CE5610" w:rsidRPr="009426E0" w:rsidRDefault="00CE5610" w:rsidP="008E4544">
            <w:pPr>
              <w:pStyle w:val="Tablebody"/>
              <w:rPr>
                <w:lang w:eastAsia="en-GB"/>
              </w:rPr>
            </w:pPr>
            <w:r w:rsidRPr="009426E0">
              <w:rPr>
                <w:lang w:eastAsia="en-GB"/>
              </w:rPr>
              <w:t>Hume City</w:t>
            </w:r>
          </w:p>
        </w:tc>
      </w:tr>
    </w:tbl>
    <w:p w14:paraId="67CD72E6" w14:textId="77777777" w:rsidR="0072611F" w:rsidRPr="009426E0" w:rsidRDefault="0072611F" w:rsidP="0072611F">
      <w:pPr>
        <w:spacing w:after="160" w:line="259" w:lineRule="auto"/>
        <w:rPr>
          <w:i/>
          <w:iCs/>
          <w:lang w:val="en-US"/>
        </w:rPr>
      </w:pPr>
      <w:r w:rsidRPr="009426E0">
        <w:rPr>
          <w:b/>
          <w:bCs/>
          <w:i/>
          <w:iCs/>
          <w:lang w:val="en-US"/>
        </w:rPr>
        <w:t xml:space="preserve">Source: </w:t>
      </w:r>
      <w:r w:rsidRPr="009426E0">
        <w:rPr>
          <w:i/>
          <w:iCs/>
          <w:lang w:val="en-US"/>
        </w:rPr>
        <w:t>Number of alleged offender incidents (Crime Statistics Agency, 2023)</w:t>
      </w:r>
    </w:p>
    <w:p w14:paraId="4FBDD1B9" w14:textId="2FFBDCB9" w:rsidR="0072611F" w:rsidRPr="009426E0" w:rsidRDefault="0072611F" w:rsidP="0072611F">
      <w:pPr>
        <w:spacing w:after="160" w:line="259" w:lineRule="auto"/>
        <w:rPr>
          <w:i/>
          <w:iCs/>
          <w:lang w:val="en-US"/>
        </w:rPr>
      </w:pPr>
      <w:r w:rsidRPr="009426E0">
        <w:rPr>
          <w:b/>
          <w:bCs/>
          <w:i/>
          <w:iCs/>
          <w:lang w:val="en-US"/>
        </w:rPr>
        <w:t xml:space="preserve">Note: </w:t>
      </w:r>
      <w:r w:rsidR="001005EC" w:rsidRPr="009426E0">
        <w:rPr>
          <w:i/>
          <w:iCs/>
          <w:lang w:val="en-US"/>
        </w:rPr>
        <w:t>List</w:t>
      </w:r>
      <w:r w:rsidRPr="009426E0">
        <w:rPr>
          <w:i/>
          <w:iCs/>
          <w:lang w:val="en-US"/>
        </w:rPr>
        <w:t xml:space="preserve"> shows areas with the highest numbers of incidents, not the highest rates per population.</w:t>
      </w:r>
    </w:p>
    <w:p w14:paraId="402393D4" w14:textId="77777777" w:rsidR="0072611F" w:rsidRPr="009426E0" w:rsidRDefault="0072611F" w:rsidP="0072611F">
      <w:pPr>
        <w:spacing w:after="160" w:line="259" w:lineRule="auto"/>
        <w:rPr>
          <w:b/>
          <w:bCs/>
          <w:lang w:val="en-US"/>
        </w:rPr>
      </w:pPr>
    </w:p>
    <w:p w14:paraId="2FEAFBE4" w14:textId="77777777" w:rsidR="0072611F" w:rsidRPr="009426E0" w:rsidRDefault="0072611F" w:rsidP="0072611F">
      <w:pPr>
        <w:pStyle w:val="Heading1"/>
        <w:rPr>
          <w:lang w:val="en-US"/>
        </w:rPr>
      </w:pPr>
      <w:bookmarkStart w:id="51" w:name="_Toc185920997"/>
      <w:bookmarkStart w:id="52" w:name="_Toc191465894"/>
      <w:r w:rsidRPr="009426E0">
        <w:rPr>
          <w:lang w:val="en-US"/>
        </w:rPr>
        <w:t>Meeting local needs</w:t>
      </w:r>
      <w:bookmarkEnd w:id="51"/>
      <w:bookmarkEnd w:id="52"/>
    </w:p>
    <w:p w14:paraId="64CE256E" w14:textId="77777777" w:rsidR="0072611F" w:rsidRPr="009426E0" w:rsidRDefault="0072611F" w:rsidP="0072611F">
      <w:pPr>
        <w:pStyle w:val="Heading2"/>
        <w:rPr>
          <w:lang w:val="en-US"/>
        </w:rPr>
      </w:pPr>
      <w:bookmarkStart w:id="53" w:name="_Toc191465895"/>
      <w:r w:rsidRPr="009426E0">
        <w:rPr>
          <w:lang w:val="en-US"/>
        </w:rPr>
        <w:t>Empowering Communities Partnerships</w:t>
      </w:r>
      <w:bookmarkEnd w:id="53"/>
      <w:r w:rsidRPr="009426E0">
        <w:rPr>
          <w:lang w:val="en-US"/>
        </w:rPr>
        <w:t xml:space="preserve"> </w:t>
      </w:r>
    </w:p>
    <w:p w14:paraId="537ED15D" w14:textId="77777777" w:rsidR="0072611F" w:rsidRPr="009426E0" w:rsidRDefault="0072611F" w:rsidP="0072611F">
      <w:pPr>
        <w:spacing w:after="160" w:line="259" w:lineRule="auto"/>
        <w:rPr>
          <w:lang w:val="en-US"/>
        </w:rPr>
      </w:pPr>
      <w:r w:rsidRPr="009426E0">
        <w:rPr>
          <w:lang w:val="en-US"/>
        </w:rPr>
        <w:t xml:space="preserve">The </w:t>
      </w:r>
      <w:r w:rsidRPr="009426E0">
        <w:rPr>
          <w:i/>
          <w:iCs/>
          <w:lang w:val="en-US"/>
        </w:rPr>
        <w:t>Empowering Communities Partnerships</w:t>
      </w:r>
      <w:r w:rsidRPr="009426E0">
        <w:rPr>
          <w:lang w:val="en-US"/>
        </w:rPr>
        <w:t xml:space="preserve"> are a place-based approach to crime prevention. They </w:t>
      </w:r>
      <w:proofErr w:type="spellStart"/>
      <w:r w:rsidRPr="009426E0">
        <w:rPr>
          <w:lang w:val="en-US"/>
        </w:rPr>
        <w:t>recognise</w:t>
      </w:r>
      <w:proofErr w:type="spellEnd"/>
      <w:r w:rsidRPr="009426E0">
        <w:rPr>
          <w:lang w:val="en-US"/>
        </w:rPr>
        <w:t xml:space="preserve"> that communities are well placed to deliver effective, innovative, and sustainable crime prevention approaches when they have access to resources, expertise, and practical tools, and are united by a common goal. </w:t>
      </w:r>
    </w:p>
    <w:p w14:paraId="4332C5E9" w14:textId="77777777" w:rsidR="0072611F" w:rsidRPr="009426E0" w:rsidRDefault="0072611F" w:rsidP="0072611F">
      <w:pPr>
        <w:spacing w:after="160" w:line="259" w:lineRule="auto"/>
        <w:rPr>
          <w:lang w:val="en-US"/>
        </w:rPr>
      </w:pPr>
      <w:r w:rsidRPr="009426E0">
        <w:rPr>
          <w:lang w:val="en-US"/>
        </w:rPr>
        <w:t xml:space="preserve">$6.45 million has been invested in </w:t>
      </w:r>
      <w:r w:rsidRPr="009426E0">
        <w:rPr>
          <w:i/>
          <w:iCs/>
          <w:lang w:val="en-US"/>
        </w:rPr>
        <w:t>Empowering Communities Partnerships</w:t>
      </w:r>
      <w:r w:rsidRPr="009426E0">
        <w:rPr>
          <w:lang w:val="en-US"/>
        </w:rPr>
        <w:t xml:space="preserve"> which have been established across Victoria in </w:t>
      </w:r>
      <w:proofErr w:type="spellStart"/>
      <w:r w:rsidRPr="009426E0">
        <w:rPr>
          <w:lang w:val="en-US"/>
        </w:rPr>
        <w:t>Brimbank</w:t>
      </w:r>
      <w:proofErr w:type="spellEnd"/>
      <w:r w:rsidRPr="009426E0">
        <w:rPr>
          <w:lang w:val="en-US"/>
        </w:rPr>
        <w:t xml:space="preserve">, Melton, Hume, Wyndham, Ballarat, </w:t>
      </w:r>
      <w:proofErr w:type="spellStart"/>
      <w:r w:rsidRPr="009426E0">
        <w:rPr>
          <w:lang w:val="en-US"/>
        </w:rPr>
        <w:t>Shepparton</w:t>
      </w:r>
      <w:proofErr w:type="spellEnd"/>
      <w:r w:rsidRPr="009426E0">
        <w:rPr>
          <w:lang w:val="en-US"/>
        </w:rPr>
        <w:t xml:space="preserve">, Knox, Dandenong, and Casey. Across 2 rounds of funding in 2020-21 and 2021-22, the </w:t>
      </w:r>
      <w:r w:rsidRPr="009426E0">
        <w:rPr>
          <w:i/>
          <w:iCs/>
          <w:lang w:val="en-US"/>
        </w:rPr>
        <w:t>Empowering Communities Partnerships</w:t>
      </w:r>
      <w:r w:rsidRPr="009426E0">
        <w:rPr>
          <w:lang w:val="en-US"/>
        </w:rPr>
        <w:t xml:space="preserve"> provided $700,000 each to 9 sites to support innovative, evidence-based and locally led approaches to address crime and improve community safety, with some partnerships identifying early intervention for young people as a focus. Additional funding support was also provided to deliver a forum in each location. Each site established a local action group to design and deliver place-based crime prevention. </w:t>
      </w:r>
    </w:p>
    <w:p w14:paraId="0DDF4F6B" w14:textId="77777777" w:rsidR="0072611F" w:rsidRPr="009426E0" w:rsidRDefault="0072611F" w:rsidP="0072611F">
      <w:pPr>
        <w:pStyle w:val="Heading2"/>
        <w:rPr>
          <w:lang w:val="en-US"/>
        </w:rPr>
      </w:pPr>
      <w:bookmarkStart w:id="54" w:name="_Toc191465896"/>
      <w:r w:rsidRPr="009426E0">
        <w:rPr>
          <w:lang w:val="en-US"/>
        </w:rPr>
        <w:t>Youth Crime Prevention Program</w:t>
      </w:r>
      <w:bookmarkEnd w:id="54"/>
    </w:p>
    <w:p w14:paraId="4AF67232" w14:textId="77777777" w:rsidR="0072611F" w:rsidRPr="009426E0" w:rsidRDefault="0072611F" w:rsidP="0072611F">
      <w:pPr>
        <w:spacing w:after="160" w:line="259" w:lineRule="auto"/>
        <w:rPr>
          <w:lang w:val="en-US"/>
        </w:rPr>
      </w:pPr>
      <w:r w:rsidRPr="009426E0">
        <w:rPr>
          <w:lang w:val="en-US"/>
        </w:rPr>
        <w:t xml:space="preserve">Since 2016, over $40 million has been invested in the </w:t>
      </w:r>
      <w:r w:rsidRPr="009426E0">
        <w:rPr>
          <w:i/>
          <w:iCs/>
          <w:lang w:val="en-US"/>
        </w:rPr>
        <w:t>Youth Crime Prevention Program</w:t>
      </w:r>
      <w:r w:rsidRPr="009426E0">
        <w:rPr>
          <w:lang w:val="en-US"/>
        </w:rPr>
        <w:t xml:space="preserve">, including $13.6 million over 3 years provided through the 2023-24 State Budget to continue prevention of youth offending through early intervention. The initiatives funded under the program seek to prevent offending and reoffending by young people ages 10 to 24 who have had contact or are at risk of contact with the criminal justice system. Initiatives provide a range of local support services for young people including intensive case management and pro-social activities. </w:t>
      </w:r>
    </w:p>
    <w:p w14:paraId="50616699" w14:textId="0579FAED" w:rsidR="0072611F" w:rsidRPr="009426E0" w:rsidRDefault="0072611F" w:rsidP="0072611F">
      <w:pPr>
        <w:spacing w:after="160" w:line="259" w:lineRule="auto"/>
        <w:rPr>
          <w:lang w:val="en-US"/>
        </w:rPr>
      </w:pPr>
      <w:r w:rsidRPr="009426E0">
        <w:rPr>
          <w:lang w:val="en-US"/>
        </w:rPr>
        <w:t xml:space="preserve">The </w:t>
      </w:r>
      <w:r w:rsidRPr="009426E0">
        <w:rPr>
          <w:i/>
          <w:iCs/>
          <w:lang w:val="en-US"/>
        </w:rPr>
        <w:t>Youth Crime Prevention Program</w:t>
      </w:r>
      <w:r w:rsidRPr="009426E0">
        <w:rPr>
          <w:lang w:val="en-US"/>
        </w:rPr>
        <w:t xml:space="preserve"> is delivered through a place-based approach. Initiatives in each location are delivered by a lead agency in partnership with other community organisations and agencies. As a place-based initiative, Youth Crime Prevention Program participants maintain a connection to the local government area, and young people are supported in the context of their family and community to ensure benefits are </w:t>
      </w:r>
      <w:proofErr w:type="spellStart"/>
      <w:r w:rsidRPr="009426E0">
        <w:rPr>
          <w:lang w:val="en-US"/>
        </w:rPr>
        <w:t>maximised</w:t>
      </w:r>
      <w:proofErr w:type="spellEnd"/>
      <w:r w:rsidRPr="009426E0">
        <w:rPr>
          <w:lang w:val="en-US"/>
        </w:rPr>
        <w:t xml:space="preserve"> and sustainable. </w:t>
      </w:r>
    </w:p>
    <w:p w14:paraId="43A9D81E" w14:textId="77777777" w:rsidR="0072611F" w:rsidRPr="009426E0" w:rsidRDefault="0072611F" w:rsidP="0072611F">
      <w:pPr>
        <w:pStyle w:val="Heading2"/>
        <w:rPr>
          <w:lang w:val="en-US"/>
        </w:rPr>
      </w:pPr>
      <w:bookmarkStart w:id="55" w:name="_Toc191465897"/>
      <w:r w:rsidRPr="009426E0">
        <w:rPr>
          <w:lang w:val="en-US"/>
        </w:rPr>
        <w:t>Aboriginal Youth Cautioning Program</w:t>
      </w:r>
      <w:bookmarkEnd w:id="55"/>
      <w:r w:rsidRPr="009426E0">
        <w:rPr>
          <w:lang w:val="en-US"/>
        </w:rPr>
        <w:t xml:space="preserve"> </w:t>
      </w:r>
    </w:p>
    <w:p w14:paraId="65D4DD40" w14:textId="77777777" w:rsidR="0072611F" w:rsidRPr="009426E0" w:rsidRDefault="0072611F" w:rsidP="0072611F">
      <w:pPr>
        <w:spacing w:after="160" w:line="259" w:lineRule="auto"/>
        <w:rPr>
          <w:lang w:val="en-US"/>
        </w:rPr>
      </w:pPr>
      <w:r w:rsidRPr="009426E0">
        <w:rPr>
          <w:lang w:val="en-US"/>
        </w:rPr>
        <w:t xml:space="preserve">A caution is a formal alternative to a charge. It is issued by police and means that a young person will not go to court for their alleged offence and will not record a criminal conviction. The Aboriginal Youth Cautioning Program was introduced with the aim of improving outcomes for Aboriginal young people by diverting them from further contact with the justice system. The program provides Aboriginal young people in contact with </w:t>
      </w:r>
      <w:r w:rsidRPr="009426E0">
        <w:rPr>
          <w:lang w:val="en-US"/>
        </w:rPr>
        <w:lastRenderedPageBreak/>
        <w:t>police with an opportunity to connect with Elders and culturally appropriate support services in their local area. This connection supports young people to address the factors underlying their contact with police.</w:t>
      </w:r>
    </w:p>
    <w:p w14:paraId="3238BEBC" w14:textId="77777777" w:rsidR="0072611F" w:rsidRPr="009426E0" w:rsidRDefault="0072611F" w:rsidP="0072611F">
      <w:pPr>
        <w:spacing w:after="160" w:line="259" w:lineRule="auto"/>
        <w:rPr>
          <w:lang w:val="en-US"/>
        </w:rPr>
      </w:pPr>
      <w:r w:rsidRPr="009426E0">
        <w:rPr>
          <w:lang w:val="en-US"/>
        </w:rPr>
        <w:t xml:space="preserve">The program was developed in partnership with Aboriginal communities and draws upon local Aboriginal culture and knowledge to ensure a tailored response for young people. The program incorporates the principles of Aboriginal self-determination, early intervention, and harm reduction. Initially </w:t>
      </w:r>
      <w:proofErr w:type="spellStart"/>
      <w:r w:rsidRPr="009426E0">
        <w:rPr>
          <w:lang w:val="en-US"/>
        </w:rPr>
        <w:t>trialled</w:t>
      </w:r>
      <w:proofErr w:type="spellEnd"/>
      <w:r w:rsidRPr="009426E0">
        <w:rPr>
          <w:lang w:val="en-US"/>
        </w:rPr>
        <w:t xml:space="preserve"> in Bendigo, Dandenong, and Echuca, the program has now been expanded to cover more than 20 local government areas across the state.</w:t>
      </w:r>
    </w:p>
    <w:p w14:paraId="45FA0E02" w14:textId="77777777" w:rsidR="0072611F" w:rsidRPr="009426E0" w:rsidRDefault="0072611F" w:rsidP="0072611F">
      <w:pPr>
        <w:spacing w:after="160" w:line="259" w:lineRule="auto"/>
        <w:rPr>
          <w:lang w:val="en-US"/>
        </w:rPr>
      </w:pPr>
      <w:r w:rsidRPr="009426E0">
        <w:rPr>
          <w:b/>
          <w:bCs/>
          <w:lang w:val="en-US"/>
        </w:rPr>
        <w:t xml:space="preserve">Figure 11 </w:t>
      </w:r>
      <w:r w:rsidRPr="009426E0">
        <w:rPr>
          <w:lang w:val="en-US"/>
        </w:rPr>
        <w:t>shows the proportion of Aboriginal first-time offenders ages 10 to 17 who received a caution in place of other disposition outcomes, including arrest, summons, intent to summons, or a penalty notice. From 2018-19 to 2021-22, the cautioning rate for Aboriginal young people increased from 52.0% to 70.6%, reflecting the introduction of the Aboriginal Youth Cautioning Program, amendments to the Victoria Police Manual to broaden cautioning criteria, and increased monitoring of cautioning decisions.</w:t>
      </w:r>
    </w:p>
    <w:p w14:paraId="24F84928" w14:textId="77777777" w:rsidR="0072611F" w:rsidRPr="009426E0" w:rsidRDefault="0072611F" w:rsidP="00093E3E">
      <w:pPr>
        <w:pStyle w:val="Figuretitle"/>
        <w:rPr>
          <w:lang w:val="en-US"/>
        </w:rPr>
      </w:pPr>
      <w:r w:rsidRPr="009426E0">
        <w:rPr>
          <w:bCs/>
          <w:lang w:val="en-US"/>
        </w:rPr>
        <w:t>Figure 11:</w:t>
      </w:r>
      <w:r w:rsidRPr="009426E0">
        <w:rPr>
          <w:lang w:val="en-US"/>
        </w:rPr>
        <w:t xml:space="preserve"> Cautioning rates for Aboriginal first-time youth offenders, ages 10 to 17, 2017-18 to 2021-22</w:t>
      </w:r>
    </w:p>
    <w:tbl>
      <w:tblPr>
        <w:tblW w:w="8220" w:type="dxa"/>
        <w:tblBorders>
          <w:bottom w:val="single" w:sz="2" w:space="0" w:color="auto"/>
          <w:insideH w:val="single" w:sz="2" w:space="0" w:color="auto"/>
        </w:tblBorders>
        <w:tblLook w:val="04A0" w:firstRow="1" w:lastRow="0" w:firstColumn="1" w:lastColumn="0" w:noHBand="0" w:noVBand="1"/>
      </w:tblPr>
      <w:tblGrid>
        <w:gridCol w:w="1985"/>
        <w:gridCol w:w="1247"/>
        <w:gridCol w:w="1247"/>
        <w:gridCol w:w="1247"/>
        <w:gridCol w:w="1247"/>
        <w:gridCol w:w="1247"/>
      </w:tblGrid>
      <w:tr w:rsidR="00093E3E" w:rsidRPr="009426E0" w14:paraId="33DDD74B" w14:textId="77777777" w:rsidTr="00093E3E">
        <w:trPr>
          <w:trHeight w:val="300"/>
        </w:trPr>
        <w:tc>
          <w:tcPr>
            <w:tcW w:w="1985" w:type="dxa"/>
            <w:shd w:val="clear" w:color="auto" w:fill="B6E9EA" w:themeFill="accent2"/>
            <w:noWrap/>
            <w:vAlign w:val="bottom"/>
            <w:hideMark/>
          </w:tcPr>
          <w:p w14:paraId="6708F12A" w14:textId="77777777" w:rsidR="00093E3E" w:rsidRPr="009426E0" w:rsidRDefault="00093E3E" w:rsidP="00093E3E">
            <w:pPr>
              <w:pStyle w:val="TableHead"/>
            </w:pPr>
            <w:r w:rsidRPr="009426E0">
              <w:t>Year</w:t>
            </w:r>
          </w:p>
        </w:tc>
        <w:tc>
          <w:tcPr>
            <w:tcW w:w="1247" w:type="dxa"/>
            <w:shd w:val="clear" w:color="auto" w:fill="auto"/>
            <w:noWrap/>
            <w:vAlign w:val="bottom"/>
            <w:hideMark/>
          </w:tcPr>
          <w:p w14:paraId="5D18C534" w14:textId="77777777" w:rsidR="00093E3E" w:rsidRPr="009426E0" w:rsidRDefault="00093E3E" w:rsidP="00093E3E">
            <w:pPr>
              <w:pStyle w:val="Tablebody"/>
              <w:jc w:val="right"/>
              <w:rPr>
                <w:b/>
                <w:bCs/>
              </w:rPr>
            </w:pPr>
            <w:r w:rsidRPr="009426E0">
              <w:rPr>
                <w:b/>
                <w:bCs/>
              </w:rPr>
              <w:t>2017-18</w:t>
            </w:r>
          </w:p>
        </w:tc>
        <w:tc>
          <w:tcPr>
            <w:tcW w:w="1247" w:type="dxa"/>
            <w:shd w:val="clear" w:color="auto" w:fill="auto"/>
            <w:noWrap/>
            <w:vAlign w:val="bottom"/>
            <w:hideMark/>
          </w:tcPr>
          <w:p w14:paraId="1A5239C7" w14:textId="77777777" w:rsidR="00093E3E" w:rsidRPr="009426E0" w:rsidRDefault="00093E3E" w:rsidP="00093E3E">
            <w:pPr>
              <w:pStyle w:val="Tablebody"/>
              <w:jc w:val="right"/>
              <w:rPr>
                <w:b/>
                <w:bCs/>
              </w:rPr>
            </w:pPr>
            <w:r w:rsidRPr="009426E0">
              <w:rPr>
                <w:b/>
                <w:bCs/>
              </w:rPr>
              <w:t>2018-19</w:t>
            </w:r>
          </w:p>
        </w:tc>
        <w:tc>
          <w:tcPr>
            <w:tcW w:w="1247" w:type="dxa"/>
            <w:shd w:val="clear" w:color="auto" w:fill="auto"/>
            <w:noWrap/>
            <w:vAlign w:val="bottom"/>
            <w:hideMark/>
          </w:tcPr>
          <w:p w14:paraId="5F7F519F" w14:textId="77777777" w:rsidR="00093E3E" w:rsidRPr="009426E0" w:rsidRDefault="00093E3E" w:rsidP="00093E3E">
            <w:pPr>
              <w:pStyle w:val="Tablebody"/>
              <w:jc w:val="right"/>
              <w:rPr>
                <w:b/>
                <w:bCs/>
              </w:rPr>
            </w:pPr>
            <w:r w:rsidRPr="009426E0">
              <w:rPr>
                <w:b/>
                <w:bCs/>
              </w:rPr>
              <w:t>2019-20</w:t>
            </w:r>
          </w:p>
        </w:tc>
        <w:tc>
          <w:tcPr>
            <w:tcW w:w="1247" w:type="dxa"/>
            <w:shd w:val="clear" w:color="auto" w:fill="auto"/>
            <w:noWrap/>
            <w:vAlign w:val="bottom"/>
            <w:hideMark/>
          </w:tcPr>
          <w:p w14:paraId="326B21CC" w14:textId="77777777" w:rsidR="00093E3E" w:rsidRPr="009426E0" w:rsidRDefault="00093E3E" w:rsidP="00093E3E">
            <w:pPr>
              <w:pStyle w:val="Tablebody"/>
              <w:jc w:val="right"/>
              <w:rPr>
                <w:b/>
                <w:bCs/>
              </w:rPr>
            </w:pPr>
            <w:r w:rsidRPr="009426E0">
              <w:rPr>
                <w:b/>
                <w:bCs/>
              </w:rPr>
              <w:t>2020-21</w:t>
            </w:r>
          </w:p>
        </w:tc>
        <w:tc>
          <w:tcPr>
            <w:tcW w:w="1247" w:type="dxa"/>
            <w:shd w:val="clear" w:color="auto" w:fill="auto"/>
            <w:noWrap/>
            <w:vAlign w:val="bottom"/>
            <w:hideMark/>
          </w:tcPr>
          <w:p w14:paraId="52FC4B33" w14:textId="77777777" w:rsidR="00093E3E" w:rsidRPr="009426E0" w:rsidRDefault="00093E3E" w:rsidP="00093E3E">
            <w:pPr>
              <w:pStyle w:val="Tablebody"/>
              <w:jc w:val="right"/>
              <w:rPr>
                <w:b/>
                <w:bCs/>
              </w:rPr>
            </w:pPr>
            <w:r w:rsidRPr="009426E0">
              <w:rPr>
                <w:b/>
                <w:bCs/>
              </w:rPr>
              <w:t>2021-22</w:t>
            </w:r>
          </w:p>
        </w:tc>
      </w:tr>
      <w:tr w:rsidR="00093E3E" w:rsidRPr="009426E0" w14:paraId="3F590FEB" w14:textId="77777777" w:rsidTr="00093E3E">
        <w:trPr>
          <w:trHeight w:val="300"/>
        </w:trPr>
        <w:tc>
          <w:tcPr>
            <w:tcW w:w="1985" w:type="dxa"/>
            <w:shd w:val="clear" w:color="auto" w:fill="B6E9EA" w:themeFill="accent2"/>
            <w:noWrap/>
            <w:vAlign w:val="bottom"/>
            <w:hideMark/>
          </w:tcPr>
          <w:p w14:paraId="60992412" w14:textId="77777777" w:rsidR="00093E3E" w:rsidRPr="009426E0" w:rsidRDefault="00093E3E" w:rsidP="00093E3E">
            <w:pPr>
              <w:pStyle w:val="TableHead"/>
              <w:rPr>
                <w:lang w:eastAsia="en-GB"/>
              </w:rPr>
            </w:pPr>
            <w:r w:rsidRPr="009426E0">
              <w:rPr>
                <w:lang w:eastAsia="en-GB"/>
              </w:rPr>
              <w:t>Cautioning rate</w:t>
            </w:r>
          </w:p>
        </w:tc>
        <w:tc>
          <w:tcPr>
            <w:tcW w:w="1247" w:type="dxa"/>
            <w:shd w:val="clear" w:color="auto" w:fill="auto"/>
            <w:noWrap/>
            <w:vAlign w:val="bottom"/>
            <w:hideMark/>
          </w:tcPr>
          <w:p w14:paraId="6E09BFD8" w14:textId="77777777" w:rsidR="00093E3E" w:rsidRPr="009426E0" w:rsidRDefault="00093E3E" w:rsidP="00093E3E">
            <w:pPr>
              <w:pStyle w:val="Tablebody"/>
              <w:jc w:val="right"/>
              <w:rPr>
                <w:lang w:eastAsia="en-GB"/>
              </w:rPr>
            </w:pPr>
            <w:r w:rsidRPr="009426E0">
              <w:rPr>
                <w:lang w:eastAsia="en-GB"/>
              </w:rPr>
              <w:t>59.8%</w:t>
            </w:r>
          </w:p>
        </w:tc>
        <w:tc>
          <w:tcPr>
            <w:tcW w:w="1247" w:type="dxa"/>
            <w:shd w:val="clear" w:color="auto" w:fill="auto"/>
            <w:noWrap/>
            <w:vAlign w:val="bottom"/>
            <w:hideMark/>
          </w:tcPr>
          <w:p w14:paraId="0711C499" w14:textId="77777777" w:rsidR="00093E3E" w:rsidRPr="009426E0" w:rsidRDefault="00093E3E" w:rsidP="00093E3E">
            <w:pPr>
              <w:pStyle w:val="Tablebody"/>
              <w:jc w:val="right"/>
              <w:rPr>
                <w:lang w:eastAsia="en-GB"/>
              </w:rPr>
            </w:pPr>
            <w:r w:rsidRPr="009426E0">
              <w:rPr>
                <w:lang w:eastAsia="en-GB"/>
              </w:rPr>
              <w:t>52.0%</w:t>
            </w:r>
          </w:p>
        </w:tc>
        <w:tc>
          <w:tcPr>
            <w:tcW w:w="1247" w:type="dxa"/>
            <w:shd w:val="clear" w:color="auto" w:fill="auto"/>
            <w:noWrap/>
            <w:vAlign w:val="bottom"/>
            <w:hideMark/>
          </w:tcPr>
          <w:p w14:paraId="4FAFD043" w14:textId="77777777" w:rsidR="00093E3E" w:rsidRPr="009426E0" w:rsidRDefault="00093E3E" w:rsidP="00093E3E">
            <w:pPr>
              <w:pStyle w:val="Tablebody"/>
              <w:jc w:val="right"/>
              <w:rPr>
                <w:lang w:eastAsia="en-GB"/>
              </w:rPr>
            </w:pPr>
            <w:r w:rsidRPr="009426E0">
              <w:rPr>
                <w:lang w:eastAsia="en-GB"/>
              </w:rPr>
              <w:t>57.0%</w:t>
            </w:r>
          </w:p>
        </w:tc>
        <w:tc>
          <w:tcPr>
            <w:tcW w:w="1247" w:type="dxa"/>
            <w:shd w:val="clear" w:color="auto" w:fill="auto"/>
            <w:noWrap/>
            <w:vAlign w:val="bottom"/>
            <w:hideMark/>
          </w:tcPr>
          <w:p w14:paraId="26D57A66" w14:textId="77777777" w:rsidR="00093E3E" w:rsidRPr="009426E0" w:rsidRDefault="00093E3E" w:rsidP="00093E3E">
            <w:pPr>
              <w:pStyle w:val="Tablebody"/>
              <w:jc w:val="right"/>
              <w:rPr>
                <w:lang w:eastAsia="en-GB"/>
              </w:rPr>
            </w:pPr>
            <w:r w:rsidRPr="009426E0">
              <w:rPr>
                <w:lang w:eastAsia="en-GB"/>
              </w:rPr>
              <w:t>60.0%</w:t>
            </w:r>
          </w:p>
        </w:tc>
        <w:tc>
          <w:tcPr>
            <w:tcW w:w="1247" w:type="dxa"/>
            <w:shd w:val="clear" w:color="auto" w:fill="auto"/>
            <w:noWrap/>
            <w:vAlign w:val="bottom"/>
            <w:hideMark/>
          </w:tcPr>
          <w:p w14:paraId="66C56FA6" w14:textId="77777777" w:rsidR="00093E3E" w:rsidRPr="009426E0" w:rsidRDefault="00093E3E" w:rsidP="00093E3E">
            <w:pPr>
              <w:pStyle w:val="Tablebody"/>
              <w:jc w:val="right"/>
              <w:rPr>
                <w:lang w:eastAsia="en-GB"/>
              </w:rPr>
            </w:pPr>
            <w:r w:rsidRPr="009426E0">
              <w:rPr>
                <w:lang w:eastAsia="en-GB"/>
              </w:rPr>
              <w:t>70.6%</w:t>
            </w:r>
          </w:p>
        </w:tc>
      </w:tr>
    </w:tbl>
    <w:p w14:paraId="641B429E" w14:textId="77777777" w:rsidR="0072611F" w:rsidRPr="009426E0" w:rsidRDefault="0072611F" w:rsidP="0072611F">
      <w:pPr>
        <w:spacing w:after="160" w:line="259" w:lineRule="auto"/>
        <w:rPr>
          <w:i/>
          <w:iCs/>
          <w:lang w:val="en-US"/>
        </w:rPr>
      </w:pPr>
      <w:r w:rsidRPr="009426E0">
        <w:rPr>
          <w:b/>
          <w:bCs/>
          <w:i/>
          <w:iCs/>
          <w:lang w:val="en-US"/>
        </w:rPr>
        <w:t xml:space="preserve">Source: </w:t>
      </w:r>
      <w:r w:rsidRPr="009426E0">
        <w:rPr>
          <w:i/>
          <w:iCs/>
          <w:lang w:val="en-US"/>
        </w:rPr>
        <w:t>Cautioning rates (Crime Statistics Agency, 2023)</w:t>
      </w:r>
    </w:p>
    <w:p w14:paraId="20195A67" w14:textId="77777777" w:rsidR="00194997" w:rsidRPr="009426E0" w:rsidRDefault="00194997" w:rsidP="0072611F">
      <w:pPr>
        <w:spacing w:after="160" w:line="259" w:lineRule="auto"/>
        <w:rPr>
          <w:lang w:val="en-US"/>
        </w:rPr>
      </w:pPr>
    </w:p>
    <w:p w14:paraId="04D7A55B" w14:textId="77777777" w:rsidR="0072611F" w:rsidRPr="009426E0" w:rsidRDefault="0072611F" w:rsidP="00246FE0">
      <w:pPr>
        <w:pStyle w:val="Figuretitle"/>
        <w:rPr>
          <w:lang w:val="en-US"/>
        </w:rPr>
      </w:pPr>
      <w:r w:rsidRPr="009426E0">
        <w:rPr>
          <w:bCs/>
          <w:lang w:val="en-US"/>
        </w:rPr>
        <w:t>Figure 12:</w:t>
      </w:r>
      <w:r w:rsidRPr="009426E0">
        <w:rPr>
          <w:lang w:val="en-US"/>
        </w:rPr>
        <w:t xml:space="preserve"> Cautioning rates for local government areas with the highest numbers of cautions for Aboriginal first-time youth offenders ages 10 to 17, 2021-22</w:t>
      </w:r>
    </w:p>
    <w:tbl>
      <w:tblPr>
        <w:tblW w:w="5670" w:type="dxa"/>
        <w:tblBorders>
          <w:bottom w:val="single" w:sz="2" w:space="0" w:color="auto"/>
          <w:insideH w:val="single" w:sz="2" w:space="0" w:color="auto"/>
        </w:tblBorders>
        <w:tblLook w:val="04A0" w:firstRow="1" w:lastRow="0" w:firstColumn="1" w:lastColumn="0" w:noHBand="0" w:noVBand="1"/>
      </w:tblPr>
      <w:tblGrid>
        <w:gridCol w:w="2977"/>
        <w:gridCol w:w="2693"/>
      </w:tblGrid>
      <w:tr w:rsidR="00246FE0" w:rsidRPr="009426E0" w14:paraId="517A8FFD" w14:textId="77777777" w:rsidTr="00246FE0">
        <w:trPr>
          <w:trHeight w:val="300"/>
        </w:trPr>
        <w:tc>
          <w:tcPr>
            <w:tcW w:w="2977" w:type="dxa"/>
            <w:shd w:val="clear" w:color="auto" w:fill="B6E9EA" w:themeFill="accent2"/>
            <w:noWrap/>
            <w:vAlign w:val="bottom"/>
            <w:hideMark/>
          </w:tcPr>
          <w:p w14:paraId="78A69B8E" w14:textId="77777777" w:rsidR="00246FE0" w:rsidRPr="009426E0" w:rsidRDefault="00246FE0" w:rsidP="00246FE0">
            <w:pPr>
              <w:pStyle w:val="TableHead"/>
            </w:pPr>
            <w:r w:rsidRPr="009426E0">
              <w:t>LGA</w:t>
            </w:r>
          </w:p>
        </w:tc>
        <w:tc>
          <w:tcPr>
            <w:tcW w:w="2693" w:type="dxa"/>
            <w:shd w:val="clear" w:color="auto" w:fill="B6E9EA" w:themeFill="accent2"/>
            <w:noWrap/>
            <w:vAlign w:val="bottom"/>
            <w:hideMark/>
          </w:tcPr>
          <w:p w14:paraId="2AAA9511" w14:textId="77777777" w:rsidR="00246FE0" w:rsidRPr="009426E0" w:rsidRDefault="00246FE0" w:rsidP="00246FE0">
            <w:pPr>
              <w:pStyle w:val="TableHead"/>
            </w:pPr>
            <w:r w:rsidRPr="009426E0">
              <w:t>Cautioning rate</w:t>
            </w:r>
          </w:p>
        </w:tc>
      </w:tr>
      <w:tr w:rsidR="00246FE0" w:rsidRPr="009426E0" w14:paraId="37AD3ED3" w14:textId="77777777" w:rsidTr="00246FE0">
        <w:trPr>
          <w:trHeight w:val="300"/>
        </w:trPr>
        <w:tc>
          <w:tcPr>
            <w:tcW w:w="2977" w:type="dxa"/>
            <w:shd w:val="clear" w:color="auto" w:fill="auto"/>
            <w:noWrap/>
            <w:vAlign w:val="bottom"/>
            <w:hideMark/>
          </w:tcPr>
          <w:p w14:paraId="65F2C908" w14:textId="6F0312F1" w:rsidR="00246FE0" w:rsidRPr="009426E0" w:rsidRDefault="00246FE0" w:rsidP="00246FE0">
            <w:pPr>
              <w:pStyle w:val="Tablebody"/>
              <w:rPr>
                <w:lang w:eastAsia="en-GB"/>
              </w:rPr>
            </w:pPr>
            <w:r w:rsidRPr="009426E0">
              <w:rPr>
                <w:lang w:eastAsia="en-GB"/>
              </w:rPr>
              <w:t>Ballarat City</w:t>
            </w:r>
          </w:p>
        </w:tc>
        <w:tc>
          <w:tcPr>
            <w:tcW w:w="2693" w:type="dxa"/>
            <w:shd w:val="clear" w:color="000000" w:fill="7030A0"/>
            <w:noWrap/>
            <w:vAlign w:val="bottom"/>
            <w:hideMark/>
          </w:tcPr>
          <w:p w14:paraId="2E1715DE" w14:textId="77777777" w:rsidR="00246FE0" w:rsidRPr="009426E0" w:rsidRDefault="00246FE0" w:rsidP="00246FE0">
            <w:pPr>
              <w:pStyle w:val="Tablebody"/>
              <w:rPr>
                <w:color w:val="FFFFFF" w:themeColor="background1"/>
                <w:lang w:eastAsia="en-GB"/>
              </w:rPr>
            </w:pPr>
            <w:r w:rsidRPr="009426E0">
              <w:rPr>
                <w:color w:val="FFFFFF" w:themeColor="background1"/>
                <w:lang w:eastAsia="en-GB"/>
              </w:rPr>
              <w:t>100%</w:t>
            </w:r>
          </w:p>
        </w:tc>
      </w:tr>
      <w:tr w:rsidR="00246FE0" w:rsidRPr="009426E0" w14:paraId="482F3C78" w14:textId="77777777" w:rsidTr="00246FE0">
        <w:trPr>
          <w:trHeight w:val="300"/>
        </w:trPr>
        <w:tc>
          <w:tcPr>
            <w:tcW w:w="2977" w:type="dxa"/>
            <w:shd w:val="clear" w:color="auto" w:fill="auto"/>
            <w:noWrap/>
            <w:vAlign w:val="bottom"/>
            <w:hideMark/>
          </w:tcPr>
          <w:p w14:paraId="0C50077C" w14:textId="22D43F59" w:rsidR="00246FE0" w:rsidRPr="009426E0" w:rsidRDefault="00246FE0" w:rsidP="00246FE0">
            <w:pPr>
              <w:pStyle w:val="Tablebody"/>
              <w:rPr>
                <w:lang w:eastAsia="en-GB"/>
              </w:rPr>
            </w:pPr>
            <w:r w:rsidRPr="009426E0">
              <w:rPr>
                <w:lang w:eastAsia="en-GB"/>
              </w:rPr>
              <w:t>Latrobe City</w:t>
            </w:r>
          </w:p>
        </w:tc>
        <w:tc>
          <w:tcPr>
            <w:tcW w:w="2693" w:type="dxa"/>
            <w:shd w:val="clear" w:color="000000" w:fill="7030A0"/>
            <w:noWrap/>
            <w:vAlign w:val="bottom"/>
            <w:hideMark/>
          </w:tcPr>
          <w:p w14:paraId="753BE9EC" w14:textId="77777777" w:rsidR="00246FE0" w:rsidRPr="009426E0" w:rsidRDefault="00246FE0" w:rsidP="00246FE0">
            <w:pPr>
              <w:pStyle w:val="Tablebody"/>
              <w:rPr>
                <w:color w:val="FFFFFF" w:themeColor="background1"/>
                <w:lang w:eastAsia="en-GB"/>
              </w:rPr>
            </w:pPr>
            <w:r w:rsidRPr="009426E0">
              <w:rPr>
                <w:color w:val="FFFFFF" w:themeColor="background1"/>
                <w:lang w:eastAsia="en-GB"/>
              </w:rPr>
              <w:t>100%</w:t>
            </w:r>
          </w:p>
        </w:tc>
      </w:tr>
      <w:tr w:rsidR="00246FE0" w:rsidRPr="009426E0" w14:paraId="2F02D5E2" w14:textId="77777777" w:rsidTr="00246FE0">
        <w:trPr>
          <w:trHeight w:val="300"/>
        </w:trPr>
        <w:tc>
          <w:tcPr>
            <w:tcW w:w="2977" w:type="dxa"/>
            <w:shd w:val="clear" w:color="auto" w:fill="auto"/>
            <w:noWrap/>
            <w:vAlign w:val="bottom"/>
            <w:hideMark/>
          </w:tcPr>
          <w:p w14:paraId="572F99B7" w14:textId="5DF7292C" w:rsidR="00246FE0" w:rsidRPr="009426E0" w:rsidRDefault="00246FE0" w:rsidP="00246FE0">
            <w:pPr>
              <w:pStyle w:val="Tablebody"/>
              <w:rPr>
                <w:lang w:eastAsia="en-GB"/>
              </w:rPr>
            </w:pPr>
            <w:r w:rsidRPr="009426E0">
              <w:rPr>
                <w:lang w:eastAsia="en-GB"/>
              </w:rPr>
              <w:t>Warrnambool City</w:t>
            </w:r>
          </w:p>
        </w:tc>
        <w:tc>
          <w:tcPr>
            <w:tcW w:w="2693" w:type="dxa"/>
            <w:shd w:val="clear" w:color="000000" w:fill="7030A0"/>
            <w:noWrap/>
            <w:vAlign w:val="bottom"/>
            <w:hideMark/>
          </w:tcPr>
          <w:p w14:paraId="5828DE51" w14:textId="77777777" w:rsidR="00246FE0" w:rsidRPr="009426E0" w:rsidRDefault="00246FE0" w:rsidP="00246FE0">
            <w:pPr>
              <w:pStyle w:val="Tablebody"/>
              <w:rPr>
                <w:color w:val="FFFFFF" w:themeColor="background1"/>
                <w:lang w:eastAsia="en-GB"/>
              </w:rPr>
            </w:pPr>
            <w:r w:rsidRPr="009426E0">
              <w:rPr>
                <w:color w:val="FFFFFF" w:themeColor="background1"/>
                <w:lang w:eastAsia="en-GB"/>
              </w:rPr>
              <w:t>100%</w:t>
            </w:r>
          </w:p>
        </w:tc>
      </w:tr>
      <w:tr w:rsidR="00246FE0" w:rsidRPr="009426E0" w14:paraId="7EDB196E" w14:textId="77777777" w:rsidTr="00246FE0">
        <w:trPr>
          <w:trHeight w:val="300"/>
        </w:trPr>
        <w:tc>
          <w:tcPr>
            <w:tcW w:w="2977" w:type="dxa"/>
            <w:shd w:val="clear" w:color="auto" w:fill="auto"/>
            <w:noWrap/>
            <w:vAlign w:val="bottom"/>
            <w:hideMark/>
          </w:tcPr>
          <w:p w14:paraId="1AD41C51" w14:textId="2AF212DA" w:rsidR="00246FE0" w:rsidRPr="009426E0" w:rsidRDefault="00246FE0" w:rsidP="00246FE0">
            <w:pPr>
              <w:pStyle w:val="Tablebody"/>
              <w:rPr>
                <w:lang w:eastAsia="en-GB"/>
              </w:rPr>
            </w:pPr>
            <w:r w:rsidRPr="009426E0">
              <w:rPr>
                <w:lang w:eastAsia="en-GB"/>
              </w:rPr>
              <w:t>Greater Shepparton City</w:t>
            </w:r>
          </w:p>
        </w:tc>
        <w:tc>
          <w:tcPr>
            <w:tcW w:w="2693" w:type="dxa"/>
            <w:shd w:val="clear" w:color="000000" w:fill="A759C5"/>
            <w:noWrap/>
            <w:vAlign w:val="bottom"/>
            <w:hideMark/>
          </w:tcPr>
          <w:p w14:paraId="564F0167" w14:textId="77777777" w:rsidR="00246FE0" w:rsidRPr="009426E0" w:rsidRDefault="00246FE0" w:rsidP="00246FE0">
            <w:pPr>
              <w:pStyle w:val="Tablebody"/>
              <w:rPr>
                <w:color w:val="FFFFFF" w:themeColor="background1"/>
                <w:lang w:eastAsia="en-GB"/>
              </w:rPr>
            </w:pPr>
            <w:r w:rsidRPr="009426E0">
              <w:rPr>
                <w:color w:val="FFFFFF" w:themeColor="background1"/>
                <w:lang w:eastAsia="en-GB"/>
              </w:rPr>
              <w:t>84.2%</w:t>
            </w:r>
          </w:p>
        </w:tc>
      </w:tr>
      <w:tr w:rsidR="00246FE0" w:rsidRPr="009426E0" w14:paraId="4449FDB7" w14:textId="77777777" w:rsidTr="00246FE0">
        <w:trPr>
          <w:trHeight w:val="300"/>
        </w:trPr>
        <w:tc>
          <w:tcPr>
            <w:tcW w:w="2977" w:type="dxa"/>
            <w:shd w:val="clear" w:color="auto" w:fill="auto"/>
            <w:noWrap/>
            <w:vAlign w:val="bottom"/>
            <w:hideMark/>
          </w:tcPr>
          <w:p w14:paraId="366B7E0F" w14:textId="183FAE7F" w:rsidR="00246FE0" w:rsidRPr="009426E0" w:rsidRDefault="00246FE0" w:rsidP="00246FE0">
            <w:pPr>
              <w:pStyle w:val="Tablebody"/>
              <w:rPr>
                <w:lang w:eastAsia="en-GB"/>
              </w:rPr>
            </w:pPr>
            <w:r w:rsidRPr="009426E0">
              <w:rPr>
                <w:lang w:eastAsia="en-GB"/>
              </w:rPr>
              <w:t>Wyndham City</w:t>
            </w:r>
          </w:p>
        </w:tc>
        <w:tc>
          <w:tcPr>
            <w:tcW w:w="2693" w:type="dxa"/>
            <w:shd w:val="clear" w:color="000000" w:fill="A759C5"/>
            <w:noWrap/>
            <w:vAlign w:val="bottom"/>
            <w:hideMark/>
          </w:tcPr>
          <w:p w14:paraId="54CFCAE8" w14:textId="77777777" w:rsidR="00246FE0" w:rsidRPr="009426E0" w:rsidRDefault="00246FE0" w:rsidP="00246FE0">
            <w:pPr>
              <w:pStyle w:val="Tablebody"/>
              <w:rPr>
                <w:color w:val="FFFFFF" w:themeColor="background1"/>
                <w:lang w:eastAsia="en-GB"/>
              </w:rPr>
            </w:pPr>
            <w:r w:rsidRPr="009426E0">
              <w:rPr>
                <w:color w:val="FFFFFF" w:themeColor="background1"/>
                <w:lang w:eastAsia="en-GB"/>
              </w:rPr>
              <w:t>84.2%</w:t>
            </w:r>
          </w:p>
        </w:tc>
      </w:tr>
      <w:tr w:rsidR="00246FE0" w:rsidRPr="009426E0" w14:paraId="0CF1CC9D" w14:textId="77777777" w:rsidTr="00246FE0">
        <w:trPr>
          <w:trHeight w:val="300"/>
        </w:trPr>
        <w:tc>
          <w:tcPr>
            <w:tcW w:w="2977" w:type="dxa"/>
            <w:shd w:val="clear" w:color="auto" w:fill="auto"/>
            <w:noWrap/>
            <w:vAlign w:val="bottom"/>
            <w:hideMark/>
          </w:tcPr>
          <w:p w14:paraId="659730E4" w14:textId="0F2174D3" w:rsidR="00246FE0" w:rsidRPr="009426E0" w:rsidRDefault="00246FE0" w:rsidP="00246FE0">
            <w:pPr>
              <w:pStyle w:val="Tablebody"/>
              <w:rPr>
                <w:lang w:eastAsia="en-GB"/>
              </w:rPr>
            </w:pPr>
            <w:r w:rsidRPr="009426E0">
              <w:rPr>
                <w:lang w:eastAsia="en-GB"/>
              </w:rPr>
              <w:t>Wodonga City</w:t>
            </w:r>
          </w:p>
        </w:tc>
        <w:tc>
          <w:tcPr>
            <w:tcW w:w="2693" w:type="dxa"/>
            <w:shd w:val="clear" w:color="000000" w:fill="AA5BC7"/>
            <w:noWrap/>
            <w:vAlign w:val="bottom"/>
            <w:hideMark/>
          </w:tcPr>
          <w:p w14:paraId="743B8BBE" w14:textId="77777777" w:rsidR="00246FE0" w:rsidRPr="009426E0" w:rsidRDefault="00246FE0" w:rsidP="00246FE0">
            <w:pPr>
              <w:pStyle w:val="Tablebody"/>
              <w:rPr>
                <w:color w:val="FFFFFF" w:themeColor="background1"/>
                <w:lang w:eastAsia="en-GB"/>
              </w:rPr>
            </w:pPr>
            <w:r w:rsidRPr="009426E0">
              <w:rPr>
                <w:color w:val="FFFFFF" w:themeColor="background1"/>
                <w:lang w:eastAsia="en-GB"/>
              </w:rPr>
              <w:t>83.3%</w:t>
            </w:r>
          </w:p>
        </w:tc>
      </w:tr>
      <w:tr w:rsidR="00246FE0" w:rsidRPr="009426E0" w14:paraId="577C3B41" w14:textId="77777777" w:rsidTr="00246FE0">
        <w:trPr>
          <w:trHeight w:val="300"/>
        </w:trPr>
        <w:tc>
          <w:tcPr>
            <w:tcW w:w="2977" w:type="dxa"/>
            <w:shd w:val="clear" w:color="auto" w:fill="auto"/>
            <w:noWrap/>
            <w:vAlign w:val="bottom"/>
            <w:hideMark/>
          </w:tcPr>
          <w:p w14:paraId="33435922" w14:textId="30730850" w:rsidR="00246FE0" w:rsidRPr="009426E0" w:rsidRDefault="00246FE0" w:rsidP="00246FE0">
            <w:pPr>
              <w:pStyle w:val="Tablebody"/>
              <w:rPr>
                <w:lang w:eastAsia="en-GB"/>
              </w:rPr>
            </w:pPr>
            <w:r w:rsidRPr="009426E0">
              <w:rPr>
                <w:lang w:eastAsia="en-GB"/>
              </w:rPr>
              <w:t>Campaspe Shire</w:t>
            </w:r>
          </w:p>
        </w:tc>
        <w:tc>
          <w:tcPr>
            <w:tcW w:w="2693" w:type="dxa"/>
            <w:shd w:val="clear" w:color="000000" w:fill="B05FCA"/>
            <w:noWrap/>
            <w:vAlign w:val="bottom"/>
            <w:hideMark/>
          </w:tcPr>
          <w:p w14:paraId="39BF4CBC" w14:textId="77777777" w:rsidR="00246FE0" w:rsidRPr="009426E0" w:rsidRDefault="00246FE0" w:rsidP="00246FE0">
            <w:pPr>
              <w:pStyle w:val="Tablebody"/>
              <w:rPr>
                <w:color w:val="FFFFFF" w:themeColor="background1"/>
                <w:lang w:eastAsia="en-GB"/>
              </w:rPr>
            </w:pPr>
            <w:r w:rsidRPr="009426E0">
              <w:rPr>
                <w:color w:val="FFFFFF" w:themeColor="background1"/>
                <w:lang w:eastAsia="en-GB"/>
              </w:rPr>
              <w:t>81.8%</w:t>
            </w:r>
          </w:p>
        </w:tc>
      </w:tr>
      <w:tr w:rsidR="00246FE0" w:rsidRPr="009426E0" w14:paraId="5919A7A9" w14:textId="77777777" w:rsidTr="00246FE0">
        <w:trPr>
          <w:trHeight w:val="300"/>
        </w:trPr>
        <w:tc>
          <w:tcPr>
            <w:tcW w:w="2977" w:type="dxa"/>
            <w:shd w:val="clear" w:color="auto" w:fill="auto"/>
            <w:noWrap/>
            <w:vAlign w:val="bottom"/>
            <w:hideMark/>
          </w:tcPr>
          <w:p w14:paraId="53FA16A3" w14:textId="11D0B9FD" w:rsidR="00246FE0" w:rsidRPr="009426E0" w:rsidRDefault="00246FE0" w:rsidP="00246FE0">
            <w:pPr>
              <w:pStyle w:val="Tablebody"/>
              <w:rPr>
                <w:lang w:eastAsia="en-GB"/>
              </w:rPr>
            </w:pPr>
            <w:r w:rsidRPr="009426E0">
              <w:rPr>
                <w:lang w:eastAsia="en-GB"/>
              </w:rPr>
              <w:t>Greater Bendigo City</w:t>
            </w:r>
          </w:p>
        </w:tc>
        <w:tc>
          <w:tcPr>
            <w:tcW w:w="2693" w:type="dxa"/>
            <w:shd w:val="clear" w:color="000000" w:fill="B663CF"/>
            <w:noWrap/>
            <w:vAlign w:val="bottom"/>
            <w:hideMark/>
          </w:tcPr>
          <w:p w14:paraId="3C4345E1" w14:textId="77777777" w:rsidR="00246FE0" w:rsidRPr="009426E0" w:rsidRDefault="00246FE0" w:rsidP="00246FE0">
            <w:pPr>
              <w:pStyle w:val="Tablebody"/>
              <w:rPr>
                <w:color w:val="FFFFFF" w:themeColor="background1"/>
                <w:lang w:eastAsia="en-GB"/>
              </w:rPr>
            </w:pPr>
            <w:r w:rsidRPr="009426E0">
              <w:rPr>
                <w:color w:val="FFFFFF" w:themeColor="background1"/>
                <w:lang w:eastAsia="en-GB"/>
              </w:rPr>
              <w:t>80.0%</w:t>
            </w:r>
          </w:p>
        </w:tc>
      </w:tr>
      <w:tr w:rsidR="00246FE0" w:rsidRPr="009426E0" w14:paraId="08AA6851" w14:textId="77777777" w:rsidTr="00246FE0">
        <w:trPr>
          <w:trHeight w:val="300"/>
        </w:trPr>
        <w:tc>
          <w:tcPr>
            <w:tcW w:w="2977" w:type="dxa"/>
            <w:shd w:val="clear" w:color="auto" w:fill="auto"/>
            <w:noWrap/>
            <w:vAlign w:val="bottom"/>
            <w:hideMark/>
          </w:tcPr>
          <w:p w14:paraId="4841F71B" w14:textId="1FF1C738" w:rsidR="00246FE0" w:rsidRPr="009426E0" w:rsidRDefault="00246FE0" w:rsidP="00246FE0">
            <w:pPr>
              <w:pStyle w:val="Tablebody"/>
              <w:rPr>
                <w:lang w:eastAsia="en-GB"/>
              </w:rPr>
            </w:pPr>
            <w:r w:rsidRPr="009426E0">
              <w:rPr>
                <w:lang w:eastAsia="en-GB"/>
              </w:rPr>
              <w:t>Swan Hill Rural City</w:t>
            </w:r>
          </w:p>
        </w:tc>
        <w:tc>
          <w:tcPr>
            <w:tcW w:w="2693" w:type="dxa"/>
            <w:shd w:val="clear" w:color="000000" w:fill="B663CF"/>
            <w:noWrap/>
            <w:vAlign w:val="bottom"/>
            <w:hideMark/>
          </w:tcPr>
          <w:p w14:paraId="25B19230" w14:textId="77777777" w:rsidR="00246FE0" w:rsidRPr="009426E0" w:rsidRDefault="00246FE0" w:rsidP="00246FE0">
            <w:pPr>
              <w:pStyle w:val="Tablebody"/>
              <w:rPr>
                <w:color w:val="FFFFFF" w:themeColor="background1"/>
                <w:lang w:eastAsia="en-GB"/>
              </w:rPr>
            </w:pPr>
            <w:r w:rsidRPr="009426E0">
              <w:rPr>
                <w:color w:val="FFFFFF" w:themeColor="background1"/>
                <w:lang w:eastAsia="en-GB"/>
              </w:rPr>
              <w:t>80.0%</w:t>
            </w:r>
          </w:p>
        </w:tc>
      </w:tr>
      <w:tr w:rsidR="00246FE0" w:rsidRPr="009426E0" w14:paraId="204BBAA6" w14:textId="77777777" w:rsidTr="00246FE0">
        <w:trPr>
          <w:trHeight w:val="300"/>
        </w:trPr>
        <w:tc>
          <w:tcPr>
            <w:tcW w:w="2977" w:type="dxa"/>
            <w:shd w:val="clear" w:color="auto" w:fill="auto"/>
            <w:noWrap/>
            <w:vAlign w:val="bottom"/>
            <w:hideMark/>
          </w:tcPr>
          <w:p w14:paraId="0C7097B6" w14:textId="2555720B" w:rsidR="00246FE0" w:rsidRPr="009426E0" w:rsidRDefault="00246FE0" w:rsidP="00246FE0">
            <w:pPr>
              <w:pStyle w:val="Tablebody"/>
              <w:rPr>
                <w:lang w:eastAsia="en-GB"/>
              </w:rPr>
            </w:pPr>
            <w:r w:rsidRPr="009426E0">
              <w:rPr>
                <w:lang w:eastAsia="en-GB"/>
              </w:rPr>
              <w:t>East Gippsland Shire</w:t>
            </w:r>
          </w:p>
        </w:tc>
        <w:tc>
          <w:tcPr>
            <w:tcW w:w="2693" w:type="dxa"/>
            <w:shd w:val="clear" w:color="000000" w:fill="C26CD7"/>
            <w:noWrap/>
            <w:vAlign w:val="bottom"/>
            <w:hideMark/>
          </w:tcPr>
          <w:p w14:paraId="5678E201" w14:textId="77777777" w:rsidR="00246FE0" w:rsidRPr="009426E0" w:rsidRDefault="00246FE0" w:rsidP="00246FE0">
            <w:pPr>
              <w:pStyle w:val="Tablebody"/>
              <w:rPr>
                <w:color w:val="FFFFFF" w:themeColor="background1"/>
                <w:lang w:eastAsia="en-GB"/>
              </w:rPr>
            </w:pPr>
            <w:r w:rsidRPr="009426E0">
              <w:rPr>
                <w:color w:val="FFFFFF" w:themeColor="background1"/>
                <w:lang w:eastAsia="en-GB"/>
              </w:rPr>
              <w:t>76.5%</w:t>
            </w:r>
          </w:p>
        </w:tc>
      </w:tr>
      <w:tr w:rsidR="00246FE0" w:rsidRPr="009426E0" w14:paraId="6CD5A6BC" w14:textId="77777777" w:rsidTr="00246FE0">
        <w:trPr>
          <w:trHeight w:val="300"/>
        </w:trPr>
        <w:tc>
          <w:tcPr>
            <w:tcW w:w="2977" w:type="dxa"/>
            <w:shd w:val="clear" w:color="auto" w:fill="auto"/>
            <w:noWrap/>
            <w:vAlign w:val="bottom"/>
            <w:hideMark/>
          </w:tcPr>
          <w:p w14:paraId="144436DE" w14:textId="06CE27F9" w:rsidR="00246FE0" w:rsidRPr="009426E0" w:rsidRDefault="00246FE0" w:rsidP="00246FE0">
            <w:pPr>
              <w:pStyle w:val="Tablebody"/>
              <w:rPr>
                <w:lang w:eastAsia="en-GB"/>
              </w:rPr>
            </w:pPr>
            <w:r w:rsidRPr="009426E0">
              <w:rPr>
                <w:lang w:eastAsia="en-GB"/>
              </w:rPr>
              <w:t>Whittlesea City</w:t>
            </w:r>
          </w:p>
        </w:tc>
        <w:tc>
          <w:tcPr>
            <w:tcW w:w="2693" w:type="dxa"/>
            <w:shd w:val="clear" w:color="000000" w:fill="C770DA"/>
            <w:noWrap/>
            <w:vAlign w:val="bottom"/>
            <w:hideMark/>
          </w:tcPr>
          <w:p w14:paraId="17F99DD8" w14:textId="77777777" w:rsidR="00246FE0" w:rsidRPr="009426E0" w:rsidRDefault="00246FE0" w:rsidP="00246FE0">
            <w:pPr>
              <w:pStyle w:val="Tablebody"/>
              <w:rPr>
                <w:color w:val="FFFFFF" w:themeColor="background1"/>
                <w:lang w:eastAsia="en-GB"/>
              </w:rPr>
            </w:pPr>
            <w:r w:rsidRPr="009426E0">
              <w:rPr>
                <w:color w:val="FFFFFF" w:themeColor="background1"/>
                <w:lang w:eastAsia="en-GB"/>
              </w:rPr>
              <w:t>75.0%</w:t>
            </w:r>
          </w:p>
        </w:tc>
      </w:tr>
      <w:tr w:rsidR="00246FE0" w:rsidRPr="009426E0" w14:paraId="3F6C6B2C" w14:textId="77777777" w:rsidTr="00246FE0">
        <w:trPr>
          <w:trHeight w:val="300"/>
        </w:trPr>
        <w:tc>
          <w:tcPr>
            <w:tcW w:w="2977" w:type="dxa"/>
            <w:shd w:val="clear" w:color="auto" w:fill="auto"/>
            <w:noWrap/>
            <w:vAlign w:val="bottom"/>
            <w:hideMark/>
          </w:tcPr>
          <w:p w14:paraId="5B6A6F1C" w14:textId="0D9A8B4F" w:rsidR="00246FE0" w:rsidRPr="009426E0" w:rsidRDefault="00246FE0" w:rsidP="00246FE0">
            <w:pPr>
              <w:pStyle w:val="Tablebody"/>
              <w:rPr>
                <w:lang w:eastAsia="en-GB"/>
              </w:rPr>
            </w:pPr>
            <w:r w:rsidRPr="009426E0">
              <w:rPr>
                <w:lang w:eastAsia="en-GB"/>
              </w:rPr>
              <w:t>Mildura Rural City</w:t>
            </w:r>
          </w:p>
        </w:tc>
        <w:tc>
          <w:tcPr>
            <w:tcW w:w="2693" w:type="dxa"/>
            <w:shd w:val="clear" w:color="000000" w:fill="FF99FF"/>
            <w:noWrap/>
            <w:vAlign w:val="bottom"/>
            <w:hideMark/>
          </w:tcPr>
          <w:p w14:paraId="1D3565E8" w14:textId="77777777" w:rsidR="00246FE0" w:rsidRPr="009426E0" w:rsidRDefault="00246FE0" w:rsidP="00246FE0">
            <w:pPr>
              <w:pStyle w:val="Tablebody"/>
              <w:rPr>
                <w:lang w:eastAsia="en-GB"/>
              </w:rPr>
            </w:pPr>
            <w:r w:rsidRPr="009426E0">
              <w:rPr>
                <w:lang w:eastAsia="en-GB"/>
              </w:rPr>
              <w:t>58.8%</w:t>
            </w:r>
          </w:p>
        </w:tc>
      </w:tr>
    </w:tbl>
    <w:p w14:paraId="5FEF547F" w14:textId="77777777" w:rsidR="0072611F" w:rsidRPr="009426E0" w:rsidRDefault="0072611F" w:rsidP="0072611F">
      <w:pPr>
        <w:spacing w:after="160" w:line="259" w:lineRule="auto"/>
        <w:rPr>
          <w:i/>
          <w:iCs/>
          <w:lang w:val="en-US"/>
        </w:rPr>
      </w:pPr>
      <w:r w:rsidRPr="009426E0">
        <w:rPr>
          <w:b/>
          <w:bCs/>
          <w:i/>
          <w:iCs/>
          <w:lang w:val="en-US"/>
        </w:rPr>
        <w:t xml:space="preserve">Source: </w:t>
      </w:r>
      <w:r w:rsidRPr="009426E0">
        <w:rPr>
          <w:i/>
          <w:iCs/>
          <w:lang w:val="en-US"/>
        </w:rPr>
        <w:t>Cautioning rates (Crime Statistics Agency, 2023)</w:t>
      </w:r>
    </w:p>
    <w:p w14:paraId="7B896E11" w14:textId="77777777" w:rsidR="0072611F" w:rsidRPr="009426E0" w:rsidRDefault="0072611F" w:rsidP="0072611F">
      <w:pPr>
        <w:pStyle w:val="Heading2"/>
        <w:rPr>
          <w:lang w:val="en-US"/>
        </w:rPr>
      </w:pPr>
      <w:bookmarkStart w:id="56" w:name="_Toc191465898"/>
      <w:r w:rsidRPr="009426E0">
        <w:rPr>
          <w:lang w:val="en-US"/>
        </w:rPr>
        <w:t>Aboriginal Youth Justice Hubs</w:t>
      </w:r>
      <w:bookmarkEnd w:id="56"/>
    </w:p>
    <w:p w14:paraId="62506B86" w14:textId="77777777" w:rsidR="0072611F" w:rsidRPr="009426E0" w:rsidRDefault="0072611F" w:rsidP="0072611F">
      <w:pPr>
        <w:rPr>
          <w:lang w:val="en-US"/>
        </w:rPr>
      </w:pPr>
      <w:r w:rsidRPr="009426E0">
        <w:rPr>
          <w:lang w:val="en-US"/>
        </w:rPr>
        <w:t xml:space="preserve">Since 2020-21, funding has been provided to co-design and establish Aboriginal Youth Justice Hubs to provide place-based Aboriginal-led services for children and young people. The Hubs, which are being designed and developed in partnership with the Aboriginal Justice Caucus and key Aboriginal community organisations, aim to coordinate and provide holistic supports for Aboriginal children and young people who are in contact with, or at risk of entering, the youth justice system.  </w:t>
      </w:r>
    </w:p>
    <w:p w14:paraId="248C996E" w14:textId="77777777" w:rsidR="008542FC" w:rsidRPr="009426E0" w:rsidRDefault="008542FC" w:rsidP="008542FC">
      <w:pPr>
        <w:pBdr>
          <w:bottom w:val="single" w:sz="2" w:space="1" w:color="auto"/>
        </w:pBdr>
        <w:rPr>
          <w:lang w:val="en-US"/>
        </w:rPr>
      </w:pPr>
    </w:p>
    <w:p w14:paraId="455696F9" w14:textId="339C15F0" w:rsidR="00746990" w:rsidRPr="009426E0" w:rsidRDefault="00746990" w:rsidP="00746990">
      <w:pPr>
        <w:pStyle w:val="Heading1"/>
        <w:rPr>
          <w:lang w:val="en-US"/>
        </w:rPr>
      </w:pPr>
      <w:bookmarkStart w:id="57" w:name="_Toc191465899"/>
      <w:r w:rsidRPr="009426E0">
        <w:rPr>
          <w:lang w:val="en-US"/>
        </w:rPr>
        <w:lastRenderedPageBreak/>
        <w:t>Conclusion</w:t>
      </w:r>
      <w:bookmarkEnd w:id="57"/>
    </w:p>
    <w:p w14:paraId="25EAA6CD" w14:textId="77777777" w:rsidR="00746990" w:rsidRPr="009426E0" w:rsidRDefault="00746990" w:rsidP="00746990">
      <w:pPr>
        <w:rPr>
          <w:lang w:val="en-US"/>
        </w:rPr>
      </w:pPr>
    </w:p>
    <w:p w14:paraId="360DBFDE" w14:textId="77777777" w:rsidR="00746990" w:rsidRPr="009426E0" w:rsidRDefault="00746990" w:rsidP="00746990">
      <w:pPr>
        <w:spacing w:after="160" w:line="259" w:lineRule="auto"/>
        <w:rPr>
          <w:lang w:val="en-US"/>
        </w:rPr>
      </w:pPr>
      <w:r w:rsidRPr="009426E0">
        <w:rPr>
          <w:lang w:val="en-US"/>
        </w:rPr>
        <w:t xml:space="preserve">Most children and young people in Victoria are healthy, safe, and doing well in their education, but some groups are more likely to have poorer outcomes than others. This report has examined this from a geographic perspective and has found that children living in non-metropolitan and disadvantaged areas of Victoria are at greater risk of development vulnerabilities in early childhood, have lower average NAPLAN Reading scores, and higher rates of placement in out-of-home care. The report also highlights persistent over-representation of Aboriginal children and young people in child protection and care services in Victoria, </w:t>
      </w:r>
      <w:proofErr w:type="spellStart"/>
      <w:r w:rsidRPr="009426E0">
        <w:rPr>
          <w:lang w:val="en-US"/>
        </w:rPr>
        <w:t>emphasising</w:t>
      </w:r>
      <w:proofErr w:type="spellEnd"/>
      <w:r w:rsidRPr="009426E0">
        <w:rPr>
          <w:lang w:val="en-US"/>
        </w:rPr>
        <w:t xml:space="preserve"> the importance of continuing to address social determinants of child protection involvement, and of supporting Aboriginal self-determination and Aboriginal-led service responses. </w:t>
      </w:r>
    </w:p>
    <w:p w14:paraId="488686BB" w14:textId="77777777" w:rsidR="00746990" w:rsidRPr="009426E0" w:rsidRDefault="00746990" w:rsidP="00746990">
      <w:pPr>
        <w:spacing w:after="160" w:line="259" w:lineRule="auto"/>
        <w:rPr>
          <w:lang w:val="en-US"/>
        </w:rPr>
      </w:pPr>
      <w:r w:rsidRPr="009426E0">
        <w:rPr>
          <w:lang w:val="en-US"/>
        </w:rPr>
        <w:t xml:space="preserve">Not all </w:t>
      </w:r>
      <w:proofErr w:type="gramStart"/>
      <w:r w:rsidRPr="009426E0">
        <w:rPr>
          <w:lang w:val="en-US"/>
        </w:rPr>
        <w:t>outcomes</w:t>
      </w:r>
      <w:proofErr w:type="gramEnd"/>
      <w:r w:rsidRPr="009426E0">
        <w:rPr>
          <w:lang w:val="en-US"/>
        </w:rPr>
        <w:t xml:space="preserve"> data show the same geographic patterns. For example, kindergarten participation in the year before school is consistently higher for non-metropolitan areas, and the proportion of children undertaking the recommended levels of physical activity was lowest in some metropolitan areas. Such examples show that while the effects of geographic location and socioeconomic status on children’s outcomes can often be closely linked, there are other aspects of place that can influence children’s lives in different ways, which may include access to services, availability of support networks, and the nature of the built environment itself. Working with communities to address these local issues is a key capability for government. Partnerships between government agencies, nonprofit organisations, healthcare providers, and community groups are often necessary to understand the unique characteristics of a community, leverage local networks, and </w:t>
      </w:r>
      <w:r w:rsidRPr="009426E0">
        <w:rPr>
          <w:lang w:val="en-US"/>
        </w:rPr>
        <w:br/>
        <w:t>bridge service gaps.</w:t>
      </w:r>
    </w:p>
    <w:p w14:paraId="6BEBA107" w14:textId="77777777" w:rsidR="00746990" w:rsidRPr="009426E0" w:rsidRDefault="00746990" w:rsidP="00746990">
      <w:pPr>
        <w:rPr>
          <w:lang w:val="en-US"/>
        </w:rPr>
      </w:pPr>
      <w:r w:rsidRPr="009426E0">
        <w:rPr>
          <w:lang w:val="en-US"/>
        </w:rPr>
        <w:t>Programs and initiatives across Victoria are increasingly utilising an early intervention and place-based approach connecting children and their families with integrated supports where and when they are needed most. An example given in this report is Family Preservation and Reunification Response which aims to promote strong families, with children who are safe, healthy, resilient and thriving and caregivers who are supported to create a safe and nurturing home environment.  A further example is the Youth Crime Prevention Program, delivered in partnership between community organisations and government agencies, which has demonstrated reductions in offending by connecting young people with local support services and pro-social activities. Such approaches have the potential to address the social determinants of poor health, education, and social outcomes, and through consideration of the environmental factors that contribute to these, can work towards improved systemic change.</w:t>
      </w:r>
    </w:p>
    <w:p w14:paraId="2578D841" w14:textId="77777777" w:rsidR="004C1558" w:rsidRPr="009426E0" w:rsidRDefault="004C1558" w:rsidP="004C1558">
      <w:pPr>
        <w:pBdr>
          <w:bottom w:val="single" w:sz="2" w:space="1" w:color="auto"/>
        </w:pBdr>
        <w:rPr>
          <w:lang w:val="en-US"/>
        </w:rPr>
      </w:pPr>
    </w:p>
    <w:p w14:paraId="3B0748CB" w14:textId="77777777" w:rsidR="00746990" w:rsidRPr="009426E0" w:rsidRDefault="00746990" w:rsidP="00746990">
      <w:pPr>
        <w:pStyle w:val="Heading1"/>
        <w:rPr>
          <w:rFonts w:eastAsiaTheme="minorHAnsi"/>
          <w:lang w:val="en-US"/>
        </w:rPr>
      </w:pPr>
      <w:r w:rsidRPr="009426E0">
        <w:rPr>
          <w:lang w:val="en-US"/>
        </w:rPr>
        <w:br w:type="column"/>
      </w:r>
      <w:bookmarkStart w:id="58" w:name="_Toc191465900"/>
      <w:r w:rsidRPr="009426E0">
        <w:rPr>
          <w:rFonts w:eastAsiaTheme="minorHAnsi"/>
          <w:lang w:val="en-US"/>
        </w:rPr>
        <w:lastRenderedPageBreak/>
        <w:t>References</w:t>
      </w:r>
      <w:bookmarkEnd w:id="58"/>
    </w:p>
    <w:p w14:paraId="21805D67" w14:textId="466B1101" w:rsidR="00746990" w:rsidRPr="009426E0" w:rsidRDefault="00746990" w:rsidP="00746990">
      <w:pPr>
        <w:spacing w:after="160" w:line="259" w:lineRule="auto"/>
        <w:rPr>
          <w:lang w:val="en-US"/>
        </w:rPr>
      </w:pPr>
      <w:r w:rsidRPr="009426E0">
        <w:rPr>
          <w:b/>
          <w:bCs/>
          <w:lang w:val="en-US"/>
        </w:rPr>
        <w:t>Australian Bureau of Statistics.</w:t>
      </w:r>
      <w:r w:rsidRPr="009426E0">
        <w:rPr>
          <w:lang w:val="en-US"/>
        </w:rPr>
        <w:t xml:space="preserve"> (2018). National Health Survey 2017-18. Canberra: Commonwealth of Australia.</w:t>
      </w:r>
    </w:p>
    <w:p w14:paraId="548C0119" w14:textId="60376366" w:rsidR="00746990" w:rsidRPr="009426E0" w:rsidRDefault="00746990" w:rsidP="00746990">
      <w:pPr>
        <w:spacing w:after="160" w:line="259" w:lineRule="auto"/>
        <w:rPr>
          <w:lang w:val="en-US"/>
        </w:rPr>
      </w:pPr>
      <w:r w:rsidRPr="009426E0">
        <w:rPr>
          <w:b/>
          <w:bCs/>
          <w:lang w:val="en-US"/>
        </w:rPr>
        <w:t>Australian Bureau of Statistics.</w:t>
      </w:r>
      <w:r w:rsidRPr="009426E0">
        <w:rPr>
          <w:lang w:val="en-US"/>
        </w:rPr>
        <w:t xml:space="preserve"> (2021a). Socio-Economic Indexes for Australia. Canberra: Commonwealth of Australia.</w:t>
      </w:r>
    </w:p>
    <w:p w14:paraId="1A12FD44" w14:textId="47ED2C67" w:rsidR="00746990" w:rsidRPr="009426E0" w:rsidRDefault="00746990" w:rsidP="00746990">
      <w:pPr>
        <w:spacing w:after="160" w:line="259" w:lineRule="auto"/>
        <w:rPr>
          <w:lang w:val="en-US"/>
        </w:rPr>
      </w:pPr>
      <w:r w:rsidRPr="009426E0">
        <w:rPr>
          <w:b/>
          <w:bCs/>
          <w:lang w:val="en-US"/>
        </w:rPr>
        <w:t>Australian Bureau of Statistics.</w:t>
      </w:r>
      <w:r w:rsidRPr="009426E0">
        <w:rPr>
          <w:lang w:val="en-US"/>
        </w:rPr>
        <w:t xml:space="preserve"> (2021b). Estimated Residential Population. </w:t>
      </w:r>
    </w:p>
    <w:p w14:paraId="658AE3BB" w14:textId="70CD37EB" w:rsidR="00746990" w:rsidRPr="009426E0" w:rsidRDefault="00746990" w:rsidP="00746990">
      <w:pPr>
        <w:spacing w:after="160" w:line="259" w:lineRule="auto"/>
        <w:rPr>
          <w:lang w:val="en-US"/>
        </w:rPr>
      </w:pPr>
      <w:r w:rsidRPr="009426E0">
        <w:rPr>
          <w:b/>
          <w:bCs/>
          <w:lang w:val="en-US"/>
        </w:rPr>
        <w:t xml:space="preserve">Australian Bureau of Statistics. </w:t>
      </w:r>
      <w:r w:rsidRPr="009426E0">
        <w:rPr>
          <w:lang w:val="en-US"/>
        </w:rPr>
        <w:t>(2023). National Health Survey 2022. Canberra: Commonwealth of Australia.</w:t>
      </w:r>
    </w:p>
    <w:p w14:paraId="1C4F6875" w14:textId="3C6A0728" w:rsidR="00746990" w:rsidRPr="009426E0" w:rsidRDefault="00746990" w:rsidP="00746990">
      <w:pPr>
        <w:spacing w:after="160" w:line="259" w:lineRule="auto"/>
        <w:rPr>
          <w:lang w:val="en-US"/>
        </w:rPr>
      </w:pPr>
      <w:r w:rsidRPr="009426E0">
        <w:rPr>
          <w:b/>
          <w:bCs/>
          <w:lang w:val="en-US"/>
        </w:rPr>
        <w:t>Australian Institute of Family Studies.</w:t>
      </w:r>
      <w:r w:rsidRPr="009426E0">
        <w:rPr>
          <w:lang w:val="en-US"/>
        </w:rPr>
        <w:t xml:space="preserve"> (2017). Risk and protective factors for child abuse and neglect: Policy and practice paper. Retrieved from Australian Institute of Family Studies: https://aifs.gov.au/resources/policy-and-practice-papers/risk-and-protective-factors-child-abuse-and-neglect</w:t>
      </w:r>
    </w:p>
    <w:p w14:paraId="2D671D15" w14:textId="77777777" w:rsidR="00746990" w:rsidRPr="009426E0" w:rsidRDefault="00746990" w:rsidP="00746990">
      <w:pPr>
        <w:spacing w:after="160" w:line="259" w:lineRule="auto"/>
        <w:rPr>
          <w:lang w:val="en-US"/>
        </w:rPr>
      </w:pPr>
      <w:r w:rsidRPr="009426E0">
        <w:rPr>
          <w:b/>
          <w:bCs/>
          <w:lang w:val="en-US"/>
        </w:rPr>
        <w:t>Australian Institute of Health and Welfare.</w:t>
      </w:r>
      <w:r w:rsidRPr="009426E0">
        <w:rPr>
          <w:lang w:val="en-US"/>
        </w:rPr>
        <w:t xml:space="preserve"> (2022). Health across socioeconomic groups. Retrieved from Australia’s Health: https://www.aihw.gov.au/reports/australias-health/health-across-socioeconomic-groups</w:t>
      </w:r>
    </w:p>
    <w:p w14:paraId="67D37A87" w14:textId="5388C959" w:rsidR="00746990" w:rsidRPr="009426E0" w:rsidRDefault="00746990" w:rsidP="00746990">
      <w:pPr>
        <w:spacing w:after="160" w:line="259" w:lineRule="auto"/>
        <w:rPr>
          <w:lang w:val="en-US"/>
        </w:rPr>
      </w:pPr>
      <w:r w:rsidRPr="009426E0">
        <w:rPr>
          <w:b/>
          <w:bCs/>
          <w:lang w:val="en-US"/>
        </w:rPr>
        <w:t xml:space="preserve">Campbell, F., </w:t>
      </w:r>
      <w:proofErr w:type="spellStart"/>
      <w:r w:rsidRPr="009426E0">
        <w:rPr>
          <w:b/>
          <w:bCs/>
          <w:lang w:val="en-US"/>
        </w:rPr>
        <w:t>Pungello</w:t>
      </w:r>
      <w:proofErr w:type="spellEnd"/>
      <w:r w:rsidRPr="009426E0">
        <w:rPr>
          <w:b/>
          <w:bCs/>
          <w:lang w:val="en-US"/>
        </w:rPr>
        <w:t xml:space="preserve">, P., Burchinal, M., Kainz, K., Pan, Y., &amp; Wasik, B. </w:t>
      </w:r>
      <w:r w:rsidRPr="009426E0">
        <w:rPr>
          <w:lang w:val="en-US"/>
        </w:rPr>
        <w:t>(2012). Adult outcomes as a function of early childhood educational programs: an Abecedarian project follow-up. Developmental Psychology, 48(4), 1033–1043.</w:t>
      </w:r>
    </w:p>
    <w:p w14:paraId="37108D52" w14:textId="4AA161CC" w:rsidR="00746990" w:rsidRPr="009426E0" w:rsidRDefault="00746990" w:rsidP="00746990">
      <w:pPr>
        <w:spacing w:after="160" w:line="259" w:lineRule="auto"/>
        <w:rPr>
          <w:lang w:val="en-US"/>
        </w:rPr>
      </w:pPr>
      <w:r w:rsidRPr="009426E0">
        <w:rPr>
          <w:b/>
          <w:bCs/>
          <w:lang w:val="en-US"/>
        </w:rPr>
        <w:t xml:space="preserve">Carvajal-Aldaz, D., Cucalon, G., &amp; Ordonez, C. </w:t>
      </w:r>
      <w:r w:rsidRPr="009426E0">
        <w:rPr>
          <w:lang w:val="en-US"/>
        </w:rPr>
        <w:t>(2022). Food insecurity as a risk factor for obesity: A review. Frontiers in Nutrition, 9.</w:t>
      </w:r>
    </w:p>
    <w:p w14:paraId="110A5B6F" w14:textId="7700D032" w:rsidR="00746990" w:rsidRPr="009426E0" w:rsidRDefault="00746990" w:rsidP="00746990">
      <w:pPr>
        <w:spacing w:after="160" w:line="259" w:lineRule="auto"/>
        <w:rPr>
          <w:lang w:val="en-US"/>
        </w:rPr>
      </w:pPr>
      <w:r w:rsidRPr="009426E0">
        <w:rPr>
          <w:b/>
          <w:bCs/>
          <w:lang w:val="en-US"/>
        </w:rPr>
        <w:t>Centre for Community Child Health.</w:t>
      </w:r>
      <w:r w:rsidRPr="009426E0">
        <w:rPr>
          <w:lang w:val="en-US"/>
        </w:rPr>
        <w:t xml:space="preserve"> (2022). The impact of the COVID-19 pandemic on children in Australian early childhood education and care: Rapid review prepared by the Centre for Community Child Health. Parkville: Murdoch Children’s Research Institute.</w:t>
      </w:r>
    </w:p>
    <w:p w14:paraId="5562603A" w14:textId="77777777" w:rsidR="00746990" w:rsidRPr="009426E0" w:rsidRDefault="00746990" w:rsidP="00746990">
      <w:pPr>
        <w:spacing w:after="160" w:line="259" w:lineRule="auto"/>
        <w:rPr>
          <w:lang w:val="en-US"/>
        </w:rPr>
      </w:pPr>
      <w:r w:rsidRPr="009426E0">
        <w:rPr>
          <w:b/>
          <w:bCs/>
          <w:lang w:val="en-US"/>
        </w:rPr>
        <w:t>Commission on the Social Determinants of Health.</w:t>
      </w:r>
      <w:r w:rsidRPr="009426E0">
        <w:rPr>
          <w:lang w:val="en-US"/>
        </w:rPr>
        <w:t xml:space="preserve"> (2008). Closing the Gap in a Generation: Health equity through action on the social determinants of health. Geneva: World Health Organization.</w:t>
      </w:r>
    </w:p>
    <w:p w14:paraId="3A128609" w14:textId="77777777" w:rsidR="00746990" w:rsidRPr="009426E0" w:rsidRDefault="00746990" w:rsidP="00746990">
      <w:pPr>
        <w:spacing w:after="160" w:line="259" w:lineRule="auto"/>
        <w:rPr>
          <w:lang w:val="en-US"/>
        </w:rPr>
      </w:pPr>
      <w:r w:rsidRPr="009426E0">
        <w:rPr>
          <w:b/>
          <w:bCs/>
          <w:lang w:val="en-US"/>
        </w:rPr>
        <w:t xml:space="preserve">Crampton, A., &amp; Hall, J. </w:t>
      </w:r>
      <w:r w:rsidRPr="009426E0">
        <w:rPr>
          <w:lang w:val="en-US"/>
        </w:rPr>
        <w:t>(2017). Unpacking socio-economic risks for reading and academic self-concept in primary school: Differential effects and the role of the preschool home learning environment. British Journal of Educational Psychology, 87(3), 365-382.</w:t>
      </w:r>
    </w:p>
    <w:p w14:paraId="73ACCF7F" w14:textId="77777777" w:rsidR="00746990" w:rsidRPr="009426E0" w:rsidRDefault="00746990" w:rsidP="00746990">
      <w:pPr>
        <w:spacing w:after="160" w:line="259" w:lineRule="auto"/>
        <w:rPr>
          <w:lang w:val="en-US"/>
        </w:rPr>
      </w:pPr>
      <w:r w:rsidRPr="009426E0">
        <w:rPr>
          <w:b/>
          <w:bCs/>
          <w:lang w:val="en-US"/>
        </w:rPr>
        <w:t>Crawford, S. B., Bennetts, S. K., Hackworth, N. K., Green, J., Graesser, H., Cooklin, A. R., . . . Nicholson, J. M.</w:t>
      </w:r>
      <w:r w:rsidRPr="009426E0">
        <w:rPr>
          <w:lang w:val="en-US"/>
        </w:rPr>
        <w:t xml:space="preserve"> (2017). Worries, ‘weirdos’, neighborhoods and knowing people: a qualitative study with children and parents regarding children’s independent mobility. Health &amp; Place, 45, pp. 131-139.</w:t>
      </w:r>
    </w:p>
    <w:p w14:paraId="47A13F3C" w14:textId="51FFE918" w:rsidR="00746990" w:rsidRPr="009426E0" w:rsidRDefault="00746990" w:rsidP="00746990">
      <w:pPr>
        <w:spacing w:after="160" w:line="259" w:lineRule="auto"/>
        <w:rPr>
          <w:lang w:val="en-US"/>
        </w:rPr>
      </w:pPr>
      <w:r w:rsidRPr="009426E0">
        <w:rPr>
          <w:b/>
          <w:bCs/>
          <w:lang w:val="en-US"/>
        </w:rPr>
        <w:t>Crime Statistics Agency.</w:t>
      </w:r>
      <w:r w:rsidRPr="009426E0">
        <w:rPr>
          <w:lang w:val="en-US"/>
        </w:rPr>
        <w:t xml:space="preserve"> (2022). Unique affected family members year ending September 2022. Melbourne: State of Victoria.</w:t>
      </w:r>
    </w:p>
    <w:p w14:paraId="1003C3A1" w14:textId="0BA99BB7" w:rsidR="00746990" w:rsidRPr="009426E0" w:rsidRDefault="00746990" w:rsidP="00746990">
      <w:pPr>
        <w:spacing w:after="160" w:line="259" w:lineRule="auto"/>
        <w:rPr>
          <w:lang w:val="en-US"/>
        </w:rPr>
      </w:pPr>
      <w:r w:rsidRPr="009426E0">
        <w:rPr>
          <w:b/>
          <w:bCs/>
          <w:lang w:val="en-US"/>
        </w:rPr>
        <w:t>Crime Statistics Agency.</w:t>
      </w:r>
      <w:r w:rsidRPr="009426E0">
        <w:rPr>
          <w:lang w:val="en-US"/>
        </w:rPr>
        <w:t xml:space="preserve"> (2023). Alleged offender incidents. Melbourne: State of Victoria.</w:t>
      </w:r>
    </w:p>
    <w:p w14:paraId="7B74C15D" w14:textId="04C77B06" w:rsidR="00746990" w:rsidRPr="009426E0" w:rsidRDefault="00746990" w:rsidP="00746990">
      <w:pPr>
        <w:spacing w:after="160" w:line="259" w:lineRule="auto"/>
        <w:rPr>
          <w:lang w:val="en-US"/>
        </w:rPr>
      </w:pPr>
      <w:r w:rsidRPr="009426E0">
        <w:rPr>
          <w:b/>
          <w:bCs/>
          <w:lang w:val="en-US"/>
        </w:rPr>
        <w:t>Crime Statistics Agency.</w:t>
      </w:r>
      <w:r w:rsidRPr="009426E0">
        <w:rPr>
          <w:lang w:val="en-US"/>
        </w:rPr>
        <w:t xml:space="preserve"> (2023). Cautioning rates. Melbourne: State of Victoria.</w:t>
      </w:r>
    </w:p>
    <w:p w14:paraId="492B10BC" w14:textId="73C749DA" w:rsidR="00746990" w:rsidRPr="009426E0" w:rsidRDefault="00746990" w:rsidP="00746990">
      <w:pPr>
        <w:spacing w:after="160" w:line="259" w:lineRule="auto"/>
        <w:rPr>
          <w:lang w:val="en-US"/>
        </w:rPr>
      </w:pPr>
      <w:r w:rsidRPr="009426E0">
        <w:rPr>
          <w:b/>
          <w:bCs/>
          <w:lang w:val="en-US"/>
        </w:rPr>
        <w:t xml:space="preserve">Curtis, D. D., &amp; McMillan, J. </w:t>
      </w:r>
      <w:r w:rsidRPr="009426E0">
        <w:rPr>
          <w:lang w:val="en-US"/>
        </w:rPr>
        <w:t xml:space="preserve">(2008). School Non-completers: Profiles and Initial Destinations </w:t>
      </w:r>
      <w:proofErr w:type="spellStart"/>
      <w:r w:rsidRPr="009426E0">
        <w:rPr>
          <w:lang w:val="en-US"/>
        </w:rPr>
        <w:t>Longtitudinal</w:t>
      </w:r>
      <w:proofErr w:type="spellEnd"/>
      <w:r w:rsidRPr="009426E0">
        <w:rPr>
          <w:lang w:val="en-US"/>
        </w:rPr>
        <w:t xml:space="preserve"> Surveys of Australian Youth: Research Report 54. Australian Council for Educational Research.</w:t>
      </w:r>
    </w:p>
    <w:p w14:paraId="142DD132" w14:textId="3F6924A2" w:rsidR="00746990" w:rsidRPr="009426E0" w:rsidRDefault="00746990" w:rsidP="00746990">
      <w:pPr>
        <w:spacing w:after="160" w:line="259" w:lineRule="auto"/>
        <w:rPr>
          <w:lang w:val="en-US"/>
        </w:rPr>
      </w:pPr>
      <w:r w:rsidRPr="009426E0">
        <w:rPr>
          <w:b/>
          <w:bCs/>
          <w:lang w:val="en-US"/>
        </w:rPr>
        <w:t>Department of Education.</w:t>
      </w:r>
      <w:r w:rsidRPr="009426E0">
        <w:rPr>
          <w:lang w:val="en-US"/>
        </w:rPr>
        <w:t xml:space="preserve"> (2021). Victorian Child Health and Wellbeing Survey 2021. </w:t>
      </w:r>
    </w:p>
    <w:p w14:paraId="3CBF16EC" w14:textId="3FAF3F2E" w:rsidR="00746990" w:rsidRPr="009426E0" w:rsidRDefault="00746990" w:rsidP="00746990">
      <w:pPr>
        <w:spacing w:after="160" w:line="259" w:lineRule="auto"/>
        <w:rPr>
          <w:lang w:val="en-US"/>
        </w:rPr>
      </w:pPr>
      <w:r w:rsidRPr="009426E0">
        <w:rPr>
          <w:b/>
          <w:bCs/>
          <w:lang w:val="en-US"/>
        </w:rPr>
        <w:t>Department of Education.</w:t>
      </w:r>
      <w:r w:rsidRPr="009426E0">
        <w:rPr>
          <w:lang w:val="en-US"/>
        </w:rPr>
        <w:t xml:space="preserve"> (2022). School Entrant Health Questionnaire 2021. Melbourne: State of Victoria.</w:t>
      </w:r>
    </w:p>
    <w:p w14:paraId="09DF3893" w14:textId="4117A9DE" w:rsidR="00746990" w:rsidRPr="009426E0" w:rsidRDefault="00746990" w:rsidP="00746990">
      <w:pPr>
        <w:spacing w:after="160" w:line="259" w:lineRule="auto"/>
        <w:rPr>
          <w:lang w:val="en-US"/>
        </w:rPr>
      </w:pPr>
      <w:r w:rsidRPr="009426E0">
        <w:rPr>
          <w:b/>
          <w:bCs/>
          <w:lang w:val="en-US"/>
        </w:rPr>
        <w:t>Department of Education.</w:t>
      </w:r>
      <w:r w:rsidRPr="009426E0">
        <w:rPr>
          <w:lang w:val="en-US"/>
        </w:rPr>
        <w:t xml:space="preserve"> (2023). Children enrolled in Victorian government funded kindergarten services. Melbourne: State of Victoria.</w:t>
      </w:r>
    </w:p>
    <w:p w14:paraId="538A14E6" w14:textId="2C1F9AF7" w:rsidR="00746990" w:rsidRPr="009426E0" w:rsidRDefault="00746990" w:rsidP="00746990">
      <w:pPr>
        <w:spacing w:after="160" w:line="259" w:lineRule="auto"/>
        <w:rPr>
          <w:lang w:val="en-US"/>
        </w:rPr>
      </w:pPr>
      <w:r w:rsidRPr="009426E0">
        <w:rPr>
          <w:b/>
          <w:bCs/>
          <w:lang w:val="en-US"/>
        </w:rPr>
        <w:t>Department of Education.</w:t>
      </w:r>
      <w:r w:rsidRPr="009426E0">
        <w:rPr>
          <w:lang w:val="en-US"/>
        </w:rPr>
        <w:t xml:space="preserve"> (2023). NAPLAN Year 9 Reading mean scores, 2022. Melbourne: State of Victoria.</w:t>
      </w:r>
    </w:p>
    <w:p w14:paraId="7350AFEA" w14:textId="7D626771" w:rsidR="00746990" w:rsidRPr="009426E0" w:rsidRDefault="00746990" w:rsidP="00746990">
      <w:pPr>
        <w:spacing w:after="160" w:line="259" w:lineRule="auto"/>
        <w:rPr>
          <w:lang w:val="en-US"/>
        </w:rPr>
      </w:pPr>
      <w:r w:rsidRPr="009426E0">
        <w:rPr>
          <w:b/>
          <w:bCs/>
          <w:lang w:val="en-US"/>
        </w:rPr>
        <w:t>Department of Education.</w:t>
      </w:r>
      <w:r w:rsidRPr="009426E0">
        <w:rPr>
          <w:lang w:val="en-US"/>
        </w:rPr>
        <w:t xml:space="preserve"> (2023). Victorian Child Health and Wellbeing Survey 2021: Summary Report. Melbourne: State of Victoria.</w:t>
      </w:r>
    </w:p>
    <w:p w14:paraId="7979A794" w14:textId="77777777" w:rsidR="00746990" w:rsidRPr="009426E0" w:rsidRDefault="00746990" w:rsidP="00746990">
      <w:pPr>
        <w:spacing w:after="160" w:line="259" w:lineRule="auto"/>
        <w:rPr>
          <w:lang w:val="en-US"/>
        </w:rPr>
      </w:pPr>
      <w:r w:rsidRPr="009426E0">
        <w:rPr>
          <w:b/>
          <w:bCs/>
          <w:lang w:val="en-US"/>
        </w:rPr>
        <w:lastRenderedPageBreak/>
        <w:t xml:space="preserve">Department of Education and Training. </w:t>
      </w:r>
      <w:r w:rsidRPr="009426E0">
        <w:rPr>
          <w:lang w:val="en-US"/>
        </w:rPr>
        <w:t xml:space="preserve">(2019). ABOUT YOU, Victorian Student Health and Wellbeing Survey, Summary Findings </w:t>
      </w:r>
      <w:proofErr w:type="gramStart"/>
      <w:r w:rsidRPr="009426E0">
        <w:rPr>
          <w:lang w:val="en-US"/>
        </w:rPr>
        <w:t>2018 .</w:t>
      </w:r>
      <w:proofErr w:type="gramEnd"/>
      <w:r w:rsidRPr="009426E0">
        <w:rPr>
          <w:lang w:val="en-US"/>
        </w:rPr>
        <w:t xml:space="preserve"> Melbourne: State of Victoria.</w:t>
      </w:r>
    </w:p>
    <w:p w14:paraId="4B1ED778" w14:textId="77777777" w:rsidR="00746990" w:rsidRPr="009426E0" w:rsidRDefault="00746990" w:rsidP="00746990">
      <w:pPr>
        <w:spacing w:after="160" w:line="259" w:lineRule="auto"/>
        <w:rPr>
          <w:lang w:val="en-US"/>
        </w:rPr>
      </w:pPr>
      <w:r w:rsidRPr="009426E0">
        <w:rPr>
          <w:b/>
          <w:bCs/>
          <w:lang w:val="en-US"/>
        </w:rPr>
        <w:t xml:space="preserve">Department of Education, Skills and Employment. </w:t>
      </w:r>
      <w:r w:rsidRPr="009426E0">
        <w:rPr>
          <w:lang w:val="en-US"/>
        </w:rPr>
        <w:t>(2022). Australian Early Development Census 2021. Canberra: Commonwealth of Australia.</w:t>
      </w:r>
    </w:p>
    <w:p w14:paraId="793CF66D" w14:textId="77777777" w:rsidR="00746990" w:rsidRPr="009426E0" w:rsidRDefault="00746990" w:rsidP="00746990">
      <w:pPr>
        <w:spacing w:after="160" w:line="259" w:lineRule="auto"/>
        <w:rPr>
          <w:lang w:val="en-US"/>
        </w:rPr>
      </w:pPr>
      <w:r w:rsidRPr="009426E0">
        <w:rPr>
          <w:b/>
          <w:bCs/>
          <w:lang w:val="en-US"/>
        </w:rPr>
        <w:t xml:space="preserve">Department of Families, Fairness and Housing. </w:t>
      </w:r>
      <w:r w:rsidRPr="009426E0">
        <w:rPr>
          <w:lang w:val="en-US"/>
        </w:rPr>
        <w:t xml:space="preserve">(2023). Client Relationship Information System. </w:t>
      </w:r>
    </w:p>
    <w:p w14:paraId="32C699A7" w14:textId="5ABE17C0" w:rsidR="00746990" w:rsidRPr="009426E0" w:rsidRDefault="00746990" w:rsidP="00746990">
      <w:pPr>
        <w:spacing w:after="160" w:line="259" w:lineRule="auto"/>
        <w:rPr>
          <w:lang w:val="en-US"/>
        </w:rPr>
      </w:pPr>
      <w:r w:rsidRPr="009426E0">
        <w:rPr>
          <w:b/>
          <w:bCs/>
          <w:lang w:val="en-US"/>
        </w:rPr>
        <w:t xml:space="preserve">Department of Health and Aged Care. </w:t>
      </w:r>
      <w:r w:rsidRPr="009426E0">
        <w:rPr>
          <w:lang w:val="en-US"/>
        </w:rPr>
        <w:t xml:space="preserve">(2021, May 6). Australian 24-Hour Movement Guidelines for Children and Young People (5-17 years) – An Integration of Physical Activity, Sedentary </w:t>
      </w:r>
      <w:proofErr w:type="spellStart"/>
      <w:r w:rsidRPr="009426E0">
        <w:rPr>
          <w:lang w:val="en-US"/>
        </w:rPr>
        <w:t>Behaviour</w:t>
      </w:r>
      <w:proofErr w:type="spellEnd"/>
      <w:r w:rsidRPr="009426E0">
        <w:rPr>
          <w:lang w:val="en-US"/>
        </w:rPr>
        <w:t xml:space="preserve"> and Sleep. Retrieved from The Department of Health and Aged Care, Australian Government: </w:t>
      </w:r>
      <w:hyperlink r:id="rId16" w:history="1">
        <w:r w:rsidRPr="009426E0">
          <w:rPr>
            <w:rStyle w:val="Hyperlink"/>
            <w:lang w:val="en-US"/>
          </w:rPr>
          <w:t>https://www.health.gov.au/topics/physical-activity-and-exercise/physical-activity-and-exercise-guidelines-for-all-australians/for-children-and-young-people-5-to-17-years?language=und</w:t>
        </w:r>
      </w:hyperlink>
    </w:p>
    <w:p w14:paraId="08015E6F" w14:textId="77777777" w:rsidR="00746990" w:rsidRPr="009426E0" w:rsidRDefault="00746990" w:rsidP="00746990">
      <w:pPr>
        <w:spacing w:after="160" w:line="259" w:lineRule="auto"/>
        <w:rPr>
          <w:lang w:val="en-US"/>
        </w:rPr>
      </w:pPr>
      <w:r w:rsidRPr="009426E0">
        <w:rPr>
          <w:b/>
          <w:bCs/>
          <w:lang w:val="en-US"/>
        </w:rPr>
        <w:t>Department of Health. (n.d.). Victorian Population Health Survey 2022.</w:t>
      </w:r>
      <w:r w:rsidRPr="009426E0">
        <w:rPr>
          <w:lang w:val="en-US"/>
        </w:rPr>
        <w:t xml:space="preserve"> Melbourne: State of Victoria.</w:t>
      </w:r>
    </w:p>
    <w:p w14:paraId="379075BB" w14:textId="77777777" w:rsidR="00746990" w:rsidRPr="009426E0" w:rsidRDefault="00746990" w:rsidP="00746990">
      <w:pPr>
        <w:spacing w:after="160" w:line="259" w:lineRule="auto"/>
        <w:rPr>
          <w:lang w:val="en-US"/>
        </w:rPr>
      </w:pPr>
      <w:r w:rsidRPr="009426E0">
        <w:rPr>
          <w:b/>
          <w:bCs/>
          <w:lang w:val="en-US"/>
        </w:rPr>
        <w:t>Fox, S., &amp; Geddes, M.</w:t>
      </w:r>
      <w:r w:rsidRPr="009426E0">
        <w:rPr>
          <w:lang w:val="en-US"/>
        </w:rPr>
        <w:t xml:space="preserve"> (2016). Preschool – Two Years are Better Than One, Developing a universal preschool program for Australian </w:t>
      </w:r>
      <w:proofErr w:type="gramStart"/>
      <w:r w:rsidRPr="009426E0">
        <w:rPr>
          <w:lang w:val="en-US"/>
        </w:rPr>
        <w:t>3 year olds</w:t>
      </w:r>
      <w:proofErr w:type="gramEnd"/>
      <w:r w:rsidRPr="009426E0">
        <w:rPr>
          <w:lang w:val="en-US"/>
        </w:rPr>
        <w:t xml:space="preserve"> – evidence, policy and implementation, Mitchell Report No. 03/2016. Melbourne: Mitchell Institute.</w:t>
      </w:r>
    </w:p>
    <w:p w14:paraId="3C01639F" w14:textId="77777777" w:rsidR="00746990" w:rsidRPr="009426E0" w:rsidRDefault="00746990" w:rsidP="00746990">
      <w:pPr>
        <w:spacing w:after="160" w:line="259" w:lineRule="auto"/>
        <w:rPr>
          <w:lang w:val="en-US"/>
        </w:rPr>
      </w:pPr>
      <w:r w:rsidRPr="009426E0">
        <w:rPr>
          <w:b/>
          <w:bCs/>
          <w:lang w:val="en-US"/>
        </w:rPr>
        <w:t xml:space="preserve">Francis, J., Martin, K., Wood, L., &amp; Foster, S. </w:t>
      </w:r>
      <w:r w:rsidRPr="009426E0">
        <w:rPr>
          <w:lang w:val="en-US"/>
        </w:rPr>
        <w:t>(2017). ‘I’ll be driving you to school for the rest of your life’: A qualitative study of parents’ fear of stranger danger. Journal of Environmental Psychology, 53, pp. 112-120.</w:t>
      </w:r>
    </w:p>
    <w:p w14:paraId="1C5798B1" w14:textId="77777777" w:rsidR="00746990" w:rsidRPr="009426E0" w:rsidRDefault="00746990" w:rsidP="00746990">
      <w:pPr>
        <w:spacing w:after="160" w:line="259" w:lineRule="auto"/>
        <w:rPr>
          <w:lang w:val="en-US"/>
        </w:rPr>
      </w:pPr>
      <w:r w:rsidRPr="009426E0">
        <w:rPr>
          <w:b/>
          <w:bCs/>
          <w:lang w:val="en-US"/>
        </w:rPr>
        <w:t>Goldfeld, S., Katz, I., Tanton, R., Brinkman, S., Woolcock, G., &amp; Giles-Corti, B.</w:t>
      </w:r>
      <w:r w:rsidRPr="009426E0">
        <w:rPr>
          <w:lang w:val="en-US"/>
        </w:rPr>
        <w:t xml:space="preserve"> (2018). Foundational Community Factors (FCFs) for Early Childhood Development: A Report on the Kids in Communities Study. Parkville: University of Melbourne.</w:t>
      </w:r>
    </w:p>
    <w:p w14:paraId="67896E2E" w14:textId="77777777" w:rsidR="00746990" w:rsidRPr="009426E0" w:rsidRDefault="00746990" w:rsidP="00746990">
      <w:pPr>
        <w:spacing w:after="160" w:line="259" w:lineRule="auto"/>
        <w:rPr>
          <w:lang w:val="en-US"/>
        </w:rPr>
      </w:pPr>
      <w:r w:rsidRPr="009426E0">
        <w:rPr>
          <w:b/>
          <w:bCs/>
          <w:lang w:val="en-US"/>
        </w:rPr>
        <w:t xml:space="preserve">Harris, S. R. </w:t>
      </w:r>
      <w:r w:rsidRPr="009426E0">
        <w:rPr>
          <w:lang w:val="en-US"/>
        </w:rPr>
        <w:t>(2016). Early identification of motor delay: Family-</w:t>
      </w:r>
      <w:proofErr w:type="spellStart"/>
      <w:r w:rsidRPr="009426E0">
        <w:rPr>
          <w:lang w:val="en-US"/>
        </w:rPr>
        <w:t>centred</w:t>
      </w:r>
      <w:proofErr w:type="spellEnd"/>
      <w:r w:rsidRPr="009426E0">
        <w:rPr>
          <w:lang w:val="en-US"/>
        </w:rPr>
        <w:t xml:space="preserve"> screening tool. Canadian Family Physician, 62, 629-632.</w:t>
      </w:r>
    </w:p>
    <w:p w14:paraId="1E54B72D" w14:textId="77777777" w:rsidR="00746990" w:rsidRPr="009426E0" w:rsidRDefault="00746990" w:rsidP="00746990">
      <w:pPr>
        <w:spacing w:after="160" w:line="259" w:lineRule="auto"/>
        <w:rPr>
          <w:lang w:val="en-US"/>
        </w:rPr>
      </w:pPr>
      <w:r w:rsidRPr="009426E0">
        <w:rPr>
          <w:b/>
          <w:bCs/>
          <w:lang w:val="en-US"/>
        </w:rPr>
        <w:t xml:space="preserve">Hattie, J. </w:t>
      </w:r>
      <w:r w:rsidRPr="009426E0">
        <w:rPr>
          <w:lang w:val="en-US"/>
        </w:rPr>
        <w:t>(2009). Visible Learning: A synthesis of over 800 meta-analyses relating to achievement. London &amp; New York: Routledge.</w:t>
      </w:r>
    </w:p>
    <w:p w14:paraId="3303F25F" w14:textId="77777777" w:rsidR="00746990" w:rsidRPr="009426E0" w:rsidRDefault="00746990" w:rsidP="00746990">
      <w:pPr>
        <w:spacing w:after="160" w:line="259" w:lineRule="auto"/>
        <w:rPr>
          <w:lang w:val="en-US"/>
        </w:rPr>
      </w:pPr>
      <w:r w:rsidRPr="009426E0">
        <w:rPr>
          <w:b/>
          <w:bCs/>
          <w:lang w:val="en-US"/>
        </w:rPr>
        <w:t>Islam, M. M.</w:t>
      </w:r>
      <w:r w:rsidRPr="009426E0">
        <w:rPr>
          <w:lang w:val="en-US"/>
        </w:rPr>
        <w:t xml:space="preserve"> (2019). Social Determinants of Health and Related Inequalities: Confusion and Implications. Frontiers in Public Health, 7(11).</w:t>
      </w:r>
    </w:p>
    <w:p w14:paraId="3975E2C1" w14:textId="77777777" w:rsidR="00746990" w:rsidRPr="009426E0" w:rsidRDefault="00746990" w:rsidP="00746990">
      <w:pPr>
        <w:spacing w:after="160" w:line="259" w:lineRule="auto"/>
        <w:rPr>
          <w:lang w:val="en-US"/>
        </w:rPr>
      </w:pPr>
      <w:r w:rsidRPr="009426E0">
        <w:rPr>
          <w:b/>
          <w:bCs/>
          <w:lang w:val="en-US"/>
        </w:rPr>
        <w:t xml:space="preserve">Lamb, S., Huo, S., Walstab, A., Wade, A., Maire, Q., </w:t>
      </w:r>
      <w:proofErr w:type="spellStart"/>
      <w:r w:rsidRPr="009426E0">
        <w:rPr>
          <w:b/>
          <w:bCs/>
          <w:lang w:val="en-US"/>
        </w:rPr>
        <w:t>Doecke</w:t>
      </w:r>
      <w:proofErr w:type="spellEnd"/>
      <w:r w:rsidRPr="009426E0">
        <w:rPr>
          <w:b/>
          <w:bCs/>
          <w:lang w:val="en-US"/>
        </w:rPr>
        <w:t xml:space="preserve">, E., . . . Endekov, Z. </w:t>
      </w:r>
      <w:r w:rsidRPr="009426E0">
        <w:rPr>
          <w:lang w:val="en-US"/>
        </w:rPr>
        <w:t>(2020). who succeeds and who misses out, Centre for International Research on Education Systems, Victoria University, for the Mitchell Institute. Melbourne: Mitchell Institute.</w:t>
      </w:r>
    </w:p>
    <w:p w14:paraId="7A88E173" w14:textId="567C4FD8" w:rsidR="00746990" w:rsidRPr="009426E0" w:rsidRDefault="00746990" w:rsidP="00746990">
      <w:pPr>
        <w:spacing w:after="160" w:line="259" w:lineRule="auto"/>
        <w:rPr>
          <w:lang w:val="en-US"/>
        </w:rPr>
      </w:pPr>
      <w:r w:rsidRPr="009426E0">
        <w:rPr>
          <w:b/>
          <w:bCs/>
          <w:lang w:val="en-US"/>
        </w:rPr>
        <w:t xml:space="preserve">Niklas, F., Tayler, C., &amp; Schneider, W. </w:t>
      </w:r>
      <w:r w:rsidRPr="009426E0">
        <w:rPr>
          <w:lang w:val="en-US"/>
        </w:rPr>
        <w:t>(2015). Home-based literacy activities and children’s cognitive outcomes: A comparison between Australia and Germany. International Journal of Educational Research, 71, 75-85.</w:t>
      </w:r>
    </w:p>
    <w:p w14:paraId="703DE2B9" w14:textId="7A0FF306" w:rsidR="00746990" w:rsidRPr="009426E0" w:rsidRDefault="00746990" w:rsidP="00746990">
      <w:pPr>
        <w:spacing w:after="160" w:line="259" w:lineRule="auto"/>
        <w:rPr>
          <w:lang w:val="en-US"/>
        </w:rPr>
      </w:pPr>
      <w:r w:rsidRPr="009426E0">
        <w:rPr>
          <w:b/>
          <w:bCs/>
          <w:lang w:val="en-US"/>
        </w:rPr>
        <w:t>OECD.</w:t>
      </w:r>
      <w:r w:rsidRPr="009426E0">
        <w:rPr>
          <w:lang w:val="en-US"/>
        </w:rPr>
        <w:t xml:space="preserve"> (2016). Education </w:t>
      </w:r>
      <w:proofErr w:type="gramStart"/>
      <w:r w:rsidRPr="009426E0">
        <w:rPr>
          <w:lang w:val="en-US"/>
        </w:rPr>
        <w:t>at a Glance</w:t>
      </w:r>
      <w:proofErr w:type="gramEnd"/>
      <w:r w:rsidRPr="009426E0">
        <w:rPr>
          <w:lang w:val="en-US"/>
        </w:rPr>
        <w:t xml:space="preserve"> 2016: OECD Indicators. Paris: OECD Publishing.</w:t>
      </w:r>
    </w:p>
    <w:p w14:paraId="112FCD6B" w14:textId="1DB979CF" w:rsidR="00746990" w:rsidRPr="009426E0" w:rsidRDefault="00746990" w:rsidP="00746990">
      <w:pPr>
        <w:spacing w:after="160" w:line="259" w:lineRule="auto"/>
        <w:rPr>
          <w:u w:val="thick"/>
          <w:lang w:val="en-US"/>
        </w:rPr>
      </w:pPr>
      <w:r w:rsidRPr="009426E0">
        <w:rPr>
          <w:b/>
          <w:bCs/>
          <w:lang w:val="en-US"/>
        </w:rPr>
        <w:t>Productivity Commission.</w:t>
      </w:r>
      <w:r w:rsidRPr="009426E0">
        <w:rPr>
          <w:lang w:val="en-US"/>
        </w:rPr>
        <w:t xml:space="preserve"> (2023). Report on Government Services: 16A Child protection services. Australian Government. </w:t>
      </w:r>
      <w:r w:rsidRPr="009426E0">
        <w:rPr>
          <w:rStyle w:val="Hyperlink"/>
          <w:u w:val="none"/>
        </w:rPr>
        <w:t xml:space="preserve">Retrieved from </w:t>
      </w:r>
      <w:hyperlink r:id="rId17" w:history="1">
        <w:r w:rsidRPr="009426E0">
          <w:rPr>
            <w:rStyle w:val="Hyperlink"/>
          </w:rPr>
          <w:t>https://www.pc.gov.au/ongoing/report-on-government-services</w:t>
        </w:r>
      </w:hyperlink>
    </w:p>
    <w:p w14:paraId="71E83F3C" w14:textId="77777777" w:rsidR="00746990" w:rsidRPr="009426E0" w:rsidRDefault="00746990" w:rsidP="00746990">
      <w:pPr>
        <w:spacing w:after="160" w:line="259" w:lineRule="auto"/>
        <w:rPr>
          <w:lang w:val="en-US"/>
        </w:rPr>
      </w:pPr>
      <w:r w:rsidRPr="009426E0">
        <w:rPr>
          <w:b/>
          <w:bCs/>
          <w:lang w:val="en-US"/>
        </w:rPr>
        <w:t>Productivity Commission.</w:t>
      </w:r>
      <w:r w:rsidRPr="009426E0">
        <w:rPr>
          <w:lang w:val="en-US"/>
        </w:rPr>
        <w:t xml:space="preserve"> (2024). Report on Government Services: 16A Child protection services. Australian Government. Retrieved from </w:t>
      </w:r>
      <w:r w:rsidRPr="009426E0">
        <w:rPr>
          <w:rStyle w:val="Hyperlink"/>
        </w:rPr>
        <w:t>https:// www.pc.gov.au/ongoing/report-on-government-services</w:t>
      </w:r>
    </w:p>
    <w:p w14:paraId="75CED7EE" w14:textId="50EB1A0D" w:rsidR="00746990" w:rsidRPr="009426E0" w:rsidRDefault="00746990" w:rsidP="00746990">
      <w:pPr>
        <w:spacing w:after="160" w:line="259" w:lineRule="auto"/>
        <w:rPr>
          <w:lang w:val="en-US"/>
        </w:rPr>
      </w:pPr>
      <w:r w:rsidRPr="009426E0">
        <w:rPr>
          <w:b/>
          <w:bCs/>
          <w:lang w:val="en-US"/>
        </w:rPr>
        <w:t>Rudolph, J. M., &amp; Leonard, B. L.</w:t>
      </w:r>
      <w:r w:rsidRPr="009426E0">
        <w:rPr>
          <w:lang w:val="en-US"/>
        </w:rPr>
        <w:t xml:space="preserve"> (2016). Early Language Milestones and Specific </w:t>
      </w:r>
      <w:r w:rsidRPr="009426E0">
        <w:rPr>
          <w:lang w:val="en-US"/>
        </w:rPr>
        <w:br/>
        <w:t>Language Impairment. Journal of Early Intervention, 38(1), 41-58.</w:t>
      </w:r>
    </w:p>
    <w:p w14:paraId="1B3EBE79" w14:textId="77777777" w:rsidR="00746990" w:rsidRPr="009426E0" w:rsidRDefault="00746990" w:rsidP="00746990">
      <w:pPr>
        <w:spacing w:after="160" w:line="259" w:lineRule="auto"/>
        <w:rPr>
          <w:lang w:val="en-US"/>
        </w:rPr>
      </w:pPr>
      <w:r w:rsidRPr="009426E0">
        <w:rPr>
          <w:b/>
          <w:bCs/>
          <w:lang w:val="en-US"/>
        </w:rPr>
        <w:t xml:space="preserve">Shirley, K. </w:t>
      </w:r>
      <w:r w:rsidRPr="009426E0">
        <w:rPr>
          <w:lang w:val="en-US"/>
        </w:rPr>
        <w:t>(2017, September). The Cautious Approach: Police cautions and the impact on youth reoffending. in brief (Crime Statistics Agency).</w:t>
      </w:r>
    </w:p>
    <w:p w14:paraId="511DE8EB" w14:textId="77777777" w:rsidR="00746990" w:rsidRPr="009426E0" w:rsidRDefault="00746990" w:rsidP="00746990">
      <w:pPr>
        <w:spacing w:after="160" w:line="259" w:lineRule="auto"/>
        <w:rPr>
          <w:lang w:val="en-US"/>
        </w:rPr>
      </w:pPr>
      <w:proofErr w:type="spellStart"/>
      <w:r w:rsidRPr="009426E0">
        <w:rPr>
          <w:b/>
          <w:bCs/>
          <w:lang w:val="en-US"/>
        </w:rPr>
        <w:t>Shomos</w:t>
      </w:r>
      <w:proofErr w:type="spellEnd"/>
      <w:r w:rsidRPr="009426E0">
        <w:rPr>
          <w:b/>
          <w:bCs/>
          <w:lang w:val="en-US"/>
        </w:rPr>
        <w:t>, A., &amp; Forbes, M.</w:t>
      </w:r>
      <w:r w:rsidRPr="009426E0">
        <w:rPr>
          <w:lang w:val="en-US"/>
        </w:rPr>
        <w:t xml:space="preserve"> (2014). Literacy and Numeracy Skills and Labour Market Outcomes in Australia, Productivity Commission Staff Working Paper. Canberra: Commonwealth of Australia.</w:t>
      </w:r>
    </w:p>
    <w:p w14:paraId="037D6BB9" w14:textId="77777777" w:rsidR="00746990" w:rsidRPr="009426E0" w:rsidRDefault="00746990" w:rsidP="00746990">
      <w:pPr>
        <w:spacing w:after="160" w:line="259" w:lineRule="auto"/>
        <w:rPr>
          <w:lang w:val="en-US"/>
        </w:rPr>
      </w:pPr>
      <w:r w:rsidRPr="009426E0">
        <w:rPr>
          <w:b/>
          <w:bCs/>
          <w:lang w:val="en-US"/>
        </w:rPr>
        <w:t xml:space="preserve">Stephanie Alexander Kitchen Garden Foundation. </w:t>
      </w:r>
      <w:r w:rsidRPr="009426E0">
        <w:rPr>
          <w:lang w:val="en-US"/>
        </w:rPr>
        <w:t xml:space="preserve">(2023). Healthy Kids Advisors: Progress Report 2022 to 2023. </w:t>
      </w:r>
    </w:p>
    <w:p w14:paraId="7D9A3E58" w14:textId="2226B0E7" w:rsidR="00746990" w:rsidRPr="009426E0" w:rsidRDefault="00746990" w:rsidP="00746990">
      <w:pPr>
        <w:spacing w:after="160" w:line="259" w:lineRule="auto"/>
        <w:rPr>
          <w:lang w:val="en-US"/>
        </w:rPr>
      </w:pPr>
      <w:r w:rsidRPr="009426E0">
        <w:rPr>
          <w:b/>
          <w:bCs/>
          <w:lang w:val="en-US"/>
        </w:rPr>
        <w:t xml:space="preserve">Sylva, K., Melhuish, E., Sammons, P., Siraj-Blatchford, I., &amp; Taggart, B. </w:t>
      </w:r>
      <w:r w:rsidRPr="009426E0">
        <w:rPr>
          <w:lang w:val="en-US"/>
        </w:rPr>
        <w:t>(2004). The Effective Provision of Pre-School Education Project: Findings from the early primary years. London: Institute of Education.</w:t>
      </w:r>
    </w:p>
    <w:p w14:paraId="2156A145" w14:textId="320A0CB5" w:rsidR="00746990" w:rsidRPr="009426E0" w:rsidRDefault="00746990" w:rsidP="00746990">
      <w:pPr>
        <w:spacing w:after="160" w:line="259" w:lineRule="auto"/>
        <w:rPr>
          <w:lang w:val="en-US"/>
        </w:rPr>
      </w:pPr>
      <w:r w:rsidRPr="009426E0">
        <w:rPr>
          <w:b/>
          <w:bCs/>
          <w:lang w:val="en-US"/>
        </w:rPr>
        <w:lastRenderedPageBreak/>
        <w:t>Tayler, C.</w:t>
      </w:r>
      <w:r w:rsidRPr="009426E0">
        <w:rPr>
          <w:lang w:val="en-US"/>
        </w:rPr>
        <w:t xml:space="preserve"> (2016). The E4Kids study: Assessing the effectiveness of Australian early childhood education and care programs, Overview of findings </w:t>
      </w:r>
      <w:proofErr w:type="gramStart"/>
      <w:r w:rsidRPr="009426E0">
        <w:rPr>
          <w:lang w:val="en-US"/>
        </w:rPr>
        <w:t>at</w:t>
      </w:r>
      <w:proofErr w:type="gramEnd"/>
      <w:r w:rsidRPr="009426E0">
        <w:rPr>
          <w:lang w:val="en-US"/>
        </w:rPr>
        <w:t xml:space="preserve"> 2016. </w:t>
      </w:r>
    </w:p>
    <w:p w14:paraId="13758BBE" w14:textId="77777777" w:rsidR="00746990" w:rsidRPr="009426E0" w:rsidRDefault="00746990" w:rsidP="00746990">
      <w:pPr>
        <w:spacing w:after="160" w:line="259" w:lineRule="auto"/>
        <w:rPr>
          <w:lang w:val="en-US"/>
        </w:rPr>
      </w:pPr>
      <w:r w:rsidRPr="009426E0">
        <w:rPr>
          <w:b/>
          <w:bCs/>
          <w:lang w:val="en-US"/>
        </w:rPr>
        <w:t xml:space="preserve">Tayler, C. L., Zubrick, S. R., &amp; Christensen, D. </w:t>
      </w:r>
      <w:r w:rsidRPr="009426E0">
        <w:rPr>
          <w:lang w:val="en-US"/>
        </w:rPr>
        <w:t>(2016). Barriers to Parent–Child Book Reading in Early Childhood. International Journal of Early Childhood. International Journal of Early Childhood, 48(3), 295-309.</w:t>
      </w:r>
    </w:p>
    <w:p w14:paraId="1F7EA9EE" w14:textId="77777777" w:rsidR="00746990" w:rsidRPr="009426E0" w:rsidRDefault="00746990" w:rsidP="00746990">
      <w:pPr>
        <w:spacing w:after="160" w:line="259" w:lineRule="auto"/>
        <w:rPr>
          <w:lang w:val="en-US"/>
        </w:rPr>
      </w:pPr>
      <w:r w:rsidRPr="009426E0">
        <w:rPr>
          <w:b/>
          <w:bCs/>
          <w:lang w:val="en-US"/>
        </w:rPr>
        <w:t>Tayler, C., Cloney, D., &amp; Niklas, F.</w:t>
      </w:r>
      <w:r w:rsidRPr="009426E0">
        <w:rPr>
          <w:lang w:val="en-US"/>
        </w:rPr>
        <w:t xml:space="preserve"> (2015). A bird in the hand: understanding the trajectories of development of young children and the need for action to improve outcomes. Australasian Journal of Early Childhood, 40(3), 51-60.</w:t>
      </w:r>
    </w:p>
    <w:p w14:paraId="5949C1E3" w14:textId="27F7444B" w:rsidR="00746990" w:rsidRPr="009426E0" w:rsidRDefault="00746990" w:rsidP="00746990">
      <w:pPr>
        <w:spacing w:after="160" w:line="259" w:lineRule="auto"/>
        <w:rPr>
          <w:lang w:val="en-US"/>
        </w:rPr>
      </w:pPr>
      <w:r w:rsidRPr="009426E0">
        <w:rPr>
          <w:b/>
          <w:bCs/>
          <w:lang w:val="en-US"/>
        </w:rPr>
        <w:t>The Royal Children’s Hospital National Child Health Poll.</w:t>
      </w:r>
      <w:r w:rsidRPr="009426E0">
        <w:rPr>
          <w:lang w:val="en-US"/>
        </w:rPr>
        <w:t xml:space="preserve"> (2020). COVID-19 pandemic: Effects on the lives of Australian children and families, Poll Number 18. Parkville: The Royal Children’s Hospital</w:t>
      </w:r>
      <w:r w:rsidR="006254D8" w:rsidRPr="009426E0">
        <w:rPr>
          <w:lang w:val="en-US"/>
        </w:rPr>
        <w:t>.</w:t>
      </w:r>
    </w:p>
    <w:p w14:paraId="7DA004AB" w14:textId="77777777" w:rsidR="00746990" w:rsidRPr="009426E0" w:rsidRDefault="00746990" w:rsidP="00746990">
      <w:pPr>
        <w:spacing w:after="160" w:line="259" w:lineRule="auto"/>
        <w:rPr>
          <w:lang w:val="en-US"/>
        </w:rPr>
      </w:pPr>
      <w:r w:rsidRPr="009426E0">
        <w:rPr>
          <w:b/>
          <w:bCs/>
          <w:lang w:val="en-US"/>
        </w:rPr>
        <w:t>Thomson, S., Hillman, K., Schmid, M., Rodrigues, S., &amp; Fullarton, J.</w:t>
      </w:r>
      <w:r w:rsidRPr="009426E0">
        <w:rPr>
          <w:lang w:val="en-US"/>
        </w:rPr>
        <w:t xml:space="preserve"> (2017). PIRLS 2016: Reporting Australia’s Results. Camberwell: Australian Council for Educational Research.</w:t>
      </w:r>
    </w:p>
    <w:p w14:paraId="7EE000D7" w14:textId="6BE8BC22" w:rsidR="00746990" w:rsidRPr="009426E0" w:rsidRDefault="00746990" w:rsidP="00746990">
      <w:pPr>
        <w:spacing w:after="160" w:line="259" w:lineRule="auto"/>
        <w:rPr>
          <w:lang w:val="en-US"/>
        </w:rPr>
      </w:pPr>
      <w:r w:rsidRPr="009426E0">
        <w:rPr>
          <w:b/>
          <w:bCs/>
          <w:lang w:val="en-US"/>
        </w:rPr>
        <w:t xml:space="preserve">Victorian Curriculum and Assessment Authority. </w:t>
      </w:r>
      <w:r w:rsidRPr="009426E0">
        <w:rPr>
          <w:lang w:val="en-US"/>
        </w:rPr>
        <w:t>(2023). NAPLAN Year 9 Reading mean scores</w:t>
      </w:r>
      <w:r w:rsidR="006254D8" w:rsidRPr="009426E0">
        <w:rPr>
          <w:lang w:val="en-US"/>
        </w:rPr>
        <w:t>.</w:t>
      </w:r>
    </w:p>
    <w:p w14:paraId="728D2785" w14:textId="77777777" w:rsidR="00746990" w:rsidRPr="009426E0" w:rsidRDefault="00746990" w:rsidP="00746990">
      <w:pPr>
        <w:spacing w:after="160" w:line="259" w:lineRule="auto"/>
        <w:rPr>
          <w:lang w:val="en-US"/>
        </w:rPr>
      </w:pPr>
      <w:r w:rsidRPr="009426E0">
        <w:rPr>
          <w:b/>
          <w:bCs/>
          <w:lang w:val="en-US"/>
        </w:rPr>
        <w:t xml:space="preserve">Vinson, T. </w:t>
      </w:r>
      <w:r w:rsidRPr="009426E0">
        <w:rPr>
          <w:lang w:val="en-US"/>
        </w:rPr>
        <w:t>(2009). Markedly socially disadvantaged localities in Australia: their nature and possible remediation. Canberra: Commonwealth of Australia.</w:t>
      </w:r>
    </w:p>
    <w:p w14:paraId="2C321D6B" w14:textId="48849E70" w:rsidR="00746990" w:rsidRPr="003278D9" w:rsidRDefault="00746990" w:rsidP="00746990">
      <w:pPr>
        <w:spacing w:after="160" w:line="259" w:lineRule="auto"/>
        <w:rPr>
          <w:lang w:val="en-US"/>
        </w:rPr>
      </w:pPr>
      <w:r w:rsidRPr="009426E0">
        <w:rPr>
          <w:b/>
          <w:bCs/>
          <w:lang w:val="en-US"/>
        </w:rPr>
        <w:t xml:space="preserve">Walker, S., &amp; Berthelsen, D. </w:t>
      </w:r>
      <w:r w:rsidRPr="009426E0">
        <w:rPr>
          <w:lang w:val="en-US"/>
        </w:rPr>
        <w:t>(2010). Social inequalities and parent involvement in children’s education in the early years of school. In V. Green, &amp; S. Cherrington, Delving into Diversity: An International Exploration of issues of Diversity in Education (pp. 139-149). New York: Nova Science Publishers.</w:t>
      </w:r>
    </w:p>
    <w:bookmarkEnd w:id="5"/>
    <w:p w14:paraId="7132BD05" w14:textId="472CBC11" w:rsidR="00DF7020" w:rsidRPr="006254D8" w:rsidRDefault="00DF7020" w:rsidP="006254D8">
      <w:pPr>
        <w:pBdr>
          <w:bottom w:val="single" w:sz="2" w:space="1" w:color="auto"/>
        </w:pBdr>
        <w:spacing w:after="160" w:line="259" w:lineRule="auto"/>
        <w:rPr>
          <w:lang w:val="en-US"/>
        </w:rPr>
      </w:pPr>
    </w:p>
    <w:p w14:paraId="0797534B" w14:textId="57AD3647" w:rsidR="00DF7020" w:rsidRPr="00271F77" w:rsidRDefault="00DF7020" w:rsidP="001B78D5">
      <w:pPr>
        <w:pStyle w:val="FootnoteText"/>
        <w:rPr>
          <w:rStyle w:val="FootnoteReference"/>
          <w:sz w:val="24"/>
          <w:szCs w:val="24"/>
        </w:rPr>
      </w:pPr>
    </w:p>
    <w:sectPr w:rsidR="00DF7020" w:rsidRPr="00271F77" w:rsidSect="001F326D">
      <w:headerReference w:type="even" r:id="rId18"/>
      <w:headerReference w:type="default" r:id="rId19"/>
      <w:footerReference w:type="default" r:id="rId20"/>
      <w:headerReference w:type="first" r:id="rId21"/>
      <w:pgSz w:w="11900" w:h="16840"/>
      <w:pgMar w:top="1134" w:right="1134" w:bottom="975" w:left="1134" w:header="709" w:footer="2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6A3149" w14:textId="77777777" w:rsidR="006F4ADE" w:rsidRDefault="006F4ADE" w:rsidP="001B78D5">
      <w:r>
        <w:separator/>
      </w:r>
    </w:p>
  </w:endnote>
  <w:endnote w:type="continuationSeparator" w:id="0">
    <w:p w14:paraId="70D1C1D8" w14:textId="77777777" w:rsidR="006F4ADE" w:rsidRDefault="006F4ADE" w:rsidP="001B7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 w:name="VIC">
    <w:altName w:val="Calibri"/>
    <w:panose1 w:val="00000000000000000000"/>
    <w:charset w:val="4D"/>
    <w:family w:val="auto"/>
    <w:notTrueType/>
    <w:pitch w:val="variable"/>
    <w:sig w:usb0="00000007" w:usb1="00000000" w:usb2="00000000" w:usb3="00000000" w:csb0="00000093" w:csb1="00000000"/>
  </w:font>
  <w:font w:name="VIC SemiBold">
    <w:charset w:val="4D"/>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97655" w14:textId="77777777" w:rsidR="00A31926" w:rsidRDefault="00A31926" w:rsidP="001B78D5">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25FD6669" w14:textId="77777777" w:rsidR="00A31926" w:rsidRDefault="00A31926" w:rsidP="001B78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E3B25" w14:textId="658461E7" w:rsidR="00DA5F30" w:rsidRPr="001B78D5" w:rsidRDefault="00DA5F30" w:rsidP="001B78D5">
    <w:pPr>
      <w:pStyle w:val="Footer"/>
      <w:rPr>
        <w:sz w:val="16"/>
        <w:szCs w:val="16"/>
      </w:rPr>
    </w:pPr>
    <w:r w:rsidRPr="001B78D5">
      <w:rPr>
        <w:rStyle w:val="PageNumber"/>
        <w:b/>
        <w:bCs/>
        <w:sz w:val="16"/>
        <w:szCs w:val="16"/>
      </w:rPr>
      <w:fldChar w:fldCharType="begin"/>
    </w:r>
    <w:r w:rsidRPr="001B78D5">
      <w:rPr>
        <w:rStyle w:val="PageNumber"/>
        <w:b/>
        <w:bCs/>
        <w:sz w:val="16"/>
        <w:szCs w:val="16"/>
      </w:rPr>
      <w:instrText xml:space="preserve">PAGE  </w:instrText>
    </w:r>
    <w:r w:rsidRPr="001B78D5">
      <w:rPr>
        <w:rStyle w:val="PageNumber"/>
        <w:b/>
        <w:bCs/>
        <w:sz w:val="16"/>
        <w:szCs w:val="16"/>
      </w:rPr>
      <w:fldChar w:fldCharType="separate"/>
    </w:r>
    <w:r w:rsidR="00635C65" w:rsidRPr="001B78D5">
      <w:rPr>
        <w:rStyle w:val="PageNumber"/>
        <w:b/>
        <w:bCs/>
        <w:noProof/>
        <w:sz w:val="16"/>
        <w:szCs w:val="16"/>
      </w:rPr>
      <w:t>4</w:t>
    </w:r>
    <w:r w:rsidRPr="001B78D5">
      <w:rPr>
        <w:rStyle w:val="PageNumber"/>
        <w:b/>
        <w:bCs/>
        <w:sz w:val="16"/>
        <w:szCs w:val="16"/>
      </w:rPr>
      <w:fldChar w:fldCharType="end"/>
    </w:r>
    <w:r w:rsidR="001B78D5" w:rsidRPr="001B78D5">
      <w:rPr>
        <w:rStyle w:val="PageNumber"/>
        <w:b/>
        <w:bCs/>
        <w:sz w:val="16"/>
        <w:szCs w:val="16"/>
      </w:rPr>
      <w:t xml:space="preserve"> </w:t>
    </w:r>
    <w:r w:rsidR="009563DA" w:rsidRPr="001B78D5">
      <w:rPr>
        <w:rStyle w:val="PageNumber"/>
        <w:sz w:val="16"/>
        <w:szCs w:val="16"/>
      </w:rPr>
      <w:t>|</w:t>
    </w:r>
    <w:r w:rsidR="001B78D5" w:rsidRPr="001B78D5">
      <w:rPr>
        <w:rStyle w:val="PageNumber"/>
        <w:sz w:val="16"/>
        <w:szCs w:val="16"/>
      </w:rPr>
      <w:t xml:space="preserve"> </w:t>
    </w:r>
    <w:r w:rsidR="009563DA" w:rsidRPr="001B78D5">
      <w:rPr>
        <w:sz w:val="16"/>
        <w:szCs w:val="16"/>
      </w:rPr>
      <w:t>Department of Education</w:t>
    </w:r>
    <w:r w:rsidR="002129BA">
      <w:rPr>
        <w:sz w:val="16"/>
        <w:szCs w:val="16"/>
      </w:rPr>
      <w:t xml:space="preserve"> – State of Victoria’s Children 2021-22: Meeting local needs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4D224B" w14:textId="77777777" w:rsidR="006F4ADE" w:rsidRDefault="006F4ADE" w:rsidP="001B78D5">
      <w:r>
        <w:separator/>
      </w:r>
    </w:p>
  </w:footnote>
  <w:footnote w:type="continuationSeparator" w:id="0">
    <w:p w14:paraId="4F904BE2" w14:textId="77777777" w:rsidR="006F4ADE" w:rsidRDefault="006F4ADE" w:rsidP="001B78D5">
      <w:r>
        <w:continuationSeparator/>
      </w:r>
    </w:p>
  </w:footnote>
  <w:footnote w:id="1">
    <w:p w14:paraId="5913A9DA" w14:textId="77777777" w:rsidR="0072611F" w:rsidRDefault="0072611F" w:rsidP="0072611F">
      <w:r>
        <w:rPr>
          <w:vertAlign w:val="superscript"/>
        </w:rPr>
        <w:footnoteRef/>
      </w:r>
      <w:r>
        <w:t xml:space="preserve">  In 2023 the NAPLAN measurement scale and time series we reset, meaning that results up to 2022 will not be able to be compared to 2023 onwards.</w:t>
      </w:r>
    </w:p>
    <w:p w14:paraId="6267F8F1" w14:textId="77777777" w:rsidR="0072611F" w:rsidRDefault="0072611F" w:rsidP="0072611F"/>
  </w:footnote>
  <w:footnote w:id="2">
    <w:p w14:paraId="40CD1F20" w14:textId="77777777" w:rsidR="0072611F" w:rsidRDefault="0072611F" w:rsidP="0072611F">
      <w:r>
        <w:rPr>
          <w:vertAlign w:val="superscript"/>
        </w:rPr>
        <w:footnoteRef/>
      </w:r>
      <w:r>
        <w:t xml:space="preserve"> The rate of alleged offender incidents is calculated per 100,000 population by using the incident count for the period divided by the most recent estimated resident population data for the relevant age group multiplied by 100,000</w:t>
      </w:r>
    </w:p>
    <w:p w14:paraId="182FD56F" w14:textId="77777777" w:rsidR="0072611F" w:rsidRDefault="0072611F" w:rsidP="007261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C4FAC" w14:textId="30A8C916" w:rsidR="00DA3218" w:rsidRDefault="00581DEC" w:rsidP="001B78D5">
    <w:pPr>
      <w:pStyle w:val="Header"/>
    </w:pPr>
    <w:r>
      <w:rPr>
        <w:noProof/>
      </w:rPr>
      <w:drawing>
        <wp:anchor distT="0" distB="0" distL="114300" distR="114300" simplePos="0" relativeHeight="251668480" behindDoc="1" locked="1" layoutInCell="1" allowOverlap="1" wp14:anchorId="13F45B13" wp14:editId="6AC33DEA">
          <wp:simplePos x="0" y="0"/>
          <wp:positionH relativeFrom="column">
            <wp:posOffset>6051</wp:posOffset>
          </wp:positionH>
          <wp:positionV relativeFrom="paragraph">
            <wp:posOffset>192031</wp:posOffset>
          </wp:positionV>
          <wp:extent cx="968400" cy="734400"/>
          <wp:effectExtent l="0" t="0" r="0" b="2540"/>
          <wp:wrapNone/>
          <wp:docPr id="1620350948" name="Graphic 2" descr="The Education S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350948" name="Graphic 2" descr="The Education State"/>
                  <pic:cNvPicPr/>
                </pic:nvPicPr>
                <pic:blipFill>
                  <a:blip r:embed="rId1">
                    <a:extLst>
                      <a:ext uri="{96DAC541-7B7A-43D3-8B79-37D633B846F1}">
                        <asvg:svgBlip xmlns:asvg="http://schemas.microsoft.com/office/drawing/2016/SVG/main" r:embed="rId2"/>
                      </a:ext>
                    </a:extLst>
                  </a:blip>
                  <a:stretch>
                    <a:fillRect/>
                  </a:stretch>
                </pic:blipFill>
                <pic:spPr>
                  <a:xfrm>
                    <a:off x="0" y="0"/>
                    <a:ext cx="968400" cy="734400"/>
                  </a:xfrm>
                  <a:prstGeom prst="rect">
                    <a:avLst/>
                  </a:prstGeom>
                </pic:spPr>
              </pic:pic>
            </a:graphicData>
          </a:graphic>
          <wp14:sizeRelH relativeFrom="page">
            <wp14:pctWidth>0</wp14:pctWidth>
          </wp14:sizeRelH>
          <wp14:sizeRelV relativeFrom="page">
            <wp14:pctHeight>0</wp14:pctHeight>
          </wp14:sizeRelV>
        </wp:anchor>
      </w:drawing>
    </w:r>
    <w:r w:rsidR="007B3A5A">
      <w:rPr>
        <w:noProof/>
      </w:rPr>
      <w:drawing>
        <wp:anchor distT="0" distB="0" distL="114300" distR="114300" simplePos="0" relativeHeight="251666432" behindDoc="1" locked="1" layoutInCell="1" allowOverlap="1" wp14:anchorId="5623B5E2" wp14:editId="45F40FAC">
          <wp:simplePos x="0" y="0"/>
          <wp:positionH relativeFrom="page">
            <wp:posOffset>-10160</wp:posOffset>
          </wp:positionH>
          <wp:positionV relativeFrom="page">
            <wp:posOffset>-10160</wp:posOffset>
          </wp:positionV>
          <wp:extent cx="7611745" cy="10759440"/>
          <wp:effectExtent l="0" t="0" r="0" b="0"/>
          <wp:wrapNone/>
          <wp:docPr id="556528737" name="Picture 15" descr="Department of Educa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528737" name="Picture 15" descr="Department of Education">
                    <a:extLst>
                      <a:ext uri="{C183D7F6-B498-43B3-948B-1728B52AA6E4}">
                        <adec:decorative xmlns:adec="http://schemas.microsoft.com/office/drawing/2017/decorative" val="0"/>
                      </a:ext>
                    </a:extLst>
                  </pic:cNvPr>
                  <pic:cNvPicPr/>
                </pic:nvPicPr>
                <pic:blipFill>
                  <a:blip r:embed="rId3">
                    <a:extLst>
                      <a:ext uri="{28A0092B-C50C-407E-A947-70E740481C1C}">
                        <a14:useLocalDpi xmlns:a14="http://schemas.microsoft.com/office/drawing/2010/main" val="0"/>
                      </a:ext>
                    </a:extLst>
                  </a:blip>
                  <a:stretch>
                    <a:fillRect/>
                  </a:stretch>
                </pic:blipFill>
                <pic:spPr>
                  <a:xfrm>
                    <a:off x="0" y="0"/>
                    <a:ext cx="7611745" cy="1075944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8D1FE" w14:textId="77777777" w:rsidR="00AC311C" w:rsidRDefault="00AC311C" w:rsidP="001B78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EDD93" w14:textId="4763CBAA" w:rsidR="00DA5F30" w:rsidRDefault="00DA5F30" w:rsidP="001B78D5">
    <w:pPr>
      <w:pStyle w:val="Header"/>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94E332" w14:textId="77777777" w:rsidR="00AC311C" w:rsidRDefault="00AC311C" w:rsidP="001B78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D651369"/>
    <w:multiLevelType w:val="hybridMultilevel"/>
    <w:tmpl w:val="90CA1D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D8D0F11"/>
    <w:multiLevelType w:val="hybridMultilevel"/>
    <w:tmpl w:val="28BC2626"/>
    <w:lvl w:ilvl="0" w:tplc="E2269256">
      <w:start w:val="1"/>
      <w:numFmt w:val="bullet"/>
      <w:pStyle w:val="Bullet2"/>
      <w:lvlText w:val="–"/>
      <w:lvlJc w:val="left"/>
      <w:pPr>
        <w:ind w:left="644" w:hanging="360"/>
      </w:pPr>
      <w:rPr>
        <w:rFonts w:ascii="Arial" w:hAnsi="Arial" w:hint="default"/>
        <w:b w:val="0"/>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0DE672D1"/>
    <w:multiLevelType w:val="hybridMultilevel"/>
    <w:tmpl w:val="148A62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02F5BA7"/>
    <w:multiLevelType w:val="hybridMultilevel"/>
    <w:tmpl w:val="60C841FC"/>
    <w:lvl w:ilvl="0" w:tplc="354C27DA">
      <w:numFmt w:val="bullet"/>
      <w:lvlText w:val="•"/>
      <w:lvlJc w:val="left"/>
      <w:pPr>
        <w:ind w:left="720" w:hanging="720"/>
      </w:pPr>
      <w:rPr>
        <w:rFonts w:ascii="Arial" w:eastAsiaTheme="minorEastAsia"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992766D"/>
    <w:multiLevelType w:val="hybridMultilevel"/>
    <w:tmpl w:val="24BEF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E147F04"/>
    <w:multiLevelType w:val="hybridMultilevel"/>
    <w:tmpl w:val="43F802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56B7CD3"/>
    <w:multiLevelType w:val="hybridMultilevel"/>
    <w:tmpl w:val="D2EAFE46"/>
    <w:lvl w:ilvl="0" w:tplc="093A77C8">
      <w:start w:val="1"/>
      <w:numFmt w:val="bullet"/>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4321C7"/>
    <w:multiLevelType w:val="hybridMultilevel"/>
    <w:tmpl w:val="FCB41A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1" w15:restartNumberingAfterBreak="0">
    <w:nsid w:val="4CBF097D"/>
    <w:multiLevelType w:val="hybridMultilevel"/>
    <w:tmpl w:val="4EEAEC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B7D4CD9"/>
    <w:multiLevelType w:val="hybridMultilevel"/>
    <w:tmpl w:val="DC4268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25049998">
    <w:abstractNumId w:val="0"/>
  </w:num>
  <w:num w:numId="2" w16cid:durableId="1729300302">
    <w:abstractNumId w:val="1"/>
  </w:num>
  <w:num w:numId="3" w16cid:durableId="708334569">
    <w:abstractNumId w:val="2"/>
  </w:num>
  <w:num w:numId="4" w16cid:durableId="1787041742">
    <w:abstractNumId w:val="3"/>
  </w:num>
  <w:num w:numId="5" w16cid:durableId="614366991">
    <w:abstractNumId w:val="4"/>
  </w:num>
  <w:num w:numId="6" w16cid:durableId="260383009">
    <w:abstractNumId w:val="9"/>
  </w:num>
  <w:num w:numId="7" w16cid:durableId="374888884">
    <w:abstractNumId w:val="5"/>
  </w:num>
  <w:num w:numId="8" w16cid:durableId="720634888">
    <w:abstractNumId w:val="6"/>
  </w:num>
  <w:num w:numId="9" w16cid:durableId="644890857">
    <w:abstractNumId w:val="7"/>
  </w:num>
  <w:num w:numId="10" w16cid:durableId="109058733">
    <w:abstractNumId w:val="8"/>
  </w:num>
  <w:num w:numId="11" w16cid:durableId="2051876134">
    <w:abstractNumId w:val="10"/>
  </w:num>
  <w:num w:numId="12" w16cid:durableId="2138251284">
    <w:abstractNumId w:val="18"/>
  </w:num>
  <w:num w:numId="13" w16cid:durableId="992098343">
    <w:abstractNumId w:val="22"/>
  </w:num>
  <w:num w:numId="14" w16cid:durableId="530797963">
    <w:abstractNumId w:val="23"/>
  </w:num>
  <w:num w:numId="15" w16cid:durableId="1673489070">
    <w:abstractNumId w:val="16"/>
  </w:num>
  <w:num w:numId="16" w16cid:durableId="1105466474">
    <w:abstractNumId w:val="16"/>
    <w:lvlOverride w:ilvl="0">
      <w:startOverride w:val="1"/>
    </w:lvlOverride>
  </w:num>
  <w:num w:numId="17" w16cid:durableId="2103407669">
    <w:abstractNumId w:val="20"/>
  </w:num>
  <w:num w:numId="18" w16cid:durableId="6950122">
    <w:abstractNumId w:val="15"/>
  </w:num>
  <w:num w:numId="19" w16cid:durableId="639380831">
    <w:abstractNumId w:val="14"/>
  </w:num>
  <w:num w:numId="20" w16cid:durableId="1085682868">
    <w:abstractNumId w:val="12"/>
  </w:num>
  <w:num w:numId="21" w16cid:durableId="653488183">
    <w:abstractNumId w:val="21"/>
  </w:num>
  <w:num w:numId="22" w16cid:durableId="1519388400">
    <w:abstractNumId w:val="19"/>
  </w:num>
  <w:num w:numId="23" w16cid:durableId="1440905300">
    <w:abstractNumId w:val="11"/>
  </w:num>
  <w:num w:numId="24" w16cid:durableId="1769959509">
    <w:abstractNumId w:val="17"/>
  </w:num>
  <w:num w:numId="25" w16cid:durableId="1791390260">
    <w:abstractNumId w:val="13"/>
  </w:num>
  <w:num w:numId="26" w16cid:durableId="105909036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256"/>
    <w:rsid w:val="00013339"/>
    <w:rsid w:val="000136A4"/>
    <w:rsid w:val="000160F9"/>
    <w:rsid w:val="00021688"/>
    <w:rsid w:val="00024A82"/>
    <w:rsid w:val="00065195"/>
    <w:rsid w:val="00066F68"/>
    <w:rsid w:val="0006773D"/>
    <w:rsid w:val="00086F67"/>
    <w:rsid w:val="000917A2"/>
    <w:rsid w:val="00093E3E"/>
    <w:rsid w:val="0009592E"/>
    <w:rsid w:val="000A47D4"/>
    <w:rsid w:val="000A5775"/>
    <w:rsid w:val="000B7C73"/>
    <w:rsid w:val="000C36DF"/>
    <w:rsid w:val="000C435C"/>
    <w:rsid w:val="000D029D"/>
    <w:rsid w:val="000D31F6"/>
    <w:rsid w:val="000F25A7"/>
    <w:rsid w:val="001005EC"/>
    <w:rsid w:val="001074BF"/>
    <w:rsid w:val="00122369"/>
    <w:rsid w:val="00124D09"/>
    <w:rsid w:val="00127672"/>
    <w:rsid w:val="00141F23"/>
    <w:rsid w:val="00142D82"/>
    <w:rsid w:val="00144FD5"/>
    <w:rsid w:val="0018118E"/>
    <w:rsid w:val="00194997"/>
    <w:rsid w:val="00196FEF"/>
    <w:rsid w:val="001A452C"/>
    <w:rsid w:val="001B78D5"/>
    <w:rsid w:val="001C09C9"/>
    <w:rsid w:val="001C53CB"/>
    <w:rsid w:val="001E40A6"/>
    <w:rsid w:val="001F326D"/>
    <w:rsid w:val="00203C7B"/>
    <w:rsid w:val="00207499"/>
    <w:rsid w:val="002129BA"/>
    <w:rsid w:val="00214BAC"/>
    <w:rsid w:val="00214CD3"/>
    <w:rsid w:val="00236717"/>
    <w:rsid w:val="00240F30"/>
    <w:rsid w:val="00246FE0"/>
    <w:rsid w:val="00272FD3"/>
    <w:rsid w:val="0028328A"/>
    <w:rsid w:val="002970D9"/>
    <w:rsid w:val="002A0DC0"/>
    <w:rsid w:val="002A4A96"/>
    <w:rsid w:val="002A7261"/>
    <w:rsid w:val="002E0714"/>
    <w:rsid w:val="002E3BED"/>
    <w:rsid w:val="002E3D20"/>
    <w:rsid w:val="002F7DBD"/>
    <w:rsid w:val="00312720"/>
    <w:rsid w:val="00313AFC"/>
    <w:rsid w:val="00323DD1"/>
    <w:rsid w:val="00326E53"/>
    <w:rsid w:val="003303E7"/>
    <w:rsid w:val="00336355"/>
    <w:rsid w:val="00341B6D"/>
    <w:rsid w:val="00343816"/>
    <w:rsid w:val="00343D7F"/>
    <w:rsid w:val="003507F4"/>
    <w:rsid w:val="00371169"/>
    <w:rsid w:val="003967DD"/>
    <w:rsid w:val="003C0374"/>
    <w:rsid w:val="003D095B"/>
    <w:rsid w:val="003F044E"/>
    <w:rsid w:val="003F67F1"/>
    <w:rsid w:val="003F7C19"/>
    <w:rsid w:val="00407BCB"/>
    <w:rsid w:val="0043128F"/>
    <w:rsid w:val="00436142"/>
    <w:rsid w:val="0043727E"/>
    <w:rsid w:val="00442256"/>
    <w:rsid w:val="00453FFD"/>
    <w:rsid w:val="0045446B"/>
    <w:rsid w:val="00463A1D"/>
    <w:rsid w:val="004708F1"/>
    <w:rsid w:val="0047423F"/>
    <w:rsid w:val="00487016"/>
    <w:rsid w:val="00487057"/>
    <w:rsid w:val="004947BC"/>
    <w:rsid w:val="00496FB3"/>
    <w:rsid w:val="004B078F"/>
    <w:rsid w:val="004B19DB"/>
    <w:rsid w:val="004B46C3"/>
    <w:rsid w:val="004C1558"/>
    <w:rsid w:val="004C7FAA"/>
    <w:rsid w:val="004D3CD6"/>
    <w:rsid w:val="004D3D14"/>
    <w:rsid w:val="004D4E22"/>
    <w:rsid w:val="00507148"/>
    <w:rsid w:val="00511C6E"/>
    <w:rsid w:val="00516493"/>
    <w:rsid w:val="00531B8C"/>
    <w:rsid w:val="00572E86"/>
    <w:rsid w:val="00581646"/>
    <w:rsid w:val="00581DEC"/>
    <w:rsid w:val="00584366"/>
    <w:rsid w:val="00596B86"/>
    <w:rsid w:val="005A3A50"/>
    <w:rsid w:val="005A4368"/>
    <w:rsid w:val="005B1579"/>
    <w:rsid w:val="005B4AF7"/>
    <w:rsid w:val="005B66F6"/>
    <w:rsid w:val="005C02F3"/>
    <w:rsid w:val="005C5EFA"/>
    <w:rsid w:val="005C62E8"/>
    <w:rsid w:val="005F0D0C"/>
    <w:rsid w:val="00605850"/>
    <w:rsid w:val="00611E33"/>
    <w:rsid w:val="006229DA"/>
    <w:rsid w:val="00624A55"/>
    <w:rsid w:val="006254D8"/>
    <w:rsid w:val="00635C65"/>
    <w:rsid w:val="00642AA8"/>
    <w:rsid w:val="00651F17"/>
    <w:rsid w:val="00653317"/>
    <w:rsid w:val="006621B2"/>
    <w:rsid w:val="006A25AC"/>
    <w:rsid w:val="006C68CF"/>
    <w:rsid w:val="006F44D8"/>
    <w:rsid w:val="006F4ADE"/>
    <w:rsid w:val="0070533A"/>
    <w:rsid w:val="00707C95"/>
    <w:rsid w:val="00714D72"/>
    <w:rsid w:val="00717ACD"/>
    <w:rsid w:val="00721B8A"/>
    <w:rsid w:val="007235B9"/>
    <w:rsid w:val="0072611F"/>
    <w:rsid w:val="007326A6"/>
    <w:rsid w:val="00736FB0"/>
    <w:rsid w:val="007425E9"/>
    <w:rsid w:val="00744E46"/>
    <w:rsid w:val="00746990"/>
    <w:rsid w:val="0075587F"/>
    <w:rsid w:val="007608C5"/>
    <w:rsid w:val="0077492A"/>
    <w:rsid w:val="007A003F"/>
    <w:rsid w:val="007A029B"/>
    <w:rsid w:val="007A3988"/>
    <w:rsid w:val="007B3A5A"/>
    <w:rsid w:val="007B556E"/>
    <w:rsid w:val="007B5834"/>
    <w:rsid w:val="007C69AF"/>
    <w:rsid w:val="007D1FB1"/>
    <w:rsid w:val="007D3E38"/>
    <w:rsid w:val="007D4783"/>
    <w:rsid w:val="007D6FEC"/>
    <w:rsid w:val="007E76E8"/>
    <w:rsid w:val="007F6BAB"/>
    <w:rsid w:val="008012E8"/>
    <w:rsid w:val="008542FC"/>
    <w:rsid w:val="00860C43"/>
    <w:rsid w:val="00886574"/>
    <w:rsid w:val="00897FEE"/>
    <w:rsid w:val="008B5C45"/>
    <w:rsid w:val="008C6C2E"/>
    <w:rsid w:val="008C78AF"/>
    <w:rsid w:val="008D0A61"/>
    <w:rsid w:val="008E21CC"/>
    <w:rsid w:val="008E4544"/>
    <w:rsid w:val="008E58AA"/>
    <w:rsid w:val="008F011C"/>
    <w:rsid w:val="008F244E"/>
    <w:rsid w:val="008F494F"/>
    <w:rsid w:val="00926C3D"/>
    <w:rsid w:val="009426E0"/>
    <w:rsid w:val="00951EEE"/>
    <w:rsid w:val="009563DA"/>
    <w:rsid w:val="00966329"/>
    <w:rsid w:val="00973EE6"/>
    <w:rsid w:val="009A3706"/>
    <w:rsid w:val="009B151D"/>
    <w:rsid w:val="009C1B7A"/>
    <w:rsid w:val="009C5945"/>
    <w:rsid w:val="009D4957"/>
    <w:rsid w:val="009E3D6A"/>
    <w:rsid w:val="009F4D23"/>
    <w:rsid w:val="00A10007"/>
    <w:rsid w:val="00A14ACF"/>
    <w:rsid w:val="00A26049"/>
    <w:rsid w:val="00A31926"/>
    <w:rsid w:val="00A32336"/>
    <w:rsid w:val="00A40B99"/>
    <w:rsid w:val="00A4368A"/>
    <w:rsid w:val="00A474E9"/>
    <w:rsid w:val="00A63D55"/>
    <w:rsid w:val="00A71967"/>
    <w:rsid w:val="00A724F4"/>
    <w:rsid w:val="00A73FB5"/>
    <w:rsid w:val="00A92CAB"/>
    <w:rsid w:val="00A93AEB"/>
    <w:rsid w:val="00AA76C6"/>
    <w:rsid w:val="00AB26A5"/>
    <w:rsid w:val="00AC311C"/>
    <w:rsid w:val="00AD12C9"/>
    <w:rsid w:val="00AE6D8A"/>
    <w:rsid w:val="00AE6E92"/>
    <w:rsid w:val="00AF0ED2"/>
    <w:rsid w:val="00AF7327"/>
    <w:rsid w:val="00B04CD2"/>
    <w:rsid w:val="00B05E0A"/>
    <w:rsid w:val="00B12B89"/>
    <w:rsid w:val="00B15E3E"/>
    <w:rsid w:val="00B211E6"/>
    <w:rsid w:val="00B25939"/>
    <w:rsid w:val="00B35996"/>
    <w:rsid w:val="00B57C5B"/>
    <w:rsid w:val="00B603EC"/>
    <w:rsid w:val="00B72202"/>
    <w:rsid w:val="00BB0ABF"/>
    <w:rsid w:val="00BB51F8"/>
    <w:rsid w:val="00BB5707"/>
    <w:rsid w:val="00BB7E9F"/>
    <w:rsid w:val="00BD232B"/>
    <w:rsid w:val="00BE63CA"/>
    <w:rsid w:val="00BF0D13"/>
    <w:rsid w:val="00BF1863"/>
    <w:rsid w:val="00BF1C27"/>
    <w:rsid w:val="00C20909"/>
    <w:rsid w:val="00C65E3B"/>
    <w:rsid w:val="00C6610C"/>
    <w:rsid w:val="00C739EF"/>
    <w:rsid w:val="00C82988"/>
    <w:rsid w:val="00C84E63"/>
    <w:rsid w:val="00C93A30"/>
    <w:rsid w:val="00CC1823"/>
    <w:rsid w:val="00CC370D"/>
    <w:rsid w:val="00CC5997"/>
    <w:rsid w:val="00CD05B6"/>
    <w:rsid w:val="00CD0C81"/>
    <w:rsid w:val="00CD3320"/>
    <w:rsid w:val="00CD3778"/>
    <w:rsid w:val="00CE38C8"/>
    <w:rsid w:val="00CE5610"/>
    <w:rsid w:val="00CF0224"/>
    <w:rsid w:val="00CF0464"/>
    <w:rsid w:val="00CF069B"/>
    <w:rsid w:val="00D013E1"/>
    <w:rsid w:val="00D03741"/>
    <w:rsid w:val="00D05DA4"/>
    <w:rsid w:val="00D20580"/>
    <w:rsid w:val="00D33851"/>
    <w:rsid w:val="00D52831"/>
    <w:rsid w:val="00D76502"/>
    <w:rsid w:val="00D84718"/>
    <w:rsid w:val="00DA1D8E"/>
    <w:rsid w:val="00DA2C68"/>
    <w:rsid w:val="00DA3218"/>
    <w:rsid w:val="00DA536E"/>
    <w:rsid w:val="00DA5F30"/>
    <w:rsid w:val="00DD09A4"/>
    <w:rsid w:val="00DE156F"/>
    <w:rsid w:val="00DF3442"/>
    <w:rsid w:val="00DF43D2"/>
    <w:rsid w:val="00DF4977"/>
    <w:rsid w:val="00DF7020"/>
    <w:rsid w:val="00DF7950"/>
    <w:rsid w:val="00E401B6"/>
    <w:rsid w:val="00E43991"/>
    <w:rsid w:val="00E47C32"/>
    <w:rsid w:val="00E5453C"/>
    <w:rsid w:val="00E76670"/>
    <w:rsid w:val="00EB027C"/>
    <w:rsid w:val="00EB0B20"/>
    <w:rsid w:val="00EC6AEA"/>
    <w:rsid w:val="00EC6FF4"/>
    <w:rsid w:val="00ED6605"/>
    <w:rsid w:val="00F80251"/>
    <w:rsid w:val="00FB5BE1"/>
    <w:rsid w:val="00FB70A6"/>
    <w:rsid w:val="00FC6ED9"/>
    <w:rsid w:val="00FD56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8981AD"/>
  <w14:defaultImageDpi w14:val="32767"/>
  <w15:chartTrackingRefBased/>
  <w15:docId w15:val="{C3E29CAC-4D9B-484E-8FB3-7C675208E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717ACD"/>
    <w:pPr>
      <w:spacing w:before="120" w:after="120" w:line="240" w:lineRule="atLeast"/>
    </w:pPr>
    <w:rPr>
      <w:sz w:val="20"/>
      <w:szCs w:val="20"/>
      <w:lang w:val="en-AU"/>
    </w:rPr>
  </w:style>
  <w:style w:type="paragraph" w:styleId="Heading1">
    <w:name w:val="heading 1"/>
    <w:basedOn w:val="Normal"/>
    <w:next w:val="Normal"/>
    <w:link w:val="Heading1Char"/>
    <w:uiPriority w:val="9"/>
    <w:qFormat/>
    <w:rsid w:val="00717ACD"/>
    <w:pPr>
      <w:keepNext/>
      <w:keepLines/>
      <w:spacing w:before="360"/>
      <w:outlineLvl w:val="0"/>
    </w:pPr>
    <w:rPr>
      <w:rFonts w:asciiTheme="majorHAnsi" w:eastAsiaTheme="majorEastAsia" w:hAnsiTheme="majorHAnsi" w:cs="Times New Roman (Headings CS)"/>
      <w:bCs/>
      <w:color w:val="1F1646" w:themeColor="text1"/>
      <w:sz w:val="32"/>
      <w:szCs w:val="32"/>
    </w:rPr>
  </w:style>
  <w:style w:type="paragraph" w:styleId="Heading2">
    <w:name w:val="heading 2"/>
    <w:basedOn w:val="Normal"/>
    <w:next w:val="Normal"/>
    <w:link w:val="Heading2Char"/>
    <w:uiPriority w:val="9"/>
    <w:unhideWhenUsed/>
    <w:qFormat/>
    <w:rsid w:val="00717ACD"/>
    <w:pPr>
      <w:keepNext/>
      <w:keepLines/>
      <w:spacing w:before="360"/>
      <w:outlineLvl w:val="1"/>
    </w:pPr>
    <w:rPr>
      <w:rFonts w:asciiTheme="majorHAnsi" w:eastAsiaTheme="majorEastAsia" w:hAnsiTheme="majorHAnsi" w:cs="Times New Roman (Headings CS)"/>
      <w:color w:val="1F1646" w:themeColor="text1"/>
      <w:sz w:val="28"/>
      <w:szCs w:val="28"/>
    </w:rPr>
  </w:style>
  <w:style w:type="paragraph" w:styleId="Heading3">
    <w:name w:val="heading 3"/>
    <w:basedOn w:val="Normal"/>
    <w:next w:val="Normal"/>
    <w:link w:val="Heading3Char"/>
    <w:uiPriority w:val="9"/>
    <w:unhideWhenUsed/>
    <w:qFormat/>
    <w:rsid w:val="00717ACD"/>
    <w:pPr>
      <w:keepNext/>
      <w:keepLines/>
      <w:spacing w:before="360"/>
      <w:outlineLvl w:val="2"/>
    </w:pPr>
    <w:rPr>
      <w:rFonts w:asciiTheme="majorHAnsi" w:eastAsiaTheme="majorEastAsia" w:hAnsiTheme="majorHAnsi" w:cstheme="majorBidi"/>
      <w:bCs/>
      <w:color w:val="1F1646" w:themeColor="text1"/>
      <w:sz w:val="24"/>
    </w:rPr>
  </w:style>
  <w:style w:type="paragraph" w:styleId="Heading4">
    <w:name w:val="heading 4"/>
    <w:basedOn w:val="Normal"/>
    <w:next w:val="Normal"/>
    <w:link w:val="Heading4Char"/>
    <w:uiPriority w:val="9"/>
    <w:unhideWhenUsed/>
    <w:qFormat/>
    <w:rsid w:val="00717ACD"/>
    <w:pPr>
      <w:keepNext/>
      <w:keepLines/>
      <w:spacing w:before="360"/>
      <w:outlineLvl w:val="3"/>
    </w:pPr>
    <w:rPr>
      <w:rFonts w:asciiTheme="majorHAnsi" w:eastAsiaTheme="majorEastAsia" w:hAnsiTheme="majorHAnsi" w:cstheme="majorBidi"/>
      <w:bCs/>
      <w:iCs/>
      <w:color w:val="1F1646" w:themeColor="text1"/>
      <w:sz w:val="22"/>
      <w:szCs w:val="22"/>
    </w:rPr>
  </w:style>
  <w:style w:type="paragraph" w:styleId="Heading5">
    <w:name w:val="heading 5"/>
    <w:basedOn w:val="Normal"/>
    <w:next w:val="Normal"/>
    <w:link w:val="Heading5Char"/>
    <w:uiPriority w:val="9"/>
    <w:unhideWhenUsed/>
    <w:qFormat/>
    <w:rsid w:val="002A0DC0"/>
    <w:pPr>
      <w:keepNext/>
      <w:keepLines/>
      <w:spacing w:before="40" w:after="0"/>
      <w:outlineLvl w:val="4"/>
    </w:pPr>
    <w:rPr>
      <w:rFonts w:asciiTheme="majorHAnsi" w:eastAsiaTheme="majorEastAsia" w:hAnsiTheme="majorHAnsi" w:cstheme="majorBidi"/>
      <w:i/>
      <w:iCs/>
      <w:color w:val="170F33"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717ACD"/>
    <w:rPr>
      <w:rFonts w:asciiTheme="majorHAnsi" w:eastAsiaTheme="majorEastAsia" w:hAnsiTheme="majorHAnsi" w:cs="Times New Roman (Headings CS)"/>
      <w:bCs/>
      <w:color w:val="1F1646" w:themeColor="text1"/>
      <w:sz w:val="32"/>
      <w:szCs w:val="32"/>
      <w:lang w:val="en-AU"/>
    </w:rPr>
  </w:style>
  <w:style w:type="paragraph" w:customStyle="1" w:styleId="Intro">
    <w:name w:val="Intro"/>
    <w:basedOn w:val="Normal"/>
    <w:qFormat/>
    <w:rsid w:val="00717ACD"/>
    <w:pPr>
      <w:spacing w:before="360" w:after="360"/>
    </w:pPr>
    <w:rPr>
      <w:rFonts w:cs="Times New Roman (Body CS)"/>
      <w:color w:val="1F1646" w:themeColor="text1"/>
      <w:sz w:val="24"/>
    </w:rPr>
  </w:style>
  <w:style w:type="character" w:customStyle="1" w:styleId="Heading2Char">
    <w:name w:val="Heading 2 Char"/>
    <w:basedOn w:val="DefaultParagraphFont"/>
    <w:link w:val="Heading2"/>
    <w:uiPriority w:val="9"/>
    <w:rsid w:val="00717ACD"/>
    <w:rPr>
      <w:rFonts w:asciiTheme="majorHAnsi" w:eastAsiaTheme="majorEastAsia" w:hAnsiTheme="majorHAnsi" w:cs="Times New Roman (Headings CS)"/>
      <w:color w:val="1F1646" w:themeColor="text1"/>
      <w:sz w:val="28"/>
      <w:szCs w:val="28"/>
      <w:lang w:val="en-AU"/>
    </w:rPr>
  </w:style>
  <w:style w:type="character" w:customStyle="1" w:styleId="Heading3Char">
    <w:name w:val="Heading 3 Char"/>
    <w:basedOn w:val="DefaultParagraphFont"/>
    <w:link w:val="Heading3"/>
    <w:uiPriority w:val="9"/>
    <w:rsid w:val="00717ACD"/>
    <w:rPr>
      <w:rFonts w:asciiTheme="majorHAnsi" w:eastAsiaTheme="majorEastAsia" w:hAnsiTheme="majorHAnsi" w:cstheme="majorBidi"/>
      <w:bCs/>
      <w:color w:val="1F1646" w:themeColor="text1"/>
      <w:szCs w:val="20"/>
      <w:lang w:val="en-AU"/>
    </w:rPr>
  </w:style>
  <w:style w:type="paragraph" w:styleId="Quote">
    <w:name w:val="Quote"/>
    <w:basedOn w:val="Normal"/>
    <w:next w:val="Normal"/>
    <w:link w:val="QuoteChar"/>
    <w:uiPriority w:val="29"/>
    <w:qFormat/>
    <w:rsid w:val="00717ACD"/>
    <w:pPr>
      <w:spacing w:before="240" w:after="240"/>
      <w:ind w:left="284" w:right="284"/>
    </w:pPr>
    <w:rPr>
      <w:i/>
      <w:iCs/>
      <w:color w:val="1F1646" w:themeColor="text1"/>
      <w:sz w:val="24"/>
      <w:szCs w:val="24"/>
    </w:rPr>
  </w:style>
  <w:style w:type="character" w:customStyle="1" w:styleId="QuoteChar">
    <w:name w:val="Quote Char"/>
    <w:basedOn w:val="DefaultParagraphFont"/>
    <w:link w:val="Quote"/>
    <w:uiPriority w:val="29"/>
    <w:rsid w:val="00717ACD"/>
    <w:rPr>
      <w:i/>
      <w:iCs/>
      <w:color w:val="1F1646" w:themeColor="text1"/>
      <w:lang w:val="en-AU"/>
    </w:rPr>
  </w:style>
  <w:style w:type="paragraph" w:customStyle="1" w:styleId="Bullet1">
    <w:name w:val="Bullet 1"/>
    <w:basedOn w:val="Normal"/>
    <w:next w:val="Normal"/>
    <w:qFormat/>
    <w:rsid w:val="00717ACD"/>
    <w:pPr>
      <w:numPr>
        <w:numId w:val="14"/>
      </w:numPr>
      <w:ind w:left="284" w:hanging="284"/>
    </w:pPr>
  </w:style>
  <w:style w:type="paragraph" w:customStyle="1" w:styleId="Bullet2">
    <w:name w:val="Bullet 2"/>
    <w:basedOn w:val="Bullet1"/>
    <w:qFormat/>
    <w:rsid w:val="00717ACD"/>
    <w:pPr>
      <w:numPr>
        <w:numId w:val="20"/>
      </w:numPr>
      <w:ind w:left="641" w:hanging="357"/>
    </w:pPr>
  </w:style>
  <w:style w:type="paragraph" w:customStyle="1" w:styleId="Numberlist">
    <w:name w:val="Number list"/>
    <w:basedOn w:val="Normal"/>
    <w:next w:val="Normal"/>
    <w:qFormat/>
    <w:rsid w:val="00717ACD"/>
    <w:pPr>
      <w:numPr>
        <w:numId w:val="15"/>
      </w:numPr>
      <w:ind w:left="284" w:hanging="284"/>
    </w:pPr>
  </w:style>
  <w:style w:type="table" w:styleId="TableGrid">
    <w:name w:val="Table Grid"/>
    <w:basedOn w:val="TableNormal"/>
    <w:uiPriority w:val="39"/>
    <w:rsid w:val="00CD0C81"/>
    <w:rPr>
      <w:color w:val="1F1646" w:themeColor="text1"/>
      <w:sz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1F1646" w:themeColor="text1"/>
        <w:insideV w:val="single" w:sz="4" w:space="0" w:color="FFFFFF" w:themeColor="background1"/>
      </w:tblBorders>
    </w:tblPr>
    <w:tcPr>
      <w:shd w:val="clear" w:color="auto" w:fill="auto"/>
      <w:tcMar>
        <w:top w:w="57" w:type="dxa"/>
        <w:bottom w:w="57" w:type="dxa"/>
      </w:tcMar>
    </w:tcPr>
    <w:tblStylePr w:type="firstRow">
      <w:rPr>
        <w:rFonts w:asciiTheme="minorHAnsi" w:hAnsiTheme="minorHAnsi"/>
        <w:b/>
        <w:color w:val="1F1646" w:themeColor="text1"/>
        <w:sz w:val="22"/>
      </w:rPr>
      <w:tblPr/>
      <w:tcPr>
        <w:tcBorders>
          <w:left w:val="single" w:sz="4" w:space="0" w:color="CFF0F2" w:themeColor="accent6" w:themeTint="66"/>
          <w:right w:val="single" w:sz="4" w:space="0" w:color="CFF0F2" w:themeColor="accent6" w:themeTint="66"/>
        </w:tcBorders>
        <w:shd w:val="clear" w:color="auto" w:fill="CFF0F2" w:themeFill="accent6" w:themeFillTint="66"/>
      </w:tcPr>
    </w:tblStylePr>
    <w:tblStylePr w:type="firstCol">
      <w:rPr>
        <w:rFonts w:asciiTheme="minorHAnsi" w:hAnsiTheme="minorHAnsi"/>
        <w:color w:val="1F1646" w:themeColor="text1"/>
        <w:sz w:val="22"/>
      </w:rPr>
    </w:tblStylePr>
    <w:tblStylePr w:type="lastCol">
      <w:tblPr/>
      <w:tcPr>
        <w:tcBorders>
          <w:left w:val="nil"/>
        </w:tcBorders>
        <w:shd w:val="clear" w:color="auto" w:fill="auto"/>
      </w:tcPr>
    </w:tblStylePr>
    <w:tblStylePr w:type="band1Vert">
      <w:tblPr/>
      <w:tcPr>
        <w:tcBorders>
          <w:left w:val="nil"/>
          <w:right w:val="nil"/>
        </w:tcBorders>
        <w:shd w:val="clear" w:color="auto" w:fill="auto"/>
      </w:tcPr>
    </w:tblStylePr>
  </w:style>
  <w:style w:type="paragraph" w:customStyle="1" w:styleId="TableHead">
    <w:name w:val="Table Head"/>
    <w:basedOn w:val="Normal"/>
    <w:qFormat/>
    <w:rsid w:val="00973EE6"/>
    <w:rPr>
      <w:b/>
      <w:bCs/>
      <w:color w:val="1F1646" w:themeColor="text1"/>
    </w:rPr>
  </w:style>
  <w:style w:type="paragraph" w:customStyle="1" w:styleId="Tablebody">
    <w:name w:val="Table body"/>
    <w:basedOn w:val="Normal"/>
    <w:qFormat/>
    <w:rsid w:val="00A31926"/>
    <w:pPr>
      <w:spacing w:before="60" w:after="60"/>
    </w:p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DA5F30"/>
    <w:pPr>
      <w:spacing w:before="0" w:after="0"/>
      <w:ind w:left="400"/>
    </w:pPr>
    <w:rPr>
      <w:rFonts w:cstheme="minorHAnsi"/>
    </w:rPr>
  </w:style>
  <w:style w:type="paragraph" w:styleId="TOC1">
    <w:name w:val="toc 1"/>
    <w:basedOn w:val="Normal"/>
    <w:next w:val="Normal"/>
    <w:autoRedefine/>
    <w:uiPriority w:val="39"/>
    <w:unhideWhenUsed/>
    <w:qFormat/>
    <w:rsid w:val="00442256"/>
    <w:pPr>
      <w:spacing w:after="0"/>
    </w:pPr>
    <w:rPr>
      <w:rFonts w:cstheme="minorHAnsi"/>
      <w:b/>
      <w:bCs/>
      <w:i/>
      <w:iCs/>
      <w:sz w:val="24"/>
      <w:szCs w:val="24"/>
    </w:rPr>
  </w:style>
  <w:style w:type="paragraph" w:styleId="TOC2">
    <w:name w:val="toc 2"/>
    <w:basedOn w:val="Normal"/>
    <w:next w:val="Normal"/>
    <w:autoRedefine/>
    <w:uiPriority w:val="39"/>
    <w:unhideWhenUsed/>
    <w:qFormat/>
    <w:rsid w:val="00CD05B6"/>
    <w:pPr>
      <w:tabs>
        <w:tab w:val="right" w:leader="dot" w:pos="9622"/>
      </w:tabs>
      <w:spacing w:after="0"/>
      <w:ind w:left="200"/>
    </w:pPr>
    <w:rPr>
      <w:rFonts w:cstheme="minorHAnsi"/>
      <w:noProof/>
      <w:sz w:val="22"/>
      <w:szCs w:val="22"/>
    </w:rPr>
  </w:style>
  <w:style w:type="paragraph" w:customStyle="1" w:styleId="Figuretitle">
    <w:name w:val="Figure title"/>
    <w:basedOn w:val="Normal"/>
    <w:qFormat/>
    <w:rsid w:val="00717ACD"/>
    <w:pPr>
      <w:keepNext/>
      <w:keepLines/>
    </w:pPr>
    <w:rPr>
      <w:b/>
      <w:color w:val="1F1646" w:themeColor="text1"/>
      <w:sz w:val="18"/>
      <w:szCs w:val="18"/>
    </w:rPr>
  </w:style>
  <w:style w:type="paragraph" w:styleId="FootnoteText">
    <w:name w:val="footnote text"/>
    <w:basedOn w:val="Normal"/>
    <w:link w:val="FootnoteTextChar"/>
    <w:autoRedefine/>
    <w:uiPriority w:val="99"/>
    <w:unhideWhenUsed/>
    <w:qFormat/>
    <w:rsid w:val="00CD0C81"/>
    <w:pPr>
      <w:spacing w:after="40"/>
    </w:pPr>
    <w:rPr>
      <w:rFonts w:ascii="Arial" w:eastAsiaTheme="minorEastAsia" w:hAnsi="Arial" w:cs="Arial"/>
      <w:sz w:val="18"/>
      <w:szCs w:val="11"/>
      <w:lang w:val="en-US"/>
    </w:rPr>
  </w:style>
  <w:style w:type="character" w:customStyle="1" w:styleId="FootnoteTextChar">
    <w:name w:val="Footnote Text Char"/>
    <w:basedOn w:val="DefaultParagraphFont"/>
    <w:link w:val="FootnoteText"/>
    <w:uiPriority w:val="99"/>
    <w:rsid w:val="00CD0C81"/>
    <w:rPr>
      <w:rFonts w:ascii="Arial" w:eastAsiaTheme="minorEastAsia" w:hAnsi="Arial" w:cs="Arial"/>
      <w:sz w:val="18"/>
      <w:szCs w:val="11"/>
      <w:lang w:val="en-US"/>
    </w:rPr>
  </w:style>
  <w:style w:type="character" w:styleId="FootnoteReference">
    <w:name w:val="footnote reference"/>
    <w:basedOn w:val="DefaultParagraphFont"/>
    <w:uiPriority w:val="99"/>
    <w:unhideWhenUsed/>
    <w:qFormat/>
    <w:rsid w:val="00CD0C81"/>
    <w:rPr>
      <w:rFonts w:asciiTheme="minorHAnsi" w:hAnsiTheme="minorHAnsi"/>
      <w:color w:val="2C060B"/>
      <w:sz w:val="18"/>
      <w:szCs w:val="18"/>
      <w:vertAlign w:val="superscript"/>
    </w:rPr>
  </w:style>
  <w:style w:type="paragraph" w:customStyle="1" w:styleId="Covertitle">
    <w:name w:val="Cover title"/>
    <w:basedOn w:val="Title"/>
    <w:qFormat/>
    <w:rsid w:val="001B78D5"/>
    <w:pPr>
      <w:spacing w:line="500" w:lineRule="exact"/>
    </w:pPr>
    <w:rPr>
      <w:sz w:val="48"/>
      <w:szCs w:val="48"/>
    </w:rPr>
  </w:style>
  <w:style w:type="paragraph" w:customStyle="1" w:styleId="Coversubtitle">
    <w:name w:val="Cover subtitle"/>
    <w:basedOn w:val="Covertitle"/>
    <w:qFormat/>
    <w:rsid w:val="001B78D5"/>
    <w:pPr>
      <w:spacing w:line="340" w:lineRule="exact"/>
    </w:pPr>
    <w:rPr>
      <w:bCs/>
      <w:sz w:val="32"/>
      <w:szCs w:val="32"/>
    </w:rPr>
  </w:style>
  <w:style w:type="paragraph" w:customStyle="1" w:styleId="Alphabetlist">
    <w:name w:val="Alphabet list"/>
    <w:basedOn w:val="Normal"/>
    <w:qFormat/>
    <w:rsid w:val="00717ACD"/>
    <w:pPr>
      <w:numPr>
        <w:numId w:val="17"/>
      </w:numPr>
      <w:ind w:left="568" w:hanging="284"/>
    </w:pPr>
  </w:style>
  <w:style w:type="character" w:styleId="Hyperlink">
    <w:name w:val="Hyperlink"/>
    <w:basedOn w:val="DefaultParagraphFont"/>
    <w:uiPriority w:val="99"/>
    <w:unhideWhenUsed/>
    <w:rsid w:val="008B5C45"/>
    <w:rPr>
      <w:color w:val="201546" w:themeColor="hyperlink"/>
      <w:u w:val="single"/>
    </w:rPr>
  </w:style>
  <w:style w:type="character" w:customStyle="1" w:styleId="apple-converted-space">
    <w:name w:val="apple-converted-space"/>
    <w:basedOn w:val="DefaultParagraphFont"/>
    <w:rsid w:val="00DF7020"/>
  </w:style>
  <w:style w:type="character" w:styleId="Strong">
    <w:name w:val="Strong"/>
    <w:basedOn w:val="DefaultParagraphFont"/>
    <w:uiPriority w:val="22"/>
    <w:qFormat/>
    <w:rsid w:val="00973EE6"/>
  </w:style>
  <w:style w:type="character" w:styleId="IntenseEmphasis">
    <w:name w:val="Intense Emphasis"/>
    <w:basedOn w:val="DefaultParagraphFont"/>
    <w:uiPriority w:val="21"/>
    <w:qFormat/>
    <w:rsid w:val="009563DA"/>
    <w:rPr>
      <w:b/>
      <w:i w:val="0"/>
      <w:iCs/>
      <w:color w:val="1F1646" w:themeColor="text1"/>
    </w:rPr>
  </w:style>
  <w:style w:type="paragraph" w:styleId="IntenseQuote">
    <w:name w:val="Intense Quote"/>
    <w:basedOn w:val="Normal"/>
    <w:next w:val="Normal"/>
    <w:link w:val="IntenseQuoteChar"/>
    <w:uiPriority w:val="30"/>
    <w:qFormat/>
    <w:rsid w:val="006F44D8"/>
    <w:pPr>
      <w:pBdr>
        <w:top w:val="single" w:sz="4" w:space="10" w:color="1F1646" w:themeColor="text1"/>
        <w:bottom w:val="single" w:sz="4" w:space="10" w:color="1F1646" w:themeColor="text1"/>
      </w:pBdr>
      <w:spacing w:before="360" w:after="360"/>
    </w:pPr>
    <w:rPr>
      <w:b/>
      <w:iCs/>
      <w:color w:val="1F1646" w:themeColor="text1"/>
    </w:rPr>
  </w:style>
  <w:style w:type="character" w:customStyle="1" w:styleId="IntenseQuoteChar">
    <w:name w:val="Intense Quote Char"/>
    <w:basedOn w:val="DefaultParagraphFont"/>
    <w:link w:val="IntenseQuote"/>
    <w:uiPriority w:val="30"/>
    <w:rsid w:val="006F44D8"/>
    <w:rPr>
      <w:b/>
      <w:iCs/>
      <w:color w:val="1F1646" w:themeColor="text1"/>
      <w:sz w:val="22"/>
    </w:rPr>
  </w:style>
  <w:style w:type="character" w:customStyle="1" w:styleId="Heading4Char">
    <w:name w:val="Heading 4 Char"/>
    <w:basedOn w:val="DefaultParagraphFont"/>
    <w:link w:val="Heading4"/>
    <w:uiPriority w:val="9"/>
    <w:rsid w:val="00717ACD"/>
    <w:rPr>
      <w:rFonts w:asciiTheme="majorHAnsi" w:eastAsiaTheme="majorEastAsia" w:hAnsiTheme="majorHAnsi" w:cstheme="majorBidi"/>
      <w:bCs/>
      <w:iCs/>
      <w:color w:val="1F1646" w:themeColor="text1"/>
      <w:sz w:val="22"/>
      <w:szCs w:val="22"/>
      <w:lang w:val="en-AU"/>
    </w:rPr>
  </w:style>
  <w:style w:type="paragraph" w:styleId="Subtitle">
    <w:name w:val="Subtitle"/>
    <w:basedOn w:val="Normal"/>
    <w:next w:val="Normal"/>
    <w:link w:val="SubtitleChar"/>
    <w:uiPriority w:val="11"/>
    <w:qFormat/>
    <w:rsid w:val="00326E53"/>
    <w:pPr>
      <w:numPr>
        <w:ilvl w:val="1"/>
      </w:numPr>
      <w:spacing w:after="160"/>
    </w:pPr>
    <w:rPr>
      <w:rFonts w:eastAsiaTheme="minorEastAsia"/>
      <w:color w:val="1F1646" w:themeColor="text1"/>
      <w:spacing w:val="15"/>
      <w:szCs w:val="22"/>
    </w:rPr>
  </w:style>
  <w:style w:type="character" w:customStyle="1" w:styleId="SubtitleChar">
    <w:name w:val="Subtitle Char"/>
    <w:basedOn w:val="DefaultParagraphFont"/>
    <w:link w:val="Subtitle"/>
    <w:uiPriority w:val="11"/>
    <w:rsid w:val="00326E53"/>
    <w:rPr>
      <w:rFonts w:eastAsiaTheme="minorEastAsia"/>
      <w:color w:val="1F1646" w:themeColor="text1"/>
      <w:spacing w:val="15"/>
      <w:sz w:val="22"/>
      <w:szCs w:val="22"/>
    </w:rPr>
  </w:style>
  <w:style w:type="character" w:styleId="SubtleEmphasis">
    <w:name w:val="Subtle Emphasis"/>
    <w:basedOn w:val="DefaultParagraphFont"/>
    <w:uiPriority w:val="19"/>
    <w:qFormat/>
    <w:rsid w:val="00326E53"/>
    <w:rPr>
      <w:i/>
      <w:iCs/>
      <w:color w:val="1F1646" w:themeColor="text1"/>
    </w:rPr>
  </w:style>
  <w:style w:type="character" w:styleId="UnresolvedMention">
    <w:name w:val="Unresolved Mention"/>
    <w:basedOn w:val="DefaultParagraphFont"/>
    <w:uiPriority w:val="99"/>
    <w:rsid w:val="00144FD5"/>
    <w:rPr>
      <w:color w:val="605E5C"/>
      <w:shd w:val="clear" w:color="auto" w:fill="E1DFDD"/>
    </w:rPr>
  </w:style>
  <w:style w:type="paragraph" w:customStyle="1" w:styleId="Copyrighttext">
    <w:name w:val="Copyright text"/>
    <w:basedOn w:val="FootnoteText"/>
    <w:qFormat/>
    <w:rsid w:val="00C739EF"/>
    <w:pPr>
      <w:spacing w:line="200" w:lineRule="exact"/>
      <w:ind w:right="3396"/>
    </w:pPr>
    <w:rPr>
      <w:sz w:val="15"/>
      <w:szCs w:val="15"/>
    </w:rPr>
  </w:style>
  <w:style w:type="character" w:styleId="SubtleReference">
    <w:name w:val="Subtle Reference"/>
    <w:basedOn w:val="DefaultParagraphFont"/>
    <w:uiPriority w:val="31"/>
    <w:qFormat/>
    <w:rsid w:val="006F44D8"/>
    <w:rPr>
      <w:rFonts w:asciiTheme="minorHAnsi" w:hAnsiTheme="minorHAnsi"/>
      <w:b w:val="0"/>
      <w:i w:val="0"/>
      <w:caps/>
      <w:smallCaps w:val="0"/>
      <w:strike w:val="0"/>
      <w:dstrike w:val="0"/>
      <w:vanish w:val="0"/>
      <w:color w:val="1F1646" w:themeColor="text1"/>
      <w:sz w:val="22"/>
      <w:vertAlign w:val="baseline"/>
    </w:rPr>
  </w:style>
  <w:style w:type="character" w:styleId="IntenseReference">
    <w:name w:val="Intense Reference"/>
    <w:basedOn w:val="DefaultParagraphFont"/>
    <w:uiPriority w:val="32"/>
    <w:qFormat/>
    <w:rsid w:val="009563DA"/>
    <w:rPr>
      <w:rFonts w:asciiTheme="majorHAnsi" w:hAnsiTheme="majorHAnsi"/>
      <w:b/>
      <w:bCs/>
      <w:i w:val="0"/>
      <w:caps/>
      <w:smallCaps w:val="0"/>
      <w:strike w:val="0"/>
      <w:dstrike w:val="0"/>
      <w:vanish w:val="0"/>
      <w:color w:val="1F1646" w:themeColor="text1"/>
      <w:spacing w:val="5"/>
      <w:sz w:val="22"/>
      <w:vertAlign w:val="baseline"/>
    </w:rPr>
  </w:style>
  <w:style w:type="paragraph" w:styleId="Title">
    <w:name w:val="Title"/>
    <w:basedOn w:val="Normal"/>
    <w:next w:val="Normal"/>
    <w:link w:val="TitleChar"/>
    <w:uiPriority w:val="10"/>
    <w:qFormat/>
    <w:rsid w:val="00C739EF"/>
    <w:pPr>
      <w:spacing w:before="360" w:after="360" w:line="600" w:lineRule="exact"/>
      <w:contextualSpacing/>
    </w:pPr>
    <w:rPr>
      <w:rFonts w:asciiTheme="majorHAnsi" w:eastAsiaTheme="majorEastAsia" w:hAnsiTheme="majorHAnsi" w:cstheme="majorBidi"/>
      <w:color w:val="1F1646" w:themeColor="text1"/>
      <w:spacing w:val="-10"/>
      <w:kern w:val="28"/>
      <w:sz w:val="56"/>
      <w:szCs w:val="56"/>
    </w:rPr>
  </w:style>
  <w:style w:type="character" w:customStyle="1" w:styleId="TitleChar">
    <w:name w:val="Title Char"/>
    <w:basedOn w:val="DefaultParagraphFont"/>
    <w:link w:val="Title"/>
    <w:uiPriority w:val="10"/>
    <w:rsid w:val="00C739EF"/>
    <w:rPr>
      <w:rFonts w:asciiTheme="majorHAnsi" w:eastAsiaTheme="majorEastAsia" w:hAnsiTheme="majorHAnsi" w:cstheme="majorBidi"/>
      <w:color w:val="1F1646" w:themeColor="text1"/>
      <w:spacing w:val="-10"/>
      <w:kern w:val="28"/>
      <w:sz w:val="56"/>
      <w:szCs w:val="56"/>
      <w:lang w:val="en-AU"/>
    </w:rPr>
  </w:style>
  <w:style w:type="character" w:styleId="FollowedHyperlink">
    <w:name w:val="FollowedHyperlink"/>
    <w:basedOn w:val="DefaultParagraphFont"/>
    <w:uiPriority w:val="99"/>
    <w:semiHidden/>
    <w:unhideWhenUsed/>
    <w:rsid w:val="00C739EF"/>
    <w:rPr>
      <w:color w:val="201546" w:themeColor="followedHyperlink"/>
      <w:u w:val="single"/>
    </w:rPr>
  </w:style>
  <w:style w:type="paragraph" w:styleId="TOCHeading">
    <w:name w:val="TOC Heading"/>
    <w:basedOn w:val="Heading1"/>
    <w:next w:val="Normal"/>
    <w:uiPriority w:val="39"/>
    <w:unhideWhenUsed/>
    <w:qFormat/>
    <w:rsid w:val="00442256"/>
    <w:pPr>
      <w:spacing w:after="0" w:line="276" w:lineRule="auto"/>
      <w:outlineLvl w:val="9"/>
    </w:pPr>
    <w:rPr>
      <w:rFonts w:cstheme="majorBidi"/>
      <w:b/>
      <w:color w:val="170F33" w:themeColor="accent1" w:themeShade="BF"/>
      <w:sz w:val="28"/>
      <w:szCs w:val="28"/>
      <w:lang w:val="en-US"/>
    </w:rPr>
  </w:style>
  <w:style w:type="paragraph" w:styleId="TOC4">
    <w:name w:val="toc 4"/>
    <w:basedOn w:val="Normal"/>
    <w:next w:val="Normal"/>
    <w:autoRedefine/>
    <w:uiPriority w:val="39"/>
    <w:semiHidden/>
    <w:unhideWhenUsed/>
    <w:rsid w:val="00442256"/>
    <w:pPr>
      <w:spacing w:before="0" w:after="0"/>
      <w:ind w:left="600"/>
    </w:pPr>
    <w:rPr>
      <w:rFonts w:cstheme="minorHAnsi"/>
    </w:rPr>
  </w:style>
  <w:style w:type="paragraph" w:styleId="TOC5">
    <w:name w:val="toc 5"/>
    <w:basedOn w:val="Normal"/>
    <w:next w:val="Normal"/>
    <w:autoRedefine/>
    <w:uiPriority w:val="39"/>
    <w:semiHidden/>
    <w:unhideWhenUsed/>
    <w:rsid w:val="00442256"/>
    <w:pPr>
      <w:spacing w:before="0" w:after="0"/>
      <w:ind w:left="800"/>
    </w:pPr>
    <w:rPr>
      <w:rFonts w:cstheme="minorHAnsi"/>
    </w:rPr>
  </w:style>
  <w:style w:type="paragraph" w:styleId="TOC6">
    <w:name w:val="toc 6"/>
    <w:basedOn w:val="Normal"/>
    <w:next w:val="Normal"/>
    <w:autoRedefine/>
    <w:uiPriority w:val="39"/>
    <w:semiHidden/>
    <w:unhideWhenUsed/>
    <w:rsid w:val="00442256"/>
    <w:pPr>
      <w:spacing w:before="0" w:after="0"/>
      <w:ind w:left="1000"/>
    </w:pPr>
    <w:rPr>
      <w:rFonts w:cstheme="minorHAnsi"/>
    </w:rPr>
  </w:style>
  <w:style w:type="paragraph" w:styleId="TOC7">
    <w:name w:val="toc 7"/>
    <w:basedOn w:val="Normal"/>
    <w:next w:val="Normal"/>
    <w:autoRedefine/>
    <w:uiPriority w:val="39"/>
    <w:semiHidden/>
    <w:unhideWhenUsed/>
    <w:rsid w:val="00442256"/>
    <w:pPr>
      <w:spacing w:before="0" w:after="0"/>
      <w:ind w:left="1200"/>
    </w:pPr>
    <w:rPr>
      <w:rFonts w:cstheme="minorHAnsi"/>
    </w:rPr>
  </w:style>
  <w:style w:type="paragraph" w:styleId="TOC8">
    <w:name w:val="toc 8"/>
    <w:basedOn w:val="Normal"/>
    <w:next w:val="Normal"/>
    <w:autoRedefine/>
    <w:uiPriority w:val="39"/>
    <w:semiHidden/>
    <w:unhideWhenUsed/>
    <w:rsid w:val="00442256"/>
    <w:pPr>
      <w:spacing w:before="0" w:after="0"/>
      <w:ind w:left="1400"/>
    </w:pPr>
    <w:rPr>
      <w:rFonts w:cstheme="minorHAnsi"/>
    </w:rPr>
  </w:style>
  <w:style w:type="paragraph" w:styleId="TOC9">
    <w:name w:val="toc 9"/>
    <w:basedOn w:val="Normal"/>
    <w:next w:val="Normal"/>
    <w:autoRedefine/>
    <w:uiPriority w:val="39"/>
    <w:semiHidden/>
    <w:unhideWhenUsed/>
    <w:rsid w:val="00442256"/>
    <w:pPr>
      <w:spacing w:before="0" w:after="0"/>
      <w:ind w:left="1600"/>
    </w:pPr>
    <w:rPr>
      <w:rFonts w:cstheme="minorHAnsi"/>
    </w:rPr>
  </w:style>
  <w:style w:type="character" w:customStyle="1" w:styleId="Heading5Char">
    <w:name w:val="Heading 5 Char"/>
    <w:basedOn w:val="DefaultParagraphFont"/>
    <w:link w:val="Heading5"/>
    <w:uiPriority w:val="9"/>
    <w:rsid w:val="002A0DC0"/>
    <w:rPr>
      <w:rFonts w:asciiTheme="majorHAnsi" w:eastAsiaTheme="majorEastAsia" w:hAnsiTheme="majorHAnsi" w:cstheme="majorBidi"/>
      <w:i/>
      <w:iCs/>
      <w:color w:val="170F33" w:themeColor="accent1" w:themeShade="BF"/>
      <w:sz w:val="20"/>
      <w:szCs w:val="20"/>
      <w:lang w:val="en-AU"/>
    </w:rPr>
  </w:style>
  <w:style w:type="paragraph" w:styleId="ListParagraph">
    <w:name w:val="List Paragraph"/>
    <w:basedOn w:val="Normal"/>
    <w:uiPriority w:val="34"/>
    <w:qFormat/>
    <w:rsid w:val="0043128F"/>
    <w:pPr>
      <w:spacing w:before="0" w:after="160" w:line="259" w:lineRule="auto"/>
      <w:ind w:left="720"/>
      <w:contextualSpacing/>
    </w:pPr>
    <w:rPr>
      <w:kern w:val="2"/>
      <w:sz w:val="22"/>
      <w:szCs w:val="22"/>
      <w14:ligatures w14:val="standardContextual"/>
    </w:rPr>
  </w:style>
  <w:style w:type="paragraph" w:customStyle="1" w:styleId="Bulletblack">
    <w:name w:val="Bullet black"/>
    <w:basedOn w:val="Normal"/>
    <w:uiPriority w:val="99"/>
    <w:rsid w:val="0043128F"/>
    <w:pPr>
      <w:tabs>
        <w:tab w:val="left" w:pos="340"/>
      </w:tabs>
      <w:suppressAutoHyphens/>
      <w:autoSpaceDE w:val="0"/>
      <w:autoSpaceDN w:val="0"/>
      <w:adjustRightInd w:val="0"/>
      <w:spacing w:before="0" w:line="320" w:lineRule="atLeast"/>
      <w:ind w:left="340" w:firstLine="14"/>
      <w:textAlignment w:val="center"/>
    </w:pPr>
    <w:rPr>
      <w:rFonts w:ascii="VIC" w:hAnsi="VIC" w:cs="VIC"/>
      <w:color w:val="000000"/>
      <w:sz w:val="21"/>
      <w:szCs w:val="21"/>
      <w:lang w:val="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452329">
      <w:bodyDiv w:val="1"/>
      <w:marLeft w:val="0"/>
      <w:marRight w:val="0"/>
      <w:marTop w:val="0"/>
      <w:marBottom w:val="0"/>
      <w:divBdr>
        <w:top w:val="none" w:sz="0" w:space="0" w:color="auto"/>
        <w:left w:val="none" w:sz="0" w:space="0" w:color="auto"/>
        <w:bottom w:val="none" w:sz="0" w:space="0" w:color="auto"/>
        <w:right w:val="none" w:sz="0" w:space="0" w:color="auto"/>
      </w:divBdr>
    </w:div>
    <w:div w:id="216210387">
      <w:bodyDiv w:val="1"/>
      <w:marLeft w:val="0"/>
      <w:marRight w:val="0"/>
      <w:marTop w:val="0"/>
      <w:marBottom w:val="0"/>
      <w:divBdr>
        <w:top w:val="none" w:sz="0" w:space="0" w:color="auto"/>
        <w:left w:val="none" w:sz="0" w:space="0" w:color="auto"/>
        <w:bottom w:val="none" w:sz="0" w:space="0" w:color="auto"/>
        <w:right w:val="none" w:sz="0" w:space="0" w:color="auto"/>
      </w:divBdr>
    </w:div>
    <w:div w:id="314917212">
      <w:bodyDiv w:val="1"/>
      <w:marLeft w:val="0"/>
      <w:marRight w:val="0"/>
      <w:marTop w:val="0"/>
      <w:marBottom w:val="0"/>
      <w:divBdr>
        <w:top w:val="none" w:sz="0" w:space="0" w:color="auto"/>
        <w:left w:val="none" w:sz="0" w:space="0" w:color="auto"/>
        <w:bottom w:val="none" w:sz="0" w:space="0" w:color="auto"/>
        <w:right w:val="none" w:sz="0" w:space="0" w:color="auto"/>
      </w:divBdr>
    </w:div>
    <w:div w:id="559631137">
      <w:bodyDiv w:val="1"/>
      <w:marLeft w:val="0"/>
      <w:marRight w:val="0"/>
      <w:marTop w:val="0"/>
      <w:marBottom w:val="0"/>
      <w:divBdr>
        <w:top w:val="none" w:sz="0" w:space="0" w:color="auto"/>
        <w:left w:val="none" w:sz="0" w:space="0" w:color="auto"/>
        <w:bottom w:val="none" w:sz="0" w:space="0" w:color="auto"/>
        <w:right w:val="none" w:sz="0" w:space="0" w:color="auto"/>
      </w:divBdr>
    </w:div>
    <w:div w:id="564684006">
      <w:bodyDiv w:val="1"/>
      <w:marLeft w:val="0"/>
      <w:marRight w:val="0"/>
      <w:marTop w:val="0"/>
      <w:marBottom w:val="0"/>
      <w:divBdr>
        <w:top w:val="none" w:sz="0" w:space="0" w:color="auto"/>
        <w:left w:val="none" w:sz="0" w:space="0" w:color="auto"/>
        <w:bottom w:val="none" w:sz="0" w:space="0" w:color="auto"/>
        <w:right w:val="none" w:sz="0" w:space="0" w:color="auto"/>
      </w:divBdr>
    </w:div>
    <w:div w:id="586964483">
      <w:bodyDiv w:val="1"/>
      <w:marLeft w:val="0"/>
      <w:marRight w:val="0"/>
      <w:marTop w:val="0"/>
      <w:marBottom w:val="0"/>
      <w:divBdr>
        <w:top w:val="none" w:sz="0" w:space="0" w:color="auto"/>
        <w:left w:val="none" w:sz="0" w:space="0" w:color="auto"/>
        <w:bottom w:val="none" w:sz="0" w:space="0" w:color="auto"/>
        <w:right w:val="none" w:sz="0" w:space="0" w:color="auto"/>
      </w:divBdr>
    </w:div>
    <w:div w:id="601914662">
      <w:bodyDiv w:val="1"/>
      <w:marLeft w:val="0"/>
      <w:marRight w:val="0"/>
      <w:marTop w:val="0"/>
      <w:marBottom w:val="0"/>
      <w:divBdr>
        <w:top w:val="none" w:sz="0" w:space="0" w:color="auto"/>
        <w:left w:val="none" w:sz="0" w:space="0" w:color="auto"/>
        <w:bottom w:val="none" w:sz="0" w:space="0" w:color="auto"/>
        <w:right w:val="none" w:sz="0" w:space="0" w:color="auto"/>
      </w:divBdr>
    </w:div>
    <w:div w:id="694773154">
      <w:bodyDiv w:val="1"/>
      <w:marLeft w:val="0"/>
      <w:marRight w:val="0"/>
      <w:marTop w:val="0"/>
      <w:marBottom w:val="0"/>
      <w:divBdr>
        <w:top w:val="none" w:sz="0" w:space="0" w:color="auto"/>
        <w:left w:val="none" w:sz="0" w:space="0" w:color="auto"/>
        <w:bottom w:val="none" w:sz="0" w:space="0" w:color="auto"/>
        <w:right w:val="none" w:sz="0" w:space="0" w:color="auto"/>
      </w:divBdr>
    </w:div>
    <w:div w:id="780535637">
      <w:bodyDiv w:val="1"/>
      <w:marLeft w:val="0"/>
      <w:marRight w:val="0"/>
      <w:marTop w:val="0"/>
      <w:marBottom w:val="0"/>
      <w:divBdr>
        <w:top w:val="none" w:sz="0" w:space="0" w:color="auto"/>
        <w:left w:val="none" w:sz="0" w:space="0" w:color="auto"/>
        <w:bottom w:val="none" w:sz="0" w:space="0" w:color="auto"/>
        <w:right w:val="none" w:sz="0" w:space="0" w:color="auto"/>
      </w:divBdr>
    </w:div>
    <w:div w:id="1450010672">
      <w:bodyDiv w:val="1"/>
      <w:marLeft w:val="0"/>
      <w:marRight w:val="0"/>
      <w:marTop w:val="0"/>
      <w:marBottom w:val="0"/>
      <w:divBdr>
        <w:top w:val="none" w:sz="0" w:space="0" w:color="auto"/>
        <w:left w:val="none" w:sz="0" w:space="0" w:color="auto"/>
        <w:bottom w:val="none" w:sz="0" w:space="0" w:color="auto"/>
        <w:right w:val="none" w:sz="0" w:space="0" w:color="auto"/>
      </w:divBdr>
    </w:div>
    <w:div w:id="1625889599">
      <w:bodyDiv w:val="1"/>
      <w:marLeft w:val="0"/>
      <w:marRight w:val="0"/>
      <w:marTop w:val="0"/>
      <w:marBottom w:val="0"/>
      <w:divBdr>
        <w:top w:val="none" w:sz="0" w:space="0" w:color="auto"/>
        <w:left w:val="none" w:sz="0" w:space="0" w:color="auto"/>
        <w:bottom w:val="none" w:sz="0" w:space="0" w:color="auto"/>
        <w:right w:val="none" w:sz="0" w:space="0" w:color="auto"/>
      </w:divBdr>
    </w:div>
    <w:div w:id="197467392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pc.gov.au/ongoing/report-on-government-services" TargetMode="External"/><Relationship Id="rId2" Type="http://schemas.openxmlformats.org/officeDocument/2006/relationships/customXml" Target="../customXml/item2.xml"/><Relationship Id="rId16" Type="http://schemas.openxmlformats.org/officeDocument/2006/relationships/hyperlink" Target="https://www.health.gov.au/topics/physical-activity-and-exercise/physical-activity-and-exercise-guidelines-for-all-australians/for-children-and-young-people-5-to-17-years?language=und"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5.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2024 Both Sectors Theme">
  <a:themeElements>
    <a:clrScheme name="DE BOTH SECTORS COLOURS 2024">
      <a:dk1>
        <a:srgbClr val="1F1646"/>
      </a:dk1>
      <a:lt1>
        <a:srgbClr val="FFFFFF"/>
      </a:lt1>
      <a:dk2>
        <a:srgbClr val="B4DFD4"/>
      </a:dk2>
      <a:lt2>
        <a:srgbClr val="FFFFFF"/>
      </a:lt2>
      <a:accent1>
        <a:srgbClr val="1F1545"/>
      </a:accent1>
      <a:accent2>
        <a:srgbClr val="B6E9EA"/>
      </a:accent2>
      <a:accent3>
        <a:srgbClr val="84179D"/>
      </a:accent3>
      <a:accent4>
        <a:srgbClr val="01B03F"/>
      </a:accent4>
      <a:accent5>
        <a:srgbClr val="D00131"/>
      </a:accent5>
      <a:accent6>
        <a:srgbClr val="88DBDF"/>
      </a:accent6>
      <a:hlink>
        <a:srgbClr val="201546"/>
      </a:hlink>
      <a:folHlink>
        <a:srgbClr val="201546"/>
      </a:folHlink>
    </a:clrScheme>
    <a:fontScheme name="Red Hat Displa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txDef>
      <a:spPr>
        <a:solidFill>
          <a:schemeClr val="accent6">
            <a:lumMod val="20000"/>
            <a:lumOff val="80000"/>
          </a:schemeClr>
        </a:solidFill>
        <a:ln w="6350">
          <a:noFill/>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2024 Both Sectors Theme" id="{31B2B066-3607-E44E-A930-BF3C7537209A}" vid="{BEB4507B-C340-784E-95B4-CE8B936FB0F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D24950-FAE2-AB43-AAA6-6FDE866D0091}">
  <ds:schemaRefs>
    <ds:schemaRef ds:uri="http://schemas.openxmlformats.org/officeDocument/2006/bibliography"/>
  </ds:schemaRefs>
</ds:datastoreItem>
</file>

<file path=customXml/itemProps2.xml><?xml version="1.0" encoding="utf-8"?>
<ds:datastoreItem xmlns:ds="http://schemas.openxmlformats.org/officeDocument/2006/customXml" ds:itemID="{98D9F1DF-A368-46E9-ACB0-3D14C09FC333}">
  <ds:schemaRefs>
    <ds:schemaRef ds:uri="http://schemas.microsoft.com/office/2006/metadata/properties"/>
    <ds:schemaRef ds:uri="http://schemas.microsoft.com/office/infopath/2007/PartnerControls"/>
    <ds:schemaRef ds:uri="b5426cb8-9245-4716-8b42-991f5d301053"/>
    <ds:schemaRef ds:uri="37a2b200-f654-4ad0-9a63-c032a64fd972"/>
  </ds:schemaRefs>
</ds:datastoreItem>
</file>

<file path=customXml/itemProps3.xml><?xml version="1.0" encoding="utf-8"?>
<ds:datastoreItem xmlns:ds="http://schemas.openxmlformats.org/officeDocument/2006/customXml" ds:itemID="{1B5B590E-8181-484F-8E8B-020AF18D28E9}">
  <ds:schemaRefs>
    <ds:schemaRef ds:uri="http://schemas.microsoft.com/sharepoint/v3/contenttype/forms"/>
  </ds:schemaRefs>
</ds:datastoreItem>
</file>

<file path=customXml/itemProps4.xml><?xml version="1.0" encoding="utf-8"?>
<ds:datastoreItem xmlns:ds="http://schemas.openxmlformats.org/officeDocument/2006/customXml" ds:itemID="{8F30D60B-5872-4885-BC89-9BFA5599B6C6}"/>
</file>

<file path=docProps/app.xml><?xml version="1.0" encoding="utf-8"?>
<Properties xmlns="http://schemas.openxmlformats.org/officeDocument/2006/extended-properties" xmlns:vt="http://schemas.openxmlformats.org/officeDocument/2006/docPropsVTypes">
  <Template>Normal.dotm</Template>
  <TotalTime>18</TotalTime>
  <Pages>30</Pages>
  <Words>10807</Words>
  <Characters>61601</Characters>
  <Application>Microsoft Office Word</Application>
  <DocSecurity>0</DocSecurity>
  <Lines>513</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Daga Mikolaj</dc:creator>
  <cp:keywords/>
  <dc:description/>
  <cp:lastModifiedBy>Joseph Besford</cp:lastModifiedBy>
  <cp:revision>28</cp:revision>
  <cp:lastPrinted>2024-10-02T04:13:00Z</cp:lastPrinted>
  <dcterms:created xsi:type="dcterms:W3CDTF">2025-02-26T01:23:00Z</dcterms:created>
  <dcterms:modified xsi:type="dcterms:W3CDTF">2025-02-26T01:41:00Z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ClassificationContentMarkingHeaderShapeIds">
    <vt:lpwstr>5</vt:lpwstr>
  </property>
  <property fmtid="{D5CDD505-2E9C-101B-9397-08002B2CF9AE}" pid="4" name="ClassificationContentMarkingHeaderFontProps">
    <vt:lpwstr>#000000,12,Calibri</vt:lpwstr>
  </property>
  <property fmtid="{D5CDD505-2E9C-101B-9397-08002B2CF9AE}" pid="5" name="ClassificationContentMarkingHeaderText">
    <vt:lpwstr>Official Sensitive</vt:lpwstr>
  </property>
  <property fmtid="{D5CDD505-2E9C-101B-9397-08002B2CF9AE}" pid="6" name="MediaServiceImageTags">
    <vt:lpwstr/>
  </property>
  <property fmtid="{D5CDD505-2E9C-101B-9397-08002B2CF9AE}" pid="7" name="DEECD_Author">
    <vt:lpwstr>94;#Education|5232e41c-5101-41fe-b638-7d41d1371531</vt:lpwstr>
  </property>
  <property fmtid="{D5CDD505-2E9C-101B-9397-08002B2CF9AE}" pid="8" name="DEECD_ItemType">
    <vt:lpwstr>101;#Page|eb523acf-a821-456c-a76b-7607578309d7</vt:lpwstr>
  </property>
</Properties>
</file>