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1F513" w14:textId="72478454" w:rsidR="007E21F5" w:rsidRDefault="002828A7" w:rsidP="002828A7">
      <w:pPr>
        <w:pStyle w:val="Title"/>
        <w:rPr>
          <w:rFonts w:ascii="Arial" w:hAnsi="Arial" w:cs="Arial"/>
        </w:rPr>
      </w:pPr>
      <w:r w:rsidRPr="002828A7">
        <w:rPr>
          <w:rFonts w:ascii="Arial" w:hAnsi="Arial" w:cs="Arial"/>
        </w:rPr>
        <w:t>THE STATE OF VICTORIA’S CHILDREN REPORT 2018</w:t>
      </w:r>
    </w:p>
    <w:p w14:paraId="3CAC7BE2" w14:textId="7D4A413C" w:rsidR="00D852C5" w:rsidRPr="00D852C5" w:rsidRDefault="00D852C5" w:rsidP="00D852C5">
      <w:pPr>
        <w:pStyle w:val="Title"/>
      </w:pPr>
      <w:r>
        <w:t>Infographic summaries</w:t>
      </w:r>
    </w:p>
    <w:p w14:paraId="3A49D276" w14:textId="77777777" w:rsidR="00C66152" w:rsidRDefault="00C66152">
      <w:pPr>
        <w:rPr>
          <w:rFonts w:ascii="Arial" w:eastAsia="VIC Light" w:hAnsi="Arial" w:cs="Arial"/>
          <w:sz w:val="80"/>
          <w:szCs w:val="80"/>
          <w:lang w:val="en-US" w:bidi="en-US"/>
        </w:rPr>
      </w:pPr>
      <w:bookmarkStart w:id="0" w:name="_Toc33527732"/>
      <w:r>
        <w:rPr>
          <w:rFonts w:ascii="Arial" w:hAnsi="Arial" w:cs="Arial"/>
        </w:rPr>
        <w:br w:type="page"/>
      </w:r>
    </w:p>
    <w:p w14:paraId="1FADD4B9" w14:textId="3A5A6E64" w:rsidR="0022345D" w:rsidRPr="0022345D" w:rsidRDefault="0022345D" w:rsidP="0022345D">
      <w:pPr>
        <w:pStyle w:val="Heading1"/>
        <w:rPr>
          <w:rFonts w:ascii="Arial" w:hAnsi="Arial" w:cs="Arial"/>
        </w:rPr>
      </w:pPr>
      <w:r w:rsidRPr="0022345D">
        <w:rPr>
          <w:rFonts w:ascii="Arial" w:hAnsi="Arial" w:cs="Arial"/>
        </w:rPr>
        <w:lastRenderedPageBreak/>
        <w:t>PHYSICAL HEALTH</w:t>
      </w:r>
      <w:bookmarkEnd w:id="0"/>
    </w:p>
    <w:p w14:paraId="5BE8E3B5" w14:textId="77777777" w:rsidR="00CE1764" w:rsidRPr="00943FB0" w:rsidRDefault="00CE1764">
      <w:pPr>
        <w:rPr>
          <w:rFonts w:ascii="Arial" w:hAnsi="Arial" w:cs="Arial"/>
          <w:sz w:val="24"/>
        </w:rPr>
      </w:pPr>
      <w:r w:rsidRPr="00943FB0">
        <w:rPr>
          <w:rFonts w:ascii="Arial" w:hAnsi="Arial" w:cs="Arial"/>
          <w:sz w:val="24"/>
        </w:rPr>
        <w:t>Adolescence is a time of intense physiological change for young people.</w:t>
      </w:r>
    </w:p>
    <w:p w14:paraId="10748161" w14:textId="77777777" w:rsidR="00CE1764" w:rsidRPr="00943FB0" w:rsidRDefault="00CE1764" w:rsidP="00C66152">
      <w:pPr>
        <w:pStyle w:val="Heading2"/>
      </w:pPr>
      <w:r w:rsidRPr="0078464D">
        <w:rPr>
          <w:color w:val="auto"/>
        </w:rPr>
        <w:t>Health</w:t>
      </w:r>
    </w:p>
    <w:p w14:paraId="60942BEC" w14:textId="379CFA51" w:rsidR="00943FB0" w:rsidRPr="00943FB0" w:rsidRDefault="00CE1764" w:rsidP="00CE1764">
      <w:pPr>
        <w:rPr>
          <w:rFonts w:ascii="Arial" w:hAnsi="Arial" w:cs="Arial"/>
          <w:i/>
          <w:sz w:val="24"/>
        </w:rPr>
      </w:pPr>
      <w:r w:rsidRPr="00943FB0">
        <w:rPr>
          <w:rFonts w:ascii="Arial" w:hAnsi="Arial" w:cs="Arial"/>
          <w:i/>
          <w:sz w:val="24"/>
        </w:rPr>
        <w:t>Children who are happy, healthy and confident are better able to fully engage with</w:t>
      </w:r>
      <w:bookmarkStart w:id="1" w:name="_GoBack"/>
      <w:bookmarkEnd w:id="1"/>
      <w:r w:rsidRPr="00943FB0">
        <w:rPr>
          <w:rFonts w:ascii="Arial" w:hAnsi="Arial" w:cs="Arial"/>
          <w:i/>
          <w:sz w:val="24"/>
        </w:rPr>
        <w:t xml:space="preserve"> their environment, helping them to fulfil their potential.</w:t>
      </w:r>
    </w:p>
    <w:p w14:paraId="2F65D3BA" w14:textId="77777777" w:rsidR="00943FB0" w:rsidRPr="00BB372B" w:rsidRDefault="00943FB0" w:rsidP="00BB372B">
      <w:pPr>
        <w:pStyle w:val="ListParagraph"/>
        <w:numPr>
          <w:ilvl w:val="0"/>
          <w:numId w:val="40"/>
        </w:numPr>
        <w:rPr>
          <w:rFonts w:ascii="Arial" w:hAnsi="Arial" w:cs="Arial"/>
          <w:sz w:val="24"/>
        </w:rPr>
      </w:pPr>
      <w:r w:rsidRPr="00BB372B">
        <w:rPr>
          <w:rFonts w:ascii="Arial" w:hAnsi="Arial" w:cs="Arial"/>
          <w:sz w:val="24"/>
        </w:rPr>
        <w:t>4 in 5 Year 8 and 11 students believe that they are in good health.</w:t>
      </w:r>
    </w:p>
    <w:tbl>
      <w:tblPr>
        <w:tblStyle w:val="TableGrid"/>
        <w:tblW w:w="0" w:type="auto"/>
        <w:tblLook w:val="04A0" w:firstRow="1" w:lastRow="0" w:firstColumn="1" w:lastColumn="0" w:noHBand="0" w:noVBand="1"/>
        <w:tblDescription w:val="This table shows the proportion of students reporting 'good health' or better"/>
      </w:tblPr>
      <w:tblGrid>
        <w:gridCol w:w="3006"/>
        <w:gridCol w:w="3005"/>
        <w:gridCol w:w="3005"/>
      </w:tblGrid>
      <w:tr w:rsidR="00943FB0" w:rsidRPr="00943FB0" w14:paraId="33D0898F" w14:textId="77777777" w:rsidTr="00943FB0">
        <w:trPr>
          <w:tblHeader/>
        </w:trPr>
        <w:tc>
          <w:tcPr>
            <w:tcW w:w="3080" w:type="dxa"/>
          </w:tcPr>
          <w:p w14:paraId="70785BFC" w14:textId="77777777" w:rsidR="00943FB0" w:rsidRPr="00943FB0" w:rsidRDefault="00943FB0" w:rsidP="00943FB0">
            <w:pPr>
              <w:rPr>
                <w:rFonts w:ascii="Arial" w:hAnsi="Arial" w:cs="Arial"/>
                <w:sz w:val="24"/>
              </w:rPr>
            </w:pPr>
          </w:p>
        </w:tc>
        <w:tc>
          <w:tcPr>
            <w:tcW w:w="3081" w:type="dxa"/>
          </w:tcPr>
          <w:p w14:paraId="546DD572" w14:textId="77777777" w:rsidR="00943FB0" w:rsidRPr="00943FB0" w:rsidRDefault="00943FB0" w:rsidP="00943FB0">
            <w:pPr>
              <w:rPr>
                <w:rFonts w:ascii="Arial" w:hAnsi="Arial" w:cs="Arial"/>
                <w:sz w:val="24"/>
              </w:rPr>
            </w:pPr>
            <w:r w:rsidRPr="00943FB0">
              <w:rPr>
                <w:rFonts w:ascii="Arial" w:hAnsi="Arial" w:cs="Arial"/>
                <w:sz w:val="24"/>
              </w:rPr>
              <w:t>Year 8</w:t>
            </w:r>
          </w:p>
        </w:tc>
        <w:tc>
          <w:tcPr>
            <w:tcW w:w="3081" w:type="dxa"/>
          </w:tcPr>
          <w:p w14:paraId="14A25CD8" w14:textId="77777777" w:rsidR="00943FB0" w:rsidRPr="00943FB0" w:rsidRDefault="00943FB0" w:rsidP="00943FB0">
            <w:pPr>
              <w:rPr>
                <w:rFonts w:ascii="Arial" w:hAnsi="Arial" w:cs="Arial"/>
                <w:sz w:val="24"/>
              </w:rPr>
            </w:pPr>
            <w:r w:rsidRPr="00943FB0">
              <w:rPr>
                <w:rFonts w:ascii="Arial" w:hAnsi="Arial" w:cs="Arial"/>
                <w:sz w:val="24"/>
              </w:rPr>
              <w:t>Year 11</w:t>
            </w:r>
          </w:p>
        </w:tc>
      </w:tr>
      <w:tr w:rsidR="00943FB0" w:rsidRPr="00943FB0" w14:paraId="3AD9E577" w14:textId="77777777" w:rsidTr="00943FB0">
        <w:tc>
          <w:tcPr>
            <w:tcW w:w="3080" w:type="dxa"/>
          </w:tcPr>
          <w:p w14:paraId="623A0A8A" w14:textId="77777777" w:rsidR="00943FB0" w:rsidRPr="00943FB0" w:rsidRDefault="00943FB0" w:rsidP="00943FB0">
            <w:pPr>
              <w:rPr>
                <w:rFonts w:ascii="Arial" w:hAnsi="Arial" w:cs="Arial"/>
                <w:sz w:val="24"/>
              </w:rPr>
            </w:pPr>
            <w:r w:rsidRPr="00943FB0">
              <w:rPr>
                <w:rFonts w:ascii="Arial" w:hAnsi="Arial" w:cs="Arial"/>
                <w:sz w:val="24"/>
              </w:rPr>
              <w:t>2014</w:t>
            </w:r>
          </w:p>
        </w:tc>
        <w:tc>
          <w:tcPr>
            <w:tcW w:w="3081" w:type="dxa"/>
          </w:tcPr>
          <w:p w14:paraId="67B336EF" w14:textId="77777777" w:rsidR="00943FB0" w:rsidRPr="00943FB0" w:rsidRDefault="00943FB0" w:rsidP="00943FB0">
            <w:pPr>
              <w:rPr>
                <w:rFonts w:ascii="Arial" w:hAnsi="Arial" w:cs="Arial"/>
                <w:sz w:val="24"/>
              </w:rPr>
            </w:pPr>
            <w:r w:rsidRPr="00943FB0">
              <w:rPr>
                <w:rFonts w:ascii="Arial" w:hAnsi="Arial" w:cs="Arial"/>
                <w:sz w:val="24"/>
              </w:rPr>
              <w:t>87%</w:t>
            </w:r>
          </w:p>
        </w:tc>
        <w:tc>
          <w:tcPr>
            <w:tcW w:w="3081" w:type="dxa"/>
          </w:tcPr>
          <w:p w14:paraId="614F50C1" w14:textId="77777777" w:rsidR="00943FB0" w:rsidRPr="00943FB0" w:rsidRDefault="00943FB0" w:rsidP="00943FB0">
            <w:pPr>
              <w:rPr>
                <w:rFonts w:ascii="Arial" w:hAnsi="Arial" w:cs="Arial"/>
                <w:sz w:val="24"/>
              </w:rPr>
            </w:pPr>
            <w:r w:rsidRPr="00943FB0">
              <w:rPr>
                <w:rFonts w:ascii="Arial" w:hAnsi="Arial" w:cs="Arial"/>
                <w:sz w:val="24"/>
              </w:rPr>
              <w:t>81%</w:t>
            </w:r>
          </w:p>
        </w:tc>
      </w:tr>
      <w:tr w:rsidR="00943FB0" w:rsidRPr="00943FB0" w14:paraId="45CF4C5C" w14:textId="77777777" w:rsidTr="00943FB0">
        <w:tc>
          <w:tcPr>
            <w:tcW w:w="3080" w:type="dxa"/>
          </w:tcPr>
          <w:p w14:paraId="5444C88B" w14:textId="77777777" w:rsidR="00943FB0" w:rsidRPr="00943FB0" w:rsidRDefault="00943FB0" w:rsidP="00943FB0">
            <w:pPr>
              <w:rPr>
                <w:rFonts w:ascii="Arial" w:hAnsi="Arial" w:cs="Arial"/>
                <w:sz w:val="24"/>
              </w:rPr>
            </w:pPr>
            <w:r w:rsidRPr="00943FB0">
              <w:rPr>
                <w:rFonts w:ascii="Arial" w:hAnsi="Arial" w:cs="Arial"/>
                <w:sz w:val="24"/>
              </w:rPr>
              <w:t>2016</w:t>
            </w:r>
          </w:p>
        </w:tc>
        <w:tc>
          <w:tcPr>
            <w:tcW w:w="3081" w:type="dxa"/>
          </w:tcPr>
          <w:p w14:paraId="6DCE4CD1" w14:textId="77777777" w:rsidR="00943FB0" w:rsidRPr="00943FB0" w:rsidRDefault="00943FB0" w:rsidP="00943FB0">
            <w:pPr>
              <w:rPr>
                <w:rFonts w:ascii="Arial" w:hAnsi="Arial" w:cs="Arial"/>
                <w:sz w:val="24"/>
              </w:rPr>
            </w:pPr>
            <w:r w:rsidRPr="00943FB0">
              <w:rPr>
                <w:rFonts w:ascii="Arial" w:hAnsi="Arial" w:cs="Arial"/>
                <w:sz w:val="24"/>
              </w:rPr>
              <w:t>87%</w:t>
            </w:r>
          </w:p>
        </w:tc>
        <w:tc>
          <w:tcPr>
            <w:tcW w:w="3081" w:type="dxa"/>
          </w:tcPr>
          <w:p w14:paraId="1E65E357" w14:textId="77777777" w:rsidR="00943FB0" w:rsidRPr="00943FB0" w:rsidRDefault="00943FB0" w:rsidP="00943FB0">
            <w:pPr>
              <w:rPr>
                <w:rFonts w:ascii="Arial" w:hAnsi="Arial" w:cs="Arial"/>
                <w:sz w:val="24"/>
              </w:rPr>
            </w:pPr>
            <w:r w:rsidRPr="00943FB0">
              <w:rPr>
                <w:rFonts w:ascii="Arial" w:hAnsi="Arial" w:cs="Arial"/>
                <w:sz w:val="24"/>
              </w:rPr>
              <w:t>83%</w:t>
            </w:r>
          </w:p>
        </w:tc>
      </w:tr>
      <w:tr w:rsidR="00943FB0" w:rsidRPr="00943FB0" w14:paraId="6522DA65" w14:textId="77777777" w:rsidTr="00943FB0">
        <w:tc>
          <w:tcPr>
            <w:tcW w:w="3080" w:type="dxa"/>
          </w:tcPr>
          <w:p w14:paraId="3CB13166" w14:textId="77777777" w:rsidR="00943FB0" w:rsidRPr="00943FB0" w:rsidRDefault="00943FB0" w:rsidP="00943FB0">
            <w:pPr>
              <w:rPr>
                <w:rFonts w:ascii="Arial" w:hAnsi="Arial" w:cs="Arial"/>
                <w:sz w:val="24"/>
              </w:rPr>
            </w:pPr>
            <w:r w:rsidRPr="00943FB0">
              <w:rPr>
                <w:rFonts w:ascii="Arial" w:hAnsi="Arial" w:cs="Arial"/>
                <w:sz w:val="24"/>
              </w:rPr>
              <w:t>2018</w:t>
            </w:r>
          </w:p>
        </w:tc>
        <w:tc>
          <w:tcPr>
            <w:tcW w:w="3081" w:type="dxa"/>
          </w:tcPr>
          <w:p w14:paraId="74C0F6EF" w14:textId="77777777" w:rsidR="00943FB0" w:rsidRPr="00943FB0" w:rsidRDefault="00943FB0" w:rsidP="00943FB0">
            <w:pPr>
              <w:rPr>
                <w:rFonts w:ascii="Arial" w:hAnsi="Arial" w:cs="Arial"/>
                <w:sz w:val="24"/>
              </w:rPr>
            </w:pPr>
            <w:r w:rsidRPr="00943FB0">
              <w:rPr>
                <w:rFonts w:ascii="Arial" w:hAnsi="Arial" w:cs="Arial"/>
                <w:sz w:val="24"/>
              </w:rPr>
              <w:t>85%</w:t>
            </w:r>
          </w:p>
        </w:tc>
        <w:tc>
          <w:tcPr>
            <w:tcW w:w="3081" w:type="dxa"/>
          </w:tcPr>
          <w:p w14:paraId="29CE29B5" w14:textId="77777777" w:rsidR="00943FB0" w:rsidRPr="00943FB0" w:rsidRDefault="00943FB0" w:rsidP="00943FB0">
            <w:pPr>
              <w:rPr>
                <w:rFonts w:ascii="Arial" w:hAnsi="Arial" w:cs="Arial"/>
                <w:sz w:val="24"/>
              </w:rPr>
            </w:pPr>
            <w:r w:rsidRPr="00943FB0">
              <w:rPr>
                <w:rFonts w:ascii="Arial" w:hAnsi="Arial" w:cs="Arial"/>
                <w:sz w:val="24"/>
              </w:rPr>
              <w:t>80%</w:t>
            </w:r>
          </w:p>
        </w:tc>
      </w:tr>
    </w:tbl>
    <w:p w14:paraId="05214623" w14:textId="77777777" w:rsidR="00101E4D" w:rsidRDefault="00B65C0F" w:rsidP="00943FB0">
      <w:pPr>
        <w:rPr>
          <w:rFonts w:ascii="Arial" w:hAnsi="Arial" w:cs="Arial"/>
          <w:i/>
          <w:sz w:val="24"/>
        </w:rPr>
      </w:pPr>
      <w:r w:rsidRPr="001A5888">
        <w:rPr>
          <w:rFonts w:ascii="Arial" w:hAnsi="Arial" w:cs="Arial"/>
          <w:i/>
          <w:sz w:val="24"/>
        </w:rPr>
        <w:t>Source: Victorian Student Health and Wellbeing Survey 2014-2018</w:t>
      </w:r>
    </w:p>
    <w:p w14:paraId="688C6057" w14:textId="77777777" w:rsidR="00101E4D" w:rsidRPr="00101E4D" w:rsidRDefault="00101E4D" w:rsidP="00C66152">
      <w:pPr>
        <w:pStyle w:val="Heading2"/>
      </w:pPr>
      <w:r w:rsidRPr="0078464D">
        <w:rPr>
          <w:color w:val="auto"/>
        </w:rPr>
        <w:t>Physical activity</w:t>
      </w:r>
    </w:p>
    <w:p w14:paraId="6C58C936" w14:textId="77777777" w:rsidR="00101E4D" w:rsidRDefault="00101E4D" w:rsidP="00101E4D">
      <w:pPr>
        <w:rPr>
          <w:rFonts w:ascii="Arial" w:hAnsi="Arial" w:cs="Arial"/>
          <w:i/>
          <w:sz w:val="24"/>
        </w:rPr>
      </w:pPr>
      <w:r w:rsidRPr="00101E4D">
        <w:rPr>
          <w:rFonts w:ascii="Arial" w:hAnsi="Arial" w:cs="Arial"/>
          <w:i/>
          <w:sz w:val="24"/>
        </w:rPr>
        <w:t>Achieving recommended health and fitness goals, and avoiding excessive sedentary behaviour, can promote better health outcomes for young people.</w:t>
      </w:r>
    </w:p>
    <w:p w14:paraId="252C1421" w14:textId="77777777" w:rsidR="00101E4D" w:rsidRPr="00AF3E38" w:rsidRDefault="00AF3E38" w:rsidP="00AF3E38">
      <w:pPr>
        <w:pStyle w:val="ListParagraph"/>
        <w:numPr>
          <w:ilvl w:val="0"/>
          <w:numId w:val="35"/>
        </w:numPr>
        <w:rPr>
          <w:rFonts w:ascii="Arial" w:hAnsi="Arial" w:cs="Arial"/>
          <w:sz w:val="24"/>
        </w:rPr>
      </w:pPr>
      <w:r w:rsidRPr="00AF3E38">
        <w:rPr>
          <w:rFonts w:ascii="Arial" w:hAnsi="Arial" w:cs="Arial"/>
          <w:sz w:val="24"/>
        </w:rPr>
        <w:t>Fewer than 1 in 5 (17 per cent) Year 8 and 11 students are meeting national guidelines for 60 minutes of physical activity per day.</w:t>
      </w:r>
    </w:p>
    <w:p w14:paraId="270D050A" w14:textId="77777777" w:rsidR="00AF3E38" w:rsidRPr="00AF3E38" w:rsidRDefault="00AF3E38" w:rsidP="00AF3E38">
      <w:pPr>
        <w:pStyle w:val="ListParagraph"/>
        <w:numPr>
          <w:ilvl w:val="0"/>
          <w:numId w:val="35"/>
        </w:numPr>
        <w:rPr>
          <w:rFonts w:ascii="Arial" w:hAnsi="Arial" w:cs="Arial"/>
          <w:sz w:val="24"/>
        </w:rPr>
      </w:pPr>
      <w:r w:rsidRPr="00AF3E38">
        <w:rPr>
          <w:rFonts w:ascii="Arial" w:hAnsi="Arial" w:cs="Arial"/>
          <w:sz w:val="24"/>
        </w:rPr>
        <w:t>3 in 4 Victorian students (75 per cent) report that they are exceeding the recommended amount of two hours recreational screen time per day.</w:t>
      </w:r>
    </w:p>
    <w:p w14:paraId="39871C50" w14:textId="77777777" w:rsidR="008A13E2" w:rsidRPr="008A13E2" w:rsidRDefault="008A13E2" w:rsidP="008A13E2">
      <w:pPr>
        <w:rPr>
          <w:rFonts w:ascii="Arial" w:hAnsi="Arial" w:cs="Arial"/>
          <w:i/>
          <w:sz w:val="24"/>
        </w:rPr>
      </w:pPr>
      <w:r w:rsidRPr="008A13E2">
        <w:rPr>
          <w:rFonts w:ascii="Arial" w:hAnsi="Arial" w:cs="Arial"/>
          <w:i/>
          <w:sz w:val="24"/>
        </w:rPr>
        <w:t>Source: Victorian Student H</w:t>
      </w:r>
      <w:r>
        <w:rPr>
          <w:rFonts w:ascii="Arial" w:hAnsi="Arial" w:cs="Arial"/>
          <w:i/>
          <w:sz w:val="24"/>
        </w:rPr>
        <w:t xml:space="preserve">ealth and Wellbeing Survey </w:t>
      </w:r>
      <w:r w:rsidRPr="008A13E2">
        <w:rPr>
          <w:rFonts w:ascii="Arial" w:hAnsi="Arial" w:cs="Arial"/>
          <w:i/>
          <w:sz w:val="24"/>
        </w:rPr>
        <w:t>2018</w:t>
      </w:r>
    </w:p>
    <w:p w14:paraId="6E9B0D8A" w14:textId="77777777" w:rsidR="008A13E2" w:rsidRPr="008A13E2" w:rsidRDefault="008A13E2" w:rsidP="00C66152">
      <w:pPr>
        <w:pStyle w:val="Heading2"/>
      </w:pPr>
      <w:r w:rsidRPr="0078464D">
        <w:rPr>
          <w:color w:val="auto"/>
        </w:rPr>
        <w:t>Diet</w:t>
      </w:r>
    </w:p>
    <w:p w14:paraId="4D6361A4" w14:textId="77777777" w:rsidR="008A13E2" w:rsidRPr="008A13E2" w:rsidRDefault="008A13E2" w:rsidP="008A13E2">
      <w:pPr>
        <w:rPr>
          <w:rFonts w:ascii="Arial" w:hAnsi="Arial" w:cs="Arial"/>
          <w:i/>
          <w:sz w:val="24"/>
        </w:rPr>
      </w:pPr>
      <w:r w:rsidRPr="008A13E2">
        <w:rPr>
          <w:rFonts w:ascii="Arial" w:hAnsi="Arial" w:cs="Arial"/>
          <w:i/>
          <w:sz w:val="24"/>
        </w:rPr>
        <w:t>Good nutrition supports body and brain development,</w:t>
      </w:r>
      <w:r>
        <w:rPr>
          <w:rFonts w:ascii="Arial" w:hAnsi="Arial" w:cs="Arial"/>
          <w:i/>
          <w:sz w:val="24"/>
        </w:rPr>
        <w:t xml:space="preserve"> </w:t>
      </w:r>
      <w:r w:rsidRPr="008A13E2">
        <w:rPr>
          <w:rFonts w:ascii="Arial" w:hAnsi="Arial" w:cs="Arial"/>
          <w:i/>
          <w:sz w:val="24"/>
        </w:rPr>
        <w:t>aids concentration at school, and reduces the risk of health problems.</w:t>
      </w:r>
    </w:p>
    <w:p w14:paraId="78A5A9D1" w14:textId="77777777" w:rsidR="008A13E2" w:rsidRPr="008A13E2" w:rsidRDefault="008A13E2" w:rsidP="008A13E2">
      <w:pPr>
        <w:pStyle w:val="ListParagraph"/>
        <w:numPr>
          <w:ilvl w:val="0"/>
          <w:numId w:val="35"/>
        </w:numPr>
        <w:rPr>
          <w:rFonts w:ascii="Arial" w:hAnsi="Arial" w:cs="Arial"/>
          <w:sz w:val="24"/>
        </w:rPr>
      </w:pPr>
      <w:r w:rsidRPr="008A13E2">
        <w:rPr>
          <w:rFonts w:ascii="Arial" w:hAnsi="Arial" w:cs="Arial"/>
          <w:sz w:val="24"/>
        </w:rPr>
        <w:t>Around 3 in 5 Year 8 and 11 students meet national guidelines for fruit intake.</w:t>
      </w:r>
    </w:p>
    <w:p w14:paraId="06709D95" w14:textId="77777777" w:rsidR="008A13E2" w:rsidRPr="008A13E2" w:rsidRDefault="008A13E2" w:rsidP="008A13E2">
      <w:pPr>
        <w:pStyle w:val="ListParagraph"/>
        <w:numPr>
          <w:ilvl w:val="0"/>
          <w:numId w:val="35"/>
        </w:numPr>
        <w:rPr>
          <w:rFonts w:ascii="Arial" w:hAnsi="Arial" w:cs="Arial"/>
          <w:i/>
        </w:rPr>
      </w:pPr>
      <w:r w:rsidRPr="008A13E2">
        <w:rPr>
          <w:rFonts w:ascii="Arial" w:hAnsi="Arial" w:cs="Arial"/>
          <w:sz w:val="24"/>
        </w:rPr>
        <w:t>Only 1 in 10 Year 8 and 11 students meet national guidelines for vegetable intake.</w:t>
      </w:r>
    </w:p>
    <w:p w14:paraId="295A0AE9" w14:textId="77777777" w:rsidR="008A13E2" w:rsidRDefault="008A13E2" w:rsidP="008A13E2">
      <w:pPr>
        <w:rPr>
          <w:rFonts w:ascii="Arial" w:hAnsi="Arial" w:cs="Arial"/>
          <w:i/>
          <w:sz w:val="24"/>
        </w:rPr>
      </w:pPr>
      <w:r w:rsidRPr="008A13E2">
        <w:rPr>
          <w:rFonts w:ascii="Arial" w:hAnsi="Arial" w:cs="Arial"/>
          <w:i/>
          <w:sz w:val="24"/>
        </w:rPr>
        <w:t>Source: Victorian Student H</w:t>
      </w:r>
      <w:r>
        <w:rPr>
          <w:rFonts w:ascii="Arial" w:hAnsi="Arial" w:cs="Arial"/>
          <w:i/>
          <w:sz w:val="24"/>
        </w:rPr>
        <w:t>ealth and Wellbeing Survey</w:t>
      </w:r>
      <w:r w:rsidRPr="008A13E2">
        <w:rPr>
          <w:rFonts w:ascii="Arial" w:hAnsi="Arial" w:cs="Arial"/>
          <w:i/>
          <w:sz w:val="24"/>
        </w:rPr>
        <w:t xml:space="preserve"> 2018</w:t>
      </w:r>
    </w:p>
    <w:p w14:paraId="798B95E1" w14:textId="77777777" w:rsidR="008A13E2" w:rsidRPr="008A13E2" w:rsidRDefault="008A13E2" w:rsidP="00C66152">
      <w:pPr>
        <w:pStyle w:val="Heading2"/>
      </w:pPr>
      <w:r w:rsidRPr="0078464D">
        <w:rPr>
          <w:color w:val="auto"/>
        </w:rPr>
        <w:t>Sleep</w:t>
      </w:r>
    </w:p>
    <w:p w14:paraId="7B01D74A" w14:textId="77777777" w:rsidR="008A13E2" w:rsidRDefault="008A13E2" w:rsidP="008A13E2">
      <w:pPr>
        <w:rPr>
          <w:rFonts w:ascii="Arial" w:hAnsi="Arial" w:cs="Arial"/>
          <w:i/>
          <w:sz w:val="24"/>
        </w:rPr>
      </w:pPr>
      <w:r w:rsidRPr="008A13E2">
        <w:rPr>
          <w:rFonts w:ascii="Arial" w:hAnsi="Arial" w:cs="Arial"/>
          <w:i/>
          <w:sz w:val="24"/>
        </w:rPr>
        <w:t>Sleep is an important protective factor during adolescence,</w:t>
      </w:r>
      <w:r>
        <w:rPr>
          <w:rFonts w:ascii="Arial" w:hAnsi="Arial" w:cs="Arial"/>
          <w:i/>
          <w:sz w:val="24"/>
        </w:rPr>
        <w:t xml:space="preserve"> </w:t>
      </w:r>
      <w:r w:rsidRPr="008A13E2">
        <w:rPr>
          <w:rFonts w:ascii="Arial" w:hAnsi="Arial" w:cs="Arial"/>
          <w:i/>
          <w:sz w:val="24"/>
        </w:rPr>
        <w:t>influencing young people’s wellbeing and academic performance.</w:t>
      </w:r>
    </w:p>
    <w:p w14:paraId="10AD2A25" w14:textId="634DB105" w:rsidR="008A13E2" w:rsidRPr="008A13E2" w:rsidRDefault="00765E38" w:rsidP="008A13E2">
      <w:pPr>
        <w:pStyle w:val="ListParagraph"/>
        <w:numPr>
          <w:ilvl w:val="0"/>
          <w:numId w:val="35"/>
        </w:numPr>
        <w:rPr>
          <w:rFonts w:ascii="Arial" w:hAnsi="Arial" w:cs="Arial"/>
          <w:sz w:val="24"/>
        </w:rPr>
      </w:pPr>
      <w:bookmarkStart w:id="2" w:name="_Hlk35599607"/>
      <w:r>
        <w:rPr>
          <w:rFonts w:ascii="Arial" w:hAnsi="Arial" w:cs="Arial"/>
          <w:sz w:val="24"/>
        </w:rPr>
        <w:t>Students who rate their academic ability as ‘good’ or better are less likely to report sleep problems</w:t>
      </w:r>
      <w:bookmarkEnd w:id="2"/>
      <w:r w:rsidR="008A13E2" w:rsidRPr="008A13E2">
        <w:rPr>
          <w:rFonts w:ascii="Arial" w:hAnsi="Arial" w:cs="Arial"/>
          <w:sz w:val="24"/>
        </w:rPr>
        <w:t>: 56 per cent - no sleep problems; 46 per cent –sleep is a little bit of a problem; 38 per cent – sleep is a lot of a problem</w:t>
      </w:r>
    </w:p>
    <w:p w14:paraId="5E369572" w14:textId="77777777" w:rsidR="008A13E2" w:rsidRPr="008A13E2" w:rsidRDefault="008A13E2" w:rsidP="008A13E2">
      <w:pPr>
        <w:pStyle w:val="ListParagraph"/>
        <w:numPr>
          <w:ilvl w:val="0"/>
          <w:numId w:val="35"/>
        </w:numPr>
        <w:rPr>
          <w:rFonts w:ascii="Arial" w:hAnsi="Arial" w:cs="Arial"/>
          <w:sz w:val="24"/>
        </w:rPr>
      </w:pPr>
      <w:r w:rsidRPr="008A13E2">
        <w:rPr>
          <w:rFonts w:ascii="Arial" w:hAnsi="Arial" w:cs="Arial"/>
          <w:sz w:val="24"/>
        </w:rPr>
        <w:t>Of students with depressive symptoms, many report sleep problems: 11 per cent – no sleep problems; 40 per cent – sleep problems</w:t>
      </w:r>
    </w:p>
    <w:p w14:paraId="6F10259B" w14:textId="77777777" w:rsidR="008A13E2" w:rsidRDefault="008A13E2" w:rsidP="008A13E2">
      <w:pPr>
        <w:rPr>
          <w:rFonts w:ascii="Arial" w:hAnsi="Arial" w:cs="Arial"/>
          <w:i/>
          <w:sz w:val="24"/>
        </w:rPr>
      </w:pPr>
      <w:r w:rsidRPr="008A13E2">
        <w:rPr>
          <w:rFonts w:ascii="Arial" w:hAnsi="Arial" w:cs="Arial"/>
          <w:i/>
          <w:sz w:val="24"/>
        </w:rPr>
        <w:t>Source: Victorian Student Health and Wellbeing Survey 2018</w:t>
      </w:r>
    </w:p>
    <w:p w14:paraId="0F542FD4" w14:textId="77777777" w:rsidR="00F5117F" w:rsidRPr="00F5117F" w:rsidRDefault="00F5117F" w:rsidP="00C66152">
      <w:pPr>
        <w:pStyle w:val="Heading2"/>
      </w:pPr>
      <w:r w:rsidRPr="0078464D">
        <w:rPr>
          <w:color w:val="auto"/>
        </w:rPr>
        <w:lastRenderedPageBreak/>
        <w:t>Access</w:t>
      </w:r>
    </w:p>
    <w:p w14:paraId="2BBB7E88" w14:textId="77777777" w:rsidR="00F5117F" w:rsidRDefault="00F5117F" w:rsidP="00F5117F">
      <w:pPr>
        <w:rPr>
          <w:rFonts w:ascii="Arial" w:hAnsi="Arial" w:cs="Arial"/>
          <w:i/>
          <w:sz w:val="24"/>
        </w:rPr>
      </w:pPr>
      <w:r w:rsidRPr="00F5117F">
        <w:rPr>
          <w:rFonts w:ascii="Arial" w:hAnsi="Arial" w:cs="Arial"/>
          <w:i/>
          <w:sz w:val="24"/>
        </w:rPr>
        <w:t>Access to health care services is important for promoting and maintaining</w:t>
      </w:r>
      <w:r>
        <w:rPr>
          <w:rFonts w:ascii="Arial" w:hAnsi="Arial" w:cs="Arial"/>
          <w:i/>
          <w:sz w:val="24"/>
        </w:rPr>
        <w:t xml:space="preserve"> </w:t>
      </w:r>
      <w:r w:rsidRPr="00F5117F">
        <w:rPr>
          <w:rFonts w:ascii="Arial" w:hAnsi="Arial" w:cs="Arial"/>
          <w:i/>
          <w:sz w:val="24"/>
        </w:rPr>
        <w:t>health, preventing and managing illness, reducing unnecessary disability and</w:t>
      </w:r>
      <w:r>
        <w:rPr>
          <w:rFonts w:ascii="Arial" w:hAnsi="Arial" w:cs="Arial"/>
          <w:i/>
          <w:sz w:val="24"/>
        </w:rPr>
        <w:t xml:space="preserve"> </w:t>
      </w:r>
      <w:r w:rsidRPr="00F5117F">
        <w:rPr>
          <w:rFonts w:ascii="Arial" w:hAnsi="Arial" w:cs="Arial"/>
          <w:i/>
          <w:sz w:val="24"/>
        </w:rPr>
        <w:t>premature death, and achieving health equity for Victorian adolescents.</w:t>
      </w:r>
    </w:p>
    <w:p w14:paraId="52F1E8D1" w14:textId="77777777" w:rsidR="00F5117F" w:rsidRPr="00F5117F" w:rsidRDefault="00F5117F" w:rsidP="00F5117F">
      <w:pPr>
        <w:pStyle w:val="ListParagraph"/>
        <w:numPr>
          <w:ilvl w:val="0"/>
          <w:numId w:val="36"/>
        </w:numPr>
        <w:rPr>
          <w:rFonts w:ascii="Arial" w:hAnsi="Arial" w:cs="Arial"/>
          <w:sz w:val="24"/>
        </w:rPr>
      </w:pPr>
      <w:r w:rsidRPr="00F5117F">
        <w:rPr>
          <w:rFonts w:ascii="Arial" w:hAnsi="Arial" w:cs="Arial"/>
          <w:sz w:val="24"/>
        </w:rPr>
        <w:t>4 in 5 Year 8 and 11 students believe that they can access physical and dental health services when needed.</w:t>
      </w:r>
    </w:p>
    <w:p w14:paraId="257D89B9" w14:textId="77777777" w:rsidR="008A13E2" w:rsidRDefault="00F5117F" w:rsidP="008A13E2">
      <w:pPr>
        <w:rPr>
          <w:rFonts w:ascii="Arial" w:hAnsi="Arial" w:cs="Arial"/>
          <w:i/>
          <w:sz w:val="24"/>
        </w:rPr>
      </w:pPr>
      <w:r w:rsidRPr="00F5117F">
        <w:rPr>
          <w:rFonts w:ascii="Arial" w:hAnsi="Arial" w:cs="Arial"/>
          <w:i/>
          <w:sz w:val="24"/>
        </w:rPr>
        <w:t>Source: Victorian Student Health and Wellbeing Survey 2018</w:t>
      </w:r>
    </w:p>
    <w:p w14:paraId="4D9F57BA" w14:textId="77777777" w:rsidR="002A1CF9" w:rsidRPr="002A1CF9" w:rsidRDefault="002A1CF9" w:rsidP="00C66152">
      <w:pPr>
        <w:pStyle w:val="Heading2"/>
      </w:pPr>
      <w:r w:rsidRPr="0078464D">
        <w:rPr>
          <w:color w:val="auto"/>
        </w:rPr>
        <w:t>Risky behaviours</w:t>
      </w:r>
    </w:p>
    <w:p w14:paraId="74F569D6" w14:textId="77777777" w:rsidR="002A1CF9" w:rsidRPr="002A1CF9" w:rsidRDefault="002A1CF9" w:rsidP="002A1CF9">
      <w:pPr>
        <w:rPr>
          <w:rFonts w:ascii="Arial" w:hAnsi="Arial" w:cs="Arial"/>
          <w:i/>
          <w:sz w:val="24"/>
        </w:rPr>
      </w:pPr>
      <w:r w:rsidRPr="002A1CF9">
        <w:rPr>
          <w:rFonts w:ascii="Arial" w:hAnsi="Arial" w:cs="Arial"/>
          <w:i/>
          <w:sz w:val="24"/>
        </w:rPr>
        <w:t>The use of alcohol, tobacco or illicit drugs can have lasting</w:t>
      </w:r>
      <w:r>
        <w:rPr>
          <w:rFonts w:ascii="Arial" w:hAnsi="Arial" w:cs="Arial"/>
          <w:i/>
          <w:sz w:val="24"/>
        </w:rPr>
        <w:t xml:space="preserve"> </w:t>
      </w:r>
      <w:r w:rsidRPr="002A1CF9">
        <w:rPr>
          <w:rFonts w:ascii="Arial" w:hAnsi="Arial" w:cs="Arial"/>
          <w:i/>
          <w:sz w:val="24"/>
        </w:rPr>
        <w:t>consequences for a young person’s health, wellbeing and life outcomes.</w:t>
      </w:r>
    </w:p>
    <w:p w14:paraId="05EA2CD5" w14:textId="77777777" w:rsidR="00F5117F" w:rsidRPr="00BB372B" w:rsidRDefault="002A1CF9" w:rsidP="00BB372B">
      <w:pPr>
        <w:pStyle w:val="ListParagraph"/>
        <w:numPr>
          <w:ilvl w:val="0"/>
          <w:numId w:val="36"/>
        </w:numPr>
        <w:rPr>
          <w:rFonts w:ascii="Arial" w:hAnsi="Arial" w:cs="Arial"/>
          <w:sz w:val="24"/>
        </w:rPr>
      </w:pPr>
      <w:r w:rsidRPr="00BB372B">
        <w:rPr>
          <w:rFonts w:ascii="Arial" w:hAnsi="Arial" w:cs="Arial"/>
          <w:sz w:val="24"/>
        </w:rPr>
        <w:t>The proportion of adolescent students who report recent regular consumption</w:t>
      </w:r>
      <w:r w:rsidR="00E576D5" w:rsidRPr="00BB372B">
        <w:rPr>
          <w:rFonts w:ascii="Arial" w:hAnsi="Arial" w:cs="Arial"/>
          <w:sz w:val="24"/>
        </w:rPr>
        <w:t xml:space="preserve"> </w:t>
      </w:r>
      <w:r w:rsidRPr="00BB372B">
        <w:rPr>
          <w:rFonts w:ascii="Arial" w:hAnsi="Arial" w:cs="Arial"/>
          <w:sz w:val="24"/>
        </w:rPr>
        <w:t>of an illicit drug, tobacco or alcohol has declined over the past five years.</w:t>
      </w:r>
    </w:p>
    <w:tbl>
      <w:tblPr>
        <w:tblStyle w:val="TableGrid"/>
        <w:tblW w:w="0" w:type="auto"/>
        <w:tblLook w:val="04A0" w:firstRow="1" w:lastRow="0" w:firstColumn="1" w:lastColumn="0" w:noHBand="0" w:noVBand="1"/>
        <w:tblDescription w:val="This table shows the proportion of Victorian students in Years 8 and 11 who currently undertake risky behaviours, 2014, 2016 and 2018"/>
      </w:tblPr>
      <w:tblGrid>
        <w:gridCol w:w="2267"/>
        <w:gridCol w:w="2249"/>
        <w:gridCol w:w="2250"/>
        <w:gridCol w:w="2250"/>
      </w:tblGrid>
      <w:tr w:rsidR="00E576D5" w14:paraId="741C228B" w14:textId="77777777" w:rsidTr="007005E8">
        <w:trPr>
          <w:tblHeader/>
        </w:trPr>
        <w:tc>
          <w:tcPr>
            <w:tcW w:w="2310" w:type="dxa"/>
          </w:tcPr>
          <w:p w14:paraId="03C6A50D" w14:textId="77777777" w:rsidR="00E576D5" w:rsidRDefault="00E576D5" w:rsidP="002A1CF9">
            <w:pPr>
              <w:rPr>
                <w:rFonts w:ascii="Arial" w:hAnsi="Arial" w:cs="Arial"/>
                <w:sz w:val="24"/>
              </w:rPr>
            </w:pPr>
          </w:p>
        </w:tc>
        <w:tc>
          <w:tcPr>
            <w:tcW w:w="2310" w:type="dxa"/>
          </w:tcPr>
          <w:p w14:paraId="76B683A4" w14:textId="77777777" w:rsidR="00E576D5" w:rsidRDefault="00E576D5" w:rsidP="002A1CF9">
            <w:pPr>
              <w:rPr>
                <w:rFonts w:ascii="Arial" w:hAnsi="Arial" w:cs="Arial"/>
                <w:sz w:val="24"/>
              </w:rPr>
            </w:pPr>
            <w:r>
              <w:rPr>
                <w:rFonts w:ascii="Arial" w:hAnsi="Arial" w:cs="Arial"/>
                <w:sz w:val="24"/>
              </w:rPr>
              <w:t>2014</w:t>
            </w:r>
          </w:p>
        </w:tc>
        <w:tc>
          <w:tcPr>
            <w:tcW w:w="2311" w:type="dxa"/>
          </w:tcPr>
          <w:p w14:paraId="52E512F4" w14:textId="77777777" w:rsidR="00E576D5" w:rsidRDefault="00E576D5" w:rsidP="002A1CF9">
            <w:pPr>
              <w:rPr>
                <w:rFonts w:ascii="Arial" w:hAnsi="Arial" w:cs="Arial"/>
                <w:sz w:val="24"/>
              </w:rPr>
            </w:pPr>
            <w:r>
              <w:rPr>
                <w:rFonts w:ascii="Arial" w:hAnsi="Arial" w:cs="Arial"/>
                <w:sz w:val="24"/>
              </w:rPr>
              <w:t>2016</w:t>
            </w:r>
          </w:p>
        </w:tc>
        <w:tc>
          <w:tcPr>
            <w:tcW w:w="2311" w:type="dxa"/>
          </w:tcPr>
          <w:p w14:paraId="3914F588" w14:textId="77777777" w:rsidR="00E576D5" w:rsidRDefault="00E576D5" w:rsidP="002A1CF9">
            <w:pPr>
              <w:rPr>
                <w:rFonts w:ascii="Arial" w:hAnsi="Arial" w:cs="Arial"/>
                <w:sz w:val="24"/>
              </w:rPr>
            </w:pPr>
            <w:r>
              <w:rPr>
                <w:rFonts w:ascii="Arial" w:hAnsi="Arial" w:cs="Arial"/>
                <w:sz w:val="24"/>
              </w:rPr>
              <w:t>2018</w:t>
            </w:r>
          </w:p>
        </w:tc>
      </w:tr>
      <w:tr w:rsidR="00E576D5" w14:paraId="7A1F1483" w14:textId="77777777" w:rsidTr="00E576D5">
        <w:tc>
          <w:tcPr>
            <w:tcW w:w="2310" w:type="dxa"/>
          </w:tcPr>
          <w:p w14:paraId="76661AEA" w14:textId="77777777" w:rsidR="00E576D5" w:rsidRDefault="00E576D5" w:rsidP="002A1CF9">
            <w:pPr>
              <w:rPr>
                <w:rFonts w:ascii="Arial" w:hAnsi="Arial" w:cs="Arial"/>
                <w:sz w:val="24"/>
              </w:rPr>
            </w:pPr>
            <w:r>
              <w:rPr>
                <w:rFonts w:ascii="Arial" w:hAnsi="Arial" w:cs="Arial"/>
                <w:sz w:val="24"/>
              </w:rPr>
              <w:t>Year 8 – take illicit drugs</w:t>
            </w:r>
          </w:p>
        </w:tc>
        <w:tc>
          <w:tcPr>
            <w:tcW w:w="2310" w:type="dxa"/>
          </w:tcPr>
          <w:p w14:paraId="46237CEB" w14:textId="77777777" w:rsidR="00E576D5" w:rsidRDefault="00E576D5" w:rsidP="002A1CF9">
            <w:pPr>
              <w:rPr>
                <w:rFonts w:ascii="Arial" w:hAnsi="Arial" w:cs="Arial"/>
                <w:sz w:val="24"/>
              </w:rPr>
            </w:pPr>
            <w:r>
              <w:rPr>
                <w:rFonts w:ascii="Arial" w:hAnsi="Arial" w:cs="Arial"/>
                <w:sz w:val="24"/>
              </w:rPr>
              <w:t>4%</w:t>
            </w:r>
          </w:p>
        </w:tc>
        <w:tc>
          <w:tcPr>
            <w:tcW w:w="2311" w:type="dxa"/>
          </w:tcPr>
          <w:p w14:paraId="5A7C0B3A" w14:textId="77777777" w:rsidR="00E576D5" w:rsidRDefault="00E576D5" w:rsidP="002A1CF9">
            <w:pPr>
              <w:rPr>
                <w:rFonts w:ascii="Arial" w:hAnsi="Arial" w:cs="Arial"/>
                <w:sz w:val="24"/>
              </w:rPr>
            </w:pPr>
            <w:r>
              <w:rPr>
                <w:rFonts w:ascii="Arial" w:hAnsi="Arial" w:cs="Arial"/>
                <w:sz w:val="24"/>
              </w:rPr>
              <w:t>5%</w:t>
            </w:r>
          </w:p>
        </w:tc>
        <w:tc>
          <w:tcPr>
            <w:tcW w:w="2311" w:type="dxa"/>
          </w:tcPr>
          <w:p w14:paraId="63C79153" w14:textId="77777777" w:rsidR="00E576D5" w:rsidRDefault="00E576D5" w:rsidP="002A1CF9">
            <w:pPr>
              <w:rPr>
                <w:rFonts w:ascii="Arial" w:hAnsi="Arial" w:cs="Arial"/>
                <w:sz w:val="24"/>
              </w:rPr>
            </w:pPr>
            <w:r>
              <w:rPr>
                <w:rFonts w:ascii="Arial" w:hAnsi="Arial" w:cs="Arial"/>
                <w:sz w:val="24"/>
              </w:rPr>
              <w:t>4%</w:t>
            </w:r>
          </w:p>
        </w:tc>
      </w:tr>
      <w:tr w:rsidR="00E576D5" w14:paraId="75701F5D" w14:textId="77777777" w:rsidTr="00E576D5">
        <w:tc>
          <w:tcPr>
            <w:tcW w:w="2310" w:type="dxa"/>
          </w:tcPr>
          <w:p w14:paraId="1562CCFE" w14:textId="77777777" w:rsidR="00E576D5" w:rsidRDefault="00E576D5" w:rsidP="00E576D5">
            <w:pPr>
              <w:rPr>
                <w:rFonts w:ascii="Arial" w:hAnsi="Arial" w:cs="Arial"/>
                <w:sz w:val="24"/>
              </w:rPr>
            </w:pPr>
            <w:r>
              <w:rPr>
                <w:rFonts w:ascii="Arial" w:hAnsi="Arial" w:cs="Arial"/>
                <w:sz w:val="24"/>
              </w:rPr>
              <w:t>Year 8 – consume tobacco</w:t>
            </w:r>
          </w:p>
        </w:tc>
        <w:tc>
          <w:tcPr>
            <w:tcW w:w="2310" w:type="dxa"/>
          </w:tcPr>
          <w:p w14:paraId="0A5EF93A" w14:textId="77777777" w:rsidR="00E576D5" w:rsidRDefault="00E576D5" w:rsidP="002A1CF9">
            <w:pPr>
              <w:rPr>
                <w:rFonts w:ascii="Arial" w:hAnsi="Arial" w:cs="Arial"/>
                <w:sz w:val="24"/>
              </w:rPr>
            </w:pPr>
            <w:r>
              <w:rPr>
                <w:rFonts w:ascii="Arial" w:hAnsi="Arial" w:cs="Arial"/>
                <w:sz w:val="24"/>
              </w:rPr>
              <w:t>4%</w:t>
            </w:r>
          </w:p>
        </w:tc>
        <w:tc>
          <w:tcPr>
            <w:tcW w:w="2311" w:type="dxa"/>
          </w:tcPr>
          <w:p w14:paraId="788BEE73" w14:textId="77777777" w:rsidR="00E576D5" w:rsidRDefault="00E576D5" w:rsidP="002A1CF9">
            <w:pPr>
              <w:rPr>
                <w:rFonts w:ascii="Arial" w:hAnsi="Arial" w:cs="Arial"/>
                <w:sz w:val="24"/>
              </w:rPr>
            </w:pPr>
            <w:r>
              <w:rPr>
                <w:rFonts w:ascii="Arial" w:hAnsi="Arial" w:cs="Arial"/>
                <w:sz w:val="24"/>
              </w:rPr>
              <w:t>3%</w:t>
            </w:r>
          </w:p>
        </w:tc>
        <w:tc>
          <w:tcPr>
            <w:tcW w:w="2311" w:type="dxa"/>
          </w:tcPr>
          <w:p w14:paraId="2B479D73" w14:textId="77777777" w:rsidR="00E576D5" w:rsidRDefault="00E576D5" w:rsidP="002A1CF9">
            <w:pPr>
              <w:rPr>
                <w:rFonts w:ascii="Arial" w:hAnsi="Arial" w:cs="Arial"/>
                <w:sz w:val="24"/>
              </w:rPr>
            </w:pPr>
            <w:r>
              <w:rPr>
                <w:rFonts w:ascii="Arial" w:hAnsi="Arial" w:cs="Arial"/>
                <w:sz w:val="24"/>
              </w:rPr>
              <w:t>3%</w:t>
            </w:r>
          </w:p>
        </w:tc>
      </w:tr>
      <w:tr w:rsidR="00E576D5" w14:paraId="2E06F26B" w14:textId="77777777" w:rsidTr="00E576D5">
        <w:tc>
          <w:tcPr>
            <w:tcW w:w="2310" w:type="dxa"/>
          </w:tcPr>
          <w:p w14:paraId="697023C6" w14:textId="77777777" w:rsidR="00E576D5" w:rsidRDefault="00E576D5" w:rsidP="002A1CF9">
            <w:pPr>
              <w:rPr>
                <w:rFonts w:ascii="Arial" w:hAnsi="Arial" w:cs="Arial"/>
                <w:sz w:val="24"/>
              </w:rPr>
            </w:pPr>
            <w:r>
              <w:rPr>
                <w:rFonts w:ascii="Arial" w:hAnsi="Arial" w:cs="Arial"/>
                <w:sz w:val="24"/>
              </w:rPr>
              <w:t>Year 8 – drink alcohol</w:t>
            </w:r>
          </w:p>
        </w:tc>
        <w:tc>
          <w:tcPr>
            <w:tcW w:w="2310" w:type="dxa"/>
          </w:tcPr>
          <w:p w14:paraId="0E195FD7" w14:textId="77777777" w:rsidR="00E576D5" w:rsidRDefault="00E576D5" w:rsidP="002A1CF9">
            <w:pPr>
              <w:rPr>
                <w:rFonts w:ascii="Arial" w:hAnsi="Arial" w:cs="Arial"/>
                <w:sz w:val="24"/>
              </w:rPr>
            </w:pPr>
            <w:r>
              <w:rPr>
                <w:rFonts w:ascii="Arial" w:hAnsi="Arial" w:cs="Arial"/>
                <w:sz w:val="24"/>
              </w:rPr>
              <w:t>9%</w:t>
            </w:r>
          </w:p>
        </w:tc>
        <w:tc>
          <w:tcPr>
            <w:tcW w:w="2311" w:type="dxa"/>
          </w:tcPr>
          <w:p w14:paraId="7E7E66B6" w14:textId="77777777" w:rsidR="00E576D5" w:rsidRDefault="00E576D5" w:rsidP="002A1CF9">
            <w:pPr>
              <w:rPr>
                <w:rFonts w:ascii="Arial" w:hAnsi="Arial" w:cs="Arial"/>
                <w:sz w:val="24"/>
              </w:rPr>
            </w:pPr>
            <w:r>
              <w:rPr>
                <w:rFonts w:ascii="Arial" w:hAnsi="Arial" w:cs="Arial"/>
                <w:sz w:val="24"/>
              </w:rPr>
              <w:t>8%</w:t>
            </w:r>
          </w:p>
        </w:tc>
        <w:tc>
          <w:tcPr>
            <w:tcW w:w="2311" w:type="dxa"/>
          </w:tcPr>
          <w:p w14:paraId="52374961" w14:textId="77777777" w:rsidR="00E576D5" w:rsidRDefault="00E576D5" w:rsidP="002A1CF9">
            <w:pPr>
              <w:rPr>
                <w:rFonts w:ascii="Arial" w:hAnsi="Arial" w:cs="Arial"/>
                <w:sz w:val="24"/>
              </w:rPr>
            </w:pPr>
            <w:r>
              <w:rPr>
                <w:rFonts w:ascii="Arial" w:hAnsi="Arial" w:cs="Arial"/>
                <w:sz w:val="24"/>
              </w:rPr>
              <w:t>8%</w:t>
            </w:r>
          </w:p>
        </w:tc>
      </w:tr>
      <w:tr w:rsidR="00E576D5" w14:paraId="64E7909B" w14:textId="77777777" w:rsidTr="00E576D5">
        <w:tc>
          <w:tcPr>
            <w:tcW w:w="2310" w:type="dxa"/>
          </w:tcPr>
          <w:p w14:paraId="5B8EC717" w14:textId="77777777" w:rsidR="00E576D5" w:rsidRDefault="00E576D5" w:rsidP="00467486">
            <w:pPr>
              <w:rPr>
                <w:rFonts w:ascii="Arial" w:hAnsi="Arial" w:cs="Arial"/>
                <w:sz w:val="24"/>
              </w:rPr>
            </w:pPr>
            <w:r>
              <w:rPr>
                <w:rFonts w:ascii="Arial" w:hAnsi="Arial" w:cs="Arial"/>
                <w:sz w:val="24"/>
              </w:rPr>
              <w:t>Year 11 – take illicit drugs</w:t>
            </w:r>
          </w:p>
        </w:tc>
        <w:tc>
          <w:tcPr>
            <w:tcW w:w="2310" w:type="dxa"/>
          </w:tcPr>
          <w:p w14:paraId="0F789D7E" w14:textId="77777777" w:rsidR="00E576D5" w:rsidRDefault="00E576D5" w:rsidP="002A1CF9">
            <w:pPr>
              <w:rPr>
                <w:rFonts w:ascii="Arial" w:hAnsi="Arial" w:cs="Arial"/>
                <w:sz w:val="24"/>
              </w:rPr>
            </w:pPr>
            <w:r>
              <w:rPr>
                <w:rFonts w:ascii="Arial" w:hAnsi="Arial" w:cs="Arial"/>
                <w:sz w:val="24"/>
              </w:rPr>
              <w:t>13%</w:t>
            </w:r>
          </w:p>
        </w:tc>
        <w:tc>
          <w:tcPr>
            <w:tcW w:w="2311" w:type="dxa"/>
          </w:tcPr>
          <w:p w14:paraId="213E9FFA" w14:textId="77777777" w:rsidR="00E576D5" w:rsidRDefault="00E576D5" w:rsidP="002A1CF9">
            <w:pPr>
              <w:rPr>
                <w:rFonts w:ascii="Arial" w:hAnsi="Arial" w:cs="Arial"/>
                <w:sz w:val="24"/>
              </w:rPr>
            </w:pPr>
            <w:r>
              <w:rPr>
                <w:rFonts w:ascii="Arial" w:hAnsi="Arial" w:cs="Arial"/>
                <w:sz w:val="24"/>
              </w:rPr>
              <w:t>13%</w:t>
            </w:r>
          </w:p>
        </w:tc>
        <w:tc>
          <w:tcPr>
            <w:tcW w:w="2311" w:type="dxa"/>
          </w:tcPr>
          <w:p w14:paraId="7A8BEBF2" w14:textId="77777777" w:rsidR="00E576D5" w:rsidRDefault="00E576D5" w:rsidP="002A1CF9">
            <w:pPr>
              <w:rPr>
                <w:rFonts w:ascii="Arial" w:hAnsi="Arial" w:cs="Arial"/>
                <w:sz w:val="24"/>
              </w:rPr>
            </w:pPr>
            <w:r>
              <w:rPr>
                <w:rFonts w:ascii="Arial" w:hAnsi="Arial" w:cs="Arial"/>
                <w:sz w:val="24"/>
              </w:rPr>
              <w:t>10%</w:t>
            </w:r>
          </w:p>
        </w:tc>
      </w:tr>
      <w:tr w:rsidR="00E576D5" w14:paraId="055451D6" w14:textId="77777777" w:rsidTr="00E576D5">
        <w:tc>
          <w:tcPr>
            <w:tcW w:w="2310" w:type="dxa"/>
          </w:tcPr>
          <w:p w14:paraId="22A38784" w14:textId="77777777" w:rsidR="00E576D5" w:rsidRDefault="00E576D5" w:rsidP="00467486">
            <w:pPr>
              <w:rPr>
                <w:rFonts w:ascii="Arial" w:hAnsi="Arial" w:cs="Arial"/>
                <w:sz w:val="24"/>
              </w:rPr>
            </w:pPr>
            <w:r>
              <w:rPr>
                <w:rFonts w:ascii="Arial" w:hAnsi="Arial" w:cs="Arial"/>
                <w:sz w:val="24"/>
              </w:rPr>
              <w:t>Year 11 – consume tobacco</w:t>
            </w:r>
          </w:p>
        </w:tc>
        <w:tc>
          <w:tcPr>
            <w:tcW w:w="2310" w:type="dxa"/>
          </w:tcPr>
          <w:p w14:paraId="76929A6F" w14:textId="77777777" w:rsidR="00E576D5" w:rsidRDefault="00E576D5" w:rsidP="002A1CF9">
            <w:pPr>
              <w:rPr>
                <w:rFonts w:ascii="Arial" w:hAnsi="Arial" w:cs="Arial"/>
                <w:sz w:val="24"/>
              </w:rPr>
            </w:pPr>
            <w:r>
              <w:rPr>
                <w:rFonts w:ascii="Arial" w:hAnsi="Arial" w:cs="Arial"/>
                <w:sz w:val="24"/>
              </w:rPr>
              <w:t>20%</w:t>
            </w:r>
          </w:p>
        </w:tc>
        <w:tc>
          <w:tcPr>
            <w:tcW w:w="2311" w:type="dxa"/>
          </w:tcPr>
          <w:p w14:paraId="713B791A" w14:textId="77777777" w:rsidR="00E576D5" w:rsidRDefault="00E576D5" w:rsidP="002A1CF9">
            <w:pPr>
              <w:rPr>
                <w:rFonts w:ascii="Arial" w:hAnsi="Arial" w:cs="Arial"/>
                <w:sz w:val="24"/>
              </w:rPr>
            </w:pPr>
            <w:r>
              <w:rPr>
                <w:rFonts w:ascii="Arial" w:hAnsi="Arial" w:cs="Arial"/>
                <w:sz w:val="24"/>
              </w:rPr>
              <w:t>15%</w:t>
            </w:r>
          </w:p>
        </w:tc>
        <w:tc>
          <w:tcPr>
            <w:tcW w:w="2311" w:type="dxa"/>
          </w:tcPr>
          <w:p w14:paraId="11A1C020" w14:textId="77777777" w:rsidR="00E576D5" w:rsidRDefault="00E576D5" w:rsidP="002A1CF9">
            <w:pPr>
              <w:rPr>
                <w:rFonts w:ascii="Arial" w:hAnsi="Arial" w:cs="Arial"/>
                <w:sz w:val="24"/>
              </w:rPr>
            </w:pPr>
            <w:r>
              <w:rPr>
                <w:rFonts w:ascii="Arial" w:hAnsi="Arial" w:cs="Arial"/>
                <w:sz w:val="24"/>
              </w:rPr>
              <w:t>13%</w:t>
            </w:r>
          </w:p>
        </w:tc>
      </w:tr>
      <w:tr w:rsidR="00E576D5" w14:paraId="5C408E6D" w14:textId="77777777" w:rsidTr="00E576D5">
        <w:tc>
          <w:tcPr>
            <w:tcW w:w="2310" w:type="dxa"/>
          </w:tcPr>
          <w:p w14:paraId="0ED439CA" w14:textId="77777777" w:rsidR="00E576D5" w:rsidRDefault="00E576D5" w:rsidP="00467486">
            <w:pPr>
              <w:rPr>
                <w:rFonts w:ascii="Arial" w:hAnsi="Arial" w:cs="Arial"/>
                <w:sz w:val="24"/>
              </w:rPr>
            </w:pPr>
            <w:r>
              <w:rPr>
                <w:rFonts w:ascii="Arial" w:hAnsi="Arial" w:cs="Arial"/>
                <w:sz w:val="24"/>
              </w:rPr>
              <w:t>Year 11 – drink alcohol</w:t>
            </w:r>
          </w:p>
        </w:tc>
        <w:tc>
          <w:tcPr>
            <w:tcW w:w="2310" w:type="dxa"/>
          </w:tcPr>
          <w:p w14:paraId="7EB9B2F3" w14:textId="77777777" w:rsidR="00E576D5" w:rsidRDefault="00E576D5" w:rsidP="002A1CF9">
            <w:pPr>
              <w:rPr>
                <w:rFonts w:ascii="Arial" w:hAnsi="Arial" w:cs="Arial"/>
                <w:sz w:val="24"/>
              </w:rPr>
            </w:pPr>
            <w:r>
              <w:rPr>
                <w:rFonts w:ascii="Arial" w:hAnsi="Arial" w:cs="Arial"/>
                <w:sz w:val="24"/>
              </w:rPr>
              <w:t>38%</w:t>
            </w:r>
          </w:p>
        </w:tc>
        <w:tc>
          <w:tcPr>
            <w:tcW w:w="2311" w:type="dxa"/>
          </w:tcPr>
          <w:p w14:paraId="351319CD" w14:textId="77777777" w:rsidR="00E576D5" w:rsidRDefault="00E576D5" w:rsidP="002A1CF9">
            <w:pPr>
              <w:rPr>
                <w:rFonts w:ascii="Arial" w:hAnsi="Arial" w:cs="Arial"/>
                <w:sz w:val="24"/>
              </w:rPr>
            </w:pPr>
            <w:r>
              <w:rPr>
                <w:rFonts w:ascii="Arial" w:hAnsi="Arial" w:cs="Arial"/>
                <w:sz w:val="24"/>
              </w:rPr>
              <w:t>36%</w:t>
            </w:r>
          </w:p>
        </w:tc>
        <w:tc>
          <w:tcPr>
            <w:tcW w:w="2311" w:type="dxa"/>
          </w:tcPr>
          <w:p w14:paraId="38D19B53" w14:textId="77777777" w:rsidR="00E576D5" w:rsidRDefault="00E576D5" w:rsidP="002A1CF9">
            <w:pPr>
              <w:rPr>
                <w:rFonts w:ascii="Arial" w:hAnsi="Arial" w:cs="Arial"/>
                <w:sz w:val="24"/>
              </w:rPr>
            </w:pPr>
            <w:r>
              <w:rPr>
                <w:rFonts w:ascii="Arial" w:hAnsi="Arial" w:cs="Arial"/>
                <w:sz w:val="24"/>
              </w:rPr>
              <w:t>31%</w:t>
            </w:r>
          </w:p>
        </w:tc>
      </w:tr>
    </w:tbl>
    <w:p w14:paraId="33A4CC2E" w14:textId="77777777" w:rsidR="00E576D5" w:rsidRDefault="00E576D5" w:rsidP="00E576D5">
      <w:pPr>
        <w:rPr>
          <w:rFonts w:ascii="Arial" w:hAnsi="Arial" w:cs="Arial"/>
          <w:i/>
          <w:sz w:val="24"/>
        </w:rPr>
      </w:pPr>
      <w:r w:rsidRPr="00F5117F">
        <w:rPr>
          <w:rFonts w:ascii="Arial" w:hAnsi="Arial" w:cs="Arial"/>
          <w:i/>
          <w:sz w:val="24"/>
        </w:rPr>
        <w:t>Source: Victorian Student Health and Wellbeing Survey 2018</w:t>
      </w:r>
    </w:p>
    <w:p w14:paraId="5439DFB8" w14:textId="77777777" w:rsidR="00E576D5" w:rsidRPr="00E576D5" w:rsidRDefault="00E576D5" w:rsidP="002A1CF9">
      <w:pPr>
        <w:rPr>
          <w:rFonts w:ascii="Arial" w:hAnsi="Arial" w:cs="Arial"/>
          <w:sz w:val="24"/>
        </w:rPr>
      </w:pPr>
    </w:p>
    <w:p w14:paraId="4B487BF8" w14:textId="19282772" w:rsidR="0022345D" w:rsidRPr="008A13E2" w:rsidRDefault="0022345D" w:rsidP="008A13E2">
      <w:pPr>
        <w:rPr>
          <w:rFonts w:ascii="Arial" w:hAnsi="Arial" w:cs="Arial"/>
          <w:i/>
        </w:rPr>
      </w:pPr>
    </w:p>
    <w:p w14:paraId="1211397B" w14:textId="77777777" w:rsidR="00C66152" w:rsidRDefault="00C66152">
      <w:pPr>
        <w:rPr>
          <w:rFonts w:ascii="Arial" w:eastAsia="VIC Light" w:hAnsi="Arial" w:cs="Arial"/>
          <w:sz w:val="80"/>
          <w:szCs w:val="80"/>
          <w:lang w:val="en-US" w:bidi="en-US"/>
        </w:rPr>
      </w:pPr>
      <w:bookmarkStart w:id="3" w:name="_Toc33527750"/>
      <w:r>
        <w:rPr>
          <w:rFonts w:ascii="Arial" w:hAnsi="Arial" w:cs="Arial"/>
        </w:rPr>
        <w:br w:type="page"/>
      </w:r>
    </w:p>
    <w:p w14:paraId="2089581C" w14:textId="2448A5E6" w:rsidR="00595E88" w:rsidRPr="00F53576" w:rsidRDefault="00595E88" w:rsidP="00F53576">
      <w:pPr>
        <w:pStyle w:val="Heading1"/>
        <w:rPr>
          <w:rFonts w:ascii="Arial" w:hAnsi="Arial" w:cs="Arial"/>
        </w:rPr>
      </w:pPr>
      <w:r w:rsidRPr="00F53576">
        <w:rPr>
          <w:rFonts w:ascii="Arial" w:hAnsi="Arial" w:cs="Arial"/>
        </w:rPr>
        <w:lastRenderedPageBreak/>
        <w:t>SOCIAL &amp; EMOTIONAL WELLBEING</w:t>
      </w:r>
      <w:bookmarkEnd w:id="3"/>
    </w:p>
    <w:p w14:paraId="0E09247A" w14:textId="77777777" w:rsidR="00947C7D" w:rsidRDefault="00947C7D" w:rsidP="00947C7D">
      <w:pPr>
        <w:rPr>
          <w:rFonts w:ascii="Arial" w:hAnsi="Arial" w:cs="Arial"/>
          <w:sz w:val="24"/>
        </w:rPr>
      </w:pPr>
      <w:r w:rsidRPr="00947C7D">
        <w:rPr>
          <w:rFonts w:ascii="Arial" w:hAnsi="Arial" w:cs="Arial"/>
          <w:sz w:val="24"/>
        </w:rPr>
        <w:t>Adolescence is a crucial period of neurological and social development.</w:t>
      </w:r>
    </w:p>
    <w:p w14:paraId="0FC91B30" w14:textId="77777777" w:rsidR="00CE77CF" w:rsidRDefault="00CE77CF" w:rsidP="00C66152">
      <w:pPr>
        <w:pStyle w:val="Heading2"/>
      </w:pPr>
      <w:r w:rsidRPr="0078464D">
        <w:rPr>
          <w:color w:val="auto"/>
        </w:rPr>
        <w:t>Connection and satisfaction</w:t>
      </w:r>
    </w:p>
    <w:p w14:paraId="3124C320" w14:textId="77777777" w:rsidR="00CE77CF" w:rsidRPr="00CE77CF" w:rsidRDefault="00CE77CF" w:rsidP="00CE77CF">
      <w:pPr>
        <w:rPr>
          <w:rFonts w:ascii="Arial" w:hAnsi="Arial" w:cs="Arial"/>
          <w:i/>
          <w:sz w:val="24"/>
        </w:rPr>
      </w:pPr>
      <w:r w:rsidRPr="00CE77CF">
        <w:rPr>
          <w:rFonts w:ascii="Arial" w:hAnsi="Arial" w:cs="Arial"/>
          <w:i/>
          <w:sz w:val="24"/>
        </w:rPr>
        <w:t>Connection to peers and life satisfaction are important contributors to adolescents’ wellbeing.</w:t>
      </w:r>
    </w:p>
    <w:p w14:paraId="6A5E6F6D" w14:textId="77777777" w:rsidR="00CE77CF" w:rsidRPr="00CE77CF" w:rsidRDefault="00CE77CF" w:rsidP="00CE77CF">
      <w:pPr>
        <w:pStyle w:val="ListParagraph"/>
        <w:numPr>
          <w:ilvl w:val="0"/>
          <w:numId w:val="37"/>
        </w:numPr>
        <w:rPr>
          <w:rFonts w:ascii="Arial" w:hAnsi="Arial" w:cs="Arial"/>
          <w:sz w:val="24"/>
        </w:rPr>
      </w:pPr>
      <w:r w:rsidRPr="00CE77CF">
        <w:rPr>
          <w:rFonts w:ascii="Arial" w:hAnsi="Arial" w:cs="Arial"/>
          <w:sz w:val="24"/>
        </w:rPr>
        <w:t>More than 9 in 10 Year 8 and 11 students (93 per cent) report feeling connected to their peers</w:t>
      </w:r>
    </w:p>
    <w:p w14:paraId="43E58968" w14:textId="77777777" w:rsidR="00CE77CF" w:rsidRPr="00CE77CF" w:rsidRDefault="00CE77CF" w:rsidP="00CE77CF">
      <w:pPr>
        <w:pStyle w:val="ListParagraph"/>
        <w:numPr>
          <w:ilvl w:val="0"/>
          <w:numId w:val="37"/>
        </w:numPr>
        <w:rPr>
          <w:rFonts w:ascii="Arial" w:hAnsi="Arial" w:cs="Arial"/>
          <w:sz w:val="24"/>
        </w:rPr>
      </w:pPr>
      <w:r w:rsidRPr="00CE77CF">
        <w:rPr>
          <w:rFonts w:ascii="Arial" w:hAnsi="Arial" w:cs="Arial"/>
          <w:sz w:val="24"/>
        </w:rPr>
        <w:t>Around 2 in 3 (68 per cent) are satisfied with their quality of life. This is a significant decline on 2014 levels.</w:t>
      </w:r>
    </w:p>
    <w:p w14:paraId="57D52855" w14:textId="77777777" w:rsidR="00CE77CF" w:rsidRDefault="00CE77CF" w:rsidP="00CE77CF">
      <w:pPr>
        <w:rPr>
          <w:rFonts w:ascii="Arial" w:hAnsi="Arial" w:cs="Arial"/>
          <w:i/>
          <w:sz w:val="24"/>
        </w:rPr>
      </w:pPr>
      <w:r w:rsidRPr="00CE77CF">
        <w:rPr>
          <w:rFonts w:ascii="Arial" w:hAnsi="Arial" w:cs="Arial"/>
          <w:i/>
          <w:sz w:val="24"/>
        </w:rPr>
        <w:t>Source: Victorian Student Health and Wellbeing Survey 2018</w:t>
      </w:r>
    </w:p>
    <w:p w14:paraId="27791EA5" w14:textId="77777777" w:rsidR="003F02BB" w:rsidRDefault="003F02BB" w:rsidP="00C66152">
      <w:pPr>
        <w:pStyle w:val="Heading2"/>
      </w:pPr>
      <w:r w:rsidRPr="0078464D">
        <w:rPr>
          <w:color w:val="auto"/>
        </w:rPr>
        <w:t>Bullying</w:t>
      </w:r>
    </w:p>
    <w:p w14:paraId="6C996AA4" w14:textId="77777777" w:rsidR="00CB3C28" w:rsidRDefault="00CB3C28" w:rsidP="00CB3C28">
      <w:pPr>
        <w:rPr>
          <w:rFonts w:ascii="Arial" w:hAnsi="Arial" w:cs="Arial"/>
          <w:i/>
        </w:rPr>
      </w:pPr>
      <w:r w:rsidRPr="00CB3C28">
        <w:rPr>
          <w:rFonts w:ascii="Arial" w:hAnsi="Arial" w:cs="Arial"/>
          <w:i/>
          <w:sz w:val="24"/>
        </w:rPr>
        <w:t>Adolescents who have been bullied or cyberbullied are more likely to be absent from school, and more likely to experience negative mental health outcomes.</w:t>
      </w:r>
    </w:p>
    <w:p w14:paraId="549D1973" w14:textId="77777777" w:rsidR="00313A89" w:rsidRPr="00313A89" w:rsidRDefault="00313A89" w:rsidP="00313A89">
      <w:pPr>
        <w:pStyle w:val="ListParagraph"/>
        <w:numPr>
          <w:ilvl w:val="0"/>
          <w:numId w:val="38"/>
        </w:numPr>
        <w:rPr>
          <w:rFonts w:ascii="Arial" w:hAnsi="Arial" w:cs="Arial"/>
          <w:sz w:val="24"/>
        </w:rPr>
      </w:pPr>
      <w:r w:rsidRPr="00313A89">
        <w:rPr>
          <w:rFonts w:ascii="Arial" w:hAnsi="Arial" w:cs="Arial"/>
          <w:sz w:val="24"/>
        </w:rPr>
        <w:t>1 in 10 Victorian Year 8 and 11 students were bullied in the previous term.</w:t>
      </w:r>
    </w:p>
    <w:p w14:paraId="29E644FE" w14:textId="77777777" w:rsidR="00313A89" w:rsidRPr="00313A89" w:rsidRDefault="00313A89" w:rsidP="00313A89">
      <w:pPr>
        <w:pStyle w:val="ListParagraph"/>
        <w:numPr>
          <w:ilvl w:val="0"/>
          <w:numId w:val="38"/>
        </w:numPr>
        <w:rPr>
          <w:rFonts w:ascii="Arial" w:hAnsi="Arial" w:cs="Arial"/>
          <w:i/>
        </w:rPr>
      </w:pPr>
      <w:r w:rsidRPr="00313A89">
        <w:rPr>
          <w:rFonts w:ascii="Arial" w:hAnsi="Arial" w:cs="Arial"/>
          <w:sz w:val="24"/>
        </w:rPr>
        <w:t>1 in 10 students were cyberbullied in the past year.</w:t>
      </w:r>
    </w:p>
    <w:p w14:paraId="01F1938D" w14:textId="77777777" w:rsidR="00313A89" w:rsidRDefault="00313A89" w:rsidP="00313A89">
      <w:pPr>
        <w:rPr>
          <w:rFonts w:ascii="Arial" w:hAnsi="Arial" w:cs="Arial"/>
          <w:i/>
        </w:rPr>
      </w:pPr>
    </w:p>
    <w:tbl>
      <w:tblPr>
        <w:tblStyle w:val="TableGrid"/>
        <w:tblW w:w="5000" w:type="pct"/>
        <w:tblLook w:val="04A0" w:firstRow="1" w:lastRow="0" w:firstColumn="1" w:lastColumn="0" w:noHBand="0" w:noVBand="1"/>
        <w:tblDescription w:val="This table provides information on the proportion of Victorian students (Years 8 &amp; 11) who experienced unwelcome cyber behaviours, by gender, 2018"/>
      </w:tblPr>
      <w:tblGrid>
        <w:gridCol w:w="3005"/>
        <w:gridCol w:w="3007"/>
        <w:gridCol w:w="3004"/>
      </w:tblGrid>
      <w:tr w:rsidR="00833F15" w:rsidRPr="00054426" w14:paraId="542FE8A4" w14:textId="77777777" w:rsidTr="00467486">
        <w:trPr>
          <w:tblHeader/>
        </w:trPr>
        <w:tc>
          <w:tcPr>
            <w:tcW w:w="1666" w:type="pct"/>
          </w:tcPr>
          <w:p w14:paraId="2BB64272" w14:textId="77777777" w:rsidR="00833F15" w:rsidRDefault="00833F15" w:rsidP="00467486">
            <w:pPr>
              <w:rPr>
                <w:rFonts w:ascii="Arial" w:hAnsi="Arial" w:cs="Arial"/>
                <w:sz w:val="24"/>
              </w:rPr>
            </w:pPr>
          </w:p>
        </w:tc>
        <w:tc>
          <w:tcPr>
            <w:tcW w:w="1667" w:type="pct"/>
          </w:tcPr>
          <w:p w14:paraId="0A1FC811" w14:textId="77777777" w:rsidR="00833F15" w:rsidRPr="00054426" w:rsidRDefault="00833F15" w:rsidP="00467486">
            <w:pPr>
              <w:rPr>
                <w:rFonts w:ascii="Arial" w:hAnsi="Arial" w:cs="Arial"/>
                <w:sz w:val="24"/>
              </w:rPr>
            </w:pPr>
            <w:r>
              <w:rPr>
                <w:rFonts w:ascii="Arial" w:hAnsi="Arial" w:cs="Arial"/>
                <w:sz w:val="24"/>
              </w:rPr>
              <w:t>Male</w:t>
            </w:r>
          </w:p>
        </w:tc>
        <w:tc>
          <w:tcPr>
            <w:tcW w:w="1666" w:type="pct"/>
          </w:tcPr>
          <w:p w14:paraId="004AE495" w14:textId="77777777" w:rsidR="00833F15" w:rsidRDefault="00833F15" w:rsidP="00467486">
            <w:pPr>
              <w:rPr>
                <w:rFonts w:ascii="Arial" w:hAnsi="Arial" w:cs="Arial"/>
                <w:sz w:val="24"/>
              </w:rPr>
            </w:pPr>
            <w:r>
              <w:rPr>
                <w:rFonts w:ascii="Arial" w:hAnsi="Arial" w:cs="Arial"/>
                <w:sz w:val="24"/>
              </w:rPr>
              <w:t>Female</w:t>
            </w:r>
          </w:p>
        </w:tc>
      </w:tr>
      <w:tr w:rsidR="00833F15" w14:paraId="1BC3C275" w14:textId="77777777" w:rsidTr="00467486">
        <w:tc>
          <w:tcPr>
            <w:tcW w:w="1666" w:type="pct"/>
          </w:tcPr>
          <w:p w14:paraId="4CFCC47B" w14:textId="77777777" w:rsidR="00833F15" w:rsidRDefault="00833F15" w:rsidP="00467486">
            <w:pPr>
              <w:rPr>
                <w:rFonts w:ascii="Arial" w:hAnsi="Arial" w:cs="Arial"/>
                <w:sz w:val="24"/>
              </w:rPr>
            </w:pPr>
            <w:r>
              <w:rPr>
                <w:rFonts w:ascii="Arial" w:hAnsi="Arial" w:cs="Arial"/>
                <w:sz w:val="24"/>
              </w:rPr>
              <w:t>Overall</w:t>
            </w:r>
          </w:p>
        </w:tc>
        <w:tc>
          <w:tcPr>
            <w:tcW w:w="1667" w:type="pct"/>
          </w:tcPr>
          <w:p w14:paraId="180A6FF0" w14:textId="77777777" w:rsidR="00833F15" w:rsidRDefault="00833F15" w:rsidP="00467486">
            <w:pPr>
              <w:rPr>
                <w:rFonts w:ascii="Arial" w:hAnsi="Arial" w:cs="Arial"/>
                <w:sz w:val="24"/>
              </w:rPr>
            </w:pPr>
            <w:r>
              <w:rPr>
                <w:rFonts w:ascii="Arial" w:hAnsi="Arial" w:cs="Arial"/>
                <w:sz w:val="24"/>
              </w:rPr>
              <w:t>29%</w:t>
            </w:r>
          </w:p>
        </w:tc>
        <w:tc>
          <w:tcPr>
            <w:tcW w:w="1666" w:type="pct"/>
          </w:tcPr>
          <w:p w14:paraId="63750814" w14:textId="77777777" w:rsidR="00833F15" w:rsidRDefault="00833F15" w:rsidP="00467486">
            <w:pPr>
              <w:rPr>
                <w:rFonts w:ascii="Arial" w:hAnsi="Arial" w:cs="Arial"/>
                <w:sz w:val="24"/>
              </w:rPr>
            </w:pPr>
            <w:r>
              <w:rPr>
                <w:rFonts w:ascii="Arial" w:hAnsi="Arial" w:cs="Arial"/>
                <w:sz w:val="24"/>
              </w:rPr>
              <w:t>38%</w:t>
            </w:r>
          </w:p>
        </w:tc>
      </w:tr>
      <w:tr w:rsidR="00833F15" w14:paraId="3E05F763" w14:textId="77777777" w:rsidTr="00467486">
        <w:tc>
          <w:tcPr>
            <w:tcW w:w="1666" w:type="pct"/>
          </w:tcPr>
          <w:p w14:paraId="4007B827" w14:textId="77777777" w:rsidR="00833F15" w:rsidRDefault="00833F15" w:rsidP="00467486">
            <w:pPr>
              <w:rPr>
                <w:rFonts w:ascii="Arial" w:hAnsi="Arial" w:cs="Arial"/>
                <w:sz w:val="24"/>
              </w:rPr>
            </w:pPr>
            <w:r>
              <w:rPr>
                <w:rFonts w:ascii="Arial" w:hAnsi="Arial" w:cs="Arial"/>
                <w:sz w:val="24"/>
              </w:rPr>
              <w:t>Post of profile</w:t>
            </w:r>
          </w:p>
        </w:tc>
        <w:tc>
          <w:tcPr>
            <w:tcW w:w="1667" w:type="pct"/>
          </w:tcPr>
          <w:p w14:paraId="03308C1C" w14:textId="77777777" w:rsidR="00833F15" w:rsidRDefault="00833F15" w:rsidP="00467486">
            <w:pPr>
              <w:rPr>
                <w:rFonts w:ascii="Arial" w:hAnsi="Arial" w:cs="Arial"/>
                <w:sz w:val="24"/>
              </w:rPr>
            </w:pPr>
            <w:r>
              <w:rPr>
                <w:rFonts w:ascii="Arial" w:hAnsi="Arial" w:cs="Arial"/>
                <w:sz w:val="24"/>
              </w:rPr>
              <w:t>9%</w:t>
            </w:r>
          </w:p>
        </w:tc>
        <w:tc>
          <w:tcPr>
            <w:tcW w:w="1666" w:type="pct"/>
          </w:tcPr>
          <w:p w14:paraId="787BBCC6" w14:textId="77777777" w:rsidR="00833F15" w:rsidRDefault="00833F15" w:rsidP="00467486">
            <w:pPr>
              <w:rPr>
                <w:rFonts w:ascii="Arial" w:hAnsi="Arial" w:cs="Arial"/>
                <w:sz w:val="24"/>
              </w:rPr>
            </w:pPr>
            <w:r>
              <w:rPr>
                <w:rFonts w:ascii="Arial" w:hAnsi="Arial" w:cs="Arial"/>
                <w:sz w:val="24"/>
              </w:rPr>
              <w:t>13%</w:t>
            </w:r>
          </w:p>
        </w:tc>
      </w:tr>
      <w:tr w:rsidR="00833F15" w14:paraId="21855518" w14:textId="77777777" w:rsidTr="00467486">
        <w:tc>
          <w:tcPr>
            <w:tcW w:w="1666" w:type="pct"/>
          </w:tcPr>
          <w:p w14:paraId="05F05A53" w14:textId="77777777" w:rsidR="00833F15" w:rsidRDefault="00833F15" w:rsidP="00467486">
            <w:pPr>
              <w:rPr>
                <w:rFonts w:ascii="Arial" w:hAnsi="Arial" w:cs="Arial"/>
                <w:sz w:val="24"/>
              </w:rPr>
            </w:pPr>
            <w:r>
              <w:rPr>
                <w:rFonts w:ascii="Arial" w:hAnsi="Arial" w:cs="Arial"/>
                <w:sz w:val="24"/>
              </w:rPr>
              <w:t>Instant message</w:t>
            </w:r>
          </w:p>
        </w:tc>
        <w:tc>
          <w:tcPr>
            <w:tcW w:w="1667" w:type="pct"/>
          </w:tcPr>
          <w:p w14:paraId="70C5CEF5" w14:textId="77777777" w:rsidR="00833F15" w:rsidRDefault="00833F15" w:rsidP="00467486">
            <w:pPr>
              <w:rPr>
                <w:rFonts w:ascii="Arial" w:hAnsi="Arial" w:cs="Arial"/>
                <w:sz w:val="24"/>
              </w:rPr>
            </w:pPr>
            <w:r>
              <w:rPr>
                <w:rFonts w:ascii="Arial" w:hAnsi="Arial" w:cs="Arial"/>
                <w:sz w:val="24"/>
              </w:rPr>
              <w:t>11%</w:t>
            </w:r>
          </w:p>
        </w:tc>
        <w:tc>
          <w:tcPr>
            <w:tcW w:w="1666" w:type="pct"/>
          </w:tcPr>
          <w:p w14:paraId="6FA17EAB" w14:textId="77777777" w:rsidR="00833F15" w:rsidRDefault="00833F15" w:rsidP="00467486">
            <w:pPr>
              <w:rPr>
                <w:rFonts w:ascii="Arial" w:hAnsi="Arial" w:cs="Arial"/>
                <w:sz w:val="24"/>
              </w:rPr>
            </w:pPr>
            <w:r>
              <w:rPr>
                <w:rFonts w:ascii="Arial" w:hAnsi="Arial" w:cs="Arial"/>
                <w:sz w:val="24"/>
              </w:rPr>
              <w:t>23%</w:t>
            </w:r>
          </w:p>
        </w:tc>
      </w:tr>
      <w:tr w:rsidR="00833F15" w14:paraId="75130ECA" w14:textId="77777777" w:rsidTr="00467486">
        <w:tc>
          <w:tcPr>
            <w:tcW w:w="1666" w:type="pct"/>
          </w:tcPr>
          <w:p w14:paraId="131E2DA6" w14:textId="77777777" w:rsidR="00833F15" w:rsidRDefault="00833F15" w:rsidP="00467486">
            <w:pPr>
              <w:rPr>
                <w:rFonts w:ascii="Arial" w:hAnsi="Arial" w:cs="Arial"/>
                <w:sz w:val="24"/>
              </w:rPr>
            </w:pPr>
            <w:r>
              <w:rPr>
                <w:rFonts w:ascii="Arial" w:hAnsi="Arial" w:cs="Arial"/>
                <w:sz w:val="24"/>
              </w:rPr>
              <w:t>Public post</w:t>
            </w:r>
          </w:p>
        </w:tc>
        <w:tc>
          <w:tcPr>
            <w:tcW w:w="1667" w:type="pct"/>
          </w:tcPr>
          <w:p w14:paraId="07C9E810" w14:textId="77777777" w:rsidR="00833F15" w:rsidRDefault="00833F15" w:rsidP="00467486">
            <w:pPr>
              <w:rPr>
                <w:rFonts w:ascii="Arial" w:hAnsi="Arial" w:cs="Arial"/>
                <w:sz w:val="24"/>
              </w:rPr>
            </w:pPr>
            <w:r>
              <w:rPr>
                <w:rFonts w:ascii="Arial" w:hAnsi="Arial" w:cs="Arial"/>
                <w:sz w:val="24"/>
              </w:rPr>
              <w:t>7%</w:t>
            </w:r>
          </w:p>
        </w:tc>
        <w:tc>
          <w:tcPr>
            <w:tcW w:w="1666" w:type="pct"/>
          </w:tcPr>
          <w:p w14:paraId="67D86E79" w14:textId="77777777" w:rsidR="00833F15" w:rsidRDefault="00833F15" w:rsidP="00467486">
            <w:pPr>
              <w:rPr>
                <w:rFonts w:ascii="Arial" w:hAnsi="Arial" w:cs="Arial"/>
                <w:sz w:val="24"/>
              </w:rPr>
            </w:pPr>
            <w:r>
              <w:rPr>
                <w:rFonts w:ascii="Arial" w:hAnsi="Arial" w:cs="Arial"/>
                <w:sz w:val="24"/>
              </w:rPr>
              <w:t>11%</w:t>
            </w:r>
          </w:p>
        </w:tc>
      </w:tr>
      <w:tr w:rsidR="00833F15" w14:paraId="0703A7D0" w14:textId="77777777" w:rsidTr="00467486">
        <w:tc>
          <w:tcPr>
            <w:tcW w:w="1666" w:type="pct"/>
          </w:tcPr>
          <w:p w14:paraId="772B5EBB" w14:textId="77777777" w:rsidR="00833F15" w:rsidRDefault="00833F15" w:rsidP="00467486">
            <w:pPr>
              <w:rPr>
                <w:rFonts w:ascii="Arial" w:hAnsi="Arial" w:cs="Arial"/>
                <w:sz w:val="24"/>
              </w:rPr>
            </w:pPr>
            <w:r>
              <w:rPr>
                <w:rFonts w:ascii="Arial" w:hAnsi="Arial" w:cs="Arial"/>
                <w:sz w:val="24"/>
              </w:rPr>
              <w:t>Chat room</w:t>
            </w:r>
          </w:p>
        </w:tc>
        <w:tc>
          <w:tcPr>
            <w:tcW w:w="1667" w:type="pct"/>
          </w:tcPr>
          <w:p w14:paraId="55DE15CE" w14:textId="77777777" w:rsidR="00833F15" w:rsidRDefault="00833F15" w:rsidP="00467486">
            <w:pPr>
              <w:rPr>
                <w:rFonts w:ascii="Arial" w:hAnsi="Arial" w:cs="Arial"/>
                <w:sz w:val="24"/>
              </w:rPr>
            </w:pPr>
            <w:r>
              <w:rPr>
                <w:rFonts w:ascii="Arial" w:hAnsi="Arial" w:cs="Arial"/>
                <w:sz w:val="24"/>
              </w:rPr>
              <w:t>19%</w:t>
            </w:r>
          </w:p>
        </w:tc>
        <w:tc>
          <w:tcPr>
            <w:tcW w:w="1666" w:type="pct"/>
          </w:tcPr>
          <w:p w14:paraId="43F77300" w14:textId="77777777" w:rsidR="00833F15" w:rsidRDefault="00833F15" w:rsidP="00467486">
            <w:pPr>
              <w:rPr>
                <w:rFonts w:ascii="Arial" w:hAnsi="Arial" w:cs="Arial"/>
                <w:sz w:val="24"/>
              </w:rPr>
            </w:pPr>
            <w:r>
              <w:rPr>
                <w:rFonts w:ascii="Arial" w:hAnsi="Arial" w:cs="Arial"/>
                <w:sz w:val="24"/>
              </w:rPr>
              <w:t>15%</w:t>
            </w:r>
          </w:p>
        </w:tc>
      </w:tr>
    </w:tbl>
    <w:p w14:paraId="32497DC0" w14:textId="77777777" w:rsidR="00833F15" w:rsidRDefault="00833F15" w:rsidP="00313A89">
      <w:pPr>
        <w:rPr>
          <w:rFonts w:ascii="Arial" w:hAnsi="Arial" w:cs="Arial"/>
          <w:i/>
          <w:sz w:val="24"/>
        </w:rPr>
      </w:pPr>
      <w:r w:rsidRPr="00833F15">
        <w:rPr>
          <w:rFonts w:ascii="Arial" w:hAnsi="Arial" w:cs="Arial"/>
          <w:i/>
          <w:sz w:val="24"/>
        </w:rPr>
        <w:t>Source: Victorian Student Health and Wellbeing Survey 2018</w:t>
      </w:r>
    </w:p>
    <w:p w14:paraId="486A0884" w14:textId="77777777" w:rsidR="00DB2AF4" w:rsidRDefault="00DB2AF4" w:rsidP="00C66152">
      <w:pPr>
        <w:pStyle w:val="Heading2"/>
      </w:pPr>
      <w:r w:rsidRPr="0078464D">
        <w:rPr>
          <w:color w:val="auto"/>
        </w:rPr>
        <w:t>Resilience</w:t>
      </w:r>
    </w:p>
    <w:p w14:paraId="26D57AA9" w14:textId="77777777" w:rsidR="00DB2AF4" w:rsidRDefault="00DB2AF4" w:rsidP="00DB2AF4">
      <w:pPr>
        <w:rPr>
          <w:rFonts w:ascii="Arial" w:hAnsi="Arial" w:cs="Arial"/>
          <w:i/>
          <w:sz w:val="24"/>
        </w:rPr>
      </w:pPr>
      <w:r w:rsidRPr="00DB2AF4">
        <w:rPr>
          <w:rFonts w:ascii="Arial" w:hAnsi="Arial" w:cs="Arial"/>
          <w:i/>
          <w:sz w:val="24"/>
        </w:rPr>
        <w:t>Resilience is an important protective factor for students’ wellbeing and academic performance.</w:t>
      </w:r>
    </w:p>
    <w:p w14:paraId="66CF5C8A" w14:textId="77777777" w:rsidR="00DB2AF4" w:rsidRPr="00D74B94" w:rsidRDefault="00D74B94" w:rsidP="00D74B94">
      <w:pPr>
        <w:pStyle w:val="ListParagraph"/>
        <w:numPr>
          <w:ilvl w:val="0"/>
          <w:numId w:val="39"/>
        </w:numPr>
        <w:rPr>
          <w:rFonts w:ascii="Arial" w:hAnsi="Arial" w:cs="Arial"/>
          <w:sz w:val="24"/>
        </w:rPr>
      </w:pPr>
      <w:r w:rsidRPr="00D74B94">
        <w:rPr>
          <w:rFonts w:ascii="Arial" w:hAnsi="Arial" w:cs="Arial"/>
          <w:sz w:val="24"/>
        </w:rPr>
        <w:t>Around 3 in 5 Year 8 and 11 students (63 per cent) report high levels of resilience – this is a significant decline on 2014 levels.</w:t>
      </w:r>
    </w:p>
    <w:p w14:paraId="3C1E0E59" w14:textId="77777777" w:rsidR="00D74B94" w:rsidRDefault="00D74B94">
      <w:pPr>
        <w:rPr>
          <w:rFonts w:ascii="Arial" w:hAnsi="Arial" w:cs="Arial"/>
          <w:i/>
          <w:sz w:val="24"/>
        </w:rPr>
      </w:pPr>
      <w:r w:rsidRPr="00D74B94">
        <w:rPr>
          <w:rFonts w:ascii="Arial" w:hAnsi="Arial" w:cs="Arial"/>
          <w:i/>
          <w:sz w:val="24"/>
        </w:rPr>
        <w:t>Source: Victorian Student Health and Wellbeing Survey 2018</w:t>
      </w:r>
    </w:p>
    <w:p w14:paraId="68193B9B" w14:textId="77777777" w:rsidR="00E45E44" w:rsidRPr="00E45E44" w:rsidRDefault="00E45E44" w:rsidP="00E45E44">
      <w:pPr>
        <w:rPr>
          <w:rFonts w:ascii="Arial" w:hAnsi="Arial" w:cs="Arial"/>
          <w:sz w:val="24"/>
        </w:rPr>
      </w:pPr>
      <w:r w:rsidRPr="00E45E44">
        <w:rPr>
          <w:rFonts w:ascii="Arial" w:hAnsi="Arial" w:cs="Arial"/>
          <w:sz w:val="24"/>
        </w:rPr>
        <w:t>Mental health remains a challenge for many young Victorians. For adolescents,</w:t>
      </w:r>
      <w:r>
        <w:rPr>
          <w:rFonts w:ascii="Arial" w:hAnsi="Arial" w:cs="Arial"/>
          <w:sz w:val="24"/>
        </w:rPr>
        <w:t xml:space="preserve"> </w:t>
      </w:r>
      <w:r w:rsidRPr="00E45E44">
        <w:rPr>
          <w:rFonts w:ascii="Arial" w:hAnsi="Arial" w:cs="Arial"/>
          <w:sz w:val="24"/>
        </w:rPr>
        <w:t>poor mental health can result in disruptions to school attendance and</w:t>
      </w:r>
      <w:r>
        <w:rPr>
          <w:rFonts w:ascii="Arial" w:hAnsi="Arial" w:cs="Arial"/>
          <w:sz w:val="24"/>
        </w:rPr>
        <w:t xml:space="preserve"> </w:t>
      </w:r>
      <w:r w:rsidRPr="00E45E44">
        <w:rPr>
          <w:rFonts w:ascii="Arial" w:hAnsi="Arial" w:cs="Arial"/>
          <w:sz w:val="24"/>
        </w:rPr>
        <w:t>achievement, and challenges related to social development more broadly.</w:t>
      </w:r>
    </w:p>
    <w:p w14:paraId="2B1089E5" w14:textId="77777777" w:rsidR="00F839C8" w:rsidRDefault="00F839C8" w:rsidP="00C66152">
      <w:pPr>
        <w:pStyle w:val="Heading2"/>
      </w:pPr>
      <w:r w:rsidRPr="0078464D">
        <w:rPr>
          <w:color w:val="auto"/>
        </w:rPr>
        <w:lastRenderedPageBreak/>
        <w:t>Psychological distress</w:t>
      </w:r>
    </w:p>
    <w:p w14:paraId="3486CED7" w14:textId="77777777" w:rsidR="00F839C8" w:rsidRDefault="00F839C8" w:rsidP="00F839C8">
      <w:pPr>
        <w:rPr>
          <w:rFonts w:ascii="Arial" w:hAnsi="Arial" w:cs="Arial"/>
          <w:i/>
          <w:sz w:val="24"/>
        </w:rPr>
      </w:pPr>
      <w:r w:rsidRPr="00F839C8">
        <w:rPr>
          <w:rFonts w:ascii="Arial" w:hAnsi="Arial" w:cs="Arial"/>
          <w:i/>
          <w:sz w:val="24"/>
        </w:rPr>
        <w:t>Poor mental health can result in disruptions to school attendance and achievement, and challenges related to social development more broadly.</w:t>
      </w:r>
    </w:p>
    <w:p w14:paraId="32B9CDDF" w14:textId="77777777" w:rsidR="006A3759" w:rsidRPr="006A3759" w:rsidRDefault="006A3759" w:rsidP="006A3759">
      <w:pPr>
        <w:pStyle w:val="ListParagraph"/>
        <w:numPr>
          <w:ilvl w:val="0"/>
          <w:numId w:val="39"/>
        </w:numPr>
        <w:rPr>
          <w:rFonts w:ascii="Arial" w:hAnsi="Arial" w:cs="Arial"/>
          <w:sz w:val="24"/>
        </w:rPr>
      </w:pPr>
      <w:r w:rsidRPr="006A3759">
        <w:rPr>
          <w:rFonts w:ascii="Arial" w:hAnsi="Arial" w:cs="Arial"/>
          <w:sz w:val="24"/>
        </w:rPr>
        <w:t>Around 1 in 4 Year 8 and 11 students report poor mental health – this is a significant increase on 2014 levels.</w:t>
      </w:r>
    </w:p>
    <w:tbl>
      <w:tblPr>
        <w:tblStyle w:val="TableGrid"/>
        <w:tblW w:w="5000" w:type="pct"/>
        <w:tblLook w:val="04A0" w:firstRow="1" w:lastRow="0" w:firstColumn="1" w:lastColumn="0" w:noHBand="0" w:noVBand="1"/>
        <w:tblDescription w:val="This table provides information on the proportion of Victorian students (Years 8 &amp; 11) reporting high levels of psychological distress, by year level, 2014–2018"/>
      </w:tblPr>
      <w:tblGrid>
        <w:gridCol w:w="3005"/>
        <w:gridCol w:w="3007"/>
        <w:gridCol w:w="3004"/>
      </w:tblGrid>
      <w:tr w:rsidR="006A3759" w:rsidRPr="00054426" w14:paraId="7B0844DB" w14:textId="77777777" w:rsidTr="00467486">
        <w:trPr>
          <w:tblHeader/>
        </w:trPr>
        <w:tc>
          <w:tcPr>
            <w:tcW w:w="1666" w:type="pct"/>
          </w:tcPr>
          <w:p w14:paraId="1D1BAD98" w14:textId="77777777" w:rsidR="006A3759" w:rsidRDefault="006A3759" w:rsidP="00467486">
            <w:pPr>
              <w:rPr>
                <w:rFonts w:ascii="Arial" w:hAnsi="Arial" w:cs="Arial"/>
                <w:sz w:val="24"/>
              </w:rPr>
            </w:pPr>
          </w:p>
        </w:tc>
        <w:tc>
          <w:tcPr>
            <w:tcW w:w="1667" w:type="pct"/>
          </w:tcPr>
          <w:p w14:paraId="49DF61EE" w14:textId="77777777" w:rsidR="006A3759" w:rsidRPr="00054426" w:rsidRDefault="006A3759" w:rsidP="00467486">
            <w:pPr>
              <w:rPr>
                <w:rFonts w:ascii="Arial" w:hAnsi="Arial" w:cs="Arial"/>
                <w:sz w:val="24"/>
              </w:rPr>
            </w:pPr>
            <w:r>
              <w:rPr>
                <w:rFonts w:ascii="Arial" w:hAnsi="Arial" w:cs="Arial"/>
                <w:sz w:val="24"/>
              </w:rPr>
              <w:t>Year 8</w:t>
            </w:r>
          </w:p>
        </w:tc>
        <w:tc>
          <w:tcPr>
            <w:tcW w:w="1666" w:type="pct"/>
          </w:tcPr>
          <w:p w14:paraId="19BCCCC4" w14:textId="77777777" w:rsidR="006A3759" w:rsidRDefault="006A3759" w:rsidP="00467486">
            <w:pPr>
              <w:rPr>
                <w:rFonts w:ascii="Arial" w:hAnsi="Arial" w:cs="Arial"/>
                <w:sz w:val="24"/>
              </w:rPr>
            </w:pPr>
            <w:r>
              <w:rPr>
                <w:rFonts w:ascii="Arial" w:hAnsi="Arial" w:cs="Arial"/>
                <w:sz w:val="24"/>
              </w:rPr>
              <w:t>Year 11</w:t>
            </w:r>
          </w:p>
        </w:tc>
      </w:tr>
      <w:tr w:rsidR="006A3759" w14:paraId="601045C1" w14:textId="77777777" w:rsidTr="00467486">
        <w:tc>
          <w:tcPr>
            <w:tcW w:w="1666" w:type="pct"/>
          </w:tcPr>
          <w:p w14:paraId="0746749B" w14:textId="77777777" w:rsidR="006A3759" w:rsidRDefault="006A3759" w:rsidP="00467486">
            <w:pPr>
              <w:rPr>
                <w:rFonts w:ascii="Arial" w:hAnsi="Arial" w:cs="Arial"/>
                <w:sz w:val="24"/>
              </w:rPr>
            </w:pPr>
            <w:r>
              <w:rPr>
                <w:rFonts w:ascii="Arial" w:hAnsi="Arial" w:cs="Arial"/>
                <w:sz w:val="24"/>
              </w:rPr>
              <w:t>2014</w:t>
            </w:r>
          </w:p>
        </w:tc>
        <w:tc>
          <w:tcPr>
            <w:tcW w:w="1667" w:type="pct"/>
          </w:tcPr>
          <w:p w14:paraId="34F41947" w14:textId="77777777" w:rsidR="006A3759" w:rsidRDefault="006A3759" w:rsidP="00467486">
            <w:pPr>
              <w:rPr>
                <w:rFonts w:ascii="Arial" w:hAnsi="Arial" w:cs="Arial"/>
                <w:sz w:val="24"/>
              </w:rPr>
            </w:pPr>
            <w:r>
              <w:rPr>
                <w:rFonts w:ascii="Arial" w:hAnsi="Arial" w:cs="Arial"/>
                <w:sz w:val="24"/>
              </w:rPr>
              <w:t>18%</w:t>
            </w:r>
          </w:p>
        </w:tc>
        <w:tc>
          <w:tcPr>
            <w:tcW w:w="1666" w:type="pct"/>
          </w:tcPr>
          <w:p w14:paraId="137A90C3" w14:textId="77777777" w:rsidR="006A3759" w:rsidRDefault="006A3759" w:rsidP="00467486">
            <w:pPr>
              <w:rPr>
                <w:rFonts w:ascii="Arial" w:hAnsi="Arial" w:cs="Arial"/>
                <w:sz w:val="24"/>
              </w:rPr>
            </w:pPr>
            <w:r>
              <w:rPr>
                <w:rFonts w:ascii="Arial" w:hAnsi="Arial" w:cs="Arial"/>
                <w:sz w:val="24"/>
              </w:rPr>
              <w:t>23%</w:t>
            </w:r>
          </w:p>
        </w:tc>
      </w:tr>
      <w:tr w:rsidR="006A3759" w14:paraId="23A70431" w14:textId="77777777" w:rsidTr="00467486">
        <w:tc>
          <w:tcPr>
            <w:tcW w:w="1666" w:type="pct"/>
          </w:tcPr>
          <w:p w14:paraId="6B50F0CD" w14:textId="77777777" w:rsidR="006A3759" w:rsidRDefault="006A3759" w:rsidP="00467486">
            <w:pPr>
              <w:rPr>
                <w:rFonts w:ascii="Arial" w:hAnsi="Arial" w:cs="Arial"/>
                <w:sz w:val="24"/>
              </w:rPr>
            </w:pPr>
            <w:r>
              <w:rPr>
                <w:rFonts w:ascii="Arial" w:hAnsi="Arial" w:cs="Arial"/>
                <w:sz w:val="24"/>
              </w:rPr>
              <w:t>2016</w:t>
            </w:r>
          </w:p>
        </w:tc>
        <w:tc>
          <w:tcPr>
            <w:tcW w:w="1667" w:type="pct"/>
          </w:tcPr>
          <w:p w14:paraId="1B32D3B3" w14:textId="77777777" w:rsidR="006A3759" w:rsidRDefault="006A3759" w:rsidP="00467486">
            <w:pPr>
              <w:rPr>
                <w:rFonts w:ascii="Arial" w:hAnsi="Arial" w:cs="Arial"/>
                <w:sz w:val="24"/>
              </w:rPr>
            </w:pPr>
            <w:r>
              <w:rPr>
                <w:rFonts w:ascii="Arial" w:hAnsi="Arial" w:cs="Arial"/>
                <w:sz w:val="24"/>
              </w:rPr>
              <w:t>20%</w:t>
            </w:r>
          </w:p>
        </w:tc>
        <w:tc>
          <w:tcPr>
            <w:tcW w:w="1666" w:type="pct"/>
          </w:tcPr>
          <w:p w14:paraId="07F02ACF" w14:textId="77777777" w:rsidR="006A3759" w:rsidRDefault="006A3759" w:rsidP="00467486">
            <w:pPr>
              <w:rPr>
                <w:rFonts w:ascii="Arial" w:hAnsi="Arial" w:cs="Arial"/>
                <w:sz w:val="24"/>
              </w:rPr>
            </w:pPr>
            <w:r>
              <w:rPr>
                <w:rFonts w:ascii="Arial" w:hAnsi="Arial" w:cs="Arial"/>
                <w:sz w:val="24"/>
              </w:rPr>
              <w:t>26%</w:t>
            </w:r>
          </w:p>
        </w:tc>
      </w:tr>
      <w:tr w:rsidR="006A3759" w14:paraId="186D68CD" w14:textId="77777777" w:rsidTr="00467486">
        <w:tc>
          <w:tcPr>
            <w:tcW w:w="1666" w:type="pct"/>
          </w:tcPr>
          <w:p w14:paraId="5958A018" w14:textId="77777777" w:rsidR="006A3759" w:rsidRDefault="006A3759" w:rsidP="00467486">
            <w:pPr>
              <w:rPr>
                <w:rFonts w:ascii="Arial" w:hAnsi="Arial" w:cs="Arial"/>
                <w:sz w:val="24"/>
              </w:rPr>
            </w:pPr>
            <w:r>
              <w:rPr>
                <w:rFonts w:ascii="Arial" w:hAnsi="Arial" w:cs="Arial"/>
                <w:sz w:val="24"/>
              </w:rPr>
              <w:t>2018</w:t>
            </w:r>
          </w:p>
        </w:tc>
        <w:tc>
          <w:tcPr>
            <w:tcW w:w="1667" w:type="pct"/>
          </w:tcPr>
          <w:p w14:paraId="38029FD2" w14:textId="77777777" w:rsidR="006A3759" w:rsidRDefault="006A3759" w:rsidP="00467486">
            <w:pPr>
              <w:rPr>
                <w:rFonts w:ascii="Arial" w:hAnsi="Arial" w:cs="Arial"/>
                <w:sz w:val="24"/>
              </w:rPr>
            </w:pPr>
            <w:r>
              <w:rPr>
                <w:rFonts w:ascii="Arial" w:hAnsi="Arial" w:cs="Arial"/>
                <w:sz w:val="24"/>
              </w:rPr>
              <w:t>24%</w:t>
            </w:r>
          </w:p>
        </w:tc>
        <w:tc>
          <w:tcPr>
            <w:tcW w:w="1666" w:type="pct"/>
          </w:tcPr>
          <w:p w14:paraId="57BA12BB" w14:textId="77777777" w:rsidR="006A3759" w:rsidRDefault="006A3759" w:rsidP="00467486">
            <w:pPr>
              <w:rPr>
                <w:rFonts w:ascii="Arial" w:hAnsi="Arial" w:cs="Arial"/>
                <w:sz w:val="24"/>
              </w:rPr>
            </w:pPr>
            <w:r>
              <w:rPr>
                <w:rFonts w:ascii="Arial" w:hAnsi="Arial" w:cs="Arial"/>
                <w:sz w:val="24"/>
              </w:rPr>
              <w:t>28%</w:t>
            </w:r>
          </w:p>
        </w:tc>
      </w:tr>
    </w:tbl>
    <w:p w14:paraId="385A4449" w14:textId="77777777" w:rsidR="006A3759" w:rsidRDefault="006A3759" w:rsidP="006A3759">
      <w:pPr>
        <w:rPr>
          <w:rFonts w:ascii="Arial" w:hAnsi="Arial" w:cs="Arial"/>
          <w:i/>
          <w:sz w:val="24"/>
        </w:rPr>
      </w:pPr>
      <w:r w:rsidRPr="006A3759">
        <w:rPr>
          <w:rFonts w:ascii="Arial" w:hAnsi="Arial" w:cs="Arial"/>
          <w:i/>
          <w:sz w:val="24"/>
        </w:rPr>
        <w:t>Source: Victorian Student Health and Wellbeing Survey 2014-2018</w:t>
      </w:r>
    </w:p>
    <w:p w14:paraId="79FA66C1" w14:textId="77777777" w:rsidR="006A3759" w:rsidRDefault="00433419" w:rsidP="00C66152">
      <w:pPr>
        <w:pStyle w:val="Heading2"/>
      </w:pPr>
      <w:r w:rsidRPr="0078464D">
        <w:rPr>
          <w:color w:val="auto"/>
        </w:rPr>
        <w:t>Mental health services</w:t>
      </w:r>
    </w:p>
    <w:p w14:paraId="1644E9D6" w14:textId="77777777" w:rsidR="00433419" w:rsidRPr="00BB372B" w:rsidRDefault="00BB372B" w:rsidP="00BB372B">
      <w:pPr>
        <w:rPr>
          <w:rFonts w:ascii="Arial" w:hAnsi="Arial" w:cs="Arial"/>
          <w:i/>
          <w:sz w:val="24"/>
        </w:rPr>
      </w:pPr>
      <w:r w:rsidRPr="00BB372B">
        <w:rPr>
          <w:rFonts w:ascii="Arial" w:hAnsi="Arial" w:cs="Arial"/>
          <w:i/>
          <w:sz w:val="24"/>
        </w:rPr>
        <w:t>To be effective, mental health services should be appropriate to the needs of the young people receiving them, and correctly targeted to those most in need.</w:t>
      </w:r>
    </w:p>
    <w:p w14:paraId="6CCB639F" w14:textId="77777777" w:rsidR="00BB372B" w:rsidRPr="00BB372B" w:rsidRDefault="00BB372B" w:rsidP="00BB372B">
      <w:pPr>
        <w:pStyle w:val="ListParagraph"/>
        <w:numPr>
          <w:ilvl w:val="0"/>
          <w:numId w:val="39"/>
        </w:numPr>
        <w:rPr>
          <w:rFonts w:ascii="Arial" w:hAnsi="Arial" w:cs="Arial"/>
          <w:sz w:val="24"/>
        </w:rPr>
      </w:pPr>
      <w:r w:rsidRPr="00BB372B">
        <w:rPr>
          <w:rFonts w:ascii="Arial" w:hAnsi="Arial" w:cs="Arial"/>
          <w:sz w:val="24"/>
        </w:rPr>
        <w:t>In Victoria, the proportion of 12–</w:t>
      </w:r>
      <w:proofErr w:type="gramStart"/>
      <w:r w:rsidRPr="00BB372B">
        <w:rPr>
          <w:rFonts w:ascii="Arial" w:hAnsi="Arial" w:cs="Arial"/>
          <w:sz w:val="24"/>
        </w:rPr>
        <w:t>18 year</w:t>
      </w:r>
      <w:proofErr w:type="gramEnd"/>
      <w:r w:rsidRPr="00BB372B">
        <w:rPr>
          <w:rFonts w:ascii="Arial" w:hAnsi="Arial" w:cs="Arial"/>
          <w:sz w:val="24"/>
        </w:rPr>
        <w:t xml:space="preserve"> </w:t>
      </w:r>
      <w:proofErr w:type="spellStart"/>
      <w:r w:rsidRPr="00BB372B">
        <w:rPr>
          <w:rFonts w:ascii="Arial" w:hAnsi="Arial" w:cs="Arial"/>
          <w:sz w:val="24"/>
        </w:rPr>
        <w:t>olds</w:t>
      </w:r>
      <w:proofErr w:type="spellEnd"/>
      <w:r w:rsidRPr="00BB372B">
        <w:rPr>
          <w:rFonts w:ascii="Arial" w:hAnsi="Arial" w:cs="Arial"/>
          <w:sz w:val="24"/>
        </w:rPr>
        <w:t xml:space="preserve"> </w:t>
      </w:r>
      <w:proofErr w:type="spellStart"/>
      <w:r w:rsidRPr="00BB372B">
        <w:rPr>
          <w:rFonts w:ascii="Arial" w:hAnsi="Arial" w:cs="Arial"/>
          <w:sz w:val="24"/>
        </w:rPr>
        <w:t>utilising</w:t>
      </w:r>
      <w:proofErr w:type="spellEnd"/>
      <w:r w:rsidRPr="00BB372B">
        <w:rPr>
          <w:rFonts w:ascii="Arial" w:hAnsi="Arial" w:cs="Arial"/>
          <w:sz w:val="24"/>
        </w:rPr>
        <w:t xml:space="preserve"> MBS-</w:t>
      </w:r>
      <w:proofErr w:type="spellStart"/>
      <w:r w:rsidRPr="00BB372B">
        <w:rPr>
          <w:rFonts w:ascii="Arial" w:hAnsi="Arial" w:cs="Arial"/>
          <w:sz w:val="24"/>
        </w:rPr>
        <w:t>subsidised</w:t>
      </w:r>
      <w:proofErr w:type="spellEnd"/>
      <w:r w:rsidRPr="00BB372B">
        <w:rPr>
          <w:rFonts w:ascii="Arial" w:hAnsi="Arial" w:cs="Arial"/>
          <w:sz w:val="24"/>
        </w:rPr>
        <w:t xml:space="preserve"> mental health services nearly doubled between 2012 and 2018.</w:t>
      </w:r>
    </w:p>
    <w:tbl>
      <w:tblPr>
        <w:tblStyle w:val="TableGrid"/>
        <w:tblW w:w="5000" w:type="pct"/>
        <w:tblLook w:val="04A0" w:firstRow="1" w:lastRow="0" w:firstColumn="1" w:lastColumn="0" w:noHBand="0" w:noVBand="1"/>
        <w:tblDescription w:val="This table provides information on the proportion of adolescents (aged 12 to 18) utilising Medicare Benefits Schedule- subsidised mental health services, Victoria, 2011–12 to 2017–2018"/>
      </w:tblPr>
      <w:tblGrid>
        <w:gridCol w:w="1288"/>
        <w:gridCol w:w="1290"/>
        <w:gridCol w:w="1288"/>
        <w:gridCol w:w="1288"/>
        <w:gridCol w:w="1288"/>
        <w:gridCol w:w="1287"/>
        <w:gridCol w:w="1287"/>
      </w:tblGrid>
      <w:tr w:rsidR="00BB372B" w:rsidRPr="00054426" w14:paraId="4E08C045" w14:textId="77777777" w:rsidTr="00467486">
        <w:trPr>
          <w:tblHeader/>
        </w:trPr>
        <w:tc>
          <w:tcPr>
            <w:tcW w:w="714" w:type="pct"/>
          </w:tcPr>
          <w:p w14:paraId="51B9C365" w14:textId="77777777" w:rsidR="00BB372B" w:rsidRDefault="00BB372B" w:rsidP="00467486">
            <w:pPr>
              <w:rPr>
                <w:rFonts w:ascii="Arial" w:hAnsi="Arial" w:cs="Arial"/>
                <w:sz w:val="24"/>
              </w:rPr>
            </w:pPr>
            <w:r>
              <w:rPr>
                <w:rFonts w:ascii="Arial" w:hAnsi="Arial" w:cs="Arial"/>
                <w:sz w:val="24"/>
              </w:rPr>
              <w:t>2011-12</w:t>
            </w:r>
          </w:p>
        </w:tc>
        <w:tc>
          <w:tcPr>
            <w:tcW w:w="715" w:type="pct"/>
          </w:tcPr>
          <w:p w14:paraId="5E89E49D" w14:textId="77777777" w:rsidR="00BB372B" w:rsidRPr="00054426" w:rsidRDefault="00BB372B" w:rsidP="00467486">
            <w:pPr>
              <w:rPr>
                <w:rFonts w:ascii="Arial" w:hAnsi="Arial" w:cs="Arial"/>
                <w:sz w:val="24"/>
              </w:rPr>
            </w:pPr>
            <w:r>
              <w:rPr>
                <w:rFonts w:ascii="Arial" w:hAnsi="Arial" w:cs="Arial"/>
                <w:sz w:val="24"/>
              </w:rPr>
              <w:t>2012-13</w:t>
            </w:r>
          </w:p>
        </w:tc>
        <w:tc>
          <w:tcPr>
            <w:tcW w:w="714" w:type="pct"/>
          </w:tcPr>
          <w:p w14:paraId="6B143C97" w14:textId="77777777" w:rsidR="00BB372B" w:rsidRDefault="00BB372B" w:rsidP="00467486">
            <w:pPr>
              <w:rPr>
                <w:rFonts w:ascii="Arial" w:hAnsi="Arial" w:cs="Arial"/>
                <w:sz w:val="24"/>
              </w:rPr>
            </w:pPr>
            <w:r>
              <w:rPr>
                <w:rFonts w:ascii="Arial" w:hAnsi="Arial" w:cs="Arial"/>
                <w:sz w:val="24"/>
              </w:rPr>
              <w:t>2013-14</w:t>
            </w:r>
          </w:p>
        </w:tc>
        <w:tc>
          <w:tcPr>
            <w:tcW w:w="714" w:type="pct"/>
          </w:tcPr>
          <w:p w14:paraId="026559BB" w14:textId="77777777" w:rsidR="00BB372B" w:rsidRDefault="00BB372B" w:rsidP="00467486">
            <w:pPr>
              <w:rPr>
                <w:rFonts w:ascii="Arial" w:hAnsi="Arial" w:cs="Arial"/>
                <w:sz w:val="24"/>
              </w:rPr>
            </w:pPr>
            <w:r>
              <w:rPr>
                <w:rFonts w:ascii="Arial" w:hAnsi="Arial" w:cs="Arial"/>
                <w:sz w:val="24"/>
              </w:rPr>
              <w:t>2014-15</w:t>
            </w:r>
          </w:p>
        </w:tc>
        <w:tc>
          <w:tcPr>
            <w:tcW w:w="714" w:type="pct"/>
          </w:tcPr>
          <w:p w14:paraId="05300B91" w14:textId="77777777" w:rsidR="00BB372B" w:rsidRDefault="00BB372B" w:rsidP="00467486">
            <w:pPr>
              <w:rPr>
                <w:rFonts w:ascii="Arial" w:hAnsi="Arial" w:cs="Arial"/>
                <w:sz w:val="24"/>
              </w:rPr>
            </w:pPr>
            <w:r>
              <w:rPr>
                <w:rFonts w:ascii="Arial" w:hAnsi="Arial" w:cs="Arial"/>
                <w:sz w:val="24"/>
              </w:rPr>
              <w:t>2015-16</w:t>
            </w:r>
          </w:p>
        </w:tc>
        <w:tc>
          <w:tcPr>
            <w:tcW w:w="714" w:type="pct"/>
          </w:tcPr>
          <w:p w14:paraId="1F3868BC" w14:textId="77777777" w:rsidR="00BB372B" w:rsidRDefault="00BB372B" w:rsidP="00467486">
            <w:pPr>
              <w:rPr>
                <w:rFonts w:ascii="Arial" w:hAnsi="Arial" w:cs="Arial"/>
                <w:sz w:val="24"/>
              </w:rPr>
            </w:pPr>
            <w:r>
              <w:rPr>
                <w:rFonts w:ascii="Arial" w:hAnsi="Arial" w:cs="Arial"/>
                <w:sz w:val="24"/>
              </w:rPr>
              <w:t>2016-17</w:t>
            </w:r>
          </w:p>
        </w:tc>
        <w:tc>
          <w:tcPr>
            <w:tcW w:w="714" w:type="pct"/>
          </w:tcPr>
          <w:p w14:paraId="5216C176" w14:textId="77777777" w:rsidR="00BB372B" w:rsidRDefault="00BB372B" w:rsidP="00467486">
            <w:pPr>
              <w:rPr>
                <w:rFonts w:ascii="Arial" w:hAnsi="Arial" w:cs="Arial"/>
                <w:sz w:val="24"/>
              </w:rPr>
            </w:pPr>
            <w:r>
              <w:rPr>
                <w:rFonts w:ascii="Arial" w:hAnsi="Arial" w:cs="Arial"/>
                <w:sz w:val="24"/>
              </w:rPr>
              <w:t>2017-18</w:t>
            </w:r>
          </w:p>
        </w:tc>
      </w:tr>
      <w:tr w:rsidR="00BB372B" w14:paraId="2B551420" w14:textId="77777777" w:rsidTr="00467486">
        <w:tc>
          <w:tcPr>
            <w:tcW w:w="714" w:type="pct"/>
          </w:tcPr>
          <w:p w14:paraId="40C4E48B" w14:textId="77777777" w:rsidR="00BB372B" w:rsidRDefault="00BB372B" w:rsidP="00467486">
            <w:pPr>
              <w:rPr>
                <w:rFonts w:ascii="Arial" w:hAnsi="Arial" w:cs="Arial"/>
                <w:sz w:val="24"/>
              </w:rPr>
            </w:pPr>
            <w:r>
              <w:rPr>
                <w:rFonts w:ascii="Arial" w:hAnsi="Arial" w:cs="Arial"/>
                <w:sz w:val="24"/>
              </w:rPr>
              <w:t>7%</w:t>
            </w:r>
          </w:p>
        </w:tc>
        <w:tc>
          <w:tcPr>
            <w:tcW w:w="715" w:type="pct"/>
          </w:tcPr>
          <w:p w14:paraId="5C807B4A" w14:textId="77777777" w:rsidR="00BB372B" w:rsidRDefault="00BB372B" w:rsidP="00467486">
            <w:pPr>
              <w:rPr>
                <w:rFonts w:ascii="Arial" w:hAnsi="Arial" w:cs="Arial"/>
                <w:sz w:val="24"/>
              </w:rPr>
            </w:pPr>
            <w:r>
              <w:rPr>
                <w:rFonts w:ascii="Arial" w:hAnsi="Arial" w:cs="Arial"/>
                <w:sz w:val="24"/>
              </w:rPr>
              <w:t>8%</w:t>
            </w:r>
          </w:p>
        </w:tc>
        <w:tc>
          <w:tcPr>
            <w:tcW w:w="714" w:type="pct"/>
          </w:tcPr>
          <w:p w14:paraId="4806BB12" w14:textId="77777777" w:rsidR="00BB372B" w:rsidRDefault="00BB372B" w:rsidP="00467486">
            <w:pPr>
              <w:rPr>
                <w:rFonts w:ascii="Arial" w:hAnsi="Arial" w:cs="Arial"/>
                <w:sz w:val="24"/>
              </w:rPr>
            </w:pPr>
            <w:r>
              <w:rPr>
                <w:rFonts w:ascii="Arial" w:hAnsi="Arial" w:cs="Arial"/>
                <w:sz w:val="24"/>
              </w:rPr>
              <w:t>9%</w:t>
            </w:r>
          </w:p>
        </w:tc>
        <w:tc>
          <w:tcPr>
            <w:tcW w:w="714" w:type="pct"/>
          </w:tcPr>
          <w:p w14:paraId="45437EAD" w14:textId="77777777" w:rsidR="00BB372B" w:rsidRDefault="00BB372B" w:rsidP="00467486">
            <w:pPr>
              <w:rPr>
                <w:rFonts w:ascii="Arial" w:hAnsi="Arial" w:cs="Arial"/>
                <w:sz w:val="24"/>
              </w:rPr>
            </w:pPr>
            <w:r>
              <w:rPr>
                <w:rFonts w:ascii="Arial" w:hAnsi="Arial" w:cs="Arial"/>
                <w:sz w:val="24"/>
              </w:rPr>
              <w:t>9%</w:t>
            </w:r>
          </w:p>
        </w:tc>
        <w:tc>
          <w:tcPr>
            <w:tcW w:w="714" w:type="pct"/>
          </w:tcPr>
          <w:p w14:paraId="495F8438" w14:textId="77777777" w:rsidR="00BB372B" w:rsidRDefault="00BB372B" w:rsidP="00467486">
            <w:pPr>
              <w:rPr>
                <w:rFonts w:ascii="Arial" w:hAnsi="Arial" w:cs="Arial"/>
                <w:sz w:val="24"/>
              </w:rPr>
            </w:pPr>
            <w:r>
              <w:rPr>
                <w:rFonts w:ascii="Arial" w:hAnsi="Arial" w:cs="Arial"/>
                <w:sz w:val="24"/>
              </w:rPr>
              <w:t>10%</w:t>
            </w:r>
          </w:p>
        </w:tc>
        <w:tc>
          <w:tcPr>
            <w:tcW w:w="714" w:type="pct"/>
          </w:tcPr>
          <w:p w14:paraId="70603C38" w14:textId="77777777" w:rsidR="00BB372B" w:rsidRDefault="00BB372B" w:rsidP="00467486">
            <w:pPr>
              <w:rPr>
                <w:rFonts w:ascii="Arial" w:hAnsi="Arial" w:cs="Arial"/>
                <w:sz w:val="24"/>
              </w:rPr>
            </w:pPr>
            <w:r>
              <w:rPr>
                <w:rFonts w:ascii="Arial" w:hAnsi="Arial" w:cs="Arial"/>
                <w:sz w:val="24"/>
              </w:rPr>
              <w:t>11%</w:t>
            </w:r>
          </w:p>
        </w:tc>
        <w:tc>
          <w:tcPr>
            <w:tcW w:w="714" w:type="pct"/>
          </w:tcPr>
          <w:p w14:paraId="36F3356B" w14:textId="77777777" w:rsidR="00BB372B" w:rsidRDefault="00BB372B" w:rsidP="00467486">
            <w:pPr>
              <w:rPr>
                <w:rFonts w:ascii="Arial" w:hAnsi="Arial" w:cs="Arial"/>
                <w:sz w:val="24"/>
              </w:rPr>
            </w:pPr>
            <w:r>
              <w:rPr>
                <w:rFonts w:ascii="Arial" w:hAnsi="Arial" w:cs="Arial"/>
                <w:sz w:val="24"/>
              </w:rPr>
              <w:t>12%</w:t>
            </w:r>
          </w:p>
        </w:tc>
      </w:tr>
    </w:tbl>
    <w:p w14:paraId="79F1E9B0" w14:textId="77777777" w:rsidR="00BB372B" w:rsidRPr="00BB372B" w:rsidRDefault="00BB372B" w:rsidP="00BB372B">
      <w:pPr>
        <w:rPr>
          <w:rFonts w:ascii="Arial" w:hAnsi="Arial" w:cs="Arial"/>
          <w:i/>
          <w:sz w:val="24"/>
        </w:rPr>
      </w:pPr>
      <w:r w:rsidRPr="00BB372B">
        <w:rPr>
          <w:rFonts w:ascii="Arial" w:hAnsi="Arial" w:cs="Arial"/>
          <w:i/>
          <w:sz w:val="24"/>
        </w:rPr>
        <w:t>Source: Report on Government Services, 2018</w:t>
      </w:r>
    </w:p>
    <w:p w14:paraId="509EEB83" w14:textId="77777777" w:rsidR="00BB372B" w:rsidRPr="00BB372B" w:rsidRDefault="00BB372B" w:rsidP="00BB372B">
      <w:pPr>
        <w:pStyle w:val="ListParagraph"/>
        <w:numPr>
          <w:ilvl w:val="0"/>
          <w:numId w:val="39"/>
        </w:numPr>
        <w:rPr>
          <w:rFonts w:ascii="Arial" w:hAnsi="Arial" w:cs="Arial"/>
          <w:sz w:val="24"/>
        </w:rPr>
      </w:pPr>
      <w:r w:rsidRPr="00BB372B">
        <w:rPr>
          <w:rFonts w:ascii="Arial" w:hAnsi="Arial" w:cs="Arial"/>
          <w:sz w:val="24"/>
        </w:rPr>
        <w:t>Only 2 in 5 Year 8 and 11 students (38 per cent) believe they can access mental health services when needed.</w:t>
      </w:r>
    </w:p>
    <w:p w14:paraId="7BBDF40D" w14:textId="77777777" w:rsidR="00BB372B" w:rsidRDefault="00BB372B" w:rsidP="00BB372B">
      <w:pPr>
        <w:rPr>
          <w:rFonts w:ascii="Arial" w:hAnsi="Arial" w:cs="Arial"/>
          <w:i/>
          <w:sz w:val="24"/>
        </w:rPr>
      </w:pPr>
      <w:r w:rsidRPr="00BB372B">
        <w:rPr>
          <w:rFonts w:ascii="Arial" w:hAnsi="Arial" w:cs="Arial"/>
          <w:i/>
          <w:sz w:val="24"/>
        </w:rPr>
        <w:t>Source: Victorian Student Health and Wellbeing Survey 2018</w:t>
      </w:r>
    </w:p>
    <w:p w14:paraId="41489367" w14:textId="77777777" w:rsidR="00E57985" w:rsidRPr="00E57985" w:rsidRDefault="00E57985" w:rsidP="00C66152">
      <w:pPr>
        <w:pStyle w:val="Heading2"/>
      </w:pPr>
      <w:r w:rsidRPr="0078464D">
        <w:rPr>
          <w:color w:val="auto"/>
        </w:rPr>
        <w:t>Self-harm</w:t>
      </w:r>
    </w:p>
    <w:p w14:paraId="184BB9DA" w14:textId="77777777" w:rsidR="00E57985" w:rsidRPr="00E57985" w:rsidRDefault="00E57985" w:rsidP="00E57985">
      <w:pPr>
        <w:rPr>
          <w:rFonts w:ascii="Arial" w:hAnsi="Arial" w:cs="Arial"/>
          <w:i/>
          <w:sz w:val="24"/>
        </w:rPr>
      </w:pPr>
      <w:r w:rsidRPr="00E57985">
        <w:rPr>
          <w:rFonts w:ascii="Arial" w:hAnsi="Arial" w:cs="Arial"/>
          <w:i/>
          <w:sz w:val="24"/>
        </w:rPr>
        <w:t>Deliberate self-harm often relates to seeking relief from</w:t>
      </w:r>
      <w:r>
        <w:rPr>
          <w:rFonts w:ascii="Arial" w:hAnsi="Arial" w:cs="Arial"/>
          <w:i/>
          <w:sz w:val="24"/>
        </w:rPr>
        <w:t xml:space="preserve"> </w:t>
      </w:r>
      <w:r w:rsidRPr="00E57985">
        <w:rPr>
          <w:rFonts w:ascii="Arial" w:hAnsi="Arial" w:cs="Arial"/>
          <w:i/>
          <w:sz w:val="24"/>
        </w:rPr>
        <w:t>emotional distress, powerlessness, and a lack of coping skills.</w:t>
      </w:r>
    </w:p>
    <w:p w14:paraId="2C259519" w14:textId="77777777" w:rsidR="00E57985" w:rsidRPr="00E57985" w:rsidRDefault="00E57985" w:rsidP="00E57985">
      <w:pPr>
        <w:pStyle w:val="ListParagraph"/>
        <w:numPr>
          <w:ilvl w:val="0"/>
          <w:numId w:val="39"/>
        </w:numPr>
        <w:rPr>
          <w:rFonts w:ascii="Arial" w:hAnsi="Arial" w:cs="Arial"/>
          <w:sz w:val="24"/>
        </w:rPr>
      </w:pPr>
      <w:r w:rsidRPr="00E57985">
        <w:rPr>
          <w:rFonts w:ascii="Arial" w:hAnsi="Arial" w:cs="Arial"/>
          <w:sz w:val="24"/>
        </w:rPr>
        <w:t>Rates of emergency department presentations for self-harm among adolescents have nearly doubled in the past 13 years, with the largest increases outside of the Melbourne Metro area.</w:t>
      </w:r>
    </w:p>
    <w:tbl>
      <w:tblPr>
        <w:tblStyle w:val="TableGrid"/>
        <w:tblW w:w="0" w:type="auto"/>
        <w:tblLook w:val="04A0" w:firstRow="1" w:lastRow="0" w:firstColumn="1" w:lastColumn="0" w:noHBand="0" w:noVBand="1"/>
        <w:tblDescription w:val="This table shows the rate (per 100,000 pop) of self-harm presentations to&#10;emergency departments, Melbourne Metro and Rest of Victoria, 15-19 year olds, 2005 and 2017"/>
      </w:tblPr>
      <w:tblGrid>
        <w:gridCol w:w="3018"/>
        <w:gridCol w:w="2999"/>
        <w:gridCol w:w="2999"/>
      </w:tblGrid>
      <w:tr w:rsidR="00C31280" w:rsidRPr="00C31280" w14:paraId="32DC0E35" w14:textId="77777777" w:rsidTr="00C31280">
        <w:trPr>
          <w:tblHeader/>
        </w:trPr>
        <w:tc>
          <w:tcPr>
            <w:tcW w:w="3080" w:type="dxa"/>
          </w:tcPr>
          <w:p w14:paraId="38D59CB3" w14:textId="77777777" w:rsidR="00C31280" w:rsidRPr="00C31280" w:rsidRDefault="00C31280" w:rsidP="006A3759">
            <w:pPr>
              <w:rPr>
                <w:rFonts w:ascii="Arial" w:hAnsi="Arial" w:cs="Arial"/>
                <w:sz w:val="24"/>
              </w:rPr>
            </w:pPr>
          </w:p>
        </w:tc>
        <w:tc>
          <w:tcPr>
            <w:tcW w:w="3081" w:type="dxa"/>
          </w:tcPr>
          <w:p w14:paraId="75E956D7" w14:textId="77777777" w:rsidR="00C31280" w:rsidRPr="00C31280" w:rsidRDefault="00C31280" w:rsidP="006A3759">
            <w:pPr>
              <w:rPr>
                <w:rFonts w:ascii="Arial" w:hAnsi="Arial" w:cs="Arial"/>
                <w:sz w:val="24"/>
              </w:rPr>
            </w:pPr>
            <w:r w:rsidRPr="00C31280">
              <w:rPr>
                <w:rFonts w:ascii="Arial" w:hAnsi="Arial" w:cs="Arial"/>
                <w:sz w:val="24"/>
              </w:rPr>
              <w:t>2005</w:t>
            </w:r>
          </w:p>
        </w:tc>
        <w:tc>
          <w:tcPr>
            <w:tcW w:w="3081" w:type="dxa"/>
          </w:tcPr>
          <w:p w14:paraId="13B571D1" w14:textId="77777777" w:rsidR="00C31280" w:rsidRPr="00C31280" w:rsidRDefault="00C31280" w:rsidP="006A3759">
            <w:pPr>
              <w:rPr>
                <w:rFonts w:ascii="Arial" w:hAnsi="Arial" w:cs="Arial"/>
                <w:sz w:val="24"/>
              </w:rPr>
            </w:pPr>
            <w:r w:rsidRPr="00C31280">
              <w:rPr>
                <w:rFonts w:ascii="Arial" w:hAnsi="Arial" w:cs="Arial"/>
                <w:sz w:val="24"/>
              </w:rPr>
              <w:t>2017</w:t>
            </w:r>
          </w:p>
        </w:tc>
      </w:tr>
      <w:tr w:rsidR="00C31280" w:rsidRPr="00C31280" w14:paraId="6697A91F" w14:textId="77777777" w:rsidTr="00C31280">
        <w:tc>
          <w:tcPr>
            <w:tcW w:w="3080" w:type="dxa"/>
          </w:tcPr>
          <w:p w14:paraId="3F19D255" w14:textId="77777777" w:rsidR="00C31280" w:rsidRPr="00C31280" w:rsidRDefault="00C31280" w:rsidP="006A3759">
            <w:pPr>
              <w:rPr>
                <w:rFonts w:ascii="Arial" w:hAnsi="Arial" w:cs="Arial"/>
                <w:sz w:val="24"/>
              </w:rPr>
            </w:pPr>
            <w:r>
              <w:rPr>
                <w:rFonts w:ascii="Arial" w:hAnsi="Arial" w:cs="Arial"/>
                <w:sz w:val="24"/>
              </w:rPr>
              <w:t>Melbourne Metro</w:t>
            </w:r>
          </w:p>
        </w:tc>
        <w:tc>
          <w:tcPr>
            <w:tcW w:w="3081" w:type="dxa"/>
          </w:tcPr>
          <w:p w14:paraId="5CA6E0DE" w14:textId="77777777" w:rsidR="00C31280" w:rsidRPr="00C31280" w:rsidRDefault="00C31280" w:rsidP="006A3759">
            <w:pPr>
              <w:rPr>
                <w:rFonts w:ascii="Arial" w:hAnsi="Arial" w:cs="Arial"/>
                <w:sz w:val="24"/>
              </w:rPr>
            </w:pPr>
            <w:r>
              <w:rPr>
                <w:rFonts w:ascii="Arial" w:hAnsi="Arial" w:cs="Arial"/>
                <w:sz w:val="24"/>
              </w:rPr>
              <w:t>324</w:t>
            </w:r>
          </w:p>
        </w:tc>
        <w:tc>
          <w:tcPr>
            <w:tcW w:w="3081" w:type="dxa"/>
          </w:tcPr>
          <w:p w14:paraId="090D8443" w14:textId="77777777" w:rsidR="00C31280" w:rsidRPr="00C31280" w:rsidRDefault="00C31280" w:rsidP="006A3759">
            <w:pPr>
              <w:rPr>
                <w:rFonts w:ascii="Arial" w:hAnsi="Arial" w:cs="Arial"/>
                <w:sz w:val="24"/>
              </w:rPr>
            </w:pPr>
            <w:r>
              <w:rPr>
                <w:rFonts w:ascii="Arial" w:hAnsi="Arial" w:cs="Arial"/>
                <w:sz w:val="24"/>
              </w:rPr>
              <w:t>418</w:t>
            </w:r>
          </w:p>
        </w:tc>
      </w:tr>
      <w:tr w:rsidR="00C31280" w:rsidRPr="00C31280" w14:paraId="2475FA86" w14:textId="77777777" w:rsidTr="00C31280">
        <w:tc>
          <w:tcPr>
            <w:tcW w:w="3080" w:type="dxa"/>
          </w:tcPr>
          <w:p w14:paraId="633FFF99" w14:textId="77777777" w:rsidR="00C31280" w:rsidRPr="00C31280" w:rsidRDefault="00C31280" w:rsidP="006A3759">
            <w:pPr>
              <w:rPr>
                <w:rFonts w:ascii="Arial" w:hAnsi="Arial" w:cs="Arial"/>
                <w:sz w:val="24"/>
              </w:rPr>
            </w:pPr>
            <w:r>
              <w:rPr>
                <w:rFonts w:ascii="Arial" w:hAnsi="Arial" w:cs="Arial"/>
                <w:sz w:val="24"/>
              </w:rPr>
              <w:t>Rest of Victoria</w:t>
            </w:r>
          </w:p>
        </w:tc>
        <w:tc>
          <w:tcPr>
            <w:tcW w:w="3081" w:type="dxa"/>
          </w:tcPr>
          <w:p w14:paraId="293D7BA8" w14:textId="77777777" w:rsidR="00C31280" w:rsidRPr="00C31280" w:rsidRDefault="00C31280" w:rsidP="006A3759">
            <w:pPr>
              <w:rPr>
                <w:rFonts w:ascii="Arial" w:hAnsi="Arial" w:cs="Arial"/>
                <w:sz w:val="24"/>
              </w:rPr>
            </w:pPr>
            <w:r>
              <w:rPr>
                <w:rFonts w:ascii="Arial" w:hAnsi="Arial" w:cs="Arial"/>
                <w:sz w:val="24"/>
              </w:rPr>
              <w:t>396</w:t>
            </w:r>
          </w:p>
        </w:tc>
        <w:tc>
          <w:tcPr>
            <w:tcW w:w="3081" w:type="dxa"/>
          </w:tcPr>
          <w:p w14:paraId="36BDA52A" w14:textId="77777777" w:rsidR="00C31280" w:rsidRPr="00C31280" w:rsidRDefault="00C31280" w:rsidP="006A3759">
            <w:pPr>
              <w:rPr>
                <w:rFonts w:ascii="Arial" w:hAnsi="Arial" w:cs="Arial"/>
                <w:sz w:val="24"/>
              </w:rPr>
            </w:pPr>
            <w:r>
              <w:rPr>
                <w:rFonts w:ascii="Arial" w:hAnsi="Arial" w:cs="Arial"/>
                <w:sz w:val="24"/>
              </w:rPr>
              <w:t>819</w:t>
            </w:r>
          </w:p>
        </w:tc>
      </w:tr>
    </w:tbl>
    <w:p w14:paraId="5D18BE58" w14:textId="77777777" w:rsidR="00833F15" w:rsidRPr="006A3759" w:rsidRDefault="00CC2354" w:rsidP="006A3759">
      <w:pPr>
        <w:rPr>
          <w:rFonts w:ascii="Arial" w:eastAsiaTheme="majorEastAsia" w:hAnsi="Arial" w:cs="Arial"/>
          <w:b/>
          <w:bCs/>
          <w:i/>
          <w:sz w:val="28"/>
          <w:szCs w:val="26"/>
        </w:rPr>
      </w:pPr>
      <w:r w:rsidRPr="00CC2354">
        <w:rPr>
          <w:rFonts w:ascii="Arial" w:hAnsi="Arial" w:cs="Arial"/>
          <w:i/>
          <w:sz w:val="24"/>
        </w:rPr>
        <w:t>Source: Victorian Emergency Minimum Data (VEMD), 2005-2017</w:t>
      </w:r>
      <w:r w:rsidR="00833F15" w:rsidRPr="006A3759">
        <w:rPr>
          <w:rFonts w:ascii="Arial" w:hAnsi="Arial" w:cs="Arial"/>
          <w:i/>
          <w:sz w:val="24"/>
        </w:rPr>
        <w:br w:type="page"/>
      </w:r>
    </w:p>
    <w:p w14:paraId="190969F7" w14:textId="77777777" w:rsidR="00CD51E3" w:rsidRDefault="00AE108A" w:rsidP="00AE108A">
      <w:pPr>
        <w:pStyle w:val="Heading1"/>
      </w:pPr>
      <w:bookmarkStart w:id="4" w:name="_Toc33527764"/>
      <w:r w:rsidRPr="00AE108A">
        <w:lastRenderedPageBreak/>
        <w:t>EDUCATION</w:t>
      </w:r>
      <w:bookmarkEnd w:id="4"/>
    </w:p>
    <w:p w14:paraId="52CBA5AC" w14:textId="77777777" w:rsidR="00594B3D" w:rsidRPr="007310F3" w:rsidRDefault="00DD64C9" w:rsidP="00DD64C9">
      <w:pPr>
        <w:rPr>
          <w:rFonts w:ascii="Arial" w:hAnsi="Arial" w:cs="Arial"/>
          <w:sz w:val="24"/>
        </w:rPr>
      </w:pPr>
      <w:r w:rsidRPr="00DD64C9">
        <w:rPr>
          <w:rFonts w:ascii="Arial" w:hAnsi="Arial" w:cs="Arial"/>
          <w:sz w:val="24"/>
        </w:rPr>
        <w:t>The transition to secondary schooling in adolescence presents a range</w:t>
      </w:r>
      <w:r>
        <w:rPr>
          <w:rFonts w:ascii="Arial" w:hAnsi="Arial" w:cs="Arial"/>
          <w:sz w:val="24"/>
        </w:rPr>
        <w:t xml:space="preserve"> </w:t>
      </w:r>
      <w:r w:rsidRPr="00DD64C9">
        <w:rPr>
          <w:rFonts w:ascii="Arial" w:hAnsi="Arial" w:cs="Arial"/>
          <w:sz w:val="24"/>
        </w:rPr>
        <w:t xml:space="preserve">of new </w:t>
      </w:r>
      <w:r w:rsidRPr="007310F3">
        <w:rPr>
          <w:rFonts w:ascii="Arial" w:hAnsi="Arial" w:cs="Arial"/>
          <w:sz w:val="24"/>
        </w:rPr>
        <w:t>opportunities and challenges for young people, which require strong social and educational support systems— particularly for those with vulnerabilities.</w:t>
      </w:r>
    </w:p>
    <w:p w14:paraId="699F869B" w14:textId="77777777" w:rsidR="00DD64C9" w:rsidRPr="007310F3" w:rsidRDefault="00542309" w:rsidP="00C66152">
      <w:pPr>
        <w:pStyle w:val="Heading2"/>
      </w:pPr>
      <w:r w:rsidRPr="0078464D">
        <w:rPr>
          <w:color w:val="auto"/>
        </w:rPr>
        <w:t>Transitions</w:t>
      </w:r>
    </w:p>
    <w:p w14:paraId="27FBE152" w14:textId="77777777" w:rsidR="00542309" w:rsidRPr="007310F3" w:rsidRDefault="00542309" w:rsidP="00542309">
      <w:pPr>
        <w:pStyle w:val="ListParagraph"/>
        <w:numPr>
          <w:ilvl w:val="0"/>
          <w:numId w:val="39"/>
        </w:numPr>
        <w:rPr>
          <w:rFonts w:ascii="Arial" w:hAnsi="Arial" w:cs="Arial"/>
          <w:sz w:val="24"/>
        </w:rPr>
      </w:pPr>
      <w:r w:rsidRPr="007310F3">
        <w:rPr>
          <w:rFonts w:ascii="Arial" w:hAnsi="Arial" w:cs="Arial"/>
          <w:sz w:val="24"/>
          <w:szCs w:val="24"/>
        </w:rPr>
        <w:t>Almost 3 in 4 (71 per cent) Victorian government school students in Year 7 were positive about their transition to secondary school (</w:t>
      </w:r>
      <w:r w:rsidRPr="007310F3">
        <w:rPr>
          <w:rFonts w:ascii="Arial" w:hAnsi="Arial" w:cs="Arial"/>
          <w:i/>
          <w:iCs/>
          <w:sz w:val="24"/>
          <w:szCs w:val="24"/>
        </w:rPr>
        <w:t>Source: Attitudes to School Survey 2018</w:t>
      </w:r>
      <w:r w:rsidRPr="007310F3">
        <w:rPr>
          <w:rFonts w:ascii="Arial" w:hAnsi="Arial" w:cs="Arial"/>
          <w:iCs/>
          <w:sz w:val="24"/>
          <w:szCs w:val="24"/>
        </w:rPr>
        <w:t>)</w:t>
      </w:r>
    </w:p>
    <w:p w14:paraId="04FFC7AE" w14:textId="77777777" w:rsidR="00542309" w:rsidRPr="007310F3" w:rsidRDefault="00542309" w:rsidP="00542309">
      <w:pPr>
        <w:pStyle w:val="ListParagraph"/>
        <w:numPr>
          <w:ilvl w:val="0"/>
          <w:numId w:val="39"/>
        </w:numPr>
        <w:rPr>
          <w:rFonts w:ascii="Arial" w:hAnsi="Arial" w:cs="Arial"/>
          <w:sz w:val="24"/>
        </w:rPr>
      </w:pPr>
      <w:r w:rsidRPr="007310F3">
        <w:rPr>
          <w:rFonts w:ascii="Arial" w:hAnsi="Arial" w:cs="Arial"/>
          <w:sz w:val="24"/>
        </w:rPr>
        <w:t>More than 4 in 5 (81 per cent) Victorian students completed Year 12 in 2017 (</w:t>
      </w:r>
      <w:r w:rsidRPr="007310F3">
        <w:rPr>
          <w:rFonts w:ascii="Arial" w:hAnsi="Arial" w:cs="Arial"/>
          <w:i/>
          <w:sz w:val="24"/>
        </w:rPr>
        <w:t>Source: Report on Government Services 2019</w:t>
      </w:r>
      <w:r w:rsidRPr="007310F3">
        <w:rPr>
          <w:rFonts w:ascii="Arial" w:hAnsi="Arial" w:cs="Arial"/>
          <w:sz w:val="24"/>
        </w:rPr>
        <w:t>)</w:t>
      </w:r>
    </w:p>
    <w:p w14:paraId="639C1D39" w14:textId="77777777" w:rsidR="00542309" w:rsidRPr="007310F3" w:rsidRDefault="00542309" w:rsidP="00542309">
      <w:pPr>
        <w:pStyle w:val="ListParagraph"/>
        <w:numPr>
          <w:ilvl w:val="0"/>
          <w:numId w:val="39"/>
        </w:numPr>
        <w:rPr>
          <w:rFonts w:ascii="Arial" w:hAnsi="Arial" w:cs="Arial"/>
          <w:sz w:val="24"/>
        </w:rPr>
      </w:pPr>
      <w:r w:rsidRPr="007310F3">
        <w:rPr>
          <w:rFonts w:ascii="Arial" w:hAnsi="Arial" w:cs="Arial"/>
          <w:sz w:val="24"/>
        </w:rPr>
        <w:t>4 in 5 (80 per cent) Victorians who left school before completing Year 12 went on to further education or employment in 2018 (</w:t>
      </w:r>
      <w:r w:rsidRPr="007310F3">
        <w:rPr>
          <w:rFonts w:ascii="Arial" w:hAnsi="Arial" w:cs="Arial"/>
          <w:i/>
          <w:sz w:val="24"/>
        </w:rPr>
        <w:t>Source: On Track Survey 2018</w:t>
      </w:r>
      <w:r w:rsidRPr="007310F3">
        <w:rPr>
          <w:rFonts w:ascii="Arial" w:hAnsi="Arial" w:cs="Arial"/>
          <w:sz w:val="24"/>
        </w:rPr>
        <w:t>).</w:t>
      </w:r>
    </w:p>
    <w:p w14:paraId="3D191339" w14:textId="77777777" w:rsidR="007310F3" w:rsidRDefault="00DA1796" w:rsidP="00C66152">
      <w:pPr>
        <w:pStyle w:val="Heading2"/>
      </w:pPr>
      <w:r w:rsidRPr="0078464D">
        <w:rPr>
          <w:color w:val="auto"/>
        </w:rPr>
        <w:t>Absences</w:t>
      </w:r>
    </w:p>
    <w:p w14:paraId="06035358" w14:textId="77777777" w:rsidR="007310F3" w:rsidRPr="00E1133D" w:rsidRDefault="007310F3" w:rsidP="007310F3">
      <w:pPr>
        <w:rPr>
          <w:rFonts w:ascii="Arial" w:hAnsi="Arial" w:cs="Arial"/>
          <w:i/>
          <w:sz w:val="24"/>
        </w:rPr>
      </w:pPr>
      <w:r w:rsidRPr="00E1133D">
        <w:rPr>
          <w:rFonts w:ascii="Arial" w:hAnsi="Arial" w:cs="Arial"/>
          <w:i/>
          <w:sz w:val="24"/>
        </w:rPr>
        <w:t>Absenteeism increases steadily following the transition from primary to secondary school, peaking in Year 9, before declining in the senior secondary years.</w:t>
      </w:r>
    </w:p>
    <w:p w14:paraId="48A0FE15" w14:textId="77777777" w:rsidR="007310F3" w:rsidRPr="007310F3" w:rsidRDefault="007310F3" w:rsidP="007310F3">
      <w:pPr>
        <w:pStyle w:val="ListParagraph"/>
        <w:numPr>
          <w:ilvl w:val="0"/>
          <w:numId w:val="41"/>
        </w:numPr>
        <w:rPr>
          <w:rFonts w:ascii="Arial" w:hAnsi="Arial" w:cs="Arial"/>
          <w:sz w:val="24"/>
        </w:rPr>
      </w:pPr>
      <w:r w:rsidRPr="007310F3">
        <w:rPr>
          <w:rFonts w:ascii="Arial" w:hAnsi="Arial" w:cs="Arial"/>
          <w:sz w:val="24"/>
        </w:rPr>
        <w:t>In 2018, students from Victorian government schools were absent for an average of 17 days.</w:t>
      </w:r>
    </w:p>
    <w:tbl>
      <w:tblPr>
        <w:tblStyle w:val="TableGrid"/>
        <w:tblW w:w="5000" w:type="pct"/>
        <w:tblLook w:val="04A0" w:firstRow="1" w:lastRow="0" w:firstColumn="1" w:lastColumn="0" w:noHBand="0" w:noVBand="1"/>
        <w:tblDescription w:val="This table provides information on average number of student absence days (Victorian government schools), 2018"/>
      </w:tblPr>
      <w:tblGrid>
        <w:gridCol w:w="808"/>
        <w:gridCol w:w="684"/>
        <w:gridCol w:w="684"/>
        <w:gridCol w:w="684"/>
        <w:gridCol w:w="684"/>
        <w:gridCol w:w="684"/>
        <w:gridCol w:w="684"/>
        <w:gridCol w:w="684"/>
        <w:gridCol w:w="684"/>
        <w:gridCol w:w="684"/>
        <w:gridCol w:w="684"/>
        <w:gridCol w:w="684"/>
        <w:gridCol w:w="684"/>
      </w:tblGrid>
      <w:tr w:rsidR="007310F3" w:rsidRPr="00054426" w14:paraId="10EFC9F3" w14:textId="77777777" w:rsidTr="00467486">
        <w:trPr>
          <w:tblHeader/>
        </w:trPr>
        <w:tc>
          <w:tcPr>
            <w:tcW w:w="471" w:type="pct"/>
          </w:tcPr>
          <w:p w14:paraId="63403E6C" w14:textId="77777777" w:rsidR="007310F3" w:rsidRDefault="007310F3" w:rsidP="00467486">
            <w:pPr>
              <w:rPr>
                <w:rFonts w:ascii="Arial" w:hAnsi="Arial" w:cs="Arial"/>
                <w:sz w:val="24"/>
              </w:rPr>
            </w:pPr>
            <w:r>
              <w:rPr>
                <w:rFonts w:ascii="Arial" w:hAnsi="Arial" w:cs="Arial"/>
                <w:sz w:val="24"/>
              </w:rPr>
              <w:t>Prep</w:t>
            </w:r>
          </w:p>
        </w:tc>
        <w:tc>
          <w:tcPr>
            <w:tcW w:w="391" w:type="pct"/>
          </w:tcPr>
          <w:p w14:paraId="32A7AA6C" w14:textId="77777777" w:rsidR="007310F3" w:rsidRPr="00054426" w:rsidRDefault="007310F3" w:rsidP="00467486">
            <w:pPr>
              <w:rPr>
                <w:rFonts w:ascii="Arial" w:hAnsi="Arial" w:cs="Arial"/>
                <w:sz w:val="24"/>
              </w:rPr>
            </w:pPr>
            <w:proofErr w:type="spellStart"/>
            <w:r>
              <w:rPr>
                <w:rFonts w:ascii="Arial" w:hAnsi="Arial" w:cs="Arial"/>
                <w:sz w:val="24"/>
              </w:rPr>
              <w:t>Yr</w:t>
            </w:r>
            <w:proofErr w:type="spellEnd"/>
            <w:r>
              <w:rPr>
                <w:rFonts w:ascii="Arial" w:hAnsi="Arial" w:cs="Arial"/>
                <w:sz w:val="24"/>
              </w:rPr>
              <w:t xml:space="preserve"> 1</w:t>
            </w:r>
          </w:p>
        </w:tc>
        <w:tc>
          <w:tcPr>
            <w:tcW w:w="391" w:type="pct"/>
          </w:tcPr>
          <w:p w14:paraId="6541CE5E" w14:textId="77777777" w:rsidR="007310F3" w:rsidRDefault="007310F3" w:rsidP="00467486">
            <w:pPr>
              <w:rPr>
                <w:rFonts w:ascii="Arial" w:hAnsi="Arial" w:cs="Arial"/>
                <w:sz w:val="24"/>
              </w:rPr>
            </w:pPr>
            <w:proofErr w:type="spellStart"/>
            <w:r>
              <w:rPr>
                <w:rFonts w:ascii="Arial" w:hAnsi="Arial" w:cs="Arial"/>
                <w:sz w:val="24"/>
              </w:rPr>
              <w:t>Yr</w:t>
            </w:r>
            <w:proofErr w:type="spellEnd"/>
            <w:r>
              <w:rPr>
                <w:rFonts w:ascii="Arial" w:hAnsi="Arial" w:cs="Arial"/>
                <w:sz w:val="24"/>
              </w:rPr>
              <w:t xml:space="preserve"> 2</w:t>
            </w:r>
          </w:p>
        </w:tc>
        <w:tc>
          <w:tcPr>
            <w:tcW w:w="391" w:type="pct"/>
          </w:tcPr>
          <w:p w14:paraId="2896E3E3" w14:textId="77777777" w:rsidR="007310F3" w:rsidRPr="00054426" w:rsidRDefault="007310F3" w:rsidP="00467486">
            <w:pPr>
              <w:rPr>
                <w:rFonts w:ascii="Arial" w:hAnsi="Arial" w:cs="Arial"/>
                <w:sz w:val="24"/>
              </w:rPr>
            </w:pPr>
            <w:proofErr w:type="spellStart"/>
            <w:r>
              <w:rPr>
                <w:rFonts w:ascii="Arial" w:hAnsi="Arial" w:cs="Arial"/>
                <w:sz w:val="24"/>
              </w:rPr>
              <w:t>Yr</w:t>
            </w:r>
            <w:proofErr w:type="spellEnd"/>
            <w:r>
              <w:rPr>
                <w:rFonts w:ascii="Arial" w:hAnsi="Arial" w:cs="Arial"/>
                <w:sz w:val="24"/>
              </w:rPr>
              <w:t xml:space="preserve"> 3</w:t>
            </w:r>
          </w:p>
        </w:tc>
        <w:tc>
          <w:tcPr>
            <w:tcW w:w="391" w:type="pct"/>
          </w:tcPr>
          <w:p w14:paraId="3FB138FB" w14:textId="77777777" w:rsidR="007310F3" w:rsidRDefault="007310F3" w:rsidP="00467486">
            <w:pPr>
              <w:rPr>
                <w:rFonts w:ascii="Arial" w:hAnsi="Arial" w:cs="Arial"/>
                <w:sz w:val="24"/>
              </w:rPr>
            </w:pPr>
            <w:proofErr w:type="spellStart"/>
            <w:r>
              <w:rPr>
                <w:rFonts w:ascii="Arial" w:hAnsi="Arial" w:cs="Arial"/>
                <w:sz w:val="24"/>
              </w:rPr>
              <w:t>Yr</w:t>
            </w:r>
            <w:proofErr w:type="spellEnd"/>
            <w:r>
              <w:rPr>
                <w:rFonts w:ascii="Arial" w:hAnsi="Arial" w:cs="Arial"/>
                <w:sz w:val="24"/>
              </w:rPr>
              <w:t xml:space="preserve"> 4</w:t>
            </w:r>
          </w:p>
        </w:tc>
        <w:tc>
          <w:tcPr>
            <w:tcW w:w="391" w:type="pct"/>
          </w:tcPr>
          <w:p w14:paraId="0CE3D3E5" w14:textId="77777777" w:rsidR="007310F3" w:rsidRPr="00054426" w:rsidRDefault="007310F3" w:rsidP="00467486">
            <w:pPr>
              <w:rPr>
                <w:rFonts w:ascii="Arial" w:hAnsi="Arial" w:cs="Arial"/>
                <w:sz w:val="24"/>
              </w:rPr>
            </w:pPr>
            <w:proofErr w:type="spellStart"/>
            <w:r>
              <w:rPr>
                <w:rFonts w:ascii="Arial" w:hAnsi="Arial" w:cs="Arial"/>
                <w:sz w:val="24"/>
              </w:rPr>
              <w:t>Yr</w:t>
            </w:r>
            <w:proofErr w:type="spellEnd"/>
            <w:r>
              <w:rPr>
                <w:rFonts w:ascii="Arial" w:hAnsi="Arial" w:cs="Arial"/>
                <w:sz w:val="24"/>
              </w:rPr>
              <w:t xml:space="preserve"> 5</w:t>
            </w:r>
          </w:p>
        </w:tc>
        <w:tc>
          <w:tcPr>
            <w:tcW w:w="391" w:type="pct"/>
          </w:tcPr>
          <w:p w14:paraId="1B44C273" w14:textId="77777777" w:rsidR="007310F3" w:rsidRDefault="007310F3" w:rsidP="00467486">
            <w:pPr>
              <w:rPr>
                <w:rFonts w:ascii="Arial" w:hAnsi="Arial" w:cs="Arial"/>
                <w:sz w:val="24"/>
              </w:rPr>
            </w:pPr>
            <w:proofErr w:type="spellStart"/>
            <w:r>
              <w:rPr>
                <w:rFonts w:ascii="Arial" w:hAnsi="Arial" w:cs="Arial"/>
                <w:sz w:val="24"/>
              </w:rPr>
              <w:t>Yr</w:t>
            </w:r>
            <w:proofErr w:type="spellEnd"/>
            <w:r>
              <w:rPr>
                <w:rFonts w:ascii="Arial" w:hAnsi="Arial" w:cs="Arial"/>
                <w:sz w:val="24"/>
              </w:rPr>
              <w:t xml:space="preserve"> 6</w:t>
            </w:r>
          </w:p>
        </w:tc>
        <w:tc>
          <w:tcPr>
            <w:tcW w:w="365" w:type="pct"/>
          </w:tcPr>
          <w:p w14:paraId="37E4697B" w14:textId="77777777" w:rsidR="007310F3" w:rsidRDefault="007310F3" w:rsidP="00467486">
            <w:pPr>
              <w:rPr>
                <w:rFonts w:ascii="Arial" w:hAnsi="Arial" w:cs="Arial"/>
                <w:sz w:val="24"/>
              </w:rPr>
            </w:pPr>
            <w:proofErr w:type="spellStart"/>
            <w:r>
              <w:rPr>
                <w:rFonts w:ascii="Arial" w:hAnsi="Arial" w:cs="Arial"/>
                <w:sz w:val="24"/>
              </w:rPr>
              <w:t>Yr</w:t>
            </w:r>
            <w:proofErr w:type="spellEnd"/>
            <w:r>
              <w:rPr>
                <w:rFonts w:ascii="Arial" w:hAnsi="Arial" w:cs="Arial"/>
                <w:sz w:val="24"/>
              </w:rPr>
              <w:t xml:space="preserve"> 7</w:t>
            </w:r>
          </w:p>
        </w:tc>
        <w:tc>
          <w:tcPr>
            <w:tcW w:w="365" w:type="pct"/>
          </w:tcPr>
          <w:p w14:paraId="50AF53E5" w14:textId="77777777" w:rsidR="007310F3" w:rsidRDefault="007310F3" w:rsidP="00467486">
            <w:pPr>
              <w:rPr>
                <w:rFonts w:ascii="Arial" w:hAnsi="Arial" w:cs="Arial"/>
                <w:sz w:val="24"/>
              </w:rPr>
            </w:pPr>
            <w:proofErr w:type="spellStart"/>
            <w:r>
              <w:rPr>
                <w:rFonts w:ascii="Arial" w:hAnsi="Arial" w:cs="Arial"/>
                <w:sz w:val="24"/>
              </w:rPr>
              <w:t>Yr</w:t>
            </w:r>
            <w:proofErr w:type="spellEnd"/>
            <w:r>
              <w:rPr>
                <w:rFonts w:ascii="Arial" w:hAnsi="Arial" w:cs="Arial"/>
                <w:sz w:val="24"/>
              </w:rPr>
              <w:t xml:space="preserve"> 8</w:t>
            </w:r>
          </w:p>
        </w:tc>
        <w:tc>
          <w:tcPr>
            <w:tcW w:w="365" w:type="pct"/>
          </w:tcPr>
          <w:p w14:paraId="71326B94" w14:textId="77777777" w:rsidR="007310F3" w:rsidRDefault="007310F3" w:rsidP="00467486">
            <w:pPr>
              <w:rPr>
                <w:rFonts w:ascii="Arial" w:hAnsi="Arial" w:cs="Arial"/>
                <w:sz w:val="24"/>
              </w:rPr>
            </w:pPr>
            <w:proofErr w:type="spellStart"/>
            <w:r>
              <w:rPr>
                <w:rFonts w:ascii="Arial" w:hAnsi="Arial" w:cs="Arial"/>
                <w:sz w:val="24"/>
              </w:rPr>
              <w:t>Yr</w:t>
            </w:r>
            <w:proofErr w:type="spellEnd"/>
            <w:r>
              <w:rPr>
                <w:rFonts w:ascii="Arial" w:hAnsi="Arial" w:cs="Arial"/>
                <w:sz w:val="24"/>
              </w:rPr>
              <w:t xml:space="preserve"> 9</w:t>
            </w:r>
          </w:p>
        </w:tc>
        <w:tc>
          <w:tcPr>
            <w:tcW w:w="365" w:type="pct"/>
          </w:tcPr>
          <w:p w14:paraId="3656027B" w14:textId="77777777" w:rsidR="007310F3" w:rsidRDefault="007310F3" w:rsidP="00467486">
            <w:pPr>
              <w:rPr>
                <w:rFonts w:ascii="Arial" w:hAnsi="Arial" w:cs="Arial"/>
                <w:sz w:val="24"/>
              </w:rPr>
            </w:pPr>
            <w:proofErr w:type="spellStart"/>
            <w:r>
              <w:rPr>
                <w:rFonts w:ascii="Arial" w:hAnsi="Arial" w:cs="Arial"/>
                <w:sz w:val="24"/>
              </w:rPr>
              <w:t>Yr</w:t>
            </w:r>
            <w:proofErr w:type="spellEnd"/>
            <w:r>
              <w:rPr>
                <w:rFonts w:ascii="Arial" w:hAnsi="Arial" w:cs="Arial"/>
                <w:sz w:val="24"/>
              </w:rPr>
              <w:t xml:space="preserve"> 10</w:t>
            </w:r>
          </w:p>
        </w:tc>
        <w:tc>
          <w:tcPr>
            <w:tcW w:w="365" w:type="pct"/>
          </w:tcPr>
          <w:p w14:paraId="1CA9E9F3" w14:textId="77777777" w:rsidR="007310F3" w:rsidRDefault="007310F3" w:rsidP="00467486">
            <w:pPr>
              <w:rPr>
                <w:rFonts w:ascii="Arial" w:hAnsi="Arial" w:cs="Arial"/>
                <w:sz w:val="24"/>
              </w:rPr>
            </w:pPr>
            <w:proofErr w:type="spellStart"/>
            <w:r>
              <w:rPr>
                <w:rFonts w:ascii="Arial" w:hAnsi="Arial" w:cs="Arial"/>
                <w:sz w:val="24"/>
              </w:rPr>
              <w:t>Yr</w:t>
            </w:r>
            <w:proofErr w:type="spellEnd"/>
            <w:r>
              <w:rPr>
                <w:rFonts w:ascii="Arial" w:hAnsi="Arial" w:cs="Arial"/>
                <w:sz w:val="24"/>
              </w:rPr>
              <w:t xml:space="preserve"> 11</w:t>
            </w:r>
          </w:p>
        </w:tc>
        <w:tc>
          <w:tcPr>
            <w:tcW w:w="359" w:type="pct"/>
          </w:tcPr>
          <w:p w14:paraId="3D80CAC5" w14:textId="77777777" w:rsidR="007310F3" w:rsidRDefault="007310F3" w:rsidP="00467486">
            <w:pPr>
              <w:rPr>
                <w:rFonts w:ascii="Arial" w:hAnsi="Arial" w:cs="Arial"/>
                <w:sz w:val="24"/>
              </w:rPr>
            </w:pPr>
            <w:proofErr w:type="spellStart"/>
            <w:r>
              <w:rPr>
                <w:rFonts w:ascii="Arial" w:hAnsi="Arial" w:cs="Arial"/>
                <w:sz w:val="24"/>
              </w:rPr>
              <w:t>Yr</w:t>
            </w:r>
            <w:proofErr w:type="spellEnd"/>
            <w:r>
              <w:rPr>
                <w:rFonts w:ascii="Arial" w:hAnsi="Arial" w:cs="Arial"/>
                <w:sz w:val="24"/>
              </w:rPr>
              <w:t xml:space="preserve"> 12</w:t>
            </w:r>
          </w:p>
        </w:tc>
      </w:tr>
      <w:tr w:rsidR="007310F3" w14:paraId="04A13B70" w14:textId="77777777" w:rsidTr="00467486">
        <w:tc>
          <w:tcPr>
            <w:tcW w:w="471" w:type="pct"/>
          </w:tcPr>
          <w:p w14:paraId="5A2335B5" w14:textId="77777777" w:rsidR="007310F3" w:rsidRDefault="007310F3" w:rsidP="00467486">
            <w:pPr>
              <w:rPr>
                <w:rFonts w:ascii="Arial" w:hAnsi="Arial" w:cs="Arial"/>
                <w:sz w:val="24"/>
              </w:rPr>
            </w:pPr>
            <w:r>
              <w:rPr>
                <w:rFonts w:ascii="Arial" w:hAnsi="Arial" w:cs="Arial"/>
                <w:sz w:val="24"/>
              </w:rPr>
              <w:t>15.2</w:t>
            </w:r>
          </w:p>
        </w:tc>
        <w:tc>
          <w:tcPr>
            <w:tcW w:w="391" w:type="pct"/>
          </w:tcPr>
          <w:p w14:paraId="13D05712" w14:textId="77777777" w:rsidR="007310F3" w:rsidRDefault="007310F3" w:rsidP="00467486">
            <w:pPr>
              <w:rPr>
                <w:rFonts w:ascii="Arial" w:hAnsi="Arial" w:cs="Arial"/>
                <w:sz w:val="24"/>
              </w:rPr>
            </w:pPr>
            <w:r>
              <w:rPr>
                <w:rFonts w:ascii="Arial" w:hAnsi="Arial" w:cs="Arial"/>
                <w:sz w:val="24"/>
              </w:rPr>
              <w:t>15.4</w:t>
            </w:r>
          </w:p>
        </w:tc>
        <w:tc>
          <w:tcPr>
            <w:tcW w:w="391" w:type="pct"/>
          </w:tcPr>
          <w:p w14:paraId="3AA8F9BF" w14:textId="77777777" w:rsidR="007310F3" w:rsidRDefault="007310F3" w:rsidP="00467486">
            <w:pPr>
              <w:rPr>
                <w:rFonts w:ascii="Arial" w:hAnsi="Arial" w:cs="Arial"/>
                <w:sz w:val="24"/>
              </w:rPr>
            </w:pPr>
            <w:r>
              <w:rPr>
                <w:rFonts w:ascii="Arial" w:hAnsi="Arial" w:cs="Arial"/>
                <w:sz w:val="24"/>
              </w:rPr>
              <w:t>14.8</w:t>
            </w:r>
          </w:p>
        </w:tc>
        <w:tc>
          <w:tcPr>
            <w:tcW w:w="391" w:type="pct"/>
          </w:tcPr>
          <w:p w14:paraId="7F81F4AB" w14:textId="77777777" w:rsidR="007310F3" w:rsidRDefault="007310F3" w:rsidP="00467486">
            <w:pPr>
              <w:rPr>
                <w:rFonts w:ascii="Arial" w:hAnsi="Arial" w:cs="Arial"/>
                <w:sz w:val="24"/>
              </w:rPr>
            </w:pPr>
            <w:r>
              <w:rPr>
                <w:rFonts w:ascii="Arial" w:hAnsi="Arial" w:cs="Arial"/>
                <w:sz w:val="24"/>
              </w:rPr>
              <w:t>14.8</w:t>
            </w:r>
          </w:p>
        </w:tc>
        <w:tc>
          <w:tcPr>
            <w:tcW w:w="391" w:type="pct"/>
          </w:tcPr>
          <w:p w14:paraId="37942D9F" w14:textId="77777777" w:rsidR="007310F3" w:rsidRDefault="007310F3" w:rsidP="00467486">
            <w:pPr>
              <w:rPr>
                <w:rFonts w:ascii="Arial" w:hAnsi="Arial" w:cs="Arial"/>
                <w:sz w:val="24"/>
              </w:rPr>
            </w:pPr>
            <w:r>
              <w:rPr>
                <w:rFonts w:ascii="Arial" w:hAnsi="Arial" w:cs="Arial"/>
                <w:sz w:val="24"/>
              </w:rPr>
              <w:t>15.0</w:t>
            </w:r>
          </w:p>
        </w:tc>
        <w:tc>
          <w:tcPr>
            <w:tcW w:w="391" w:type="pct"/>
          </w:tcPr>
          <w:p w14:paraId="4AA6FD02" w14:textId="77777777" w:rsidR="007310F3" w:rsidRDefault="007310F3" w:rsidP="00467486">
            <w:pPr>
              <w:rPr>
                <w:rFonts w:ascii="Arial" w:hAnsi="Arial" w:cs="Arial"/>
                <w:sz w:val="24"/>
              </w:rPr>
            </w:pPr>
            <w:r>
              <w:rPr>
                <w:rFonts w:ascii="Arial" w:hAnsi="Arial" w:cs="Arial"/>
                <w:sz w:val="24"/>
              </w:rPr>
              <w:t>15.6</w:t>
            </w:r>
          </w:p>
        </w:tc>
        <w:tc>
          <w:tcPr>
            <w:tcW w:w="391" w:type="pct"/>
          </w:tcPr>
          <w:p w14:paraId="0345242D" w14:textId="77777777" w:rsidR="007310F3" w:rsidRDefault="007310F3" w:rsidP="00467486">
            <w:pPr>
              <w:rPr>
                <w:rFonts w:ascii="Arial" w:hAnsi="Arial" w:cs="Arial"/>
                <w:sz w:val="24"/>
              </w:rPr>
            </w:pPr>
            <w:r>
              <w:rPr>
                <w:rFonts w:ascii="Arial" w:hAnsi="Arial" w:cs="Arial"/>
                <w:sz w:val="24"/>
              </w:rPr>
              <w:t>16.3</w:t>
            </w:r>
          </w:p>
        </w:tc>
        <w:tc>
          <w:tcPr>
            <w:tcW w:w="365" w:type="pct"/>
          </w:tcPr>
          <w:p w14:paraId="0E897BC9" w14:textId="77777777" w:rsidR="007310F3" w:rsidRDefault="007310F3" w:rsidP="00467486">
            <w:pPr>
              <w:rPr>
                <w:rFonts w:ascii="Arial" w:hAnsi="Arial" w:cs="Arial"/>
                <w:sz w:val="24"/>
              </w:rPr>
            </w:pPr>
            <w:r>
              <w:rPr>
                <w:rFonts w:ascii="Arial" w:hAnsi="Arial" w:cs="Arial"/>
                <w:sz w:val="24"/>
              </w:rPr>
              <w:t>17.4</w:t>
            </w:r>
          </w:p>
        </w:tc>
        <w:tc>
          <w:tcPr>
            <w:tcW w:w="365" w:type="pct"/>
          </w:tcPr>
          <w:p w14:paraId="4B5E92A8" w14:textId="77777777" w:rsidR="007310F3" w:rsidRDefault="007310F3" w:rsidP="00467486">
            <w:pPr>
              <w:rPr>
                <w:rFonts w:ascii="Arial" w:hAnsi="Arial" w:cs="Arial"/>
                <w:sz w:val="24"/>
              </w:rPr>
            </w:pPr>
            <w:r>
              <w:rPr>
                <w:rFonts w:ascii="Arial" w:hAnsi="Arial" w:cs="Arial"/>
                <w:sz w:val="24"/>
              </w:rPr>
              <w:t>21.3</w:t>
            </w:r>
          </w:p>
        </w:tc>
        <w:tc>
          <w:tcPr>
            <w:tcW w:w="365" w:type="pct"/>
          </w:tcPr>
          <w:p w14:paraId="062D1033" w14:textId="77777777" w:rsidR="007310F3" w:rsidRDefault="007310F3" w:rsidP="00467486">
            <w:pPr>
              <w:rPr>
                <w:rFonts w:ascii="Arial" w:hAnsi="Arial" w:cs="Arial"/>
                <w:sz w:val="24"/>
              </w:rPr>
            </w:pPr>
            <w:r>
              <w:rPr>
                <w:rFonts w:ascii="Arial" w:hAnsi="Arial" w:cs="Arial"/>
                <w:sz w:val="24"/>
              </w:rPr>
              <w:t>23.2</w:t>
            </w:r>
          </w:p>
        </w:tc>
        <w:tc>
          <w:tcPr>
            <w:tcW w:w="365" w:type="pct"/>
          </w:tcPr>
          <w:p w14:paraId="09D32DDA" w14:textId="77777777" w:rsidR="007310F3" w:rsidRDefault="007310F3" w:rsidP="00467486">
            <w:pPr>
              <w:rPr>
                <w:rFonts w:ascii="Arial" w:hAnsi="Arial" w:cs="Arial"/>
                <w:sz w:val="24"/>
              </w:rPr>
            </w:pPr>
            <w:r>
              <w:rPr>
                <w:rFonts w:ascii="Arial" w:hAnsi="Arial" w:cs="Arial"/>
                <w:sz w:val="24"/>
              </w:rPr>
              <w:t>20.7</w:t>
            </w:r>
          </w:p>
        </w:tc>
        <w:tc>
          <w:tcPr>
            <w:tcW w:w="365" w:type="pct"/>
          </w:tcPr>
          <w:p w14:paraId="0592B5F4" w14:textId="77777777" w:rsidR="007310F3" w:rsidRDefault="007310F3" w:rsidP="00467486">
            <w:pPr>
              <w:rPr>
                <w:rFonts w:ascii="Arial" w:hAnsi="Arial" w:cs="Arial"/>
                <w:sz w:val="24"/>
              </w:rPr>
            </w:pPr>
            <w:r>
              <w:rPr>
                <w:rFonts w:ascii="Arial" w:hAnsi="Arial" w:cs="Arial"/>
                <w:sz w:val="24"/>
              </w:rPr>
              <w:t>17.7</w:t>
            </w:r>
          </w:p>
        </w:tc>
        <w:tc>
          <w:tcPr>
            <w:tcW w:w="359" w:type="pct"/>
          </w:tcPr>
          <w:p w14:paraId="685AF621" w14:textId="77777777" w:rsidR="007310F3" w:rsidRDefault="007310F3" w:rsidP="00467486">
            <w:pPr>
              <w:rPr>
                <w:rFonts w:ascii="Arial" w:hAnsi="Arial" w:cs="Arial"/>
                <w:sz w:val="24"/>
              </w:rPr>
            </w:pPr>
            <w:r>
              <w:rPr>
                <w:rFonts w:ascii="Arial" w:hAnsi="Arial" w:cs="Arial"/>
                <w:sz w:val="24"/>
              </w:rPr>
              <w:t>15.9</w:t>
            </w:r>
          </w:p>
        </w:tc>
      </w:tr>
    </w:tbl>
    <w:p w14:paraId="3871FD4C" w14:textId="77777777" w:rsidR="007310F3" w:rsidRPr="007310F3" w:rsidRDefault="007310F3" w:rsidP="007310F3">
      <w:pPr>
        <w:rPr>
          <w:rFonts w:ascii="Arial" w:hAnsi="Arial" w:cs="Arial"/>
          <w:i/>
          <w:sz w:val="24"/>
        </w:rPr>
      </w:pPr>
      <w:r w:rsidRPr="007310F3">
        <w:rPr>
          <w:rFonts w:ascii="Arial" w:hAnsi="Arial" w:cs="Arial"/>
          <w:i/>
          <w:sz w:val="24"/>
        </w:rPr>
        <w:t>Source: Victorian government school administrative data</w:t>
      </w:r>
    </w:p>
    <w:p w14:paraId="080F1CA3" w14:textId="77777777" w:rsidR="00A43F28" w:rsidRDefault="00A43F28" w:rsidP="00C66152">
      <w:pPr>
        <w:pStyle w:val="Heading2"/>
      </w:pPr>
      <w:r w:rsidRPr="0078464D">
        <w:rPr>
          <w:color w:val="auto"/>
        </w:rPr>
        <w:t>Attitudes</w:t>
      </w:r>
    </w:p>
    <w:p w14:paraId="46CA4C64" w14:textId="77777777" w:rsidR="00594B3D" w:rsidRPr="00E1133D" w:rsidRDefault="00A43F28" w:rsidP="00A43F28">
      <w:pPr>
        <w:rPr>
          <w:rFonts w:ascii="Arial" w:hAnsi="Arial" w:cs="Arial"/>
          <w:i/>
          <w:sz w:val="24"/>
          <w:highlight w:val="yellow"/>
        </w:rPr>
      </w:pPr>
      <w:r w:rsidRPr="00E1133D">
        <w:rPr>
          <w:rFonts w:ascii="Arial" w:hAnsi="Arial" w:cs="Arial"/>
          <w:i/>
          <w:sz w:val="24"/>
        </w:rPr>
        <w:t>Attitudes to school decline in secondary schooling, particularly for students in Year 9. Students’ positive attitudes are associated with higher engagement and achievement.</w:t>
      </w:r>
      <w:r w:rsidR="00594B3D" w:rsidRPr="00E1133D">
        <w:rPr>
          <w:rFonts w:ascii="Arial" w:hAnsi="Arial" w:cs="Arial"/>
          <w:i/>
          <w:sz w:val="24"/>
          <w:highlight w:val="yellow"/>
        </w:rPr>
        <w:br w:type="page"/>
      </w:r>
    </w:p>
    <w:tbl>
      <w:tblPr>
        <w:tblStyle w:val="TableGrid"/>
        <w:tblW w:w="5000" w:type="pct"/>
        <w:tblLook w:val="04A0" w:firstRow="1" w:lastRow="0" w:firstColumn="1" w:lastColumn="0" w:noHBand="0" w:noVBand="1"/>
        <w:tblDescription w:val="This table provides information on NAPLAN Numeracy achievement by Year level and response to AtoSS sense of confidence factor, 2018"/>
      </w:tblPr>
      <w:tblGrid>
        <w:gridCol w:w="1310"/>
        <w:gridCol w:w="1286"/>
        <w:gridCol w:w="1284"/>
        <w:gridCol w:w="1284"/>
        <w:gridCol w:w="1284"/>
        <w:gridCol w:w="1284"/>
        <w:gridCol w:w="1284"/>
      </w:tblGrid>
      <w:tr w:rsidR="003350BE" w:rsidRPr="00054426" w14:paraId="5B0FC08C" w14:textId="77777777" w:rsidTr="00467486">
        <w:trPr>
          <w:tblHeader/>
        </w:trPr>
        <w:tc>
          <w:tcPr>
            <w:tcW w:w="715" w:type="pct"/>
          </w:tcPr>
          <w:p w14:paraId="59E1747D" w14:textId="77777777" w:rsidR="003350BE" w:rsidRDefault="003350BE" w:rsidP="00467486">
            <w:pPr>
              <w:rPr>
                <w:rFonts w:ascii="Arial" w:hAnsi="Arial" w:cs="Arial"/>
                <w:sz w:val="24"/>
              </w:rPr>
            </w:pPr>
          </w:p>
        </w:tc>
        <w:tc>
          <w:tcPr>
            <w:tcW w:w="715" w:type="pct"/>
          </w:tcPr>
          <w:p w14:paraId="393EC949" w14:textId="77777777" w:rsidR="003350BE" w:rsidRPr="00054426" w:rsidRDefault="003350BE" w:rsidP="00DF2556">
            <w:pPr>
              <w:rPr>
                <w:rFonts w:ascii="Arial" w:hAnsi="Arial" w:cs="Arial"/>
                <w:sz w:val="24"/>
              </w:rPr>
            </w:pPr>
            <w:r>
              <w:rPr>
                <w:rFonts w:ascii="Arial" w:hAnsi="Arial" w:cs="Arial"/>
                <w:sz w:val="24"/>
              </w:rPr>
              <w:t>Year 5 – Positive</w:t>
            </w:r>
            <w:r w:rsidR="00DF2556">
              <w:rPr>
                <w:rFonts w:ascii="Arial" w:hAnsi="Arial" w:cs="Arial"/>
                <w:sz w:val="24"/>
              </w:rPr>
              <w:t xml:space="preserve"> attitude</w:t>
            </w:r>
          </w:p>
        </w:tc>
        <w:tc>
          <w:tcPr>
            <w:tcW w:w="714" w:type="pct"/>
          </w:tcPr>
          <w:p w14:paraId="38BCC23F" w14:textId="77777777" w:rsidR="003350BE" w:rsidRDefault="003350BE" w:rsidP="00DF2556">
            <w:pPr>
              <w:rPr>
                <w:rFonts w:ascii="Arial" w:hAnsi="Arial" w:cs="Arial"/>
                <w:sz w:val="24"/>
              </w:rPr>
            </w:pPr>
            <w:r>
              <w:rPr>
                <w:rFonts w:ascii="Arial" w:hAnsi="Arial" w:cs="Arial"/>
                <w:sz w:val="24"/>
              </w:rPr>
              <w:t>Year 5 – Not positive</w:t>
            </w:r>
            <w:r w:rsidR="00DF2556">
              <w:rPr>
                <w:rFonts w:ascii="Arial" w:hAnsi="Arial" w:cs="Arial"/>
                <w:sz w:val="24"/>
              </w:rPr>
              <w:t xml:space="preserve"> attitude</w:t>
            </w:r>
          </w:p>
        </w:tc>
        <w:tc>
          <w:tcPr>
            <w:tcW w:w="714" w:type="pct"/>
          </w:tcPr>
          <w:p w14:paraId="3C74C4BA" w14:textId="77777777" w:rsidR="003350BE" w:rsidRPr="00054426" w:rsidRDefault="003350BE" w:rsidP="00DF2556">
            <w:pPr>
              <w:rPr>
                <w:rFonts w:ascii="Arial" w:hAnsi="Arial" w:cs="Arial"/>
                <w:sz w:val="24"/>
              </w:rPr>
            </w:pPr>
            <w:r>
              <w:rPr>
                <w:rFonts w:ascii="Arial" w:hAnsi="Arial" w:cs="Arial"/>
                <w:sz w:val="24"/>
              </w:rPr>
              <w:t>Year 7 – Positive</w:t>
            </w:r>
            <w:r w:rsidR="00DF2556">
              <w:rPr>
                <w:rFonts w:ascii="Arial" w:hAnsi="Arial" w:cs="Arial"/>
                <w:sz w:val="24"/>
              </w:rPr>
              <w:t xml:space="preserve"> attitude</w:t>
            </w:r>
          </w:p>
        </w:tc>
        <w:tc>
          <w:tcPr>
            <w:tcW w:w="714" w:type="pct"/>
          </w:tcPr>
          <w:p w14:paraId="66ABE53D" w14:textId="77777777" w:rsidR="003350BE" w:rsidRDefault="003350BE" w:rsidP="00DF2556">
            <w:pPr>
              <w:rPr>
                <w:rFonts w:ascii="Arial" w:hAnsi="Arial" w:cs="Arial"/>
                <w:sz w:val="24"/>
              </w:rPr>
            </w:pPr>
            <w:r>
              <w:rPr>
                <w:rFonts w:ascii="Arial" w:hAnsi="Arial" w:cs="Arial"/>
                <w:sz w:val="24"/>
              </w:rPr>
              <w:t>Year 7 – Not positive</w:t>
            </w:r>
            <w:r w:rsidR="00DF2556">
              <w:rPr>
                <w:rFonts w:ascii="Arial" w:hAnsi="Arial" w:cs="Arial"/>
                <w:sz w:val="24"/>
              </w:rPr>
              <w:t xml:space="preserve"> attitude</w:t>
            </w:r>
          </w:p>
        </w:tc>
        <w:tc>
          <w:tcPr>
            <w:tcW w:w="714" w:type="pct"/>
          </w:tcPr>
          <w:p w14:paraId="6B8654E9" w14:textId="77777777" w:rsidR="003350BE" w:rsidRPr="00054426" w:rsidRDefault="003350BE" w:rsidP="00DF2556">
            <w:pPr>
              <w:rPr>
                <w:rFonts w:ascii="Arial" w:hAnsi="Arial" w:cs="Arial"/>
                <w:sz w:val="24"/>
              </w:rPr>
            </w:pPr>
            <w:r>
              <w:rPr>
                <w:rFonts w:ascii="Arial" w:hAnsi="Arial" w:cs="Arial"/>
                <w:sz w:val="24"/>
              </w:rPr>
              <w:t>Year 9 – Positive</w:t>
            </w:r>
            <w:r w:rsidR="00DF2556">
              <w:rPr>
                <w:rFonts w:ascii="Arial" w:hAnsi="Arial" w:cs="Arial"/>
                <w:sz w:val="24"/>
              </w:rPr>
              <w:t xml:space="preserve"> attitude</w:t>
            </w:r>
          </w:p>
        </w:tc>
        <w:tc>
          <w:tcPr>
            <w:tcW w:w="714" w:type="pct"/>
          </w:tcPr>
          <w:p w14:paraId="1B74633C" w14:textId="77777777" w:rsidR="003350BE" w:rsidRDefault="003350BE" w:rsidP="00DF2556">
            <w:pPr>
              <w:rPr>
                <w:rFonts w:ascii="Arial" w:hAnsi="Arial" w:cs="Arial"/>
                <w:sz w:val="24"/>
              </w:rPr>
            </w:pPr>
            <w:r>
              <w:rPr>
                <w:rFonts w:ascii="Arial" w:hAnsi="Arial" w:cs="Arial"/>
                <w:sz w:val="24"/>
              </w:rPr>
              <w:t>Year 9 – Not positive</w:t>
            </w:r>
            <w:r w:rsidR="00DF2556">
              <w:rPr>
                <w:rFonts w:ascii="Arial" w:hAnsi="Arial" w:cs="Arial"/>
                <w:sz w:val="24"/>
              </w:rPr>
              <w:t xml:space="preserve"> attitude</w:t>
            </w:r>
          </w:p>
        </w:tc>
      </w:tr>
      <w:tr w:rsidR="00A43F28" w14:paraId="3C198EE4" w14:textId="77777777" w:rsidTr="00467486">
        <w:tc>
          <w:tcPr>
            <w:tcW w:w="715" w:type="pct"/>
          </w:tcPr>
          <w:p w14:paraId="065AAD34" w14:textId="77777777" w:rsidR="00A43F28" w:rsidRDefault="00A43F28" w:rsidP="00467486">
            <w:pPr>
              <w:rPr>
                <w:rFonts w:ascii="Arial" w:hAnsi="Arial" w:cs="Arial"/>
                <w:sz w:val="24"/>
              </w:rPr>
            </w:pPr>
            <w:r>
              <w:rPr>
                <w:rFonts w:ascii="Arial" w:hAnsi="Arial" w:cs="Arial"/>
                <w:sz w:val="24"/>
              </w:rPr>
              <w:t>Top two bands</w:t>
            </w:r>
            <w:r w:rsidR="00DF2556">
              <w:rPr>
                <w:rFonts w:ascii="Arial" w:hAnsi="Arial" w:cs="Arial"/>
                <w:sz w:val="24"/>
              </w:rPr>
              <w:t xml:space="preserve"> NAPLAN Numeracy</w:t>
            </w:r>
          </w:p>
        </w:tc>
        <w:tc>
          <w:tcPr>
            <w:tcW w:w="715" w:type="pct"/>
          </w:tcPr>
          <w:p w14:paraId="5FB35E68" w14:textId="77777777" w:rsidR="00A43F28" w:rsidRDefault="00A43F28" w:rsidP="00467486">
            <w:pPr>
              <w:rPr>
                <w:rFonts w:ascii="Arial" w:hAnsi="Arial" w:cs="Arial"/>
                <w:sz w:val="24"/>
              </w:rPr>
            </w:pPr>
            <w:r>
              <w:rPr>
                <w:rFonts w:ascii="Arial" w:hAnsi="Arial" w:cs="Arial"/>
                <w:sz w:val="24"/>
              </w:rPr>
              <w:t>37%</w:t>
            </w:r>
          </w:p>
        </w:tc>
        <w:tc>
          <w:tcPr>
            <w:tcW w:w="714" w:type="pct"/>
          </w:tcPr>
          <w:p w14:paraId="7F39B6A9" w14:textId="77777777" w:rsidR="00A43F28" w:rsidRDefault="00A43F28" w:rsidP="00467486">
            <w:pPr>
              <w:rPr>
                <w:rFonts w:ascii="Arial" w:hAnsi="Arial" w:cs="Arial"/>
                <w:sz w:val="24"/>
              </w:rPr>
            </w:pPr>
            <w:r>
              <w:rPr>
                <w:rFonts w:ascii="Arial" w:hAnsi="Arial" w:cs="Arial"/>
                <w:sz w:val="24"/>
              </w:rPr>
              <w:t>13%</w:t>
            </w:r>
          </w:p>
        </w:tc>
        <w:tc>
          <w:tcPr>
            <w:tcW w:w="714" w:type="pct"/>
          </w:tcPr>
          <w:p w14:paraId="64216D66" w14:textId="77777777" w:rsidR="00A43F28" w:rsidRDefault="00A43F28" w:rsidP="00467486">
            <w:pPr>
              <w:rPr>
                <w:rFonts w:ascii="Arial" w:hAnsi="Arial" w:cs="Arial"/>
                <w:sz w:val="24"/>
              </w:rPr>
            </w:pPr>
            <w:r>
              <w:rPr>
                <w:rFonts w:ascii="Arial" w:hAnsi="Arial" w:cs="Arial"/>
                <w:sz w:val="24"/>
              </w:rPr>
              <w:t>31%</w:t>
            </w:r>
          </w:p>
        </w:tc>
        <w:tc>
          <w:tcPr>
            <w:tcW w:w="714" w:type="pct"/>
          </w:tcPr>
          <w:p w14:paraId="716ED391" w14:textId="77777777" w:rsidR="00A43F28" w:rsidRDefault="00A43F28" w:rsidP="00467486">
            <w:pPr>
              <w:rPr>
                <w:rFonts w:ascii="Arial" w:hAnsi="Arial" w:cs="Arial"/>
                <w:sz w:val="24"/>
              </w:rPr>
            </w:pPr>
            <w:r>
              <w:rPr>
                <w:rFonts w:ascii="Arial" w:hAnsi="Arial" w:cs="Arial"/>
                <w:sz w:val="24"/>
              </w:rPr>
              <w:t>16%</w:t>
            </w:r>
          </w:p>
        </w:tc>
        <w:tc>
          <w:tcPr>
            <w:tcW w:w="714" w:type="pct"/>
          </w:tcPr>
          <w:p w14:paraId="43B768FF" w14:textId="77777777" w:rsidR="00A43F28" w:rsidRDefault="00A43F28" w:rsidP="00467486">
            <w:pPr>
              <w:rPr>
                <w:rFonts w:ascii="Arial" w:hAnsi="Arial" w:cs="Arial"/>
                <w:sz w:val="24"/>
              </w:rPr>
            </w:pPr>
            <w:r>
              <w:rPr>
                <w:rFonts w:ascii="Arial" w:hAnsi="Arial" w:cs="Arial"/>
                <w:sz w:val="24"/>
              </w:rPr>
              <w:t>32%</w:t>
            </w:r>
          </w:p>
        </w:tc>
        <w:tc>
          <w:tcPr>
            <w:tcW w:w="714" w:type="pct"/>
          </w:tcPr>
          <w:p w14:paraId="6E43DA46" w14:textId="77777777" w:rsidR="00A43F28" w:rsidRDefault="00A43F28" w:rsidP="00467486">
            <w:pPr>
              <w:rPr>
                <w:rFonts w:ascii="Arial" w:hAnsi="Arial" w:cs="Arial"/>
                <w:sz w:val="24"/>
              </w:rPr>
            </w:pPr>
            <w:r>
              <w:rPr>
                <w:rFonts w:ascii="Arial" w:hAnsi="Arial" w:cs="Arial"/>
                <w:sz w:val="24"/>
              </w:rPr>
              <w:t>16%</w:t>
            </w:r>
          </w:p>
        </w:tc>
      </w:tr>
      <w:tr w:rsidR="00A43F28" w14:paraId="19E0D4E0" w14:textId="77777777" w:rsidTr="00467486">
        <w:tc>
          <w:tcPr>
            <w:tcW w:w="715" w:type="pct"/>
          </w:tcPr>
          <w:p w14:paraId="3B8B8430" w14:textId="77777777" w:rsidR="00A43F28" w:rsidRDefault="00A43F28" w:rsidP="00467486">
            <w:pPr>
              <w:rPr>
                <w:rFonts w:ascii="Arial" w:hAnsi="Arial" w:cs="Arial"/>
                <w:sz w:val="24"/>
              </w:rPr>
            </w:pPr>
            <w:r>
              <w:rPr>
                <w:rFonts w:ascii="Arial" w:hAnsi="Arial" w:cs="Arial"/>
                <w:sz w:val="24"/>
              </w:rPr>
              <w:t>Bottom two bands</w:t>
            </w:r>
            <w:r w:rsidR="00DF2556">
              <w:rPr>
                <w:rFonts w:ascii="Arial" w:hAnsi="Arial" w:cs="Arial"/>
                <w:sz w:val="24"/>
              </w:rPr>
              <w:t xml:space="preserve"> NAPLAN Numeracy</w:t>
            </w:r>
          </w:p>
        </w:tc>
        <w:tc>
          <w:tcPr>
            <w:tcW w:w="715" w:type="pct"/>
          </w:tcPr>
          <w:p w14:paraId="725B0A97" w14:textId="77777777" w:rsidR="00A43F28" w:rsidRDefault="00A43F28" w:rsidP="00467486">
            <w:pPr>
              <w:rPr>
                <w:rFonts w:ascii="Arial" w:hAnsi="Arial" w:cs="Arial"/>
                <w:sz w:val="24"/>
              </w:rPr>
            </w:pPr>
            <w:r>
              <w:rPr>
                <w:rFonts w:ascii="Arial" w:hAnsi="Arial" w:cs="Arial"/>
                <w:sz w:val="24"/>
              </w:rPr>
              <w:t>11%</w:t>
            </w:r>
          </w:p>
        </w:tc>
        <w:tc>
          <w:tcPr>
            <w:tcW w:w="714" w:type="pct"/>
          </w:tcPr>
          <w:p w14:paraId="29B224F0" w14:textId="77777777" w:rsidR="00A43F28" w:rsidRDefault="00A43F28" w:rsidP="00467486">
            <w:pPr>
              <w:rPr>
                <w:rFonts w:ascii="Arial" w:hAnsi="Arial" w:cs="Arial"/>
                <w:sz w:val="24"/>
              </w:rPr>
            </w:pPr>
            <w:r>
              <w:rPr>
                <w:rFonts w:ascii="Arial" w:hAnsi="Arial" w:cs="Arial"/>
                <w:sz w:val="24"/>
              </w:rPr>
              <w:t>25%</w:t>
            </w:r>
          </w:p>
        </w:tc>
        <w:tc>
          <w:tcPr>
            <w:tcW w:w="714" w:type="pct"/>
          </w:tcPr>
          <w:p w14:paraId="323FDC30" w14:textId="77777777" w:rsidR="00A43F28" w:rsidRDefault="00A43F28" w:rsidP="00467486">
            <w:pPr>
              <w:rPr>
                <w:rFonts w:ascii="Arial" w:hAnsi="Arial" w:cs="Arial"/>
                <w:sz w:val="24"/>
              </w:rPr>
            </w:pPr>
            <w:r>
              <w:rPr>
                <w:rFonts w:ascii="Arial" w:hAnsi="Arial" w:cs="Arial"/>
                <w:sz w:val="24"/>
              </w:rPr>
              <w:t>13%</w:t>
            </w:r>
          </w:p>
        </w:tc>
        <w:tc>
          <w:tcPr>
            <w:tcW w:w="714" w:type="pct"/>
          </w:tcPr>
          <w:p w14:paraId="56EEDE79" w14:textId="77777777" w:rsidR="00A43F28" w:rsidRDefault="00A43F28" w:rsidP="00467486">
            <w:pPr>
              <w:rPr>
                <w:rFonts w:ascii="Arial" w:hAnsi="Arial" w:cs="Arial"/>
                <w:sz w:val="24"/>
              </w:rPr>
            </w:pPr>
            <w:r>
              <w:rPr>
                <w:rFonts w:ascii="Arial" w:hAnsi="Arial" w:cs="Arial"/>
                <w:sz w:val="24"/>
              </w:rPr>
              <w:t>20%</w:t>
            </w:r>
          </w:p>
        </w:tc>
        <w:tc>
          <w:tcPr>
            <w:tcW w:w="714" w:type="pct"/>
          </w:tcPr>
          <w:p w14:paraId="24D9BB46" w14:textId="77777777" w:rsidR="00A43F28" w:rsidRDefault="00A43F28" w:rsidP="00467486">
            <w:pPr>
              <w:rPr>
                <w:rFonts w:ascii="Arial" w:hAnsi="Arial" w:cs="Arial"/>
                <w:sz w:val="24"/>
              </w:rPr>
            </w:pPr>
            <w:r>
              <w:rPr>
                <w:rFonts w:ascii="Arial" w:hAnsi="Arial" w:cs="Arial"/>
                <w:sz w:val="24"/>
              </w:rPr>
              <w:t>14%</w:t>
            </w:r>
          </w:p>
        </w:tc>
        <w:tc>
          <w:tcPr>
            <w:tcW w:w="714" w:type="pct"/>
          </w:tcPr>
          <w:p w14:paraId="4FF234CF" w14:textId="77777777" w:rsidR="00A43F28" w:rsidRDefault="00A43F28" w:rsidP="00467486">
            <w:pPr>
              <w:rPr>
                <w:rFonts w:ascii="Arial" w:hAnsi="Arial" w:cs="Arial"/>
                <w:sz w:val="24"/>
              </w:rPr>
            </w:pPr>
            <w:r>
              <w:rPr>
                <w:rFonts w:ascii="Arial" w:hAnsi="Arial" w:cs="Arial"/>
                <w:sz w:val="24"/>
              </w:rPr>
              <w:t>23%</w:t>
            </w:r>
          </w:p>
        </w:tc>
      </w:tr>
    </w:tbl>
    <w:p w14:paraId="61534986" w14:textId="77777777" w:rsidR="00A43F28" w:rsidRPr="003F78A3" w:rsidRDefault="003F78A3" w:rsidP="00A43F28">
      <w:pPr>
        <w:rPr>
          <w:rFonts w:ascii="Arial" w:hAnsi="Arial" w:cs="Arial"/>
          <w:i/>
          <w:sz w:val="24"/>
          <w:highlight w:val="yellow"/>
        </w:rPr>
      </w:pPr>
      <w:r w:rsidRPr="003F78A3">
        <w:rPr>
          <w:rFonts w:ascii="Arial" w:hAnsi="Arial" w:cs="Arial"/>
          <w:i/>
          <w:sz w:val="24"/>
        </w:rPr>
        <w:t>Source: NAPLAN, Attitudes to School Survey 2018 (DET Analysis)</w:t>
      </w:r>
    </w:p>
    <w:p w14:paraId="533883B4" w14:textId="77777777" w:rsidR="003F78A3" w:rsidRDefault="0000636F" w:rsidP="0000636F">
      <w:pPr>
        <w:rPr>
          <w:rFonts w:ascii="Arial" w:eastAsiaTheme="majorEastAsia" w:hAnsi="Arial" w:cs="Arial"/>
          <w:bCs/>
          <w:sz w:val="24"/>
          <w:szCs w:val="26"/>
        </w:rPr>
      </w:pPr>
      <w:r w:rsidRPr="0000636F">
        <w:rPr>
          <w:rFonts w:ascii="Arial" w:eastAsiaTheme="majorEastAsia" w:hAnsi="Arial" w:cs="Arial"/>
          <w:bCs/>
          <w:sz w:val="24"/>
          <w:szCs w:val="26"/>
        </w:rPr>
        <w:t>During the transition to senior secondary and post-compulsory schooling, adolescents exercise further autonomy and choice in relation to their academic progression, subject enrolments and school leaving destinations.</w:t>
      </w:r>
    </w:p>
    <w:p w14:paraId="3A216B0E" w14:textId="77777777" w:rsidR="0098163C" w:rsidRDefault="0098163C" w:rsidP="00C66152">
      <w:pPr>
        <w:pStyle w:val="Heading2"/>
      </w:pPr>
      <w:r w:rsidRPr="0078464D">
        <w:rPr>
          <w:color w:val="auto"/>
        </w:rPr>
        <w:t>Achievement</w:t>
      </w:r>
    </w:p>
    <w:p w14:paraId="2F14C9AF" w14:textId="77777777" w:rsidR="0098163C" w:rsidRPr="00E1133D" w:rsidRDefault="0098163C" w:rsidP="0098163C">
      <w:pPr>
        <w:rPr>
          <w:rFonts w:ascii="Arial" w:hAnsi="Arial" w:cs="Arial"/>
          <w:i/>
          <w:sz w:val="24"/>
        </w:rPr>
      </w:pPr>
      <w:r w:rsidRPr="00E1133D">
        <w:rPr>
          <w:rFonts w:ascii="Arial" w:hAnsi="Arial" w:cs="Arial"/>
          <w:i/>
          <w:sz w:val="24"/>
        </w:rPr>
        <w:t>NAPLAN achievement in the top three bands is an important indicator of success at school.</w:t>
      </w:r>
    </w:p>
    <w:p w14:paraId="4B8A10FF" w14:textId="77777777" w:rsidR="0098163C" w:rsidRPr="0098163C" w:rsidRDefault="0098163C" w:rsidP="0098163C">
      <w:pPr>
        <w:pStyle w:val="ListParagraph"/>
        <w:numPr>
          <w:ilvl w:val="0"/>
          <w:numId w:val="41"/>
        </w:numPr>
        <w:rPr>
          <w:rFonts w:ascii="Arial" w:eastAsiaTheme="minorHAnsi" w:hAnsi="Arial" w:cs="Arial"/>
          <w:sz w:val="24"/>
        </w:rPr>
      </w:pPr>
      <w:r w:rsidRPr="0098163C">
        <w:rPr>
          <w:rFonts w:ascii="Arial" w:hAnsi="Arial" w:cs="Arial"/>
          <w:sz w:val="24"/>
        </w:rPr>
        <w:t>Victoria remains a leading jurisdiction in NAPLAN achievement, outperforming the national average across all year levels in 2018.</w:t>
      </w:r>
    </w:p>
    <w:p w14:paraId="0ABAD8FD" w14:textId="77777777" w:rsidR="0000636F" w:rsidRPr="0000636F" w:rsidRDefault="0000636F" w:rsidP="0000636F">
      <w:pPr>
        <w:rPr>
          <w:rFonts w:ascii="Arial" w:eastAsiaTheme="majorEastAsia" w:hAnsi="Arial" w:cs="Arial"/>
          <w:bCs/>
          <w:szCs w:val="26"/>
        </w:rPr>
      </w:pPr>
    </w:p>
    <w:tbl>
      <w:tblPr>
        <w:tblStyle w:val="TableGrid"/>
        <w:tblW w:w="0" w:type="auto"/>
        <w:tblLook w:val="04A0" w:firstRow="1" w:lastRow="0" w:firstColumn="1" w:lastColumn="0" w:noHBand="0" w:noVBand="1"/>
        <w:tblDescription w:val="This table shows the proportion of students achieving in the top three bands of NAPLAN Reading, Victoria and Australia, 2018"/>
      </w:tblPr>
      <w:tblGrid>
        <w:gridCol w:w="3005"/>
        <w:gridCol w:w="3003"/>
        <w:gridCol w:w="3008"/>
      </w:tblGrid>
      <w:tr w:rsidR="0098163C" w:rsidRPr="008B39AC" w14:paraId="38A28767" w14:textId="77777777" w:rsidTr="00467486">
        <w:trPr>
          <w:tblHeader/>
        </w:trPr>
        <w:tc>
          <w:tcPr>
            <w:tcW w:w="3080" w:type="dxa"/>
          </w:tcPr>
          <w:p w14:paraId="3D2306ED" w14:textId="77777777" w:rsidR="0098163C" w:rsidRPr="008B39AC" w:rsidRDefault="0098163C" w:rsidP="00467486">
            <w:pPr>
              <w:rPr>
                <w:rFonts w:ascii="Arial" w:hAnsi="Arial" w:cs="Arial"/>
                <w:sz w:val="24"/>
              </w:rPr>
            </w:pPr>
            <w:r w:rsidRPr="008B39AC">
              <w:rPr>
                <w:rFonts w:ascii="Arial" w:hAnsi="Arial" w:cs="Arial"/>
                <w:sz w:val="24"/>
              </w:rPr>
              <w:t>Reading</w:t>
            </w:r>
          </w:p>
        </w:tc>
        <w:tc>
          <w:tcPr>
            <w:tcW w:w="3081" w:type="dxa"/>
          </w:tcPr>
          <w:p w14:paraId="03CD819A" w14:textId="77777777" w:rsidR="0098163C" w:rsidRPr="008B39AC" w:rsidRDefault="0098163C" w:rsidP="00467486">
            <w:pPr>
              <w:rPr>
                <w:rFonts w:ascii="Arial" w:hAnsi="Arial" w:cs="Arial"/>
                <w:sz w:val="24"/>
              </w:rPr>
            </w:pPr>
            <w:r w:rsidRPr="008B39AC">
              <w:rPr>
                <w:rFonts w:ascii="Arial" w:hAnsi="Arial" w:cs="Arial"/>
                <w:sz w:val="24"/>
              </w:rPr>
              <w:t>Victoria</w:t>
            </w:r>
          </w:p>
        </w:tc>
        <w:tc>
          <w:tcPr>
            <w:tcW w:w="3081" w:type="dxa"/>
          </w:tcPr>
          <w:p w14:paraId="7DF199B4" w14:textId="77777777" w:rsidR="0098163C" w:rsidRPr="008B39AC" w:rsidRDefault="0098163C" w:rsidP="00467486">
            <w:pPr>
              <w:rPr>
                <w:rFonts w:ascii="Arial" w:hAnsi="Arial" w:cs="Arial"/>
                <w:sz w:val="24"/>
              </w:rPr>
            </w:pPr>
            <w:r w:rsidRPr="008B39AC">
              <w:rPr>
                <w:rFonts w:ascii="Arial" w:hAnsi="Arial" w:cs="Arial"/>
                <w:sz w:val="24"/>
              </w:rPr>
              <w:t>Australia</w:t>
            </w:r>
          </w:p>
        </w:tc>
      </w:tr>
      <w:tr w:rsidR="0098163C" w:rsidRPr="008B39AC" w14:paraId="2A656D93" w14:textId="77777777" w:rsidTr="00467486">
        <w:tc>
          <w:tcPr>
            <w:tcW w:w="3080" w:type="dxa"/>
          </w:tcPr>
          <w:p w14:paraId="4E313B61" w14:textId="77777777" w:rsidR="0098163C" w:rsidRPr="008B39AC" w:rsidRDefault="0098163C" w:rsidP="00467486">
            <w:pPr>
              <w:rPr>
                <w:rFonts w:ascii="Arial" w:hAnsi="Arial" w:cs="Arial"/>
                <w:sz w:val="24"/>
              </w:rPr>
            </w:pPr>
            <w:r w:rsidRPr="008B39AC">
              <w:rPr>
                <w:rFonts w:ascii="Arial" w:hAnsi="Arial" w:cs="Arial"/>
                <w:sz w:val="24"/>
              </w:rPr>
              <w:t>Year 3</w:t>
            </w:r>
          </w:p>
        </w:tc>
        <w:tc>
          <w:tcPr>
            <w:tcW w:w="3081" w:type="dxa"/>
          </w:tcPr>
          <w:p w14:paraId="51BFE495" w14:textId="77777777" w:rsidR="0098163C" w:rsidRPr="008B39AC" w:rsidRDefault="0098163C" w:rsidP="00467486">
            <w:pPr>
              <w:rPr>
                <w:rFonts w:ascii="Arial" w:hAnsi="Arial" w:cs="Arial"/>
                <w:sz w:val="24"/>
              </w:rPr>
            </w:pPr>
            <w:r>
              <w:rPr>
                <w:rFonts w:ascii="Arial" w:hAnsi="Arial" w:cs="Arial"/>
                <w:sz w:val="24"/>
              </w:rPr>
              <w:t>79.9%</w:t>
            </w:r>
          </w:p>
        </w:tc>
        <w:tc>
          <w:tcPr>
            <w:tcW w:w="3081" w:type="dxa"/>
          </w:tcPr>
          <w:p w14:paraId="49B11AFE" w14:textId="77777777" w:rsidR="0098163C" w:rsidRPr="008B39AC" w:rsidRDefault="0098163C" w:rsidP="00467486">
            <w:pPr>
              <w:rPr>
                <w:rFonts w:ascii="Arial" w:hAnsi="Arial" w:cs="Arial"/>
                <w:sz w:val="24"/>
              </w:rPr>
            </w:pPr>
            <w:r>
              <w:rPr>
                <w:rFonts w:ascii="Arial" w:hAnsi="Arial" w:cs="Arial"/>
                <w:sz w:val="24"/>
              </w:rPr>
              <w:t>75.9%</w:t>
            </w:r>
          </w:p>
        </w:tc>
      </w:tr>
      <w:tr w:rsidR="0098163C" w:rsidRPr="008B39AC" w14:paraId="57A83259" w14:textId="77777777" w:rsidTr="00467486">
        <w:tc>
          <w:tcPr>
            <w:tcW w:w="3080" w:type="dxa"/>
          </w:tcPr>
          <w:p w14:paraId="10295814" w14:textId="77777777" w:rsidR="0098163C" w:rsidRPr="008B39AC" w:rsidRDefault="0098163C" w:rsidP="00467486">
            <w:pPr>
              <w:rPr>
                <w:rFonts w:ascii="Arial" w:hAnsi="Arial" w:cs="Arial"/>
                <w:sz w:val="24"/>
              </w:rPr>
            </w:pPr>
            <w:r w:rsidRPr="008B39AC">
              <w:rPr>
                <w:rFonts w:ascii="Arial" w:hAnsi="Arial" w:cs="Arial"/>
                <w:sz w:val="24"/>
              </w:rPr>
              <w:t>Year 5</w:t>
            </w:r>
          </w:p>
        </w:tc>
        <w:tc>
          <w:tcPr>
            <w:tcW w:w="3081" w:type="dxa"/>
          </w:tcPr>
          <w:p w14:paraId="1D24A92C" w14:textId="77777777" w:rsidR="0098163C" w:rsidRPr="008B39AC" w:rsidRDefault="0098163C" w:rsidP="00467486">
            <w:pPr>
              <w:rPr>
                <w:rFonts w:ascii="Arial" w:hAnsi="Arial" w:cs="Arial"/>
                <w:sz w:val="24"/>
              </w:rPr>
            </w:pPr>
            <w:r>
              <w:rPr>
                <w:rFonts w:ascii="Arial" w:hAnsi="Arial" w:cs="Arial"/>
                <w:sz w:val="24"/>
              </w:rPr>
              <w:t>70.4%</w:t>
            </w:r>
          </w:p>
        </w:tc>
        <w:tc>
          <w:tcPr>
            <w:tcW w:w="3081" w:type="dxa"/>
          </w:tcPr>
          <w:p w14:paraId="227AAF6A" w14:textId="77777777" w:rsidR="0098163C" w:rsidRPr="008B39AC" w:rsidRDefault="0098163C" w:rsidP="00467486">
            <w:pPr>
              <w:rPr>
                <w:rFonts w:ascii="Arial" w:hAnsi="Arial" w:cs="Arial"/>
                <w:sz w:val="24"/>
              </w:rPr>
            </w:pPr>
            <w:r>
              <w:rPr>
                <w:rFonts w:ascii="Arial" w:hAnsi="Arial" w:cs="Arial"/>
                <w:sz w:val="24"/>
              </w:rPr>
              <w:t>65.7%</w:t>
            </w:r>
          </w:p>
        </w:tc>
      </w:tr>
      <w:tr w:rsidR="0098163C" w:rsidRPr="008B39AC" w14:paraId="5324518E" w14:textId="77777777" w:rsidTr="00467486">
        <w:tc>
          <w:tcPr>
            <w:tcW w:w="3080" w:type="dxa"/>
          </w:tcPr>
          <w:p w14:paraId="6AA06D0D" w14:textId="77777777" w:rsidR="0098163C" w:rsidRPr="008B39AC" w:rsidRDefault="0098163C" w:rsidP="00467486">
            <w:pPr>
              <w:rPr>
                <w:rFonts w:ascii="Arial" w:hAnsi="Arial" w:cs="Arial"/>
                <w:sz w:val="24"/>
              </w:rPr>
            </w:pPr>
            <w:r w:rsidRPr="008B39AC">
              <w:rPr>
                <w:rFonts w:ascii="Arial" w:hAnsi="Arial" w:cs="Arial"/>
                <w:sz w:val="24"/>
              </w:rPr>
              <w:t>Year 7</w:t>
            </w:r>
          </w:p>
        </w:tc>
        <w:tc>
          <w:tcPr>
            <w:tcW w:w="3081" w:type="dxa"/>
          </w:tcPr>
          <w:p w14:paraId="27847B11" w14:textId="77777777" w:rsidR="0098163C" w:rsidRPr="008B39AC" w:rsidRDefault="0098163C" w:rsidP="00467486">
            <w:pPr>
              <w:rPr>
                <w:rFonts w:ascii="Arial" w:hAnsi="Arial" w:cs="Arial"/>
                <w:sz w:val="24"/>
              </w:rPr>
            </w:pPr>
            <w:r>
              <w:rPr>
                <w:rFonts w:ascii="Arial" w:hAnsi="Arial" w:cs="Arial"/>
                <w:sz w:val="24"/>
              </w:rPr>
              <w:t>59.7%</w:t>
            </w:r>
          </w:p>
        </w:tc>
        <w:tc>
          <w:tcPr>
            <w:tcW w:w="3081" w:type="dxa"/>
          </w:tcPr>
          <w:p w14:paraId="207211DF" w14:textId="77777777" w:rsidR="0098163C" w:rsidRPr="008B39AC" w:rsidRDefault="0098163C" w:rsidP="00467486">
            <w:pPr>
              <w:rPr>
                <w:rFonts w:ascii="Arial" w:hAnsi="Arial" w:cs="Arial"/>
                <w:sz w:val="24"/>
              </w:rPr>
            </w:pPr>
            <w:r>
              <w:rPr>
                <w:rFonts w:ascii="Arial" w:hAnsi="Arial" w:cs="Arial"/>
                <w:sz w:val="24"/>
              </w:rPr>
              <w:t>56.5%</w:t>
            </w:r>
          </w:p>
        </w:tc>
      </w:tr>
      <w:tr w:rsidR="0098163C" w:rsidRPr="008B39AC" w14:paraId="1A595FA4" w14:textId="77777777" w:rsidTr="00467486">
        <w:tc>
          <w:tcPr>
            <w:tcW w:w="3080" w:type="dxa"/>
          </w:tcPr>
          <w:p w14:paraId="3359A19C" w14:textId="77777777" w:rsidR="0098163C" w:rsidRPr="008B39AC" w:rsidRDefault="0098163C" w:rsidP="00467486">
            <w:pPr>
              <w:rPr>
                <w:rFonts w:ascii="Arial" w:hAnsi="Arial" w:cs="Arial"/>
                <w:sz w:val="24"/>
              </w:rPr>
            </w:pPr>
            <w:r w:rsidRPr="008B39AC">
              <w:rPr>
                <w:rFonts w:ascii="Arial" w:hAnsi="Arial" w:cs="Arial"/>
                <w:sz w:val="24"/>
              </w:rPr>
              <w:t>Year 9</w:t>
            </w:r>
          </w:p>
        </w:tc>
        <w:tc>
          <w:tcPr>
            <w:tcW w:w="3081" w:type="dxa"/>
          </w:tcPr>
          <w:p w14:paraId="10999C2A" w14:textId="77777777" w:rsidR="0098163C" w:rsidRPr="008B39AC" w:rsidRDefault="0098163C" w:rsidP="00467486">
            <w:pPr>
              <w:rPr>
                <w:rFonts w:ascii="Arial" w:hAnsi="Arial" w:cs="Arial"/>
                <w:sz w:val="24"/>
              </w:rPr>
            </w:pPr>
            <w:r>
              <w:rPr>
                <w:rFonts w:ascii="Arial" w:hAnsi="Arial" w:cs="Arial"/>
                <w:sz w:val="24"/>
              </w:rPr>
              <w:t>53%</w:t>
            </w:r>
          </w:p>
        </w:tc>
        <w:tc>
          <w:tcPr>
            <w:tcW w:w="3081" w:type="dxa"/>
          </w:tcPr>
          <w:p w14:paraId="7008BD77" w14:textId="77777777" w:rsidR="0098163C" w:rsidRPr="008B39AC" w:rsidRDefault="0098163C" w:rsidP="00467486">
            <w:pPr>
              <w:rPr>
                <w:rFonts w:ascii="Arial" w:hAnsi="Arial" w:cs="Arial"/>
                <w:sz w:val="24"/>
              </w:rPr>
            </w:pPr>
            <w:r>
              <w:rPr>
                <w:rFonts w:ascii="Arial" w:hAnsi="Arial" w:cs="Arial"/>
                <w:sz w:val="24"/>
              </w:rPr>
              <w:t>51.1%</w:t>
            </w:r>
          </w:p>
        </w:tc>
      </w:tr>
    </w:tbl>
    <w:p w14:paraId="71B6CF25" w14:textId="77777777" w:rsidR="0098163C" w:rsidRDefault="0098163C">
      <w:pPr>
        <w:rPr>
          <w:rFonts w:ascii="Arial" w:hAnsi="Arial" w:cs="Arial"/>
        </w:rPr>
      </w:pPr>
    </w:p>
    <w:tbl>
      <w:tblPr>
        <w:tblStyle w:val="TableGrid"/>
        <w:tblW w:w="0" w:type="auto"/>
        <w:tblLook w:val="04A0" w:firstRow="1" w:lastRow="0" w:firstColumn="1" w:lastColumn="0" w:noHBand="0" w:noVBand="1"/>
        <w:tblDescription w:val="This table shows the proportion of students achieving in the top three bands of NAPLAN Numeracy, Victoria and Australia, 2018"/>
      </w:tblPr>
      <w:tblGrid>
        <w:gridCol w:w="3011"/>
        <w:gridCol w:w="3000"/>
        <w:gridCol w:w="3005"/>
      </w:tblGrid>
      <w:tr w:rsidR="0098163C" w:rsidRPr="008B39AC" w14:paraId="39E0EF00" w14:textId="77777777" w:rsidTr="00467486">
        <w:trPr>
          <w:tblHeader/>
        </w:trPr>
        <w:tc>
          <w:tcPr>
            <w:tcW w:w="3080" w:type="dxa"/>
          </w:tcPr>
          <w:p w14:paraId="0D35C3F8" w14:textId="77777777" w:rsidR="0098163C" w:rsidRPr="008B39AC" w:rsidRDefault="0098163C" w:rsidP="00467486">
            <w:pPr>
              <w:rPr>
                <w:rFonts w:ascii="Arial" w:hAnsi="Arial" w:cs="Arial"/>
                <w:sz w:val="24"/>
              </w:rPr>
            </w:pPr>
            <w:r>
              <w:rPr>
                <w:rFonts w:ascii="Arial" w:hAnsi="Arial" w:cs="Arial"/>
                <w:sz w:val="24"/>
              </w:rPr>
              <w:t>Numeracy</w:t>
            </w:r>
          </w:p>
        </w:tc>
        <w:tc>
          <w:tcPr>
            <w:tcW w:w="3081" w:type="dxa"/>
          </w:tcPr>
          <w:p w14:paraId="62ABA894" w14:textId="77777777" w:rsidR="0098163C" w:rsidRPr="008B39AC" w:rsidRDefault="0098163C" w:rsidP="00467486">
            <w:pPr>
              <w:rPr>
                <w:rFonts w:ascii="Arial" w:hAnsi="Arial" w:cs="Arial"/>
                <w:sz w:val="24"/>
              </w:rPr>
            </w:pPr>
            <w:r w:rsidRPr="008B39AC">
              <w:rPr>
                <w:rFonts w:ascii="Arial" w:hAnsi="Arial" w:cs="Arial"/>
                <w:sz w:val="24"/>
              </w:rPr>
              <w:t>Victoria</w:t>
            </w:r>
          </w:p>
        </w:tc>
        <w:tc>
          <w:tcPr>
            <w:tcW w:w="3081" w:type="dxa"/>
          </w:tcPr>
          <w:p w14:paraId="6E6F2B67" w14:textId="77777777" w:rsidR="0098163C" w:rsidRPr="008B39AC" w:rsidRDefault="0098163C" w:rsidP="00467486">
            <w:pPr>
              <w:rPr>
                <w:rFonts w:ascii="Arial" w:hAnsi="Arial" w:cs="Arial"/>
                <w:sz w:val="24"/>
              </w:rPr>
            </w:pPr>
            <w:r w:rsidRPr="008B39AC">
              <w:rPr>
                <w:rFonts w:ascii="Arial" w:hAnsi="Arial" w:cs="Arial"/>
                <w:sz w:val="24"/>
              </w:rPr>
              <w:t>Australia</w:t>
            </w:r>
          </w:p>
        </w:tc>
      </w:tr>
      <w:tr w:rsidR="0098163C" w:rsidRPr="008B39AC" w14:paraId="0F7C81FF" w14:textId="77777777" w:rsidTr="00467486">
        <w:tc>
          <w:tcPr>
            <w:tcW w:w="3080" w:type="dxa"/>
          </w:tcPr>
          <w:p w14:paraId="053DB217" w14:textId="77777777" w:rsidR="0098163C" w:rsidRPr="008B39AC" w:rsidRDefault="0098163C" w:rsidP="00467486">
            <w:pPr>
              <w:rPr>
                <w:rFonts w:ascii="Arial" w:hAnsi="Arial" w:cs="Arial"/>
                <w:sz w:val="24"/>
              </w:rPr>
            </w:pPr>
            <w:r w:rsidRPr="008B39AC">
              <w:rPr>
                <w:rFonts w:ascii="Arial" w:hAnsi="Arial" w:cs="Arial"/>
                <w:sz w:val="24"/>
              </w:rPr>
              <w:t>Year 3</w:t>
            </w:r>
          </w:p>
        </w:tc>
        <w:tc>
          <w:tcPr>
            <w:tcW w:w="3081" w:type="dxa"/>
          </w:tcPr>
          <w:p w14:paraId="2AE5BCBA" w14:textId="77777777" w:rsidR="0098163C" w:rsidRPr="008B39AC" w:rsidRDefault="0098163C" w:rsidP="00467486">
            <w:pPr>
              <w:rPr>
                <w:rFonts w:ascii="Arial" w:hAnsi="Arial" w:cs="Arial"/>
                <w:sz w:val="24"/>
              </w:rPr>
            </w:pPr>
            <w:r>
              <w:rPr>
                <w:rFonts w:ascii="Arial" w:hAnsi="Arial" w:cs="Arial"/>
                <w:sz w:val="24"/>
              </w:rPr>
              <w:t>71.6%</w:t>
            </w:r>
          </w:p>
        </w:tc>
        <w:tc>
          <w:tcPr>
            <w:tcW w:w="3081" w:type="dxa"/>
          </w:tcPr>
          <w:p w14:paraId="4A85F107" w14:textId="77777777" w:rsidR="0098163C" w:rsidRPr="008B39AC" w:rsidRDefault="0098163C" w:rsidP="00467486">
            <w:pPr>
              <w:rPr>
                <w:rFonts w:ascii="Arial" w:hAnsi="Arial" w:cs="Arial"/>
                <w:sz w:val="24"/>
              </w:rPr>
            </w:pPr>
            <w:r>
              <w:rPr>
                <w:rFonts w:ascii="Arial" w:hAnsi="Arial" w:cs="Arial"/>
                <w:sz w:val="24"/>
              </w:rPr>
              <w:t>66.8%</w:t>
            </w:r>
          </w:p>
        </w:tc>
      </w:tr>
      <w:tr w:rsidR="0098163C" w:rsidRPr="008B39AC" w14:paraId="311EFCA9" w14:textId="77777777" w:rsidTr="00467486">
        <w:tc>
          <w:tcPr>
            <w:tcW w:w="3080" w:type="dxa"/>
          </w:tcPr>
          <w:p w14:paraId="3693CF0E" w14:textId="77777777" w:rsidR="0098163C" w:rsidRPr="008B39AC" w:rsidRDefault="0098163C" w:rsidP="00467486">
            <w:pPr>
              <w:rPr>
                <w:rFonts w:ascii="Arial" w:hAnsi="Arial" w:cs="Arial"/>
                <w:sz w:val="24"/>
              </w:rPr>
            </w:pPr>
            <w:r w:rsidRPr="008B39AC">
              <w:rPr>
                <w:rFonts w:ascii="Arial" w:hAnsi="Arial" w:cs="Arial"/>
                <w:sz w:val="24"/>
              </w:rPr>
              <w:t>Year 5</w:t>
            </w:r>
          </w:p>
        </w:tc>
        <w:tc>
          <w:tcPr>
            <w:tcW w:w="3081" w:type="dxa"/>
          </w:tcPr>
          <w:p w14:paraId="5F7B277F" w14:textId="77777777" w:rsidR="0098163C" w:rsidRPr="008B39AC" w:rsidRDefault="0098163C" w:rsidP="00467486">
            <w:pPr>
              <w:rPr>
                <w:rFonts w:ascii="Arial" w:hAnsi="Arial" w:cs="Arial"/>
                <w:sz w:val="24"/>
              </w:rPr>
            </w:pPr>
            <w:r>
              <w:rPr>
                <w:rFonts w:ascii="Arial" w:hAnsi="Arial" w:cs="Arial"/>
                <w:sz w:val="24"/>
              </w:rPr>
              <w:t>62.2%</w:t>
            </w:r>
          </w:p>
        </w:tc>
        <w:tc>
          <w:tcPr>
            <w:tcW w:w="3081" w:type="dxa"/>
          </w:tcPr>
          <w:p w14:paraId="12A7240F" w14:textId="77777777" w:rsidR="0098163C" w:rsidRPr="008B39AC" w:rsidRDefault="0098163C" w:rsidP="00467486">
            <w:pPr>
              <w:rPr>
                <w:rFonts w:ascii="Arial" w:hAnsi="Arial" w:cs="Arial"/>
                <w:sz w:val="24"/>
              </w:rPr>
            </w:pPr>
            <w:r>
              <w:rPr>
                <w:rFonts w:ascii="Arial" w:hAnsi="Arial" w:cs="Arial"/>
                <w:sz w:val="24"/>
              </w:rPr>
              <w:t>57.5%</w:t>
            </w:r>
          </w:p>
        </w:tc>
      </w:tr>
      <w:tr w:rsidR="0098163C" w:rsidRPr="008B39AC" w14:paraId="367F0FA2" w14:textId="77777777" w:rsidTr="00467486">
        <w:tc>
          <w:tcPr>
            <w:tcW w:w="3080" w:type="dxa"/>
          </w:tcPr>
          <w:p w14:paraId="0CCFB57E" w14:textId="77777777" w:rsidR="0098163C" w:rsidRPr="008B39AC" w:rsidRDefault="0098163C" w:rsidP="00467486">
            <w:pPr>
              <w:rPr>
                <w:rFonts w:ascii="Arial" w:hAnsi="Arial" w:cs="Arial"/>
                <w:sz w:val="24"/>
              </w:rPr>
            </w:pPr>
            <w:r w:rsidRPr="008B39AC">
              <w:rPr>
                <w:rFonts w:ascii="Arial" w:hAnsi="Arial" w:cs="Arial"/>
                <w:sz w:val="24"/>
              </w:rPr>
              <w:t>Year 7</w:t>
            </w:r>
          </w:p>
        </w:tc>
        <w:tc>
          <w:tcPr>
            <w:tcW w:w="3081" w:type="dxa"/>
          </w:tcPr>
          <w:p w14:paraId="17724AF0" w14:textId="77777777" w:rsidR="0098163C" w:rsidRPr="008B39AC" w:rsidRDefault="0098163C" w:rsidP="00467486">
            <w:pPr>
              <w:rPr>
                <w:rFonts w:ascii="Arial" w:hAnsi="Arial" w:cs="Arial"/>
                <w:sz w:val="24"/>
              </w:rPr>
            </w:pPr>
            <w:r>
              <w:rPr>
                <w:rFonts w:ascii="Arial" w:hAnsi="Arial" w:cs="Arial"/>
                <w:sz w:val="24"/>
              </w:rPr>
              <w:t>61.1%</w:t>
            </w:r>
          </w:p>
        </w:tc>
        <w:tc>
          <w:tcPr>
            <w:tcW w:w="3081" w:type="dxa"/>
          </w:tcPr>
          <w:p w14:paraId="16B19A74" w14:textId="77777777" w:rsidR="0098163C" w:rsidRPr="008B39AC" w:rsidRDefault="0098163C" w:rsidP="00467486">
            <w:pPr>
              <w:rPr>
                <w:rFonts w:ascii="Arial" w:hAnsi="Arial" w:cs="Arial"/>
                <w:sz w:val="24"/>
              </w:rPr>
            </w:pPr>
            <w:r>
              <w:rPr>
                <w:rFonts w:ascii="Arial" w:hAnsi="Arial" w:cs="Arial"/>
                <w:sz w:val="24"/>
              </w:rPr>
              <w:t>58%</w:t>
            </w:r>
          </w:p>
        </w:tc>
      </w:tr>
      <w:tr w:rsidR="0098163C" w:rsidRPr="008B39AC" w14:paraId="12141D2D" w14:textId="77777777" w:rsidTr="00467486">
        <w:tc>
          <w:tcPr>
            <w:tcW w:w="3080" w:type="dxa"/>
          </w:tcPr>
          <w:p w14:paraId="43879C3C" w14:textId="77777777" w:rsidR="0098163C" w:rsidRPr="008B39AC" w:rsidRDefault="0098163C" w:rsidP="00467486">
            <w:pPr>
              <w:rPr>
                <w:rFonts w:ascii="Arial" w:hAnsi="Arial" w:cs="Arial"/>
                <w:sz w:val="24"/>
              </w:rPr>
            </w:pPr>
            <w:r w:rsidRPr="008B39AC">
              <w:rPr>
                <w:rFonts w:ascii="Arial" w:hAnsi="Arial" w:cs="Arial"/>
                <w:sz w:val="24"/>
              </w:rPr>
              <w:t>Year 9</w:t>
            </w:r>
          </w:p>
        </w:tc>
        <w:tc>
          <w:tcPr>
            <w:tcW w:w="3081" w:type="dxa"/>
          </w:tcPr>
          <w:p w14:paraId="4481703B" w14:textId="77777777" w:rsidR="0098163C" w:rsidRPr="008B39AC" w:rsidRDefault="0098163C" w:rsidP="00467486">
            <w:pPr>
              <w:rPr>
                <w:rFonts w:ascii="Arial" w:hAnsi="Arial" w:cs="Arial"/>
                <w:sz w:val="24"/>
              </w:rPr>
            </w:pPr>
            <w:r>
              <w:rPr>
                <w:rFonts w:ascii="Arial" w:hAnsi="Arial" w:cs="Arial"/>
                <w:sz w:val="24"/>
              </w:rPr>
              <w:t>57.5%</w:t>
            </w:r>
          </w:p>
        </w:tc>
        <w:tc>
          <w:tcPr>
            <w:tcW w:w="3081" w:type="dxa"/>
          </w:tcPr>
          <w:p w14:paraId="34BB5762" w14:textId="77777777" w:rsidR="0098163C" w:rsidRPr="008B39AC" w:rsidRDefault="0098163C" w:rsidP="00467486">
            <w:pPr>
              <w:rPr>
                <w:rFonts w:ascii="Arial" w:hAnsi="Arial" w:cs="Arial"/>
                <w:sz w:val="24"/>
              </w:rPr>
            </w:pPr>
            <w:r>
              <w:rPr>
                <w:rFonts w:ascii="Arial" w:hAnsi="Arial" w:cs="Arial"/>
                <w:sz w:val="24"/>
              </w:rPr>
              <w:t>55.6%</w:t>
            </w:r>
          </w:p>
        </w:tc>
      </w:tr>
    </w:tbl>
    <w:p w14:paraId="28B00145" w14:textId="77777777" w:rsidR="0098163C" w:rsidRDefault="0098163C">
      <w:pPr>
        <w:rPr>
          <w:rFonts w:ascii="Arial" w:hAnsi="Arial" w:cs="Arial"/>
          <w:i/>
        </w:rPr>
      </w:pPr>
      <w:r w:rsidRPr="0098163C">
        <w:rPr>
          <w:rFonts w:ascii="Arial" w:hAnsi="Arial" w:cs="Arial"/>
          <w:i/>
        </w:rPr>
        <w:t>Source: NAPLAN national data collection, ACARA</w:t>
      </w:r>
    </w:p>
    <w:p w14:paraId="032D7735" w14:textId="77777777" w:rsidR="0093434C" w:rsidRDefault="0093434C" w:rsidP="00C66152">
      <w:pPr>
        <w:pStyle w:val="Heading2"/>
      </w:pPr>
      <w:r w:rsidRPr="0078464D">
        <w:rPr>
          <w:color w:val="auto"/>
        </w:rPr>
        <w:t>Aboriginal</w:t>
      </w:r>
    </w:p>
    <w:p w14:paraId="0242D625" w14:textId="77777777" w:rsidR="00722400" w:rsidRPr="00E1133D" w:rsidRDefault="00722400" w:rsidP="00722400">
      <w:pPr>
        <w:rPr>
          <w:rFonts w:ascii="Arial" w:hAnsi="Arial" w:cs="Arial"/>
          <w:i/>
          <w:sz w:val="24"/>
        </w:rPr>
      </w:pPr>
      <w:r w:rsidRPr="00E1133D">
        <w:rPr>
          <w:rFonts w:ascii="Arial" w:hAnsi="Arial" w:cs="Arial"/>
          <w:i/>
          <w:sz w:val="24"/>
        </w:rPr>
        <w:t>Educational outcomes for Aboriginal students are improving.</w:t>
      </w:r>
    </w:p>
    <w:p w14:paraId="591DEB29" w14:textId="77777777" w:rsidR="00313A7D" w:rsidRPr="00313A7D" w:rsidRDefault="00722400" w:rsidP="00722400">
      <w:pPr>
        <w:pStyle w:val="ListParagraph"/>
        <w:numPr>
          <w:ilvl w:val="0"/>
          <w:numId w:val="41"/>
        </w:numPr>
        <w:rPr>
          <w:rFonts w:ascii="Arial" w:eastAsiaTheme="majorEastAsia" w:hAnsi="Arial" w:cs="Arial"/>
          <w:b/>
          <w:bCs/>
          <w:i/>
          <w:sz w:val="26"/>
          <w:szCs w:val="26"/>
        </w:rPr>
      </w:pPr>
      <w:r w:rsidRPr="00722400">
        <w:rPr>
          <w:rFonts w:ascii="Arial" w:hAnsi="Arial" w:cs="Arial"/>
          <w:sz w:val="24"/>
        </w:rPr>
        <w:t>Since 2008, the proportion of Aboriginal students achieving in the top three bands of Reading has improved for every year level.</w:t>
      </w:r>
    </w:p>
    <w:tbl>
      <w:tblPr>
        <w:tblStyle w:val="TableGrid"/>
        <w:tblW w:w="0" w:type="auto"/>
        <w:tblLook w:val="04A0" w:firstRow="1" w:lastRow="0" w:firstColumn="1" w:lastColumn="0" w:noHBand="0" w:noVBand="1"/>
        <w:tblDescription w:val="This table shows the proportion of Victorian Aboriginal students achieving in the top three bands of NAPLAN Reading, 2008 and 2018"/>
      </w:tblPr>
      <w:tblGrid>
        <w:gridCol w:w="3004"/>
        <w:gridCol w:w="3006"/>
        <w:gridCol w:w="3006"/>
      </w:tblGrid>
      <w:tr w:rsidR="00313A7D" w:rsidRPr="008B39AC" w14:paraId="62300A5A" w14:textId="77777777" w:rsidTr="00467486">
        <w:trPr>
          <w:tblHeader/>
        </w:trPr>
        <w:tc>
          <w:tcPr>
            <w:tcW w:w="3080" w:type="dxa"/>
          </w:tcPr>
          <w:p w14:paraId="6BD36AB0" w14:textId="77777777" w:rsidR="00313A7D" w:rsidRPr="008B39AC" w:rsidRDefault="00313A7D" w:rsidP="00467486">
            <w:pPr>
              <w:rPr>
                <w:rFonts w:ascii="Arial" w:hAnsi="Arial" w:cs="Arial"/>
                <w:sz w:val="24"/>
              </w:rPr>
            </w:pPr>
          </w:p>
        </w:tc>
        <w:tc>
          <w:tcPr>
            <w:tcW w:w="3081" w:type="dxa"/>
          </w:tcPr>
          <w:p w14:paraId="28B0E297" w14:textId="77777777" w:rsidR="00313A7D" w:rsidRPr="008B39AC" w:rsidRDefault="00313A7D" w:rsidP="00467486">
            <w:pPr>
              <w:rPr>
                <w:rFonts w:ascii="Arial" w:hAnsi="Arial" w:cs="Arial"/>
                <w:sz w:val="24"/>
              </w:rPr>
            </w:pPr>
            <w:r>
              <w:rPr>
                <w:rFonts w:ascii="Arial" w:hAnsi="Arial" w:cs="Arial"/>
                <w:sz w:val="24"/>
              </w:rPr>
              <w:t>2008</w:t>
            </w:r>
          </w:p>
        </w:tc>
        <w:tc>
          <w:tcPr>
            <w:tcW w:w="3081" w:type="dxa"/>
          </w:tcPr>
          <w:p w14:paraId="24F1900D" w14:textId="77777777" w:rsidR="00313A7D" w:rsidRPr="008B39AC" w:rsidRDefault="00313A7D" w:rsidP="00467486">
            <w:pPr>
              <w:rPr>
                <w:rFonts w:ascii="Arial" w:hAnsi="Arial" w:cs="Arial"/>
                <w:sz w:val="24"/>
              </w:rPr>
            </w:pPr>
            <w:r>
              <w:rPr>
                <w:rFonts w:ascii="Arial" w:hAnsi="Arial" w:cs="Arial"/>
                <w:sz w:val="24"/>
              </w:rPr>
              <w:t>2018</w:t>
            </w:r>
          </w:p>
        </w:tc>
      </w:tr>
      <w:tr w:rsidR="00313A7D" w:rsidRPr="008B39AC" w14:paraId="346D2198" w14:textId="77777777" w:rsidTr="00467486">
        <w:tc>
          <w:tcPr>
            <w:tcW w:w="3080" w:type="dxa"/>
          </w:tcPr>
          <w:p w14:paraId="680A1169" w14:textId="77777777" w:rsidR="00313A7D" w:rsidRPr="008B39AC" w:rsidRDefault="00313A7D" w:rsidP="00467486">
            <w:pPr>
              <w:rPr>
                <w:rFonts w:ascii="Arial" w:hAnsi="Arial" w:cs="Arial"/>
                <w:sz w:val="24"/>
              </w:rPr>
            </w:pPr>
            <w:r w:rsidRPr="008B39AC">
              <w:rPr>
                <w:rFonts w:ascii="Arial" w:hAnsi="Arial" w:cs="Arial"/>
                <w:sz w:val="24"/>
              </w:rPr>
              <w:t>Year 3</w:t>
            </w:r>
          </w:p>
        </w:tc>
        <w:tc>
          <w:tcPr>
            <w:tcW w:w="3081" w:type="dxa"/>
          </w:tcPr>
          <w:p w14:paraId="654AC681" w14:textId="77777777" w:rsidR="00313A7D" w:rsidRPr="008B39AC" w:rsidRDefault="00313A7D" w:rsidP="00467486">
            <w:pPr>
              <w:rPr>
                <w:rFonts w:ascii="Arial" w:hAnsi="Arial" w:cs="Arial"/>
                <w:sz w:val="24"/>
              </w:rPr>
            </w:pPr>
            <w:r>
              <w:rPr>
                <w:rFonts w:ascii="Arial" w:hAnsi="Arial" w:cs="Arial"/>
                <w:sz w:val="24"/>
              </w:rPr>
              <w:t>45%</w:t>
            </w:r>
          </w:p>
        </w:tc>
        <w:tc>
          <w:tcPr>
            <w:tcW w:w="3081" w:type="dxa"/>
          </w:tcPr>
          <w:p w14:paraId="00AE2925" w14:textId="77777777" w:rsidR="00313A7D" w:rsidRPr="008B39AC" w:rsidRDefault="00313A7D" w:rsidP="00467486">
            <w:pPr>
              <w:rPr>
                <w:rFonts w:ascii="Arial" w:hAnsi="Arial" w:cs="Arial"/>
                <w:sz w:val="24"/>
              </w:rPr>
            </w:pPr>
            <w:r>
              <w:rPr>
                <w:rFonts w:ascii="Arial" w:hAnsi="Arial" w:cs="Arial"/>
                <w:sz w:val="24"/>
              </w:rPr>
              <w:t>56%</w:t>
            </w:r>
          </w:p>
        </w:tc>
      </w:tr>
      <w:tr w:rsidR="00313A7D" w:rsidRPr="008B39AC" w14:paraId="237F2866" w14:textId="77777777" w:rsidTr="00467486">
        <w:tc>
          <w:tcPr>
            <w:tcW w:w="3080" w:type="dxa"/>
          </w:tcPr>
          <w:p w14:paraId="59AEA40D" w14:textId="77777777" w:rsidR="00313A7D" w:rsidRPr="008B39AC" w:rsidRDefault="00313A7D" w:rsidP="00467486">
            <w:pPr>
              <w:rPr>
                <w:rFonts w:ascii="Arial" w:hAnsi="Arial" w:cs="Arial"/>
                <w:sz w:val="24"/>
              </w:rPr>
            </w:pPr>
            <w:r w:rsidRPr="008B39AC">
              <w:rPr>
                <w:rFonts w:ascii="Arial" w:hAnsi="Arial" w:cs="Arial"/>
                <w:sz w:val="24"/>
              </w:rPr>
              <w:t>Year 5</w:t>
            </w:r>
          </w:p>
        </w:tc>
        <w:tc>
          <w:tcPr>
            <w:tcW w:w="3081" w:type="dxa"/>
          </w:tcPr>
          <w:p w14:paraId="1BD87847" w14:textId="77777777" w:rsidR="00313A7D" w:rsidRPr="008B39AC" w:rsidRDefault="00313A7D" w:rsidP="00467486">
            <w:pPr>
              <w:rPr>
                <w:rFonts w:ascii="Arial" w:hAnsi="Arial" w:cs="Arial"/>
                <w:sz w:val="24"/>
              </w:rPr>
            </w:pPr>
            <w:r>
              <w:rPr>
                <w:rFonts w:ascii="Arial" w:hAnsi="Arial" w:cs="Arial"/>
                <w:sz w:val="24"/>
              </w:rPr>
              <w:t>32%</w:t>
            </w:r>
          </w:p>
        </w:tc>
        <w:tc>
          <w:tcPr>
            <w:tcW w:w="3081" w:type="dxa"/>
          </w:tcPr>
          <w:p w14:paraId="5A8B0D04" w14:textId="77777777" w:rsidR="00313A7D" w:rsidRPr="008B39AC" w:rsidRDefault="00313A7D" w:rsidP="00467486">
            <w:pPr>
              <w:rPr>
                <w:rFonts w:ascii="Arial" w:hAnsi="Arial" w:cs="Arial"/>
                <w:sz w:val="24"/>
              </w:rPr>
            </w:pPr>
            <w:r>
              <w:rPr>
                <w:rFonts w:ascii="Arial" w:hAnsi="Arial" w:cs="Arial"/>
                <w:sz w:val="24"/>
              </w:rPr>
              <w:t>41%</w:t>
            </w:r>
          </w:p>
        </w:tc>
      </w:tr>
      <w:tr w:rsidR="00313A7D" w:rsidRPr="008B39AC" w14:paraId="242DE5BE" w14:textId="77777777" w:rsidTr="00467486">
        <w:tc>
          <w:tcPr>
            <w:tcW w:w="3080" w:type="dxa"/>
          </w:tcPr>
          <w:p w14:paraId="603D91A4" w14:textId="77777777" w:rsidR="00313A7D" w:rsidRPr="008B39AC" w:rsidRDefault="00313A7D" w:rsidP="00467486">
            <w:pPr>
              <w:rPr>
                <w:rFonts w:ascii="Arial" w:hAnsi="Arial" w:cs="Arial"/>
                <w:sz w:val="24"/>
              </w:rPr>
            </w:pPr>
            <w:r w:rsidRPr="008B39AC">
              <w:rPr>
                <w:rFonts w:ascii="Arial" w:hAnsi="Arial" w:cs="Arial"/>
                <w:sz w:val="24"/>
              </w:rPr>
              <w:lastRenderedPageBreak/>
              <w:t>Year 7</w:t>
            </w:r>
          </w:p>
        </w:tc>
        <w:tc>
          <w:tcPr>
            <w:tcW w:w="3081" w:type="dxa"/>
          </w:tcPr>
          <w:p w14:paraId="35093072" w14:textId="77777777" w:rsidR="00313A7D" w:rsidRPr="008B39AC" w:rsidRDefault="00313A7D" w:rsidP="00467486">
            <w:pPr>
              <w:rPr>
                <w:rFonts w:ascii="Arial" w:hAnsi="Arial" w:cs="Arial"/>
                <w:sz w:val="24"/>
              </w:rPr>
            </w:pPr>
            <w:r>
              <w:rPr>
                <w:rFonts w:ascii="Arial" w:hAnsi="Arial" w:cs="Arial"/>
                <w:sz w:val="24"/>
              </w:rPr>
              <w:t>21%</w:t>
            </w:r>
          </w:p>
        </w:tc>
        <w:tc>
          <w:tcPr>
            <w:tcW w:w="3081" w:type="dxa"/>
          </w:tcPr>
          <w:p w14:paraId="3C946686" w14:textId="77777777" w:rsidR="00313A7D" w:rsidRPr="008B39AC" w:rsidRDefault="00313A7D" w:rsidP="00467486">
            <w:pPr>
              <w:rPr>
                <w:rFonts w:ascii="Arial" w:hAnsi="Arial" w:cs="Arial"/>
                <w:sz w:val="24"/>
              </w:rPr>
            </w:pPr>
            <w:r>
              <w:rPr>
                <w:rFonts w:ascii="Arial" w:hAnsi="Arial" w:cs="Arial"/>
                <w:sz w:val="24"/>
              </w:rPr>
              <w:t>26%</w:t>
            </w:r>
          </w:p>
        </w:tc>
      </w:tr>
      <w:tr w:rsidR="00313A7D" w:rsidRPr="008B39AC" w14:paraId="16993A1C" w14:textId="77777777" w:rsidTr="00467486">
        <w:tc>
          <w:tcPr>
            <w:tcW w:w="3080" w:type="dxa"/>
          </w:tcPr>
          <w:p w14:paraId="0FD3734E" w14:textId="77777777" w:rsidR="00313A7D" w:rsidRPr="008B39AC" w:rsidRDefault="00313A7D" w:rsidP="00467486">
            <w:pPr>
              <w:rPr>
                <w:rFonts w:ascii="Arial" w:hAnsi="Arial" w:cs="Arial"/>
                <w:sz w:val="24"/>
              </w:rPr>
            </w:pPr>
            <w:r w:rsidRPr="008B39AC">
              <w:rPr>
                <w:rFonts w:ascii="Arial" w:hAnsi="Arial" w:cs="Arial"/>
                <w:sz w:val="24"/>
              </w:rPr>
              <w:t>Year 9</w:t>
            </w:r>
          </w:p>
        </w:tc>
        <w:tc>
          <w:tcPr>
            <w:tcW w:w="3081" w:type="dxa"/>
          </w:tcPr>
          <w:p w14:paraId="3DFB438A" w14:textId="77777777" w:rsidR="00313A7D" w:rsidRPr="008B39AC" w:rsidRDefault="00313A7D" w:rsidP="00467486">
            <w:pPr>
              <w:rPr>
                <w:rFonts w:ascii="Arial" w:hAnsi="Arial" w:cs="Arial"/>
                <w:sz w:val="24"/>
              </w:rPr>
            </w:pPr>
            <w:r>
              <w:rPr>
                <w:rFonts w:ascii="Arial" w:hAnsi="Arial" w:cs="Arial"/>
                <w:sz w:val="24"/>
              </w:rPr>
              <w:t>20%</w:t>
            </w:r>
          </w:p>
        </w:tc>
        <w:tc>
          <w:tcPr>
            <w:tcW w:w="3081" w:type="dxa"/>
          </w:tcPr>
          <w:p w14:paraId="6B5AD48E" w14:textId="77777777" w:rsidR="00313A7D" w:rsidRPr="008B39AC" w:rsidRDefault="00313A7D" w:rsidP="00467486">
            <w:pPr>
              <w:rPr>
                <w:rFonts w:ascii="Arial" w:hAnsi="Arial" w:cs="Arial"/>
                <w:sz w:val="24"/>
              </w:rPr>
            </w:pPr>
            <w:r>
              <w:rPr>
                <w:rFonts w:ascii="Arial" w:hAnsi="Arial" w:cs="Arial"/>
                <w:sz w:val="24"/>
              </w:rPr>
              <w:t>25%</w:t>
            </w:r>
          </w:p>
        </w:tc>
      </w:tr>
    </w:tbl>
    <w:p w14:paraId="0F56F4A7" w14:textId="77777777" w:rsidR="003B75C8" w:rsidRDefault="00313A7D" w:rsidP="00313A7D">
      <w:pPr>
        <w:rPr>
          <w:rFonts w:ascii="Arial" w:hAnsi="Arial" w:cs="Arial"/>
          <w:i/>
          <w:sz w:val="24"/>
        </w:rPr>
      </w:pPr>
      <w:r w:rsidRPr="00313A7D">
        <w:rPr>
          <w:rFonts w:ascii="Arial" w:hAnsi="Arial" w:cs="Arial"/>
          <w:i/>
          <w:sz w:val="24"/>
        </w:rPr>
        <w:t>Source: NAPLAN national data collection, ACARA</w:t>
      </w:r>
    </w:p>
    <w:p w14:paraId="5DCC0095" w14:textId="77777777" w:rsidR="003B75C8" w:rsidRDefault="003B75C8" w:rsidP="00C66152">
      <w:pPr>
        <w:pStyle w:val="Heading2"/>
      </w:pPr>
      <w:r w:rsidRPr="0078464D">
        <w:rPr>
          <w:color w:val="auto"/>
        </w:rPr>
        <w:t>Subject choice</w:t>
      </w:r>
    </w:p>
    <w:p w14:paraId="763F39BB" w14:textId="77777777" w:rsidR="00B17D81" w:rsidRPr="00E1133D" w:rsidRDefault="003B75C8" w:rsidP="003B75C8">
      <w:pPr>
        <w:rPr>
          <w:rFonts w:ascii="Arial" w:hAnsi="Arial" w:cs="Arial"/>
          <w:i/>
          <w:sz w:val="24"/>
        </w:rPr>
      </w:pPr>
      <w:r w:rsidRPr="00E1133D">
        <w:rPr>
          <w:rFonts w:ascii="Arial" w:hAnsi="Arial" w:cs="Arial"/>
          <w:i/>
          <w:sz w:val="24"/>
        </w:rPr>
        <w:t>Social norms and expectations can influence adolescents’ choices regarding future learning, including their choice of subjects.</w:t>
      </w:r>
    </w:p>
    <w:p w14:paraId="7296A075" w14:textId="77777777" w:rsidR="00B17D81" w:rsidRPr="00B17D81" w:rsidRDefault="00B17D81" w:rsidP="00B17D81">
      <w:pPr>
        <w:rPr>
          <w:rFonts w:ascii="Arial" w:hAnsi="Arial" w:cs="Arial"/>
          <w:sz w:val="24"/>
        </w:rPr>
      </w:pPr>
      <w:r w:rsidRPr="00B17D81">
        <w:rPr>
          <w:rFonts w:ascii="Arial" w:hAnsi="Arial" w:cs="Arial"/>
          <w:sz w:val="24"/>
        </w:rPr>
        <w:t>In 2018 female students were:</w:t>
      </w:r>
    </w:p>
    <w:p w14:paraId="1796AD81" w14:textId="77777777" w:rsidR="00B17D81" w:rsidRPr="00B17D81" w:rsidRDefault="00B17D81" w:rsidP="00B17D81">
      <w:pPr>
        <w:pStyle w:val="ListParagraph"/>
        <w:numPr>
          <w:ilvl w:val="0"/>
          <w:numId w:val="41"/>
        </w:numPr>
        <w:rPr>
          <w:rFonts w:ascii="Arial" w:hAnsi="Arial" w:cs="Arial"/>
          <w:sz w:val="24"/>
        </w:rPr>
      </w:pPr>
      <w:r w:rsidRPr="00B17D81">
        <w:rPr>
          <w:rFonts w:ascii="Arial" w:hAnsi="Arial" w:cs="Arial"/>
          <w:sz w:val="24"/>
        </w:rPr>
        <w:t>5.5 x more likely to study Dance</w:t>
      </w:r>
    </w:p>
    <w:p w14:paraId="0A8AF13A" w14:textId="77777777" w:rsidR="00B17D81" w:rsidRPr="00B17D81" w:rsidRDefault="00B17D81" w:rsidP="00B17D81">
      <w:pPr>
        <w:pStyle w:val="ListParagraph"/>
        <w:numPr>
          <w:ilvl w:val="0"/>
          <w:numId w:val="41"/>
        </w:numPr>
        <w:rPr>
          <w:rFonts w:ascii="Arial" w:hAnsi="Arial" w:cs="Arial"/>
          <w:sz w:val="24"/>
        </w:rPr>
      </w:pPr>
      <w:r w:rsidRPr="00B17D81">
        <w:rPr>
          <w:rFonts w:ascii="Arial" w:hAnsi="Arial" w:cs="Arial"/>
          <w:sz w:val="24"/>
        </w:rPr>
        <w:t>3.3 x more likely to study Sociology</w:t>
      </w:r>
    </w:p>
    <w:p w14:paraId="0F54FCDD" w14:textId="77777777" w:rsidR="00B17D81" w:rsidRPr="00B17D81" w:rsidRDefault="00B17D81" w:rsidP="00B17D81">
      <w:pPr>
        <w:pStyle w:val="ListParagraph"/>
        <w:numPr>
          <w:ilvl w:val="0"/>
          <w:numId w:val="41"/>
        </w:numPr>
        <w:rPr>
          <w:rFonts w:ascii="Arial" w:eastAsiaTheme="majorEastAsia" w:hAnsi="Arial" w:cs="Arial"/>
          <w:b/>
          <w:bCs/>
          <w:sz w:val="26"/>
          <w:szCs w:val="26"/>
        </w:rPr>
      </w:pPr>
      <w:r w:rsidRPr="00B17D81">
        <w:rPr>
          <w:rFonts w:ascii="Arial" w:hAnsi="Arial" w:cs="Arial"/>
          <w:sz w:val="24"/>
        </w:rPr>
        <w:t>2.7 x more likely to study Health &amp; Human Development and Literature</w:t>
      </w:r>
    </w:p>
    <w:p w14:paraId="4A756601" w14:textId="77777777" w:rsidR="0082536A" w:rsidRDefault="0082536A" w:rsidP="00B17D81">
      <w:pPr>
        <w:rPr>
          <w:rFonts w:ascii="Arial" w:hAnsi="Arial" w:cs="Arial"/>
          <w:sz w:val="24"/>
        </w:rPr>
      </w:pPr>
    </w:p>
    <w:p w14:paraId="14D7054A" w14:textId="77777777" w:rsidR="00B17D81" w:rsidRPr="00B17D81" w:rsidRDefault="00B17D81" w:rsidP="00B17D81">
      <w:pPr>
        <w:rPr>
          <w:rFonts w:ascii="Arial" w:hAnsi="Arial" w:cs="Arial"/>
          <w:sz w:val="24"/>
        </w:rPr>
      </w:pPr>
      <w:r w:rsidRPr="00B17D81">
        <w:rPr>
          <w:rFonts w:ascii="Arial" w:hAnsi="Arial" w:cs="Arial"/>
          <w:sz w:val="24"/>
        </w:rPr>
        <w:t>In 2018 male students were:</w:t>
      </w:r>
    </w:p>
    <w:p w14:paraId="17F2A1F4" w14:textId="77777777" w:rsidR="00B17D81" w:rsidRPr="00B17D81" w:rsidRDefault="00B17D81" w:rsidP="00B17D81">
      <w:pPr>
        <w:pStyle w:val="ListParagraph"/>
        <w:numPr>
          <w:ilvl w:val="0"/>
          <w:numId w:val="41"/>
        </w:numPr>
        <w:rPr>
          <w:rFonts w:ascii="Arial" w:hAnsi="Arial" w:cs="Arial"/>
          <w:sz w:val="24"/>
        </w:rPr>
      </w:pPr>
      <w:r w:rsidRPr="00B17D81">
        <w:rPr>
          <w:rFonts w:ascii="Arial" w:hAnsi="Arial" w:cs="Arial"/>
          <w:sz w:val="24"/>
        </w:rPr>
        <w:t>17 x more likely to study Systems Engineering</w:t>
      </w:r>
    </w:p>
    <w:p w14:paraId="523BDEB6" w14:textId="77777777" w:rsidR="00B17D81" w:rsidRPr="00B17D81" w:rsidRDefault="00B17D81" w:rsidP="00B17D81">
      <w:pPr>
        <w:pStyle w:val="ListParagraph"/>
        <w:numPr>
          <w:ilvl w:val="0"/>
          <w:numId w:val="41"/>
        </w:numPr>
        <w:rPr>
          <w:rFonts w:ascii="Arial" w:hAnsi="Arial" w:cs="Arial"/>
          <w:sz w:val="24"/>
        </w:rPr>
      </w:pPr>
      <w:r w:rsidRPr="00B17D81">
        <w:rPr>
          <w:rFonts w:ascii="Arial" w:hAnsi="Arial" w:cs="Arial"/>
          <w:sz w:val="24"/>
        </w:rPr>
        <w:t>3.5 x more likely to study Physics</w:t>
      </w:r>
    </w:p>
    <w:p w14:paraId="5DDBDA7C" w14:textId="77777777" w:rsidR="0082536A" w:rsidRDefault="00B17D81" w:rsidP="00B17D81">
      <w:pPr>
        <w:pStyle w:val="ListParagraph"/>
        <w:numPr>
          <w:ilvl w:val="0"/>
          <w:numId w:val="41"/>
        </w:numPr>
        <w:rPr>
          <w:rFonts w:ascii="Arial" w:hAnsi="Arial" w:cs="Arial"/>
          <w:sz w:val="24"/>
        </w:rPr>
      </w:pPr>
      <w:r w:rsidRPr="00B17D81">
        <w:rPr>
          <w:rFonts w:ascii="Arial" w:hAnsi="Arial" w:cs="Arial"/>
          <w:sz w:val="24"/>
        </w:rPr>
        <w:t>2.5 x more likely to study Product Design and Technology</w:t>
      </w:r>
    </w:p>
    <w:p w14:paraId="5659B63D" w14:textId="77777777" w:rsidR="00F0464C" w:rsidRDefault="0082536A" w:rsidP="0082536A">
      <w:pPr>
        <w:rPr>
          <w:rFonts w:ascii="Arial" w:hAnsi="Arial" w:cs="Arial"/>
          <w:i/>
          <w:sz w:val="24"/>
        </w:rPr>
      </w:pPr>
      <w:r w:rsidRPr="0082536A">
        <w:rPr>
          <w:rFonts w:ascii="Arial" w:hAnsi="Arial" w:cs="Arial"/>
          <w:i/>
          <w:sz w:val="24"/>
        </w:rPr>
        <w:t>Source: Victoria VCE enrolments 2018</w:t>
      </w:r>
    </w:p>
    <w:p w14:paraId="4AB13147" w14:textId="77777777" w:rsidR="0000636F" w:rsidRPr="0082536A" w:rsidRDefault="0000636F" w:rsidP="0082536A">
      <w:pPr>
        <w:rPr>
          <w:rFonts w:ascii="Arial" w:eastAsia="VIC Light" w:hAnsi="Arial" w:cs="Arial"/>
          <w:i/>
          <w:sz w:val="24"/>
        </w:rPr>
      </w:pPr>
      <w:r w:rsidRPr="0082536A">
        <w:rPr>
          <w:rFonts w:ascii="Arial" w:hAnsi="Arial" w:cs="Arial"/>
          <w:i/>
          <w:sz w:val="24"/>
        </w:rPr>
        <w:br w:type="page"/>
      </w:r>
    </w:p>
    <w:p w14:paraId="71DD3E4D" w14:textId="77777777" w:rsidR="009C1408" w:rsidRPr="00B9145B" w:rsidRDefault="00083FA3" w:rsidP="00B9145B">
      <w:pPr>
        <w:pStyle w:val="Heading1"/>
        <w:rPr>
          <w:rFonts w:ascii="Arial" w:hAnsi="Arial" w:cs="Arial"/>
        </w:rPr>
      </w:pPr>
      <w:bookmarkStart w:id="5" w:name="_Toc33527780"/>
      <w:r w:rsidRPr="00B9145B">
        <w:rPr>
          <w:rFonts w:ascii="Arial" w:hAnsi="Arial" w:cs="Arial"/>
        </w:rPr>
        <w:lastRenderedPageBreak/>
        <w:t>SAFE FAMILIES AND COMMUNITIES</w:t>
      </w:r>
      <w:bookmarkEnd w:id="5"/>
    </w:p>
    <w:p w14:paraId="14745CDD" w14:textId="77777777" w:rsidR="000E32C5" w:rsidRDefault="000E32C5" w:rsidP="000E32C5">
      <w:pPr>
        <w:rPr>
          <w:rFonts w:ascii="Arial" w:hAnsi="Arial" w:cs="Arial"/>
        </w:rPr>
      </w:pPr>
      <w:r w:rsidRPr="000E32C5">
        <w:rPr>
          <w:rFonts w:ascii="Arial" w:hAnsi="Arial" w:cs="Arial"/>
          <w:sz w:val="24"/>
        </w:rPr>
        <w:t>Safe communities and supportive family environments are major protective factors in adolescence, enabling young people to achieve their potential while avoiding risks to their health and wellbeing.</w:t>
      </w:r>
    </w:p>
    <w:p w14:paraId="4F1B3B96" w14:textId="77777777" w:rsidR="00DF0289" w:rsidRPr="00DF0289" w:rsidRDefault="000E32C5" w:rsidP="00C66152">
      <w:pPr>
        <w:pStyle w:val="Heading2"/>
      </w:pPr>
      <w:r w:rsidRPr="0078464D">
        <w:rPr>
          <w:color w:val="auto"/>
        </w:rPr>
        <w:t>Trusted adults</w:t>
      </w:r>
    </w:p>
    <w:p w14:paraId="62C9D743" w14:textId="77777777" w:rsidR="00DF0289" w:rsidRDefault="00DF0289" w:rsidP="00DF0289">
      <w:pPr>
        <w:rPr>
          <w:rFonts w:ascii="Arial" w:hAnsi="Arial" w:cs="Arial"/>
          <w:i/>
          <w:sz w:val="24"/>
        </w:rPr>
      </w:pPr>
      <w:r w:rsidRPr="00DF0289">
        <w:rPr>
          <w:rFonts w:ascii="Arial" w:hAnsi="Arial" w:cs="Arial"/>
          <w:i/>
          <w:sz w:val="24"/>
        </w:rPr>
        <w:t>Adolescents who believe their parents, close senior family members or guardians are there for them are more likely to have better health, be happier and do better at school than their peers.</w:t>
      </w:r>
    </w:p>
    <w:p w14:paraId="74540326" w14:textId="77777777" w:rsidR="00E1133D" w:rsidRPr="00E1133D" w:rsidRDefault="00E1133D" w:rsidP="00E1133D">
      <w:pPr>
        <w:pStyle w:val="ListParagraph"/>
        <w:numPr>
          <w:ilvl w:val="0"/>
          <w:numId w:val="43"/>
        </w:numPr>
        <w:rPr>
          <w:rFonts w:ascii="Arial" w:hAnsi="Arial" w:cs="Arial"/>
          <w:sz w:val="24"/>
        </w:rPr>
      </w:pPr>
      <w:r w:rsidRPr="00E1133D">
        <w:rPr>
          <w:rFonts w:ascii="Arial" w:hAnsi="Arial" w:cs="Arial"/>
          <w:sz w:val="24"/>
        </w:rPr>
        <w:t>Around 2 in 3 Victorian adolescents (65 per cent) reported that they had a trusted adult in their lives.</w:t>
      </w:r>
    </w:p>
    <w:p w14:paraId="5609B287" w14:textId="77777777" w:rsidR="00E1133D" w:rsidRDefault="00E1133D" w:rsidP="00E1133D">
      <w:pPr>
        <w:pStyle w:val="ListParagraph"/>
        <w:numPr>
          <w:ilvl w:val="0"/>
          <w:numId w:val="43"/>
        </w:numPr>
        <w:rPr>
          <w:rFonts w:ascii="Arial" w:hAnsi="Arial" w:cs="Arial"/>
          <w:sz w:val="24"/>
        </w:rPr>
      </w:pPr>
      <w:r w:rsidRPr="00E1133D">
        <w:rPr>
          <w:rFonts w:ascii="Arial" w:hAnsi="Arial" w:cs="Arial"/>
          <w:sz w:val="24"/>
        </w:rPr>
        <w:t>Young people in regional areas (70 per cent) were more likely to report having a trusted adult, compared to those in metro areas (63 per cent).</w:t>
      </w:r>
    </w:p>
    <w:p w14:paraId="4D12CA45" w14:textId="77777777" w:rsidR="00E1133D" w:rsidRDefault="00E1133D" w:rsidP="00E1133D">
      <w:pPr>
        <w:rPr>
          <w:rFonts w:ascii="Arial" w:hAnsi="Arial" w:cs="Arial"/>
          <w:i/>
          <w:sz w:val="24"/>
        </w:rPr>
      </w:pPr>
      <w:r w:rsidRPr="00E1133D">
        <w:rPr>
          <w:rFonts w:ascii="Arial" w:hAnsi="Arial" w:cs="Arial"/>
          <w:i/>
          <w:sz w:val="24"/>
        </w:rPr>
        <w:t>Source: Victorian Student Health and Wellbeing Survey 2018</w:t>
      </w:r>
    </w:p>
    <w:p w14:paraId="64E6A21D" w14:textId="77777777" w:rsidR="00E1133D" w:rsidRPr="00764A5C" w:rsidRDefault="00764A5C" w:rsidP="00C66152">
      <w:pPr>
        <w:pStyle w:val="Heading2"/>
      </w:pPr>
      <w:r w:rsidRPr="0078464D">
        <w:rPr>
          <w:color w:val="auto"/>
        </w:rPr>
        <w:t>Family violence</w:t>
      </w:r>
    </w:p>
    <w:p w14:paraId="7EE625B2" w14:textId="77777777" w:rsidR="00764A5C" w:rsidRDefault="00764A5C" w:rsidP="00764A5C">
      <w:pPr>
        <w:rPr>
          <w:rFonts w:ascii="Arial" w:hAnsi="Arial" w:cs="Arial"/>
          <w:i/>
        </w:rPr>
      </w:pPr>
      <w:r w:rsidRPr="00764A5C">
        <w:rPr>
          <w:rFonts w:ascii="Arial" w:hAnsi="Arial" w:cs="Arial"/>
          <w:i/>
          <w:sz w:val="24"/>
        </w:rPr>
        <w:t>Exposure to family violence in adolescence can be a traumatic experience, with strong potential effects on future wellbeing.</w:t>
      </w:r>
    </w:p>
    <w:p w14:paraId="5E4124D5" w14:textId="77777777" w:rsidR="00193DC5" w:rsidRPr="00193DC5" w:rsidRDefault="00193DC5" w:rsidP="00193DC5">
      <w:pPr>
        <w:pStyle w:val="ListParagraph"/>
        <w:numPr>
          <w:ilvl w:val="0"/>
          <w:numId w:val="43"/>
        </w:numPr>
        <w:rPr>
          <w:rFonts w:ascii="Arial" w:hAnsi="Arial" w:cs="Arial"/>
          <w:sz w:val="24"/>
        </w:rPr>
      </w:pPr>
      <w:r w:rsidRPr="00193DC5">
        <w:rPr>
          <w:rFonts w:ascii="Arial" w:hAnsi="Arial" w:cs="Arial"/>
          <w:sz w:val="24"/>
        </w:rPr>
        <w:t>In 2017–18, 1 in 10 people affected by incidents of family violence were aged 10–19</w:t>
      </w:r>
    </w:p>
    <w:p w14:paraId="042EF34C" w14:textId="77777777" w:rsidR="00D66D19" w:rsidRPr="00D66D19" w:rsidRDefault="00193DC5" w:rsidP="00193DC5">
      <w:pPr>
        <w:pStyle w:val="ListParagraph"/>
        <w:numPr>
          <w:ilvl w:val="0"/>
          <w:numId w:val="43"/>
        </w:numPr>
        <w:rPr>
          <w:rFonts w:ascii="Arial" w:hAnsi="Arial" w:cs="Arial"/>
          <w:i/>
        </w:rPr>
      </w:pPr>
      <w:r w:rsidRPr="00193DC5">
        <w:rPr>
          <w:rFonts w:ascii="Arial" w:hAnsi="Arial" w:cs="Arial"/>
          <w:sz w:val="24"/>
        </w:rPr>
        <w:t>Half of all cases within this cohort (50 per cent), involved young women aged 15–19.</w:t>
      </w:r>
    </w:p>
    <w:p w14:paraId="18385E03" w14:textId="77777777" w:rsidR="00D66D19" w:rsidRDefault="00D66D19" w:rsidP="00D66D19">
      <w:pPr>
        <w:rPr>
          <w:rFonts w:ascii="Arial" w:hAnsi="Arial" w:cs="Arial"/>
          <w:i/>
        </w:rPr>
      </w:pPr>
      <w:r w:rsidRPr="00D66D19">
        <w:rPr>
          <w:rFonts w:ascii="Arial" w:hAnsi="Arial" w:cs="Arial"/>
          <w:i/>
          <w:sz w:val="24"/>
        </w:rPr>
        <w:t>Source: Crime Statistics Agency, 2017-2018</w:t>
      </w:r>
    </w:p>
    <w:p w14:paraId="457B63CB" w14:textId="77777777" w:rsidR="00C83539" w:rsidRDefault="00C83539" w:rsidP="00C66152">
      <w:pPr>
        <w:pStyle w:val="Heading2"/>
      </w:pPr>
      <w:r w:rsidRPr="0078464D">
        <w:rPr>
          <w:color w:val="auto"/>
        </w:rPr>
        <w:t>Family conflict</w:t>
      </w:r>
    </w:p>
    <w:p w14:paraId="29B04042" w14:textId="77777777" w:rsidR="004756D3" w:rsidRDefault="004756D3" w:rsidP="004756D3">
      <w:pPr>
        <w:rPr>
          <w:rFonts w:ascii="Arial" w:hAnsi="Arial" w:cs="Arial"/>
          <w:i/>
        </w:rPr>
      </w:pPr>
      <w:r w:rsidRPr="004756D3">
        <w:rPr>
          <w:rFonts w:ascii="Arial" w:hAnsi="Arial" w:cs="Arial"/>
          <w:i/>
          <w:sz w:val="24"/>
        </w:rPr>
        <w:t>While conflict with family members can be a normal part of adolescent social development, serious family conflict can contribute to poorer physical and mental health outcomes.</w:t>
      </w:r>
    </w:p>
    <w:p w14:paraId="699DF1D3" w14:textId="77777777" w:rsidR="00801910" w:rsidRPr="00801910" w:rsidRDefault="00801910" w:rsidP="00801910">
      <w:pPr>
        <w:pStyle w:val="ListParagraph"/>
        <w:numPr>
          <w:ilvl w:val="0"/>
          <w:numId w:val="43"/>
        </w:numPr>
        <w:rPr>
          <w:rFonts w:ascii="Arial" w:hAnsi="Arial" w:cs="Arial"/>
          <w:sz w:val="24"/>
        </w:rPr>
      </w:pPr>
      <w:r w:rsidRPr="00801910">
        <w:rPr>
          <w:rFonts w:ascii="Arial" w:hAnsi="Arial" w:cs="Arial"/>
          <w:sz w:val="24"/>
        </w:rPr>
        <w:t>Around 1 in 3 Year 8 and Year 11 students reported an experience of serious family conflict in 2018.</w:t>
      </w:r>
    </w:p>
    <w:p w14:paraId="6B53214A" w14:textId="340BB768" w:rsidR="00801910" w:rsidRPr="00801910" w:rsidRDefault="00801910" w:rsidP="00801910">
      <w:pPr>
        <w:pStyle w:val="ListParagraph"/>
        <w:numPr>
          <w:ilvl w:val="0"/>
          <w:numId w:val="43"/>
        </w:numPr>
        <w:rPr>
          <w:rFonts w:ascii="Arial" w:hAnsi="Arial" w:cs="Arial"/>
          <w:i/>
        </w:rPr>
      </w:pPr>
      <w:r w:rsidRPr="00801910">
        <w:rPr>
          <w:rFonts w:ascii="Arial" w:hAnsi="Arial" w:cs="Arial"/>
          <w:sz w:val="24"/>
        </w:rPr>
        <w:t xml:space="preserve">Conflicts were more likely to be reported by </w:t>
      </w:r>
      <w:r w:rsidR="00FC1FF6">
        <w:rPr>
          <w:rFonts w:ascii="Arial" w:hAnsi="Arial" w:cs="Arial"/>
          <w:sz w:val="24"/>
        </w:rPr>
        <w:t>girls</w:t>
      </w:r>
      <w:r w:rsidRPr="00801910">
        <w:rPr>
          <w:rFonts w:ascii="Arial" w:hAnsi="Arial" w:cs="Arial"/>
          <w:sz w:val="24"/>
        </w:rPr>
        <w:t xml:space="preserve"> and young people in one-parent families.</w:t>
      </w:r>
    </w:p>
    <w:p w14:paraId="6F30F476" w14:textId="77777777" w:rsidR="00321EFB" w:rsidRPr="00321EFB" w:rsidRDefault="00083FA3" w:rsidP="00321EFB">
      <w:pPr>
        <w:rPr>
          <w:rFonts w:ascii="Arial" w:hAnsi="Arial" w:cs="Arial"/>
          <w:i/>
        </w:rPr>
      </w:pPr>
      <w:r w:rsidRPr="00321EFB">
        <w:rPr>
          <w:rFonts w:ascii="Arial" w:hAnsi="Arial" w:cs="Arial"/>
          <w:i/>
        </w:rPr>
        <w:br w:type="page"/>
      </w:r>
    </w:p>
    <w:tbl>
      <w:tblPr>
        <w:tblStyle w:val="TableGrid"/>
        <w:tblW w:w="0" w:type="auto"/>
        <w:tblLook w:val="04A0" w:firstRow="1" w:lastRow="0" w:firstColumn="1" w:lastColumn="0" w:noHBand="0" w:noVBand="1"/>
        <w:tblDescription w:val="This table shows the proportion of Year 8 and 11 students reporting family conflict by selected family characteristics, 2018"/>
      </w:tblPr>
      <w:tblGrid>
        <w:gridCol w:w="1141"/>
        <w:gridCol w:w="1111"/>
        <w:gridCol w:w="1128"/>
        <w:gridCol w:w="1128"/>
        <w:gridCol w:w="1122"/>
        <w:gridCol w:w="1164"/>
        <w:gridCol w:w="1111"/>
        <w:gridCol w:w="1111"/>
      </w:tblGrid>
      <w:tr w:rsidR="00321EFB" w:rsidRPr="007B15C3" w14:paraId="3AF01BDC" w14:textId="77777777" w:rsidTr="007B15C3">
        <w:trPr>
          <w:tblHeader/>
        </w:trPr>
        <w:tc>
          <w:tcPr>
            <w:tcW w:w="1155" w:type="dxa"/>
          </w:tcPr>
          <w:p w14:paraId="441F5851" w14:textId="77777777" w:rsidR="00321EFB" w:rsidRPr="007B15C3" w:rsidRDefault="00321EFB" w:rsidP="00321EFB">
            <w:pPr>
              <w:rPr>
                <w:rFonts w:ascii="Arial" w:hAnsi="Arial" w:cs="Arial"/>
                <w:sz w:val="24"/>
              </w:rPr>
            </w:pPr>
            <w:r w:rsidRPr="007B15C3">
              <w:rPr>
                <w:rFonts w:ascii="Arial" w:hAnsi="Arial" w:cs="Arial"/>
                <w:sz w:val="24"/>
              </w:rPr>
              <w:lastRenderedPageBreak/>
              <w:t>Female</w:t>
            </w:r>
          </w:p>
        </w:tc>
        <w:tc>
          <w:tcPr>
            <w:tcW w:w="1153" w:type="dxa"/>
          </w:tcPr>
          <w:p w14:paraId="018BE23D" w14:textId="77777777" w:rsidR="00321EFB" w:rsidRPr="007B15C3" w:rsidRDefault="00321EFB" w:rsidP="00321EFB">
            <w:pPr>
              <w:rPr>
                <w:rFonts w:ascii="Arial" w:hAnsi="Arial" w:cs="Arial"/>
                <w:sz w:val="24"/>
              </w:rPr>
            </w:pPr>
            <w:r w:rsidRPr="007B15C3">
              <w:rPr>
                <w:rFonts w:ascii="Arial" w:hAnsi="Arial" w:cs="Arial"/>
                <w:sz w:val="24"/>
              </w:rPr>
              <w:t>Male</w:t>
            </w:r>
          </w:p>
        </w:tc>
        <w:tc>
          <w:tcPr>
            <w:tcW w:w="1154" w:type="dxa"/>
          </w:tcPr>
          <w:p w14:paraId="6E72E439" w14:textId="77777777" w:rsidR="00321EFB" w:rsidRPr="007B15C3" w:rsidRDefault="00321EFB" w:rsidP="00321EFB">
            <w:pPr>
              <w:rPr>
                <w:rFonts w:ascii="Arial" w:hAnsi="Arial" w:cs="Arial"/>
                <w:sz w:val="24"/>
              </w:rPr>
            </w:pPr>
            <w:r w:rsidRPr="007B15C3">
              <w:rPr>
                <w:rFonts w:ascii="Arial" w:hAnsi="Arial" w:cs="Arial"/>
                <w:sz w:val="24"/>
              </w:rPr>
              <w:t>Two-parent</w:t>
            </w:r>
          </w:p>
        </w:tc>
        <w:tc>
          <w:tcPr>
            <w:tcW w:w="1154" w:type="dxa"/>
          </w:tcPr>
          <w:p w14:paraId="48AA4309" w14:textId="77777777" w:rsidR="00321EFB" w:rsidRPr="007B15C3" w:rsidRDefault="00321EFB" w:rsidP="00321EFB">
            <w:pPr>
              <w:rPr>
                <w:rFonts w:ascii="Arial" w:hAnsi="Arial" w:cs="Arial"/>
                <w:sz w:val="24"/>
              </w:rPr>
            </w:pPr>
            <w:r w:rsidRPr="007B15C3">
              <w:rPr>
                <w:rFonts w:ascii="Arial" w:hAnsi="Arial" w:cs="Arial"/>
                <w:sz w:val="24"/>
              </w:rPr>
              <w:t>One-parent</w:t>
            </w:r>
          </w:p>
        </w:tc>
        <w:tc>
          <w:tcPr>
            <w:tcW w:w="1154" w:type="dxa"/>
          </w:tcPr>
          <w:p w14:paraId="46DA9E0A" w14:textId="77777777" w:rsidR="00321EFB" w:rsidRPr="007B15C3" w:rsidRDefault="00321EFB" w:rsidP="00321EFB">
            <w:pPr>
              <w:rPr>
                <w:rFonts w:ascii="Arial" w:hAnsi="Arial" w:cs="Arial"/>
                <w:sz w:val="24"/>
              </w:rPr>
            </w:pPr>
            <w:r w:rsidRPr="007B15C3">
              <w:rPr>
                <w:rFonts w:ascii="Arial" w:hAnsi="Arial" w:cs="Arial"/>
                <w:sz w:val="24"/>
              </w:rPr>
              <w:t>Metro</w:t>
            </w:r>
          </w:p>
        </w:tc>
        <w:tc>
          <w:tcPr>
            <w:tcW w:w="1164" w:type="dxa"/>
          </w:tcPr>
          <w:p w14:paraId="4BEDC371" w14:textId="77777777" w:rsidR="00321EFB" w:rsidRPr="007B15C3" w:rsidRDefault="00321EFB" w:rsidP="00321EFB">
            <w:pPr>
              <w:rPr>
                <w:rFonts w:ascii="Arial" w:hAnsi="Arial" w:cs="Arial"/>
                <w:sz w:val="24"/>
              </w:rPr>
            </w:pPr>
            <w:r w:rsidRPr="007B15C3">
              <w:rPr>
                <w:rFonts w:ascii="Arial" w:hAnsi="Arial" w:cs="Arial"/>
                <w:sz w:val="24"/>
              </w:rPr>
              <w:t>Regional</w:t>
            </w:r>
          </w:p>
        </w:tc>
        <w:tc>
          <w:tcPr>
            <w:tcW w:w="1154" w:type="dxa"/>
          </w:tcPr>
          <w:p w14:paraId="7B6FAFC5" w14:textId="77777777" w:rsidR="00321EFB" w:rsidRPr="007B15C3" w:rsidRDefault="00321EFB" w:rsidP="00321EFB">
            <w:pPr>
              <w:rPr>
                <w:rFonts w:ascii="Arial" w:hAnsi="Arial" w:cs="Arial"/>
                <w:sz w:val="24"/>
              </w:rPr>
            </w:pPr>
            <w:r w:rsidRPr="007B15C3">
              <w:rPr>
                <w:rFonts w:ascii="Arial" w:hAnsi="Arial" w:cs="Arial"/>
                <w:sz w:val="24"/>
              </w:rPr>
              <w:t>Year 8</w:t>
            </w:r>
          </w:p>
        </w:tc>
        <w:tc>
          <w:tcPr>
            <w:tcW w:w="1154" w:type="dxa"/>
          </w:tcPr>
          <w:p w14:paraId="06B72416" w14:textId="77777777" w:rsidR="00321EFB" w:rsidRPr="007B15C3" w:rsidRDefault="00321EFB" w:rsidP="00321EFB">
            <w:pPr>
              <w:rPr>
                <w:rFonts w:ascii="Arial" w:hAnsi="Arial" w:cs="Arial"/>
                <w:sz w:val="24"/>
              </w:rPr>
            </w:pPr>
            <w:r w:rsidRPr="007B15C3">
              <w:rPr>
                <w:rFonts w:ascii="Arial" w:hAnsi="Arial" w:cs="Arial"/>
                <w:sz w:val="24"/>
              </w:rPr>
              <w:t>Year 11</w:t>
            </w:r>
          </w:p>
        </w:tc>
      </w:tr>
      <w:tr w:rsidR="00321EFB" w:rsidRPr="007B15C3" w14:paraId="59388B84" w14:textId="77777777" w:rsidTr="007B15C3">
        <w:tc>
          <w:tcPr>
            <w:tcW w:w="1155" w:type="dxa"/>
          </w:tcPr>
          <w:p w14:paraId="2869A5C8" w14:textId="77777777" w:rsidR="00321EFB" w:rsidRPr="007B15C3" w:rsidRDefault="00321EFB" w:rsidP="00321EFB">
            <w:pPr>
              <w:rPr>
                <w:rFonts w:ascii="Arial" w:hAnsi="Arial" w:cs="Arial"/>
                <w:sz w:val="24"/>
              </w:rPr>
            </w:pPr>
            <w:r w:rsidRPr="007B15C3">
              <w:rPr>
                <w:rFonts w:ascii="Arial" w:hAnsi="Arial" w:cs="Arial"/>
                <w:sz w:val="24"/>
              </w:rPr>
              <w:t>35%</w:t>
            </w:r>
          </w:p>
        </w:tc>
        <w:tc>
          <w:tcPr>
            <w:tcW w:w="1153" w:type="dxa"/>
          </w:tcPr>
          <w:p w14:paraId="7809C1D8" w14:textId="77777777" w:rsidR="00321EFB" w:rsidRPr="007B15C3" w:rsidRDefault="00321EFB" w:rsidP="00321EFB">
            <w:pPr>
              <w:rPr>
                <w:rFonts w:ascii="Arial" w:hAnsi="Arial" w:cs="Arial"/>
                <w:sz w:val="24"/>
              </w:rPr>
            </w:pPr>
            <w:r w:rsidRPr="007B15C3">
              <w:rPr>
                <w:rFonts w:ascii="Arial" w:hAnsi="Arial" w:cs="Arial"/>
                <w:sz w:val="24"/>
              </w:rPr>
              <w:t>27%</w:t>
            </w:r>
          </w:p>
        </w:tc>
        <w:tc>
          <w:tcPr>
            <w:tcW w:w="1154" w:type="dxa"/>
          </w:tcPr>
          <w:p w14:paraId="295E73A8" w14:textId="77777777" w:rsidR="00321EFB" w:rsidRPr="007B15C3" w:rsidRDefault="00321EFB" w:rsidP="00321EFB">
            <w:pPr>
              <w:rPr>
                <w:rFonts w:ascii="Arial" w:hAnsi="Arial" w:cs="Arial"/>
                <w:sz w:val="24"/>
              </w:rPr>
            </w:pPr>
            <w:r w:rsidRPr="007B15C3">
              <w:rPr>
                <w:rFonts w:ascii="Arial" w:hAnsi="Arial" w:cs="Arial"/>
                <w:sz w:val="24"/>
              </w:rPr>
              <w:t>31%</w:t>
            </w:r>
          </w:p>
        </w:tc>
        <w:tc>
          <w:tcPr>
            <w:tcW w:w="1154" w:type="dxa"/>
          </w:tcPr>
          <w:p w14:paraId="2787B4FF" w14:textId="77777777" w:rsidR="00321EFB" w:rsidRPr="007B15C3" w:rsidRDefault="00321EFB" w:rsidP="00321EFB">
            <w:pPr>
              <w:rPr>
                <w:rFonts w:ascii="Arial" w:hAnsi="Arial" w:cs="Arial"/>
                <w:sz w:val="24"/>
              </w:rPr>
            </w:pPr>
            <w:r w:rsidRPr="007B15C3">
              <w:rPr>
                <w:rFonts w:ascii="Arial" w:hAnsi="Arial" w:cs="Arial"/>
                <w:sz w:val="24"/>
              </w:rPr>
              <w:t>43%</w:t>
            </w:r>
          </w:p>
        </w:tc>
        <w:tc>
          <w:tcPr>
            <w:tcW w:w="1154" w:type="dxa"/>
          </w:tcPr>
          <w:p w14:paraId="1C37609F" w14:textId="77777777" w:rsidR="00321EFB" w:rsidRPr="007B15C3" w:rsidRDefault="00321EFB" w:rsidP="00321EFB">
            <w:pPr>
              <w:rPr>
                <w:rFonts w:ascii="Arial" w:hAnsi="Arial" w:cs="Arial"/>
                <w:sz w:val="24"/>
              </w:rPr>
            </w:pPr>
            <w:r w:rsidRPr="007B15C3">
              <w:rPr>
                <w:rFonts w:ascii="Arial" w:hAnsi="Arial" w:cs="Arial"/>
                <w:sz w:val="24"/>
              </w:rPr>
              <w:t>32%</w:t>
            </w:r>
          </w:p>
        </w:tc>
        <w:tc>
          <w:tcPr>
            <w:tcW w:w="1164" w:type="dxa"/>
          </w:tcPr>
          <w:p w14:paraId="13828044" w14:textId="77777777" w:rsidR="00321EFB" w:rsidRPr="007B15C3" w:rsidRDefault="00321EFB" w:rsidP="00321EFB">
            <w:pPr>
              <w:rPr>
                <w:rFonts w:ascii="Arial" w:hAnsi="Arial" w:cs="Arial"/>
                <w:sz w:val="24"/>
              </w:rPr>
            </w:pPr>
            <w:r w:rsidRPr="007B15C3">
              <w:rPr>
                <w:rFonts w:ascii="Arial" w:hAnsi="Arial" w:cs="Arial"/>
                <w:sz w:val="24"/>
              </w:rPr>
              <w:t>31%</w:t>
            </w:r>
          </w:p>
        </w:tc>
        <w:tc>
          <w:tcPr>
            <w:tcW w:w="1154" w:type="dxa"/>
          </w:tcPr>
          <w:p w14:paraId="107F75A4" w14:textId="77777777" w:rsidR="00321EFB" w:rsidRPr="007B15C3" w:rsidRDefault="00321EFB" w:rsidP="00321EFB">
            <w:pPr>
              <w:rPr>
                <w:rFonts w:ascii="Arial" w:hAnsi="Arial" w:cs="Arial"/>
                <w:sz w:val="24"/>
              </w:rPr>
            </w:pPr>
            <w:r w:rsidRPr="007B15C3">
              <w:rPr>
                <w:rFonts w:ascii="Arial" w:hAnsi="Arial" w:cs="Arial"/>
                <w:sz w:val="24"/>
              </w:rPr>
              <w:t>29%</w:t>
            </w:r>
          </w:p>
        </w:tc>
        <w:tc>
          <w:tcPr>
            <w:tcW w:w="1154" w:type="dxa"/>
          </w:tcPr>
          <w:p w14:paraId="04D0CC41" w14:textId="77777777" w:rsidR="00321EFB" w:rsidRPr="007B15C3" w:rsidRDefault="00321EFB" w:rsidP="00321EFB">
            <w:pPr>
              <w:rPr>
                <w:rFonts w:ascii="Arial" w:hAnsi="Arial" w:cs="Arial"/>
                <w:sz w:val="24"/>
              </w:rPr>
            </w:pPr>
            <w:r w:rsidRPr="007B15C3">
              <w:rPr>
                <w:rFonts w:ascii="Arial" w:hAnsi="Arial" w:cs="Arial"/>
                <w:sz w:val="24"/>
              </w:rPr>
              <w:t>35%</w:t>
            </w:r>
          </w:p>
        </w:tc>
      </w:tr>
    </w:tbl>
    <w:p w14:paraId="694D1FBE" w14:textId="77777777" w:rsidR="00083FA3" w:rsidRPr="007B15C3" w:rsidRDefault="007B15C3" w:rsidP="00321EFB">
      <w:pPr>
        <w:rPr>
          <w:rFonts w:ascii="Arial" w:hAnsi="Arial" w:cs="Arial"/>
          <w:i/>
          <w:sz w:val="24"/>
        </w:rPr>
      </w:pPr>
      <w:r w:rsidRPr="007B15C3">
        <w:rPr>
          <w:rFonts w:ascii="Arial" w:hAnsi="Arial" w:cs="Arial"/>
          <w:i/>
          <w:sz w:val="24"/>
        </w:rPr>
        <w:t>Source: Victorian Student Health and Wellbeing Survey 2018</w:t>
      </w:r>
    </w:p>
    <w:p w14:paraId="4EC79F3A" w14:textId="77777777" w:rsidR="00C83539" w:rsidRPr="00A748B9" w:rsidRDefault="00A748B9" w:rsidP="00C66152">
      <w:pPr>
        <w:pStyle w:val="Heading2"/>
      </w:pPr>
      <w:r w:rsidRPr="0078464D">
        <w:rPr>
          <w:color w:val="auto"/>
        </w:rPr>
        <w:t>Local safety</w:t>
      </w:r>
    </w:p>
    <w:p w14:paraId="5B3460CA" w14:textId="77777777" w:rsidR="00A748B9" w:rsidRPr="00A748B9" w:rsidRDefault="00A748B9" w:rsidP="00A748B9">
      <w:pPr>
        <w:rPr>
          <w:rFonts w:ascii="Arial" w:hAnsi="Arial" w:cs="Arial"/>
          <w:i/>
          <w:sz w:val="24"/>
          <w:szCs w:val="24"/>
        </w:rPr>
      </w:pPr>
      <w:r w:rsidRPr="00A748B9">
        <w:rPr>
          <w:rFonts w:ascii="Arial" w:hAnsi="Arial" w:cs="Arial"/>
          <w:i/>
          <w:sz w:val="24"/>
          <w:szCs w:val="24"/>
        </w:rPr>
        <w:t>Risks to a young person’s safety expand from familial to community contexts during adolescence. Neighbourhood safety is a substantial factor in shaping the likelihood that an adolescent will be a victim or become involved in anti-social or illegal activity.</w:t>
      </w:r>
    </w:p>
    <w:p w14:paraId="037214BB" w14:textId="77777777" w:rsidR="007B15C3" w:rsidRPr="00A748B9" w:rsidRDefault="00A748B9" w:rsidP="00A748B9">
      <w:pPr>
        <w:pStyle w:val="ListParagraph"/>
        <w:numPr>
          <w:ilvl w:val="0"/>
          <w:numId w:val="44"/>
        </w:numPr>
        <w:rPr>
          <w:rFonts w:ascii="Arial" w:hAnsi="Arial" w:cs="Arial"/>
        </w:rPr>
      </w:pPr>
      <w:r w:rsidRPr="00A748B9">
        <w:rPr>
          <w:rFonts w:ascii="Arial" w:hAnsi="Arial" w:cs="Arial"/>
          <w:sz w:val="24"/>
          <w:szCs w:val="24"/>
        </w:rPr>
        <w:t xml:space="preserve">In 2018, almost 9 in 10 Year 8 and Year 11 students reported that they felt safe in their local </w:t>
      </w:r>
      <w:proofErr w:type="spellStart"/>
      <w:r w:rsidRPr="00A748B9">
        <w:rPr>
          <w:rFonts w:ascii="Arial" w:hAnsi="Arial" w:cs="Arial"/>
          <w:sz w:val="24"/>
          <w:szCs w:val="24"/>
        </w:rPr>
        <w:t>neighbourhood</w:t>
      </w:r>
      <w:proofErr w:type="spellEnd"/>
      <w:r w:rsidRPr="00A748B9">
        <w:rPr>
          <w:rFonts w:ascii="Arial" w:hAnsi="Arial" w:cs="Arial"/>
        </w:rPr>
        <w:t>.</w:t>
      </w:r>
    </w:p>
    <w:p w14:paraId="4A91FA43" w14:textId="77777777" w:rsidR="00A748B9" w:rsidRPr="00A748B9" w:rsidRDefault="00A748B9" w:rsidP="00A748B9">
      <w:pPr>
        <w:rPr>
          <w:rFonts w:ascii="Arial" w:hAnsi="Arial" w:cs="Arial"/>
          <w:i/>
          <w:sz w:val="24"/>
        </w:rPr>
      </w:pPr>
      <w:r w:rsidRPr="00A748B9">
        <w:rPr>
          <w:rFonts w:ascii="Arial" w:hAnsi="Arial" w:cs="Arial"/>
          <w:i/>
          <w:sz w:val="24"/>
        </w:rPr>
        <w:t>Source: Victorian Student Health and Wellbeing Survey 2018</w:t>
      </w:r>
    </w:p>
    <w:p w14:paraId="5D3ABC3F" w14:textId="77777777" w:rsidR="00A748B9" w:rsidRDefault="00A748B9" w:rsidP="00C66152">
      <w:pPr>
        <w:pStyle w:val="Heading2"/>
      </w:pPr>
      <w:r w:rsidRPr="0078464D">
        <w:rPr>
          <w:color w:val="auto"/>
        </w:rPr>
        <w:t>Adolescents in care services</w:t>
      </w:r>
    </w:p>
    <w:p w14:paraId="3154A9E9" w14:textId="77777777" w:rsidR="00A748B9" w:rsidRPr="0091248B" w:rsidRDefault="0091248B" w:rsidP="0091248B">
      <w:pPr>
        <w:rPr>
          <w:rFonts w:ascii="Arial" w:eastAsiaTheme="majorEastAsia" w:hAnsi="Arial" w:cs="Arial"/>
          <w:bCs/>
          <w:i/>
          <w:sz w:val="24"/>
          <w:szCs w:val="26"/>
        </w:rPr>
      </w:pPr>
      <w:r w:rsidRPr="0091248B">
        <w:rPr>
          <w:rFonts w:ascii="Arial" w:eastAsiaTheme="majorEastAsia" w:hAnsi="Arial" w:cs="Arial"/>
          <w:bCs/>
          <w:i/>
          <w:sz w:val="24"/>
          <w:szCs w:val="26"/>
        </w:rPr>
        <w:t>For children who cannot reside safely with their parents, care services can provide a turning point by providing stable and secure care, new opportunities and extra supports to help them recover and thrive.</w:t>
      </w:r>
    </w:p>
    <w:p w14:paraId="18070E23" w14:textId="084D3761" w:rsidR="0091248B" w:rsidRPr="001A60A5" w:rsidRDefault="0091248B" w:rsidP="001A60A5">
      <w:pPr>
        <w:pStyle w:val="ListParagraph"/>
        <w:numPr>
          <w:ilvl w:val="0"/>
          <w:numId w:val="44"/>
        </w:numPr>
        <w:rPr>
          <w:rFonts w:ascii="Arial" w:hAnsi="Arial" w:cs="Arial"/>
          <w:sz w:val="24"/>
        </w:rPr>
      </w:pPr>
      <w:r w:rsidRPr="001A60A5">
        <w:rPr>
          <w:rFonts w:ascii="Arial" w:hAnsi="Arial" w:cs="Arial"/>
          <w:sz w:val="24"/>
        </w:rPr>
        <w:t xml:space="preserve">The number of adolescents living in care has nearly doubled over the past </w:t>
      </w:r>
      <w:r w:rsidR="002C2061">
        <w:rPr>
          <w:rFonts w:ascii="Arial" w:hAnsi="Arial" w:cs="Arial"/>
          <w:sz w:val="24"/>
        </w:rPr>
        <w:t>10</w:t>
      </w:r>
      <w:r w:rsidRPr="001A60A5">
        <w:rPr>
          <w:rFonts w:ascii="Arial" w:hAnsi="Arial" w:cs="Arial"/>
          <w:sz w:val="24"/>
        </w:rPr>
        <w:t xml:space="preserve"> years. Most live in home-based care settings rather than residential facilities.</w:t>
      </w:r>
    </w:p>
    <w:p w14:paraId="61B61AEC" w14:textId="77777777" w:rsidR="001A60A5" w:rsidRDefault="001A60A5" w:rsidP="0091248B">
      <w:pPr>
        <w:rPr>
          <w:rFonts w:ascii="Arial" w:hAnsi="Arial" w:cs="Arial"/>
          <w:sz w:val="24"/>
        </w:rPr>
      </w:pPr>
    </w:p>
    <w:p w14:paraId="2233B125" w14:textId="77777777" w:rsidR="001A60A5" w:rsidRDefault="001A60A5" w:rsidP="0091248B">
      <w:pPr>
        <w:rPr>
          <w:rFonts w:ascii="Arial" w:hAnsi="Arial" w:cs="Arial"/>
          <w:sz w:val="24"/>
        </w:rPr>
      </w:pPr>
      <w:r>
        <w:rPr>
          <w:rFonts w:ascii="Arial" w:hAnsi="Arial" w:cs="Arial"/>
          <w:sz w:val="24"/>
        </w:rPr>
        <w:t>Home-based care</w:t>
      </w:r>
    </w:p>
    <w:p w14:paraId="341F9103" w14:textId="77777777" w:rsidR="001A60A5" w:rsidRDefault="001A60A5" w:rsidP="001A60A5">
      <w:pPr>
        <w:pStyle w:val="ListParagraph"/>
        <w:numPr>
          <w:ilvl w:val="0"/>
          <w:numId w:val="44"/>
        </w:numPr>
        <w:rPr>
          <w:rFonts w:ascii="Arial" w:hAnsi="Arial" w:cs="Arial"/>
          <w:sz w:val="24"/>
        </w:rPr>
      </w:pPr>
      <w:r>
        <w:rPr>
          <w:rFonts w:ascii="Arial" w:hAnsi="Arial" w:cs="Arial"/>
          <w:sz w:val="24"/>
        </w:rPr>
        <w:t>1,249 (2008-09)</w:t>
      </w:r>
    </w:p>
    <w:p w14:paraId="3A0AFF40" w14:textId="77777777" w:rsidR="001A60A5" w:rsidRDefault="001A60A5" w:rsidP="001A60A5">
      <w:pPr>
        <w:pStyle w:val="ListParagraph"/>
        <w:numPr>
          <w:ilvl w:val="0"/>
          <w:numId w:val="44"/>
        </w:numPr>
        <w:rPr>
          <w:rFonts w:ascii="Arial" w:hAnsi="Arial" w:cs="Arial"/>
          <w:sz w:val="24"/>
        </w:rPr>
      </w:pPr>
      <w:r>
        <w:rPr>
          <w:rFonts w:ascii="Arial" w:hAnsi="Arial" w:cs="Arial"/>
          <w:sz w:val="24"/>
        </w:rPr>
        <w:t>2,765 (2017-18)</w:t>
      </w:r>
    </w:p>
    <w:p w14:paraId="52EF07F3" w14:textId="77777777" w:rsidR="001A60A5" w:rsidRDefault="001A60A5" w:rsidP="001A60A5">
      <w:pPr>
        <w:rPr>
          <w:rFonts w:ascii="Arial" w:hAnsi="Arial" w:cs="Arial"/>
          <w:sz w:val="24"/>
        </w:rPr>
      </w:pPr>
      <w:r>
        <w:rPr>
          <w:rFonts w:ascii="Arial" w:hAnsi="Arial" w:cs="Arial"/>
          <w:sz w:val="24"/>
        </w:rPr>
        <w:t xml:space="preserve">Residential care </w:t>
      </w:r>
    </w:p>
    <w:p w14:paraId="3710DCFB" w14:textId="77777777" w:rsidR="001A60A5" w:rsidRDefault="001A60A5" w:rsidP="001A60A5">
      <w:pPr>
        <w:pStyle w:val="ListParagraph"/>
        <w:numPr>
          <w:ilvl w:val="0"/>
          <w:numId w:val="44"/>
        </w:numPr>
        <w:rPr>
          <w:rFonts w:ascii="Arial" w:hAnsi="Arial" w:cs="Arial"/>
          <w:sz w:val="24"/>
        </w:rPr>
      </w:pPr>
      <w:r>
        <w:rPr>
          <w:rFonts w:ascii="Arial" w:hAnsi="Arial" w:cs="Arial"/>
          <w:sz w:val="24"/>
        </w:rPr>
        <w:t>366 (2008-09)</w:t>
      </w:r>
    </w:p>
    <w:p w14:paraId="1CFA4BA6" w14:textId="77777777" w:rsidR="001A60A5" w:rsidRDefault="001A60A5" w:rsidP="001A60A5">
      <w:pPr>
        <w:pStyle w:val="ListParagraph"/>
        <w:numPr>
          <w:ilvl w:val="0"/>
          <w:numId w:val="44"/>
        </w:numPr>
        <w:rPr>
          <w:rFonts w:ascii="Arial" w:hAnsi="Arial" w:cs="Arial"/>
          <w:sz w:val="24"/>
        </w:rPr>
      </w:pPr>
      <w:r>
        <w:rPr>
          <w:rFonts w:ascii="Arial" w:hAnsi="Arial" w:cs="Arial"/>
          <w:sz w:val="24"/>
        </w:rPr>
        <w:t>427 (2017-18)</w:t>
      </w:r>
    </w:p>
    <w:p w14:paraId="4934D733" w14:textId="77777777" w:rsidR="001A60A5" w:rsidRPr="00020020" w:rsidRDefault="00020020" w:rsidP="001A60A5">
      <w:pPr>
        <w:rPr>
          <w:rFonts w:ascii="Arial" w:hAnsi="Arial" w:cs="Arial"/>
          <w:i/>
          <w:sz w:val="24"/>
        </w:rPr>
      </w:pPr>
      <w:r w:rsidRPr="00020020">
        <w:rPr>
          <w:rFonts w:ascii="Arial" w:hAnsi="Arial" w:cs="Arial"/>
          <w:i/>
          <w:sz w:val="24"/>
        </w:rPr>
        <w:t>Source: Internal DHHS data</w:t>
      </w:r>
    </w:p>
    <w:p w14:paraId="0B30ACB4" w14:textId="77777777" w:rsidR="001A60A5" w:rsidRPr="001A60A5" w:rsidRDefault="001A60A5" w:rsidP="001A60A5">
      <w:pPr>
        <w:rPr>
          <w:rFonts w:ascii="Arial" w:hAnsi="Arial" w:cs="Arial"/>
          <w:sz w:val="24"/>
        </w:rPr>
      </w:pPr>
    </w:p>
    <w:p w14:paraId="655E1B74" w14:textId="78193353" w:rsidR="00A748B9" w:rsidRDefault="00A748B9" w:rsidP="0091248B">
      <w:pPr>
        <w:rPr>
          <w:rFonts w:ascii="Arial" w:eastAsiaTheme="majorEastAsia" w:hAnsi="Arial" w:cs="Arial"/>
          <w:b/>
          <w:bCs/>
          <w:sz w:val="26"/>
          <w:szCs w:val="26"/>
        </w:rPr>
      </w:pPr>
    </w:p>
    <w:sectPr w:rsidR="00A748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IC Light">
    <w:altName w:val="Arial"/>
    <w:panose1 w:val="000000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IC">
    <w:altName w:val="Arial"/>
    <w:panose1 w:val="00000000000000000000"/>
    <w:charset w:val="00"/>
    <w:family w:val="modern"/>
    <w:notTrueType/>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53B59"/>
    <w:multiLevelType w:val="hybridMultilevel"/>
    <w:tmpl w:val="0F7AF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BF2EB0"/>
    <w:multiLevelType w:val="hybridMultilevel"/>
    <w:tmpl w:val="AA646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2A33AC"/>
    <w:multiLevelType w:val="hybridMultilevel"/>
    <w:tmpl w:val="FFA02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4B6D0E"/>
    <w:multiLevelType w:val="hybridMultilevel"/>
    <w:tmpl w:val="18F85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9B3609"/>
    <w:multiLevelType w:val="hybridMultilevel"/>
    <w:tmpl w:val="65000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7A6B21"/>
    <w:multiLevelType w:val="hybridMultilevel"/>
    <w:tmpl w:val="4606AEF8"/>
    <w:lvl w:ilvl="0" w:tplc="73EC99DA">
      <w:start w:val="83"/>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674D9D"/>
    <w:multiLevelType w:val="hybridMultilevel"/>
    <w:tmpl w:val="8398D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4B66D4"/>
    <w:multiLevelType w:val="hybridMultilevel"/>
    <w:tmpl w:val="382C5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F71B04"/>
    <w:multiLevelType w:val="hybridMultilevel"/>
    <w:tmpl w:val="500C5E2E"/>
    <w:lvl w:ilvl="0" w:tplc="806E688A">
      <w:numFmt w:val="bullet"/>
      <w:lvlText w:val="•"/>
      <w:lvlJc w:val="left"/>
      <w:pPr>
        <w:ind w:left="587" w:hanging="129"/>
      </w:pPr>
      <w:rPr>
        <w:rFonts w:ascii="VIC Light" w:eastAsia="VIC Light" w:hAnsi="VIC Light" w:cs="VIC Light" w:hint="default"/>
        <w:color w:val="FF9E18"/>
        <w:spacing w:val="-4"/>
        <w:w w:val="100"/>
        <w:sz w:val="20"/>
        <w:szCs w:val="20"/>
        <w:lang w:val="en-US" w:eastAsia="en-US" w:bidi="en-US"/>
      </w:rPr>
    </w:lvl>
    <w:lvl w:ilvl="1" w:tplc="DAD4B910">
      <w:numFmt w:val="bullet"/>
      <w:lvlText w:val="•"/>
      <w:lvlJc w:val="left"/>
      <w:pPr>
        <w:ind w:left="1590" w:hanging="129"/>
      </w:pPr>
      <w:rPr>
        <w:rFonts w:hint="default"/>
        <w:lang w:val="en-US" w:eastAsia="en-US" w:bidi="en-US"/>
      </w:rPr>
    </w:lvl>
    <w:lvl w:ilvl="2" w:tplc="3AAC5026">
      <w:numFmt w:val="bullet"/>
      <w:lvlText w:val="•"/>
      <w:lvlJc w:val="left"/>
      <w:pPr>
        <w:ind w:left="2601" w:hanging="129"/>
      </w:pPr>
      <w:rPr>
        <w:rFonts w:hint="default"/>
        <w:lang w:val="en-US" w:eastAsia="en-US" w:bidi="en-US"/>
      </w:rPr>
    </w:lvl>
    <w:lvl w:ilvl="3" w:tplc="384C2A38">
      <w:numFmt w:val="bullet"/>
      <w:lvlText w:val="•"/>
      <w:lvlJc w:val="left"/>
      <w:pPr>
        <w:ind w:left="3611" w:hanging="129"/>
      </w:pPr>
      <w:rPr>
        <w:rFonts w:hint="default"/>
        <w:lang w:val="en-US" w:eastAsia="en-US" w:bidi="en-US"/>
      </w:rPr>
    </w:lvl>
    <w:lvl w:ilvl="4" w:tplc="246CB274">
      <w:numFmt w:val="bullet"/>
      <w:lvlText w:val="•"/>
      <w:lvlJc w:val="left"/>
      <w:pPr>
        <w:ind w:left="4622" w:hanging="129"/>
      </w:pPr>
      <w:rPr>
        <w:rFonts w:hint="default"/>
        <w:lang w:val="en-US" w:eastAsia="en-US" w:bidi="en-US"/>
      </w:rPr>
    </w:lvl>
    <w:lvl w:ilvl="5" w:tplc="7A7A2E18">
      <w:numFmt w:val="bullet"/>
      <w:lvlText w:val="•"/>
      <w:lvlJc w:val="left"/>
      <w:pPr>
        <w:ind w:left="5632" w:hanging="129"/>
      </w:pPr>
      <w:rPr>
        <w:rFonts w:hint="default"/>
        <w:lang w:val="en-US" w:eastAsia="en-US" w:bidi="en-US"/>
      </w:rPr>
    </w:lvl>
    <w:lvl w:ilvl="6" w:tplc="AE58052A">
      <w:numFmt w:val="bullet"/>
      <w:lvlText w:val="•"/>
      <w:lvlJc w:val="left"/>
      <w:pPr>
        <w:ind w:left="6643" w:hanging="129"/>
      </w:pPr>
      <w:rPr>
        <w:rFonts w:hint="default"/>
        <w:lang w:val="en-US" w:eastAsia="en-US" w:bidi="en-US"/>
      </w:rPr>
    </w:lvl>
    <w:lvl w:ilvl="7" w:tplc="58C600BC">
      <w:numFmt w:val="bullet"/>
      <w:lvlText w:val="•"/>
      <w:lvlJc w:val="left"/>
      <w:pPr>
        <w:ind w:left="7653" w:hanging="129"/>
      </w:pPr>
      <w:rPr>
        <w:rFonts w:hint="default"/>
        <w:lang w:val="en-US" w:eastAsia="en-US" w:bidi="en-US"/>
      </w:rPr>
    </w:lvl>
    <w:lvl w:ilvl="8" w:tplc="AB463AAC">
      <w:numFmt w:val="bullet"/>
      <w:lvlText w:val="•"/>
      <w:lvlJc w:val="left"/>
      <w:pPr>
        <w:ind w:left="8664" w:hanging="129"/>
      </w:pPr>
      <w:rPr>
        <w:rFonts w:hint="default"/>
        <w:lang w:val="en-US" w:eastAsia="en-US" w:bidi="en-US"/>
      </w:rPr>
    </w:lvl>
  </w:abstractNum>
  <w:abstractNum w:abstractNumId="9" w15:restartNumberingAfterBreak="0">
    <w:nsid w:val="20632708"/>
    <w:multiLevelType w:val="hybridMultilevel"/>
    <w:tmpl w:val="217A9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762EE1"/>
    <w:multiLevelType w:val="hybridMultilevel"/>
    <w:tmpl w:val="37D8A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8B1C70"/>
    <w:multiLevelType w:val="hybridMultilevel"/>
    <w:tmpl w:val="6D8C1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5B6857"/>
    <w:multiLevelType w:val="hybridMultilevel"/>
    <w:tmpl w:val="E05EF1DE"/>
    <w:lvl w:ilvl="0" w:tplc="73EC99DA">
      <w:start w:val="83"/>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1C4DAF"/>
    <w:multiLevelType w:val="hybridMultilevel"/>
    <w:tmpl w:val="80883E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850630"/>
    <w:multiLevelType w:val="hybridMultilevel"/>
    <w:tmpl w:val="C0B44C86"/>
    <w:lvl w:ilvl="0" w:tplc="73EC99DA">
      <w:start w:val="83"/>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8F3895"/>
    <w:multiLevelType w:val="hybridMultilevel"/>
    <w:tmpl w:val="D03C173E"/>
    <w:lvl w:ilvl="0" w:tplc="73EC99DA">
      <w:start w:val="83"/>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0082874"/>
    <w:multiLevelType w:val="hybridMultilevel"/>
    <w:tmpl w:val="6270F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03D3599"/>
    <w:multiLevelType w:val="hybridMultilevel"/>
    <w:tmpl w:val="A1AE2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0EE196C"/>
    <w:multiLevelType w:val="hybridMultilevel"/>
    <w:tmpl w:val="02C24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BF17E2"/>
    <w:multiLevelType w:val="hybridMultilevel"/>
    <w:tmpl w:val="EDA44B9A"/>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0" w15:restartNumberingAfterBreak="0">
    <w:nsid w:val="44E37670"/>
    <w:multiLevelType w:val="hybridMultilevel"/>
    <w:tmpl w:val="D892DFB8"/>
    <w:lvl w:ilvl="0" w:tplc="73EC99DA">
      <w:start w:val="83"/>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FA06FF"/>
    <w:multiLevelType w:val="hybridMultilevel"/>
    <w:tmpl w:val="7C80D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AEE4D8B"/>
    <w:multiLevelType w:val="hybridMultilevel"/>
    <w:tmpl w:val="1A50E28E"/>
    <w:lvl w:ilvl="0" w:tplc="73EC99DA">
      <w:start w:val="83"/>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ED3DF4"/>
    <w:multiLevelType w:val="hybridMultilevel"/>
    <w:tmpl w:val="A8AC50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0742A7D"/>
    <w:multiLevelType w:val="hybridMultilevel"/>
    <w:tmpl w:val="8A9CF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23B5A0F"/>
    <w:multiLevelType w:val="hybridMultilevel"/>
    <w:tmpl w:val="5200356C"/>
    <w:lvl w:ilvl="0" w:tplc="73EC99DA">
      <w:start w:val="83"/>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526D75D0"/>
    <w:multiLevelType w:val="hybridMultilevel"/>
    <w:tmpl w:val="E3C82EBE"/>
    <w:lvl w:ilvl="0" w:tplc="73EC99DA">
      <w:start w:val="83"/>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0C0621"/>
    <w:multiLevelType w:val="hybridMultilevel"/>
    <w:tmpl w:val="216A2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6D570D9"/>
    <w:multiLevelType w:val="hybridMultilevel"/>
    <w:tmpl w:val="0BCE3B6C"/>
    <w:lvl w:ilvl="0" w:tplc="73EC99DA">
      <w:start w:val="83"/>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D83938"/>
    <w:multiLevelType w:val="hybridMultilevel"/>
    <w:tmpl w:val="D79CF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C5020B5"/>
    <w:multiLevelType w:val="hybridMultilevel"/>
    <w:tmpl w:val="FFAABF1E"/>
    <w:lvl w:ilvl="0" w:tplc="73EC99DA">
      <w:start w:val="83"/>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E59562D"/>
    <w:multiLevelType w:val="hybridMultilevel"/>
    <w:tmpl w:val="7A4048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3C2603"/>
    <w:multiLevelType w:val="hybridMultilevel"/>
    <w:tmpl w:val="E570C0B6"/>
    <w:lvl w:ilvl="0" w:tplc="73EC99DA">
      <w:start w:val="83"/>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EE4B86"/>
    <w:multiLevelType w:val="hybridMultilevel"/>
    <w:tmpl w:val="545A71E4"/>
    <w:lvl w:ilvl="0" w:tplc="73EC99DA">
      <w:start w:val="83"/>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A1B6191"/>
    <w:multiLevelType w:val="hybridMultilevel"/>
    <w:tmpl w:val="868AC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D745D15"/>
    <w:multiLevelType w:val="hybridMultilevel"/>
    <w:tmpl w:val="7666B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D907322"/>
    <w:multiLevelType w:val="hybridMultilevel"/>
    <w:tmpl w:val="7AA0E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F35238E"/>
    <w:multiLevelType w:val="hybridMultilevel"/>
    <w:tmpl w:val="6F3CD75A"/>
    <w:lvl w:ilvl="0" w:tplc="0C090001">
      <w:start w:val="1"/>
      <w:numFmt w:val="bullet"/>
      <w:lvlText w:val=""/>
      <w:lvlJc w:val="left"/>
      <w:pPr>
        <w:ind w:left="6480" w:hanging="360"/>
      </w:pPr>
      <w:rPr>
        <w:rFonts w:ascii="Symbol" w:hAnsi="Symbol" w:hint="default"/>
      </w:rPr>
    </w:lvl>
    <w:lvl w:ilvl="1" w:tplc="0C090003" w:tentative="1">
      <w:start w:val="1"/>
      <w:numFmt w:val="bullet"/>
      <w:lvlText w:val="o"/>
      <w:lvlJc w:val="left"/>
      <w:pPr>
        <w:ind w:left="7200" w:hanging="360"/>
      </w:pPr>
      <w:rPr>
        <w:rFonts w:ascii="Courier New" w:hAnsi="Courier New" w:cs="Courier New" w:hint="default"/>
      </w:rPr>
    </w:lvl>
    <w:lvl w:ilvl="2" w:tplc="0C090005" w:tentative="1">
      <w:start w:val="1"/>
      <w:numFmt w:val="bullet"/>
      <w:lvlText w:val=""/>
      <w:lvlJc w:val="left"/>
      <w:pPr>
        <w:ind w:left="7920" w:hanging="360"/>
      </w:pPr>
      <w:rPr>
        <w:rFonts w:ascii="Wingdings" w:hAnsi="Wingdings" w:hint="default"/>
      </w:rPr>
    </w:lvl>
    <w:lvl w:ilvl="3" w:tplc="0C090001" w:tentative="1">
      <w:start w:val="1"/>
      <w:numFmt w:val="bullet"/>
      <w:lvlText w:val=""/>
      <w:lvlJc w:val="left"/>
      <w:pPr>
        <w:ind w:left="8640" w:hanging="360"/>
      </w:pPr>
      <w:rPr>
        <w:rFonts w:ascii="Symbol" w:hAnsi="Symbol" w:hint="default"/>
      </w:rPr>
    </w:lvl>
    <w:lvl w:ilvl="4" w:tplc="0C090003" w:tentative="1">
      <w:start w:val="1"/>
      <w:numFmt w:val="bullet"/>
      <w:lvlText w:val="o"/>
      <w:lvlJc w:val="left"/>
      <w:pPr>
        <w:ind w:left="9360" w:hanging="360"/>
      </w:pPr>
      <w:rPr>
        <w:rFonts w:ascii="Courier New" w:hAnsi="Courier New" w:cs="Courier New" w:hint="default"/>
      </w:rPr>
    </w:lvl>
    <w:lvl w:ilvl="5" w:tplc="0C090005" w:tentative="1">
      <w:start w:val="1"/>
      <w:numFmt w:val="bullet"/>
      <w:lvlText w:val=""/>
      <w:lvlJc w:val="left"/>
      <w:pPr>
        <w:ind w:left="10080" w:hanging="360"/>
      </w:pPr>
      <w:rPr>
        <w:rFonts w:ascii="Wingdings" w:hAnsi="Wingdings" w:hint="default"/>
      </w:rPr>
    </w:lvl>
    <w:lvl w:ilvl="6" w:tplc="0C090001" w:tentative="1">
      <w:start w:val="1"/>
      <w:numFmt w:val="bullet"/>
      <w:lvlText w:val=""/>
      <w:lvlJc w:val="left"/>
      <w:pPr>
        <w:ind w:left="10800" w:hanging="360"/>
      </w:pPr>
      <w:rPr>
        <w:rFonts w:ascii="Symbol" w:hAnsi="Symbol" w:hint="default"/>
      </w:rPr>
    </w:lvl>
    <w:lvl w:ilvl="7" w:tplc="0C090003" w:tentative="1">
      <w:start w:val="1"/>
      <w:numFmt w:val="bullet"/>
      <w:lvlText w:val="o"/>
      <w:lvlJc w:val="left"/>
      <w:pPr>
        <w:ind w:left="11520" w:hanging="360"/>
      </w:pPr>
      <w:rPr>
        <w:rFonts w:ascii="Courier New" w:hAnsi="Courier New" w:cs="Courier New" w:hint="default"/>
      </w:rPr>
    </w:lvl>
    <w:lvl w:ilvl="8" w:tplc="0C090005" w:tentative="1">
      <w:start w:val="1"/>
      <w:numFmt w:val="bullet"/>
      <w:lvlText w:val=""/>
      <w:lvlJc w:val="left"/>
      <w:pPr>
        <w:ind w:left="12240" w:hanging="360"/>
      </w:pPr>
      <w:rPr>
        <w:rFonts w:ascii="Wingdings" w:hAnsi="Wingdings" w:hint="default"/>
      </w:rPr>
    </w:lvl>
  </w:abstractNum>
  <w:abstractNum w:abstractNumId="38" w15:restartNumberingAfterBreak="0">
    <w:nsid w:val="6FFD7B2C"/>
    <w:multiLevelType w:val="hybridMultilevel"/>
    <w:tmpl w:val="EEA49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02C1CE3"/>
    <w:multiLevelType w:val="hybridMultilevel"/>
    <w:tmpl w:val="B480089A"/>
    <w:lvl w:ilvl="0" w:tplc="73EC99DA">
      <w:start w:val="83"/>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9A91319"/>
    <w:multiLevelType w:val="hybridMultilevel"/>
    <w:tmpl w:val="9F12F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A666AC4"/>
    <w:multiLevelType w:val="hybridMultilevel"/>
    <w:tmpl w:val="46246710"/>
    <w:lvl w:ilvl="0" w:tplc="73EC99DA">
      <w:start w:val="83"/>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C2C6AF6"/>
    <w:multiLevelType w:val="hybridMultilevel"/>
    <w:tmpl w:val="542204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E901C16"/>
    <w:multiLevelType w:val="hybridMultilevel"/>
    <w:tmpl w:val="673CF3BC"/>
    <w:lvl w:ilvl="0" w:tplc="39944B98">
      <w:numFmt w:val="bullet"/>
      <w:lvlText w:val="•"/>
      <w:lvlJc w:val="left"/>
      <w:pPr>
        <w:ind w:left="680" w:hanging="284"/>
      </w:pPr>
      <w:rPr>
        <w:rFonts w:ascii="VIC Light" w:eastAsia="VIC Light" w:hAnsi="VIC Light" w:cs="VIC Light" w:hint="default"/>
        <w:color w:val="F44C7F"/>
        <w:spacing w:val="-4"/>
        <w:w w:val="100"/>
        <w:sz w:val="19"/>
        <w:szCs w:val="19"/>
        <w:lang w:val="en-US" w:eastAsia="en-US" w:bidi="en-US"/>
      </w:rPr>
    </w:lvl>
    <w:lvl w:ilvl="1" w:tplc="9A8EC47C">
      <w:numFmt w:val="bullet"/>
      <w:lvlText w:val="•"/>
      <w:lvlJc w:val="left"/>
      <w:pPr>
        <w:ind w:left="1502" w:hanging="284"/>
      </w:pPr>
      <w:rPr>
        <w:rFonts w:hint="default"/>
        <w:lang w:val="en-US" w:eastAsia="en-US" w:bidi="en-US"/>
      </w:rPr>
    </w:lvl>
    <w:lvl w:ilvl="2" w:tplc="424232C4">
      <w:numFmt w:val="bullet"/>
      <w:lvlText w:val="•"/>
      <w:lvlJc w:val="left"/>
      <w:pPr>
        <w:ind w:left="2324" w:hanging="284"/>
      </w:pPr>
      <w:rPr>
        <w:rFonts w:hint="default"/>
        <w:lang w:val="en-US" w:eastAsia="en-US" w:bidi="en-US"/>
      </w:rPr>
    </w:lvl>
    <w:lvl w:ilvl="3" w:tplc="E57C4C44">
      <w:numFmt w:val="bullet"/>
      <w:lvlText w:val="•"/>
      <w:lvlJc w:val="left"/>
      <w:pPr>
        <w:ind w:left="3146" w:hanging="284"/>
      </w:pPr>
      <w:rPr>
        <w:rFonts w:hint="default"/>
        <w:lang w:val="en-US" w:eastAsia="en-US" w:bidi="en-US"/>
      </w:rPr>
    </w:lvl>
    <w:lvl w:ilvl="4" w:tplc="28E4097C">
      <w:numFmt w:val="bullet"/>
      <w:lvlText w:val="•"/>
      <w:lvlJc w:val="left"/>
      <w:pPr>
        <w:ind w:left="3968" w:hanging="284"/>
      </w:pPr>
      <w:rPr>
        <w:rFonts w:hint="default"/>
        <w:lang w:val="en-US" w:eastAsia="en-US" w:bidi="en-US"/>
      </w:rPr>
    </w:lvl>
    <w:lvl w:ilvl="5" w:tplc="557262B6">
      <w:numFmt w:val="bullet"/>
      <w:lvlText w:val="•"/>
      <w:lvlJc w:val="left"/>
      <w:pPr>
        <w:ind w:left="4790" w:hanging="284"/>
      </w:pPr>
      <w:rPr>
        <w:rFonts w:hint="default"/>
        <w:lang w:val="en-US" w:eastAsia="en-US" w:bidi="en-US"/>
      </w:rPr>
    </w:lvl>
    <w:lvl w:ilvl="6" w:tplc="54C2FAB6">
      <w:numFmt w:val="bullet"/>
      <w:lvlText w:val="•"/>
      <w:lvlJc w:val="left"/>
      <w:pPr>
        <w:ind w:left="5612" w:hanging="284"/>
      </w:pPr>
      <w:rPr>
        <w:rFonts w:hint="default"/>
        <w:lang w:val="en-US" w:eastAsia="en-US" w:bidi="en-US"/>
      </w:rPr>
    </w:lvl>
    <w:lvl w:ilvl="7" w:tplc="D320F51A">
      <w:numFmt w:val="bullet"/>
      <w:lvlText w:val="•"/>
      <w:lvlJc w:val="left"/>
      <w:pPr>
        <w:ind w:left="6434" w:hanging="284"/>
      </w:pPr>
      <w:rPr>
        <w:rFonts w:hint="default"/>
        <w:lang w:val="en-US" w:eastAsia="en-US" w:bidi="en-US"/>
      </w:rPr>
    </w:lvl>
    <w:lvl w:ilvl="8" w:tplc="A3C42B7E">
      <w:numFmt w:val="bullet"/>
      <w:lvlText w:val="•"/>
      <w:lvlJc w:val="left"/>
      <w:pPr>
        <w:ind w:left="7256" w:hanging="284"/>
      </w:pPr>
      <w:rPr>
        <w:rFonts w:hint="default"/>
        <w:lang w:val="en-US" w:eastAsia="en-US" w:bidi="en-US"/>
      </w:rPr>
    </w:lvl>
  </w:abstractNum>
  <w:num w:numId="1">
    <w:abstractNumId w:val="8"/>
  </w:num>
  <w:num w:numId="2">
    <w:abstractNumId w:val="16"/>
  </w:num>
  <w:num w:numId="3">
    <w:abstractNumId w:val="0"/>
  </w:num>
  <w:num w:numId="4">
    <w:abstractNumId w:val="11"/>
  </w:num>
  <w:num w:numId="5">
    <w:abstractNumId w:val="15"/>
  </w:num>
  <w:num w:numId="6">
    <w:abstractNumId w:val="32"/>
  </w:num>
  <w:num w:numId="7">
    <w:abstractNumId w:val="41"/>
  </w:num>
  <w:num w:numId="8">
    <w:abstractNumId w:val="22"/>
  </w:num>
  <w:num w:numId="9">
    <w:abstractNumId w:val="14"/>
  </w:num>
  <w:num w:numId="10">
    <w:abstractNumId w:val="33"/>
  </w:num>
  <w:num w:numId="11">
    <w:abstractNumId w:val="26"/>
  </w:num>
  <w:num w:numId="12">
    <w:abstractNumId w:val="5"/>
  </w:num>
  <w:num w:numId="13">
    <w:abstractNumId w:val="43"/>
  </w:num>
  <w:num w:numId="14">
    <w:abstractNumId w:val="28"/>
  </w:num>
  <w:num w:numId="15">
    <w:abstractNumId w:val="20"/>
  </w:num>
  <w:num w:numId="16">
    <w:abstractNumId w:val="12"/>
  </w:num>
  <w:num w:numId="17">
    <w:abstractNumId w:val="39"/>
  </w:num>
  <w:num w:numId="18">
    <w:abstractNumId w:val="30"/>
  </w:num>
  <w:num w:numId="19">
    <w:abstractNumId w:val="18"/>
  </w:num>
  <w:num w:numId="20">
    <w:abstractNumId w:val="36"/>
  </w:num>
  <w:num w:numId="21">
    <w:abstractNumId w:val="9"/>
  </w:num>
  <w:num w:numId="22">
    <w:abstractNumId w:val="35"/>
  </w:num>
  <w:num w:numId="23">
    <w:abstractNumId w:val="34"/>
  </w:num>
  <w:num w:numId="24">
    <w:abstractNumId w:val="25"/>
  </w:num>
  <w:num w:numId="25">
    <w:abstractNumId w:val="40"/>
  </w:num>
  <w:num w:numId="26">
    <w:abstractNumId w:val="17"/>
  </w:num>
  <w:num w:numId="27">
    <w:abstractNumId w:val="3"/>
  </w:num>
  <w:num w:numId="28">
    <w:abstractNumId w:val="1"/>
  </w:num>
  <w:num w:numId="29">
    <w:abstractNumId w:val="7"/>
  </w:num>
  <w:num w:numId="30">
    <w:abstractNumId w:val="19"/>
  </w:num>
  <w:num w:numId="31">
    <w:abstractNumId w:val="37"/>
  </w:num>
  <w:num w:numId="32">
    <w:abstractNumId w:val="4"/>
  </w:num>
  <w:num w:numId="33">
    <w:abstractNumId w:val="13"/>
  </w:num>
  <w:num w:numId="34">
    <w:abstractNumId w:val="42"/>
  </w:num>
  <w:num w:numId="35">
    <w:abstractNumId w:val="10"/>
  </w:num>
  <w:num w:numId="36">
    <w:abstractNumId w:val="21"/>
  </w:num>
  <w:num w:numId="37">
    <w:abstractNumId w:val="2"/>
  </w:num>
  <w:num w:numId="38">
    <w:abstractNumId w:val="6"/>
  </w:num>
  <w:num w:numId="39">
    <w:abstractNumId w:val="23"/>
  </w:num>
  <w:num w:numId="40">
    <w:abstractNumId w:val="24"/>
  </w:num>
  <w:num w:numId="41">
    <w:abstractNumId w:val="38"/>
  </w:num>
  <w:num w:numId="42">
    <w:abstractNumId w:val="31"/>
  </w:num>
  <w:num w:numId="43">
    <w:abstractNumId w:val="29"/>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8A7"/>
    <w:rsid w:val="00000F88"/>
    <w:rsid w:val="00002A6E"/>
    <w:rsid w:val="0000636F"/>
    <w:rsid w:val="00013743"/>
    <w:rsid w:val="000149AD"/>
    <w:rsid w:val="00020020"/>
    <w:rsid w:val="000226CB"/>
    <w:rsid w:val="00031151"/>
    <w:rsid w:val="00034972"/>
    <w:rsid w:val="000447A3"/>
    <w:rsid w:val="00047FCB"/>
    <w:rsid w:val="00053462"/>
    <w:rsid w:val="00054426"/>
    <w:rsid w:val="00063959"/>
    <w:rsid w:val="00070301"/>
    <w:rsid w:val="0008308F"/>
    <w:rsid w:val="00083D8A"/>
    <w:rsid w:val="00083FA3"/>
    <w:rsid w:val="000A686C"/>
    <w:rsid w:val="000A74EF"/>
    <w:rsid w:val="000B3C1D"/>
    <w:rsid w:val="000B3DED"/>
    <w:rsid w:val="000C0CEA"/>
    <w:rsid w:val="000C207C"/>
    <w:rsid w:val="000C34FE"/>
    <w:rsid w:val="000C56DC"/>
    <w:rsid w:val="000E32C5"/>
    <w:rsid w:val="000E3FDC"/>
    <w:rsid w:val="000E7776"/>
    <w:rsid w:val="000F0B51"/>
    <w:rsid w:val="00101E4D"/>
    <w:rsid w:val="001138B1"/>
    <w:rsid w:val="00114E70"/>
    <w:rsid w:val="00114FCD"/>
    <w:rsid w:val="00115DCA"/>
    <w:rsid w:val="0012306D"/>
    <w:rsid w:val="00130784"/>
    <w:rsid w:val="001315D2"/>
    <w:rsid w:val="00137EA2"/>
    <w:rsid w:val="00142E6F"/>
    <w:rsid w:val="00150CA5"/>
    <w:rsid w:val="00151035"/>
    <w:rsid w:val="00152387"/>
    <w:rsid w:val="00161D0D"/>
    <w:rsid w:val="0016524C"/>
    <w:rsid w:val="00165EB4"/>
    <w:rsid w:val="001749B1"/>
    <w:rsid w:val="00175805"/>
    <w:rsid w:val="0018203F"/>
    <w:rsid w:val="00193DC5"/>
    <w:rsid w:val="001A0988"/>
    <w:rsid w:val="001A5888"/>
    <w:rsid w:val="001A60A5"/>
    <w:rsid w:val="001B4BE3"/>
    <w:rsid w:val="001B63A2"/>
    <w:rsid w:val="001C2193"/>
    <w:rsid w:val="001C3BAE"/>
    <w:rsid w:val="001C7DDF"/>
    <w:rsid w:val="00214EC7"/>
    <w:rsid w:val="00220C16"/>
    <w:rsid w:val="00220DC9"/>
    <w:rsid w:val="00222117"/>
    <w:rsid w:val="0022345D"/>
    <w:rsid w:val="0023508D"/>
    <w:rsid w:val="002505A9"/>
    <w:rsid w:val="00252D77"/>
    <w:rsid w:val="002557F4"/>
    <w:rsid w:val="0026204B"/>
    <w:rsid w:val="00266EB0"/>
    <w:rsid w:val="0027146A"/>
    <w:rsid w:val="002728B2"/>
    <w:rsid w:val="002828A7"/>
    <w:rsid w:val="002841E8"/>
    <w:rsid w:val="00293A5F"/>
    <w:rsid w:val="00293AD9"/>
    <w:rsid w:val="00296661"/>
    <w:rsid w:val="002A1CF9"/>
    <w:rsid w:val="002B1D7F"/>
    <w:rsid w:val="002B21C3"/>
    <w:rsid w:val="002B4D3A"/>
    <w:rsid w:val="002C0C18"/>
    <w:rsid w:val="002C2061"/>
    <w:rsid w:val="002C59FD"/>
    <w:rsid w:val="002D53DB"/>
    <w:rsid w:val="002E4BE9"/>
    <w:rsid w:val="002E53D8"/>
    <w:rsid w:val="002F3BD4"/>
    <w:rsid w:val="003013C6"/>
    <w:rsid w:val="00305A7E"/>
    <w:rsid w:val="0031068F"/>
    <w:rsid w:val="00311814"/>
    <w:rsid w:val="00313A7D"/>
    <w:rsid w:val="00313A89"/>
    <w:rsid w:val="00314F94"/>
    <w:rsid w:val="00316A0D"/>
    <w:rsid w:val="00317D48"/>
    <w:rsid w:val="00321EFB"/>
    <w:rsid w:val="00323C66"/>
    <w:rsid w:val="003268C0"/>
    <w:rsid w:val="00331333"/>
    <w:rsid w:val="003350BE"/>
    <w:rsid w:val="00335A15"/>
    <w:rsid w:val="003406DD"/>
    <w:rsid w:val="00346E08"/>
    <w:rsid w:val="0035150A"/>
    <w:rsid w:val="0035763A"/>
    <w:rsid w:val="00357967"/>
    <w:rsid w:val="0036403D"/>
    <w:rsid w:val="00381BDB"/>
    <w:rsid w:val="0038265D"/>
    <w:rsid w:val="00393D34"/>
    <w:rsid w:val="003A2626"/>
    <w:rsid w:val="003A29E5"/>
    <w:rsid w:val="003B75C8"/>
    <w:rsid w:val="003C374F"/>
    <w:rsid w:val="003C68B5"/>
    <w:rsid w:val="003D1946"/>
    <w:rsid w:val="003D546B"/>
    <w:rsid w:val="003F02BB"/>
    <w:rsid w:val="003F78A3"/>
    <w:rsid w:val="004026A7"/>
    <w:rsid w:val="00414520"/>
    <w:rsid w:val="00417086"/>
    <w:rsid w:val="00420AF4"/>
    <w:rsid w:val="00426F6D"/>
    <w:rsid w:val="00433419"/>
    <w:rsid w:val="00452BD9"/>
    <w:rsid w:val="00462627"/>
    <w:rsid w:val="00467486"/>
    <w:rsid w:val="004756D3"/>
    <w:rsid w:val="004A380A"/>
    <w:rsid w:val="004B2022"/>
    <w:rsid w:val="004B3E2A"/>
    <w:rsid w:val="004B4339"/>
    <w:rsid w:val="004B48A3"/>
    <w:rsid w:val="004B57BD"/>
    <w:rsid w:val="004C5EA5"/>
    <w:rsid w:val="004D5B05"/>
    <w:rsid w:val="004D6D42"/>
    <w:rsid w:val="004E124A"/>
    <w:rsid w:val="004E47C6"/>
    <w:rsid w:val="004E5B53"/>
    <w:rsid w:val="00505C97"/>
    <w:rsid w:val="00513A95"/>
    <w:rsid w:val="005177B7"/>
    <w:rsid w:val="0052060B"/>
    <w:rsid w:val="005207D0"/>
    <w:rsid w:val="0052149B"/>
    <w:rsid w:val="0053062A"/>
    <w:rsid w:val="00531510"/>
    <w:rsid w:val="00540DE5"/>
    <w:rsid w:val="00542309"/>
    <w:rsid w:val="00542684"/>
    <w:rsid w:val="00550A82"/>
    <w:rsid w:val="00554FF7"/>
    <w:rsid w:val="00562290"/>
    <w:rsid w:val="00577952"/>
    <w:rsid w:val="00580F95"/>
    <w:rsid w:val="00582A1F"/>
    <w:rsid w:val="00594B3D"/>
    <w:rsid w:val="00595E88"/>
    <w:rsid w:val="005A313C"/>
    <w:rsid w:val="005B66CD"/>
    <w:rsid w:val="005C2ECB"/>
    <w:rsid w:val="005C71B5"/>
    <w:rsid w:val="005C739D"/>
    <w:rsid w:val="005D44DB"/>
    <w:rsid w:val="005E23C7"/>
    <w:rsid w:val="005F049D"/>
    <w:rsid w:val="005F18C8"/>
    <w:rsid w:val="00622088"/>
    <w:rsid w:val="006222DC"/>
    <w:rsid w:val="00622E48"/>
    <w:rsid w:val="0062794A"/>
    <w:rsid w:val="00632FFF"/>
    <w:rsid w:val="006375EA"/>
    <w:rsid w:val="00642072"/>
    <w:rsid w:val="00644326"/>
    <w:rsid w:val="00644B3B"/>
    <w:rsid w:val="00651C35"/>
    <w:rsid w:val="006619CF"/>
    <w:rsid w:val="00670429"/>
    <w:rsid w:val="006A161F"/>
    <w:rsid w:val="006A299D"/>
    <w:rsid w:val="006A3759"/>
    <w:rsid w:val="006B2762"/>
    <w:rsid w:val="006B5499"/>
    <w:rsid w:val="006C15BF"/>
    <w:rsid w:val="006C1D43"/>
    <w:rsid w:val="006D09F8"/>
    <w:rsid w:val="006D0C21"/>
    <w:rsid w:val="007005E8"/>
    <w:rsid w:val="00702B66"/>
    <w:rsid w:val="00703D76"/>
    <w:rsid w:val="00706EEA"/>
    <w:rsid w:val="007074CA"/>
    <w:rsid w:val="00712419"/>
    <w:rsid w:val="00714310"/>
    <w:rsid w:val="00722400"/>
    <w:rsid w:val="00723798"/>
    <w:rsid w:val="00723FE7"/>
    <w:rsid w:val="007310F3"/>
    <w:rsid w:val="00732521"/>
    <w:rsid w:val="00734375"/>
    <w:rsid w:val="00734F83"/>
    <w:rsid w:val="00736F5C"/>
    <w:rsid w:val="00740B11"/>
    <w:rsid w:val="00744BE2"/>
    <w:rsid w:val="00750938"/>
    <w:rsid w:val="007567FF"/>
    <w:rsid w:val="00763A77"/>
    <w:rsid w:val="00764A5C"/>
    <w:rsid w:val="0076535B"/>
    <w:rsid w:val="00765E38"/>
    <w:rsid w:val="007814DE"/>
    <w:rsid w:val="0078442F"/>
    <w:rsid w:val="0078464D"/>
    <w:rsid w:val="007851FC"/>
    <w:rsid w:val="00785D88"/>
    <w:rsid w:val="007966A7"/>
    <w:rsid w:val="007A3787"/>
    <w:rsid w:val="007A46CE"/>
    <w:rsid w:val="007B0F8F"/>
    <w:rsid w:val="007B15C3"/>
    <w:rsid w:val="007C4E42"/>
    <w:rsid w:val="007D25F1"/>
    <w:rsid w:val="007D3F88"/>
    <w:rsid w:val="007E0972"/>
    <w:rsid w:val="007E1472"/>
    <w:rsid w:val="007E21F5"/>
    <w:rsid w:val="007E3915"/>
    <w:rsid w:val="007E4A16"/>
    <w:rsid w:val="007F065D"/>
    <w:rsid w:val="007F7740"/>
    <w:rsid w:val="008011A3"/>
    <w:rsid w:val="00801910"/>
    <w:rsid w:val="0080474C"/>
    <w:rsid w:val="0080475A"/>
    <w:rsid w:val="00805019"/>
    <w:rsid w:val="00805253"/>
    <w:rsid w:val="0082536A"/>
    <w:rsid w:val="00825B56"/>
    <w:rsid w:val="00830DB5"/>
    <w:rsid w:val="00831DDC"/>
    <w:rsid w:val="008332BC"/>
    <w:rsid w:val="00833F15"/>
    <w:rsid w:val="0083481D"/>
    <w:rsid w:val="00834D24"/>
    <w:rsid w:val="008400F3"/>
    <w:rsid w:val="0084267C"/>
    <w:rsid w:val="0086408B"/>
    <w:rsid w:val="00865AA4"/>
    <w:rsid w:val="00865AAE"/>
    <w:rsid w:val="00872DA7"/>
    <w:rsid w:val="00875BE3"/>
    <w:rsid w:val="00875C5F"/>
    <w:rsid w:val="008976A7"/>
    <w:rsid w:val="008A041D"/>
    <w:rsid w:val="008A13E2"/>
    <w:rsid w:val="008A1822"/>
    <w:rsid w:val="008A37B4"/>
    <w:rsid w:val="008B279A"/>
    <w:rsid w:val="008B39AC"/>
    <w:rsid w:val="008C1198"/>
    <w:rsid w:val="008C6D7D"/>
    <w:rsid w:val="008C6F1C"/>
    <w:rsid w:val="008D1907"/>
    <w:rsid w:val="008E0E48"/>
    <w:rsid w:val="00902EA0"/>
    <w:rsid w:val="009035AC"/>
    <w:rsid w:val="0091248B"/>
    <w:rsid w:val="00912E88"/>
    <w:rsid w:val="0092029E"/>
    <w:rsid w:val="0092229D"/>
    <w:rsid w:val="0092673E"/>
    <w:rsid w:val="0093023F"/>
    <w:rsid w:val="00931428"/>
    <w:rsid w:val="0093434C"/>
    <w:rsid w:val="009374C0"/>
    <w:rsid w:val="00942620"/>
    <w:rsid w:val="00943FB0"/>
    <w:rsid w:val="00947C7D"/>
    <w:rsid w:val="00953430"/>
    <w:rsid w:val="00962223"/>
    <w:rsid w:val="0096521E"/>
    <w:rsid w:val="00980CB2"/>
    <w:rsid w:val="0098163C"/>
    <w:rsid w:val="009878BA"/>
    <w:rsid w:val="009B0760"/>
    <w:rsid w:val="009B136F"/>
    <w:rsid w:val="009B21AE"/>
    <w:rsid w:val="009C1408"/>
    <w:rsid w:val="009C2A29"/>
    <w:rsid w:val="009C4F71"/>
    <w:rsid w:val="009D7D8F"/>
    <w:rsid w:val="009E21F8"/>
    <w:rsid w:val="009E6BC6"/>
    <w:rsid w:val="009F030F"/>
    <w:rsid w:val="009F6AB8"/>
    <w:rsid w:val="00A035FE"/>
    <w:rsid w:val="00A03E05"/>
    <w:rsid w:val="00A07FE9"/>
    <w:rsid w:val="00A102A5"/>
    <w:rsid w:val="00A10936"/>
    <w:rsid w:val="00A17FA8"/>
    <w:rsid w:val="00A20CF5"/>
    <w:rsid w:val="00A218AE"/>
    <w:rsid w:val="00A31FD5"/>
    <w:rsid w:val="00A32463"/>
    <w:rsid w:val="00A43F1A"/>
    <w:rsid w:val="00A43F28"/>
    <w:rsid w:val="00A44837"/>
    <w:rsid w:val="00A46110"/>
    <w:rsid w:val="00A57D7A"/>
    <w:rsid w:val="00A67CDA"/>
    <w:rsid w:val="00A73020"/>
    <w:rsid w:val="00A748B9"/>
    <w:rsid w:val="00A94A5D"/>
    <w:rsid w:val="00AA39EB"/>
    <w:rsid w:val="00AA5101"/>
    <w:rsid w:val="00AA6681"/>
    <w:rsid w:val="00AB057A"/>
    <w:rsid w:val="00AC0805"/>
    <w:rsid w:val="00AD7155"/>
    <w:rsid w:val="00AE108A"/>
    <w:rsid w:val="00AE1BD3"/>
    <w:rsid w:val="00AF3E38"/>
    <w:rsid w:val="00AF677B"/>
    <w:rsid w:val="00B0426D"/>
    <w:rsid w:val="00B04AA9"/>
    <w:rsid w:val="00B05316"/>
    <w:rsid w:val="00B07B7E"/>
    <w:rsid w:val="00B15716"/>
    <w:rsid w:val="00B15919"/>
    <w:rsid w:val="00B17D81"/>
    <w:rsid w:val="00B31BCA"/>
    <w:rsid w:val="00B31DC4"/>
    <w:rsid w:val="00B44903"/>
    <w:rsid w:val="00B467CD"/>
    <w:rsid w:val="00B540DC"/>
    <w:rsid w:val="00B6510D"/>
    <w:rsid w:val="00B653BE"/>
    <w:rsid w:val="00B65C0F"/>
    <w:rsid w:val="00B7319E"/>
    <w:rsid w:val="00B73694"/>
    <w:rsid w:val="00B82B4E"/>
    <w:rsid w:val="00B9145B"/>
    <w:rsid w:val="00BB212E"/>
    <w:rsid w:val="00BB2AC3"/>
    <w:rsid w:val="00BB372B"/>
    <w:rsid w:val="00BB68BA"/>
    <w:rsid w:val="00BC1A7F"/>
    <w:rsid w:val="00BE434E"/>
    <w:rsid w:val="00BE7D0C"/>
    <w:rsid w:val="00C043E4"/>
    <w:rsid w:val="00C123DE"/>
    <w:rsid w:val="00C13DBE"/>
    <w:rsid w:val="00C31280"/>
    <w:rsid w:val="00C375F5"/>
    <w:rsid w:val="00C4217B"/>
    <w:rsid w:val="00C42C5E"/>
    <w:rsid w:val="00C51F76"/>
    <w:rsid w:val="00C66152"/>
    <w:rsid w:val="00C70EA8"/>
    <w:rsid w:val="00C83539"/>
    <w:rsid w:val="00C84289"/>
    <w:rsid w:val="00C95029"/>
    <w:rsid w:val="00CA0BB9"/>
    <w:rsid w:val="00CA65A9"/>
    <w:rsid w:val="00CB05F2"/>
    <w:rsid w:val="00CB1705"/>
    <w:rsid w:val="00CB3C28"/>
    <w:rsid w:val="00CC2354"/>
    <w:rsid w:val="00CC2C48"/>
    <w:rsid w:val="00CC616B"/>
    <w:rsid w:val="00CC6F7D"/>
    <w:rsid w:val="00CD2834"/>
    <w:rsid w:val="00CD51E3"/>
    <w:rsid w:val="00CE1764"/>
    <w:rsid w:val="00CE77CF"/>
    <w:rsid w:val="00CF235D"/>
    <w:rsid w:val="00CF5B43"/>
    <w:rsid w:val="00D00942"/>
    <w:rsid w:val="00D02179"/>
    <w:rsid w:val="00D03606"/>
    <w:rsid w:val="00D07635"/>
    <w:rsid w:val="00D1666E"/>
    <w:rsid w:val="00D17E83"/>
    <w:rsid w:val="00D228E6"/>
    <w:rsid w:val="00D23D00"/>
    <w:rsid w:val="00D241C3"/>
    <w:rsid w:val="00D3195A"/>
    <w:rsid w:val="00D436A8"/>
    <w:rsid w:val="00D4413A"/>
    <w:rsid w:val="00D51351"/>
    <w:rsid w:val="00D65795"/>
    <w:rsid w:val="00D66D19"/>
    <w:rsid w:val="00D735BC"/>
    <w:rsid w:val="00D74B94"/>
    <w:rsid w:val="00D852C5"/>
    <w:rsid w:val="00D929FC"/>
    <w:rsid w:val="00D93787"/>
    <w:rsid w:val="00D96027"/>
    <w:rsid w:val="00D9796B"/>
    <w:rsid w:val="00DA1796"/>
    <w:rsid w:val="00DA3E86"/>
    <w:rsid w:val="00DB26B3"/>
    <w:rsid w:val="00DB2AF4"/>
    <w:rsid w:val="00DB3E3F"/>
    <w:rsid w:val="00DC683D"/>
    <w:rsid w:val="00DD1963"/>
    <w:rsid w:val="00DD25D3"/>
    <w:rsid w:val="00DD64C9"/>
    <w:rsid w:val="00DE691F"/>
    <w:rsid w:val="00DF0289"/>
    <w:rsid w:val="00DF2556"/>
    <w:rsid w:val="00DF593D"/>
    <w:rsid w:val="00E0453C"/>
    <w:rsid w:val="00E066EB"/>
    <w:rsid w:val="00E1133D"/>
    <w:rsid w:val="00E14070"/>
    <w:rsid w:val="00E26553"/>
    <w:rsid w:val="00E27BC2"/>
    <w:rsid w:val="00E42B40"/>
    <w:rsid w:val="00E45E44"/>
    <w:rsid w:val="00E45E75"/>
    <w:rsid w:val="00E4707B"/>
    <w:rsid w:val="00E4730E"/>
    <w:rsid w:val="00E50905"/>
    <w:rsid w:val="00E53F79"/>
    <w:rsid w:val="00E554B3"/>
    <w:rsid w:val="00E55AE1"/>
    <w:rsid w:val="00E575A8"/>
    <w:rsid w:val="00E576D5"/>
    <w:rsid w:val="00E57985"/>
    <w:rsid w:val="00E661FE"/>
    <w:rsid w:val="00E67B98"/>
    <w:rsid w:val="00E70962"/>
    <w:rsid w:val="00E74785"/>
    <w:rsid w:val="00E85D86"/>
    <w:rsid w:val="00E92BA3"/>
    <w:rsid w:val="00E96700"/>
    <w:rsid w:val="00EA0BE1"/>
    <w:rsid w:val="00EA5DD1"/>
    <w:rsid w:val="00EB2264"/>
    <w:rsid w:val="00EB44F6"/>
    <w:rsid w:val="00EC15DB"/>
    <w:rsid w:val="00EC7B84"/>
    <w:rsid w:val="00ED2F56"/>
    <w:rsid w:val="00ED572C"/>
    <w:rsid w:val="00EE76A3"/>
    <w:rsid w:val="00EF2C9D"/>
    <w:rsid w:val="00F00D3C"/>
    <w:rsid w:val="00F0464C"/>
    <w:rsid w:val="00F049FB"/>
    <w:rsid w:val="00F3142B"/>
    <w:rsid w:val="00F31D2C"/>
    <w:rsid w:val="00F32BA5"/>
    <w:rsid w:val="00F37EA4"/>
    <w:rsid w:val="00F43698"/>
    <w:rsid w:val="00F5117F"/>
    <w:rsid w:val="00F53576"/>
    <w:rsid w:val="00F60962"/>
    <w:rsid w:val="00F61E69"/>
    <w:rsid w:val="00F65B28"/>
    <w:rsid w:val="00F70EC2"/>
    <w:rsid w:val="00F839C8"/>
    <w:rsid w:val="00F9602D"/>
    <w:rsid w:val="00FB5305"/>
    <w:rsid w:val="00FB5883"/>
    <w:rsid w:val="00FB6411"/>
    <w:rsid w:val="00FC1FF6"/>
    <w:rsid w:val="00FC582B"/>
    <w:rsid w:val="00FD3805"/>
    <w:rsid w:val="00FD7F43"/>
    <w:rsid w:val="00FE301A"/>
    <w:rsid w:val="00FF1A0B"/>
    <w:rsid w:val="00FF1C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4BF8C"/>
  <w15:docId w15:val="{08876C65-7203-EC46-8F0E-EDD3613EC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A041D"/>
  </w:style>
  <w:style w:type="paragraph" w:styleId="Heading1">
    <w:name w:val="heading 1"/>
    <w:basedOn w:val="Normal"/>
    <w:link w:val="Heading1Char"/>
    <w:uiPriority w:val="1"/>
    <w:qFormat/>
    <w:rsid w:val="002828A7"/>
    <w:pPr>
      <w:widowControl w:val="0"/>
      <w:autoSpaceDE w:val="0"/>
      <w:autoSpaceDN w:val="0"/>
      <w:spacing w:before="49" w:after="0" w:line="240" w:lineRule="auto"/>
      <w:outlineLvl w:val="0"/>
    </w:pPr>
    <w:rPr>
      <w:rFonts w:ascii="VIC Light" w:eastAsia="VIC Light" w:hAnsi="VIC Light" w:cs="VIC Light"/>
      <w:sz w:val="80"/>
      <w:szCs w:val="80"/>
      <w:lang w:val="en-US" w:bidi="en-US"/>
    </w:rPr>
  </w:style>
  <w:style w:type="paragraph" w:styleId="Heading2">
    <w:name w:val="heading 2"/>
    <w:basedOn w:val="Normal"/>
    <w:next w:val="Normal"/>
    <w:link w:val="Heading2Char"/>
    <w:uiPriority w:val="9"/>
    <w:unhideWhenUsed/>
    <w:qFormat/>
    <w:rsid w:val="002234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2345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540D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828A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28A7"/>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1"/>
    <w:rsid w:val="002828A7"/>
    <w:rPr>
      <w:rFonts w:ascii="VIC Light" w:eastAsia="VIC Light" w:hAnsi="VIC Light" w:cs="VIC Light"/>
      <w:sz w:val="80"/>
      <w:szCs w:val="80"/>
      <w:lang w:val="en-US" w:bidi="en-US"/>
    </w:rPr>
  </w:style>
  <w:style w:type="paragraph" w:styleId="BodyText">
    <w:name w:val="Body Text"/>
    <w:basedOn w:val="Normal"/>
    <w:link w:val="BodyTextChar"/>
    <w:uiPriority w:val="1"/>
    <w:qFormat/>
    <w:rsid w:val="002828A7"/>
    <w:pPr>
      <w:widowControl w:val="0"/>
      <w:autoSpaceDE w:val="0"/>
      <w:autoSpaceDN w:val="0"/>
      <w:spacing w:after="0" w:line="240" w:lineRule="auto"/>
    </w:pPr>
    <w:rPr>
      <w:rFonts w:ascii="VIC Light" w:eastAsia="VIC Light" w:hAnsi="VIC Light" w:cs="VIC Light"/>
      <w:sz w:val="20"/>
      <w:szCs w:val="20"/>
      <w:lang w:val="en-US" w:bidi="en-US"/>
    </w:rPr>
  </w:style>
  <w:style w:type="character" w:customStyle="1" w:styleId="BodyTextChar">
    <w:name w:val="Body Text Char"/>
    <w:basedOn w:val="DefaultParagraphFont"/>
    <w:link w:val="BodyText"/>
    <w:uiPriority w:val="1"/>
    <w:rsid w:val="002828A7"/>
    <w:rPr>
      <w:rFonts w:ascii="VIC Light" w:eastAsia="VIC Light" w:hAnsi="VIC Light" w:cs="VIC Light"/>
      <w:sz w:val="20"/>
      <w:szCs w:val="20"/>
      <w:lang w:val="en-US" w:bidi="en-US"/>
    </w:rPr>
  </w:style>
  <w:style w:type="paragraph" w:styleId="ListParagraph">
    <w:name w:val="List Paragraph"/>
    <w:basedOn w:val="Normal"/>
    <w:uiPriority w:val="1"/>
    <w:qFormat/>
    <w:rsid w:val="006375EA"/>
    <w:pPr>
      <w:widowControl w:val="0"/>
      <w:autoSpaceDE w:val="0"/>
      <w:autoSpaceDN w:val="0"/>
      <w:spacing w:before="37" w:after="0" w:line="240" w:lineRule="auto"/>
      <w:ind w:left="1249" w:hanging="284"/>
    </w:pPr>
    <w:rPr>
      <w:rFonts w:ascii="VIC Light" w:eastAsia="VIC Light" w:hAnsi="VIC Light" w:cs="VIC Light"/>
      <w:lang w:val="en-US" w:bidi="en-US"/>
    </w:rPr>
  </w:style>
  <w:style w:type="paragraph" w:styleId="BalloonText">
    <w:name w:val="Balloon Text"/>
    <w:basedOn w:val="Normal"/>
    <w:link w:val="BalloonTextChar"/>
    <w:uiPriority w:val="99"/>
    <w:semiHidden/>
    <w:unhideWhenUsed/>
    <w:rsid w:val="002234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45D"/>
    <w:rPr>
      <w:rFonts w:ascii="Tahoma" w:hAnsi="Tahoma" w:cs="Tahoma"/>
      <w:sz w:val="16"/>
      <w:szCs w:val="16"/>
    </w:rPr>
  </w:style>
  <w:style w:type="character" w:customStyle="1" w:styleId="Heading2Char">
    <w:name w:val="Heading 2 Char"/>
    <w:basedOn w:val="DefaultParagraphFont"/>
    <w:link w:val="Heading2"/>
    <w:uiPriority w:val="9"/>
    <w:rsid w:val="0022345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2345D"/>
    <w:rPr>
      <w:rFonts w:asciiTheme="majorHAnsi" w:eastAsiaTheme="majorEastAsia" w:hAnsiTheme="majorHAnsi" w:cstheme="majorBidi"/>
      <w:b/>
      <w:bCs/>
      <w:color w:val="4F81BD" w:themeColor="accent1"/>
    </w:rPr>
  </w:style>
  <w:style w:type="table" w:styleId="TableGrid">
    <w:name w:val="Table Grid"/>
    <w:basedOn w:val="TableNormal"/>
    <w:uiPriority w:val="59"/>
    <w:rsid w:val="00223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B540DC"/>
    <w:rPr>
      <w:rFonts w:asciiTheme="majorHAnsi" w:eastAsiaTheme="majorEastAsia" w:hAnsiTheme="majorHAnsi" w:cstheme="majorBidi"/>
      <w:b/>
      <w:bCs/>
      <w:i/>
      <w:iCs/>
      <w:color w:val="4F81BD" w:themeColor="accent1"/>
    </w:rPr>
  </w:style>
  <w:style w:type="paragraph" w:customStyle="1" w:styleId="TableParagraph">
    <w:name w:val="Table Paragraph"/>
    <w:basedOn w:val="Normal"/>
    <w:uiPriority w:val="1"/>
    <w:qFormat/>
    <w:rsid w:val="008976A7"/>
    <w:pPr>
      <w:widowControl w:val="0"/>
      <w:autoSpaceDE w:val="0"/>
      <w:autoSpaceDN w:val="0"/>
      <w:spacing w:after="0" w:line="240" w:lineRule="auto"/>
    </w:pPr>
    <w:rPr>
      <w:rFonts w:ascii="VIC" w:eastAsia="VIC" w:hAnsi="VIC" w:cs="VIC"/>
      <w:lang w:val="en-US" w:bidi="en-US"/>
    </w:rPr>
  </w:style>
  <w:style w:type="character" w:styleId="Hyperlink">
    <w:name w:val="Hyperlink"/>
    <w:basedOn w:val="DefaultParagraphFont"/>
    <w:uiPriority w:val="99"/>
    <w:unhideWhenUsed/>
    <w:rsid w:val="00785D88"/>
    <w:rPr>
      <w:color w:val="0000FF" w:themeColor="hyperlink"/>
      <w:u w:val="single"/>
    </w:rPr>
  </w:style>
  <w:style w:type="paragraph" w:styleId="TOCHeading">
    <w:name w:val="TOC Heading"/>
    <w:basedOn w:val="Heading1"/>
    <w:next w:val="Normal"/>
    <w:uiPriority w:val="39"/>
    <w:unhideWhenUsed/>
    <w:qFormat/>
    <w:rsid w:val="007851FC"/>
    <w:pPr>
      <w:keepNext/>
      <w:keepLines/>
      <w:widowControl/>
      <w:autoSpaceDE/>
      <w:autoSpaceDN/>
      <w:spacing w:before="480" w:line="276" w:lineRule="auto"/>
      <w:outlineLvl w:val="9"/>
    </w:pPr>
    <w:rPr>
      <w:rFonts w:asciiTheme="majorHAnsi" w:eastAsiaTheme="majorEastAsia" w:hAnsiTheme="majorHAnsi" w:cstheme="majorBidi"/>
      <w:b/>
      <w:bCs/>
      <w:color w:val="365F91" w:themeColor="accent1" w:themeShade="BF"/>
      <w:sz w:val="28"/>
      <w:szCs w:val="28"/>
      <w:lang w:bidi="ar-SA"/>
    </w:rPr>
  </w:style>
  <w:style w:type="paragraph" w:styleId="TOC1">
    <w:name w:val="toc 1"/>
    <w:basedOn w:val="Normal"/>
    <w:next w:val="Normal"/>
    <w:autoRedefine/>
    <w:uiPriority w:val="39"/>
    <w:unhideWhenUsed/>
    <w:rsid w:val="007851FC"/>
    <w:pPr>
      <w:spacing w:before="120" w:after="120"/>
    </w:pPr>
    <w:rPr>
      <w:rFonts w:cstheme="minorHAnsi"/>
      <w:b/>
      <w:bCs/>
      <w:caps/>
      <w:sz w:val="20"/>
      <w:szCs w:val="20"/>
    </w:rPr>
  </w:style>
  <w:style w:type="paragraph" w:styleId="TOC2">
    <w:name w:val="toc 2"/>
    <w:basedOn w:val="Normal"/>
    <w:next w:val="Normal"/>
    <w:autoRedefine/>
    <w:uiPriority w:val="39"/>
    <w:unhideWhenUsed/>
    <w:rsid w:val="007851FC"/>
    <w:pPr>
      <w:spacing w:after="0"/>
      <w:ind w:left="220"/>
    </w:pPr>
    <w:rPr>
      <w:rFonts w:cstheme="minorHAnsi"/>
      <w:smallCaps/>
      <w:sz w:val="20"/>
      <w:szCs w:val="20"/>
    </w:rPr>
  </w:style>
  <w:style w:type="paragraph" w:styleId="TOC3">
    <w:name w:val="toc 3"/>
    <w:basedOn w:val="Normal"/>
    <w:next w:val="Normal"/>
    <w:autoRedefine/>
    <w:uiPriority w:val="39"/>
    <w:unhideWhenUsed/>
    <w:rsid w:val="007851FC"/>
    <w:pPr>
      <w:spacing w:after="0"/>
      <w:ind w:left="440"/>
    </w:pPr>
    <w:rPr>
      <w:rFonts w:cstheme="minorHAnsi"/>
      <w:i/>
      <w:iCs/>
      <w:sz w:val="20"/>
      <w:szCs w:val="20"/>
    </w:rPr>
  </w:style>
  <w:style w:type="paragraph" w:styleId="TOC4">
    <w:name w:val="toc 4"/>
    <w:basedOn w:val="Normal"/>
    <w:next w:val="Normal"/>
    <w:autoRedefine/>
    <w:uiPriority w:val="39"/>
    <w:semiHidden/>
    <w:unhideWhenUsed/>
    <w:rsid w:val="007851FC"/>
    <w:pPr>
      <w:spacing w:after="0"/>
      <w:ind w:left="660"/>
    </w:pPr>
    <w:rPr>
      <w:rFonts w:cstheme="minorHAnsi"/>
      <w:sz w:val="18"/>
      <w:szCs w:val="18"/>
    </w:rPr>
  </w:style>
  <w:style w:type="paragraph" w:styleId="TOC5">
    <w:name w:val="toc 5"/>
    <w:basedOn w:val="Normal"/>
    <w:next w:val="Normal"/>
    <w:autoRedefine/>
    <w:uiPriority w:val="39"/>
    <w:semiHidden/>
    <w:unhideWhenUsed/>
    <w:rsid w:val="007851FC"/>
    <w:pPr>
      <w:spacing w:after="0"/>
      <w:ind w:left="880"/>
    </w:pPr>
    <w:rPr>
      <w:rFonts w:cstheme="minorHAnsi"/>
      <w:sz w:val="18"/>
      <w:szCs w:val="18"/>
    </w:rPr>
  </w:style>
  <w:style w:type="paragraph" w:styleId="TOC6">
    <w:name w:val="toc 6"/>
    <w:basedOn w:val="Normal"/>
    <w:next w:val="Normal"/>
    <w:autoRedefine/>
    <w:uiPriority w:val="39"/>
    <w:semiHidden/>
    <w:unhideWhenUsed/>
    <w:rsid w:val="007851FC"/>
    <w:pPr>
      <w:spacing w:after="0"/>
      <w:ind w:left="1100"/>
    </w:pPr>
    <w:rPr>
      <w:rFonts w:cstheme="minorHAnsi"/>
      <w:sz w:val="18"/>
      <w:szCs w:val="18"/>
    </w:rPr>
  </w:style>
  <w:style w:type="paragraph" w:styleId="TOC7">
    <w:name w:val="toc 7"/>
    <w:basedOn w:val="Normal"/>
    <w:next w:val="Normal"/>
    <w:autoRedefine/>
    <w:uiPriority w:val="39"/>
    <w:semiHidden/>
    <w:unhideWhenUsed/>
    <w:rsid w:val="007851FC"/>
    <w:pPr>
      <w:spacing w:after="0"/>
      <w:ind w:left="1320"/>
    </w:pPr>
    <w:rPr>
      <w:rFonts w:cstheme="minorHAnsi"/>
      <w:sz w:val="18"/>
      <w:szCs w:val="18"/>
    </w:rPr>
  </w:style>
  <w:style w:type="paragraph" w:styleId="TOC8">
    <w:name w:val="toc 8"/>
    <w:basedOn w:val="Normal"/>
    <w:next w:val="Normal"/>
    <w:autoRedefine/>
    <w:uiPriority w:val="39"/>
    <w:semiHidden/>
    <w:unhideWhenUsed/>
    <w:rsid w:val="007851FC"/>
    <w:pPr>
      <w:spacing w:after="0"/>
      <w:ind w:left="1540"/>
    </w:pPr>
    <w:rPr>
      <w:rFonts w:cstheme="minorHAnsi"/>
      <w:sz w:val="18"/>
      <w:szCs w:val="18"/>
    </w:rPr>
  </w:style>
  <w:style w:type="paragraph" w:styleId="TOC9">
    <w:name w:val="toc 9"/>
    <w:basedOn w:val="Normal"/>
    <w:next w:val="Normal"/>
    <w:autoRedefine/>
    <w:uiPriority w:val="39"/>
    <w:semiHidden/>
    <w:unhideWhenUsed/>
    <w:rsid w:val="007851FC"/>
    <w:pPr>
      <w:spacing w:after="0"/>
      <w:ind w:left="1760"/>
    </w:pPr>
    <w:rPr>
      <w:rFonts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The State of Victoria's Children Report 2018 Infographics (accessible version)</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17B01-2638-42C0-8EF7-58F831C84220}">
  <ds:schemaRefs>
    <ds:schemaRef ds:uri="http://schemas.microsoft.com/office/2006/metadata/properties"/>
    <ds:schemaRef ds:uri="http://purl.org/dc/terms/"/>
    <ds:schemaRef ds:uri="http://purl.org/dc/elements/1.1/"/>
    <ds:schemaRef ds:uri="http://schemas.microsoft.com/office/infopath/2007/PartnerControls"/>
    <ds:schemaRef ds:uri="http://schemas.microsoft.com/office/2006/documentManagement/types"/>
    <ds:schemaRef ds:uri="http://schemas.microsoft.com/sharepoint/v4"/>
    <ds:schemaRef ds:uri="http://purl.org/dc/dcmitype/"/>
    <ds:schemaRef ds:uri="http://schemas.openxmlformats.org/package/2006/metadata/core-properties"/>
    <ds:schemaRef ds:uri="189fd009-0beb-4494-8af8-3574aebc10b3"/>
    <ds:schemaRef ds:uri="http://www.w3.org/XML/1998/namespace"/>
  </ds:schemaRefs>
</ds:datastoreItem>
</file>

<file path=customXml/itemProps2.xml><?xml version="1.0" encoding="utf-8"?>
<ds:datastoreItem xmlns:ds="http://schemas.openxmlformats.org/officeDocument/2006/customXml" ds:itemID="{51F54C2A-5A20-46FE-B7C0-4D9C17CFAF8F}"/>
</file>

<file path=customXml/itemProps3.xml><?xml version="1.0" encoding="utf-8"?>
<ds:datastoreItem xmlns:ds="http://schemas.openxmlformats.org/officeDocument/2006/customXml" ds:itemID="{4B5C3871-1CD4-4FA0-BF93-7E68D9FA697C}">
  <ds:schemaRefs>
    <ds:schemaRef ds:uri="http://schemas.microsoft.com/sharepoint/v3/contenttype/forms"/>
  </ds:schemaRefs>
</ds:datastoreItem>
</file>

<file path=customXml/itemProps4.xml><?xml version="1.0" encoding="utf-8"?>
<ds:datastoreItem xmlns:ds="http://schemas.openxmlformats.org/officeDocument/2006/customXml" ds:itemID="{5F279D3D-4C97-429F-B678-675118ACD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1739</Words>
  <Characters>9917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Hill, Elleanor C</cp:lastModifiedBy>
  <cp:revision>5</cp:revision>
  <dcterms:created xsi:type="dcterms:W3CDTF">2020-03-19T05:26:00Z</dcterms:created>
  <dcterms:modified xsi:type="dcterms:W3CDTF">2020-03-20T01:35:00Z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