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2019</w:t>
      </w:r>
    </w:p>
    <w:p w14:paraId="53FCA958" w14:textId="6E6969EA" w:rsidR="002D7A53" w:rsidRPr="00D50FA3" w:rsidRDefault="00D22695" w:rsidP="00A63D55">
      <w:pPr>
        <w:pStyle w:val="Coversubtitle"/>
        <w:rPr>
          <w:b/>
          <w:color w:val="004EA8" w:themeColor="accent1"/>
          <w:sz w:val="28"/>
          <w:szCs w:val="28"/>
        </w:rPr>
      </w:pPr>
      <w:r w:rsidRPr="00B06194">
        <w:rPr>
          <w:noProof/>
        </w:rPr>
        <mc:AlternateContent>
          <mc:Choice Requires="wps">
            <w:drawing>
              <wp:anchor distT="45720" distB="45720" distL="114300" distR="114300" simplePos="0" relativeHeight="251659264" behindDoc="0" locked="0" layoutInCell="1" allowOverlap="1" wp14:anchorId="5D111743" wp14:editId="042F1504">
                <wp:simplePos x="0" y="0"/>
                <wp:positionH relativeFrom="column">
                  <wp:posOffset>-81915</wp:posOffset>
                </wp:positionH>
                <wp:positionV relativeFrom="paragraph">
                  <wp:posOffset>280035</wp:posOffset>
                </wp:positionV>
                <wp:extent cx="6324600" cy="1076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76325"/>
                        </a:xfrm>
                        <a:prstGeom prst="rect">
                          <a:avLst/>
                        </a:prstGeom>
                        <a:solidFill>
                          <a:srgbClr val="FFFFFF"/>
                        </a:solidFill>
                        <a:ln w="9525">
                          <a:noFill/>
                          <a:miter lim="800000"/>
                          <a:headEnd/>
                          <a:tailEnd/>
                        </a:ln>
                      </wps:spPr>
                      <wps:txbx>
                        <w:txbxContent>
                          <w:p w14:paraId="1C09B78C" w14:textId="77777777" w:rsidR="002A6AF7" w:rsidRPr="00E63136" w:rsidRDefault="002A6AF7" w:rsidP="002A6AF7">
                            <w:pPr>
                              <w:rPr>
                                <w:color w:val="FF0000"/>
                              </w:rPr>
                            </w:pPr>
                            <w:r w:rsidRPr="00E63136">
                              <w:rPr>
                                <w:color w:val="FF0000"/>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Pr>
                                <w:color w:val="FF0000"/>
                              </w:rPr>
                              <w:br/>
                            </w:r>
                            <w:r w:rsidRPr="002555E0">
                              <w:rPr>
                                <w:color w:val="FF0000"/>
                              </w:rPr>
                              <w:t>As a result of a very low number of respondents, the 202</w:t>
                            </w:r>
                            <w:r>
                              <w:rPr>
                                <w:color w:val="FF0000"/>
                              </w:rPr>
                              <w:t>1</w:t>
                            </w:r>
                            <w:r w:rsidRPr="002555E0">
                              <w:rPr>
                                <w:color w:val="FF0000"/>
                              </w:rPr>
                              <w:t xml:space="preserve"> SEHQ report is not available for this LGA.</w:t>
                            </w:r>
                          </w:p>
                          <w:p w14:paraId="45EC0D0A" w14:textId="77777777" w:rsidR="00D22695" w:rsidRPr="002555E0" w:rsidRDefault="00D22695" w:rsidP="00D22695">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11743" id="_x0000_t202" coordsize="21600,21600" o:spt="202" path="m,l,21600r21600,l21600,xe">
                <v:stroke joinstyle="miter"/>
                <v:path gradientshapeok="t" o:connecttype="rect"/>
              </v:shapetype>
              <v:shape id="Text Box 2" o:spid="_x0000_s1026" type="#_x0000_t202" style="position:absolute;margin-left:-6.45pt;margin-top:22.05pt;width:498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2yDAIAAPcDAAAOAAAAZHJzL2Uyb0RvYy54bWysU9tu2zAMfR+wfxD0vtjJkrQ14hRdugwD&#10;ugvQ7QMUWY6FyaJGKbGzry8lu2m2vQ3TgyCK1CF5eLS67VvDjgq9Blvy6STnTFkJlbb7kn//tn1z&#10;zZkPwlbCgFUlPynPb9evX606V6gZNGAqhYxArC86V/ImBFdkmZeNaoWfgFOWnDVgKwKZuM8qFB2h&#10;tyab5fky6wArhyCV93R7Pzj5OuHXtZLhS117FZgpOdUW0o5p38U9W69EsUfhGi3HMsQ/VNEKbSnp&#10;GepeBMEOqP+CarVE8FCHiYQ2g7rWUqUeqJtp/kc3j41wKvVC5Hh3psn/P1j5+fjoviIL/TvoaYCp&#10;Ce8eQP7wzMKmEXav7hCha5SoKPE0UpZ1zhfj00i1L3wE2XWfoKIhi0OABNTX2EZWqE9G6DSA05l0&#10;1Qcm6XL5djZf5uSS5JvmV2QvUg5RPD936MMHBS2Lh5IjTTXBi+ODD7EcUTyHxGwejK622phk4H63&#10;MciOghSwTWtE/y3MWNaV/GZBueMrC/F9EkerAynU6Lbk13lcg2YiHe9tlUKC0GY4UyXGjvxESgZy&#10;Qr/rKTDytIPqREwhDEqkn0OHBvAXZx2psOT+50Gg4sx8tMT2zXQ+j7JNxnxxNSMDLz27S4+wkqBK&#10;HjgbjpuQpD50dEdTqXXi66WSsVZSV6Jx/AlRvpd2inr5r+snAAAA//8DAFBLAwQUAAYACAAAACEA&#10;3oH0eN8AAAAKAQAADwAAAGRycy9kb3ducmV2LnhtbEyPwW6DMAyG75P2DpEr7TK1AcpoYYRqm7Rp&#10;13Z9AAMpoBIHkbTQt593Wm+2/On39+e72fTiqkfXWVIQrgIQmipbd9QoOP58LrcgnEeqsbekFdy0&#10;g13x+JBjVtuJ9vp68I3gEHIZKmi9HzIpXdVqg25lB018O9nRoOd1bGQ94sThppdRECTSYEf8ocVB&#10;f7S6Oh8uRsHpe3p+Safyyx83+zh5x25T2ptST4v57RWE17P/h+FPn9WhYKfSXqh2olewDKOUUQVx&#10;HIJgIN2ueSgVROE6AVnk8r5C8QsAAP//AwBQSwECLQAUAAYACAAAACEAtoM4kv4AAADhAQAAEwAA&#10;AAAAAAAAAAAAAAAAAAAAW0NvbnRlbnRfVHlwZXNdLnhtbFBLAQItABQABgAIAAAAIQA4/SH/1gAA&#10;AJQBAAALAAAAAAAAAAAAAAAAAC8BAABfcmVscy8ucmVsc1BLAQItABQABgAIAAAAIQBrwp2yDAIA&#10;APcDAAAOAAAAAAAAAAAAAAAAAC4CAABkcnMvZTJvRG9jLnhtbFBLAQItABQABgAIAAAAIQDegfR4&#10;3wAAAAoBAAAPAAAAAAAAAAAAAAAAAGYEAABkcnMvZG93bnJldi54bWxQSwUGAAAAAAQABADzAAAA&#10;cgUAAAAA&#10;" stroked="f">
                <v:textbox>
                  <w:txbxContent>
                    <w:p w14:paraId="1C09B78C" w14:textId="77777777" w:rsidR="002A6AF7" w:rsidRPr="00E63136" w:rsidRDefault="002A6AF7" w:rsidP="002A6AF7">
                      <w:pPr>
                        <w:rPr>
                          <w:color w:val="FF0000"/>
                        </w:rPr>
                      </w:pPr>
                      <w:r w:rsidRPr="00E63136">
                        <w:rPr>
                          <w:color w:val="FF0000"/>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Pr>
                          <w:color w:val="FF0000"/>
                        </w:rPr>
                        <w:br/>
                      </w:r>
                      <w:r w:rsidRPr="002555E0">
                        <w:rPr>
                          <w:color w:val="FF0000"/>
                        </w:rPr>
                        <w:t>As a result of a very low number of respondents, the 202</w:t>
                      </w:r>
                      <w:r>
                        <w:rPr>
                          <w:color w:val="FF0000"/>
                        </w:rPr>
                        <w:t>1</w:t>
                      </w:r>
                      <w:r w:rsidRPr="002555E0">
                        <w:rPr>
                          <w:color w:val="FF0000"/>
                        </w:rPr>
                        <w:t xml:space="preserve"> SEHQ report is not available for this LGA.</w:t>
                      </w:r>
                    </w:p>
                    <w:p w14:paraId="45EC0D0A" w14:textId="77777777" w:rsidR="00D22695" w:rsidRPr="002555E0" w:rsidRDefault="00D22695" w:rsidP="00D22695">
                      <w:pPr>
                        <w:rPr>
                          <w:color w:val="FF0000"/>
                        </w:rPr>
                      </w:pPr>
                    </w:p>
                  </w:txbxContent>
                </v:textbox>
                <w10:wrap type="square"/>
              </v:shape>
            </w:pict>
          </mc:Fallback>
        </mc:AlternateContent>
      </w:r>
      <w:r w:rsidR="002D7A53">
        <w:rPr>
          <w:b/>
          <w:color w:val="004EA8" w:themeColor="accent1"/>
          <w:sz w:val="28"/>
          <w:szCs w:val="28"/>
        </w:rPr>
        <w:t>Hindmarsh (S)</w:t>
      </w:r>
    </w:p>
    <w:p w14:paraId="2BE6D8BB" w14:textId="77777777" w:rsidR="00DA3218" w:rsidRDefault="00DA3218" w:rsidP="00624A55">
      <w:pPr>
        <w:pStyle w:val="Heading1"/>
        <w:rPr>
          <w:lang w:val="en-AU"/>
        </w:rPr>
        <w:sectPr w:rsidR="00DA3218" w:rsidSect="00A63D55">
          <w:headerReference w:type="even" r:id="rId11"/>
          <w:headerReference w:type="default" r:id="rId12"/>
          <w:footerReference w:type="even" r:id="rId13"/>
          <w:footerReference w:type="default" r:id="rId14"/>
          <w:headerReference w:type="first" r:id="rId15"/>
          <w:footerReference w:type="first" r:id="rId16"/>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7"/>
          <w:footerReference w:type="default" r:id="rId18"/>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77777777" w:rsidR="001E029F" w:rsidRPr="001F547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2019</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Hindmarsh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7777777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19"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Hindmarsh (S)</w:t>
      </w:r>
      <w:r w:rsidRPr="00737C52">
        <w:rPr>
          <w:rFonts w:ascii="Arial" w:hAnsi="Arial" w:cs="Arial"/>
          <w:sz w:val="22"/>
          <w:szCs w:val="22"/>
        </w:rPr>
        <w:t xml:space="preserve">, there were </w:t>
      </w:r>
      <w:r>
        <w:rPr>
          <w:rFonts w:ascii="Arial" w:hAnsi="Arial" w:cs="Arial"/>
          <w:sz w:val="22"/>
          <w:szCs w:val="22"/>
        </w:rPr>
        <w:t>39 children (0.1</w:t>
      </w:r>
      <w:r w:rsidRPr="00737C52">
        <w:rPr>
          <w:rFonts w:ascii="Arial" w:hAnsi="Arial" w:cs="Arial"/>
          <w:sz w:val="22"/>
          <w:szCs w:val="22"/>
        </w:rPr>
        <w:t xml:space="preserve">% of the state total of </w:t>
      </w:r>
      <w:r>
        <w:rPr>
          <w:rFonts w:ascii="Arial" w:hAnsi="Arial" w:cs="Arial"/>
          <w:sz w:val="22"/>
          <w:szCs w:val="22"/>
        </w:rPr>
        <w:t>67,286</w:t>
      </w:r>
      <w:r w:rsidRPr="00737C52">
        <w:rPr>
          <w:rFonts w:ascii="Arial" w:hAnsi="Arial" w:cs="Arial"/>
          <w:sz w:val="22"/>
          <w:szCs w:val="22"/>
        </w:rPr>
        <w:t xml:space="preserve">) involved in the </w:t>
      </w:r>
      <w:r>
        <w:rPr>
          <w:rFonts w:ascii="Arial" w:hAnsi="Arial" w:cs="Arial"/>
          <w:sz w:val="22"/>
          <w:szCs w:val="22"/>
        </w:rPr>
        <w:t xml:space="preserve">2019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 xml:space="preserve">2019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jc w:val="right"/>
            </w:pPr>
            <w:r>
              <w:t>np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jc w:val="right"/>
            </w:pPr>
            <w:r>
              <w:t>4.1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jc w:val="right"/>
            </w:pPr>
            <w:r>
              <w:t>4.0</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jc w:val="right"/>
            </w:pPr>
            <w:r>
              <w:t>1.8</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jc w:val="right"/>
            </w:pPr>
            <w:r>
              <w:t>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jc w:val="right"/>
            </w:pPr>
            <w:r>
              <w:t>20.7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jc w:val="right"/>
            </w:pPr>
            <w:r>
              <w:t>28.8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jc w:val="right"/>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jc w:val="right"/>
            </w:pP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jc w:val="right"/>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jc w:val="right"/>
            </w:pPr>
            <w:r>
              <w:t>6.8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jc w:val="right"/>
            </w:pPr>
            <w:r>
              <w:t>20.8</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jc w:val="right"/>
            </w:pPr>
            <w:r>
              <w:t>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jc w:val="right"/>
            </w:pPr>
            <w:r>
              <w:t>12.2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jc w:val="right"/>
            </w:pPr>
            <w:r>
              <w:t>3.7</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jc w:val="right"/>
            </w:pPr>
            <w:r>
              <w:t>9.6</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jc w:val="right"/>
            </w:pPr>
            <w:r>
              <w:t>np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jc w:val="right"/>
            </w:pPr>
            <w:r>
              <w:t>2.1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jc w:val="right"/>
            </w:pPr>
            <w:r>
              <w:t>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jc w:val="right"/>
            </w:pPr>
            <w:r>
              <w:t>10.0</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jc w:val="right"/>
            </w:pPr>
            <w:r>
              <w:t>np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jc w:val="right"/>
            </w:pPr>
            <w:r>
              <w:t>10.1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jc w:val="right"/>
            </w:pPr>
            <w:r>
              <w:t>14.7</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jc w:val="right"/>
            </w:pPr>
            <w:r>
              <w:t>10.9</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jc w:val="right"/>
            </w:pPr>
            <w:r>
              <w:t>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jc w:val="right"/>
            </w:pPr>
            <w:r>
              <w:t>15.8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jc w:val="right"/>
            </w:pPr>
            <w:r>
              <w:t>8.5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jc w:val="right"/>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jc w:val="right"/>
            </w:pPr>
            <w:r>
              <w:t>34</w:t>
            </w:r>
          </w:p>
        </w:tc>
        <w:tc>
          <w:tcPr>
            <w:tcW w:w="993" w:type="dxa"/>
            <w:shd w:val="clear" w:color="auto" w:fill="DBD9D6"/>
            <w:vAlign w:val="center"/>
          </w:tcPr>
          <w:p w14:paraId="5D8532A7" w14:textId="77777777" w:rsidR="001E029F" w:rsidRPr="002A4320" w:rsidRDefault="001E029F" w:rsidP="00621F74">
            <w:pPr>
              <w:jc w:val="right"/>
            </w:pPr>
            <w:r>
              <w:t>87.8</w:t>
            </w:r>
          </w:p>
        </w:tc>
        <w:tc>
          <w:tcPr>
            <w:tcW w:w="1132" w:type="dxa"/>
            <w:shd w:val="clear" w:color="auto" w:fill="DBD9D6"/>
            <w:vAlign w:val="center"/>
          </w:tcPr>
          <w:p w14:paraId="59F51658" w14:textId="77777777" w:rsidR="001E029F" w:rsidRPr="002A4320" w:rsidRDefault="001E029F" w:rsidP="00621F74">
            <w:pPr>
              <w:jc w:val="right"/>
            </w:pPr>
            <w:r>
              <w:t>85.4</w:t>
            </w:r>
          </w:p>
        </w:tc>
        <w:tc>
          <w:tcPr>
            <w:tcW w:w="994" w:type="dxa"/>
            <w:shd w:val="clear" w:color="auto" w:fill="DBD9D6"/>
            <w:vAlign w:val="center"/>
          </w:tcPr>
          <w:p w14:paraId="2A671A77" w14:textId="77777777" w:rsidR="001E029F" w:rsidRPr="002A4320" w:rsidRDefault="001E029F" w:rsidP="00621F74">
            <w:pPr>
              <w:jc w:val="right"/>
            </w:pPr>
            <w:r>
              <w:t>83.6</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jc w:val="right"/>
            </w:pPr>
            <w:r>
              <w:t>np</w:t>
            </w:r>
          </w:p>
        </w:tc>
        <w:tc>
          <w:tcPr>
            <w:tcW w:w="993" w:type="dxa"/>
            <w:shd w:val="clear" w:color="auto" w:fill="DBD9D6"/>
            <w:vAlign w:val="center"/>
          </w:tcPr>
          <w:p w14:paraId="4D8AF476" w14:textId="77777777" w:rsidR="001E029F" w:rsidRPr="002A4320" w:rsidRDefault="001E029F" w:rsidP="00621F74">
            <w:pPr>
              <w:jc w:val="right"/>
            </w:pPr>
            <w:r>
              <w:t>8.3</w:t>
            </w:r>
          </w:p>
        </w:tc>
        <w:tc>
          <w:tcPr>
            <w:tcW w:w="1132" w:type="dxa"/>
            <w:shd w:val="clear" w:color="auto" w:fill="DBD9D6"/>
            <w:vAlign w:val="center"/>
          </w:tcPr>
          <w:p w14:paraId="66D13BC4" w14:textId="77777777" w:rsidR="001E029F" w:rsidRPr="002A4320" w:rsidRDefault="001E029F" w:rsidP="00621F74">
            <w:pPr>
              <w:jc w:val="right"/>
            </w:pPr>
            <w:r>
              <w:t>8.1</w:t>
            </w:r>
          </w:p>
        </w:tc>
        <w:tc>
          <w:tcPr>
            <w:tcW w:w="994" w:type="dxa"/>
            <w:shd w:val="clear" w:color="auto" w:fill="DBD9D6"/>
            <w:vAlign w:val="center"/>
          </w:tcPr>
          <w:p w14:paraId="03EEB36F" w14:textId="77777777" w:rsidR="001E029F" w:rsidRPr="002A4320" w:rsidRDefault="001E029F" w:rsidP="00621F74">
            <w:pPr>
              <w:jc w:val="right"/>
            </w:pPr>
            <w:r>
              <w:t>8.3</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jc w:val="right"/>
            </w:pPr>
            <w:r>
              <w:t>np</w:t>
            </w:r>
          </w:p>
        </w:tc>
        <w:tc>
          <w:tcPr>
            <w:tcW w:w="993" w:type="dxa"/>
            <w:vAlign w:val="center"/>
          </w:tcPr>
          <w:p w14:paraId="5A2AACA3" w14:textId="77777777" w:rsidR="001E029F" w:rsidRPr="002A4320" w:rsidRDefault="001E029F" w:rsidP="00621F74">
            <w:pPr>
              <w:jc w:val="right"/>
            </w:pPr>
            <w:r>
              <w:t>25.0</w:t>
            </w:r>
          </w:p>
        </w:tc>
        <w:tc>
          <w:tcPr>
            <w:tcW w:w="1132" w:type="dxa"/>
            <w:vAlign w:val="center"/>
          </w:tcPr>
          <w:p w14:paraId="322DBEDC" w14:textId="77777777" w:rsidR="001E029F" w:rsidRPr="002A4320" w:rsidRDefault="001E029F" w:rsidP="00621F74">
            <w:pPr>
              <w:jc w:val="right"/>
            </w:pPr>
            <w:r>
              <w:t>30.7</w:t>
            </w:r>
          </w:p>
        </w:tc>
        <w:tc>
          <w:tcPr>
            <w:tcW w:w="994" w:type="dxa"/>
            <w:vAlign w:val="center"/>
          </w:tcPr>
          <w:p w14:paraId="1FFFC901" w14:textId="77777777" w:rsidR="001E029F" w:rsidRPr="002A4320" w:rsidRDefault="001E029F" w:rsidP="00621F74">
            <w:pPr>
              <w:jc w:val="right"/>
            </w:pPr>
            <w:r>
              <w:t>35.7</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jc w:val="right"/>
            </w:pPr>
            <w:r>
              <w:t>np</w:t>
            </w:r>
          </w:p>
        </w:tc>
        <w:tc>
          <w:tcPr>
            <w:tcW w:w="993" w:type="dxa"/>
            <w:shd w:val="clear" w:color="auto" w:fill="DBD9D6"/>
            <w:vAlign w:val="center"/>
          </w:tcPr>
          <w:p w14:paraId="381D2E35" w14:textId="77777777" w:rsidR="001E029F" w:rsidRPr="002A4320" w:rsidRDefault="001E029F" w:rsidP="00621F74">
            <w:pPr>
              <w:jc w:val="right"/>
            </w:pPr>
            <w:r>
              <w:t>6.0</w:t>
            </w:r>
          </w:p>
        </w:tc>
        <w:tc>
          <w:tcPr>
            <w:tcW w:w="1132" w:type="dxa"/>
            <w:shd w:val="clear" w:color="auto" w:fill="DBD9D6"/>
            <w:vAlign w:val="center"/>
          </w:tcPr>
          <w:p w14:paraId="52826BF6" w14:textId="77777777" w:rsidR="001E029F" w:rsidRPr="002A4320" w:rsidRDefault="001E029F" w:rsidP="00621F74">
            <w:pPr>
              <w:jc w:val="right"/>
            </w:pPr>
            <w:r>
              <w:t>12.4</w:t>
            </w:r>
          </w:p>
        </w:tc>
        <w:tc>
          <w:tcPr>
            <w:tcW w:w="994" w:type="dxa"/>
            <w:shd w:val="clear" w:color="auto" w:fill="DBD9D6"/>
            <w:vAlign w:val="center"/>
          </w:tcPr>
          <w:p w14:paraId="7074ABDC" w14:textId="77777777" w:rsidR="001E029F" w:rsidRPr="002A4320" w:rsidRDefault="001E029F" w:rsidP="00621F74">
            <w:pPr>
              <w:jc w:val="right"/>
            </w:pPr>
            <w:r>
              <w:t>10.6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jc w:val="right"/>
            </w:pPr>
            <w:r>
              <w:t>2</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jc w:val="right"/>
            </w:pPr>
            <w:r>
              <w:t>99.9</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jc w:val="right"/>
            </w:pPr>
            <w:r>
              <w:t>60.7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jc w:val="right"/>
            </w:pPr>
            <w:r>
              <w:t>63.3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7F73A6DE" w14:textId="5DA79A91" w:rsidR="001E029F" w:rsidRPr="001F547F" w:rsidRDefault="001E029F" w:rsidP="001E029F">
      <w:pPr>
        <w:spacing w:after="200" w:line="276" w:lineRule="auto"/>
        <w:ind w:left="-142"/>
        <w:rPr>
          <w:b/>
          <w:bCs/>
          <w:caps/>
          <w:color w:val="004EA8"/>
          <w:sz w:val="28"/>
          <w:szCs w:val="28"/>
        </w:rPr>
      </w:pPr>
      <w:r>
        <w:rPr>
          <w:caps/>
          <w:color w:val="C00000"/>
          <w:sz w:val="20"/>
          <w:szCs w:val="28"/>
        </w:rPr>
        <w:br w:type="page"/>
      </w: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jc w:val="right"/>
            </w:pPr>
            <w:r>
              <w:t>8</w:t>
            </w:r>
          </w:p>
        </w:tc>
        <w:tc>
          <w:tcPr>
            <w:tcW w:w="992" w:type="dxa"/>
            <w:shd w:val="clear" w:color="auto" w:fill="auto"/>
            <w:vAlign w:val="center"/>
          </w:tcPr>
          <w:p w14:paraId="16DEDDFE" w14:textId="77777777" w:rsidR="001E029F" w:rsidRPr="000309BB" w:rsidRDefault="001E029F" w:rsidP="00621F74">
            <w:pPr>
              <w:jc w:val="right"/>
            </w:pPr>
            <w:r>
              <w:t>20.4</w:t>
            </w:r>
          </w:p>
        </w:tc>
        <w:tc>
          <w:tcPr>
            <w:tcW w:w="992" w:type="dxa"/>
            <w:shd w:val="clear" w:color="auto" w:fill="auto"/>
            <w:vAlign w:val="center"/>
          </w:tcPr>
          <w:p w14:paraId="7EF71D3B" w14:textId="77777777" w:rsidR="001E029F" w:rsidRPr="000309BB" w:rsidRDefault="001E029F" w:rsidP="00621F74">
            <w:pPr>
              <w:jc w:val="right"/>
            </w:pPr>
            <w:r>
              <w:t>14.5</w:t>
            </w:r>
          </w:p>
        </w:tc>
        <w:tc>
          <w:tcPr>
            <w:tcW w:w="993" w:type="dxa"/>
            <w:shd w:val="clear" w:color="auto" w:fill="auto"/>
            <w:vAlign w:val="center"/>
          </w:tcPr>
          <w:p w14:paraId="692956F8" w14:textId="77777777" w:rsidR="001E029F" w:rsidRPr="000309BB" w:rsidRDefault="001E029F" w:rsidP="00621F74">
            <w:pPr>
              <w:jc w:val="right"/>
            </w:pPr>
            <w:r>
              <w:t>15.3</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jc w:val="right"/>
            </w:pPr>
            <w:r>
              <w:t>6</w:t>
            </w:r>
          </w:p>
        </w:tc>
        <w:tc>
          <w:tcPr>
            <w:tcW w:w="992" w:type="dxa"/>
            <w:shd w:val="clear" w:color="auto" w:fill="DBD9D6"/>
            <w:vAlign w:val="center"/>
          </w:tcPr>
          <w:p w14:paraId="0369F49C" w14:textId="77777777" w:rsidR="001E029F" w:rsidRPr="000309BB" w:rsidRDefault="001E029F" w:rsidP="00621F74">
            <w:pPr>
              <w:jc w:val="right"/>
            </w:pPr>
            <w:r>
              <w:t>16.3</w:t>
            </w:r>
          </w:p>
        </w:tc>
        <w:tc>
          <w:tcPr>
            <w:tcW w:w="992" w:type="dxa"/>
            <w:shd w:val="clear" w:color="auto" w:fill="DBD9D6"/>
            <w:vAlign w:val="center"/>
          </w:tcPr>
          <w:p w14:paraId="12D9A92A" w14:textId="77777777" w:rsidR="001E029F" w:rsidRPr="000309BB" w:rsidRDefault="001E029F" w:rsidP="00621F74">
            <w:pPr>
              <w:jc w:val="right"/>
            </w:pPr>
            <w:r>
              <w:t>18.3</w:t>
            </w:r>
          </w:p>
        </w:tc>
        <w:tc>
          <w:tcPr>
            <w:tcW w:w="993" w:type="dxa"/>
            <w:shd w:val="clear" w:color="auto" w:fill="DBD9D6"/>
            <w:vAlign w:val="center"/>
          </w:tcPr>
          <w:p w14:paraId="433B7558" w14:textId="77777777" w:rsidR="001E029F" w:rsidRPr="000309BB" w:rsidRDefault="001E029F" w:rsidP="00621F74">
            <w:pPr>
              <w:jc w:val="right"/>
            </w:pPr>
            <w:r>
              <w:t>15.0</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jc w:val="right"/>
            </w:pPr>
            <w:r>
              <w:t>2</w:t>
            </w:r>
          </w:p>
        </w:tc>
        <w:tc>
          <w:tcPr>
            <w:tcW w:w="992" w:type="dxa"/>
            <w:vAlign w:val="center"/>
          </w:tcPr>
          <w:p w14:paraId="741712E5" w14:textId="77777777" w:rsidR="001E029F" w:rsidRPr="000309BB" w:rsidRDefault="001E029F" w:rsidP="00621F74">
            <w:pPr>
              <w:jc w:val="right"/>
            </w:pPr>
            <w:r>
              <w:t>38.0</w:t>
            </w:r>
          </w:p>
        </w:tc>
        <w:tc>
          <w:tcPr>
            <w:tcW w:w="992" w:type="dxa"/>
            <w:vAlign w:val="center"/>
          </w:tcPr>
          <w:p w14:paraId="343CC511" w14:textId="77777777" w:rsidR="001E029F" w:rsidRPr="000309BB" w:rsidRDefault="001E029F" w:rsidP="00621F74">
            <w:pPr>
              <w:jc w:val="right"/>
            </w:pPr>
            <w:r>
              <w:t>29.4</w:t>
            </w:r>
          </w:p>
        </w:tc>
        <w:tc>
          <w:tcPr>
            <w:tcW w:w="993" w:type="dxa"/>
            <w:vAlign w:val="center"/>
          </w:tcPr>
          <w:p w14:paraId="1A60E9FB" w14:textId="77777777" w:rsidR="001E029F" w:rsidRPr="000309BB" w:rsidRDefault="001E029F" w:rsidP="00621F74">
            <w:pPr>
              <w:jc w:val="right"/>
            </w:pPr>
            <w:r>
              <w:t>29.2</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jc w:val="right"/>
            </w:pPr>
            <w:r>
              <w:t>34</w:t>
            </w:r>
          </w:p>
        </w:tc>
        <w:tc>
          <w:tcPr>
            <w:tcW w:w="997" w:type="dxa"/>
            <w:shd w:val="clear" w:color="auto" w:fill="DBD9D6"/>
            <w:vAlign w:val="center"/>
          </w:tcPr>
          <w:p w14:paraId="29E25415" w14:textId="77777777" w:rsidR="001E029F" w:rsidRPr="000309BB" w:rsidRDefault="001E029F" w:rsidP="00621F74">
            <w:pPr>
              <w:jc w:val="right"/>
            </w:pPr>
            <w:r>
              <w:t>87.8</w:t>
            </w:r>
          </w:p>
        </w:tc>
        <w:tc>
          <w:tcPr>
            <w:tcW w:w="997" w:type="dxa"/>
            <w:shd w:val="clear" w:color="auto" w:fill="DBD9D6"/>
            <w:vAlign w:val="center"/>
          </w:tcPr>
          <w:p w14:paraId="6AC066B1" w14:textId="77777777" w:rsidR="001E029F" w:rsidRPr="000309BB" w:rsidRDefault="001E029F" w:rsidP="00621F74">
            <w:pPr>
              <w:jc w:val="right"/>
            </w:pPr>
            <w:r>
              <w:t>76.2</w:t>
            </w:r>
          </w:p>
        </w:tc>
        <w:tc>
          <w:tcPr>
            <w:tcW w:w="998" w:type="dxa"/>
            <w:shd w:val="clear" w:color="auto" w:fill="DBD9D6"/>
            <w:vAlign w:val="center"/>
          </w:tcPr>
          <w:p w14:paraId="723095ED" w14:textId="77777777" w:rsidR="001E029F" w:rsidRPr="000309BB" w:rsidRDefault="001E029F" w:rsidP="00621F74">
            <w:pPr>
              <w:jc w:val="right"/>
            </w:pPr>
            <w:r>
              <w:t>71.6</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jc w:val="right"/>
            </w:pPr>
            <w:r>
              <w:t>13</w:t>
            </w:r>
          </w:p>
        </w:tc>
        <w:tc>
          <w:tcPr>
            <w:tcW w:w="997" w:type="dxa"/>
            <w:vAlign w:val="center"/>
          </w:tcPr>
          <w:p w14:paraId="3A93D8EB" w14:textId="77777777" w:rsidR="001E029F" w:rsidRPr="000309BB" w:rsidRDefault="001E029F" w:rsidP="00621F74">
            <w:pPr>
              <w:jc w:val="right"/>
            </w:pPr>
            <w:r>
              <w:t>34.4</w:t>
            </w:r>
          </w:p>
        </w:tc>
        <w:tc>
          <w:tcPr>
            <w:tcW w:w="997" w:type="dxa"/>
            <w:vAlign w:val="center"/>
          </w:tcPr>
          <w:p w14:paraId="54F573DB" w14:textId="77777777" w:rsidR="001E029F" w:rsidRPr="000309BB" w:rsidRDefault="001E029F" w:rsidP="00621F74">
            <w:pPr>
              <w:jc w:val="right"/>
            </w:pPr>
            <w:r>
              <w:t>18.8</w:t>
            </w:r>
          </w:p>
        </w:tc>
        <w:tc>
          <w:tcPr>
            <w:tcW w:w="998" w:type="dxa"/>
            <w:vAlign w:val="center"/>
          </w:tcPr>
          <w:p w14:paraId="676A7325" w14:textId="77777777" w:rsidR="001E029F" w:rsidRPr="000309BB" w:rsidRDefault="001E029F" w:rsidP="00621F74">
            <w:pPr>
              <w:jc w:val="right"/>
            </w:pPr>
            <w:r>
              <w:t>16.9</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jc w:val="right"/>
            </w:pPr>
            <w:r>
              <w:t>9</w:t>
            </w:r>
          </w:p>
        </w:tc>
        <w:tc>
          <w:tcPr>
            <w:tcW w:w="997" w:type="dxa"/>
            <w:vAlign w:val="center"/>
          </w:tcPr>
          <w:p w14:paraId="7B842FA7" w14:textId="77777777" w:rsidR="001E029F" w:rsidRPr="000309BB" w:rsidRDefault="001E029F" w:rsidP="00621F74">
            <w:pPr>
              <w:jc w:val="right"/>
            </w:pPr>
            <w:r>
              <w:t>23.9</w:t>
            </w:r>
          </w:p>
        </w:tc>
        <w:tc>
          <w:tcPr>
            <w:tcW w:w="997" w:type="dxa"/>
            <w:vAlign w:val="center"/>
          </w:tcPr>
          <w:p w14:paraId="19252111" w14:textId="77777777" w:rsidR="001E029F" w:rsidRPr="000309BB" w:rsidRDefault="001E029F" w:rsidP="00621F74">
            <w:pPr>
              <w:jc w:val="right"/>
            </w:pPr>
            <w:r>
              <w:t>13.7</w:t>
            </w:r>
          </w:p>
        </w:tc>
        <w:tc>
          <w:tcPr>
            <w:tcW w:w="998" w:type="dxa"/>
            <w:vAlign w:val="center"/>
          </w:tcPr>
          <w:p w14:paraId="40724558" w14:textId="77777777" w:rsidR="001E029F" w:rsidRPr="000309BB" w:rsidRDefault="001E029F" w:rsidP="00621F74">
            <w:pPr>
              <w:jc w:val="right"/>
            </w:pPr>
            <w:r>
              <w:t>12.6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jc w:val="right"/>
            </w:pPr>
            <w:r>
              <w:t>25</w:t>
            </w:r>
          </w:p>
        </w:tc>
        <w:tc>
          <w:tcPr>
            <w:tcW w:w="997" w:type="dxa"/>
            <w:shd w:val="clear" w:color="auto" w:fill="DBD9D6"/>
            <w:vAlign w:val="center"/>
          </w:tcPr>
          <w:p w14:paraId="45437AB6" w14:textId="77777777" w:rsidR="001E029F" w:rsidRPr="000309BB" w:rsidRDefault="001E029F" w:rsidP="00621F74">
            <w:pPr>
              <w:jc w:val="right"/>
            </w:pPr>
            <w:r>
              <w:t>63.0</w:t>
            </w:r>
          </w:p>
        </w:tc>
        <w:tc>
          <w:tcPr>
            <w:tcW w:w="997" w:type="dxa"/>
            <w:shd w:val="clear" w:color="auto" w:fill="DBD9D6"/>
            <w:vAlign w:val="center"/>
          </w:tcPr>
          <w:p w14:paraId="48C77AA6" w14:textId="77777777" w:rsidR="001E029F" w:rsidRPr="000309BB" w:rsidRDefault="001E029F" w:rsidP="00621F74">
            <w:pPr>
              <w:jc w:val="right"/>
            </w:pPr>
            <w:r>
              <w:t>57.0</w:t>
            </w:r>
          </w:p>
        </w:tc>
        <w:tc>
          <w:tcPr>
            <w:tcW w:w="998" w:type="dxa"/>
            <w:shd w:val="clear" w:color="auto" w:fill="DBD9D6"/>
            <w:vAlign w:val="center"/>
          </w:tcPr>
          <w:p w14:paraId="27B906AD" w14:textId="77777777" w:rsidR="001E029F" w:rsidRPr="000309BB" w:rsidRDefault="001E029F" w:rsidP="00621F74">
            <w:pPr>
              <w:jc w:val="right"/>
            </w:pPr>
            <w:r>
              <w:t>52.1</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jc w:val="right"/>
            </w:pPr>
            <w:r>
              <w:t>5</w:t>
            </w:r>
          </w:p>
        </w:tc>
        <w:tc>
          <w:tcPr>
            <w:tcW w:w="997" w:type="dxa"/>
            <w:vAlign w:val="center"/>
          </w:tcPr>
          <w:p w14:paraId="2D8CC06E" w14:textId="77777777" w:rsidR="001E029F" w:rsidRPr="000309BB" w:rsidRDefault="001E029F" w:rsidP="00621F74">
            <w:pPr>
              <w:jc w:val="right"/>
            </w:pPr>
            <w:r>
              <w:t>12.2</w:t>
            </w:r>
          </w:p>
        </w:tc>
        <w:tc>
          <w:tcPr>
            <w:tcW w:w="997" w:type="dxa"/>
            <w:vAlign w:val="center"/>
          </w:tcPr>
          <w:p w14:paraId="0BBF1235" w14:textId="77777777" w:rsidR="001E029F" w:rsidRPr="000309BB" w:rsidRDefault="001E029F" w:rsidP="00621F74">
            <w:pPr>
              <w:jc w:val="right"/>
            </w:pPr>
            <w:r>
              <w:t>8.1</w:t>
            </w:r>
          </w:p>
        </w:tc>
        <w:tc>
          <w:tcPr>
            <w:tcW w:w="998" w:type="dxa"/>
            <w:vAlign w:val="center"/>
          </w:tcPr>
          <w:p w14:paraId="3C2A315A" w14:textId="77777777" w:rsidR="001E029F" w:rsidRPr="000309BB" w:rsidRDefault="001E029F" w:rsidP="00621F74">
            <w:pPr>
              <w:jc w:val="right"/>
            </w:pPr>
            <w:r>
              <w:t>7.7</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jc w:val="right"/>
            </w:pPr>
            <w:r>
              <w:t>34</w:t>
            </w:r>
          </w:p>
        </w:tc>
        <w:tc>
          <w:tcPr>
            <w:tcW w:w="997" w:type="dxa"/>
            <w:shd w:val="clear" w:color="auto" w:fill="DBD9D6"/>
            <w:vAlign w:val="center"/>
          </w:tcPr>
          <w:p w14:paraId="5C6F2447" w14:textId="77777777" w:rsidR="001E029F" w:rsidRPr="000309BB" w:rsidRDefault="001E029F" w:rsidP="00621F74">
            <w:pPr>
              <w:jc w:val="right"/>
            </w:pPr>
            <w:r>
              <w:t>87.6</w:t>
            </w:r>
          </w:p>
        </w:tc>
        <w:tc>
          <w:tcPr>
            <w:tcW w:w="997" w:type="dxa"/>
            <w:shd w:val="clear" w:color="auto" w:fill="DBD9D6"/>
            <w:vAlign w:val="center"/>
          </w:tcPr>
          <w:p w14:paraId="2ECFB1DA" w14:textId="77777777" w:rsidR="001E029F" w:rsidRPr="000309BB" w:rsidRDefault="001E029F" w:rsidP="00621F74">
            <w:pPr>
              <w:jc w:val="right"/>
            </w:pPr>
            <w:r>
              <w:t>86.2</w:t>
            </w:r>
          </w:p>
        </w:tc>
        <w:tc>
          <w:tcPr>
            <w:tcW w:w="998" w:type="dxa"/>
            <w:shd w:val="clear" w:color="auto" w:fill="DBD9D6"/>
            <w:vAlign w:val="center"/>
          </w:tcPr>
          <w:p w14:paraId="70E6CDE9" w14:textId="77777777" w:rsidR="001E029F" w:rsidRPr="000309BB" w:rsidRDefault="001E029F" w:rsidP="00621F74">
            <w:pPr>
              <w:jc w:val="right"/>
            </w:pPr>
            <w:r>
              <w:t>85.4</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jc w:val="right"/>
            </w:pPr>
            <w:r>
              <w:t>8</w:t>
            </w:r>
          </w:p>
        </w:tc>
        <w:tc>
          <w:tcPr>
            <w:tcW w:w="992" w:type="dxa"/>
            <w:shd w:val="clear" w:color="auto" w:fill="auto"/>
            <w:vAlign w:val="center"/>
          </w:tcPr>
          <w:p w14:paraId="4F9FCCEA" w14:textId="77777777" w:rsidR="001E029F" w:rsidRPr="000309BB" w:rsidRDefault="001E029F" w:rsidP="00621F74">
            <w:pPr>
              <w:jc w:val="right"/>
            </w:pPr>
            <w:r>
              <w:t>20.2</w:t>
            </w:r>
          </w:p>
        </w:tc>
        <w:tc>
          <w:tcPr>
            <w:tcW w:w="992" w:type="dxa"/>
            <w:shd w:val="clear" w:color="auto" w:fill="auto"/>
            <w:vAlign w:val="center"/>
          </w:tcPr>
          <w:p w14:paraId="40850E0A" w14:textId="77777777" w:rsidR="001E029F" w:rsidRPr="000309BB" w:rsidRDefault="001E029F" w:rsidP="00621F74">
            <w:pPr>
              <w:jc w:val="right"/>
            </w:pPr>
            <w:r>
              <w:t>17.2</w:t>
            </w:r>
          </w:p>
        </w:tc>
        <w:tc>
          <w:tcPr>
            <w:tcW w:w="993" w:type="dxa"/>
            <w:shd w:val="clear" w:color="auto" w:fill="auto"/>
            <w:vAlign w:val="center"/>
          </w:tcPr>
          <w:p w14:paraId="4B787817" w14:textId="77777777" w:rsidR="001E029F" w:rsidRPr="000309BB" w:rsidRDefault="001E029F" w:rsidP="00621F74">
            <w:pPr>
              <w:jc w:val="right"/>
            </w:pPr>
            <w:r>
              <w:t>14.8</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jc w:val="right"/>
            </w:pPr>
            <w:r>
              <w:t>9</w:t>
            </w:r>
          </w:p>
        </w:tc>
        <w:tc>
          <w:tcPr>
            <w:tcW w:w="992" w:type="dxa"/>
            <w:shd w:val="clear" w:color="auto" w:fill="DBD9D6"/>
            <w:vAlign w:val="center"/>
          </w:tcPr>
          <w:p w14:paraId="2F3BAF70" w14:textId="77777777" w:rsidR="001E029F" w:rsidRPr="000309BB" w:rsidRDefault="001E029F" w:rsidP="00621F74">
            <w:pPr>
              <w:jc w:val="right"/>
            </w:pPr>
            <w:r>
              <w:t>22.0</w:t>
            </w:r>
          </w:p>
        </w:tc>
        <w:tc>
          <w:tcPr>
            <w:tcW w:w="992" w:type="dxa"/>
            <w:shd w:val="clear" w:color="auto" w:fill="DBD9D6"/>
            <w:vAlign w:val="center"/>
          </w:tcPr>
          <w:p w14:paraId="1FC61948" w14:textId="77777777" w:rsidR="001E029F" w:rsidRPr="000309BB" w:rsidRDefault="001E029F" w:rsidP="00621F74">
            <w:pPr>
              <w:jc w:val="right"/>
            </w:pPr>
            <w:r>
              <w:t>21.9</w:t>
            </w:r>
          </w:p>
        </w:tc>
        <w:tc>
          <w:tcPr>
            <w:tcW w:w="993" w:type="dxa"/>
            <w:shd w:val="clear" w:color="auto" w:fill="DBD9D6"/>
            <w:vAlign w:val="center"/>
          </w:tcPr>
          <w:p w14:paraId="0DC49E79" w14:textId="77777777" w:rsidR="001E029F" w:rsidRPr="000309BB" w:rsidRDefault="001E029F" w:rsidP="00621F74">
            <w:pPr>
              <w:jc w:val="right"/>
            </w:pPr>
            <w:r>
              <w:t>22.2</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jc w:val="right"/>
            </w:pPr>
            <w:r>
              <w:t>10</w:t>
            </w:r>
          </w:p>
        </w:tc>
        <w:tc>
          <w:tcPr>
            <w:tcW w:w="992" w:type="dxa"/>
            <w:vAlign w:val="center"/>
          </w:tcPr>
          <w:p w14:paraId="61541F41" w14:textId="77777777" w:rsidR="001E029F" w:rsidRPr="000309BB" w:rsidRDefault="001E029F" w:rsidP="00621F74">
            <w:pPr>
              <w:jc w:val="right"/>
            </w:pPr>
            <w:r>
              <w:t>26.7</w:t>
            </w:r>
          </w:p>
        </w:tc>
        <w:tc>
          <w:tcPr>
            <w:tcW w:w="992" w:type="dxa"/>
            <w:vAlign w:val="center"/>
          </w:tcPr>
          <w:p w14:paraId="733FF832" w14:textId="77777777" w:rsidR="001E029F" w:rsidRPr="000309BB" w:rsidRDefault="001E029F" w:rsidP="00621F74">
            <w:pPr>
              <w:jc w:val="right"/>
            </w:pPr>
            <w:r>
              <w:t>27.8</w:t>
            </w:r>
          </w:p>
        </w:tc>
        <w:tc>
          <w:tcPr>
            <w:tcW w:w="993" w:type="dxa"/>
            <w:vAlign w:val="center"/>
          </w:tcPr>
          <w:p w14:paraId="78219278" w14:textId="77777777" w:rsidR="001E029F" w:rsidRPr="000309BB" w:rsidRDefault="001E029F" w:rsidP="00621F74">
            <w:pPr>
              <w:jc w:val="right"/>
            </w:pPr>
            <w:r>
              <w:t>28.0</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jc w:val="right"/>
            </w:pPr>
            <w:r>
              <w:t>6</w:t>
            </w:r>
          </w:p>
        </w:tc>
        <w:tc>
          <w:tcPr>
            <w:tcW w:w="979" w:type="dxa"/>
            <w:shd w:val="clear" w:color="auto" w:fill="DBD9D6"/>
            <w:vAlign w:val="center"/>
          </w:tcPr>
          <w:p w14:paraId="466860CA" w14:textId="77777777" w:rsidR="001E029F" w:rsidRPr="008202F2" w:rsidRDefault="001E029F" w:rsidP="00621F74">
            <w:pPr>
              <w:jc w:val="right"/>
            </w:pPr>
            <w:r>
              <w:t>14.3</w:t>
            </w:r>
          </w:p>
        </w:tc>
        <w:tc>
          <w:tcPr>
            <w:tcW w:w="978" w:type="dxa"/>
            <w:shd w:val="clear" w:color="auto" w:fill="DBD9D6"/>
            <w:vAlign w:val="center"/>
          </w:tcPr>
          <w:p w14:paraId="2D560E6F" w14:textId="77777777" w:rsidR="001E029F" w:rsidRPr="008202F2" w:rsidRDefault="001E029F" w:rsidP="00621F74">
            <w:pPr>
              <w:jc w:val="right"/>
            </w:pPr>
            <w:r>
              <w:t>9.3</w:t>
            </w:r>
          </w:p>
        </w:tc>
        <w:tc>
          <w:tcPr>
            <w:tcW w:w="979" w:type="dxa"/>
            <w:shd w:val="clear" w:color="auto" w:fill="DBD9D6"/>
            <w:vAlign w:val="center"/>
          </w:tcPr>
          <w:p w14:paraId="59748520" w14:textId="77777777" w:rsidR="001E029F" w:rsidRPr="008202F2" w:rsidRDefault="001E029F" w:rsidP="00621F74">
            <w:pPr>
              <w:jc w:val="right"/>
            </w:pPr>
            <w:r>
              <w:t>7.2</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jc w:val="right"/>
            </w:pPr>
            <w:r>
              <w:t>8</w:t>
            </w:r>
          </w:p>
        </w:tc>
        <w:tc>
          <w:tcPr>
            <w:tcW w:w="979" w:type="dxa"/>
            <w:vAlign w:val="center"/>
          </w:tcPr>
          <w:p w14:paraId="583C26C8" w14:textId="77777777" w:rsidR="001E029F" w:rsidRPr="008202F2" w:rsidRDefault="001E029F" w:rsidP="00621F74">
            <w:pPr>
              <w:jc w:val="right"/>
            </w:pPr>
            <w:r>
              <w:t>20.2</w:t>
            </w:r>
          </w:p>
        </w:tc>
        <w:tc>
          <w:tcPr>
            <w:tcW w:w="978" w:type="dxa"/>
            <w:vAlign w:val="center"/>
          </w:tcPr>
          <w:p w14:paraId="16A8A42B" w14:textId="77777777" w:rsidR="001E029F" w:rsidRPr="008202F2" w:rsidRDefault="001E029F" w:rsidP="00621F74">
            <w:pPr>
              <w:jc w:val="right"/>
            </w:pPr>
            <w:r>
              <w:t>13.8</w:t>
            </w:r>
          </w:p>
        </w:tc>
        <w:tc>
          <w:tcPr>
            <w:tcW w:w="979" w:type="dxa"/>
            <w:vAlign w:val="center"/>
          </w:tcPr>
          <w:p w14:paraId="5EAED378" w14:textId="77777777" w:rsidR="001E029F" w:rsidRPr="008202F2" w:rsidRDefault="001E029F" w:rsidP="00621F74">
            <w:pPr>
              <w:jc w:val="right"/>
            </w:pPr>
            <w:r>
              <w:t>11.1</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jc w:val="right"/>
            </w:pPr>
            <w:r>
              <w:t>9</w:t>
            </w:r>
          </w:p>
        </w:tc>
        <w:tc>
          <w:tcPr>
            <w:tcW w:w="979" w:type="dxa"/>
            <w:shd w:val="clear" w:color="auto" w:fill="DBD9D6"/>
            <w:vAlign w:val="center"/>
          </w:tcPr>
          <w:p w14:paraId="5E3D7CDD" w14:textId="77777777" w:rsidR="001E029F" w:rsidRPr="008202F2" w:rsidRDefault="001E029F" w:rsidP="00621F74">
            <w:pPr>
              <w:jc w:val="right"/>
            </w:pPr>
            <w:r>
              <w:t>22.3</w:t>
            </w:r>
          </w:p>
        </w:tc>
        <w:tc>
          <w:tcPr>
            <w:tcW w:w="978" w:type="dxa"/>
            <w:shd w:val="clear" w:color="auto" w:fill="DBD9D6"/>
            <w:vAlign w:val="center"/>
          </w:tcPr>
          <w:p w14:paraId="77EC161B" w14:textId="77777777" w:rsidR="001E029F" w:rsidRPr="008202F2" w:rsidRDefault="001E029F" w:rsidP="00621F74">
            <w:pPr>
              <w:jc w:val="right"/>
            </w:pPr>
            <w:r>
              <w:t>11.6</w:t>
            </w:r>
          </w:p>
        </w:tc>
        <w:tc>
          <w:tcPr>
            <w:tcW w:w="979" w:type="dxa"/>
            <w:shd w:val="clear" w:color="auto" w:fill="DBD9D6"/>
            <w:vAlign w:val="center"/>
          </w:tcPr>
          <w:p w14:paraId="3718F242" w14:textId="77777777" w:rsidR="001E029F" w:rsidRPr="008202F2" w:rsidRDefault="001E029F" w:rsidP="00621F74">
            <w:pPr>
              <w:jc w:val="right"/>
            </w:pPr>
            <w:r>
              <w:t>8.5</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jc w:val="right"/>
            </w:pPr>
            <w:r>
              <w:t>8</w:t>
            </w:r>
          </w:p>
        </w:tc>
        <w:tc>
          <w:tcPr>
            <w:tcW w:w="979" w:type="dxa"/>
            <w:vAlign w:val="center"/>
          </w:tcPr>
          <w:p w14:paraId="0A1AA096" w14:textId="77777777" w:rsidR="001E029F" w:rsidRPr="008202F2" w:rsidRDefault="001E029F" w:rsidP="00621F74">
            <w:pPr>
              <w:jc w:val="right"/>
            </w:pPr>
            <w:r>
              <w:t>20.2</w:t>
            </w:r>
          </w:p>
        </w:tc>
        <w:tc>
          <w:tcPr>
            <w:tcW w:w="978" w:type="dxa"/>
            <w:vAlign w:val="center"/>
          </w:tcPr>
          <w:p w14:paraId="3A8F432E" w14:textId="77777777" w:rsidR="001E029F" w:rsidRPr="008202F2" w:rsidRDefault="001E029F" w:rsidP="00621F74">
            <w:pPr>
              <w:jc w:val="right"/>
            </w:pPr>
            <w:r>
              <w:t>9.3</w:t>
            </w:r>
          </w:p>
        </w:tc>
        <w:tc>
          <w:tcPr>
            <w:tcW w:w="979" w:type="dxa"/>
            <w:vAlign w:val="center"/>
          </w:tcPr>
          <w:p w14:paraId="25110764" w14:textId="77777777" w:rsidR="001E029F" w:rsidRPr="008202F2" w:rsidRDefault="001E029F" w:rsidP="00621F74">
            <w:pPr>
              <w:jc w:val="right"/>
            </w:pPr>
            <w:r>
              <w:t>8.7</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jc w:val="right"/>
            </w:pPr>
            <w:r>
              <w:t>np</w:t>
            </w:r>
          </w:p>
        </w:tc>
        <w:tc>
          <w:tcPr>
            <w:tcW w:w="979" w:type="dxa"/>
            <w:shd w:val="clear" w:color="auto" w:fill="DBD9D6"/>
            <w:vAlign w:val="center"/>
          </w:tcPr>
          <w:p w14:paraId="0E53A126" w14:textId="77777777" w:rsidR="001E029F" w:rsidRPr="008202F2" w:rsidRDefault="001E029F" w:rsidP="00621F74">
            <w:pPr>
              <w:jc w:val="right"/>
            </w:pPr>
            <w:r>
              <w:t>10.1</w:t>
            </w:r>
          </w:p>
        </w:tc>
        <w:tc>
          <w:tcPr>
            <w:tcW w:w="978" w:type="dxa"/>
            <w:shd w:val="clear" w:color="auto" w:fill="DBD9D6"/>
            <w:vAlign w:val="center"/>
          </w:tcPr>
          <w:p w14:paraId="3959EF18" w14:textId="77777777" w:rsidR="001E029F" w:rsidRPr="008202F2" w:rsidRDefault="001E029F" w:rsidP="00621F74">
            <w:pPr>
              <w:jc w:val="right"/>
            </w:pPr>
            <w:r>
              <w:t>2.7</w:t>
            </w:r>
          </w:p>
        </w:tc>
        <w:tc>
          <w:tcPr>
            <w:tcW w:w="979" w:type="dxa"/>
            <w:shd w:val="clear" w:color="auto" w:fill="DBD9D6"/>
            <w:vAlign w:val="center"/>
          </w:tcPr>
          <w:p w14:paraId="4A363FB7" w14:textId="77777777" w:rsidR="001E029F" w:rsidRPr="008202F2" w:rsidRDefault="001E029F" w:rsidP="00621F74">
            <w:pPr>
              <w:jc w:val="right"/>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jc w:val="right"/>
            </w:pPr>
            <w:r>
              <w:t>6</w:t>
            </w:r>
          </w:p>
        </w:tc>
        <w:tc>
          <w:tcPr>
            <w:tcW w:w="979" w:type="dxa"/>
            <w:vAlign w:val="center"/>
          </w:tcPr>
          <w:p w14:paraId="68FE02A9" w14:textId="77777777" w:rsidR="001E029F" w:rsidRPr="008202F2" w:rsidRDefault="001E029F" w:rsidP="00621F74">
            <w:pPr>
              <w:jc w:val="right"/>
            </w:pPr>
            <w:r>
              <w:t>16.1</w:t>
            </w:r>
          </w:p>
        </w:tc>
        <w:tc>
          <w:tcPr>
            <w:tcW w:w="978" w:type="dxa"/>
            <w:vAlign w:val="center"/>
          </w:tcPr>
          <w:p w14:paraId="73B8FBB0" w14:textId="77777777" w:rsidR="001E029F" w:rsidRPr="008202F2" w:rsidRDefault="001E029F" w:rsidP="00621F74">
            <w:pPr>
              <w:jc w:val="right"/>
            </w:pPr>
            <w:r>
              <w:t>9.4</w:t>
            </w:r>
          </w:p>
        </w:tc>
        <w:tc>
          <w:tcPr>
            <w:tcW w:w="979" w:type="dxa"/>
            <w:vAlign w:val="center"/>
          </w:tcPr>
          <w:p w14:paraId="1A9C772A" w14:textId="77777777" w:rsidR="001E029F" w:rsidRPr="008202F2" w:rsidRDefault="001E029F" w:rsidP="00621F74">
            <w:pPr>
              <w:jc w:val="right"/>
            </w:pPr>
            <w:r>
              <w:t>6.7</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jc w:val="right"/>
            </w:pPr>
            <w:r>
              <w:t>2</w:t>
            </w:r>
          </w:p>
        </w:tc>
        <w:tc>
          <w:tcPr>
            <w:tcW w:w="980" w:type="dxa"/>
            <w:shd w:val="clear" w:color="auto" w:fill="auto"/>
            <w:vAlign w:val="center"/>
          </w:tcPr>
          <w:p w14:paraId="32C27126" w14:textId="77777777" w:rsidR="001E029F" w:rsidRPr="000309BB" w:rsidRDefault="001E029F" w:rsidP="00621F74">
            <w:pPr>
              <w:jc w:val="right"/>
            </w:pPr>
            <w:r>
              <w:t>6.0</w:t>
            </w:r>
          </w:p>
        </w:tc>
        <w:tc>
          <w:tcPr>
            <w:tcW w:w="980" w:type="dxa"/>
            <w:shd w:val="clear" w:color="auto" w:fill="auto"/>
            <w:vAlign w:val="center"/>
          </w:tcPr>
          <w:p w14:paraId="687B9BF0" w14:textId="77777777" w:rsidR="001E029F" w:rsidRPr="000309BB" w:rsidRDefault="001E029F" w:rsidP="00621F74">
            <w:pPr>
              <w:jc w:val="right"/>
            </w:pPr>
            <w:r>
              <w:t>11.2</w:t>
            </w:r>
          </w:p>
        </w:tc>
        <w:tc>
          <w:tcPr>
            <w:tcW w:w="981" w:type="dxa"/>
            <w:shd w:val="clear" w:color="auto" w:fill="auto"/>
            <w:vAlign w:val="center"/>
          </w:tcPr>
          <w:p w14:paraId="691A3DEC" w14:textId="77777777" w:rsidR="001E029F" w:rsidRPr="000309BB" w:rsidRDefault="001E029F" w:rsidP="00621F74">
            <w:pPr>
              <w:jc w:val="right"/>
            </w:pPr>
            <w:r>
              <w:t>9.0</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jc w:val="right"/>
            </w:pPr>
            <w:r>
              <w:t>np</w:t>
            </w:r>
          </w:p>
        </w:tc>
        <w:tc>
          <w:tcPr>
            <w:tcW w:w="980" w:type="dxa"/>
            <w:shd w:val="clear" w:color="auto" w:fill="DBD9D6"/>
            <w:vAlign w:val="center"/>
          </w:tcPr>
          <w:p w14:paraId="599E26FE" w14:textId="77777777" w:rsidR="001E029F" w:rsidRPr="000309BB" w:rsidRDefault="001E029F" w:rsidP="00621F74">
            <w:pPr>
              <w:jc w:val="right"/>
            </w:pPr>
            <w:r>
              <w:t>3.9</w:t>
            </w:r>
          </w:p>
        </w:tc>
        <w:tc>
          <w:tcPr>
            <w:tcW w:w="980" w:type="dxa"/>
            <w:shd w:val="clear" w:color="auto" w:fill="DBD9D6"/>
            <w:vAlign w:val="center"/>
          </w:tcPr>
          <w:p w14:paraId="234AB39E" w14:textId="77777777" w:rsidR="001E029F" w:rsidRPr="000309BB" w:rsidRDefault="001E029F" w:rsidP="00621F74">
            <w:pPr>
              <w:jc w:val="right"/>
            </w:pPr>
            <w:r>
              <w:t>6.0</w:t>
            </w:r>
          </w:p>
        </w:tc>
        <w:tc>
          <w:tcPr>
            <w:tcW w:w="981" w:type="dxa"/>
            <w:shd w:val="clear" w:color="auto" w:fill="DBD9D6"/>
            <w:vAlign w:val="center"/>
          </w:tcPr>
          <w:p w14:paraId="03D989F8" w14:textId="77777777" w:rsidR="001E029F" w:rsidRPr="000309BB" w:rsidRDefault="001E029F" w:rsidP="00621F74">
            <w:pPr>
              <w:jc w:val="right"/>
            </w:pPr>
            <w:r>
              <w:t>3.6</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jc w:val="right"/>
            </w:pPr>
            <w:r>
              <w:t>np</w:t>
            </w:r>
          </w:p>
        </w:tc>
        <w:tc>
          <w:tcPr>
            <w:tcW w:w="980" w:type="dxa"/>
            <w:vAlign w:val="center"/>
          </w:tcPr>
          <w:p w14:paraId="717C0577" w14:textId="77777777" w:rsidR="001E029F" w:rsidRPr="000309BB" w:rsidRDefault="001E029F" w:rsidP="00621F74">
            <w:pPr>
              <w:jc w:val="right"/>
            </w:pPr>
            <w:r>
              <w:t>6.0</w:t>
            </w:r>
          </w:p>
        </w:tc>
        <w:tc>
          <w:tcPr>
            <w:tcW w:w="980" w:type="dxa"/>
            <w:vAlign w:val="center"/>
          </w:tcPr>
          <w:p w14:paraId="3DEA89D0" w14:textId="77777777" w:rsidR="001E029F" w:rsidRPr="000309BB" w:rsidRDefault="001E029F" w:rsidP="00621F74">
            <w:pPr>
              <w:jc w:val="right"/>
            </w:pPr>
            <w:r>
              <w:t>8.4</w:t>
            </w:r>
          </w:p>
        </w:tc>
        <w:tc>
          <w:tcPr>
            <w:tcW w:w="981" w:type="dxa"/>
            <w:vAlign w:val="center"/>
          </w:tcPr>
          <w:p w14:paraId="69B5B379" w14:textId="77777777" w:rsidR="001E029F" w:rsidRPr="000309BB" w:rsidRDefault="001E029F" w:rsidP="00621F74">
            <w:pPr>
              <w:jc w:val="right"/>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jc w:val="right"/>
            </w:pPr>
            <w:r>
              <w:t>np</w:t>
            </w:r>
          </w:p>
        </w:tc>
        <w:tc>
          <w:tcPr>
            <w:tcW w:w="980" w:type="dxa"/>
            <w:shd w:val="clear" w:color="auto" w:fill="DBD9D6"/>
            <w:vAlign w:val="center"/>
          </w:tcPr>
          <w:p w14:paraId="4E4F6EBF" w14:textId="77777777" w:rsidR="001E029F" w:rsidRPr="000309BB" w:rsidRDefault="001E029F" w:rsidP="00621F74">
            <w:pPr>
              <w:jc w:val="right"/>
            </w:pPr>
            <w:r>
              <w:t>2.1</w:t>
            </w:r>
          </w:p>
        </w:tc>
        <w:tc>
          <w:tcPr>
            <w:tcW w:w="980" w:type="dxa"/>
            <w:shd w:val="clear" w:color="auto" w:fill="DBD9D6"/>
            <w:vAlign w:val="center"/>
          </w:tcPr>
          <w:p w14:paraId="58586AE1" w14:textId="77777777" w:rsidR="001E029F" w:rsidRPr="000309BB" w:rsidRDefault="001E029F" w:rsidP="00621F74">
            <w:pPr>
              <w:jc w:val="right"/>
            </w:pPr>
            <w:r>
              <w:t>3.4</w:t>
            </w:r>
          </w:p>
        </w:tc>
        <w:tc>
          <w:tcPr>
            <w:tcW w:w="981" w:type="dxa"/>
            <w:shd w:val="clear" w:color="auto" w:fill="DBD9D6"/>
            <w:vAlign w:val="center"/>
          </w:tcPr>
          <w:p w14:paraId="53091D3E" w14:textId="77777777" w:rsidR="001E029F" w:rsidRPr="000309BB" w:rsidRDefault="001E029F" w:rsidP="00621F74">
            <w:pPr>
              <w:jc w:val="right"/>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jc w:val="right"/>
            </w:pPr>
          </w:p>
        </w:tc>
        <w:tc>
          <w:tcPr>
            <w:tcW w:w="980" w:type="dxa"/>
            <w:vAlign w:val="center"/>
          </w:tcPr>
          <w:p w14:paraId="052A5D21" w14:textId="77777777" w:rsidR="001E029F" w:rsidRPr="000309BB" w:rsidRDefault="001E029F" w:rsidP="00621F74">
            <w:pPr>
              <w:jc w:val="right"/>
            </w:pPr>
          </w:p>
        </w:tc>
        <w:tc>
          <w:tcPr>
            <w:tcW w:w="980" w:type="dxa"/>
            <w:vAlign w:val="center"/>
          </w:tcPr>
          <w:p w14:paraId="45437BF3" w14:textId="77777777" w:rsidR="001E029F" w:rsidRPr="000309BB" w:rsidRDefault="001E029F" w:rsidP="00621F74">
            <w:pPr>
              <w:jc w:val="right"/>
            </w:pPr>
          </w:p>
        </w:tc>
        <w:tc>
          <w:tcPr>
            <w:tcW w:w="981" w:type="dxa"/>
            <w:vAlign w:val="center"/>
          </w:tcPr>
          <w:p w14:paraId="48F705A0" w14:textId="77777777" w:rsidR="001E029F" w:rsidRPr="000309BB" w:rsidRDefault="001E029F" w:rsidP="00621F74">
            <w:pPr>
              <w:jc w:val="right"/>
            </w:pP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jc w:val="right"/>
            </w:pPr>
            <w:r>
              <w:t>np</w:t>
            </w:r>
          </w:p>
        </w:tc>
        <w:tc>
          <w:tcPr>
            <w:tcW w:w="980" w:type="dxa"/>
            <w:shd w:val="clear" w:color="auto" w:fill="DBD9D6"/>
            <w:vAlign w:val="center"/>
          </w:tcPr>
          <w:p w14:paraId="35B1A855" w14:textId="77777777" w:rsidR="001E029F" w:rsidRPr="000309BB" w:rsidRDefault="001E029F" w:rsidP="00621F74">
            <w:pPr>
              <w:jc w:val="right"/>
            </w:pPr>
            <w:r>
              <w:t>3.9</w:t>
            </w:r>
          </w:p>
        </w:tc>
        <w:tc>
          <w:tcPr>
            <w:tcW w:w="980" w:type="dxa"/>
            <w:shd w:val="clear" w:color="auto" w:fill="DBD9D6"/>
            <w:vAlign w:val="center"/>
          </w:tcPr>
          <w:p w14:paraId="7B939DAA" w14:textId="77777777" w:rsidR="001E029F" w:rsidRPr="000309BB" w:rsidRDefault="001E029F" w:rsidP="00621F74">
            <w:pPr>
              <w:jc w:val="right"/>
            </w:pPr>
            <w:r>
              <w:t>5.6</w:t>
            </w:r>
          </w:p>
        </w:tc>
        <w:tc>
          <w:tcPr>
            <w:tcW w:w="981" w:type="dxa"/>
            <w:shd w:val="clear" w:color="auto" w:fill="DBD9D6"/>
            <w:vAlign w:val="center"/>
          </w:tcPr>
          <w:p w14:paraId="69148C53" w14:textId="77777777" w:rsidR="001E029F" w:rsidRPr="000309BB" w:rsidRDefault="001E029F" w:rsidP="00621F74">
            <w:pPr>
              <w:jc w:val="right"/>
            </w:pPr>
            <w:r>
              <w:t>3.4</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jc w:val="right"/>
            </w:pPr>
            <w:r>
              <w:t>np</w:t>
            </w:r>
          </w:p>
        </w:tc>
        <w:tc>
          <w:tcPr>
            <w:tcW w:w="980" w:type="dxa"/>
            <w:vAlign w:val="center"/>
          </w:tcPr>
          <w:p w14:paraId="510D5CA8" w14:textId="77777777" w:rsidR="001E029F" w:rsidRPr="000309BB" w:rsidRDefault="001E029F" w:rsidP="00621F74">
            <w:pPr>
              <w:jc w:val="right"/>
            </w:pPr>
            <w:r>
              <w:t>2.1</w:t>
            </w:r>
          </w:p>
        </w:tc>
        <w:tc>
          <w:tcPr>
            <w:tcW w:w="980" w:type="dxa"/>
            <w:vAlign w:val="center"/>
          </w:tcPr>
          <w:p w14:paraId="08A8860E" w14:textId="77777777" w:rsidR="001E029F" w:rsidRPr="000309BB" w:rsidRDefault="001E029F" w:rsidP="00621F74">
            <w:pPr>
              <w:jc w:val="right"/>
            </w:pPr>
            <w:r>
              <w:t>0.9</w:t>
            </w:r>
          </w:p>
        </w:tc>
        <w:tc>
          <w:tcPr>
            <w:tcW w:w="981" w:type="dxa"/>
            <w:vAlign w:val="center"/>
          </w:tcPr>
          <w:p w14:paraId="442B8594" w14:textId="77777777" w:rsidR="001E029F" w:rsidRPr="000309BB" w:rsidRDefault="001E029F" w:rsidP="00621F74">
            <w:pPr>
              <w:jc w:val="right"/>
            </w:pPr>
            <w:r>
              <w:t>0.7</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jc w:val="right"/>
            </w:pPr>
            <w:r>
              <w:t>6</w:t>
            </w:r>
          </w:p>
        </w:tc>
        <w:tc>
          <w:tcPr>
            <w:tcW w:w="980" w:type="dxa"/>
            <w:shd w:val="clear" w:color="auto" w:fill="DBD9D6"/>
            <w:vAlign w:val="center"/>
          </w:tcPr>
          <w:p w14:paraId="2E7EF981" w14:textId="77777777" w:rsidR="001E029F" w:rsidRPr="000309BB" w:rsidRDefault="001E029F" w:rsidP="00621F74">
            <w:pPr>
              <w:jc w:val="right"/>
            </w:pPr>
            <w:r>
              <w:t>14.2</w:t>
            </w:r>
          </w:p>
        </w:tc>
        <w:tc>
          <w:tcPr>
            <w:tcW w:w="980" w:type="dxa"/>
            <w:shd w:val="clear" w:color="auto" w:fill="DBD9D6"/>
            <w:vAlign w:val="center"/>
          </w:tcPr>
          <w:p w14:paraId="58369790" w14:textId="77777777" w:rsidR="001E029F" w:rsidRPr="000309BB" w:rsidRDefault="001E029F" w:rsidP="00621F74">
            <w:pPr>
              <w:jc w:val="right"/>
            </w:pPr>
            <w:r>
              <w:t>12.6</w:t>
            </w:r>
          </w:p>
        </w:tc>
        <w:tc>
          <w:tcPr>
            <w:tcW w:w="981" w:type="dxa"/>
            <w:shd w:val="clear" w:color="auto" w:fill="DBD9D6"/>
            <w:vAlign w:val="center"/>
          </w:tcPr>
          <w:p w14:paraId="41615703" w14:textId="77777777" w:rsidR="001E029F" w:rsidRPr="000309BB" w:rsidRDefault="001E029F" w:rsidP="00621F74">
            <w:pPr>
              <w:jc w:val="right"/>
            </w:pPr>
            <w:r>
              <w:t>8.1</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 xml:space="preserve">2019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0"/>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CFAF" w14:textId="77777777" w:rsidR="00500009" w:rsidRDefault="00500009" w:rsidP="003967DD">
      <w:pPr>
        <w:spacing w:after="0"/>
      </w:pPr>
      <w:r>
        <w:separator/>
      </w:r>
    </w:p>
  </w:endnote>
  <w:endnote w:type="continuationSeparator" w:id="0">
    <w:p w14:paraId="111CFCC4" w14:textId="77777777" w:rsidR="00500009" w:rsidRDefault="0050000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32C5714E"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A6AF7">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CCF9" w14:textId="77777777" w:rsidR="00500009" w:rsidRDefault="00500009" w:rsidP="003967DD">
      <w:pPr>
        <w:spacing w:after="0"/>
      </w:pPr>
      <w:r>
        <w:separator/>
      </w:r>
    </w:p>
  </w:footnote>
  <w:footnote w:type="continuationSeparator" w:id="0">
    <w:p w14:paraId="3BB2BC35" w14:textId="77777777" w:rsidR="00500009" w:rsidRDefault="0050000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A4A96"/>
    <w:rsid w:val="002A6AF7"/>
    <w:rsid w:val="002D7A53"/>
    <w:rsid w:val="002E3BED"/>
    <w:rsid w:val="002E3D70"/>
    <w:rsid w:val="00312720"/>
    <w:rsid w:val="00370FE8"/>
    <w:rsid w:val="003967DD"/>
    <w:rsid w:val="00462E81"/>
    <w:rsid w:val="00500009"/>
    <w:rsid w:val="00584366"/>
    <w:rsid w:val="00624A55"/>
    <w:rsid w:val="00667EEC"/>
    <w:rsid w:val="006A25AC"/>
    <w:rsid w:val="00736FB0"/>
    <w:rsid w:val="00744E46"/>
    <w:rsid w:val="0075161D"/>
    <w:rsid w:val="00773CA2"/>
    <w:rsid w:val="007A79D0"/>
    <w:rsid w:val="007B556E"/>
    <w:rsid w:val="007D3E38"/>
    <w:rsid w:val="00A31926"/>
    <w:rsid w:val="00A32726"/>
    <w:rsid w:val="00A63D55"/>
    <w:rsid w:val="00A85159"/>
    <w:rsid w:val="00AB25E1"/>
    <w:rsid w:val="00AD20AB"/>
    <w:rsid w:val="00B211E6"/>
    <w:rsid w:val="00C33245"/>
    <w:rsid w:val="00D013E1"/>
    <w:rsid w:val="00D13BC2"/>
    <w:rsid w:val="00D22695"/>
    <w:rsid w:val="00D50FA3"/>
    <w:rsid w:val="00DA3218"/>
    <w:rsid w:val="00F9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education.vic.gov.au/about/research/Pages/reportdatahealth.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SEHQ_Hindmarsh_LGA_2021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2474EC0B-1211-4464-8DC2-3FA4982A734A}"/>
</file>

<file path=customXml/itemProps2.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3213104d-366f-4e50-bd7d-bb1f006fa0c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Mary Fenech</cp:lastModifiedBy>
  <cp:revision>3</cp:revision>
  <dcterms:created xsi:type="dcterms:W3CDTF">2022-04-28T03:12:00Z</dcterms:created>
  <dcterms:modified xsi:type="dcterms:W3CDTF">2022-04-28T03:17:00Z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ecordPoint_WorkflowType">
    <vt:lpwstr>ActiveSubmitStub</vt:lpwstr>
  </property>
  <property fmtid="{D5CDD505-2E9C-101B-9397-08002B2CF9AE}" pid="8" name="RecordPoint_ActiveItemListId">
    <vt:lpwstr>{17a1d9b9-207b-4c38-8007-d3ee0423c442}</vt:lpwstr>
  </property>
  <property fmtid="{D5CDD505-2E9C-101B-9397-08002B2CF9AE}" pid="9" name="RecordPoint_ActiveItemUniqueId">
    <vt:lpwstr>{31af218b-1f3d-42e9-bd86-f7e91ef05bcf}</vt:lpwstr>
  </property>
  <property fmtid="{D5CDD505-2E9C-101B-9397-08002B2CF9AE}" pid="10" name="RecordPoint_ActiveItemWebId">
    <vt:lpwstr>{e93fa699-4810-4a92-91d8-f3ea09702ed4}</vt:lpwstr>
  </property>
  <property fmtid="{D5CDD505-2E9C-101B-9397-08002B2CF9AE}" pid="11" name="RecordPoint_ActiveItemSiteId">
    <vt:lpwstr>{bada3518-a604-4f15-8bc7-4552d36ee98e}</vt:lpwstr>
  </property>
  <property fmtid="{D5CDD505-2E9C-101B-9397-08002B2CF9AE}" pid="12" name="RecordPoint_RecordNumberSubmitted">
    <vt:lpwstr>R20220266132</vt:lpwstr>
  </property>
  <property fmtid="{D5CDD505-2E9C-101B-9397-08002B2CF9AE}" pid="13" name="RecordPoint_SubmissionCompleted">
    <vt:lpwstr>2022-05-04T09:33:15.5843385+10:00</vt:lpwstr>
  </property>
  <property fmtid="{D5CDD505-2E9C-101B-9397-08002B2CF9AE}" pid="14" name="DET_EDRMS_RCS">
    <vt:lpwstr/>
  </property>
  <property fmtid="{D5CDD505-2E9C-101B-9397-08002B2CF9AE}" pid="15" name="DET_EDRMS_BusUnit">
    <vt:lpwstr/>
  </property>
  <property fmtid="{D5CDD505-2E9C-101B-9397-08002B2CF9AE}" pid="16" name="DET_EDRMS_SecClass">
    <vt:lpwstr/>
  </property>
  <property fmtid="{D5CDD505-2E9C-101B-9397-08002B2CF9AE}" pid="17" name="DET_EDRMS_RCSTaxHTField0">
    <vt:lpwstr/>
  </property>
  <property fmtid="{D5CDD505-2E9C-101B-9397-08002B2CF9AE}" pid="19" name="TaxCatchAll">
    <vt:lpwstr/>
  </property>
  <property fmtid="{D5CDD505-2E9C-101B-9397-08002B2CF9AE}" pid="20" name="DET_EDRMS_SecClassTaxHTField0">
    <vt:lpwstr/>
  </property>
  <property fmtid="{D5CDD505-2E9C-101B-9397-08002B2CF9AE}" pid="23" name="DET_EDRMS_BusUnitTaxHTField0">
    <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ies>
</file>