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Murrindindi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Murrindindi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Murrindindi (S)</w:t>
      </w:r>
      <w:r w:rsidRPr="00737C52">
        <w:rPr>
          <w:rFonts w:ascii="Arial" w:hAnsi="Arial" w:cs="Arial"/>
          <w:sz w:val="22"/>
          <w:szCs w:val="22"/>
        </w:rPr>
        <w:t xml:space="preserve">, there were </w:t>
      </w:r>
      <w:r>
        <w:rPr>
          <w:rFonts w:ascii="Arial" w:hAnsi="Arial" w:cs="Arial"/>
          <w:sz w:val="22"/>
          <w:szCs w:val="22"/>
        </w:rPr>
        <w:t>122</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59.9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43.7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79.4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21.4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19.6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13.7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EF4DB25-3695-4D7B-8FA6-50CA4DB733C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