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8933FA1" w:rsidR="002D7A53" w:rsidRPr="00D50FA3" w:rsidRDefault="00DD3BC2" w:rsidP="00A63D55">
      <w:pPr>
        <w:pStyle w:val="Coversubtitle"/>
        <w:rPr>
          <w:b/>
          <w:color w:val="004EA8" w:themeColor="accent1"/>
          <w:sz w:val="28"/>
          <w:szCs w:val="28"/>
        </w:rPr>
      </w:pPr>
      <w:r w:rsidRPr="00B06194">
        <w:rPr>
          <w:noProof/>
        </w:rPr>
        <mc:AlternateContent>
          <mc:Choice Requires="wps">
            <w:drawing>
              <wp:anchor distT="45720" distB="45720" distL="114300" distR="114300" simplePos="0" relativeHeight="251659264" behindDoc="0" locked="0" layoutInCell="1" allowOverlap="1" wp14:anchorId="53FCD8E8" wp14:editId="30EA0B2B">
                <wp:simplePos x="0" y="0"/>
                <wp:positionH relativeFrom="column">
                  <wp:posOffset>-85061</wp:posOffset>
                </wp:positionH>
                <wp:positionV relativeFrom="paragraph">
                  <wp:posOffset>268162</wp:posOffset>
                </wp:positionV>
                <wp:extent cx="6324600" cy="781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781050"/>
                        </a:xfrm>
                        <a:prstGeom prst="rect">
                          <a:avLst/>
                        </a:prstGeom>
                        <a:solidFill>
                          <a:srgbClr val="FFFFFF"/>
                        </a:solidFill>
                        <a:ln w="9525">
                          <a:noFill/>
                          <a:miter lim="800000"/>
                          <a:headEnd/>
                          <a:tailEnd/>
                        </a:ln>
                      </wps:spPr>
                      <wps:txbx>
                        <w:txbxContent>
                          <w:p w14:paraId="358C27B1" w14:textId="77777777" w:rsidR="00DD3BC2" w:rsidRPr="002555E0" w:rsidRDefault="00DD3BC2" w:rsidP="00DD3BC2">
                            <w:pPr>
                              <w:rPr>
                                <w:strike/>
                                <w:color w:val="FF0000"/>
                              </w:rPr>
                            </w:pPr>
                            <w:r w:rsidRPr="002555E0">
                              <w:rPr>
                                <w:color w:val="FF0000"/>
                              </w:rPr>
                              <w:t xml:space="preserve">Due to the Victorian 2019-2020 Bushfire and COVID-19 related events, there was significant disruption to the distribution of the School Entrant Health Questionnaire (SEHQ) throughout 2020. As a result of a very low number of respondents, the 2020 SEHQ report is not available for this LGA. </w:t>
                            </w:r>
                          </w:p>
                          <w:p w14:paraId="5CDB758F" w14:textId="77777777" w:rsidR="00DD3BC2" w:rsidRPr="002555E0" w:rsidRDefault="00DD3BC2" w:rsidP="00DD3BC2">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CD8E8" id="_x0000_t202" coordsize="21600,21600" o:spt="202" path="m,l,21600r21600,l21600,xe">
                <v:stroke joinstyle="miter"/>
                <v:path gradientshapeok="t" o:connecttype="rect"/>
              </v:shapetype>
              <v:shape id="Text Box 2" o:spid="_x0000_s1026" type="#_x0000_t202" style="position:absolute;margin-left:-6.7pt;margin-top:21.1pt;width:498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6zIAIAAB0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loMV1SYpjG&#10;Jj2JIZAPMJAi8tNbX2LYo8XAMOA19jnV6u0D8J+eGNh2zOzFnXPQd4I1mN80vsyuno44PoLU/Rdo&#10;8Bt2CJCAhtbpSB7SQRAd+3S69CamwvFy8b6YLXJ0cfQtV9N8npqXsfL5tXU+fBKgSTxU1GHvEzo7&#10;PvgQs2Hlc0j8zIOSzU4qlQy3r7fKkSNDnezSSgW8ClOG9BW9mRfzhGwgvk8S0jKgjpXUFV3lcY3K&#10;imx8NE0KCUyq8YyZKHOmJzIychOGesDAyFkNzQmJcjDqFecLDx2435T0qNWK+l8H5gQl6rNBsm+m&#10;s1kUdzJm82WBhrv21NceZjhCVTRQMh63IQ1E5MHAHTallYmvl0zOuaIGE43neYkiv7ZT1MtUb/4A&#10;AAD//wMAUEsDBBQABgAIAAAAIQCjZu3A3wAAAAoBAAAPAAAAZHJzL2Rvd25yZXYueG1sTI9BbsIw&#10;EEX3lXoHayp1U4FDGgKEOKit1KpbKAdw4iGJiMdRbEi4faershz9p//f5LvJduKKg28dKVjMIxBI&#10;lTMt1QqOP5+zNQgfNBndOUIFN/SwKx4fcp0ZN9Ier4dQCy4hn2kFTQh9JqWvGrTaz12PxNnJDVYH&#10;PodamkGPXG47GUdRKq1uiRca3eNHg9X5cLEKTt/jy3Izll/huNon6btuV6W7KfX8NL1tQQScwj8M&#10;f/qsDgU7le5CxotOwWzxmjCqIIljEAxs1nEKomQyXcYgi1zev1D8AgAA//8DAFBLAQItABQABgAI&#10;AAAAIQC2gziS/gAAAOEBAAATAAAAAAAAAAAAAAAAAAAAAABbQ29udGVudF9UeXBlc10ueG1sUEsB&#10;Ai0AFAAGAAgAAAAhADj9If/WAAAAlAEAAAsAAAAAAAAAAAAAAAAALwEAAF9yZWxzLy5yZWxzUEsB&#10;Ai0AFAAGAAgAAAAhABSp7rMgAgAAHQQAAA4AAAAAAAAAAAAAAAAALgIAAGRycy9lMm9Eb2MueG1s&#10;UEsBAi0AFAAGAAgAAAAhAKNm7cDfAAAACgEAAA8AAAAAAAAAAAAAAAAAegQAAGRycy9kb3ducmV2&#10;LnhtbFBLBQYAAAAABAAEAPMAAACGBQAAAAA=&#10;" stroked="f">
                <v:textbox>
                  <w:txbxContent>
                    <w:p w14:paraId="358C27B1" w14:textId="77777777" w:rsidR="00DD3BC2" w:rsidRPr="002555E0" w:rsidRDefault="00DD3BC2" w:rsidP="00DD3BC2">
                      <w:pPr>
                        <w:rPr>
                          <w:strike/>
                          <w:color w:val="FF0000"/>
                        </w:rPr>
                      </w:pPr>
                      <w:r w:rsidRPr="002555E0">
                        <w:rPr>
                          <w:color w:val="FF0000"/>
                        </w:rPr>
                        <w:t xml:space="preserve">Due to the Victorian 2019-2020 Bushfire and COVID-19 related events, there was significant disruption to the distribution of the School Entrant Health Questionnaire (SEHQ) throughout 2020. As a result of a very low number of respondents, the 2020 SEHQ report is not available for this LGA. </w:t>
                      </w:r>
                    </w:p>
                    <w:p w14:paraId="5CDB758F" w14:textId="77777777" w:rsidR="00DD3BC2" w:rsidRPr="002555E0" w:rsidRDefault="00DD3BC2" w:rsidP="00DD3BC2">
                      <w:pPr>
                        <w:rPr>
                          <w:color w:val="FF0000"/>
                        </w:rPr>
                      </w:pPr>
                    </w:p>
                  </w:txbxContent>
                </v:textbox>
                <w10:wrap type="square"/>
              </v:shape>
            </w:pict>
          </mc:Fallback>
        </mc:AlternateContent>
      </w:r>
      <w:r w:rsidR="002D7A53">
        <w:rPr>
          <w:b/>
          <w:color w:val="004EA8" w:themeColor="accent1"/>
          <w:sz w:val="28"/>
          <w:szCs w:val="28"/>
        </w:rPr>
        <w:t>Horsham (RC)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Horsham (RC)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Horsham (RC)</w:t>
      </w:r>
      <w:r w:rsidRPr="00737C52">
        <w:rPr>
          <w:rFonts w:ascii="Arial" w:hAnsi="Arial" w:cs="Arial"/>
          <w:sz w:val="22"/>
          <w:szCs w:val="22"/>
        </w:rPr>
        <w:t xml:space="preserve">, there were </w:t>
      </w:r>
      <w:r>
        <w:rPr>
          <w:rFonts w:ascii="Arial" w:hAnsi="Arial" w:cs="Arial"/>
          <w:sz w:val="22"/>
          <w:szCs w:val="22"/>
        </w:rPr>
        <w:t>192 children (0.3</w:t>
      </w:r>
      <w:r w:rsidRPr="00737C52">
        <w:rPr>
          <w:rFonts w:ascii="Arial" w:hAnsi="Arial" w:cs="Arial"/>
          <w:sz w:val="22"/>
          <w:szCs w:val="22"/>
        </w:rPr>
        <w:t xml:space="preserve">% of the state total of </w:t>
      </w:r>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 xml:space="preserve">2019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 xml:space="preserve">2019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6.8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35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18.5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9.9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179</w:t>
            </w:r>
          </w:p>
        </w:tc>
        <w:tc>
          <w:tcPr>
            <w:tcW w:w="993" w:type="dxa"/>
            <w:shd w:val="clear" w:color="auto" w:fill="DBD9D6"/>
            <w:vAlign w:val="center"/>
          </w:tcPr>
          <w:p w14:paraId="5D8532A7" w14:textId="77777777" w:rsidR="001E029F" w:rsidRPr="002A4320" w:rsidRDefault="001E029F" w:rsidP="00621F74">
            <w:pPr>
              <w:jc w:val="right"/>
            </w:pPr>
            <w:r>
              <w:t>93.3</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20</w:t>
            </w:r>
          </w:p>
        </w:tc>
        <w:tc>
          <w:tcPr>
            <w:tcW w:w="993" w:type="dxa"/>
            <w:shd w:val="clear" w:color="auto" w:fill="DBD9D6"/>
            <w:vAlign w:val="center"/>
          </w:tcPr>
          <w:p w14:paraId="4D8AF476" w14:textId="77777777" w:rsidR="001E029F" w:rsidRPr="002A4320" w:rsidRDefault="001E029F" w:rsidP="00621F74">
            <w:pPr>
              <w:jc w:val="right"/>
            </w:pPr>
            <w:r>
              <w:t>10.2</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20.4</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20</w:t>
            </w:r>
          </w:p>
        </w:tc>
        <w:tc>
          <w:tcPr>
            <w:tcW w:w="993" w:type="dxa"/>
            <w:shd w:val="clear" w:color="auto" w:fill="DBD9D6"/>
            <w:vAlign w:val="center"/>
          </w:tcPr>
          <w:p w14:paraId="381D2E35" w14:textId="77777777" w:rsidR="001E029F" w:rsidRPr="002A4320" w:rsidRDefault="001E029F" w:rsidP="00621F74">
            <w:pPr>
              <w:jc w:val="right"/>
            </w:pPr>
            <w:r>
              <w:t>10.3</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35.0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teeth, gums etc)</w:t>
            </w:r>
          </w:p>
        </w:tc>
        <w:tc>
          <w:tcPr>
            <w:tcW w:w="992" w:type="dxa"/>
            <w:shd w:val="clear" w:color="auto" w:fill="auto"/>
            <w:vAlign w:val="center"/>
          </w:tcPr>
          <w:p w14:paraId="75DF697D" w14:textId="77777777" w:rsidR="001E029F" w:rsidRPr="000309BB" w:rsidRDefault="001E029F" w:rsidP="00621F74">
            <w:pPr>
              <w:jc w:val="right"/>
            </w:pPr>
            <w:r>
              <w:t>28</w:t>
            </w:r>
          </w:p>
        </w:tc>
        <w:tc>
          <w:tcPr>
            <w:tcW w:w="992" w:type="dxa"/>
            <w:shd w:val="clear" w:color="auto" w:fill="auto"/>
            <w:vAlign w:val="center"/>
          </w:tcPr>
          <w:p w14:paraId="16DEDDFE" w14:textId="77777777" w:rsidR="001E029F" w:rsidRPr="000309BB" w:rsidRDefault="001E029F" w:rsidP="00621F74">
            <w:pPr>
              <w:jc w:val="right"/>
            </w:pPr>
            <w:r>
              <w:t>14.8</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47</w:t>
            </w:r>
          </w:p>
        </w:tc>
        <w:tc>
          <w:tcPr>
            <w:tcW w:w="992" w:type="dxa"/>
            <w:shd w:val="clear" w:color="auto" w:fill="DBD9D6"/>
            <w:vAlign w:val="center"/>
          </w:tcPr>
          <w:p w14:paraId="0369F49C" w14:textId="77777777" w:rsidR="001E029F" w:rsidRPr="000309BB" w:rsidRDefault="001E029F" w:rsidP="00621F74">
            <w:pPr>
              <w:jc w:val="right"/>
            </w:pPr>
            <w:r>
              <w:t>24.5</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9</w:t>
            </w:r>
          </w:p>
        </w:tc>
        <w:tc>
          <w:tcPr>
            <w:tcW w:w="992" w:type="dxa"/>
            <w:vAlign w:val="center"/>
          </w:tcPr>
          <w:p w14:paraId="741712E5" w14:textId="77777777" w:rsidR="001E029F" w:rsidRPr="000309BB" w:rsidRDefault="001E029F" w:rsidP="00621F74">
            <w:pPr>
              <w:jc w:val="right"/>
            </w:pPr>
            <w:r>
              <w:t>18.6</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179</w:t>
            </w:r>
          </w:p>
        </w:tc>
        <w:tc>
          <w:tcPr>
            <w:tcW w:w="997" w:type="dxa"/>
            <w:shd w:val="clear" w:color="auto" w:fill="DBD9D6"/>
            <w:vAlign w:val="center"/>
          </w:tcPr>
          <w:p w14:paraId="29E25415" w14:textId="77777777" w:rsidR="001E029F" w:rsidRPr="000309BB" w:rsidRDefault="001E029F" w:rsidP="00621F74">
            <w:pPr>
              <w:jc w:val="right"/>
            </w:pPr>
            <w:r>
              <w:t>93.3</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39</w:t>
            </w:r>
          </w:p>
        </w:tc>
        <w:tc>
          <w:tcPr>
            <w:tcW w:w="997" w:type="dxa"/>
            <w:vAlign w:val="center"/>
          </w:tcPr>
          <w:p w14:paraId="3A93D8EB" w14:textId="77777777" w:rsidR="001E029F" w:rsidRPr="000309BB" w:rsidRDefault="001E029F" w:rsidP="00621F74">
            <w:pPr>
              <w:jc w:val="right"/>
            </w:pPr>
            <w:r>
              <w:t>20.5</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35</w:t>
            </w:r>
          </w:p>
        </w:tc>
        <w:tc>
          <w:tcPr>
            <w:tcW w:w="997" w:type="dxa"/>
            <w:vAlign w:val="center"/>
          </w:tcPr>
          <w:p w14:paraId="7B842FA7" w14:textId="77777777" w:rsidR="001E029F" w:rsidRPr="000309BB" w:rsidRDefault="001E029F" w:rsidP="00621F74">
            <w:pPr>
              <w:jc w:val="right"/>
            </w:pPr>
            <w:r>
              <w:t>18.5</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99</w:t>
            </w:r>
          </w:p>
        </w:tc>
        <w:tc>
          <w:tcPr>
            <w:tcW w:w="997" w:type="dxa"/>
            <w:shd w:val="clear" w:color="auto" w:fill="DBD9D6"/>
            <w:vAlign w:val="center"/>
          </w:tcPr>
          <w:p w14:paraId="45437AB6" w14:textId="77777777" w:rsidR="001E029F" w:rsidRPr="000309BB" w:rsidRDefault="001E029F" w:rsidP="00621F74">
            <w:pPr>
              <w:jc w:val="right"/>
            </w:pPr>
            <w:r>
              <w:t>51.5</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14</w:t>
            </w:r>
          </w:p>
        </w:tc>
        <w:tc>
          <w:tcPr>
            <w:tcW w:w="997" w:type="dxa"/>
            <w:vAlign w:val="center"/>
          </w:tcPr>
          <w:p w14:paraId="2D8CC06E" w14:textId="77777777" w:rsidR="001E029F" w:rsidRPr="000309BB" w:rsidRDefault="001E029F" w:rsidP="00621F74">
            <w:pPr>
              <w:jc w:val="right"/>
            </w:pPr>
            <w:r>
              <w:t>7.5</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174</w:t>
            </w:r>
          </w:p>
        </w:tc>
        <w:tc>
          <w:tcPr>
            <w:tcW w:w="997" w:type="dxa"/>
            <w:shd w:val="clear" w:color="auto" w:fill="DBD9D6"/>
            <w:vAlign w:val="center"/>
          </w:tcPr>
          <w:p w14:paraId="5C6F2447" w14:textId="77777777" w:rsidR="001E029F" w:rsidRPr="000309BB" w:rsidRDefault="001E029F" w:rsidP="00621F74">
            <w:pPr>
              <w:jc w:val="right"/>
            </w:pPr>
            <w:r>
              <w:t>90.6</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34</w:t>
            </w:r>
          </w:p>
        </w:tc>
        <w:tc>
          <w:tcPr>
            <w:tcW w:w="992" w:type="dxa"/>
            <w:shd w:val="clear" w:color="auto" w:fill="auto"/>
            <w:vAlign w:val="center"/>
          </w:tcPr>
          <w:p w14:paraId="4F9FCCEA" w14:textId="77777777" w:rsidR="001E029F" w:rsidRPr="000309BB" w:rsidRDefault="001E029F" w:rsidP="00621F74">
            <w:pPr>
              <w:jc w:val="right"/>
            </w:pPr>
            <w:r>
              <w:t>17.6</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47</w:t>
            </w:r>
          </w:p>
        </w:tc>
        <w:tc>
          <w:tcPr>
            <w:tcW w:w="992" w:type="dxa"/>
            <w:shd w:val="clear" w:color="auto" w:fill="DBD9D6"/>
            <w:vAlign w:val="center"/>
          </w:tcPr>
          <w:p w14:paraId="2F3BAF70" w14:textId="77777777" w:rsidR="001E029F" w:rsidRPr="000309BB" w:rsidRDefault="001E029F" w:rsidP="00621F74">
            <w:pPr>
              <w:jc w:val="right"/>
            </w:pPr>
            <w:r>
              <w:t>24.5</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53</w:t>
            </w:r>
          </w:p>
        </w:tc>
        <w:tc>
          <w:tcPr>
            <w:tcW w:w="992" w:type="dxa"/>
            <w:vAlign w:val="center"/>
          </w:tcPr>
          <w:p w14:paraId="61541F41" w14:textId="77777777" w:rsidR="001E029F" w:rsidRPr="000309BB" w:rsidRDefault="001E029F" w:rsidP="00621F74">
            <w:pPr>
              <w:jc w:val="right"/>
            </w:pPr>
            <w:r>
              <w:t>27.8</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16</w:t>
            </w:r>
          </w:p>
        </w:tc>
        <w:tc>
          <w:tcPr>
            <w:tcW w:w="979" w:type="dxa"/>
            <w:shd w:val="clear" w:color="auto" w:fill="DBD9D6"/>
            <w:vAlign w:val="center"/>
          </w:tcPr>
          <w:p w14:paraId="466860CA" w14:textId="77777777" w:rsidR="001E029F" w:rsidRPr="008202F2" w:rsidRDefault="001E029F" w:rsidP="00621F74">
            <w:pPr>
              <w:jc w:val="right"/>
            </w:pPr>
            <w:r>
              <w:t>8.3</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28</w:t>
            </w:r>
          </w:p>
        </w:tc>
        <w:tc>
          <w:tcPr>
            <w:tcW w:w="979" w:type="dxa"/>
            <w:vAlign w:val="center"/>
          </w:tcPr>
          <w:p w14:paraId="583C26C8" w14:textId="77777777" w:rsidR="001E029F" w:rsidRPr="008202F2" w:rsidRDefault="001E029F" w:rsidP="00621F74">
            <w:pPr>
              <w:jc w:val="right"/>
            </w:pPr>
            <w:r>
              <w:t>14.5</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21</w:t>
            </w:r>
          </w:p>
        </w:tc>
        <w:tc>
          <w:tcPr>
            <w:tcW w:w="979" w:type="dxa"/>
            <w:shd w:val="clear" w:color="auto" w:fill="DBD9D6"/>
            <w:vAlign w:val="center"/>
          </w:tcPr>
          <w:p w14:paraId="5E3D7CDD" w14:textId="77777777" w:rsidR="001E029F" w:rsidRPr="008202F2" w:rsidRDefault="001E029F" w:rsidP="00621F74">
            <w:pPr>
              <w:jc w:val="right"/>
            </w:pPr>
            <w:r>
              <w:t>10.9</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26</w:t>
            </w:r>
          </w:p>
        </w:tc>
        <w:tc>
          <w:tcPr>
            <w:tcW w:w="979" w:type="dxa"/>
            <w:vAlign w:val="center"/>
          </w:tcPr>
          <w:p w14:paraId="0A1AA096" w14:textId="77777777" w:rsidR="001E029F" w:rsidRPr="008202F2" w:rsidRDefault="001E029F" w:rsidP="00621F74">
            <w:pPr>
              <w:jc w:val="right"/>
            </w:pPr>
            <w:r>
              <w:t>13.5</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5</w:t>
            </w:r>
          </w:p>
        </w:tc>
        <w:tc>
          <w:tcPr>
            <w:tcW w:w="979" w:type="dxa"/>
            <w:shd w:val="clear" w:color="auto" w:fill="DBD9D6"/>
            <w:vAlign w:val="center"/>
          </w:tcPr>
          <w:p w14:paraId="0E53A126" w14:textId="77777777" w:rsidR="001E029F" w:rsidRPr="008202F2" w:rsidRDefault="001E029F" w:rsidP="00621F74">
            <w:pPr>
              <w:jc w:val="right"/>
            </w:pPr>
            <w:r>
              <w:t>2.6</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16</w:t>
            </w:r>
          </w:p>
        </w:tc>
        <w:tc>
          <w:tcPr>
            <w:tcW w:w="979" w:type="dxa"/>
            <w:vAlign w:val="center"/>
          </w:tcPr>
          <w:p w14:paraId="68FE02A9" w14:textId="77777777" w:rsidR="001E029F" w:rsidRPr="008202F2" w:rsidRDefault="001E029F" w:rsidP="00621F74">
            <w:pPr>
              <w:jc w:val="right"/>
            </w:pPr>
            <w:r>
              <w:t>8.3</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29</w:t>
            </w:r>
          </w:p>
        </w:tc>
        <w:tc>
          <w:tcPr>
            <w:tcW w:w="980" w:type="dxa"/>
            <w:shd w:val="clear" w:color="auto" w:fill="auto"/>
            <w:vAlign w:val="center"/>
          </w:tcPr>
          <w:p w14:paraId="32C27126" w14:textId="77777777" w:rsidR="001E029F" w:rsidRPr="000309BB" w:rsidRDefault="001E029F" w:rsidP="00621F74">
            <w:pPr>
              <w:jc w:val="right"/>
            </w:pPr>
            <w:r>
              <w:t>15.0</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14</w:t>
            </w:r>
          </w:p>
        </w:tc>
        <w:tc>
          <w:tcPr>
            <w:tcW w:w="980" w:type="dxa"/>
            <w:shd w:val="clear" w:color="auto" w:fill="DBD9D6"/>
            <w:vAlign w:val="center"/>
          </w:tcPr>
          <w:p w14:paraId="599E26FE" w14:textId="77777777" w:rsidR="001E029F" w:rsidRPr="000309BB" w:rsidRDefault="001E029F" w:rsidP="00621F74">
            <w:pPr>
              <w:jc w:val="right"/>
            </w:pPr>
            <w:r>
              <w:t>7.2</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15</w:t>
            </w:r>
          </w:p>
        </w:tc>
        <w:tc>
          <w:tcPr>
            <w:tcW w:w="980" w:type="dxa"/>
            <w:vAlign w:val="center"/>
          </w:tcPr>
          <w:p w14:paraId="717C0577" w14:textId="77777777" w:rsidR="001E029F" w:rsidRPr="000309BB" w:rsidRDefault="001E029F" w:rsidP="00621F74">
            <w:pPr>
              <w:jc w:val="right"/>
            </w:pPr>
            <w:r>
              <w:t>7.8</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jc w:val="right"/>
            </w:pPr>
            <w:r>
              <w:t>5</w:t>
            </w:r>
          </w:p>
        </w:tc>
        <w:tc>
          <w:tcPr>
            <w:tcW w:w="980" w:type="dxa"/>
            <w:shd w:val="clear" w:color="auto" w:fill="DBD9D6"/>
            <w:vAlign w:val="center"/>
          </w:tcPr>
          <w:p w14:paraId="4E4F6EBF" w14:textId="77777777" w:rsidR="001E029F" w:rsidRPr="000309BB" w:rsidRDefault="001E029F" w:rsidP="00621F74">
            <w:pPr>
              <w:jc w:val="right"/>
            </w:pPr>
            <w:r>
              <w:t>2.7</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12</w:t>
            </w:r>
          </w:p>
        </w:tc>
        <w:tc>
          <w:tcPr>
            <w:tcW w:w="980" w:type="dxa"/>
            <w:shd w:val="clear" w:color="auto" w:fill="DBD9D6"/>
            <w:vAlign w:val="center"/>
          </w:tcPr>
          <w:p w14:paraId="35B1A855" w14:textId="77777777" w:rsidR="001E029F" w:rsidRPr="000309BB" w:rsidRDefault="001E029F" w:rsidP="00621F74">
            <w:pPr>
              <w:jc w:val="right"/>
            </w:pPr>
            <w:r>
              <w:t>6.3</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1.0</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26</w:t>
            </w:r>
          </w:p>
        </w:tc>
        <w:tc>
          <w:tcPr>
            <w:tcW w:w="980" w:type="dxa"/>
            <w:shd w:val="clear" w:color="auto" w:fill="DBD9D6"/>
            <w:vAlign w:val="center"/>
          </w:tcPr>
          <w:p w14:paraId="2E7EF981" w14:textId="77777777" w:rsidR="001E029F" w:rsidRPr="000309BB" w:rsidRDefault="001E029F" w:rsidP="00621F74">
            <w:pPr>
              <w:jc w:val="right"/>
            </w:pPr>
            <w:r>
              <w:t>13.5</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 xml:space="preserve">2019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00243F4C"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DD3BC2">
      <w:rPr>
        <w:noProof/>
        <w:lang w:val="en-GB"/>
      </w:rPr>
      <w:t>May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readOnly" w:enforcement="1"/>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DD3BC2"/>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0" Type="http://schemas.openxmlformats.org/officeDocument/2006/relationships/hyperlink" Target="http://www.education.vic.gov.au/about/research/Pages/reportdatahealth.aspx" TargetMode="Externa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14365D629AC03441ACC6966FD97B8938" ma:contentTypeVersion="10" ma:contentTypeDescription="DET Document" ma:contentTypeScope="" ma:versionID="f4ab460ff0e054765c028cf4aabfee5f">
  <xsd:schema xmlns:xsd="http://www.w3.org/2001/XMLSchema" xmlns:xs="http://www.w3.org/2001/XMLSchema" xmlns:p="http://schemas.microsoft.com/office/2006/metadata/properties" xmlns:ns1="http://schemas.microsoft.com/sharepoint/v3" xmlns:ns2="http://schemas.microsoft.com/Sharepoint/v3" xmlns:ns3="e93fa699-4810-4a92-91d8-f3ea09702ed4" targetNamespace="http://schemas.microsoft.com/office/2006/metadata/properties" ma:root="true" ma:fieldsID="2584f88a7b182cd2b8a14198fc0e0522" ns1:_="" ns2:_="" ns3:_="">
    <xsd:import namespace="http://schemas.microsoft.com/sharepoint/v3"/>
    <xsd:import namespace="http://schemas.microsoft.com/Sharepoint/v3"/>
    <xsd:import namespace="e93fa699-4810-4a92-91d8-f3ea09702ed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fa699-4810-4a92-91d8-f3ea09702ed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0fbf594-50f8-4779-b761-ec483df36afe}" ma:internalName="TaxCatchAll" ma:readOnly="false" ma:showField="CatchAllData" ma:web="e93fa699-4810-4a92-91d8-f3ea09702ed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0fbf594-50f8-4779-b761-ec483df36afe}" ma:internalName="TaxCatchAllLabel" ma:readOnly="true" ma:showField="CatchAllDataLabel" ma:web="e93fa699-4810-4a92-91d8-f3ea09702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BDCCC-F80F-4C9D-B386-8A15011DCDC5}">
  <ds:schemaRefs>
    <ds:schemaRef ds:uri="http://purl.org/dc/elements/1.1/"/>
    <ds:schemaRef ds:uri="http://schemas.microsoft.com/office/infopath/2007/PartnerControls"/>
    <ds:schemaRef ds:uri="http://purl.org/dc/terms/"/>
    <ds:schemaRef ds:uri="http://www.w3.org/XML/1998/namespace"/>
    <ds:schemaRef ds:uri="http://purl.org/dc/dcmitype/"/>
    <ds:schemaRef ds:uri="http://schemas.microsoft.com/office/2006/documentManagement/types"/>
    <ds:schemaRef ds:uri="http://schemas.microsoft.com/Sharepoint/v3"/>
    <ds:schemaRef ds:uri="http://schemas.openxmlformats.org/package/2006/metadata/core-properties"/>
    <ds:schemaRef ds:uri="e93fa699-4810-4a92-91d8-f3ea09702ed4"/>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D153660F-9808-4C77-A4C1-24BDA692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93fa699-4810-4a92-91d8-f3ea09702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19241-F7B2-434F-91AD-40293682F902}"/>
</file>

<file path=customXml/itemProps4.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5.xml><?xml version="1.0" encoding="utf-8"?>
<ds:datastoreItem xmlns:ds="http://schemas.openxmlformats.org/officeDocument/2006/customXml" ds:itemID="{5F375BAA-33D5-4427-B54A-03CC105D3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998</Words>
  <Characters>5691</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SEHQ-Horsham-LGA</dc:title>
  <dc:subject/>
  <dc:creator>Isabel Lim</dc:creator>
  <cp:keywords/>
  <dc:description/>
  <cp:lastModifiedBy>George Pavloglou</cp:lastModifiedBy>
  <cp:revision>5</cp:revision>
  <dcterms:created xsi:type="dcterms:W3CDTF">2018-11-09T00:00:00Z</dcterms:created>
  <dcterms:modified xsi:type="dcterms:W3CDTF">2021-05-31T04:45:00Z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ecordPoint_WorkflowType">
    <vt:lpwstr>ActiveSubmitStub</vt:lpwstr>
  </property>
  <property fmtid="{D5CDD505-2E9C-101B-9397-08002B2CF9AE}" pid="8" name="RecordPoint_ActiveItemListId">
    <vt:lpwstr>{3213104d-366f-4e50-bd7d-bb1f006fa0c8}</vt:lpwstr>
  </property>
  <property fmtid="{D5CDD505-2E9C-101B-9397-08002B2CF9AE}" pid="9" name="RecordPoint_ActiveItemUniqueId">
    <vt:lpwstr>{0a49862c-bf82-4f7a-aa73-f0eebd8dbe99}</vt:lpwstr>
  </property>
  <property fmtid="{D5CDD505-2E9C-101B-9397-08002B2CF9AE}" pid="10" name="RecordPoint_ActiveItemWebId">
    <vt:lpwstr>{e93fa699-4810-4a92-91d8-f3ea09702ed4}</vt:lpwstr>
  </property>
  <property fmtid="{D5CDD505-2E9C-101B-9397-08002B2CF9AE}" pid="11" name="RecordPoint_ActiveItemSiteId">
    <vt:lpwstr>{bada3518-a604-4f15-8bc7-4552d36ee98e}</vt:lpwstr>
  </property>
  <property fmtid="{D5CDD505-2E9C-101B-9397-08002B2CF9AE}" pid="12" name="RecordPoint_RecordNumberSubmitted">
    <vt:lpwstr>R20211605451</vt:lpwstr>
  </property>
  <property fmtid="{D5CDD505-2E9C-101B-9397-08002B2CF9AE}" pid="13" name="RecordPoint_SubmissionCompleted">
    <vt:lpwstr>2021-05-31T14:49:49.1752027+10:00</vt:lpwstr>
  </property>
  <property fmtid="{D5CDD505-2E9C-101B-9397-08002B2CF9AE}" pid="14" name="DET_EDRMS_RCS">
    <vt:lpwstr/>
  </property>
  <property fmtid="{D5CDD505-2E9C-101B-9397-08002B2CF9AE}" pid="15" name="DET_EDRMS_BusUnit">
    <vt:lpwstr/>
  </property>
  <property fmtid="{D5CDD505-2E9C-101B-9397-08002B2CF9AE}" pid="16" name="DET_EDRMS_SecClass">
    <vt:lpwstr/>
  </property>
</Properties>
</file>