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Golden Plains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Golden Plains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Golden Plains (S)</w:t>
      </w:r>
      <w:r w:rsidRPr="00737C52">
        <w:rPr>
          <w:rFonts w:ascii="Arial" w:hAnsi="Arial" w:cs="Arial"/>
          <w:sz w:val="22"/>
          <w:szCs w:val="22"/>
        </w:rPr>
        <w:t xml:space="preserve">, there were </w:t>
      </w:r>
      <w:r>
        <w:rPr>
          <w:rFonts w:ascii="Arial" w:hAnsi="Arial" w:cs="Arial"/>
          <w:sz w:val="22"/>
          <w:szCs w:val="22"/>
        </w:rPr>
        <w:t>244</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217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15.9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72.0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41.2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82.5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59.8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90.6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21.1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21.8</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5.3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09962F7-2401-4B78-8615-2F446E5E09D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