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 Gippsland (S)</w:t>
      </w:r>
      <w:r w:rsidRPr="00737C52">
        <w:rPr>
          <w:rFonts w:ascii="Arial" w:hAnsi="Arial" w:cs="Arial"/>
          <w:sz w:val="22"/>
          <w:szCs w:val="22"/>
        </w:rPr>
        <w:t xml:space="preserve">, there were </w:t>
      </w:r>
      <w:proofErr w:type="spellStart"/>
      <w:proofErr w:type="spellEnd"/>
      <w:r>
        <w:rPr>
          <w:rFonts w:ascii="Arial" w:hAnsi="Arial" w:cs="Arial"/>
          <w:sz w:val="22"/>
          <w:szCs w:val="22"/>
        </w:rPr>
        <w:t>345</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19.5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268</w:t>
            </w:r>
          </w:p>
        </w:tc>
        <w:tc>
          <w:tcPr>
            <w:tcW w:w="993" w:type="dxa"/>
            <w:shd w:val="clear" w:color="auto" w:fill="DBD9D6"/>
            <w:vAlign w:val="center"/>
          </w:tcPr>
          <w:p w14:paraId="5D8532A7" w14:textId="77777777" w:rsidR="001E029F" w:rsidRPr="002A4320" w:rsidRDefault="001E029F" w:rsidP="00621F74">
            <w:pPr>
              <w:jc w:val="right"/>
            </w:pPr>
            <w:r>
              <w:t>77.6</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18</w:t>
            </w:r>
          </w:p>
        </w:tc>
        <w:tc>
          <w:tcPr>
            <w:tcW w:w="993" w:type="dxa"/>
            <w:shd w:val="clear" w:color="auto" w:fill="DBD9D6"/>
            <w:vAlign w:val="center"/>
          </w:tcPr>
          <w:p w14:paraId="4D8AF476" w14:textId="77777777" w:rsidR="001E029F" w:rsidRPr="002A4320" w:rsidRDefault="001E029F" w:rsidP="00621F74">
            <w:pPr>
              <w:jc w:val="right"/>
            </w:pPr>
            <w:r>
              <w:t>5.2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w:t>
            </w:r>
          </w:p>
        </w:tc>
        <w:tc>
          <w:tcPr>
            <w:tcW w:w="993" w:type="dxa"/>
            <w:vAlign w:val="center"/>
          </w:tcPr>
          <w:p w14:paraId="5A2AACA3" w14:textId="77777777" w:rsidR="001E029F" w:rsidRPr="002A4320" w:rsidRDefault="001E029F" w:rsidP="00621F74">
            <w:pPr>
              <w:jc w:val="right"/>
            </w:pPr>
            <w:r>
              <w:t>33.4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36</w:t>
            </w:r>
          </w:p>
        </w:tc>
        <w:tc>
          <w:tcPr>
            <w:tcW w:w="993" w:type="dxa"/>
            <w:shd w:val="clear" w:color="auto" w:fill="DBD9D6"/>
            <w:vAlign w:val="center"/>
          </w:tcPr>
          <w:p w14:paraId="381D2E35" w14:textId="77777777" w:rsidR="001E029F" w:rsidRPr="002A4320" w:rsidRDefault="001E029F" w:rsidP="00621F74">
            <w:pPr>
              <w:jc w:val="right"/>
            </w:pPr>
            <w:r>
              <w:t>10.5</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51.6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50</w:t>
            </w:r>
          </w:p>
        </w:tc>
        <w:tc>
          <w:tcPr>
            <w:tcW w:w="992" w:type="dxa"/>
            <w:shd w:val="clear" w:color="auto" w:fill="auto"/>
            <w:vAlign w:val="center"/>
          </w:tcPr>
          <w:p w14:paraId="16DEDDFE" w14:textId="77777777" w:rsidR="001E029F" w:rsidRPr="000309BB" w:rsidRDefault="001E029F" w:rsidP="00621F74">
            <w:pPr>
              <w:jc w:val="right"/>
            </w:pPr>
            <w:r>
              <w:t>14.4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56</w:t>
            </w:r>
          </w:p>
        </w:tc>
        <w:tc>
          <w:tcPr>
            <w:tcW w:w="992" w:type="dxa"/>
            <w:shd w:val="clear" w:color="auto" w:fill="DBD9D6"/>
            <w:vAlign w:val="center"/>
          </w:tcPr>
          <w:p w14:paraId="0369F49C" w14:textId="77777777" w:rsidR="001E029F" w:rsidRPr="000309BB" w:rsidRDefault="001E029F" w:rsidP="00621F74">
            <w:pPr>
              <w:jc w:val="right"/>
            </w:pPr>
            <w:r>
              <w:t>16.1</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w:t>
            </w:r>
          </w:p>
        </w:tc>
        <w:tc>
          <w:tcPr>
            <w:tcW w:w="992" w:type="dxa"/>
            <w:vAlign w:val="center"/>
          </w:tcPr>
          <w:p w14:paraId="741712E5" w14:textId="77777777" w:rsidR="001E029F" w:rsidRPr="000309BB" w:rsidRDefault="001E029F" w:rsidP="00621F74">
            <w:pPr>
              <w:jc w:val="right"/>
            </w:pPr>
            <w:r>
              <w:t>22.6</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230</w:t>
            </w:r>
          </w:p>
        </w:tc>
        <w:tc>
          <w:tcPr>
            <w:tcW w:w="997" w:type="dxa"/>
            <w:shd w:val="clear" w:color="auto" w:fill="DBD9D6"/>
            <w:vAlign w:val="center"/>
          </w:tcPr>
          <w:p w14:paraId="29E25415" w14:textId="77777777" w:rsidR="001E029F" w:rsidRPr="000309BB" w:rsidRDefault="001E029F" w:rsidP="00621F74">
            <w:pPr>
              <w:jc w:val="right"/>
            </w:pPr>
            <w:r>
              <w:t>66.7</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69</w:t>
            </w:r>
          </w:p>
        </w:tc>
        <w:tc>
          <w:tcPr>
            <w:tcW w:w="997" w:type="dxa"/>
            <w:vAlign w:val="center"/>
          </w:tcPr>
          <w:p w14:paraId="3A93D8EB" w14:textId="77777777" w:rsidR="001E029F" w:rsidRPr="000309BB" w:rsidRDefault="001E029F" w:rsidP="00621F74">
            <w:pPr>
              <w:jc w:val="right"/>
            </w:pPr>
            <w:r>
              <w:t>20.0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44</w:t>
            </w:r>
          </w:p>
        </w:tc>
        <w:tc>
          <w:tcPr>
            <w:tcW w:w="997" w:type="dxa"/>
            <w:vAlign w:val="center"/>
          </w:tcPr>
          <w:p w14:paraId="7B842FA7" w14:textId="77777777" w:rsidR="001E029F" w:rsidRPr="000309BB" w:rsidRDefault="001E029F" w:rsidP="00621F74">
            <w:pPr>
              <w:jc w:val="right"/>
            </w:pPr>
            <w:r>
              <w:t>12.6</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182</w:t>
            </w:r>
          </w:p>
        </w:tc>
        <w:tc>
          <w:tcPr>
            <w:tcW w:w="997" w:type="dxa"/>
            <w:shd w:val="clear" w:color="auto" w:fill="DBD9D6"/>
            <w:vAlign w:val="center"/>
          </w:tcPr>
          <w:p w14:paraId="45437AB6" w14:textId="77777777" w:rsidR="001E029F" w:rsidRPr="000309BB" w:rsidRDefault="001E029F" w:rsidP="00621F74">
            <w:pPr>
              <w:jc w:val="right"/>
            </w:pPr>
            <w:r>
              <w:t>52.6</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36</w:t>
            </w:r>
          </w:p>
        </w:tc>
        <w:tc>
          <w:tcPr>
            <w:tcW w:w="997" w:type="dxa"/>
            <w:vAlign w:val="center"/>
          </w:tcPr>
          <w:p w14:paraId="2D8CC06E" w14:textId="77777777" w:rsidR="001E029F" w:rsidRPr="000309BB" w:rsidRDefault="001E029F" w:rsidP="00621F74">
            <w:pPr>
              <w:jc w:val="right"/>
            </w:pPr>
            <w:r>
              <w:t>10.3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262</w:t>
            </w:r>
          </w:p>
        </w:tc>
        <w:tc>
          <w:tcPr>
            <w:tcW w:w="997" w:type="dxa"/>
            <w:shd w:val="clear" w:color="auto" w:fill="DBD9D6"/>
            <w:vAlign w:val="center"/>
          </w:tcPr>
          <w:p w14:paraId="5C6F2447" w14:textId="77777777" w:rsidR="001E029F" w:rsidRPr="000309BB" w:rsidRDefault="001E029F" w:rsidP="00621F74">
            <w:pPr>
              <w:jc w:val="right"/>
            </w:pPr>
            <w:r>
              <w:t>75.8</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51</w:t>
            </w:r>
          </w:p>
        </w:tc>
        <w:tc>
          <w:tcPr>
            <w:tcW w:w="992" w:type="dxa"/>
            <w:shd w:val="clear" w:color="auto" w:fill="auto"/>
            <w:vAlign w:val="center"/>
          </w:tcPr>
          <w:p w14:paraId="4F9FCCEA" w14:textId="77777777" w:rsidR="001E029F" w:rsidRPr="000309BB" w:rsidRDefault="001E029F" w:rsidP="00621F74">
            <w:pPr>
              <w:jc w:val="right"/>
            </w:pPr>
            <w:r>
              <w:t>14.8</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58</w:t>
            </w:r>
          </w:p>
        </w:tc>
        <w:tc>
          <w:tcPr>
            <w:tcW w:w="992" w:type="dxa"/>
            <w:shd w:val="clear" w:color="auto" w:fill="DBD9D6"/>
            <w:vAlign w:val="center"/>
          </w:tcPr>
          <w:p w14:paraId="2F3BAF70" w14:textId="77777777" w:rsidR="001E029F" w:rsidRPr="000309BB" w:rsidRDefault="001E029F" w:rsidP="00621F74">
            <w:pPr>
              <w:jc w:val="right"/>
            </w:pPr>
            <w:r>
              <w:t>16.8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81</w:t>
            </w:r>
          </w:p>
        </w:tc>
        <w:tc>
          <w:tcPr>
            <w:tcW w:w="992" w:type="dxa"/>
            <w:vAlign w:val="center"/>
          </w:tcPr>
          <w:p w14:paraId="61541F41" w14:textId="77777777" w:rsidR="001E029F" w:rsidRPr="000309BB" w:rsidRDefault="001E029F" w:rsidP="00621F74">
            <w:pPr>
              <w:jc w:val="right"/>
            </w:pPr>
            <w:r>
              <w:t>23.5</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28</w:t>
            </w:r>
          </w:p>
        </w:tc>
        <w:tc>
          <w:tcPr>
            <w:tcW w:w="979" w:type="dxa"/>
            <w:shd w:val="clear" w:color="auto" w:fill="DBD9D6"/>
            <w:vAlign w:val="center"/>
          </w:tcPr>
          <w:p w14:paraId="466860CA" w14:textId="77777777" w:rsidR="001E029F" w:rsidRPr="008202F2" w:rsidRDefault="001E029F" w:rsidP="00621F74">
            <w:pPr>
              <w:jc w:val="right"/>
            </w:pPr>
            <w:r>
              <w:t>8.1</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48</w:t>
            </w:r>
          </w:p>
        </w:tc>
        <w:tc>
          <w:tcPr>
            <w:tcW w:w="979" w:type="dxa"/>
            <w:vAlign w:val="center"/>
          </w:tcPr>
          <w:p w14:paraId="583C26C8" w14:textId="77777777" w:rsidR="001E029F" w:rsidRPr="008202F2" w:rsidRDefault="001E029F" w:rsidP="00621F74">
            <w:pPr>
              <w:jc w:val="right"/>
            </w:pPr>
            <w:r>
              <w:t>13.9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43</w:t>
            </w:r>
          </w:p>
        </w:tc>
        <w:tc>
          <w:tcPr>
            <w:tcW w:w="979" w:type="dxa"/>
            <w:shd w:val="clear" w:color="auto" w:fill="DBD9D6"/>
            <w:vAlign w:val="center"/>
          </w:tcPr>
          <w:p w14:paraId="5E3D7CDD" w14:textId="77777777" w:rsidR="001E029F" w:rsidRPr="008202F2" w:rsidRDefault="001E029F" w:rsidP="00621F74">
            <w:pPr>
              <w:jc w:val="right"/>
            </w:pPr>
            <w:r>
              <w:t>12.6</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30</w:t>
            </w:r>
          </w:p>
        </w:tc>
        <w:tc>
          <w:tcPr>
            <w:tcW w:w="979" w:type="dxa"/>
            <w:vAlign w:val="center"/>
          </w:tcPr>
          <w:p w14:paraId="0A1AA096" w14:textId="77777777" w:rsidR="001E029F" w:rsidRPr="008202F2" w:rsidRDefault="001E029F" w:rsidP="00621F74">
            <w:pPr>
              <w:jc w:val="right"/>
            </w:pPr>
            <w:r>
              <w:t>8.6</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10</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33</w:t>
            </w:r>
          </w:p>
        </w:tc>
        <w:tc>
          <w:tcPr>
            <w:tcW w:w="979" w:type="dxa"/>
            <w:vAlign w:val="center"/>
          </w:tcPr>
          <w:p w14:paraId="68FE02A9" w14:textId="77777777" w:rsidR="001E029F" w:rsidRPr="008202F2" w:rsidRDefault="001E029F" w:rsidP="00621F74">
            <w:pPr>
              <w:jc w:val="right"/>
            </w:pPr>
            <w:r>
              <w:t>9.5</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43</w:t>
            </w:r>
          </w:p>
        </w:tc>
        <w:tc>
          <w:tcPr>
            <w:tcW w:w="980" w:type="dxa"/>
            <w:shd w:val="clear" w:color="auto" w:fill="auto"/>
            <w:vAlign w:val="center"/>
          </w:tcPr>
          <w:p w14:paraId="32C27126" w14:textId="77777777" w:rsidR="001E029F" w:rsidRPr="000309BB" w:rsidRDefault="001E029F" w:rsidP="00621F74">
            <w:pPr>
              <w:jc w:val="right"/>
            </w:pPr>
            <w:r>
              <w:t>12.4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20</w:t>
            </w:r>
          </w:p>
        </w:tc>
        <w:tc>
          <w:tcPr>
            <w:tcW w:w="980" w:type="dxa"/>
            <w:shd w:val="clear" w:color="auto" w:fill="DBD9D6"/>
            <w:vAlign w:val="center"/>
          </w:tcPr>
          <w:p w14:paraId="599E26FE" w14:textId="77777777" w:rsidR="001E029F" w:rsidRPr="000309BB" w:rsidRDefault="001E029F" w:rsidP="00621F74">
            <w:pPr>
              <w:jc w:val="right"/>
            </w:pPr>
            <w:r>
              <w:t>5.7</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29</w:t>
            </w:r>
          </w:p>
        </w:tc>
        <w:tc>
          <w:tcPr>
            <w:tcW w:w="980" w:type="dxa"/>
            <w:vAlign w:val="center"/>
          </w:tcPr>
          <w:p w14:paraId="717C0577" w14:textId="77777777" w:rsidR="001E029F" w:rsidRPr="000309BB" w:rsidRDefault="001E029F" w:rsidP="00621F74">
            <w:pPr>
              <w:jc w:val="right"/>
            </w:pPr>
            <w:r>
              <w:t>8.3</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11</w:t>
            </w:r>
          </w:p>
        </w:tc>
        <w:tc>
          <w:tcPr>
            <w:tcW w:w="980" w:type="dxa"/>
            <w:shd w:val="clear" w:color="auto" w:fill="DBD9D6"/>
            <w:vAlign w:val="center"/>
          </w:tcPr>
          <w:p w14:paraId="4E4F6EBF" w14:textId="77777777" w:rsidR="001E029F" w:rsidRPr="000309BB" w:rsidRDefault="001E029F" w:rsidP="00621F74">
            <w:pPr>
              <w:jc w:val="right"/>
            </w:pPr>
            <w:r>
              <w:t>3.1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16</w:t>
            </w:r>
          </w:p>
        </w:tc>
        <w:tc>
          <w:tcPr>
            <w:tcW w:w="980" w:type="dxa"/>
            <w:shd w:val="clear" w:color="auto" w:fill="DBD9D6"/>
            <w:vAlign w:val="center"/>
          </w:tcPr>
          <w:p w14:paraId="35B1A855" w14:textId="77777777" w:rsidR="001E029F" w:rsidRPr="000309BB" w:rsidRDefault="001E029F" w:rsidP="00621F74">
            <w:pPr>
              <w:jc w:val="right"/>
            </w:pPr>
            <w:r>
              <w:t>4.6</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34</w:t>
            </w:r>
          </w:p>
        </w:tc>
        <w:tc>
          <w:tcPr>
            <w:tcW w:w="980" w:type="dxa"/>
            <w:shd w:val="clear" w:color="auto" w:fill="DBD9D6"/>
            <w:vAlign w:val="center"/>
          </w:tcPr>
          <w:p w14:paraId="2E7EF981" w14:textId="77777777" w:rsidR="001E029F" w:rsidRPr="000309BB" w:rsidRDefault="001E029F" w:rsidP="00621F74">
            <w:pPr>
              <w:jc w:val="right"/>
            </w:pPr>
            <w:r>
              <w:t>10.0</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SEHQ-South-Gippsland-LGA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32BD-6220-415F-BFF9-F6A355E33112}"/>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SEHQ-South-Gippsland-LGA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