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2019</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Melbourne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77777777" w:rsidR="001E029F" w:rsidRPr="001F547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2019</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Melbourne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7777777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Melbourne (C)</w:t>
      </w:r>
      <w:r w:rsidRPr="00737C52">
        <w:rPr>
          <w:rFonts w:ascii="Arial" w:hAnsi="Arial" w:cs="Arial"/>
          <w:sz w:val="22"/>
          <w:szCs w:val="22"/>
        </w:rPr>
        <w:t xml:space="preserve">, there were </w:t>
      </w:r>
      <w:proofErr w:type="spellStart"/>
      <w:proofErr w:type="spellEnd"/>
      <w:r>
        <w:rPr>
          <w:rFonts w:ascii="Arial" w:hAnsi="Arial" w:cs="Arial"/>
          <w:sz w:val="22"/>
          <w:szCs w:val="22"/>
        </w:rPr>
        <w:t>542</w:t>
      </w:r>
      <w:r>
        <w:rPr>
          <w:rFonts w:ascii="Arial" w:hAnsi="Arial" w:cs="Arial"/>
          <w:sz w:val="22"/>
          <w:szCs w:val="22"/>
        </w:rPr>
        <w:t xml:space="preserve"> children (</w:t>
      </w:r>
      <w:proofErr w:type="spellStart"/>
      <w:proofErr w:type="spellEnd"/>
      <w:r>
        <w:rPr>
          <w:rFonts w:ascii="Arial" w:hAnsi="Arial" w:cs="Arial"/>
          <w:sz w:val="22"/>
          <w:szCs w:val="22"/>
        </w:rPr>
        <w:t>0.8</w:t>
      </w:r>
      <w:r w:rsidRPr="00737C52">
        <w:rPr>
          <w:rFonts w:ascii="Arial" w:hAnsi="Arial" w:cs="Arial"/>
          <w:sz w:val="22"/>
          <w:szCs w:val="22"/>
        </w:rPr>
        <w:t xml:space="preserve">% of the state total of </w:t>
      </w:r>
      <w:proofErr w:type="spellStart"/>
      <w:proofErr w:type="spellEnd"/>
      <w:r>
        <w:rPr>
          <w:rFonts w:ascii="Arial" w:hAnsi="Arial" w:cs="Arial"/>
          <w:sz w:val="22"/>
          <w:szCs w:val="22"/>
        </w:rPr>
        <w:t>67,286</w:t>
      </w:r>
      <w:r w:rsidRPr="00737C52">
        <w:rPr>
          <w:rFonts w:ascii="Arial" w:hAnsi="Arial" w:cs="Arial"/>
          <w:sz w:val="22"/>
          <w:szCs w:val="22"/>
        </w:rPr>
        <w:t xml:space="preserve">) involved in the </w:t>
      </w:r>
      <w:r>
        <w:rPr>
          <w:rFonts w:ascii="Arial" w:hAnsi="Arial" w:cs="Arial"/>
          <w:sz w:val="22"/>
          <w:szCs w:val="22"/>
        </w:rPr>
        <w:t>2019</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2019</w:t>
      </w:r>
      <w:r>
        <w:rPr>
          <w:rFonts w:ascii="Arial" w:hAnsi="Arial" w:cs="Arial"/>
          <w:sz w:val="22"/>
          <w:szCs w:val="22"/>
        </w:rPr>
        <w:t xml:space="preserve"> </w:t>
      </w:r>
      <w:proofErr w:type="gramStart"/>
      <w:r w:rsidRPr="00737C52">
        <w:rPr>
          <w:rFonts w:ascii="Arial" w:hAnsi="Arial" w:cs="Arial"/>
          <w:sz w:val="22"/>
          <w:szCs w:val="22"/>
        </w:rPr>
        <w:t>SEHQ.</w:t>
      </w:r>
      <w:proofErr w:type="gramEnd"/>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jc w:val="right"/>
            </w:pPr>
            <w:r>
              <w:t>np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jc w:val="right"/>
            </w:pPr>
            <w:r>
              <w:t>0.8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jc w:val="right"/>
            </w:pPr>
            <w:r>
              <w:t>1.1</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jc w:val="right"/>
            </w:pPr>
            <w:r>
              <w:t>1.8</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jc w:val="right"/>
            </w:pPr>
            <w:r>
              <w:t>283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jc w:val="right"/>
            </w:pPr>
            <w:r>
              <w:t>52.1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jc w:val="right"/>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jc w:val="right"/>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jc w:val="right"/>
            </w:pPr>
            <w:r>
              <w:t>180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jc w:val="right"/>
            </w:pPr>
            <w:r>
              <w:t>33.1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jc w:val="right"/>
            </w:pPr>
            <w:r>
              <w:t>25.6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jc w:val="right"/>
            </w:pPr>
            <w:r>
              <w:t>20.8</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jc w:val="right"/>
            </w:pPr>
            <w:r>
              <w:t>154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jc w:val="right"/>
            </w:pPr>
            <w:r>
              <w:t>28.5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jc w:val="right"/>
            </w:pPr>
            <w:r>
              <w:t>11.6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jc w:val="right"/>
            </w:pPr>
            <w:r>
              <w:t>9.6</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jc w:val="right"/>
            </w:pPr>
            <w:r>
              <w:t>85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jc w:val="right"/>
            </w:pPr>
            <w:r>
              <w:t>15.6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jc w:val="right"/>
            </w:pPr>
            <w:r>
              <w:t>12.6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jc w:val="right"/>
            </w:pPr>
            <w:r>
              <w:t>10.0</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jc w:val="right"/>
            </w:pPr>
            <w:r>
              <w:t>55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jc w:val="right"/>
            </w:pPr>
            <w:r>
              <w:t>10.1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jc w:val="right"/>
            </w:pPr>
            <w:r>
              <w:t>9.7</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jc w:val="right"/>
            </w:pPr>
            <w:r>
              <w:t>10.9</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jc w:val="right"/>
            </w:pPr>
            <w:r>
              <w:t>30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jc w:val="right"/>
            </w:pPr>
            <w:r>
              <w:t>5.5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jc w:val="right"/>
            </w:pPr>
            <w:r>
              <w:t>8.1</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jc w:val="right"/>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jc w:val="right"/>
            </w:pPr>
            <w:r>
              <w:t>406</w:t>
            </w:r>
          </w:p>
        </w:tc>
        <w:tc>
          <w:tcPr>
            <w:tcW w:w="993" w:type="dxa"/>
            <w:shd w:val="clear" w:color="auto" w:fill="DBD9D6"/>
            <w:vAlign w:val="center"/>
          </w:tcPr>
          <w:p w14:paraId="5D8532A7" w14:textId="77777777" w:rsidR="001E029F" w:rsidRPr="002A4320" w:rsidRDefault="001E029F" w:rsidP="00621F74">
            <w:pPr>
              <w:jc w:val="right"/>
            </w:pPr>
            <w:r>
              <w:t>74.8</w:t>
            </w:r>
          </w:p>
        </w:tc>
        <w:tc>
          <w:tcPr>
            <w:tcW w:w="1132" w:type="dxa"/>
            <w:shd w:val="clear" w:color="auto" w:fill="DBD9D6"/>
            <w:vAlign w:val="center"/>
          </w:tcPr>
          <w:p w14:paraId="59F51658" w14:textId="77777777" w:rsidR="001E029F" w:rsidRPr="002A4320" w:rsidRDefault="001E029F" w:rsidP="00621F74">
            <w:pPr>
              <w:jc w:val="right"/>
            </w:pPr>
            <w:r>
              <w:t>83.0</w:t>
            </w:r>
          </w:p>
        </w:tc>
        <w:tc>
          <w:tcPr>
            <w:tcW w:w="994" w:type="dxa"/>
            <w:shd w:val="clear" w:color="auto" w:fill="DBD9D6"/>
            <w:vAlign w:val="center"/>
          </w:tcPr>
          <w:p w14:paraId="2A671A77" w14:textId="77777777" w:rsidR="001E029F" w:rsidRPr="002A4320" w:rsidRDefault="001E029F" w:rsidP="00621F74">
            <w:pPr>
              <w:jc w:val="right"/>
            </w:pPr>
            <w:r>
              <w:t>83.6</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jc w:val="right"/>
            </w:pPr>
            <w:r>
              <w:t>37</w:t>
            </w:r>
          </w:p>
        </w:tc>
        <w:tc>
          <w:tcPr>
            <w:tcW w:w="993" w:type="dxa"/>
            <w:shd w:val="clear" w:color="auto" w:fill="DBD9D6"/>
            <w:vAlign w:val="center"/>
          </w:tcPr>
          <w:p w14:paraId="4D8AF476" w14:textId="77777777" w:rsidR="001E029F" w:rsidRPr="002A4320" w:rsidRDefault="001E029F" w:rsidP="00621F74">
            <w:pPr>
              <w:jc w:val="right"/>
            </w:pPr>
            <w:r>
              <w:t>6.8</w:t>
            </w:r>
          </w:p>
        </w:tc>
        <w:tc>
          <w:tcPr>
            <w:tcW w:w="1132" w:type="dxa"/>
            <w:shd w:val="clear" w:color="auto" w:fill="DBD9D6"/>
            <w:vAlign w:val="center"/>
          </w:tcPr>
          <w:p w14:paraId="66D13BC4" w14:textId="77777777" w:rsidR="001E029F" w:rsidRPr="002A4320" w:rsidRDefault="001E029F" w:rsidP="00621F74">
            <w:pPr>
              <w:jc w:val="right"/>
            </w:pPr>
            <w:r>
              <w:t>8.4</w:t>
            </w:r>
          </w:p>
        </w:tc>
        <w:tc>
          <w:tcPr>
            <w:tcW w:w="994" w:type="dxa"/>
            <w:shd w:val="clear" w:color="auto" w:fill="DBD9D6"/>
            <w:vAlign w:val="center"/>
          </w:tcPr>
          <w:p w14:paraId="03EEB36F" w14:textId="77777777" w:rsidR="001E029F" w:rsidRPr="002A4320" w:rsidRDefault="001E029F" w:rsidP="00621F74">
            <w:pPr>
              <w:jc w:val="right"/>
            </w:pPr>
            <w:r>
              <w:t>8.3</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jc w:val="right"/>
            </w:pPr>
            <w:r>
              <w:t>16</w:t>
            </w:r>
          </w:p>
        </w:tc>
        <w:tc>
          <w:tcPr>
            <w:tcW w:w="993" w:type="dxa"/>
            <w:vAlign w:val="center"/>
          </w:tcPr>
          <w:p w14:paraId="5A2AACA3" w14:textId="77777777" w:rsidR="001E029F" w:rsidRPr="002A4320" w:rsidRDefault="001E029F" w:rsidP="00621F74">
            <w:pPr>
              <w:jc w:val="right"/>
            </w:pPr>
            <w:r>
              <w:t>42.6</w:t>
            </w:r>
          </w:p>
        </w:tc>
        <w:tc>
          <w:tcPr>
            <w:tcW w:w="1132" w:type="dxa"/>
            <w:vAlign w:val="center"/>
          </w:tcPr>
          <w:p w14:paraId="322DBEDC" w14:textId="77777777" w:rsidR="001E029F" w:rsidRPr="002A4320" w:rsidRDefault="001E029F" w:rsidP="00621F74">
            <w:pPr>
              <w:jc w:val="right"/>
            </w:pPr>
            <w:r>
              <w:t>37.3</w:t>
            </w:r>
          </w:p>
        </w:tc>
        <w:tc>
          <w:tcPr>
            <w:tcW w:w="994" w:type="dxa"/>
            <w:vAlign w:val="center"/>
          </w:tcPr>
          <w:p w14:paraId="1FFFC901" w14:textId="77777777" w:rsidR="001E029F" w:rsidRPr="002A4320" w:rsidRDefault="001E029F" w:rsidP="00621F74">
            <w:pPr>
              <w:jc w:val="right"/>
            </w:pPr>
            <w:r>
              <w:t>35.7</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jc w:val="right"/>
            </w:pPr>
            <w:r>
              <w:t>37</w:t>
            </w:r>
          </w:p>
        </w:tc>
        <w:tc>
          <w:tcPr>
            <w:tcW w:w="993" w:type="dxa"/>
            <w:shd w:val="clear" w:color="auto" w:fill="DBD9D6"/>
            <w:vAlign w:val="center"/>
          </w:tcPr>
          <w:p w14:paraId="381D2E35" w14:textId="77777777" w:rsidR="001E029F" w:rsidRPr="002A4320" w:rsidRDefault="001E029F" w:rsidP="00621F74">
            <w:pPr>
              <w:jc w:val="right"/>
            </w:pPr>
            <w:r>
              <w:t>6.8</w:t>
            </w:r>
          </w:p>
        </w:tc>
        <w:tc>
          <w:tcPr>
            <w:tcW w:w="1132" w:type="dxa"/>
            <w:shd w:val="clear" w:color="auto" w:fill="DBD9D6"/>
            <w:vAlign w:val="center"/>
          </w:tcPr>
          <w:p w14:paraId="52826BF6" w14:textId="77777777" w:rsidR="001E029F" w:rsidRPr="002A4320" w:rsidRDefault="001E029F" w:rsidP="00621F74">
            <w:pPr>
              <w:jc w:val="right"/>
            </w:pPr>
            <w:r>
              <w:t>10.0</w:t>
            </w:r>
          </w:p>
        </w:tc>
        <w:tc>
          <w:tcPr>
            <w:tcW w:w="994" w:type="dxa"/>
            <w:shd w:val="clear" w:color="auto" w:fill="DBD9D6"/>
            <w:vAlign w:val="center"/>
          </w:tcPr>
          <w:p w14:paraId="7074ABDC" w14:textId="77777777" w:rsidR="001E029F" w:rsidRPr="002A4320" w:rsidRDefault="001E029F" w:rsidP="00621F74">
            <w:pPr>
              <w:jc w:val="right"/>
            </w:pPr>
            <w:r>
              <w:t>10.6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jc w:val="right"/>
            </w:pPr>
            <w:r>
              <w:t>22</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jc w:val="right"/>
            </w:pPr>
            <w:r>
              <w:t>59.2</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jc w:val="right"/>
            </w:pPr>
            <w:r>
              <w:t>64.4</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jc w:val="right"/>
            </w:pPr>
            <w:r>
              <w:t>63.3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7F73A6DE" w14:textId="5DA79A91" w:rsidR="001E029F" w:rsidRPr="001F547F" w:rsidRDefault="001E029F" w:rsidP="001E029F">
      <w:pPr>
        <w:spacing w:after="200" w:line="276" w:lineRule="auto"/>
        <w:ind w:left="-142"/>
        <w:rPr>
          <w:b/>
          <w:bCs/>
          <w:caps/>
          <w:color w:val="004EA8"/>
          <w:sz w:val="28"/>
          <w:szCs w:val="28"/>
        </w:rPr>
      </w:pPr>
      <w:r>
        <w:rPr>
          <w:caps/>
          <w:color w:val="C00000"/>
          <w:sz w:val="20"/>
          <w:szCs w:val="28"/>
        </w:rPr>
        <w:br w:type="page"/>
      </w: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w:t>
            </w:r>
            <w:proofErr w:type="spellStart"/>
            <w:r>
              <w:rPr>
                <w:rFonts w:ascii="Arial" w:hAnsi="Arial" w:cs="Arial"/>
                <w:sz w:val="18"/>
                <w:szCs w:val="18"/>
              </w:rPr>
              <w:t>eg</w:t>
            </w:r>
            <w:proofErr w:type="spellEnd"/>
            <w:r>
              <w:rPr>
                <w:rFonts w:ascii="Arial" w:hAnsi="Arial" w:cs="Arial"/>
                <w:sz w:val="18"/>
                <w:szCs w:val="18"/>
              </w:rPr>
              <w:t xml:space="preserve">, teeth, gums </w:t>
            </w:r>
            <w:proofErr w:type="spellStart"/>
            <w:r>
              <w:rPr>
                <w:rFonts w:ascii="Arial" w:hAnsi="Arial" w:cs="Arial"/>
                <w:sz w:val="18"/>
                <w:szCs w:val="18"/>
              </w:rPr>
              <w:t>etc</w:t>
            </w:r>
            <w:proofErr w:type="spellEnd"/>
            <w:r>
              <w:rPr>
                <w:rFonts w:ascii="Arial" w:hAnsi="Arial" w:cs="Arial"/>
                <w:sz w:val="18"/>
                <w:szCs w:val="18"/>
              </w:rPr>
              <w:t>)</w:t>
            </w:r>
          </w:p>
        </w:tc>
        <w:tc>
          <w:tcPr>
            <w:tcW w:w="992" w:type="dxa"/>
            <w:shd w:val="clear" w:color="auto" w:fill="auto"/>
            <w:vAlign w:val="center"/>
          </w:tcPr>
          <w:p w14:paraId="75DF697D" w14:textId="77777777" w:rsidR="001E029F" w:rsidRPr="000309BB" w:rsidRDefault="001E029F" w:rsidP="00621F74">
            <w:pPr>
              <w:jc w:val="right"/>
            </w:pPr>
            <w:r>
              <w:t>102</w:t>
            </w:r>
          </w:p>
        </w:tc>
        <w:tc>
          <w:tcPr>
            <w:tcW w:w="992" w:type="dxa"/>
            <w:shd w:val="clear" w:color="auto" w:fill="auto"/>
            <w:vAlign w:val="center"/>
          </w:tcPr>
          <w:p w14:paraId="16DEDDFE" w14:textId="77777777" w:rsidR="001E029F" w:rsidRPr="000309BB" w:rsidRDefault="001E029F" w:rsidP="00621F74">
            <w:pPr>
              <w:jc w:val="right"/>
            </w:pPr>
            <w:r>
              <w:t>18.8</w:t>
            </w:r>
          </w:p>
        </w:tc>
        <w:tc>
          <w:tcPr>
            <w:tcW w:w="992" w:type="dxa"/>
            <w:shd w:val="clear" w:color="auto" w:fill="auto"/>
            <w:vAlign w:val="center"/>
          </w:tcPr>
          <w:p w14:paraId="7EF71D3B" w14:textId="77777777" w:rsidR="001E029F" w:rsidRPr="000309BB" w:rsidRDefault="001E029F" w:rsidP="00621F74">
            <w:pPr>
              <w:jc w:val="right"/>
            </w:pPr>
            <w:r>
              <w:t>15.6</w:t>
            </w:r>
          </w:p>
        </w:tc>
        <w:tc>
          <w:tcPr>
            <w:tcW w:w="993" w:type="dxa"/>
            <w:shd w:val="clear" w:color="auto" w:fill="auto"/>
            <w:vAlign w:val="center"/>
          </w:tcPr>
          <w:p w14:paraId="692956F8" w14:textId="77777777" w:rsidR="001E029F" w:rsidRPr="000309BB" w:rsidRDefault="001E029F" w:rsidP="00621F74">
            <w:pPr>
              <w:jc w:val="right"/>
            </w:pPr>
            <w:r>
              <w:t>15.3</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jc w:val="right"/>
            </w:pPr>
            <w:r>
              <w:t>50</w:t>
            </w:r>
          </w:p>
        </w:tc>
        <w:tc>
          <w:tcPr>
            <w:tcW w:w="992" w:type="dxa"/>
            <w:shd w:val="clear" w:color="auto" w:fill="DBD9D6"/>
            <w:vAlign w:val="center"/>
          </w:tcPr>
          <w:p w14:paraId="0369F49C" w14:textId="77777777" w:rsidR="001E029F" w:rsidRPr="000309BB" w:rsidRDefault="001E029F" w:rsidP="00621F74">
            <w:pPr>
              <w:jc w:val="right"/>
            </w:pPr>
            <w:r>
              <w:t>9.2</w:t>
            </w:r>
          </w:p>
        </w:tc>
        <w:tc>
          <w:tcPr>
            <w:tcW w:w="992" w:type="dxa"/>
            <w:shd w:val="clear" w:color="auto" w:fill="DBD9D6"/>
            <w:vAlign w:val="center"/>
          </w:tcPr>
          <w:p w14:paraId="12D9A92A" w14:textId="77777777" w:rsidR="001E029F" w:rsidRPr="000309BB" w:rsidRDefault="001E029F" w:rsidP="00621F74">
            <w:pPr>
              <w:jc w:val="right"/>
            </w:pPr>
            <w:r>
              <w:t>13.9</w:t>
            </w:r>
          </w:p>
        </w:tc>
        <w:tc>
          <w:tcPr>
            <w:tcW w:w="993" w:type="dxa"/>
            <w:shd w:val="clear" w:color="auto" w:fill="DBD9D6"/>
            <w:vAlign w:val="center"/>
          </w:tcPr>
          <w:p w14:paraId="433B7558" w14:textId="77777777" w:rsidR="001E029F" w:rsidRPr="000309BB" w:rsidRDefault="001E029F" w:rsidP="00621F74">
            <w:pPr>
              <w:jc w:val="right"/>
            </w:pPr>
            <w:r>
              <w:t>15.0</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jc w:val="right"/>
            </w:pPr>
            <w:r>
              <w:t>6</w:t>
            </w:r>
          </w:p>
        </w:tc>
        <w:tc>
          <w:tcPr>
            <w:tcW w:w="992" w:type="dxa"/>
            <w:vAlign w:val="center"/>
          </w:tcPr>
          <w:p w14:paraId="741712E5" w14:textId="77777777" w:rsidR="001E029F" w:rsidRPr="000309BB" w:rsidRDefault="001E029F" w:rsidP="00621F74">
            <w:pPr>
              <w:jc w:val="right"/>
            </w:pPr>
            <w:r>
              <w:t>11.5</w:t>
            </w:r>
          </w:p>
        </w:tc>
        <w:tc>
          <w:tcPr>
            <w:tcW w:w="992" w:type="dxa"/>
            <w:vAlign w:val="center"/>
          </w:tcPr>
          <w:p w14:paraId="343CC511" w14:textId="77777777" w:rsidR="001E029F" w:rsidRPr="000309BB" w:rsidRDefault="001E029F" w:rsidP="00621F74">
            <w:pPr>
              <w:jc w:val="right"/>
            </w:pPr>
            <w:r>
              <w:t>29.1</w:t>
            </w:r>
          </w:p>
        </w:tc>
        <w:tc>
          <w:tcPr>
            <w:tcW w:w="993" w:type="dxa"/>
            <w:vAlign w:val="center"/>
          </w:tcPr>
          <w:p w14:paraId="1A60E9FB" w14:textId="77777777" w:rsidR="001E029F" w:rsidRPr="000309BB" w:rsidRDefault="001E029F" w:rsidP="00621F74">
            <w:pPr>
              <w:jc w:val="right"/>
            </w:pPr>
            <w:r>
              <w:t>29.2</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jc w:val="right"/>
            </w:pPr>
            <w:r>
              <w:t>315</w:t>
            </w:r>
          </w:p>
        </w:tc>
        <w:tc>
          <w:tcPr>
            <w:tcW w:w="997" w:type="dxa"/>
            <w:shd w:val="clear" w:color="auto" w:fill="DBD9D6"/>
            <w:vAlign w:val="center"/>
          </w:tcPr>
          <w:p w14:paraId="29E25415" w14:textId="77777777" w:rsidR="001E029F" w:rsidRPr="000309BB" w:rsidRDefault="001E029F" w:rsidP="00621F74">
            <w:pPr>
              <w:jc w:val="right"/>
            </w:pPr>
            <w:r>
              <w:t>58.2</w:t>
            </w:r>
          </w:p>
        </w:tc>
        <w:tc>
          <w:tcPr>
            <w:tcW w:w="997" w:type="dxa"/>
            <w:shd w:val="clear" w:color="auto" w:fill="DBD9D6"/>
            <w:vAlign w:val="center"/>
          </w:tcPr>
          <w:p w14:paraId="6AC066B1" w14:textId="77777777" w:rsidR="001E029F" w:rsidRPr="000309BB" w:rsidRDefault="001E029F" w:rsidP="00621F74">
            <w:pPr>
              <w:jc w:val="right"/>
            </w:pPr>
            <w:r>
              <w:t>70.0</w:t>
            </w:r>
          </w:p>
        </w:tc>
        <w:tc>
          <w:tcPr>
            <w:tcW w:w="998" w:type="dxa"/>
            <w:shd w:val="clear" w:color="auto" w:fill="DBD9D6"/>
            <w:vAlign w:val="center"/>
          </w:tcPr>
          <w:p w14:paraId="723095ED" w14:textId="77777777" w:rsidR="001E029F" w:rsidRPr="000309BB" w:rsidRDefault="001E029F" w:rsidP="00621F74">
            <w:pPr>
              <w:jc w:val="right"/>
            </w:pPr>
            <w:r>
              <w:t>71.6</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jc w:val="right"/>
            </w:pPr>
            <w:r>
              <w:t>95</w:t>
            </w:r>
          </w:p>
        </w:tc>
        <w:tc>
          <w:tcPr>
            <w:tcW w:w="997" w:type="dxa"/>
            <w:vAlign w:val="center"/>
          </w:tcPr>
          <w:p w14:paraId="3A93D8EB" w14:textId="77777777" w:rsidR="001E029F" w:rsidRPr="000309BB" w:rsidRDefault="001E029F" w:rsidP="00621F74">
            <w:pPr>
              <w:jc w:val="right"/>
            </w:pPr>
            <w:r>
              <w:t>17.5</w:t>
            </w:r>
          </w:p>
        </w:tc>
        <w:tc>
          <w:tcPr>
            <w:tcW w:w="997" w:type="dxa"/>
            <w:vAlign w:val="center"/>
          </w:tcPr>
          <w:p w14:paraId="54F573DB" w14:textId="77777777" w:rsidR="001E029F" w:rsidRPr="000309BB" w:rsidRDefault="001E029F" w:rsidP="00621F74">
            <w:pPr>
              <w:jc w:val="right"/>
            </w:pPr>
            <w:r>
              <w:t>16.3</w:t>
            </w:r>
          </w:p>
        </w:tc>
        <w:tc>
          <w:tcPr>
            <w:tcW w:w="998" w:type="dxa"/>
            <w:vAlign w:val="center"/>
          </w:tcPr>
          <w:p w14:paraId="676A7325" w14:textId="77777777" w:rsidR="001E029F" w:rsidRPr="000309BB" w:rsidRDefault="001E029F" w:rsidP="00621F74">
            <w:pPr>
              <w:jc w:val="right"/>
            </w:pPr>
            <w:r>
              <w:t>16.9</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jc w:val="right"/>
            </w:pPr>
            <w:r>
              <w:t>94</w:t>
            </w:r>
          </w:p>
        </w:tc>
        <w:tc>
          <w:tcPr>
            <w:tcW w:w="997" w:type="dxa"/>
            <w:vAlign w:val="center"/>
          </w:tcPr>
          <w:p w14:paraId="7B842FA7" w14:textId="77777777" w:rsidR="001E029F" w:rsidRPr="000309BB" w:rsidRDefault="001E029F" w:rsidP="00621F74">
            <w:pPr>
              <w:jc w:val="right"/>
            </w:pPr>
            <w:r>
              <w:t>17.3</w:t>
            </w:r>
          </w:p>
        </w:tc>
        <w:tc>
          <w:tcPr>
            <w:tcW w:w="997" w:type="dxa"/>
            <w:vAlign w:val="center"/>
          </w:tcPr>
          <w:p w14:paraId="19252111" w14:textId="77777777" w:rsidR="001E029F" w:rsidRPr="000309BB" w:rsidRDefault="001E029F" w:rsidP="00621F74">
            <w:pPr>
              <w:jc w:val="right"/>
            </w:pPr>
            <w:r>
              <w:t>12.2</w:t>
            </w:r>
          </w:p>
        </w:tc>
        <w:tc>
          <w:tcPr>
            <w:tcW w:w="998" w:type="dxa"/>
            <w:vAlign w:val="center"/>
          </w:tcPr>
          <w:p w14:paraId="40724558" w14:textId="77777777" w:rsidR="001E029F" w:rsidRPr="000309BB" w:rsidRDefault="001E029F" w:rsidP="00621F74">
            <w:pPr>
              <w:jc w:val="right"/>
            </w:pPr>
            <w:r>
              <w:t>12.6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jc w:val="right"/>
            </w:pPr>
            <w:r>
              <w:t>235</w:t>
            </w:r>
          </w:p>
        </w:tc>
        <w:tc>
          <w:tcPr>
            <w:tcW w:w="997" w:type="dxa"/>
            <w:shd w:val="clear" w:color="auto" w:fill="DBD9D6"/>
            <w:vAlign w:val="center"/>
          </w:tcPr>
          <w:p w14:paraId="45437AB6" w14:textId="77777777" w:rsidR="001E029F" w:rsidRPr="000309BB" w:rsidRDefault="001E029F" w:rsidP="00621F74">
            <w:pPr>
              <w:jc w:val="right"/>
            </w:pPr>
            <w:r>
              <w:t>43.3</w:t>
            </w:r>
          </w:p>
        </w:tc>
        <w:tc>
          <w:tcPr>
            <w:tcW w:w="997" w:type="dxa"/>
            <w:shd w:val="clear" w:color="auto" w:fill="DBD9D6"/>
            <w:vAlign w:val="center"/>
          </w:tcPr>
          <w:p w14:paraId="48C77AA6" w14:textId="77777777" w:rsidR="001E029F" w:rsidRPr="000309BB" w:rsidRDefault="001E029F" w:rsidP="00621F74">
            <w:pPr>
              <w:jc w:val="right"/>
            </w:pPr>
            <w:r>
              <w:t>50.4</w:t>
            </w:r>
          </w:p>
        </w:tc>
        <w:tc>
          <w:tcPr>
            <w:tcW w:w="998" w:type="dxa"/>
            <w:shd w:val="clear" w:color="auto" w:fill="DBD9D6"/>
            <w:vAlign w:val="center"/>
          </w:tcPr>
          <w:p w14:paraId="27B906AD" w14:textId="77777777" w:rsidR="001E029F" w:rsidRPr="000309BB" w:rsidRDefault="001E029F" w:rsidP="00621F74">
            <w:pPr>
              <w:jc w:val="right"/>
            </w:pPr>
            <w:r>
              <w:t>52.1</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jc w:val="right"/>
            </w:pPr>
            <w:r>
              <w:t>22</w:t>
            </w:r>
          </w:p>
        </w:tc>
        <w:tc>
          <w:tcPr>
            <w:tcW w:w="997" w:type="dxa"/>
            <w:vAlign w:val="center"/>
          </w:tcPr>
          <w:p w14:paraId="2D8CC06E" w14:textId="77777777" w:rsidR="001E029F" w:rsidRPr="000309BB" w:rsidRDefault="001E029F" w:rsidP="00621F74">
            <w:pPr>
              <w:jc w:val="right"/>
            </w:pPr>
            <w:r>
              <w:t>4.1</w:t>
            </w:r>
          </w:p>
        </w:tc>
        <w:tc>
          <w:tcPr>
            <w:tcW w:w="997" w:type="dxa"/>
            <w:vAlign w:val="center"/>
          </w:tcPr>
          <w:p w14:paraId="0BBF1235" w14:textId="77777777" w:rsidR="001E029F" w:rsidRPr="000309BB" w:rsidRDefault="001E029F" w:rsidP="00621F74">
            <w:pPr>
              <w:jc w:val="right"/>
            </w:pPr>
            <w:r>
              <w:t>7.6</w:t>
            </w:r>
          </w:p>
        </w:tc>
        <w:tc>
          <w:tcPr>
            <w:tcW w:w="998" w:type="dxa"/>
            <w:vAlign w:val="center"/>
          </w:tcPr>
          <w:p w14:paraId="3C2A315A" w14:textId="77777777" w:rsidR="001E029F" w:rsidRPr="000309BB" w:rsidRDefault="001E029F" w:rsidP="00621F74">
            <w:pPr>
              <w:jc w:val="right"/>
            </w:pPr>
            <w:r>
              <w:t>7.7</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jc w:val="right"/>
            </w:pPr>
            <w:r>
              <w:t>422</w:t>
            </w:r>
          </w:p>
        </w:tc>
        <w:tc>
          <w:tcPr>
            <w:tcW w:w="997" w:type="dxa"/>
            <w:shd w:val="clear" w:color="auto" w:fill="DBD9D6"/>
            <w:vAlign w:val="center"/>
          </w:tcPr>
          <w:p w14:paraId="5C6F2447" w14:textId="77777777" w:rsidR="001E029F" w:rsidRPr="000309BB" w:rsidRDefault="001E029F" w:rsidP="00621F74">
            <w:pPr>
              <w:jc w:val="right"/>
            </w:pPr>
            <w:r>
              <w:t>77.9</w:t>
            </w:r>
          </w:p>
        </w:tc>
        <w:tc>
          <w:tcPr>
            <w:tcW w:w="997" w:type="dxa"/>
            <w:shd w:val="clear" w:color="auto" w:fill="DBD9D6"/>
            <w:vAlign w:val="center"/>
          </w:tcPr>
          <w:p w14:paraId="2ECFB1DA" w14:textId="77777777" w:rsidR="001E029F" w:rsidRPr="000309BB" w:rsidRDefault="001E029F" w:rsidP="00621F74">
            <w:pPr>
              <w:jc w:val="right"/>
            </w:pPr>
            <w:r>
              <w:t>85.2</w:t>
            </w:r>
          </w:p>
        </w:tc>
        <w:tc>
          <w:tcPr>
            <w:tcW w:w="998" w:type="dxa"/>
            <w:shd w:val="clear" w:color="auto" w:fill="DBD9D6"/>
            <w:vAlign w:val="center"/>
          </w:tcPr>
          <w:p w14:paraId="70E6CDE9" w14:textId="77777777" w:rsidR="001E029F" w:rsidRPr="000309BB" w:rsidRDefault="001E029F" w:rsidP="00621F74">
            <w:pPr>
              <w:jc w:val="right"/>
            </w:pPr>
            <w:r>
              <w:t>85.4</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jc w:val="right"/>
            </w:pPr>
            <w:r>
              <w:t>58</w:t>
            </w:r>
          </w:p>
        </w:tc>
        <w:tc>
          <w:tcPr>
            <w:tcW w:w="992" w:type="dxa"/>
            <w:shd w:val="clear" w:color="auto" w:fill="auto"/>
            <w:vAlign w:val="center"/>
          </w:tcPr>
          <w:p w14:paraId="4F9FCCEA" w14:textId="77777777" w:rsidR="001E029F" w:rsidRPr="000309BB" w:rsidRDefault="001E029F" w:rsidP="00621F74">
            <w:pPr>
              <w:jc w:val="right"/>
            </w:pPr>
            <w:r>
              <w:t>10.7</w:t>
            </w:r>
          </w:p>
        </w:tc>
        <w:tc>
          <w:tcPr>
            <w:tcW w:w="992" w:type="dxa"/>
            <w:shd w:val="clear" w:color="auto" w:fill="auto"/>
            <w:vAlign w:val="center"/>
          </w:tcPr>
          <w:p w14:paraId="40850E0A" w14:textId="77777777" w:rsidR="001E029F" w:rsidRPr="000309BB" w:rsidRDefault="001E029F" w:rsidP="00621F74">
            <w:pPr>
              <w:jc w:val="right"/>
            </w:pPr>
            <w:r>
              <w:t>13.9</w:t>
            </w:r>
          </w:p>
        </w:tc>
        <w:tc>
          <w:tcPr>
            <w:tcW w:w="993" w:type="dxa"/>
            <w:shd w:val="clear" w:color="auto" w:fill="auto"/>
            <w:vAlign w:val="center"/>
          </w:tcPr>
          <w:p w14:paraId="4B787817" w14:textId="77777777" w:rsidR="001E029F" w:rsidRPr="000309BB" w:rsidRDefault="001E029F" w:rsidP="00621F74">
            <w:pPr>
              <w:jc w:val="right"/>
            </w:pPr>
            <w:r>
              <w:t>14.8</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jc w:val="right"/>
            </w:pPr>
            <w:r>
              <w:t>98</w:t>
            </w:r>
          </w:p>
        </w:tc>
        <w:tc>
          <w:tcPr>
            <w:tcW w:w="992" w:type="dxa"/>
            <w:shd w:val="clear" w:color="auto" w:fill="DBD9D6"/>
            <w:vAlign w:val="center"/>
          </w:tcPr>
          <w:p w14:paraId="2F3BAF70" w14:textId="77777777" w:rsidR="001E029F" w:rsidRPr="000309BB" w:rsidRDefault="001E029F" w:rsidP="00621F74">
            <w:pPr>
              <w:jc w:val="right"/>
            </w:pPr>
            <w:r>
              <w:t>18.0</w:t>
            </w:r>
          </w:p>
        </w:tc>
        <w:tc>
          <w:tcPr>
            <w:tcW w:w="992" w:type="dxa"/>
            <w:shd w:val="clear" w:color="auto" w:fill="DBD9D6"/>
            <w:vAlign w:val="center"/>
          </w:tcPr>
          <w:p w14:paraId="1FC61948" w14:textId="77777777" w:rsidR="001E029F" w:rsidRPr="000309BB" w:rsidRDefault="001E029F" w:rsidP="00621F74">
            <w:pPr>
              <w:jc w:val="right"/>
            </w:pPr>
            <w:r>
              <w:t>22.3</w:t>
            </w:r>
          </w:p>
        </w:tc>
        <w:tc>
          <w:tcPr>
            <w:tcW w:w="993" w:type="dxa"/>
            <w:shd w:val="clear" w:color="auto" w:fill="DBD9D6"/>
            <w:vAlign w:val="center"/>
          </w:tcPr>
          <w:p w14:paraId="0DC49E79" w14:textId="77777777" w:rsidR="001E029F" w:rsidRPr="000309BB" w:rsidRDefault="001E029F" w:rsidP="00621F74">
            <w:pPr>
              <w:jc w:val="right"/>
            </w:pPr>
            <w:r>
              <w:t>22.2</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jc w:val="right"/>
            </w:pPr>
            <w:r>
              <w:t>151</w:t>
            </w:r>
          </w:p>
        </w:tc>
        <w:tc>
          <w:tcPr>
            <w:tcW w:w="992" w:type="dxa"/>
            <w:vAlign w:val="center"/>
          </w:tcPr>
          <w:p w14:paraId="61541F41" w14:textId="77777777" w:rsidR="001E029F" w:rsidRPr="000309BB" w:rsidRDefault="001E029F" w:rsidP="00621F74">
            <w:pPr>
              <w:jc w:val="right"/>
            </w:pPr>
            <w:r>
              <w:t>27.9</w:t>
            </w:r>
          </w:p>
        </w:tc>
        <w:tc>
          <w:tcPr>
            <w:tcW w:w="992" w:type="dxa"/>
            <w:vAlign w:val="center"/>
          </w:tcPr>
          <w:p w14:paraId="733FF832" w14:textId="77777777" w:rsidR="001E029F" w:rsidRPr="000309BB" w:rsidRDefault="001E029F" w:rsidP="00621F74">
            <w:pPr>
              <w:jc w:val="right"/>
            </w:pPr>
            <w:r>
              <w:t>28.0</w:t>
            </w:r>
          </w:p>
        </w:tc>
        <w:tc>
          <w:tcPr>
            <w:tcW w:w="993" w:type="dxa"/>
            <w:vAlign w:val="center"/>
          </w:tcPr>
          <w:p w14:paraId="78219278" w14:textId="77777777" w:rsidR="001E029F" w:rsidRPr="000309BB" w:rsidRDefault="001E029F" w:rsidP="00621F74">
            <w:pPr>
              <w:jc w:val="right"/>
            </w:pPr>
            <w:r>
              <w:t>28.0</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jc w:val="right"/>
            </w:pPr>
            <w:r>
              <w:t>18</w:t>
            </w:r>
          </w:p>
        </w:tc>
        <w:tc>
          <w:tcPr>
            <w:tcW w:w="979" w:type="dxa"/>
            <w:shd w:val="clear" w:color="auto" w:fill="DBD9D6"/>
            <w:vAlign w:val="center"/>
          </w:tcPr>
          <w:p w14:paraId="466860CA" w14:textId="77777777" w:rsidR="001E029F" w:rsidRPr="008202F2" w:rsidRDefault="001E029F" w:rsidP="00621F74">
            <w:pPr>
              <w:jc w:val="right"/>
            </w:pPr>
            <w:r>
              <w:t>3.4</w:t>
            </w:r>
          </w:p>
        </w:tc>
        <w:tc>
          <w:tcPr>
            <w:tcW w:w="978" w:type="dxa"/>
            <w:shd w:val="clear" w:color="auto" w:fill="DBD9D6"/>
            <w:vAlign w:val="center"/>
          </w:tcPr>
          <w:p w14:paraId="2D560E6F" w14:textId="77777777" w:rsidR="001E029F" w:rsidRPr="008202F2" w:rsidRDefault="001E029F" w:rsidP="00621F74">
            <w:pPr>
              <w:jc w:val="right"/>
            </w:pPr>
            <w:r>
              <w:t>6.5</w:t>
            </w:r>
          </w:p>
        </w:tc>
        <w:tc>
          <w:tcPr>
            <w:tcW w:w="979" w:type="dxa"/>
            <w:shd w:val="clear" w:color="auto" w:fill="DBD9D6"/>
            <w:vAlign w:val="center"/>
          </w:tcPr>
          <w:p w14:paraId="59748520" w14:textId="77777777" w:rsidR="001E029F" w:rsidRPr="008202F2" w:rsidRDefault="001E029F" w:rsidP="00621F74">
            <w:pPr>
              <w:jc w:val="right"/>
            </w:pPr>
            <w:r>
              <w:t>7.2</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jc w:val="right"/>
            </w:pPr>
            <w:r>
              <w:t>47</w:t>
            </w:r>
          </w:p>
        </w:tc>
        <w:tc>
          <w:tcPr>
            <w:tcW w:w="979" w:type="dxa"/>
            <w:vAlign w:val="center"/>
          </w:tcPr>
          <w:p w14:paraId="583C26C8" w14:textId="77777777" w:rsidR="001E029F" w:rsidRPr="008202F2" w:rsidRDefault="001E029F" w:rsidP="00621F74">
            <w:pPr>
              <w:jc w:val="right"/>
            </w:pPr>
            <w:r>
              <w:t>8.7</w:t>
            </w:r>
          </w:p>
        </w:tc>
        <w:tc>
          <w:tcPr>
            <w:tcW w:w="978" w:type="dxa"/>
            <w:vAlign w:val="center"/>
          </w:tcPr>
          <w:p w14:paraId="16A8A42B" w14:textId="77777777" w:rsidR="001E029F" w:rsidRPr="008202F2" w:rsidRDefault="001E029F" w:rsidP="00621F74">
            <w:pPr>
              <w:jc w:val="right"/>
            </w:pPr>
            <w:r>
              <w:t>10.1</w:t>
            </w:r>
          </w:p>
        </w:tc>
        <w:tc>
          <w:tcPr>
            <w:tcW w:w="979" w:type="dxa"/>
            <w:vAlign w:val="center"/>
          </w:tcPr>
          <w:p w14:paraId="5EAED378" w14:textId="77777777" w:rsidR="001E029F" w:rsidRPr="008202F2" w:rsidRDefault="001E029F" w:rsidP="00621F74">
            <w:pPr>
              <w:jc w:val="right"/>
            </w:pPr>
            <w:r>
              <w:t>11.1</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jc w:val="right"/>
            </w:pPr>
            <w:r>
              <w:t>36</w:t>
            </w:r>
          </w:p>
        </w:tc>
        <w:tc>
          <w:tcPr>
            <w:tcW w:w="979" w:type="dxa"/>
            <w:shd w:val="clear" w:color="auto" w:fill="DBD9D6"/>
            <w:vAlign w:val="center"/>
          </w:tcPr>
          <w:p w14:paraId="5E3D7CDD" w14:textId="77777777" w:rsidR="001E029F" w:rsidRPr="008202F2" w:rsidRDefault="001E029F" w:rsidP="00621F74">
            <w:pPr>
              <w:jc w:val="right"/>
            </w:pPr>
            <w:r>
              <w:t>6.7</w:t>
            </w:r>
          </w:p>
        </w:tc>
        <w:tc>
          <w:tcPr>
            <w:tcW w:w="978" w:type="dxa"/>
            <w:shd w:val="clear" w:color="auto" w:fill="DBD9D6"/>
            <w:vAlign w:val="center"/>
          </w:tcPr>
          <w:p w14:paraId="77EC161B" w14:textId="77777777" w:rsidR="001E029F" w:rsidRPr="008202F2" w:rsidRDefault="001E029F" w:rsidP="00621F74">
            <w:pPr>
              <w:jc w:val="right"/>
            </w:pPr>
            <w:r>
              <w:t>7.5</w:t>
            </w:r>
          </w:p>
        </w:tc>
        <w:tc>
          <w:tcPr>
            <w:tcW w:w="979" w:type="dxa"/>
            <w:shd w:val="clear" w:color="auto" w:fill="DBD9D6"/>
            <w:vAlign w:val="center"/>
          </w:tcPr>
          <w:p w14:paraId="3718F242" w14:textId="77777777" w:rsidR="001E029F" w:rsidRPr="008202F2" w:rsidRDefault="001E029F" w:rsidP="00621F74">
            <w:pPr>
              <w:jc w:val="right"/>
            </w:pPr>
            <w:r>
              <w:t>8.5</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jc w:val="right"/>
            </w:pPr>
            <w:r>
              <w:t>34</w:t>
            </w:r>
          </w:p>
        </w:tc>
        <w:tc>
          <w:tcPr>
            <w:tcW w:w="979" w:type="dxa"/>
            <w:vAlign w:val="center"/>
          </w:tcPr>
          <w:p w14:paraId="0A1AA096" w14:textId="77777777" w:rsidR="001E029F" w:rsidRPr="008202F2" w:rsidRDefault="001E029F" w:rsidP="00621F74">
            <w:pPr>
              <w:jc w:val="right"/>
            </w:pPr>
            <w:r>
              <w:t>6.3</w:t>
            </w:r>
          </w:p>
        </w:tc>
        <w:tc>
          <w:tcPr>
            <w:tcW w:w="978" w:type="dxa"/>
            <w:vAlign w:val="center"/>
          </w:tcPr>
          <w:p w14:paraId="3A8F432E" w14:textId="77777777" w:rsidR="001E029F" w:rsidRPr="008202F2" w:rsidRDefault="001E029F" w:rsidP="00621F74">
            <w:pPr>
              <w:jc w:val="right"/>
            </w:pPr>
            <w:r>
              <w:t>8.6</w:t>
            </w:r>
          </w:p>
        </w:tc>
        <w:tc>
          <w:tcPr>
            <w:tcW w:w="979" w:type="dxa"/>
            <w:vAlign w:val="center"/>
          </w:tcPr>
          <w:p w14:paraId="25110764" w14:textId="77777777" w:rsidR="001E029F" w:rsidRPr="008202F2" w:rsidRDefault="001E029F" w:rsidP="00621F74">
            <w:pPr>
              <w:jc w:val="right"/>
            </w:pPr>
            <w:r>
              <w:t>8.7</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jc w:val="right"/>
            </w:pPr>
            <w:r>
              <w:t>11</w:t>
            </w:r>
          </w:p>
        </w:tc>
        <w:tc>
          <w:tcPr>
            <w:tcW w:w="979" w:type="dxa"/>
            <w:shd w:val="clear" w:color="auto" w:fill="DBD9D6"/>
            <w:vAlign w:val="center"/>
          </w:tcPr>
          <w:p w14:paraId="0E53A126" w14:textId="77777777" w:rsidR="001E029F" w:rsidRPr="008202F2" w:rsidRDefault="001E029F" w:rsidP="00621F74">
            <w:pPr>
              <w:jc w:val="right"/>
            </w:pPr>
            <w:r>
              <w:t>2.0</w:t>
            </w:r>
          </w:p>
        </w:tc>
        <w:tc>
          <w:tcPr>
            <w:tcW w:w="978" w:type="dxa"/>
            <w:shd w:val="clear" w:color="auto" w:fill="DBD9D6"/>
            <w:vAlign w:val="center"/>
          </w:tcPr>
          <w:p w14:paraId="3959EF18" w14:textId="77777777" w:rsidR="001E029F" w:rsidRPr="008202F2" w:rsidRDefault="001E029F" w:rsidP="00621F74">
            <w:pPr>
              <w:jc w:val="right"/>
            </w:pPr>
            <w:r>
              <w:t>3.0</w:t>
            </w:r>
          </w:p>
        </w:tc>
        <w:tc>
          <w:tcPr>
            <w:tcW w:w="979" w:type="dxa"/>
            <w:shd w:val="clear" w:color="auto" w:fill="DBD9D6"/>
            <w:vAlign w:val="center"/>
          </w:tcPr>
          <w:p w14:paraId="4A363FB7" w14:textId="77777777" w:rsidR="001E029F" w:rsidRPr="008202F2" w:rsidRDefault="001E029F" w:rsidP="00621F74">
            <w:pPr>
              <w:jc w:val="right"/>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jc w:val="right"/>
            </w:pPr>
            <w:r>
              <w:t>23</w:t>
            </w:r>
          </w:p>
        </w:tc>
        <w:tc>
          <w:tcPr>
            <w:tcW w:w="979" w:type="dxa"/>
            <w:vAlign w:val="center"/>
          </w:tcPr>
          <w:p w14:paraId="68FE02A9" w14:textId="77777777" w:rsidR="001E029F" w:rsidRPr="008202F2" w:rsidRDefault="001E029F" w:rsidP="00621F74">
            <w:pPr>
              <w:jc w:val="right"/>
            </w:pPr>
            <w:r>
              <w:t>4.2</w:t>
            </w:r>
          </w:p>
        </w:tc>
        <w:tc>
          <w:tcPr>
            <w:tcW w:w="978" w:type="dxa"/>
            <w:vAlign w:val="center"/>
          </w:tcPr>
          <w:p w14:paraId="73B8FBB0" w14:textId="77777777" w:rsidR="001E029F" w:rsidRPr="008202F2" w:rsidRDefault="001E029F" w:rsidP="00621F74">
            <w:pPr>
              <w:jc w:val="right"/>
            </w:pPr>
            <w:r>
              <w:t>5.8</w:t>
            </w:r>
          </w:p>
        </w:tc>
        <w:tc>
          <w:tcPr>
            <w:tcW w:w="979" w:type="dxa"/>
            <w:vAlign w:val="center"/>
          </w:tcPr>
          <w:p w14:paraId="1A9C772A" w14:textId="77777777" w:rsidR="001E029F" w:rsidRPr="008202F2" w:rsidRDefault="001E029F" w:rsidP="00621F74">
            <w:pPr>
              <w:jc w:val="right"/>
            </w:pPr>
            <w:r>
              <w:t>6.7</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jc w:val="right"/>
            </w:pPr>
            <w:r>
              <w:t>39</w:t>
            </w:r>
          </w:p>
        </w:tc>
        <w:tc>
          <w:tcPr>
            <w:tcW w:w="980" w:type="dxa"/>
            <w:shd w:val="clear" w:color="auto" w:fill="auto"/>
            <w:vAlign w:val="center"/>
          </w:tcPr>
          <w:p w14:paraId="32C27126" w14:textId="77777777" w:rsidR="001E029F" w:rsidRPr="000309BB" w:rsidRDefault="001E029F" w:rsidP="00621F74">
            <w:pPr>
              <w:jc w:val="right"/>
            </w:pPr>
            <w:r>
              <w:t>7.1</w:t>
            </w:r>
          </w:p>
        </w:tc>
        <w:tc>
          <w:tcPr>
            <w:tcW w:w="980" w:type="dxa"/>
            <w:shd w:val="clear" w:color="auto" w:fill="auto"/>
            <w:vAlign w:val="center"/>
          </w:tcPr>
          <w:p w14:paraId="687B9BF0" w14:textId="77777777" w:rsidR="001E029F" w:rsidRPr="000309BB" w:rsidRDefault="001E029F" w:rsidP="00621F74">
            <w:pPr>
              <w:jc w:val="right"/>
            </w:pPr>
            <w:r>
              <w:t>8.2</w:t>
            </w:r>
          </w:p>
        </w:tc>
        <w:tc>
          <w:tcPr>
            <w:tcW w:w="981" w:type="dxa"/>
            <w:shd w:val="clear" w:color="auto" w:fill="auto"/>
            <w:vAlign w:val="center"/>
          </w:tcPr>
          <w:p w14:paraId="691A3DEC" w14:textId="77777777" w:rsidR="001E029F" w:rsidRPr="000309BB" w:rsidRDefault="001E029F" w:rsidP="00621F74">
            <w:pPr>
              <w:jc w:val="right"/>
            </w:pPr>
            <w:r>
              <w:t>9.0</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jc w:val="right"/>
            </w:pPr>
            <w:r>
              <w:t>8</w:t>
            </w:r>
          </w:p>
        </w:tc>
        <w:tc>
          <w:tcPr>
            <w:tcW w:w="980" w:type="dxa"/>
            <w:shd w:val="clear" w:color="auto" w:fill="DBD9D6"/>
            <w:vAlign w:val="center"/>
          </w:tcPr>
          <w:p w14:paraId="599E26FE" w14:textId="77777777" w:rsidR="001E029F" w:rsidRPr="000309BB" w:rsidRDefault="001E029F" w:rsidP="00621F74">
            <w:pPr>
              <w:jc w:val="right"/>
            </w:pPr>
            <w:r>
              <w:t>1.5</w:t>
            </w:r>
          </w:p>
        </w:tc>
        <w:tc>
          <w:tcPr>
            <w:tcW w:w="980" w:type="dxa"/>
            <w:shd w:val="clear" w:color="auto" w:fill="DBD9D6"/>
            <w:vAlign w:val="center"/>
          </w:tcPr>
          <w:p w14:paraId="234AB39E" w14:textId="77777777" w:rsidR="001E029F" w:rsidRPr="000309BB" w:rsidRDefault="001E029F" w:rsidP="00621F74">
            <w:pPr>
              <w:jc w:val="right"/>
            </w:pPr>
            <w:r>
              <w:t>2.8</w:t>
            </w:r>
          </w:p>
        </w:tc>
        <w:tc>
          <w:tcPr>
            <w:tcW w:w="981" w:type="dxa"/>
            <w:shd w:val="clear" w:color="auto" w:fill="DBD9D6"/>
            <w:vAlign w:val="center"/>
          </w:tcPr>
          <w:p w14:paraId="03D989F8" w14:textId="77777777" w:rsidR="001E029F" w:rsidRPr="000309BB" w:rsidRDefault="001E029F" w:rsidP="00621F74">
            <w:pPr>
              <w:jc w:val="right"/>
            </w:pPr>
            <w:r>
              <w:t>3.6</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jc w:val="right"/>
            </w:pPr>
            <w:r>
              <w:t>16</w:t>
            </w:r>
          </w:p>
        </w:tc>
        <w:tc>
          <w:tcPr>
            <w:tcW w:w="980" w:type="dxa"/>
            <w:vAlign w:val="center"/>
          </w:tcPr>
          <w:p w14:paraId="717C0577" w14:textId="77777777" w:rsidR="001E029F" w:rsidRPr="000309BB" w:rsidRDefault="001E029F" w:rsidP="00621F74">
            <w:pPr>
              <w:jc w:val="right"/>
            </w:pPr>
            <w:r>
              <w:t>2.9</w:t>
            </w:r>
          </w:p>
        </w:tc>
        <w:tc>
          <w:tcPr>
            <w:tcW w:w="980" w:type="dxa"/>
            <w:vAlign w:val="center"/>
          </w:tcPr>
          <w:p w14:paraId="3DEA89D0" w14:textId="77777777" w:rsidR="001E029F" w:rsidRPr="000309BB" w:rsidRDefault="001E029F" w:rsidP="00621F74">
            <w:pPr>
              <w:jc w:val="right"/>
            </w:pPr>
            <w:r>
              <w:t>4.2</w:t>
            </w:r>
          </w:p>
        </w:tc>
        <w:tc>
          <w:tcPr>
            <w:tcW w:w="981" w:type="dxa"/>
            <w:vAlign w:val="center"/>
          </w:tcPr>
          <w:p w14:paraId="69B5B379" w14:textId="77777777" w:rsidR="001E029F" w:rsidRPr="000309BB" w:rsidRDefault="001E029F" w:rsidP="00621F74">
            <w:pPr>
              <w:jc w:val="right"/>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w:t>
            </w:r>
            <w:proofErr w:type="spellStart"/>
            <w:r>
              <w:rPr>
                <w:rFonts w:ascii="Arial" w:hAnsi="Arial" w:cs="Arial"/>
                <w:sz w:val="18"/>
                <w:szCs w:val="18"/>
              </w:rPr>
              <w:t>ren</w:t>
            </w:r>
            <w:proofErr w:type="spellEnd"/>
            <w:r>
              <w:rPr>
                <w:rFonts w:ascii="Arial" w:hAnsi="Arial" w:cs="Arial"/>
                <w:sz w:val="18"/>
                <w:szCs w:val="18"/>
              </w:rPr>
              <w:t>)</w:t>
            </w:r>
          </w:p>
        </w:tc>
        <w:tc>
          <w:tcPr>
            <w:tcW w:w="980" w:type="dxa"/>
            <w:shd w:val="clear" w:color="auto" w:fill="DBD9D6"/>
            <w:vAlign w:val="center"/>
          </w:tcPr>
          <w:p w14:paraId="2287C9A4" w14:textId="77777777" w:rsidR="001E029F" w:rsidRPr="000309BB" w:rsidRDefault="001E029F" w:rsidP="00621F74">
            <w:pPr>
              <w:jc w:val="right"/>
            </w:pPr>
            <w:r>
              <w:t>12</w:t>
            </w:r>
          </w:p>
        </w:tc>
        <w:tc>
          <w:tcPr>
            <w:tcW w:w="980" w:type="dxa"/>
            <w:shd w:val="clear" w:color="auto" w:fill="DBD9D6"/>
            <w:vAlign w:val="center"/>
          </w:tcPr>
          <w:p w14:paraId="4E4F6EBF" w14:textId="77777777" w:rsidR="001E029F" w:rsidRPr="000309BB" w:rsidRDefault="001E029F" w:rsidP="00621F74">
            <w:pPr>
              <w:jc w:val="right"/>
            </w:pPr>
            <w:r>
              <w:t>2.2</w:t>
            </w:r>
          </w:p>
        </w:tc>
        <w:tc>
          <w:tcPr>
            <w:tcW w:w="980" w:type="dxa"/>
            <w:shd w:val="clear" w:color="auto" w:fill="DBD9D6"/>
            <w:vAlign w:val="center"/>
          </w:tcPr>
          <w:p w14:paraId="58586AE1" w14:textId="77777777" w:rsidR="001E029F" w:rsidRPr="000309BB" w:rsidRDefault="001E029F" w:rsidP="00621F74">
            <w:pPr>
              <w:jc w:val="right"/>
            </w:pPr>
            <w:r>
              <w:t>1.4</w:t>
            </w:r>
          </w:p>
        </w:tc>
        <w:tc>
          <w:tcPr>
            <w:tcW w:w="981" w:type="dxa"/>
            <w:shd w:val="clear" w:color="auto" w:fill="DBD9D6"/>
            <w:vAlign w:val="center"/>
          </w:tcPr>
          <w:p w14:paraId="53091D3E" w14:textId="77777777" w:rsidR="001E029F" w:rsidRPr="000309BB" w:rsidRDefault="001E029F" w:rsidP="00621F74">
            <w:pPr>
              <w:jc w:val="right"/>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jc w:val="right"/>
            </w:pPr>
          </w:p>
        </w:tc>
        <w:tc>
          <w:tcPr>
            <w:tcW w:w="980" w:type="dxa"/>
            <w:vAlign w:val="center"/>
          </w:tcPr>
          <w:p w14:paraId="052A5D21" w14:textId="77777777" w:rsidR="001E029F" w:rsidRPr="000309BB" w:rsidRDefault="001E029F" w:rsidP="00621F74">
            <w:pPr>
              <w:jc w:val="right"/>
            </w:pPr>
          </w:p>
        </w:tc>
        <w:tc>
          <w:tcPr>
            <w:tcW w:w="980" w:type="dxa"/>
            <w:vAlign w:val="center"/>
          </w:tcPr>
          <w:p w14:paraId="45437BF3" w14:textId="77777777" w:rsidR="001E029F" w:rsidRPr="000309BB" w:rsidRDefault="001E029F" w:rsidP="00621F74">
            <w:pPr>
              <w:jc w:val="right"/>
            </w:pPr>
          </w:p>
        </w:tc>
        <w:tc>
          <w:tcPr>
            <w:tcW w:w="981" w:type="dxa"/>
            <w:vAlign w:val="center"/>
          </w:tcPr>
          <w:p w14:paraId="48F705A0" w14:textId="77777777" w:rsidR="001E029F" w:rsidRPr="000309BB" w:rsidRDefault="001E029F" w:rsidP="00621F74">
            <w:pPr>
              <w:jc w:val="right"/>
            </w:pP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jc w:val="right"/>
            </w:pPr>
            <w:r>
              <w:t>11</w:t>
            </w:r>
          </w:p>
        </w:tc>
        <w:tc>
          <w:tcPr>
            <w:tcW w:w="980" w:type="dxa"/>
            <w:shd w:val="clear" w:color="auto" w:fill="DBD9D6"/>
            <w:vAlign w:val="center"/>
          </w:tcPr>
          <w:p w14:paraId="35B1A855" w14:textId="77777777" w:rsidR="001E029F" w:rsidRPr="000309BB" w:rsidRDefault="001E029F" w:rsidP="00621F74">
            <w:pPr>
              <w:jc w:val="right"/>
            </w:pPr>
            <w:r>
              <w:t>2.0</w:t>
            </w:r>
          </w:p>
        </w:tc>
        <w:tc>
          <w:tcPr>
            <w:tcW w:w="980" w:type="dxa"/>
            <w:shd w:val="clear" w:color="auto" w:fill="DBD9D6"/>
            <w:vAlign w:val="center"/>
          </w:tcPr>
          <w:p w14:paraId="7B939DAA" w14:textId="77777777" w:rsidR="001E029F" w:rsidRPr="000309BB" w:rsidRDefault="001E029F" w:rsidP="00621F74">
            <w:pPr>
              <w:jc w:val="right"/>
            </w:pPr>
            <w:r>
              <w:t>2.6</w:t>
            </w:r>
          </w:p>
        </w:tc>
        <w:tc>
          <w:tcPr>
            <w:tcW w:w="981" w:type="dxa"/>
            <w:shd w:val="clear" w:color="auto" w:fill="DBD9D6"/>
            <w:vAlign w:val="center"/>
          </w:tcPr>
          <w:p w14:paraId="69148C53" w14:textId="77777777" w:rsidR="001E029F" w:rsidRPr="000309BB" w:rsidRDefault="001E029F" w:rsidP="00621F74">
            <w:pPr>
              <w:jc w:val="right"/>
            </w:pPr>
            <w:r>
              <w:t>3.4</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jc w:val="right"/>
            </w:pPr>
            <w:r>
              <w:t>np</w:t>
            </w:r>
          </w:p>
        </w:tc>
        <w:tc>
          <w:tcPr>
            <w:tcW w:w="980" w:type="dxa"/>
            <w:vAlign w:val="center"/>
          </w:tcPr>
          <w:p w14:paraId="510D5CA8" w14:textId="77777777" w:rsidR="001E029F" w:rsidRPr="000309BB" w:rsidRDefault="001E029F" w:rsidP="00621F74">
            <w:pPr>
              <w:jc w:val="right"/>
            </w:pPr>
            <w:r>
              <w:t>0.0</w:t>
            </w:r>
          </w:p>
        </w:tc>
        <w:tc>
          <w:tcPr>
            <w:tcW w:w="980" w:type="dxa"/>
            <w:vAlign w:val="center"/>
          </w:tcPr>
          <w:p w14:paraId="08A8860E" w14:textId="77777777" w:rsidR="001E029F" w:rsidRPr="000309BB" w:rsidRDefault="001E029F" w:rsidP="00621F74">
            <w:pPr>
              <w:jc w:val="right"/>
            </w:pPr>
            <w:r>
              <w:t>0.6</w:t>
            </w:r>
          </w:p>
        </w:tc>
        <w:tc>
          <w:tcPr>
            <w:tcW w:w="981" w:type="dxa"/>
            <w:vAlign w:val="center"/>
          </w:tcPr>
          <w:p w14:paraId="442B8594" w14:textId="77777777" w:rsidR="001E029F" w:rsidRPr="000309BB" w:rsidRDefault="001E029F" w:rsidP="00621F74">
            <w:pPr>
              <w:jc w:val="right"/>
            </w:pPr>
            <w:r>
              <w:t>0.7</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jc w:val="right"/>
            </w:pPr>
            <w:r>
              <w:t>21</w:t>
            </w:r>
          </w:p>
        </w:tc>
        <w:tc>
          <w:tcPr>
            <w:tcW w:w="980" w:type="dxa"/>
            <w:shd w:val="clear" w:color="auto" w:fill="DBD9D6"/>
            <w:vAlign w:val="center"/>
          </w:tcPr>
          <w:p w14:paraId="2E7EF981" w14:textId="77777777" w:rsidR="001E029F" w:rsidRPr="000309BB" w:rsidRDefault="001E029F" w:rsidP="00621F74">
            <w:pPr>
              <w:jc w:val="right"/>
            </w:pPr>
            <w:r>
              <w:t>3.8</w:t>
            </w:r>
          </w:p>
        </w:tc>
        <w:tc>
          <w:tcPr>
            <w:tcW w:w="980" w:type="dxa"/>
            <w:shd w:val="clear" w:color="auto" w:fill="DBD9D6"/>
            <w:vAlign w:val="center"/>
          </w:tcPr>
          <w:p w14:paraId="58369790" w14:textId="77777777" w:rsidR="001E029F" w:rsidRPr="000309BB" w:rsidRDefault="001E029F" w:rsidP="00621F74">
            <w:pPr>
              <w:jc w:val="right"/>
            </w:pPr>
            <w:r>
              <w:t>6.6</w:t>
            </w:r>
          </w:p>
        </w:tc>
        <w:tc>
          <w:tcPr>
            <w:tcW w:w="981" w:type="dxa"/>
            <w:shd w:val="clear" w:color="auto" w:fill="DBD9D6"/>
            <w:vAlign w:val="center"/>
          </w:tcPr>
          <w:p w14:paraId="41615703" w14:textId="77777777" w:rsidR="001E029F" w:rsidRPr="000309BB" w:rsidRDefault="001E029F" w:rsidP="00621F74">
            <w:pPr>
              <w:jc w:val="right"/>
            </w:pPr>
            <w:r>
              <w:t>8.1</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2019</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5CFAF" w14:textId="77777777" w:rsidR="00500009" w:rsidRDefault="00500009" w:rsidP="003967DD">
      <w:pPr>
        <w:spacing w:after="0"/>
      </w:pPr>
      <w:r>
        <w:separator/>
      </w:r>
    </w:p>
  </w:endnote>
  <w:endnote w:type="continuationSeparator" w:id="0">
    <w:p w14:paraId="111CFCC4" w14:textId="77777777" w:rsidR="00500009" w:rsidRDefault="0050000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7B307" w14:textId="3EAC1279"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0248F5">
      <w:rPr>
        <w:noProof/>
        <w:lang w:val="en-GB"/>
      </w:rPr>
      <w:t>June 19</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 xml:space="preserve">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w:t>
    </w:r>
    <w:proofErr w:type="spellStart"/>
    <w:r>
      <w:t>Licence</w:t>
    </w:r>
    <w:proofErr w:type="spellEnd"/>
    <w:r>
      <w:t xml:space="preserv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proofErr w:type="spellStart"/>
    <w:r>
      <w:t>Authorised</w:t>
    </w:r>
    <w:proofErr w:type="spellEnd"/>
    <w:r>
      <w:t xml:space="preserve">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2CCF9" w14:textId="77777777" w:rsidR="00500009" w:rsidRDefault="00500009" w:rsidP="003967DD">
      <w:pPr>
        <w:spacing w:after="0"/>
      </w:pPr>
      <w:r>
        <w:separator/>
      </w:r>
    </w:p>
  </w:footnote>
  <w:footnote w:type="continuationSeparator" w:id="0">
    <w:p w14:paraId="3BB2BC35" w14:textId="77777777" w:rsidR="00500009" w:rsidRDefault="0050000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D1EB6" w14:textId="77777777" w:rsidR="00A63D55" w:rsidRDefault="00A63D55" w:rsidP="00A63D55">
    <w:pPr>
      <w:pStyle w:val="Header"/>
      <w:tabs>
        <w:tab w:val="clear" w:pos="4513"/>
        <w:tab w:val="clear" w:pos="9026"/>
        <w:tab w:val="left" w:pos="1425"/>
      </w:tabs>
    </w:pPr>
    <w:bookmarkStart w:id="0" w:name="_GoBack"/>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bookmarkEnd w:id="0"/>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A4A96"/>
    <w:rsid w:val="002D7A53"/>
    <w:rsid w:val="002E3BED"/>
    <w:rsid w:val="002E3D70"/>
    <w:rsid w:val="00312720"/>
    <w:rsid w:val="00370FE8"/>
    <w:rsid w:val="003967DD"/>
    <w:rsid w:val="00462E81"/>
    <w:rsid w:val="00500009"/>
    <w:rsid w:val="00584366"/>
    <w:rsid w:val="00624A55"/>
    <w:rsid w:val="00667EEC"/>
    <w:rsid w:val="006A25AC"/>
    <w:rsid w:val="00736FB0"/>
    <w:rsid w:val="00744E46"/>
    <w:rsid w:val="0075161D"/>
    <w:rsid w:val="007A79D0"/>
    <w:rsid w:val="007B556E"/>
    <w:rsid w:val="007D3E38"/>
    <w:rsid w:val="00A31926"/>
    <w:rsid w:val="00A32726"/>
    <w:rsid w:val="00A63D55"/>
    <w:rsid w:val="00A85159"/>
    <w:rsid w:val="00AB25E1"/>
    <w:rsid w:val="00AD20AB"/>
    <w:rsid w:val="00B211E6"/>
    <w:rsid w:val="00C33245"/>
    <w:rsid w:val="00D013E1"/>
    <w:rsid w:val="00D13BC2"/>
    <w:rsid w:val="00D50FA3"/>
    <w:rsid w:val="00DA3218"/>
    <w:rsid w:val="00F9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ducation.vic.gov.au/about/research/Pages/reportdatahealth.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SEHQ-Melbourne-LGA</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D99EB-4969-4A38-983C-D3BB14150427}"/>
</file>

<file path=customXml/itemProps2.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DD28F770-DBFA-490E-9B93-91570D7111A1}">
  <ds:schemaRefs>
    <ds:schemaRef ds:uri="http://schemas.microsoft.com/sharepoint/events"/>
  </ds:schemaRefs>
</ds:datastoreItem>
</file>

<file path=customXml/itemProps5.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SEHQ-Melbourne-LGA</dc:title>
  <dc:subject/>
  <dc:creator>Isabel Lim</dc:creator>
  <cp:keywords/>
  <dc:description/>
  <cp:lastModifiedBy>Nguyen, Phuong P</cp:lastModifiedBy>
  <cp:revision>4</cp:revision>
  <dcterms:created xsi:type="dcterms:W3CDTF">2018-11-09T00:00:00Z</dcterms:created>
  <dcterms:modified xsi:type="dcterms:W3CDTF">2019-06-05T02:40:00Z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