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Maribyrnong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Maribyrnong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Maribyrnong (C)</w:t>
      </w:r>
      <w:r w:rsidRPr="00737C52">
        <w:rPr>
          <w:rFonts w:ascii="Arial" w:hAnsi="Arial" w:cs="Arial"/>
          <w:sz w:val="22"/>
          <w:szCs w:val="22"/>
        </w:rPr>
        <w:t xml:space="preserve">, there were </w:t>
      </w:r>
      <w:proofErr w:type="spellStart"/>
      <w:proofErr w:type="spellEnd"/>
      <w:r>
        <w:rPr>
          <w:rFonts w:ascii="Arial" w:hAnsi="Arial" w:cs="Arial"/>
          <w:sz w:val="22"/>
          <w:szCs w:val="22"/>
        </w:rPr>
        <w:t>699</w:t>
      </w:r>
      <w:r>
        <w:rPr>
          <w:rFonts w:ascii="Arial" w:hAnsi="Arial" w:cs="Arial"/>
          <w:sz w:val="22"/>
          <w:szCs w:val="22"/>
        </w:rPr>
        <w:t xml:space="preserve"> children (</w:t>
      </w:r>
      <w:proofErr w:type="spellStart"/>
      <w:proofErr w:type="spellEnd"/>
      <w:r>
        <w:rPr>
          <w:rFonts w:ascii="Arial" w:hAnsi="Arial" w:cs="Arial"/>
          <w:sz w:val="22"/>
          <w:szCs w:val="22"/>
        </w:rPr>
        <w:t>1.1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76.1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95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99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67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587</w:t>
            </w:r>
          </w:p>
        </w:tc>
        <w:tc>
          <w:tcPr>
            <w:tcW w:w="993" w:type="dxa"/>
            <w:shd w:val="clear" w:color="auto" w:fill="DBD9D6"/>
            <w:vAlign w:val="center"/>
          </w:tcPr>
          <w:p w14:paraId="5D8532A7" w14:textId="77777777" w:rsidR="001E029F" w:rsidRPr="002A4320" w:rsidRDefault="001E029F" w:rsidP="00621F74">
            <w:pPr>
              <w:jc w:val="right"/>
            </w:pPr>
            <w:r>
              <w:t>84.0</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59</w:t>
            </w:r>
          </w:p>
        </w:tc>
        <w:tc>
          <w:tcPr>
            <w:tcW w:w="993" w:type="dxa"/>
            <w:shd w:val="clear" w:color="auto" w:fill="DBD9D6"/>
            <w:vAlign w:val="center"/>
          </w:tcPr>
          <w:p w14:paraId="4D8AF476" w14:textId="77777777" w:rsidR="001E029F" w:rsidRPr="002A4320" w:rsidRDefault="001E029F" w:rsidP="00621F74">
            <w:pPr>
              <w:jc w:val="right"/>
            </w:pPr>
            <w:r>
              <w:t>8.4</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22</w:t>
            </w:r>
          </w:p>
        </w:tc>
        <w:tc>
          <w:tcPr>
            <w:tcW w:w="993" w:type="dxa"/>
            <w:vAlign w:val="center"/>
          </w:tcPr>
          <w:p w14:paraId="5A2AACA3" w14:textId="77777777" w:rsidR="001E029F" w:rsidRPr="002A4320" w:rsidRDefault="001E029F" w:rsidP="00621F74">
            <w:pPr>
              <w:jc w:val="right"/>
            </w:pPr>
            <w:r>
              <w:t>36.8</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68</w:t>
            </w:r>
          </w:p>
        </w:tc>
        <w:tc>
          <w:tcPr>
            <w:tcW w:w="993" w:type="dxa"/>
            <w:shd w:val="clear" w:color="auto" w:fill="DBD9D6"/>
            <w:vAlign w:val="center"/>
          </w:tcPr>
          <w:p w14:paraId="381D2E35" w14:textId="77777777" w:rsidR="001E029F" w:rsidRPr="002A4320" w:rsidRDefault="001E029F" w:rsidP="00621F74">
            <w:pPr>
              <w:jc w:val="right"/>
            </w:pPr>
            <w:r>
              <w:t>9.7</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70.1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84</w:t>
            </w:r>
          </w:p>
        </w:tc>
        <w:tc>
          <w:tcPr>
            <w:tcW w:w="992" w:type="dxa"/>
            <w:shd w:val="clear" w:color="auto" w:fill="auto"/>
            <w:vAlign w:val="center"/>
          </w:tcPr>
          <w:p w14:paraId="16DEDDFE" w14:textId="77777777" w:rsidR="001E029F" w:rsidRPr="000309BB" w:rsidRDefault="001E029F" w:rsidP="00621F74">
            <w:pPr>
              <w:jc w:val="right"/>
            </w:pPr>
            <w:r>
              <w:t>12.1</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78</w:t>
            </w:r>
          </w:p>
        </w:tc>
        <w:tc>
          <w:tcPr>
            <w:tcW w:w="992" w:type="dxa"/>
            <w:shd w:val="clear" w:color="auto" w:fill="DBD9D6"/>
            <w:vAlign w:val="center"/>
          </w:tcPr>
          <w:p w14:paraId="0369F49C" w14:textId="77777777" w:rsidR="001E029F" w:rsidRPr="000309BB" w:rsidRDefault="001E029F" w:rsidP="00621F74">
            <w:pPr>
              <w:jc w:val="right"/>
            </w:pPr>
            <w:r>
              <w:t>11.2</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32</w:t>
            </w:r>
          </w:p>
        </w:tc>
        <w:tc>
          <w:tcPr>
            <w:tcW w:w="992" w:type="dxa"/>
            <w:vAlign w:val="center"/>
          </w:tcPr>
          <w:p w14:paraId="741712E5" w14:textId="77777777" w:rsidR="001E029F" w:rsidRPr="000309BB" w:rsidRDefault="001E029F" w:rsidP="00621F74">
            <w:pPr>
              <w:jc w:val="right"/>
            </w:pPr>
            <w:r>
              <w:t>41.0</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478</w:t>
            </w:r>
          </w:p>
        </w:tc>
        <w:tc>
          <w:tcPr>
            <w:tcW w:w="997" w:type="dxa"/>
            <w:shd w:val="clear" w:color="auto" w:fill="DBD9D6"/>
            <w:vAlign w:val="center"/>
          </w:tcPr>
          <w:p w14:paraId="29E25415" w14:textId="77777777" w:rsidR="001E029F" w:rsidRPr="000309BB" w:rsidRDefault="001E029F" w:rsidP="00621F74">
            <w:pPr>
              <w:jc w:val="right"/>
            </w:pPr>
            <w:r>
              <w:t>68.4</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138</w:t>
            </w:r>
          </w:p>
        </w:tc>
        <w:tc>
          <w:tcPr>
            <w:tcW w:w="997" w:type="dxa"/>
            <w:vAlign w:val="center"/>
          </w:tcPr>
          <w:p w14:paraId="3A93D8EB" w14:textId="77777777" w:rsidR="001E029F" w:rsidRPr="000309BB" w:rsidRDefault="001E029F" w:rsidP="00621F74">
            <w:pPr>
              <w:jc w:val="right"/>
            </w:pPr>
            <w:r>
              <w:t>19.7</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93</w:t>
            </w:r>
          </w:p>
        </w:tc>
        <w:tc>
          <w:tcPr>
            <w:tcW w:w="997" w:type="dxa"/>
            <w:vAlign w:val="center"/>
          </w:tcPr>
          <w:p w14:paraId="7B842FA7" w14:textId="77777777" w:rsidR="001E029F" w:rsidRPr="000309BB" w:rsidRDefault="001E029F" w:rsidP="00621F74">
            <w:pPr>
              <w:jc w:val="right"/>
            </w:pPr>
            <w:r>
              <w:t>13.3</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439</w:t>
            </w:r>
          </w:p>
        </w:tc>
        <w:tc>
          <w:tcPr>
            <w:tcW w:w="997" w:type="dxa"/>
            <w:shd w:val="clear" w:color="auto" w:fill="DBD9D6"/>
            <w:vAlign w:val="center"/>
          </w:tcPr>
          <w:p w14:paraId="45437AB6" w14:textId="77777777" w:rsidR="001E029F" w:rsidRPr="000309BB" w:rsidRDefault="001E029F" w:rsidP="00621F74">
            <w:pPr>
              <w:jc w:val="right"/>
            </w:pPr>
            <w:r>
              <w:t>62.8</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58</w:t>
            </w:r>
          </w:p>
        </w:tc>
        <w:tc>
          <w:tcPr>
            <w:tcW w:w="997" w:type="dxa"/>
            <w:vAlign w:val="center"/>
          </w:tcPr>
          <w:p w14:paraId="2D8CC06E" w14:textId="77777777" w:rsidR="001E029F" w:rsidRPr="000309BB" w:rsidRDefault="001E029F" w:rsidP="00621F74">
            <w:pPr>
              <w:jc w:val="right"/>
            </w:pPr>
            <w:r>
              <w:t>8.3</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630</w:t>
            </w:r>
          </w:p>
        </w:tc>
        <w:tc>
          <w:tcPr>
            <w:tcW w:w="997" w:type="dxa"/>
            <w:shd w:val="clear" w:color="auto" w:fill="DBD9D6"/>
            <w:vAlign w:val="center"/>
          </w:tcPr>
          <w:p w14:paraId="5C6F2447" w14:textId="77777777" w:rsidR="001E029F" w:rsidRPr="000309BB" w:rsidRDefault="001E029F" w:rsidP="00621F74">
            <w:pPr>
              <w:jc w:val="right"/>
            </w:pPr>
            <w:r>
              <w:t>90.1</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85</w:t>
            </w:r>
          </w:p>
        </w:tc>
        <w:tc>
          <w:tcPr>
            <w:tcW w:w="992" w:type="dxa"/>
            <w:shd w:val="clear" w:color="auto" w:fill="auto"/>
            <w:vAlign w:val="center"/>
          </w:tcPr>
          <w:p w14:paraId="4F9FCCEA" w14:textId="77777777" w:rsidR="001E029F" w:rsidRPr="000309BB" w:rsidRDefault="001E029F" w:rsidP="00621F74">
            <w:pPr>
              <w:jc w:val="right"/>
            </w:pPr>
            <w:r>
              <w:t>12.1</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82</w:t>
            </w:r>
          </w:p>
        </w:tc>
        <w:tc>
          <w:tcPr>
            <w:tcW w:w="992" w:type="dxa"/>
            <w:shd w:val="clear" w:color="auto" w:fill="DBD9D6"/>
            <w:vAlign w:val="center"/>
          </w:tcPr>
          <w:p w14:paraId="2F3BAF70" w14:textId="77777777" w:rsidR="001E029F" w:rsidRPr="000309BB" w:rsidRDefault="001E029F" w:rsidP="00621F74">
            <w:pPr>
              <w:jc w:val="right"/>
            </w:pPr>
            <w:r>
              <w:t>11.8</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239</w:t>
            </w:r>
          </w:p>
        </w:tc>
        <w:tc>
          <w:tcPr>
            <w:tcW w:w="992" w:type="dxa"/>
            <w:vAlign w:val="center"/>
          </w:tcPr>
          <w:p w14:paraId="61541F41" w14:textId="77777777" w:rsidR="001E029F" w:rsidRPr="000309BB" w:rsidRDefault="001E029F" w:rsidP="00621F74">
            <w:pPr>
              <w:jc w:val="right"/>
            </w:pPr>
            <w:r>
              <w:t>34.1</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34</w:t>
            </w:r>
          </w:p>
        </w:tc>
        <w:tc>
          <w:tcPr>
            <w:tcW w:w="979" w:type="dxa"/>
            <w:shd w:val="clear" w:color="auto" w:fill="DBD9D6"/>
            <w:vAlign w:val="center"/>
          </w:tcPr>
          <w:p w14:paraId="466860CA" w14:textId="77777777" w:rsidR="001E029F" w:rsidRPr="008202F2" w:rsidRDefault="001E029F" w:rsidP="00621F74">
            <w:pPr>
              <w:jc w:val="right"/>
            </w:pPr>
            <w:r>
              <w:t>4.8</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26</w:t>
            </w:r>
          </w:p>
        </w:tc>
        <w:tc>
          <w:tcPr>
            <w:tcW w:w="979" w:type="dxa"/>
            <w:vAlign w:val="center"/>
          </w:tcPr>
          <w:p w14:paraId="583C26C8" w14:textId="77777777" w:rsidR="001E029F" w:rsidRPr="008202F2" w:rsidRDefault="001E029F" w:rsidP="00621F74">
            <w:pPr>
              <w:jc w:val="right"/>
            </w:pPr>
            <w:r>
              <w:t>3.7</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46</w:t>
            </w:r>
          </w:p>
        </w:tc>
        <w:tc>
          <w:tcPr>
            <w:tcW w:w="979" w:type="dxa"/>
            <w:shd w:val="clear" w:color="auto" w:fill="DBD9D6"/>
            <w:vAlign w:val="center"/>
          </w:tcPr>
          <w:p w14:paraId="5E3D7CDD" w14:textId="77777777" w:rsidR="001E029F" w:rsidRPr="008202F2" w:rsidRDefault="001E029F" w:rsidP="00621F74">
            <w:pPr>
              <w:jc w:val="right"/>
            </w:pPr>
            <w:r>
              <w:t>6.5</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57</w:t>
            </w:r>
          </w:p>
        </w:tc>
        <w:tc>
          <w:tcPr>
            <w:tcW w:w="979" w:type="dxa"/>
            <w:vAlign w:val="center"/>
          </w:tcPr>
          <w:p w14:paraId="0A1AA096" w14:textId="77777777" w:rsidR="001E029F" w:rsidRPr="008202F2" w:rsidRDefault="001E029F" w:rsidP="00621F74">
            <w:pPr>
              <w:jc w:val="right"/>
            </w:pPr>
            <w:r>
              <w:t>8.1</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21</w:t>
            </w:r>
          </w:p>
        </w:tc>
        <w:tc>
          <w:tcPr>
            <w:tcW w:w="979" w:type="dxa"/>
            <w:vAlign w:val="center"/>
          </w:tcPr>
          <w:p w14:paraId="68FE02A9" w14:textId="77777777" w:rsidR="001E029F" w:rsidRPr="008202F2" w:rsidRDefault="001E029F" w:rsidP="00621F74">
            <w:pPr>
              <w:jc w:val="right"/>
            </w:pPr>
            <w:r>
              <w:t>3.1</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57</w:t>
            </w:r>
          </w:p>
        </w:tc>
        <w:tc>
          <w:tcPr>
            <w:tcW w:w="980" w:type="dxa"/>
            <w:shd w:val="clear" w:color="auto" w:fill="auto"/>
            <w:vAlign w:val="center"/>
          </w:tcPr>
          <w:p w14:paraId="32C27126" w14:textId="77777777" w:rsidR="001E029F" w:rsidRPr="000309BB" w:rsidRDefault="001E029F" w:rsidP="00621F74">
            <w:pPr>
              <w:jc w:val="right"/>
            </w:pPr>
            <w:r>
              <w:t>8.1</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11</w:t>
            </w:r>
          </w:p>
        </w:tc>
        <w:tc>
          <w:tcPr>
            <w:tcW w:w="980" w:type="dxa"/>
            <w:shd w:val="clear" w:color="auto" w:fill="DBD9D6"/>
            <w:vAlign w:val="center"/>
          </w:tcPr>
          <w:p w14:paraId="599E26FE" w14:textId="77777777" w:rsidR="001E029F" w:rsidRPr="000309BB" w:rsidRDefault="001E029F" w:rsidP="00621F74">
            <w:pPr>
              <w:jc w:val="right"/>
            </w:pPr>
            <w:r>
              <w:t>1.6</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16</w:t>
            </w:r>
          </w:p>
        </w:tc>
        <w:tc>
          <w:tcPr>
            <w:tcW w:w="980" w:type="dxa"/>
            <w:vAlign w:val="center"/>
          </w:tcPr>
          <w:p w14:paraId="717C0577" w14:textId="77777777" w:rsidR="001E029F" w:rsidRPr="000309BB" w:rsidRDefault="001E029F" w:rsidP="00621F74">
            <w:pPr>
              <w:jc w:val="right"/>
            </w:pPr>
            <w:r>
              <w:t>2.2</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11</w:t>
            </w:r>
          </w:p>
        </w:tc>
        <w:tc>
          <w:tcPr>
            <w:tcW w:w="980" w:type="dxa"/>
            <w:shd w:val="clear" w:color="auto" w:fill="DBD9D6"/>
            <w:vAlign w:val="center"/>
          </w:tcPr>
          <w:p w14:paraId="4E4F6EBF" w14:textId="77777777" w:rsidR="001E029F" w:rsidRPr="000309BB" w:rsidRDefault="001E029F" w:rsidP="00621F74">
            <w:pPr>
              <w:jc w:val="right"/>
            </w:pPr>
            <w:r>
              <w:t>1.6</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16</w:t>
            </w:r>
          </w:p>
        </w:tc>
        <w:tc>
          <w:tcPr>
            <w:tcW w:w="980" w:type="dxa"/>
            <w:shd w:val="clear" w:color="auto" w:fill="DBD9D6"/>
            <w:vAlign w:val="center"/>
          </w:tcPr>
          <w:p w14:paraId="35B1A855" w14:textId="77777777" w:rsidR="001E029F" w:rsidRPr="000309BB" w:rsidRDefault="001E029F" w:rsidP="00621F74">
            <w:pPr>
              <w:jc w:val="right"/>
            </w:pPr>
            <w:r>
              <w:t>2.3</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7</w:t>
            </w:r>
          </w:p>
        </w:tc>
        <w:tc>
          <w:tcPr>
            <w:tcW w:w="980" w:type="dxa"/>
            <w:vAlign w:val="center"/>
          </w:tcPr>
          <w:p w14:paraId="510D5CA8" w14:textId="77777777" w:rsidR="001E029F" w:rsidRPr="000309BB" w:rsidRDefault="001E029F" w:rsidP="00621F74">
            <w:pPr>
              <w:jc w:val="right"/>
            </w:pPr>
            <w:r>
              <w:t>1.0</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41</w:t>
            </w:r>
          </w:p>
        </w:tc>
        <w:tc>
          <w:tcPr>
            <w:tcW w:w="980" w:type="dxa"/>
            <w:shd w:val="clear" w:color="auto" w:fill="DBD9D6"/>
            <w:vAlign w:val="center"/>
          </w:tcPr>
          <w:p w14:paraId="2E7EF981" w14:textId="77777777" w:rsidR="001E029F" w:rsidRPr="000309BB" w:rsidRDefault="001E029F" w:rsidP="00621F74">
            <w:pPr>
              <w:jc w:val="right"/>
            </w:pPr>
            <w:r>
              <w:t>5.9</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15F8-B53C-425B-B87B-3F019AD2DE33}"/>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