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2018</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Central Goldfields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77777777" w:rsidR="001E029F" w:rsidRPr="001F547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2018</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Central Goldfields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7777777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Central Goldfields (S)</w:t>
      </w:r>
      <w:r w:rsidRPr="00737C52">
        <w:rPr>
          <w:rFonts w:ascii="Arial" w:hAnsi="Arial" w:cs="Arial"/>
          <w:sz w:val="22"/>
          <w:szCs w:val="22"/>
        </w:rPr>
        <w:t xml:space="preserve">, there were </w:t>
      </w:r>
      <w:proofErr w:type="spellStart"/>
      <w:proofErr w:type="spellEnd"/>
      <w:r>
        <w:rPr>
          <w:rFonts w:ascii="Arial" w:hAnsi="Arial" w:cs="Arial"/>
          <w:sz w:val="22"/>
          <w:szCs w:val="22"/>
        </w:rPr>
        <w:t>137</w:t>
      </w:r>
      <w:r>
        <w:rPr>
          <w:rFonts w:ascii="Arial" w:hAnsi="Arial" w:cs="Arial"/>
          <w:sz w:val="22"/>
          <w:szCs w:val="22"/>
        </w:rPr>
        <w:t xml:space="preserve"> children (</w:t>
      </w:r>
      <w:proofErr w:type="spellStart"/>
      <w:proofErr w:type="spellEnd"/>
      <w:r>
        <w:rPr>
          <w:rFonts w:ascii="Arial" w:hAnsi="Arial" w:cs="Arial"/>
          <w:sz w:val="22"/>
          <w:szCs w:val="22"/>
        </w:rPr>
        <w:t>0.2</w:t>
      </w:r>
      <w:r w:rsidRPr="00737C52">
        <w:rPr>
          <w:rFonts w:ascii="Arial" w:hAnsi="Arial" w:cs="Arial"/>
          <w:sz w:val="22"/>
          <w:szCs w:val="22"/>
        </w:rPr>
        <w:t xml:space="preserve">% of the state total of </w:t>
      </w:r>
      <w:proofErr w:type="spellStart"/>
      <w:proofErr w:type="spellEnd"/>
      <w:r>
        <w:rPr>
          <w:rFonts w:ascii="Arial" w:hAnsi="Arial" w:cs="Arial"/>
          <w:sz w:val="22"/>
          <w:szCs w:val="22"/>
        </w:rPr>
        <w:t>63,842</w:t>
      </w:r>
      <w:r w:rsidRPr="00737C52">
        <w:rPr>
          <w:rFonts w:ascii="Arial" w:hAnsi="Arial" w:cs="Arial"/>
          <w:sz w:val="22"/>
          <w:szCs w:val="22"/>
        </w:rPr>
        <w:t xml:space="preserve">) involved in the </w:t>
      </w:r>
      <w:r>
        <w:rPr>
          <w:rFonts w:ascii="Arial" w:hAnsi="Arial" w:cs="Arial"/>
          <w:sz w:val="22"/>
          <w:szCs w:val="22"/>
        </w:rPr>
        <w:t>2018</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2018</w:t>
      </w:r>
      <w:r>
        <w:rPr>
          <w:rFonts w:ascii="Arial" w:hAnsi="Arial" w:cs="Arial"/>
          <w:sz w:val="22"/>
          <w:szCs w:val="22"/>
        </w:rPr>
        <w:t xml:space="preserve"> </w:t>
      </w:r>
      <w:proofErr w:type="gramStart"/>
      <w:r w:rsidRPr="00737C52">
        <w:rPr>
          <w:rFonts w:ascii="Arial" w:hAnsi="Arial" w:cs="Arial"/>
          <w:sz w:val="22"/>
          <w:szCs w:val="22"/>
        </w:rPr>
        <w:t>SEHQ.</w:t>
      </w:r>
      <w:proofErr w:type="gramEnd"/>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jc w:val="right"/>
            </w:pPr>
            <w:r>
              <w:t>2.8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jc w:val="right"/>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jc w:val="right"/>
            </w:pPr>
            <w:r>
              <w:t>1.8</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jc w:val="right"/>
            </w:pPr>
            <w:r>
              <w:t>137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jc w:val="right"/>
            </w:pPr>
            <w:r>
              <w:t>99.9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jc w:val="right"/>
            </w:pPr>
            <w:r>
              <w:t>30.2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jc w:val="right"/>
            </w:pPr>
            <w:r>
              <w:t>20.6</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jc w:val="right"/>
            </w:pP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jc w:val="right"/>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jc w:val="right"/>
            </w:pPr>
            <w:r>
              <w:t>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jc w:val="right"/>
            </w:pPr>
            <w:r>
              <w:t>19.8</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jc w:val="right"/>
            </w:pPr>
            <w:r>
              <w:t>0.7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jc w:val="right"/>
            </w:pPr>
            <w:r>
              <w:t>3.3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jc w:val="right"/>
            </w:pPr>
            <w:r>
              <w:t>9.5</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jc w:val="right"/>
            </w:pPr>
            <w:r>
              <w:t>0.0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jc w:val="right"/>
            </w:pPr>
            <w:r>
              <w:t>2.3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jc w:val="right"/>
            </w:pPr>
            <w:r>
              <w:t>11.1</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jc w:val="right"/>
            </w:pPr>
            <w:r>
              <w:t>22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jc w:val="right"/>
            </w:pPr>
            <w:r>
              <w:t>16.2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jc w:val="right"/>
            </w:pPr>
            <w:r>
              <w:t>15.4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jc w:val="right"/>
            </w:pPr>
            <w:r>
              <w:t>11.5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jc w:val="right"/>
            </w:pPr>
            <w:r>
              <w:t>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jc w:val="right"/>
            </w:pPr>
            <w:r>
              <w:t>8.3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jc w:val="right"/>
            </w:pPr>
            <w:r>
              <w:t>5.8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jc w:val="right"/>
            </w:pPr>
            <w:r>
              <w:t>4.7</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jc w:val="right"/>
            </w:pPr>
            <w:r>
              <w:t>105</w:t>
            </w:r>
          </w:p>
        </w:tc>
        <w:tc>
          <w:tcPr>
            <w:tcW w:w="993" w:type="dxa"/>
            <w:shd w:val="clear" w:color="auto" w:fill="DBD9D6"/>
            <w:vAlign w:val="center"/>
          </w:tcPr>
          <w:p w14:paraId="5D8532A7" w14:textId="77777777" w:rsidR="001E029F" w:rsidRPr="002A4320" w:rsidRDefault="001E029F" w:rsidP="00621F74">
            <w:pPr>
              <w:jc w:val="right"/>
            </w:pPr>
            <w:r>
              <w:t>76.7</w:t>
            </w:r>
          </w:p>
        </w:tc>
        <w:tc>
          <w:tcPr>
            <w:tcW w:w="1132" w:type="dxa"/>
            <w:shd w:val="clear" w:color="auto" w:fill="DBD9D6"/>
            <w:vAlign w:val="center"/>
          </w:tcPr>
          <w:p w14:paraId="59F51658" w14:textId="77777777" w:rsidR="001E029F" w:rsidRPr="002A4320" w:rsidRDefault="001E029F" w:rsidP="00621F74">
            <w:pPr>
              <w:jc w:val="right"/>
            </w:pPr>
            <w:r>
              <w:t>84.9</w:t>
            </w:r>
          </w:p>
        </w:tc>
        <w:tc>
          <w:tcPr>
            <w:tcW w:w="994" w:type="dxa"/>
            <w:shd w:val="clear" w:color="auto" w:fill="DBD9D6"/>
            <w:vAlign w:val="center"/>
          </w:tcPr>
          <w:p w14:paraId="2A671A77" w14:textId="77777777" w:rsidR="001E029F" w:rsidRPr="002A4320" w:rsidRDefault="001E029F" w:rsidP="00621F74">
            <w:pPr>
              <w:jc w:val="right"/>
            </w:pPr>
            <w:r>
              <w:t>83.1</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jc w:val="right"/>
            </w:pPr>
            <w:r>
              <w:t>8</w:t>
            </w:r>
          </w:p>
        </w:tc>
        <w:tc>
          <w:tcPr>
            <w:tcW w:w="993" w:type="dxa"/>
            <w:shd w:val="clear" w:color="auto" w:fill="DBD9D6"/>
            <w:vAlign w:val="center"/>
          </w:tcPr>
          <w:p w14:paraId="4D8AF476" w14:textId="77777777" w:rsidR="001E029F" w:rsidRPr="002A4320" w:rsidRDefault="001E029F" w:rsidP="00621F74">
            <w:pPr>
              <w:jc w:val="right"/>
            </w:pPr>
            <w:r>
              <w:t>5.7</w:t>
            </w:r>
          </w:p>
        </w:tc>
        <w:tc>
          <w:tcPr>
            <w:tcW w:w="1132" w:type="dxa"/>
            <w:shd w:val="clear" w:color="auto" w:fill="DBD9D6"/>
            <w:vAlign w:val="center"/>
          </w:tcPr>
          <w:p w14:paraId="66D13BC4" w14:textId="77777777" w:rsidR="001E029F" w:rsidRPr="002A4320" w:rsidRDefault="001E029F" w:rsidP="00621F74">
            <w:pPr>
              <w:jc w:val="right"/>
            </w:pPr>
            <w:r>
              <w:t>8.3</w:t>
            </w:r>
          </w:p>
        </w:tc>
        <w:tc>
          <w:tcPr>
            <w:tcW w:w="994" w:type="dxa"/>
            <w:shd w:val="clear" w:color="auto" w:fill="DBD9D6"/>
            <w:vAlign w:val="center"/>
          </w:tcPr>
          <w:p w14:paraId="03EEB36F" w14:textId="77777777" w:rsidR="001E029F" w:rsidRPr="002A4320" w:rsidRDefault="001E029F" w:rsidP="00621F74">
            <w:pPr>
              <w:jc w:val="right"/>
            </w:pPr>
            <w:r>
              <w:t>8.9</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jc w:val="right"/>
            </w:pPr>
            <w:r>
              <w:t>np</w:t>
            </w:r>
          </w:p>
        </w:tc>
        <w:tc>
          <w:tcPr>
            <w:tcW w:w="993" w:type="dxa"/>
            <w:vAlign w:val="center"/>
          </w:tcPr>
          <w:p w14:paraId="5A2AACA3" w14:textId="77777777" w:rsidR="001E029F" w:rsidRPr="002A4320" w:rsidRDefault="001E029F" w:rsidP="00621F74">
            <w:pPr>
              <w:jc w:val="right"/>
            </w:pPr>
            <w:r>
              <w:t>25.0</w:t>
            </w:r>
          </w:p>
        </w:tc>
        <w:tc>
          <w:tcPr>
            <w:tcW w:w="1132" w:type="dxa"/>
            <w:vAlign w:val="center"/>
          </w:tcPr>
          <w:p w14:paraId="322DBEDC" w14:textId="77777777" w:rsidR="001E029F" w:rsidRPr="002A4320" w:rsidRDefault="001E029F" w:rsidP="00621F74">
            <w:pPr>
              <w:jc w:val="right"/>
            </w:pPr>
            <w:r>
              <w:t>28.8</w:t>
            </w:r>
          </w:p>
        </w:tc>
        <w:tc>
          <w:tcPr>
            <w:tcW w:w="994" w:type="dxa"/>
            <w:vAlign w:val="center"/>
          </w:tcPr>
          <w:p w14:paraId="1FFFC901" w14:textId="77777777" w:rsidR="001E029F" w:rsidRPr="002A4320" w:rsidRDefault="001E029F" w:rsidP="00621F74">
            <w:pPr>
              <w:jc w:val="right"/>
            </w:pPr>
            <w:r>
              <w:t>33.0</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jc w:val="right"/>
            </w:pPr>
            <w:r>
              <w:t>15</w:t>
            </w:r>
          </w:p>
        </w:tc>
        <w:tc>
          <w:tcPr>
            <w:tcW w:w="993" w:type="dxa"/>
            <w:shd w:val="clear" w:color="auto" w:fill="DBD9D6"/>
            <w:vAlign w:val="center"/>
          </w:tcPr>
          <w:p w14:paraId="381D2E35" w14:textId="77777777" w:rsidR="001E029F" w:rsidRPr="002A4320" w:rsidRDefault="001E029F" w:rsidP="00621F74">
            <w:pPr>
              <w:jc w:val="right"/>
            </w:pPr>
            <w:r>
              <w:t>10.7</w:t>
            </w:r>
          </w:p>
        </w:tc>
        <w:tc>
          <w:tcPr>
            <w:tcW w:w="1132" w:type="dxa"/>
            <w:shd w:val="clear" w:color="auto" w:fill="DBD9D6"/>
            <w:vAlign w:val="center"/>
          </w:tcPr>
          <w:p w14:paraId="52826BF6" w14:textId="77777777" w:rsidR="001E029F" w:rsidRPr="002A4320" w:rsidRDefault="001E029F" w:rsidP="00621F74">
            <w:pPr>
              <w:jc w:val="right"/>
            </w:pPr>
            <w:r>
              <w:t>13.5</w:t>
            </w:r>
          </w:p>
        </w:tc>
        <w:tc>
          <w:tcPr>
            <w:tcW w:w="994" w:type="dxa"/>
            <w:shd w:val="clear" w:color="auto" w:fill="DBD9D6"/>
            <w:vAlign w:val="center"/>
          </w:tcPr>
          <w:p w14:paraId="7074ABDC" w14:textId="77777777" w:rsidR="001E029F" w:rsidRPr="002A4320" w:rsidRDefault="001E029F" w:rsidP="00621F74">
            <w:pPr>
              <w:jc w:val="right"/>
            </w:pPr>
            <w:r>
              <w:t>11.4</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jc w:val="right"/>
            </w:pPr>
            <w:r>
              <w:t>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jc w:val="right"/>
            </w:pPr>
            <w:r>
              <w:t>60.2</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jc w:val="right"/>
            </w:pPr>
            <w:r>
              <w:t>58.0</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jc w:val="right"/>
            </w:pPr>
            <w:r>
              <w:t>60.1</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7F73A6DE" w14:textId="5DA79A91" w:rsidR="001E029F" w:rsidRPr="001F547F" w:rsidRDefault="001E029F" w:rsidP="001E029F">
      <w:pPr>
        <w:spacing w:after="200" w:line="276" w:lineRule="auto"/>
        <w:ind w:left="-142"/>
        <w:rPr>
          <w:b/>
          <w:bCs/>
          <w:caps/>
          <w:color w:val="004EA8"/>
          <w:sz w:val="28"/>
          <w:szCs w:val="28"/>
        </w:rPr>
      </w:pPr>
      <w:r>
        <w:rPr>
          <w:caps/>
          <w:color w:val="C00000"/>
          <w:sz w:val="20"/>
          <w:szCs w:val="28"/>
        </w:rPr>
        <w:br w:type="page"/>
      </w: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w:t>
            </w:r>
            <w:proofErr w:type="spellStart"/>
            <w:r>
              <w:rPr>
                <w:rFonts w:ascii="Arial" w:hAnsi="Arial" w:cs="Arial"/>
                <w:sz w:val="18"/>
                <w:szCs w:val="18"/>
              </w:rPr>
              <w:t>eg</w:t>
            </w:r>
            <w:proofErr w:type="spellEnd"/>
            <w:r>
              <w:rPr>
                <w:rFonts w:ascii="Arial" w:hAnsi="Arial" w:cs="Arial"/>
                <w:sz w:val="18"/>
                <w:szCs w:val="18"/>
              </w:rPr>
              <w:t xml:space="preserve">, teeth, gums </w:t>
            </w:r>
            <w:proofErr w:type="spellStart"/>
            <w:r>
              <w:rPr>
                <w:rFonts w:ascii="Arial" w:hAnsi="Arial" w:cs="Arial"/>
                <w:sz w:val="18"/>
                <w:szCs w:val="18"/>
              </w:rPr>
              <w:t>etc</w:t>
            </w:r>
            <w:proofErr w:type="spellEnd"/>
            <w:r>
              <w:rPr>
                <w:rFonts w:ascii="Arial" w:hAnsi="Arial" w:cs="Arial"/>
                <w:sz w:val="18"/>
                <w:szCs w:val="18"/>
              </w:rPr>
              <w:t>)</w:t>
            </w:r>
          </w:p>
        </w:tc>
        <w:tc>
          <w:tcPr>
            <w:tcW w:w="992" w:type="dxa"/>
            <w:shd w:val="clear" w:color="auto" w:fill="auto"/>
            <w:vAlign w:val="center"/>
          </w:tcPr>
          <w:p w14:paraId="75DF697D" w14:textId="77777777" w:rsidR="001E029F" w:rsidRPr="000309BB" w:rsidRDefault="001E029F" w:rsidP="00621F74">
            <w:pPr>
              <w:jc w:val="right"/>
            </w:pPr>
            <w:r>
              <w:t>22</w:t>
            </w:r>
          </w:p>
        </w:tc>
        <w:tc>
          <w:tcPr>
            <w:tcW w:w="992" w:type="dxa"/>
            <w:shd w:val="clear" w:color="auto" w:fill="auto"/>
            <w:vAlign w:val="center"/>
          </w:tcPr>
          <w:p w14:paraId="16DEDDFE" w14:textId="77777777" w:rsidR="001E029F" w:rsidRPr="000309BB" w:rsidRDefault="001E029F" w:rsidP="00621F74">
            <w:pPr>
              <w:jc w:val="right"/>
            </w:pPr>
            <w:r>
              <w:t>16.2</w:t>
            </w:r>
          </w:p>
        </w:tc>
        <w:tc>
          <w:tcPr>
            <w:tcW w:w="992" w:type="dxa"/>
            <w:shd w:val="clear" w:color="auto" w:fill="auto"/>
            <w:vAlign w:val="center"/>
          </w:tcPr>
          <w:p w14:paraId="7EF71D3B" w14:textId="77777777" w:rsidR="001E029F" w:rsidRPr="000309BB" w:rsidRDefault="001E029F" w:rsidP="00621F74">
            <w:pPr>
              <w:jc w:val="right"/>
            </w:pPr>
            <w:r>
              <w:t>12.0</w:t>
            </w:r>
          </w:p>
        </w:tc>
        <w:tc>
          <w:tcPr>
            <w:tcW w:w="993" w:type="dxa"/>
            <w:shd w:val="clear" w:color="auto" w:fill="auto"/>
            <w:vAlign w:val="center"/>
          </w:tcPr>
          <w:p w14:paraId="692956F8" w14:textId="77777777" w:rsidR="001E029F" w:rsidRPr="000309BB" w:rsidRDefault="001E029F" w:rsidP="00621F74">
            <w:pPr>
              <w:jc w:val="right"/>
            </w:pPr>
            <w:r>
              <w:t>12.6</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jc w:val="right"/>
            </w:pPr>
            <w:r>
              <w:t>28</w:t>
            </w:r>
          </w:p>
        </w:tc>
        <w:tc>
          <w:tcPr>
            <w:tcW w:w="992" w:type="dxa"/>
            <w:shd w:val="clear" w:color="auto" w:fill="DBD9D6"/>
            <w:vAlign w:val="center"/>
          </w:tcPr>
          <w:p w14:paraId="0369F49C" w14:textId="77777777" w:rsidR="001E029F" w:rsidRPr="000309BB" w:rsidRDefault="001E029F" w:rsidP="00621F74">
            <w:pPr>
              <w:jc w:val="right"/>
            </w:pPr>
            <w:r>
              <w:t>20.2</w:t>
            </w:r>
          </w:p>
        </w:tc>
        <w:tc>
          <w:tcPr>
            <w:tcW w:w="992" w:type="dxa"/>
            <w:shd w:val="clear" w:color="auto" w:fill="DBD9D6"/>
            <w:vAlign w:val="center"/>
          </w:tcPr>
          <w:p w14:paraId="12D9A92A" w14:textId="77777777" w:rsidR="001E029F" w:rsidRPr="000309BB" w:rsidRDefault="001E029F" w:rsidP="00621F74">
            <w:pPr>
              <w:jc w:val="right"/>
            </w:pPr>
            <w:r>
              <w:t>18.4</w:t>
            </w:r>
          </w:p>
        </w:tc>
        <w:tc>
          <w:tcPr>
            <w:tcW w:w="993" w:type="dxa"/>
            <w:shd w:val="clear" w:color="auto" w:fill="DBD9D6"/>
            <w:vAlign w:val="center"/>
          </w:tcPr>
          <w:p w14:paraId="433B7558" w14:textId="77777777" w:rsidR="001E029F" w:rsidRPr="000309BB" w:rsidRDefault="001E029F" w:rsidP="00621F74">
            <w:pPr>
              <w:jc w:val="right"/>
            </w:pPr>
            <w:r>
              <w:t>14.7</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jc w:val="right"/>
            </w:pPr>
            <w:r>
              <w:t>12</w:t>
            </w:r>
          </w:p>
        </w:tc>
        <w:tc>
          <w:tcPr>
            <w:tcW w:w="992" w:type="dxa"/>
            <w:vAlign w:val="center"/>
          </w:tcPr>
          <w:p w14:paraId="741712E5" w14:textId="77777777" w:rsidR="001E029F" w:rsidRPr="000309BB" w:rsidRDefault="001E029F" w:rsidP="00621F74">
            <w:pPr>
              <w:jc w:val="right"/>
            </w:pPr>
            <w:r>
              <w:t>44.5</w:t>
            </w:r>
          </w:p>
        </w:tc>
        <w:tc>
          <w:tcPr>
            <w:tcW w:w="992" w:type="dxa"/>
            <w:vAlign w:val="center"/>
          </w:tcPr>
          <w:p w14:paraId="343CC511" w14:textId="77777777" w:rsidR="001E029F" w:rsidRPr="000309BB" w:rsidRDefault="001E029F" w:rsidP="00621F74">
            <w:pPr>
              <w:jc w:val="right"/>
            </w:pPr>
            <w:r>
              <w:t>35.1</w:t>
            </w:r>
          </w:p>
        </w:tc>
        <w:tc>
          <w:tcPr>
            <w:tcW w:w="993" w:type="dxa"/>
            <w:vAlign w:val="center"/>
          </w:tcPr>
          <w:p w14:paraId="1A60E9FB" w14:textId="77777777" w:rsidR="001E029F" w:rsidRPr="000309BB" w:rsidRDefault="001E029F" w:rsidP="00621F74">
            <w:pPr>
              <w:jc w:val="right"/>
            </w:pPr>
            <w:r>
              <w:t>32.0</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jc w:val="right"/>
            </w:pPr>
            <w:r>
              <w:t>112</w:t>
            </w:r>
          </w:p>
        </w:tc>
        <w:tc>
          <w:tcPr>
            <w:tcW w:w="997" w:type="dxa"/>
            <w:shd w:val="clear" w:color="auto" w:fill="DBD9D6"/>
            <w:vAlign w:val="center"/>
          </w:tcPr>
          <w:p w14:paraId="29E25415" w14:textId="77777777" w:rsidR="001E029F" w:rsidRPr="000309BB" w:rsidRDefault="001E029F" w:rsidP="00621F74">
            <w:pPr>
              <w:jc w:val="right"/>
            </w:pPr>
            <w:r>
              <w:t>81.9</w:t>
            </w:r>
          </w:p>
        </w:tc>
        <w:tc>
          <w:tcPr>
            <w:tcW w:w="997" w:type="dxa"/>
            <w:shd w:val="clear" w:color="auto" w:fill="DBD9D6"/>
            <w:vAlign w:val="center"/>
          </w:tcPr>
          <w:p w14:paraId="6AC066B1" w14:textId="77777777" w:rsidR="001E029F" w:rsidRPr="000309BB" w:rsidRDefault="001E029F" w:rsidP="00621F74">
            <w:pPr>
              <w:jc w:val="right"/>
            </w:pPr>
            <w:r>
              <w:t>75.8</w:t>
            </w:r>
          </w:p>
        </w:tc>
        <w:tc>
          <w:tcPr>
            <w:tcW w:w="998" w:type="dxa"/>
            <w:shd w:val="clear" w:color="auto" w:fill="DBD9D6"/>
            <w:vAlign w:val="center"/>
          </w:tcPr>
          <w:p w14:paraId="723095ED" w14:textId="77777777" w:rsidR="001E029F" w:rsidRPr="000309BB" w:rsidRDefault="001E029F" w:rsidP="00621F74">
            <w:pPr>
              <w:jc w:val="right"/>
            </w:pPr>
            <w:r>
              <w:t>70.8</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jc w:val="right"/>
            </w:pPr>
            <w:r>
              <w:t>34</w:t>
            </w:r>
          </w:p>
        </w:tc>
        <w:tc>
          <w:tcPr>
            <w:tcW w:w="997" w:type="dxa"/>
            <w:vAlign w:val="center"/>
          </w:tcPr>
          <w:p w14:paraId="3A93D8EB" w14:textId="77777777" w:rsidR="001E029F" w:rsidRPr="000309BB" w:rsidRDefault="001E029F" w:rsidP="00621F74">
            <w:pPr>
              <w:jc w:val="right"/>
            </w:pPr>
            <w:r>
              <w:t>25.2</w:t>
            </w:r>
          </w:p>
        </w:tc>
        <w:tc>
          <w:tcPr>
            <w:tcW w:w="997" w:type="dxa"/>
            <w:vAlign w:val="center"/>
          </w:tcPr>
          <w:p w14:paraId="54F573DB" w14:textId="77777777" w:rsidR="001E029F" w:rsidRPr="000309BB" w:rsidRDefault="001E029F" w:rsidP="00621F74">
            <w:pPr>
              <w:jc w:val="right"/>
            </w:pPr>
            <w:r>
              <w:t>22.6</w:t>
            </w:r>
          </w:p>
        </w:tc>
        <w:tc>
          <w:tcPr>
            <w:tcW w:w="998" w:type="dxa"/>
            <w:vAlign w:val="center"/>
          </w:tcPr>
          <w:p w14:paraId="676A7325" w14:textId="77777777" w:rsidR="001E029F" w:rsidRPr="000309BB" w:rsidRDefault="001E029F" w:rsidP="00621F74">
            <w:pPr>
              <w:jc w:val="right"/>
            </w:pPr>
            <w:r>
              <w:t>20.3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jc w:val="right"/>
            </w:pPr>
            <w:r>
              <w:t>16</w:t>
            </w:r>
          </w:p>
        </w:tc>
        <w:tc>
          <w:tcPr>
            <w:tcW w:w="997" w:type="dxa"/>
            <w:vAlign w:val="center"/>
          </w:tcPr>
          <w:p w14:paraId="7B842FA7" w14:textId="77777777" w:rsidR="001E029F" w:rsidRPr="000309BB" w:rsidRDefault="001E029F" w:rsidP="00621F74">
            <w:pPr>
              <w:jc w:val="right"/>
            </w:pPr>
            <w:r>
              <w:t>12.0</w:t>
            </w:r>
          </w:p>
        </w:tc>
        <w:tc>
          <w:tcPr>
            <w:tcW w:w="997" w:type="dxa"/>
            <w:vAlign w:val="center"/>
          </w:tcPr>
          <w:p w14:paraId="19252111" w14:textId="77777777" w:rsidR="001E029F" w:rsidRPr="000309BB" w:rsidRDefault="001E029F" w:rsidP="00621F74">
            <w:pPr>
              <w:jc w:val="right"/>
            </w:pPr>
            <w:r>
              <w:t>15.3</w:t>
            </w:r>
          </w:p>
        </w:tc>
        <w:tc>
          <w:tcPr>
            <w:tcW w:w="998" w:type="dxa"/>
            <w:vAlign w:val="center"/>
          </w:tcPr>
          <w:p w14:paraId="40724558" w14:textId="77777777" w:rsidR="001E029F" w:rsidRPr="000309BB" w:rsidRDefault="001E029F" w:rsidP="00621F74">
            <w:pPr>
              <w:jc w:val="right"/>
            </w:pPr>
            <w:r>
              <w:t>13.9</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jc w:val="right"/>
            </w:pPr>
            <w:r>
              <w:t>86</w:t>
            </w:r>
          </w:p>
        </w:tc>
        <w:tc>
          <w:tcPr>
            <w:tcW w:w="997" w:type="dxa"/>
            <w:shd w:val="clear" w:color="auto" w:fill="DBD9D6"/>
            <w:vAlign w:val="center"/>
          </w:tcPr>
          <w:p w14:paraId="45437AB6" w14:textId="77777777" w:rsidR="001E029F" w:rsidRPr="000309BB" w:rsidRDefault="001E029F" w:rsidP="00621F74">
            <w:pPr>
              <w:jc w:val="right"/>
            </w:pPr>
            <w:r>
              <w:t>63.1</w:t>
            </w:r>
          </w:p>
        </w:tc>
        <w:tc>
          <w:tcPr>
            <w:tcW w:w="997" w:type="dxa"/>
            <w:shd w:val="clear" w:color="auto" w:fill="DBD9D6"/>
            <w:vAlign w:val="center"/>
          </w:tcPr>
          <w:p w14:paraId="48C77AA6" w14:textId="77777777" w:rsidR="001E029F" w:rsidRPr="000309BB" w:rsidRDefault="001E029F" w:rsidP="00621F74">
            <w:pPr>
              <w:jc w:val="right"/>
            </w:pPr>
            <w:r>
              <w:t>66.1</w:t>
            </w:r>
          </w:p>
        </w:tc>
        <w:tc>
          <w:tcPr>
            <w:tcW w:w="998" w:type="dxa"/>
            <w:shd w:val="clear" w:color="auto" w:fill="DBD9D6"/>
            <w:vAlign w:val="center"/>
          </w:tcPr>
          <w:p w14:paraId="27B906AD" w14:textId="77777777" w:rsidR="001E029F" w:rsidRPr="000309BB" w:rsidRDefault="001E029F" w:rsidP="00621F74">
            <w:pPr>
              <w:jc w:val="right"/>
            </w:pPr>
            <w:r>
              <w:t>60.7</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jc w:val="right"/>
            </w:pPr>
            <w:r>
              <w:t>16</w:t>
            </w:r>
          </w:p>
        </w:tc>
        <w:tc>
          <w:tcPr>
            <w:tcW w:w="997" w:type="dxa"/>
            <w:vAlign w:val="center"/>
          </w:tcPr>
          <w:p w14:paraId="2D8CC06E" w14:textId="77777777" w:rsidR="001E029F" w:rsidRPr="000309BB" w:rsidRDefault="001E029F" w:rsidP="00621F74">
            <w:pPr>
              <w:jc w:val="right"/>
            </w:pPr>
            <w:r>
              <w:t>11.8</w:t>
            </w:r>
          </w:p>
        </w:tc>
        <w:tc>
          <w:tcPr>
            <w:tcW w:w="997" w:type="dxa"/>
            <w:vAlign w:val="center"/>
          </w:tcPr>
          <w:p w14:paraId="0BBF1235" w14:textId="77777777" w:rsidR="001E029F" w:rsidRPr="000309BB" w:rsidRDefault="001E029F" w:rsidP="00621F74">
            <w:pPr>
              <w:jc w:val="right"/>
            </w:pPr>
            <w:r>
              <w:t>12.2</w:t>
            </w:r>
          </w:p>
        </w:tc>
        <w:tc>
          <w:tcPr>
            <w:tcW w:w="998" w:type="dxa"/>
            <w:vAlign w:val="center"/>
          </w:tcPr>
          <w:p w14:paraId="3C2A315A" w14:textId="77777777" w:rsidR="001E029F" w:rsidRPr="000309BB" w:rsidRDefault="001E029F" w:rsidP="00621F74">
            <w:pPr>
              <w:jc w:val="right"/>
            </w:pPr>
            <w:r>
              <w:t>10.9</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jc w:val="right"/>
            </w:pPr>
            <w:r>
              <w:t>116</w:t>
            </w:r>
          </w:p>
        </w:tc>
        <w:tc>
          <w:tcPr>
            <w:tcW w:w="997" w:type="dxa"/>
            <w:shd w:val="clear" w:color="auto" w:fill="DBD9D6"/>
            <w:vAlign w:val="center"/>
          </w:tcPr>
          <w:p w14:paraId="5C6F2447" w14:textId="77777777" w:rsidR="001E029F" w:rsidRPr="000309BB" w:rsidRDefault="001E029F" w:rsidP="00621F74">
            <w:pPr>
              <w:jc w:val="right"/>
            </w:pPr>
            <w:r>
              <w:t>84.5</w:t>
            </w:r>
          </w:p>
        </w:tc>
        <w:tc>
          <w:tcPr>
            <w:tcW w:w="997" w:type="dxa"/>
            <w:shd w:val="clear" w:color="auto" w:fill="DBD9D6"/>
            <w:vAlign w:val="center"/>
          </w:tcPr>
          <w:p w14:paraId="2ECFB1DA" w14:textId="77777777" w:rsidR="001E029F" w:rsidRPr="000309BB" w:rsidRDefault="001E029F" w:rsidP="00621F74">
            <w:pPr>
              <w:jc w:val="right"/>
            </w:pPr>
            <w:r>
              <w:t>89.8</w:t>
            </w:r>
          </w:p>
        </w:tc>
        <w:tc>
          <w:tcPr>
            <w:tcW w:w="998" w:type="dxa"/>
            <w:shd w:val="clear" w:color="auto" w:fill="DBD9D6"/>
            <w:vAlign w:val="center"/>
          </w:tcPr>
          <w:p w14:paraId="70E6CDE9" w14:textId="77777777" w:rsidR="001E029F" w:rsidRPr="000309BB" w:rsidRDefault="001E029F" w:rsidP="00621F74">
            <w:pPr>
              <w:jc w:val="right"/>
            </w:pPr>
            <w:r>
              <w:t>88.1</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jc w:val="right"/>
            </w:pPr>
            <w:r>
              <w:t>31</w:t>
            </w:r>
          </w:p>
        </w:tc>
        <w:tc>
          <w:tcPr>
            <w:tcW w:w="992" w:type="dxa"/>
            <w:shd w:val="clear" w:color="auto" w:fill="auto"/>
            <w:vAlign w:val="center"/>
          </w:tcPr>
          <w:p w14:paraId="4F9FCCEA" w14:textId="77777777" w:rsidR="001E029F" w:rsidRPr="000309BB" w:rsidRDefault="001E029F" w:rsidP="00621F74">
            <w:pPr>
              <w:jc w:val="right"/>
            </w:pPr>
            <w:r>
              <w:t>22.5</w:t>
            </w:r>
          </w:p>
        </w:tc>
        <w:tc>
          <w:tcPr>
            <w:tcW w:w="992" w:type="dxa"/>
            <w:shd w:val="clear" w:color="auto" w:fill="auto"/>
            <w:vAlign w:val="center"/>
          </w:tcPr>
          <w:p w14:paraId="40850E0A" w14:textId="77777777" w:rsidR="001E029F" w:rsidRPr="000309BB" w:rsidRDefault="001E029F" w:rsidP="00621F74">
            <w:pPr>
              <w:jc w:val="right"/>
            </w:pPr>
            <w:r>
              <w:t>17.3</w:t>
            </w:r>
          </w:p>
        </w:tc>
        <w:tc>
          <w:tcPr>
            <w:tcW w:w="993" w:type="dxa"/>
            <w:shd w:val="clear" w:color="auto" w:fill="auto"/>
            <w:vAlign w:val="center"/>
          </w:tcPr>
          <w:p w14:paraId="4B787817" w14:textId="77777777" w:rsidR="001E029F" w:rsidRPr="000309BB" w:rsidRDefault="001E029F" w:rsidP="00621F74">
            <w:pPr>
              <w:jc w:val="right"/>
            </w:pPr>
            <w:r>
              <w:t>14.1</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jc w:val="right"/>
            </w:pPr>
            <w:r>
              <w:t>12</w:t>
            </w:r>
          </w:p>
        </w:tc>
        <w:tc>
          <w:tcPr>
            <w:tcW w:w="992" w:type="dxa"/>
            <w:shd w:val="clear" w:color="auto" w:fill="DBD9D6"/>
            <w:vAlign w:val="center"/>
          </w:tcPr>
          <w:p w14:paraId="2F3BAF70" w14:textId="77777777" w:rsidR="001E029F" w:rsidRPr="000309BB" w:rsidRDefault="001E029F" w:rsidP="00621F74">
            <w:pPr>
              <w:jc w:val="right"/>
            </w:pPr>
            <w:r>
              <w:t>9.1</w:t>
            </w:r>
          </w:p>
        </w:tc>
        <w:tc>
          <w:tcPr>
            <w:tcW w:w="992" w:type="dxa"/>
            <w:shd w:val="clear" w:color="auto" w:fill="DBD9D6"/>
            <w:vAlign w:val="center"/>
          </w:tcPr>
          <w:p w14:paraId="1FC61948" w14:textId="77777777" w:rsidR="001E029F" w:rsidRPr="000309BB" w:rsidRDefault="001E029F" w:rsidP="00621F74">
            <w:pPr>
              <w:jc w:val="right"/>
            </w:pPr>
            <w:r>
              <w:t>11.6</w:t>
            </w:r>
          </w:p>
        </w:tc>
        <w:tc>
          <w:tcPr>
            <w:tcW w:w="993" w:type="dxa"/>
            <w:shd w:val="clear" w:color="auto" w:fill="DBD9D6"/>
            <w:vAlign w:val="center"/>
          </w:tcPr>
          <w:p w14:paraId="0DC49E79" w14:textId="77777777" w:rsidR="001E029F" w:rsidRPr="000309BB" w:rsidRDefault="001E029F" w:rsidP="00621F74">
            <w:pPr>
              <w:jc w:val="right"/>
            </w:pPr>
            <w:r>
              <w:t>12.2</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jc w:val="right"/>
            </w:pPr>
            <w:r>
              <w:t>34</w:t>
            </w:r>
          </w:p>
        </w:tc>
        <w:tc>
          <w:tcPr>
            <w:tcW w:w="992" w:type="dxa"/>
            <w:vAlign w:val="center"/>
          </w:tcPr>
          <w:p w14:paraId="61541F41" w14:textId="77777777" w:rsidR="001E029F" w:rsidRPr="000309BB" w:rsidRDefault="001E029F" w:rsidP="00621F74">
            <w:pPr>
              <w:jc w:val="right"/>
            </w:pPr>
            <w:r>
              <w:t>25.0</w:t>
            </w:r>
          </w:p>
        </w:tc>
        <w:tc>
          <w:tcPr>
            <w:tcW w:w="992" w:type="dxa"/>
            <w:vAlign w:val="center"/>
          </w:tcPr>
          <w:p w14:paraId="733FF832" w14:textId="77777777" w:rsidR="001E029F" w:rsidRPr="000309BB" w:rsidRDefault="001E029F" w:rsidP="00621F74">
            <w:pPr>
              <w:jc w:val="right"/>
            </w:pPr>
            <w:r>
              <w:t>31.2</w:t>
            </w:r>
          </w:p>
        </w:tc>
        <w:tc>
          <w:tcPr>
            <w:tcW w:w="993" w:type="dxa"/>
            <w:vAlign w:val="center"/>
          </w:tcPr>
          <w:p w14:paraId="78219278" w14:textId="77777777" w:rsidR="001E029F" w:rsidRPr="000309BB" w:rsidRDefault="001E029F" w:rsidP="00621F74">
            <w:pPr>
              <w:jc w:val="right"/>
            </w:pPr>
            <w:r>
              <w:t>32.0</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jc w:val="right"/>
            </w:pPr>
            <w:r>
              <w:t>16</w:t>
            </w:r>
          </w:p>
        </w:tc>
        <w:tc>
          <w:tcPr>
            <w:tcW w:w="979" w:type="dxa"/>
            <w:shd w:val="clear" w:color="auto" w:fill="DBD9D6"/>
            <w:vAlign w:val="center"/>
          </w:tcPr>
          <w:p w14:paraId="466860CA" w14:textId="77777777" w:rsidR="001E029F" w:rsidRPr="008202F2" w:rsidRDefault="001E029F" w:rsidP="00621F74">
            <w:pPr>
              <w:jc w:val="right"/>
            </w:pPr>
            <w:r>
              <w:t>11.9</w:t>
            </w:r>
          </w:p>
        </w:tc>
        <w:tc>
          <w:tcPr>
            <w:tcW w:w="978" w:type="dxa"/>
            <w:shd w:val="clear" w:color="auto" w:fill="DBD9D6"/>
            <w:vAlign w:val="center"/>
          </w:tcPr>
          <w:p w14:paraId="2D560E6F" w14:textId="77777777" w:rsidR="001E029F" w:rsidRPr="008202F2" w:rsidRDefault="001E029F" w:rsidP="00621F74">
            <w:pPr>
              <w:jc w:val="right"/>
            </w:pPr>
            <w:r>
              <w:t>8.9</w:t>
            </w:r>
          </w:p>
        </w:tc>
        <w:tc>
          <w:tcPr>
            <w:tcW w:w="979" w:type="dxa"/>
            <w:shd w:val="clear" w:color="auto" w:fill="DBD9D6"/>
            <w:vAlign w:val="center"/>
          </w:tcPr>
          <w:p w14:paraId="59748520" w14:textId="77777777" w:rsidR="001E029F" w:rsidRPr="008202F2" w:rsidRDefault="001E029F" w:rsidP="00621F74">
            <w:pPr>
              <w:jc w:val="right"/>
            </w:pPr>
            <w:r>
              <w:t>6.9</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jc w:val="right"/>
            </w:pPr>
            <w:r>
              <w:t>12</w:t>
            </w:r>
          </w:p>
        </w:tc>
        <w:tc>
          <w:tcPr>
            <w:tcW w:w="979" w:type="dxa"/>
            <w:vAlign w:val="center"/>
          </w:tcPr>
          <w:p w14:paraId="583C26C8" w14:textId="77777777" w:rsidR="001E029F" w:rsidRPr="008202F2" w:rsidRDefault="001E029F" w:rsidP="00621F74">
            <w:pPr>
              <w:jc w:val="right"/>
            </w:pPr>
            <w:r>
              <w:t>9.0</w:t>
            </w:r>
          </w:p>
        </w:tc>
        <w:tc>
          <w:tcPr>
            <w:tcW w:w="978" w:type="dxa"/>
            <w:vAlign w:val="center"/>
          </w:tcPr>
          <w:p w14:paraId="16A8A42B" w14:textId="77777777" w:rsidR="001E029F" w:rsidRPr="008202F2" w:rsidRDefault="001E029F" w:rsidP="00621F74">
            <w:pPr>
              <w:jc w:val="right"/>
            </w:pPr>
            <w:r>
              <w:t>9.7</w:t>
            </w:r>
          </w:p>
        </w:tc>
        <w:tc>
          <w:tcPr>
            <w:tcW w:w="979" w:type="dxa"/>
            <w:vAlign w:val="center"/>
          </w:tcPr>
          <w:p w14:paraId="5EAED378" w14:textId="77777777" w:rsidR="001E029F" w:rsidRPr="008202F2" w:rsidRDefault="001E029F" w:rsidP="00621F74">
            <w:pPr>
              <w:jc w:val="right"/>
            </w:pPr>
            <w:r>
              <w:t>7.1</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jc w:val="right"/>
            </w:pPr>
            <w:r>
              <w:t>25</w:t>
            </w:r>
          </w:p>
        </w:tc>
        <w:tc>
          <w:tcPr>
            <w:tcW w:w="979" w:type="dxa"/>
            <w:shd w:val="clear" w:color="auto" w:fill="DBD9D6"/>
            <w:vAlign w:val="center"/>
          </w:tcPr>
          <w:p w14:paraId="5E3D7CDD" w14:textId="77777777" w:rsidR="001E029F" w:rsidRPr="008202F2" w:rsidRDefault="001E029F" w:rsidP="00621F74">
            <w:pPr>
              <w:jc w:val="right"/>
            </w:pPr>
            <w:r>
              <w:t>18.3</w:t>
            </w:r>
          </w:p>
        </w:tc>
        <w:tc>
          <w:tcPr>
            <w:tcW w:w="978" w:type="dxa"/>
            <w:shd w:val="clear" w:color="auto" w:fill="DBD9D6"/>
            <w:vAlign w:val="center"/>
          </w:tcPr>
          <w:p w14:paraId="77EC161B" w14:textId="77777777" w:rsidR="001E029F" w:rsidRPr="008202F2" w:rsidRDefault="001E029F" w:rsidP="00621F74">
            <w:pPr>
              <w:jc w:val="right"/>
            </w:pPr>
            <w:r>
              <w:t>11.1</w:t>
            </w:r>
          </w:p>
        </w:tc>
        <w:tc>
          <w:tcPr>
            <w:tcW w:w="979" w:type="dxa"/>
            <w:shd w:val="clear" w:color="auto" w:fill="DBD9D6"/>
            <w:vAlign w:val="center"/>
          </w:tcPr>
          <w:p w14:paraId="3718F242" w14:textId="77777777" w:rsidR="001E029F" w:rsidRPr="008202F2" w:rsidRDefault="001E029F" w:rsidP="00621F74">
            <w:pPr>
              <w:jc w:val="right"/>
            </w:pPr>
            <w:r>
              <w:t>8.2</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jc w:val="right"/>
            </w:pPr>
            <w:r>
              <w:t>13</w:t>
            </w:r>
          </w:p>
        </w:tc>
        <w:tc>
          <w:tcPr>
            <w:tcW w:w="979" w:type="dxa"/>
            <w:vAlign w:val="center"/>
          </w:tcPr>
          <w:p w14:paraId="0A1AA096" w14:textId="77777777" w:rsidR="001E029F" w:rsidRPr="008202F2" w:rsidRDefault="001E029F" w:rsidP="00621F74">
            <w:pPr>
              <w:jc w:val="right"/>
            </w:pPr>
            <w:r>
              <w:t>9.8</w:t>
            </w:r>
          </w:p>
        </w:tc>
        <w:tc>
          <w:tcPr>
            <w:tcW w:w="978" w:type="dxa"/>
            <w:vAlign w:val="center"/>
          </w:tcPr>
          <w:p w14:paraId="3A8F432E" w14:textId="77777777" w:rsidR="001E029F" w:rsidRPr="008202F2" w:rsidRDefault="001E029F" w:rsidP="00621F74">
            <w:pPr>
              <w:jc w:val="right"/>
            </w:pPr>
            <w:r>
              <w:t>9.7</w:t>
            </w:r>
          </w:p>
        </w:tc>
        <w:tc>
          <w:tcPr>
            <w:tcW w:w="979" w:type="dxa"/>
            <w:vAlign w:val="center"/>
          </w:tcPr>
          <w:p w14:paraId="25110764" w14:textId="77777777" w:rsidR="001E029F" w:rsidRPr="008202F2" w:rsidRDefault="001E029F" w:rsidP="00621F74">
            <w:pPr>
              <w:jc w:val="right"/>
            </w:pPr>
            <w:r>
              <w:t>8.8</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jc w:val="right"/>
            </w:pPr>
            <w:r>
              <w:t>np</w:t>
            </w:r>
          </w:p>
        </w:tc>
        <w:tc>
          <w:tcPr>
            <w:tcW w:w="979" w:type="dxa"/>
            <w:shd w:val="clear" w:color="auto" w:fill="DBD9D6"/>
            <w:vAlign w:val="center"/>
          </w:tcPr>
          <w:p w14:paraId="0E53A126" w14:textId="77777777" w:rsidR="001E029F" w:rsidRPr="008202F2" w:rsidRDefault="001E029F" w:rsidP="00621F74">
            <w:pPr>
              <w:jc w:val="right"/>
            </w:pPr>
            <w:r>
              <w:t>0.5</w:t>
            </w:r>
          </w:p>
        </w:tc>
        <w:tc>
          <w:tcPr>
            <w:tcW w:w="978" w:type="dxa"/>
            <w:shd w:val="clear" w:color="auto" w:fill="DBD9D6"/>
            <w:vAlign w:val="center"/>
          </w:tcPr>
          <w:p w14:paraId="3959EF18" w14:textId="77777777" w:rsidR="001E029F" w:rsidRPr="008202F2" w:rsidRDefault="001E029F" w:rsidP="00621F74">
            <w:pPr>
              <w:jc w:val="right"/>
            </w:pPr>
            <w:r>
              <w:t>0.6</w:t>
            </w:r>
          </w:p>
        </w:tc>
        <w:tc>
          <w:tcPr>
            <w:tcW w:w="979" w:type="dxa"/>
            <w:shd w:val="clear" w:color="auto" w:fill="DBD9D6"/>
            <w:vAlign w:val="center"/>
          </w:tcPr>
          <w:p w14:paraId="4A363FB7" w14:textId="77777777" w:rsidR="001E029F" w:rsidRPr="008202F2" w:rsidRDefault="001E029F" w:rsidP="00621F74">
            <w:pPr>
              <w:jc w:val="right"/>
            </w:pPr>
            <w:r>
              <w:t>0.6</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jc w:val="right"/>
            </w:pPr>
            <w:r>
              <w:t>11</w:t>
            </w:r>
          </w:p>
        </w:tc>
        <w:tc>
          <w:tcPr>
            <w:tcW w:w="979" w:type="dxa"/>
            <w:vAlign w:val="center"/>
          </w:tcPr>
          <w:p w14:paraId="68FE02A9" w14:textId="77777777" w:rsidR="001E029F" w:rsidRPr="008202F2" w:rsidRDefault="001E029F" w:rsidP="00621F74">
            <w:pPr>
              <w:jc w:val="right"/>
            </w:pPr>
            <w:r>
              <w:t>8.3</w:t>
            </w:r>
          </w:p>
        </w:tc>
        <w:tc>
          <w:tcPr>
            <w:tcW w:w="978" w:type="dxa"/>
            <w:vAlign w:val="center"/>
          </w:tcPr>
          <w:p w14:paraId="73B8FBB0" w14:textId="77777777" w:rsidR="001E029F" w:rsidRPr="008202F2" w:rsidRDefault="001E029F" w:rsidP="00621F74">
            <w:pPr>
              <w:jc w:val="right"/>
            </w:pPr>
            <w:r>
              <w:t>8.1</w:t>
            </w:r>
          </w:p>
        </w:tc>
        <w:tc>
          <w:tcPr>
            <w:tcW w:w="979" w:type="dxa"/>
            <w:vAlign w:val="center"/>
          </w:tcPr>
          <w:p w14:paraId="1A9C772A" w14:textId="77777777" w:rsidR="001E029F" w:rsidRPr="008202F2" w:rsidRDefault="001E029F" w:rsidP="00621F74">
            <w:pPr>
              <w:jc w:val="right"/>
            </w:pPr>
            <w:r>
              <w:t>5.6</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jc w:val="right"/>
            </w:pPr>
            <w:r>
              <w:t>17</w:t>
            </w:r>
          </w:p>
        </w:tc>
        <w:tc>
          <w:tcPr>
            <w:tcW w:w="980" w:type="dxa"/>
            <w:shd w:val="clear" w:color="auto" w:fill="auto"/>
            <w:vAlign w:val="center"/>
          </w:tcPr>
          <w:p w14:paraId="32C27126" w14:textId="77777777" w:rsidR="001E029F" w:rsidRPr="000309BB" w:rsidRDefault="001E029F" w:rsidP="00621F74">
            <w:pPr>
              <w:jc w:val="right"/>
            </w:pPr>
            <w:r>
              <w:t>12.1</w:t>
            </w:r>
          </w:p>
        </w:tc>
        <w:tc>
          <w:tcPr>
            <w:tcW w:w="980" w:type="dxa"/>
            <w:shd w:val="clear" w:color="auto" w:fill="auto"/>
            <w:vAlign w:val="center"/>
          </w:tcPr>
          <w:p w14:paraId="687B9BF0" w14:textId="77777777" w:rsidR="001E029F" w:rsidRPr="000309BB" w:rsidRDefault="001E029F" w:rsidP="00621F74">
            <w:pPr>
              <w:jc w:val="right"/>
            </w:pPr>
            <w:r>
              <w:t>10.5</w:t>
            </w:r>
          </w:p>
        </w:tc>
        <w:tc>
          <w:tcPr>
            <w:tcW w:w="981" w:type="dxa"/>
            <w:shd w:val="clear" w:color="auto" w:fill="auto"/>
            <w:vAlign w:val="center"/>
          </w:tcPr>
          <w:p w14:paraId="691A3DEC" w14:textId="77777777" w:rsidR="001E029F" w:rsidRPr="000309BB" w:rsidRDefault="001E029F" w:rsidP="00621F74">
            <w:pPr>
              <w:jc w:val="right"/>
            </w:pPr>
            <w:r>
              <w:t>8.3</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jc w:val="right"/>
            </w:pPr>
            <w:r>
              <w:t>5</w:t>
            </w:r>
          </w:p>
        </w:tc>
        <w:tc>
          <w:tcPr>
            <w:tcW w:w="980" w:type="dxa"/>
            <w:shd w:val="clear" w:color="auto" w:fill="DBD9D6"/>
            <w:vAlign w:val="center"/>
          </w:tcPr>
          <w:p w14:paraId="599E26FE" w14:textId="77777777" w:rsidR="001E029F" w:rsidRPr="000309BB" w:rsidRDefault="001E029F" w:rsidP="00621F74">
            <w:pPr>
              <w:jc w:val="right"/>
            </w:pPr>
            <w:r>
              <w:t>3.5</w:t>
            </w:r>
          </w:p>
        </w:tc>
        <w:tc>
          <w:tcPr>
            <w:tcW w:w="980" w:type="dxa"/>
            <w:shd w:val="clear" w:color="auto" w:fill="DBD9D6"/>
            <w:vAlign w:val="center"/>
          </w:tcPr>
          <w:p w14:paraId="234AB39E" w14:textId="77777777" w:rsidR="001E029F" w:rsidRPr="000309BB" w:rsidRDefault="001E029F" w:rsidP="00621F74">
            <w:pPr>
              <w:jc w:val="right"/>
            </w:pPr>
            <w:r>
              <w:t>5.9</w:t>
            </w:r>
          </w:p>
        </w:tc>
        <w:tc>
          <w:tcPr>
            <w:tcW w:w="981" w:type="dxa"/>
            <w:shd w:val="clear" w:color="auto" w:fill="DBD9D6"/>
            <w:vAlign w:val="center"/>
          </w:tcPr>
          <w:p w14:paraId="03D989F8" w14:textId="77777777" w:rsidR="001E029F" w:rsidRPr="000309BB" w:rsidRDefault="001E029F" w:rsidP="00621F74">
            <w:pPr>
              <w:jc w:val="right"/>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jc w:val="right"/>
            </w:pPr>
            <w:r>
              <w:t>7</w:t>
            </w:r>
          </w:p>
        </w:tc>
        <w:tc>
          <w:tcPr>
            <w:tcW w:w="980" w:type="dxa"/>
            <w:vAlign w:val="center"/>
          </w:tcPr>
          <w:p w14:paraId="717C0577" w14:textId="77777777" w:rsidR="001E029F" w:rsidRPr="000309BB" w:rsidRDefault="001E029F" w:rsidP="00621F74">
            <w:pPr>
              <w:jc w:val="right"/>
            </w:pPr>
            <w:r>
              <w:t>5.0</w:t>
            </w:r>
          </w:p>
        </w:tc>
        <w:tc>
          <w:tcPr>
            <w:tcW w:w="980" w:type="dxa"/>
            <w:vAlign w:val="center"/>
          </w:tcPr>
          <w:p w14:paraId="3DEA89D0" w14:textId="77777777" w:rsidR="001E029F" w:rsidRPr="000309BB" w:rsidRDefault="001E029F" w:rsidP="00621F74">
            <w:pPr>
              <w:jc w:val="right"/>
            </w:pPr>
            <w:r>
              <w:t>5.8</w:t>
            </w:r>
          </w:p>
        </w:tc>
        <w:tc>
          <w:tcPr>
            <w:tcW w:w="981" w:type="dxa"/>
            <w:vAlign w:val="center"/>
          </w:tcPr>
          <w:p w14:paraId="69B5B379" w14:textId="77777777" w:rsidR="001E029F" w:rsidRPr="000309BB" w:rsidRDefault="001E029F" w:rsidP="00621F74">
            <w:pPr>
              <w:jc w:val="right"/>
            </w:pPr>
            <w:r>
              <w:t>3.6</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w:t>
            </w:r>
            <w:proofErr w:type="spellStart"/>
            <w:r>
              <w:rPr>
                <w:rFonts w:ascii="Arial" w:hAnsi="Arial" w:cs="Arial"/>
                <w:sz w:val="18"/>
                <w:szCs w:val="18"/>
              </w:rPr>
              <w:t>ren</w:t>
            </w:r>
            <w:proofErr w:type="spellEnd"/>
            <w:r>
              <w:rPr>
                <w:rFonts w:ascii="Arial" w:hAnsi="Arial" w:cs="Arial"/>
                <w:sz w:val="18"/>
                <w:szCs w:val="18"/>
              </w:rPr>
              <w:t>)</w:t>
            </w:r>
          </w:p>
        </w:tc>
        <w:tc>
          <w:tcPr>
            <w:tcW w:w="980" w:type="dxa"/>
            <w:shd w:val="clear" w:color="auto" w:fill="DBD9D6"/>
            <w:vAlign w:val="center"/>
          </w:tcPr>
          <w:p w14:paraId="2287C9A4" w14:textId="77777777" w:rsidR="001E029F" w:rsidRPr="000309BB" w:rsidRDefault="001E029F" w:rsidP="00621F74">
            <w:pPr>
              <w:jc w:val="right"/>
            </w:pPr>
            <w:r>
              <w:t>np</w:t>
            </w:r>
          </w:p>
        </w:tc>
        <w:tc>
          <w:tcPr>
            <w:tcW w:w="980" w:type="dxa"/>
            <w:shd w:val="clear" w:color="auto" w:fill="DBD9D6"/>
            <w:vAlign w:val="center"/>
          </w:tcPr>
          <w:p w14:paraId="4E4F6EBF" w14:textId="77777777" w:rsidR="001E029F" w:rsidRPr="000309BB" w:rsidRDefault="001E029F" w:rsidP="00621F74">
            <w:pPr>
              <w:jc w:val="right"/>
            </w:pPr>
            <w:r>
              <w:t>2.1</w:t>
            </w:r>
          </w:p>
        </w:tc>
        <w:tc>
          <w:tcPr>
            <w:tcW w:w="980" w:type="dxa"/>
            <w:shd w:val="clear" w:color="auto" w:fill="DBD9D6"/>
            <w:vAlign w:val="center"/>
          </w:tcPr>
          <w:p w14:paraId="58586AE1" w14:textId="77777777" w:rsidR="001E029F" w:rsidRPr="000309BB" w:rsidRDefault="001E029F" w:rsidP="00621F74">
            <w:pPr>
              <w:jc w:val="right"/>
            </w:pPr>
            <w:r>
              <w:t>3.0</w:t>
            </w:r>
          </w:p>
        </w:tc>
        <w:tc>
          <w:tcPr>
            <w:tcW w:w="981" w:type="dxa"/>
            <w:shd w:val="clear" w:color="auto" w:fill="DBD9D6"/>
            <w:vAlign w:val="center"/>
          </w:tcPr>
          <w:p w14:paraId="53091D3E" w14:textId="77777777" w:rsidR="001E029F" w:rsidRPr="000309BB" w:rsidRDefault="001E029F" w:rsidP="00621F74">
            <w:pPr>
              <w:jc w:val="right"/>
            </w:pPr>
            <w:r>
              <w:t>1.8</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jc w:val="right"/>
            </w:pPr>
          </w:p>
        </w:tc>
        <w:tc>
          <w:tcPr>
            <w:tcW w:w="980" w:type="dxa"/>
            <w:vAlign w:val="center"/>
          </w:tcPr>
          <w:p w14:paraId="052A5D21" w14:textId="77777777" w:rsidR="001E029F" w:rsidRPr="000309BB" w:rsidRDefault="001E029F" w:rsidP="00621F74">
            <w:pPr>
              <w:jc w:val="right"/>
            </w:pPr>
          </w:p>
        </w:tc>
        <w:tc>
          <w:tcPr>
            <w:tcW w:w="980" w:type="dxa"/>
            <w:vAlign w:val="center"/>
          </w:tcPr>
          <w:p w14:paraId="45437BF3" w14:textId="77777777" w:rsidR="001E029F" w:rsidRPr="000309BB" w:rsidRDefault="001E029F" w:rsidP="00621F74">
            <w:pPr>
              <w:jc w:val="right"/>
            </w:pPr>
          </w:p>
        </w:tc>
        <w:tc>
          <w:tcPr>
            <w:tcW w:w="981" w:type="dxa"/>
            <w:vAlign w:val="center"/>
          </w:tcPr>
          <w:p w14:paraId="48F705A0" w14:textId="77777777" w:rsidR="001E029F" w:rsidRPr="000309BB" w:rsidRDefault="001E029F" w:rsidP="00621F74">
            <w:pPr>
              <w:jc w:val="right"/>
            </w:pP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jc w:val="right"/>
            </w:pPr>
            <w:r>
              <w:t>6</w:t>
            </w:r>
          </w:p>
        </w:tc>
        <w:tc>
          <w:tcPr>
            <w:tcW w:w="980" w:type="dxa"/>
            <w:shd w:val="clear" w:color="auto" w:fill="DBD9D6"/>
            <w:vAlign w:val="center"/>
          </w:tcPr>
          <w:p w14:paraId="35B1A855" w14:textId="77777777" w:rsidR="001E029F" w:rsidRPr="000309BB" w:rsidRDefault="001E029F" w:rsidP="00621F74">
            <w:pPr>
              <w:jc w:val="right"/>
            </w:pPr>
            <w:r>
              <w:t>4.3</w:t>
            </w:r>
          </w:p>
        </w:tc>
        <w:tc>
          <w:tcPr>
            <w:tcW w:w="980" w:type="dxa"/>
            <w:shd w:val="clear" w:color="auto" w:fill="DBD9D6"/>
            <w:vAlign w:val="center"/>
          </w:tcPr>
          <w:p w14:paraId="7B939DAA" w14:textId="77777777" w:rsidR="001E029F" w:rsidRPr="000309BB" w:rsidRDefault="001E029F" w:rsidP="00621F74">
            <w:pPr>
              <w:jc w:val="right"/>
            </w:pPr>
            <w:r>
              <w:t>5.2</w:t>
            </w:r>
          </w:p>
        </w:tc>
        <w:tc>
          <w:tcPr>
            <w:tcW w:w="981" w:type="dxa"/>
            <w:shd w:val="clear" w:color="auto" w:fill="DBD9D6"/>
            <w:vAlign w:val="center"/>
          </w:tcPr>
          <w:p w14:paraId="69148C53" w14:textId="77777777" w:rsidR="001E029F" w:rsidRPr="000309BB" w:rsidRDefault="001E029F" w:rsidP="00621F74">
            <w:pPr>
              <w:jc w:val="right"/>
            </w:pPr>
            <w:r>
              <w:t>3.3</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jc w:val="right"/>
            </w:pPr>
            <w:r>
              <w:t>np</w:t>
            </w:r>
          </w:p>
        </w:tc>
        <w:tc>
          <w:tcPr>
            <w:tcW w:w="980" w:type="dxa"/>
            <w:vAlign w:val="center"/>
          </w:tcPr>
          <w:p w14:paraId="510D5CA8" w14:textId="77777777" w:rsidR="001E029F" w:rsidRPr="000309BB" w:rsidRDefault="001E029F" w:rsidP="00621F74">
            <w:pPr>
              <w:jc w:val="right"/>
            </w:pPr>
            <w:r>
              <w:t>2.1</w:t>
            </w:r>
          </w:p>
        </w:tc>
        <w:tc>
          <w:tcPr>
            <w:tcW w:w="980" w:type="dxa"/>
            <w:vAlign w:val="center"/>
          </w:tcPr>
          <w:p w14:paraId="08A8860E" w14:textId="77777777" w:rsidR="001E029F" w:rsidRPr="000309BB" w:rsidRDefault="001E029F" w:rsidP="00621F74">
            <w:pPr>
              <w:jc w:val="right"/>
            </w:pPr>
            <w:r>
              <w:t>0.9</w:t>
            </w:r>
          </w:p>
        </w:tc>
        <w:tc>
          <w:tcPr>
            <w:tcW w:w="981" w:type="dxa"/>
            <w:vAlign w:val="center"/>
          </w:tcPr>
          <w:p w14:paraId="442B8594" w14:textId="77777777" w:rsidR="001E029F" w:rsidRPr="000309BB" w:rsidRDefault="001E029F" w:rsidP="00621F74">
            <w:pPr>
              <w:jc w:val="right"/>
            </w:pPr>
            <w:r>
              <w:t>0.7</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jc w:val="right"/>
            </w:pPr>
            <w:r>
              <w:t>28</w:t>
            </w:r>
          </w:p>
        </w:tc>
        <w:tc>
          <w:tcPr>
            <w:tcW w:w="980" w:type="dxa"/>
            <w:shd w:val="clear" w:color="auto" w:fill="DBD9D6"/>
            <w:vAlign w:val="center"/>
          </w:tcPr>
          <w:p w14:paraId="2E7EF981" w14:textId="77777777" w:rsidR="001E029F" w:rsidRPr="000309BB" w:rsidRDefault="001E029F" w:rsidP="00621F74">
            <w:pPr>
              <w:jc w:val="right"/>
            </w:pPr>
            <w:r>
              <w:t>20.4</w:t>
            </w:r>
          </w:p>
        </w:tc>
        <w:tc>
          <w:tcPr>
            <w:tcW w:w="980" w:type="dxa"/>
            <w:shd w:val="clear" w:color="auto" w:fill="DBD9D6"/>
            <w:vAlign w:val="center"/>
          </w:tcPr>
          <w:p w14:paraId="58369790" w14:textId="77777777" w:rsidR="001E029F" w:rsidRPr="000309BB" w:rsidRDefault="001E029F" w:rsidP="00621F74">
            <w:pPr>
              <w:jc w:val="right"/>
            </w:pPr>
            <w:r>
              <w:t>13.6</w:t>
            </w:r>
          </w:p>
        </w:tc>
        <w:tc>
          <w:tcPr>
            <w:tcW w:w="981" w:type="dxa"/>
            <w:shd w:val="clear" w:color="auto" w:fill="DBD9D6"/>
            <w:vAlign w:val="center"/>
          </w:tcPr>
          <w:p w14:paraId="41615703" w14:textId="77777777" w:rsidR="001E029F" w:rsidRPr="000309BB" w:rsidRDefault="001E029F" w:rsidP="00621F74">
            <w:pPr>
              <w:jc w:val="right"/>
            </w:pPr>
            <w:r>
              <w:t>8.8</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2018</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CFAF" w14:textId="77777777" w:rsidR="00500009" w:rsidRDefault="00500009" w:rsidP="003967DD">
      <w:pPr>
        <w:spacing w:after="0"/>
      </w:pPr>
      <w:r>
        <w:separator/>
      </w:r>
    </w:p>
  </w:endnote>
  <w:endnote w:type="continuationSeparator" w:id="0">
    <w:p w14:paraId="111CFCC4" w14:textId="77777777" w:rsidR="00500009" w:rsidRDefault="0050000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B307" w14:textId="3EAC1279"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0248F5">
      <w:rPr>
        <w:noProof/>
        <w:lang w:val="en-GB"/>
      </w:rPr>
      <w:t>June 19</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t>Licence</w:t>
    </w:r>
    <w:proofErr w:type="spellEnd"/>
    <w:r>
      <w:t xml:space="preserv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proofErr w:type="spellStart"/>
    <w:r>
      <w:t>Authorised</w:t>
    </w:r>
    <w:proofErr w:type="spellEnd"/>
    <w:r>
      <w:t xml:space="preserve">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2CCF9" w14:textId="77777777" w:rsidR="00500009" w:rsidRDefault="00500009" w:rsidP="003967DD">
      <w:pPr>
        <w:spacing w:after="0"/>
      </w:pPr>
      <w:r>
        <w:separator/>
      </w:r>
    </w:p>
  </w:footnote>
  <w:footnote w:type="continuationSeparator" w:id="0">
    <w:p w14:paraId="3BB2BC35" w14:textId="77777777" w:rsidR="00500009" w:rsidRDefault="0050000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77777777" w:rsidR="00A63D55" w:rsidRDefault="00A63D55" w:rsidP="00A63D55">
    <w:pPr>
      <w:pStyle w:val="Header"/>
      <w:tabs>
        <w:tab w:val="clear" w:pos="4513"/>
        <w:tab w:val="clear" w:pos="9026"/>
        <w:tab w:val="left" w:pos="1425"/>
      </w:tabs>
    </w:pPr>
    <w:bookmarkStart w:id="0" w:name="_GoBack"/>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bookmarkEnd w:id="0"/>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A4A96"/>
    <w:rsid w:val="002D7A53"/>
    <w:rsid w:val="002E3BED"/>
    <w:rsid w:val="002E3D70"/>
    <w:rsid w:val="00312720"/>
    <w:rsid w:val="00370FE8"/>
    <w:rsid w:val="003967DD"/>
    <w:rsid w:val="00462E81"/>
    <w:rsid w:val="00500009"/>
    <w:rsid w:val="00584366"/>
    <w:rsid w:val="00624A55"/>
    <w:rsid w:val="00667EEC"/>
    <w:rsid w:val="006A25AC"/>
    <w:rsid w:val="00736FB0"/>
    <w:rsid w:val="00744E46"/>
    <w:rsid w:val="0075161D"/>
    <w:rsid w:val="007A79D0"/>
    <w:rsid w:val="007B556E"/>
    <w:rsid w:val="007D3E38"/>
    <w:rsid w:val="00A31926"/>
    <w:rsid w:val="00A32726"/>
    <w:rsid w:val="00A63D55"/>
    <w:rsid w:val="00A85159"/>
    <w:rsid w:val="00AB25E1"/>
    <w:rsid w:val="00AD20AB"/>
    <w:rsid w:val="00B211E6"/>
    <w:rsid w:val="00C33245"/>
    <w:rsid w:val="00D013E1"/>
    <w:rsid w:val="00D13BC2"/>
    <w:rsid w:val="00D50FA3"/>
    <w:rsid w:val="00DA3218"/>
    <w:rsid w:val="00F9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vic.gov.au/about/research/Pages/reportdatahealth.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SEHQ summary sheet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40FD-0312-4975-BF62-FB8B2808848E}"/>
</file>

<file path=customXml/itemProps2.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DD28F770-DBFA-490E-9B93-91570D7111A1}">
  <ds:schemaRefs>
    <ds:schemaRef ds:uri="http://schemas.microsoft.com/sharepoint/events"/>
  </ds:schemaRefs>
</ds:datastoreItem>
</file>

<file path=customXml/itemProps5.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Nguyen, Phuong P</cp:lastModifiedBy>
  <cp:revision>4</cp:revision>
  <dcterms:created xsi:type="dcterms:W3CDTF">2018-11-09T00:00:00Z</dcterms:created>
  <dcterms:modified xsi:type="dcterms:W3CDTF">2019-06-05T02:40:00Z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