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2017</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Central Goldfields (S)</w:t>
      </w:r>
    </w:p>
    <w:p w14:paraId="2BE6D8BB" w14:textId="77777777" w:rsidR="00DA3218" w:rsidRDefault="00DA3218"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5"/>
          <w:footerReference w:type="default" r:id="rId16"/>
          <w:pgSz w:w="11900" w:h="16840"/>
          <w:pgMar w:top="1985" w:right="1134" w:bottom="1701" w:left="1134" w:header="709" w:footer="709" w:gutter="0"/>
          <w:cols w:space="708"/>
          <w:docGrid w:linePitch="360"/>
        </w:sectPr>
      </w:pPr>
      <w:bookmarkStart w:id="0" w:name="_GoBack"/>
      <w:bookmarkEnd w:id="0"/>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2017</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Central Goldfields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17"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Central Goldfields (S)</w:t>
      </w:r>
      <w:r w:rsidRPr="00737C52">
        <w:rPr>
          <w:rFonts w:ascii="Arial" w:hAnsi="Arial" w:cs="Arial"/>
          <w:sz w:val="22"/>
          <w:szCs w:val="22"/>
        </w:rPr>
        <w:t xml:space="preserve">, there were </w:t>
      </w:r>
      <w:proofErr w:type="spellStart"/>
      <w:proofErr w:type="spellEnd"/>
      <w:r>
        <w:rPr>
          <w:rFonts w:ascii="Arial" w:hAnsi="Arial" w:cs="Arial"/>
          <w:sz w:val="22"/>
          <w:szCs w:val="22"/>
        </w:rPr>
        <w:t>125</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63,937</w:t>
      </w:r>
      <w:r w:rsidRPr="00737C52">
        <w:rPr>
          <w:rFonts w:ascii="Arial" w:hAnsi="Arial" w:cs="Arial"/>
          <w:sz w:val="22"/>
          <w:szCs w:val="22"/>
        </w:rPr>
        <w:t xml:space="preserve">) involved in the </w:t>
      </w:r>
      <w:r>
        <w:rPr>
          <w:rFonts w:ascii="Arial" w:hAnsi="Arial" w:cs="Arial"/>
          <w:sz w:val="22"/>
          <w:szCs w:val="22"/>
        </w:rPr>
        <w:t>2017</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2017</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1.6</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99.8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29.5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4.8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20.6</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10.6</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11.4</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3.6</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107</w:t>
            </w:r>
          </w:p>
        </w:tc>
        <w:tc>
          <w:tcPr>
            <w:tcW w:w="993" w:type="dxa"/>
            <w:shd w:val="clear" w:color="auto" w:fill="DBD9D6"/>
            <w:vAlign w:val="center"/>
          </w:tcPr>
          <w:p w14:paraId="5D8532A7" w14:textId="77777777" w:rsidR="001E029F" w:rsidRPr="002A4320" w:rsidRDefault="001E029F" w:rsidP="00621F74">
            <w:pPr>
              <w:jc w:val="right"/>
            </w:pPr>
            <w:r>
              <w:t>86.3</w:t>
            </w:r>
          </w:p>
        </w:tc>
        <w:tc>
          <w:tcPr>
            <w:tcW w:w="1132" w:type="dxa"/>
            <w:shd w:val="clear" w:color="auto" w:fill="DBD9D6"/>
            <w:vAlign w:val="center"/>
          </w:tcPr>
          <w:p w14:paraId="59F51658" w14:textId="77777777" w:rsidR="001E029F" w:rsidRPr="002A4320" w:rsidRDefault="001E029F" w:rsidP="00621F74">
            <w:pPr>
              <w:jc w:val="right"/>
            </w:pPr>
            <w:r>
              <w:t>87.5</w:t>
            </w:r>
          </w:p>
        </w:tc>
        <w:tc>
          <w:tcPr>
            <w:tcW w:w="994" w:type="dxa"/>
            <w:shd w:val="clear" w:color="auto" w:fill="DBD9D6"/>
            <w:vAlign w:val="center"/>
          </w:tcPr>
          <w:p w14:paraId="2A671A77" w14:textId="77777777" w:rsidR="001E029F" w:rsidRPr="002A4320" w:rsidRDefault="001E029F" w:rsidP="00621F74">
            <w:pPr>
              <w:jc w:val="right"/>
            </w:pPr>
            <w:r>
              <w:t>85.3</w:t>
            </w:r>
          </w:p>
        </w:tc>
      </w:tr>
      <w:tr w:rsidR="001E029F" w14:paraId="32497032" w14:textId="77777777" w:rsidTr="00621F74">
        <w:trPr>
          <w:trHeight w:hRule="exact" w:val="404"/>
        </w:trPr>
        <w:tc>
          <w:tcPr>
            <w:tcW w:w="5905" w:type="dxa"/>
            <w:vAlign w:val="center"/>
          </w:tcPr>
          <w:p w14:paraId="526B802D" w14:textId="77777777" w:rsidR="001E029F" w:rsidRDefault="001E029F" w:rsidP="00621F74">
            <w:pPr>
              <w:pStyle w:val="TableParagraph"/>
              <w:kinsoku w:val="0"/>
              <w:overflowPunct w:val="0"/>
              <w:ind w:left="30"/>
            </w:pPr>
            <w:r>
              <w:rPr>
                <w:rFonts w:ascii="Arial" w:hAnsi="Arial" w:cs="Arial"/>
                <w:sz w:val="18"/>
                <w:szCs w:val="18"/>
              </w:rPr>
              <w:t>Children reported to be overweight</w:t>
            </w:r>
          </w:p>
        </w:tc>
        <w:tc>
          <w:tcPr>
            <w:tcW w:w="1007" w:type="dxa"/>
            <w:vAlign w:val="center"/>
          </w:tcPr>
          <w:p w14:paraId="01211D23" w14:textId="77777777" w:rsidR="001E029F" w:rsidRPr="002A4320" w:rsidRDefault="001E029F" w:rsidP="00621F74">
            <w:pPr>
              <w:jc w:val="right"/>
            </w:pPr>
          </w:p>
        </w:tc>
        <w:tc>
          <w:tcPr>
            <w:tcW w:w="993" w:type="dxa"/>
            <w:vAlign w:val="center"/>
          </w:tcPr>
          <w:p w14:paraId="6E677292" w14:textId="77777777" w:rsidR="001E029F" w:rsidRPr="002A4320" w:rsidRDefault="001E029F" w:rsidP="00621F74">
            <w:pPr>
              <w:jc w:val="right"/>
            </w:pPr>
          </w:p>
        </w:tc>
        <w:tc>
          <w:tcPr>
            <w:tcW w:w="1132" w:type="dxa"/>
            <w:vAlign w:val="center"/>
          </w:tcPr>
          <w:p w14:paraId="11A34759" w14:textId="77777777" w:rsidR="001E029F" w:rsidRPr="002A4320" w:rsidRDefault="001E029F" w:rsidP="00621F74">
            <w:pPr>
              <w:jc w:val="right"/>
            </w:pPr>
          </w:p>
        </w:tc>
        <w:tc>
          <w:tcPr>
            <w:tcW w:w="994" w:type="dxa"/>
            <w:vAlign w:val="center"/>
          </w:tcPr>
          <w:p w14:paraId="3FF4ED89" w14:textId="77777777" w:rsidR="001E029F" w:rsidRPr="002A4320" w:rsidRDefault="001E029F" w:rsidP="00621F74">
            <w:pPr>
              <w:jc w:val="right"/>
            </w:pP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7</w:t>
            </w:r>
          </w:p>
        </w:tc>
        <w:tc>
          <w:tcPr>
            <w:tcW w:w="993" w:type="dxa"/>
            <w:shd w:val="clear" w:color="auto" w:fill="DBD9D6"/>
            <w:vAlign w:val="center"/>
          </w:tcPr>
          <w:p w14:paraId="4D8AF476" w14:textId="77777777" w:rsidR="001E029F" w:rsidRPr="002A4320" w:rsidRDefault="001E029F" w:rsidP="00621F74">
            <w:pPr>
              <w:jc w:val="right"/>
            </w:pPr>
            <w:r>
              <w:t>5.4</w:t>
            </w:r>
          </w:p>
        </w:tc>
        <w:tc>
          <w:tcPr>
            <w:tcW w:w="1132" w:type="dxa"/>
            <w:shd w:val="clear" w:color="auto" w:fill="DBD9D6"/>
            <w:vAlign w:val="center"/>
          </w:tcPr>
          <w:p w14:paraId="66D13BC4" w14:textId="77777777" w:rsidR="001E029F" w:rsidRPr="002A4320" w:rsidRDefault="001E029F" w:rsidP="00621F74">
            <w:pPr>
              <w:jc w:val="right"/>
            </w:pPr>
            <w:r>
              <w:t>8.9</w:t>
            </w:r>
          </w:p>
        </w:tc>
        <w:tc>
          <w:tcPr>
            <w:tcW w:w="994" w:type="dxa"/>
            <w:shd w:val="clear" w:color="auto" w:fill="DBD9D6"/>
            <w:vAlign w:val="center"/>
          </w:tcPr>
          <w:p w14:paraId="03EEB36F" w14:textId="77777777" w:rsidR="001E029F" w:rsidRPr="002A4320" w:rsidRDefault="001E029F" w:rsidP="00621F74">
            <w:pPr>
              <w:jc w:val="right"/>
            </w:pPr>
            <w:r>
              <w:t>9.2</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41.1</w:t>
            </w:r>
          </w:p>
        </w:tc>
        <w:tc>
          <w:tcPr>
            <w:tcW w:w="1132" w:type="dxa"/>
            <w:vAlign w:val="center"/>
          </w:tcPr>
          <w:p w14:paraId="322DBEDC" w14:textId="77777777" w:rsidR="001E029F" w:rsidRPr="002A4320" w:rsidRDefault="001E029F" w:rsidP="00621F74">
            <w:pPr>
              <w:jc w:val="right"/>
            </w:pPr>
            <w:r>
              <w:t>28.7</w:t>
            </w:r>
          </w:p>
        </w:tc>
        <w:tc>
          <w:tcPr>
            <w:tcW w:w="994" w:type="dxa"/>
            <w:vAlign w:val="center"/>
          </w:tcPr>
          <w:p w14:paraId="1FFFC901" w14:textId="77777777" w:rsidR="001E029F" w:rsidRPr="002A4320" w:rsidRDefault="001E029F" w:rsidP="00621F74">
            <w:pPr>
              <w:jc w:val="right"/>
            </w:pPr>
            <w:r>
              <w:t>32.0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18</w:t>
            </w:r>
          </w:p>
        </w:tc>
        <w:tc>
          <w:tcPr>
            <w:tcW w:w="993" w:type="dxa"/>
            <w:shd w:val="clear" w:color="auto" w:fill="DBD9D6"/>
            <w:vAlign w:val="center"/>
          </w:tcPr>
          <w:p w14:paraId="381D2E35" w14:textId="77777777" w:rsidR="001E029F" w:rsidRPr="002A4320" w:rsidRDefault="001E029F" w:rsidP="00621F74">
            <w:pPr>
              <w:jc w:val="right"/>
            </w:pPr>
            <w:r>
              <w:t>14.5</w:t>
            </w:r>
          </w:p>
        </w:tc>
        <w:tc>
          <w:tcPr>
            <w:tcW w:w="1132" w:type="dxa"/>
            <w:shd w:val="clear" w:color="auto" w:fill="DBD9D6"/>
            <w:vAlign w:val="center"/>
          </w:tcPr>
          <w:p w14:paraId="52826BF6" w14:textId="77777777" w:rsidR="001E029F" w:rsidRPr="002A4320" w:rsidRDefault="001E029F" w:rsidP="00621F74">
            <w:pPr>
              <w:jc w:val="right"/>
            </w:pPr>
            <w:r>
              <w:t>14.1</w:t>
            </w:r>
          </w:p>
        </w:tc>
        <w:tc>
          <w:tcPr>
            <w:tcW w:w="994" w:type="dxa"/>
            <w:shd w:val="clear" w:color="auto" w:fill="DBD9D6"/>
            <w:vAlign w:val="center"/>
          </w:tcPr>
          <w:p w14:paraId="7074ABDC" w14:textId="77777777" w:rsidR="001E029F" w:rsidRPr="002A4320" w:rsidRDefault="001E029F" w:rsidP="00621F74">
            <w:pPr>
              <w:jc w:val="right"/>
            </w:pPr>
            <w:r>
              <w:t>12.2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56.7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59.7</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17</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14.1</w:t>
            </w:r>
          </w:p>
        </w:tc>
        <w:tc>
          <w:tcPr>
            <w:tcW w:w="993" w:type="dxa"/>
            <w:shd w:val="clear" w:color="auto" w:fill="auto"/>
            <w:vAlign w:val="center"/>
          </w:tcPr>
          <w:p w14:paraId="692956F8" w14:textId="77777777" w:rsidR="001E029F" w:rsidRPr="000309BB" w:rsidRDefault="001E029F" w:rsidP="00621F74">
            <w:pPr>
              <w:jc w:val="right"/>
            </w:pPr>
            <w:r>
              <w:t>14.0</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w:t>
            </w:r>
          </w:p>
        </w:tc>
        <w:tc>
          <w:tcPr>
            <w:tcW w:w="992" w:type="dxa"/>
            <w:shd w:val="clear" w:color="auto" w:fill="DBD9D6"/>
            <w:vAlign w:val="center"/>
          </w:tcPr>
          <w:p w14:paraId="0369F49C" w14:textId="77777777" w:rsidR="001E029F" w:rsidRPr="000309BB" w:rsidRDefault="001E029F" w:rsidP="00621F74">
            <w:pPr>
              <w:jc w:val="right"/>
            </w:pPr>
            <w:r>
              <w:t>21.7</w:t>
            </w:r>
          </w:p>
        </w:tc>
        <w:tc>
          <w:tcPr>
            <w:tcW w:w="992" w:type="dxa"/>
            <w:shd w:val="clear" w:color="auto" w:fill="DBD9D6"/>
            <w:vAlign w:val="center"/>
          </w:tcPr>
          <w:p w14:paraId="12D9A92A" w14:textId="77777777" w:rsidR="001E029F" w:rsidRPr="000309BB" w:rsidRDefault="001E029F" w:rsidP="00621F74">
            <w:pPr>
              <w:jc w:val="right"/>
            </w:pPr>
            <w:r>
              <w:t>17.8</w:t>
            </w:r>
          </w:p>
        </w:tc>
        <w:tc>
          <w:tcPr>
            <w:tcW w:w="993" w:type="dxa"/>
            <w:shd w:val="clear" w:color="auto" w:fill="DBD9D6"/>
            <w:vAlign w:val="center"/>
          </w:tcPr>
          <w:p w14:paraId="433B7558" w14:textId="77777777" w:rsidR="001E029F" w:rsidRPr="000309BB" w:rsidRDefault="001E029F" w:rsidP="00621F74">
            <w:pPr>
              <w:jc w:val="right"/>
            </w:pPr>
            <w:r>
              <w:t>14.1</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61.4</w:t>
            </w:r>
          </w:p>
        </w:tc>
        <w:tc>
          <w:tcPr>
            <w:tcW w:w="992" w:type="dxa"/>
            <w:vAlign w:val="center"/>
          </w:tcPr>
          <w:p w14:paraId="343CC511" w14:textId="77777777" w:rsidR="001E029F" w:rsidRPr="000309BB" w:rsidRDefault="001E029F" w:rsidP="00621F74">
            <w:pPr>
              <w:jc w:val="right"/>
            </w:pPr>
            <w:r>
              <w:t>37.0</w:t>
            </w:r>
          </w:p>
        </w:tc>
        <w:tc>
          <w:tcPr>
            <w:tcW w:w="993" w:type="dxa"/>
            <w:vAlign w:val="center"/>
          </w:tcPr>
          <w:p w14:paraId="1A60E9FB" w14:textId="77777777" w:rsidR="001E029F" w:rsidRPr="000309BB" w:rsidRDefault="001E029F" w:rsidP="00621F74">
            <w:pPr>
              <w:jc w:val="right"/>
            </w:pPr>
            <w:r>
              <w:t>33.8</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98</w:t>
            </w:r>
          </w:p>
        </w:tc>
        <w:tc>
          <w:tcPr>
            <w:tcW w:w="997" w:type="dxa"/>
            <w:shd w:val="clear" w:color="auto" w:fill="DBD9D6"/>
            <w:vAlign w:val="center"/>
          </w:tcPr>
          <w:p w14:paraId="29E25415" w14:textId="77777777" w:rsidR="001E029F" w:rsidRPr="000309BB" w:rsidRDefault="001E029F" w:rsidP="00621F74">
            <w:pPr>
              <w:jc w:val="right"/>
            </w:pPr>
            <w:r>
              <w:t>78.9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27</w:t>
            </w:r>
          </w:p>
        </w:tc>
        <w:tc>
          <w:tcPr>
            <w:tcW w:w="997" w:type="dxa"/>
            <w:vAlign w:val="center"/>
          </w:tcPr>
          <w:p w14:paraId="3A93D8EB" w14:textId="77777777" w:rsidR="001E029F" w:rsidRPr="000309BB" w:rsidRDefault="001E029F" w:rsidP="00621F74">
            <w:pPr>
              <w:jc w:val="right"/>
            </w:pPr>
            <w:r>
              <w:t>22.0</w:t>
            </w:r>
          </w:p>
        </w:tc>
        <w:tc>
          <w:tcPr>
            <w:tcW w:w="997" w:type="dxa"/>
            <w:vAlign w:val="center"/>
          </w:tcPr>
          <w:p w14:paraId="54F573DB" w14:textId="77777777" w:rsidR="001E029F" w:rsidRPr="000309BB" w:rsidRDefault="001E029F" w:rsidP="00621F74">
            <w:pPr>
              <w:jc w:val="right"/>
            </w:pPr>
            <w:r>
              <w:t>20.3</w:t>
            </w:r>
          </w:p>
        </w:tc>
        <w:tc>
          <w:tcPr>
            <w:tcW w:w="998" w:type="dxa"/>
            <w:vAlign w:val="center"/>
          </w:tcPr>
          <w:p w14:paraId="676A7325" w14:textId="77777777" w:rsidR="001E029F" w:rsidRPr="000309BB" w:rsidRDefault="001E029F" w:rsidP="00621F74">
            <w:pPr>
              <w:jc w:val="right"/>
            </w:pPr>
            <w:r>
              <w:t>18.2</w:t>
            </w:r>
          </w:p>
        </w:tc>
      </w:tr>
      <w:tr w:rsidR="001E029F" w14:paraId="2D36A260" w14:textId="77777777" w:rsidTr="00621F74">
        <w:trPr>
          <w:trHeight w:hRule="exact" w:val="417"/>
          <w:jc w:val="center"/>
        </w:trPr>
        <w:tc>
          <w:tcPr>
            <w:tcW w:w="5954" w:type="dxa"/>
            <w:shd w:val="clear" w:color="auto" w:fill="DBD9D6"/>
            <w:vAlign w:val="center"/>
          </w:tcPr>
          <w:p w14:paraId="45B7CFDE" w14:textId="77777777" w:rsidR="001E029F" w:rsidRDefault="001E029F" w:rsidP="00621F74">
            <w:pPr>
              <w:pStyle w:val="TableParagraph"/>
              <w:kinsoku w:val="0"/>
              <w:overflowPunct w:val="0"/>
              <w:ind w:left="30"/>
            </w:pPr>
            <w:r>
              <w:rPr>
                <w:rFonts w:ascii="Arial" w:hAnsi="Arial" w:cs="Arial"/>
                <w:sz w:val="18"/>
                <w:szCs w:val="18"/>
              </w:rPr>
              <w:t>Children reported to have been seen by a GP in the past year</w:t>
            </w:r>
          </w:p>
        </w:tc>
        <w:tc>
          <w:tcPr>
            <w:tcW w:w="997" w:type="dxa"/>
            <w:shd w:val="clear" w:color="auto" w:fill="DBD9D6"/>
            <w:vAlign w:val="center"/>
          </w:tcPr>
          <w:p w14:paraId="37AE49B2" w14:textId="77777777" w:rsidR="001E029F" w:rsidRPr="000309BB" w:rsidRDefault="001E029F" w:rsidP="00621F74">
            <w:pPr>
              <w:jc w:val="right"/>
            </w:pPr>
            <w:r>
              <w:t>89</w:t>
            </w:r>
          </w:p>
        </w:tc>
        <w:tc>
          <w:tcPr>
            <w:tcW w:w="997" w:type="dxa"/>
            <w:shd w:val="clear" w:color="auto" w:fill="DBD9D6"/>
            <w:vAlign w:val="center"/>
          </w:tcPr>
          <w:p w14:paraId="344E0788" w14:textId="77777777" w:rsidR="001E029F" w:rsidRPr="000309BB" w:rsidRDefault="001E029F" w:rsidP="00621F74">
            <w:pPr>
              <w:jc w:val="right"/>
            </w:pPr>
            <w:r>
              <w:t>71.6</w:t>
            </w:r>
          </w:p>
        </w:tc>
        <w:tc>
          <w:tcPr>
            <w:tcW w:w="997" w:type="dxa"/>
            <w:shd w:val="clear" w:color="auto" w:fill="DBD9D6"/>
            <w:vAlign w:val="center"/>
          </w:tcPr>
          <w:p w14:paraId="3083CC64" w14:textId="77777777" w:rsidR="001E029F" w:rsidRPr="000309BB" w:rsidRDefault="001E029F" w:rsidP="00621F74">
            <w:pPr>
              <w:jc w:val="right"/>
            </w:pPr>
            <w:r>
              <w:t>78.3</w:t>
            </w:r>
          </w:p>
        </w:tc>
        <w:tc>
          <w:tcPr>
            <w:tcW w:w="998" w:type="dxa"/>
            <w:shd w:val="clear" w:color="auto" w:fill="DBD9D6"/>
            <w:vAlign w:val="center"/>
          </w:tcPr>
          <w:p w14:paraId="4B44E5F4" w14:textId="77777777" w:rsidR="001E029F" w:rsidRPr="000309BB" w:rsidRDefault="001E029F" w:rsidP="00621F74">
            <w:pPr>
              <w:jc w:val="right"/>
            </w:pPr>
            <w:r>
              <w:t>78.4</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11</w:t>
            </w:r>
          </w:p>
        </w:tc>
        <w:tc>
          <w:tcPr>
            <w:tcW w:w="997" w:type="dxa"/>
            <w:vAlign w:val="center"/>
          </w:tcPr>
          <w:p w14:paraId="7B842FA7" w14:textId="77777777" w:rsidR="001E029F" w:rsidRPr="000309BB" w:rsidRDefault="001E029F" w:rsidP="00621F74">
            <w:pPr>
              <w:jc w:val="right"/>
            </w:pPr>
            <w:r>
              <w:t>8.6</w:t>
            </w:r>
          </w:p>
        </w:tc>
        <w:tc>
          <w:tcPr>
            <w:tcW w:w="997" w:type="dxa"/>
            <w:vAlign w:val="center"/>
          </w:tcPr>
          <w:p w14:paraId="19252111" w14:textId="77777777" w:rsidR="001E029F" w:rsidRPr="000309BB" w:rsidRDefault="001E029F" w:rsidP="00621F74">
            <w:pPr>
              <w:jc w:val="right"/>
            </w:pPr>
            <w:r>
              <w:t>12.6</w:t>
            </w:r>
          </w:p>
        </w:tc>
        <w:tc>
          <w:tcPr>
            <w:tcW w:w="998" w:type="dxa"/>
            <w:vAlign w:val="center"/>
          </w:tcPr>
          <w:p w14:paraId="40724558" w14:textId="77777777" w:rsidR="001E029F" w:rsidRPr="000309BB" w:rsidRDefault="001E029F" w:rsidP="00621F74">
            <w:pPr>
              <w:jc w:val="right"/>
            </w:pPr>
            <w:r>
              <w:t>10.4</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91</w:t>
            </w:r>
          </w:p>
        </w:tc>
        <w:tc>
          <w:tcPr>
            <w:tcW w:w="997" w:type="dxa"/>
            <w:shd w:val="clear" w:color="auto" w:fill="DBD9D6"/>
            <w:vAlign w:val="center"/>
          </w:tcPr>
          <w:p w14:paraId="45437AB6" w14:textId="77777777" w:rsidR="001E029F" w:rsidRPr="000309BB" w:rsidRDefault="001E029F" w:rsidP="00621F74">
            <w:pPr>
              <w:jc w:val="right"/>
            </w:pPr>
            <w:r>
              <w:t>73.1</w:t>
            </w:r>
          </w:p>
        </w:tc>
        <w:tc>
          <w:tcPr>
            <w:tcW w:w="997" w:type="dxa"/>
            <w:shd w:val="clear" w:color="auto" w:fill="DBD9D6"/>
            <w:vAlign w:val="center"/>
          </w:tcPr>
          <w:p w14:paraId="48C77AA6" w14:textId="77777777" w:rsidR="001E029F" w:rsidRPr="000309BB" w:rsidRDefault="001E029F" w:rsidP="00621F74">
            <w:pPr>
              <w:jc w:val="right"/>
            </w:pPr>
            <w:r>
              <w:t>59.8</w:t>
            </w:r>
          </w:p>
        </w:tc>
        <w:tc>
          <w:tcPr>
            <w:tcW w:w="998" w:type="dxa"/>
            <w:shd w:val="clear" w:color="auto" w:fill="DBD9D6"/>
            <w:vAlign w:val="center"/>
          </w:tcPr>
          <w:p w14:paraId="27B906AD" w14:textId="77777777" w:rsidR="001E029F" w:rsidRPr="000309BB" w:rsidRDefault="001E029F" w:rsidP="00621F74">
            <w:pPr>
              <w:jc w:val="right"/>
            </w:pPr>
            <w:r>
              <w:t>53.9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w:t>
            </w:r>
          </w:p>
        </w:tc>
        <w:tc>
          <w:tcPr>
            <w:tcW w:w="997" w:type="dxa"/>
            <w:vAlign w:val="center"/>
          </w:tcPr>
          <w:p w14:paraId="2D8CC06E" w14:textId="77777777" w:rsidR="001E029F" w:rsidRPr="000309BB" w:rsidRDefault="001E029F" w:rsidP="00621F74">
            <w:pPr>
              <w:jc w:val="right"/>
            </w:pPr>
            <w:r>
              <w:t>10.7</w:t>
            </w:r>
          </w:p>
        </w:tc>
        <w:tc>
          <w:tcPr>
            <w:tcW w:w="997" w:type="dxa"/>
            <w:vAlign w:val="center"/>
          </w:tcPr>
          <w:p w14:paraId="0BBF1235" w14:textId="77777777" w:rsidR="001E029F" w:rsidRPr="000309BB" w:rsidRDefault="001E029F" w:rsidP="00621F74">
            <w:pPr>
              <w:jc w:val="right"/>
            </w:pPr>
            <w:r>
              <w:t>10.7</w:t>
            </w:r>
          </w:p>
        </w:tc>
        <w:tc>
          <w:tcPr>
            <w:tcW w:w="998" w:type="dxa"/>
            <w:vAlign w:val="center"/>
          </w:tcPr>
          <w:p w14:paraId="3C2A315A" w14:textId="77777777" w:rsidR="001E029F" w:rsidRPr="000309BB" w:rsidRDefault="001E029F" w:rsidP="00621F74">
            <w:pPr>
              <w:jc w:val="right"/>
            </w:pPr>
            <w:r>
              <w:t>10.1</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111</w:t>
            </w:r>
          </w:p>
        </w:tc>
        <w:tc>
          <w:tcPr>
            <w:tcW w:w="997" w:type="dxa"/>
            <w:shd w:val="clear" w:color="auto" w:fill="DBD9D6"/>
            <w:vAlign w:val="center"/>
          </w:tcPr>
          <w:p w14:paraId="5C6F2447" w14:textId="77777777" w:rsidR="001E029F" w:rsidRPr="000309BB" w:rsidRDefault="001E029F" w:rsidP="00621F74">
            <w:pPr>
              <w:jc w:val="right"/>
            </w:pPr>
            <w:r>
              <w:t>89.4</w:t>
            </w:r>
          </w:p>
        </w:tc>
        <w:tc>
          <w:tcPr>
            <w:tcW w:w="997" w:type="dxa"/>
            <w:shd w:val="clear" w:color="auto" w:fill="DBD9D6"/>
            <w:vAlign w:val="center"/>
          </w:tcPr>
          <w:p w14:paraId="2ECFB1DA" w14:textId="77777777" w:rsidR="001E029F" w:rsidRPr="000309BB" w:rsidRDefault="001E029F" w:rsidP="00621F74">
            <w:pPr>
              <w:jc w:val="right"/>
            </w:pPr>
            <w:r>
              <w:t>90.4</w:t>
            </w:r>
          </w:p>
        </w:tc>
        <w:tc>
          <w:tcPr>
            <w:tcW w:w="998" w:type="dxa"/>
            <w:shd w:val="clear" w:color="auto" w:fill="DBD9D6"/>
            <w:vAlign w:val="center"/>
          </w:tcPr>
          <w:p w14:paraId="70E6CDE9" w14:textId="77777777" w:rsidR="001E029F" w:rsidRPr="000309BB" w:rsidRDefault="001E029F" w:rsidP="00621F74">
            <w:pPr>
              <w:jc w:val="right"/>
            </w:pPr>
            <w:r>
              <w:t>88.4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12</w:t>
            </w:r>
          </w:p>
        </w:tc>
        <w:tc>
          <w:tcPr>
            <w:tcW w:w="992" w:type="dxa"/>
            <w:shd w:val="clear" w:color="auto" w:fill="auto"/>
            <w:vAlign w:val="center"/>
          </w:tcPr>
          <w:p w14:paraId="4F9FCCEA" w14:textId="77777777" w:rsidR="001E029F" w:rsidRPr="000309BB" w:rsidRDefault="001E029F" w:rsidP="00621F74">
            <w:pPr>
              <w:jc w:val="right"/>
            </w:pPr>
            <w:r>
              <w:t>9.4</w:t>
            </w:r>
          </w:p>
        </w:tc>
        <w:tc>
          <w:tcPr>
            <w:tcW w:w="992" w:type="dxa"/>
            <w:shd w:val="clear" w:color="auto" w:fill="auto"/>
            <w:vAlign w:val="center"/>
          </w:tcPr>
          <w:p w14:paraId="40850E0A" w14:textId="77777777" w:rsidR="001E029F" w:rsidRPr="000309BB" w:rsidRDefault="001E029F" w:rsidP="00621F74">
            <w:pPr>
              <w:jc w:val="right"/>
            </w:pPr>
            <w:r>
              <w:t>14.9</w:t>
            </w:r>
          </w:p>
        </w:tc>
        <w:tc>
          <w:tcPr>
            <w:tcW w:w="993" w:type="dxa"/>
            <w:shd w:val="clear" w:color="auto" w:fill="auto"/>
            <w:vAlign w:val="center"/>
          </w:tcPr>
          <w:p w14:paraId="4B787817" w14:textId="77777777" w:rsidR="001E029F" w:rsidRPr="000309BB" w:rsidRDefault="001E029F" w:rsidP="00621F74">
            <w:pPr>
              <w:jc w:val="right"/>
            </w:pPr>
            <w:r>
              <w:t>12.6</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19</w:t>
            </w:r>
          </w:p>
        </w:tc>
        <w:tc>
          <w:tcPr>
            <w:tcW w:w="992" w:type="dxa"/>
            <w:shd w:val="clear" w:color="auto" w:fill="DBD9D6"/>
            <w:vAlign w:val="center"/>
          </w:tcPr>
          <w:p w14:paraId="2F3BAF70" w14:textId="77777777" w:rsidR="001E029F" w:rsidRPr="000309BB" w:rsidRDefault="001E029F" w:rsidP="00621F74">
            <w:pPr>
              <w:jc w:val="right"/>
            </w:pPr>
            <w:r>
              <w:t>15.6</w:t>
            </w:r>
          </w:p>
        </w:tc>
        <w:tc>
          <w:tcPr>
            <w:tcW w:w="992" w:type="dxa"/>
            <w:shd w:val="clear" w:color="auto" w:fill="DBD9D6"/>
            <w:vAlign w:val="center"/>
          </w:tcPr>
          <w:p w14:paraId="1FC61948" w14:textId="77777777" w:rsidR="001E029F" w:rsidRPr="000309BB" w:rsidRDefault="001E029F" w:rsidP="00621F74">
            <w:pPr>
              <w:jc w:val="right"/>
            </w:pPr>
            <w:r>
              <w:t>15.7</w:t>
            </w:r>
          </w:p>
        </w:tc>
        <w:tc>
          <w:tcPr>
            <w:tcW w:w="993" w:type="dxa"/>
            <w:shd w:val="clear" w:color="auto" w:fill="DBD9D6"/>
            <w:vAlign w:val="center"/>
          </w:tcPr>
          <w:p w14:paraId="0DC49E79" w14:textId="77777777" w:rsidR="001E029F" w:rsidRPr="000309BB" w:rsidRDefault="001E029F" w:rsidP="00621F74">
            <w:pPr>
              <w:jc w:val="right"/>
            </w:pPr>
            <w:r>
              <w:t>15.5</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29</w:t>
            </w:r>
          </w:p>
        </w:tc>
        <w:tc>
          <w:tcPr>
            <w:tcW w:w="992" w:type="dxa"/>
            <w:vAlign w:val="center"/>
          </w:tcPr>
          <w:p w14:paraId="61541F41" w14:textId="77777777" w:rsidR="001E029F" w:rsidRPr="000309BB" w:rsidRDefault="001E029F" w:rsidP="00621F74">
            <w:pPr>
              <w:jc w:val="right"/>
            </w:pPr>
            <w:r>
              <w:t>23.1</w:t>
            </w:r>
          </w:p>
        </w:tc>
        <w:tc>
          <w:tcPr>
            <w:tcW w:w="992" w:type="dxa"/>
            <w:vAlign w:val="center"/>
          </w:tcPr>
          <w:p w14:paraId="733FF832" w14:textId="77777777" w:rsidR="001E029F" w:rsidRPr="000309BB" w:rsidRDefault="001E029F" w:rsidP="00621F74">
            <w:pPr>
              <w:jc w:val="right"/>
            </w:pPr>
            <w:r>
              <w:t>28.1</w:t>
            </w:r>
          </w:p>
        </w:tc>
        <w:tc>
          <w:tcPr>
            <w:tcW w:w="993" w:type="dxa"/>
            <w:vAlign w:val="center"/>
          </w:tcPr>
          <w:p w14:paraId="78219278" w14:textId="77777777" w:rsidR="001E029F" w:rsidRPr="000309BB" w:rsidRDefault="001E029F" w:rsidP="00621F74">
            <w:pPr>
              <w:jc w:val="right"/>
            </w:pPr>
            <w:r>
              <w:t>28.6</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13</w:t>
            </w:r>
          </w:p>
        </w:tc>
        <w:tc>
          <w:tcPr>
            <w:tcW w:w="979" w:type="dxa"/>
            <w:shd w:val="clear" w:color="auto" w:fill="DBD9D6"/>
            <w:vAlign w:val="center"/>
          </w:tcPr>
          <w:p w14:paraId="466860CA" w14:textId="77777777" w:rsidR="001E029F" w:rsidRPr="008202F2" w:rsidRDefault="001E029F" w:rsidP="00621F74">
            <w:pPr>
              <w:jc w:val="right"/>
            </w:pPr>
            <w:r>
              <w:t>10.1</w:t>
            </w:r>
          </w:p>
        </w:tc>
        <w:tc>
          <w:tcPr>
            <w:tcW w:w="978" w:type="dxa"/>
            <w:shd w:val="clear" w:color="auto" w:fill="DBD9D6"/>
            <w:vAlign w:val="center"/>
          </w:tcPr>
          <w:p w14:paraId="2D560E6F" w14:textId="77777777" w:rsidR="001E029F" w:rsidRPr="008202F2" w:rsidRDefault="001E029F" w:rsidP="00621F74">
            <w:pPr>
              <w:jc w:val="right"/>
            </w:pPr>
            <w:r>
              <w:t>7.9</w:t>
            </w:r>
          </w:p>
        </w:tc>
        <w:tc>
          <w:tcPr>
            <w:tcW w:w="979" w:type="dxa"/>
            <w:shd w:val="clear" w:color="auto" w:fill="DBD9D6"/>
            <w:vAlign w:val="center"/>
          </w:tcPr>
          <w:p w14:paraId="59748520" w14:textId="77777777" w:rsidR="001E029F" w:rsidRPr="008202F2" w:rsidRDefault="001E029F" w:rsidP="00621F74">
            <w:pPr>
              <w:jc w:val="right"/>
            </w:pPr>
            <w:r>
              <w:t>6.1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10</w:t>
            </w:r>
          </w:p>
        </w:tc>
        <w:tc>
          <w:tcPr>
            <w:tcW w:w="979" w:type="dxa"/>
            <w:vAlign w:val="center"/>
          </w:tcPr>
          <w:p w14:paraId="583C26C8" w14:textId="77777777" w:rsidR="001E029F" w:rsidRPr="008202F2" w:rsidRDefault="001E029F" w:rsidP="00621F74">
            <w:pPr>
              <w:jc w:val="right"/>
            </w:pPr>
            <w:r>
              <w:t>8.4</w:t>
            </w:r>
          </w:p>
        </w:tc>
        <w:tc>
          <w:tcPr>
            <w:tcW w:w="978" w:type="dxa"/>
            <w:vAlign w:val="center"/>
          </w:tcPr>
          <w:p w14:paraId="16A8A42B" w14:textId="77777777" w:rsidR="001E029F" w:rsidRPr="008202F2" w:rsidRDefault="001E029F" w:rsidP="00621F74">
            <w:pPr>
              <w:jc w:val="right"/>
            </w:pPr>
            <w:r>
              <w:t>8.3</w:t>
            </w:r>
          </w:p>
        </w:tc>
        <w:tc>
          <w:tcPr>
            <w:tcW w:w="979" w:type="dxa"/>
            <w:vAlign w:val="center"/>
          </w:tcPr>
          <w:p w14:paraId="5EAED378" w14:textId="77777777" w:rsidR="001E029F" w:rsidRPr="008202F2" w:rsidRDefault="001E029F" w:rsidP="00621F74">
            <w:pPr>
              <w:jc w:val="right"/>
            </w:pPr>
            <w:r>
              <w:t>6.3</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12</w:t>
            </w:r>
          </w:p>
        </w:tc>
        <w:tc>
          <w:tcPr>
            <w:tcW w:w="979" w:type="dxa"/>
            <w:shd w:val="clear" w:color="auto" w:fill="DBD9D6"/>
            <w:vAlign w:val="center"/>
          </w:tcPr>
          <w:p w14:paraId="5E3D7CDD" w14:textId="77777777" w:rsidR="001E029F" w:rsidRPr="008202F2" w:rsidRDefault="001E029F" w:rsidP="00621F74">
            <w:pPr>
              <w:jc w:val="right"/>
            </w:pPr>
            <w:r>
              <w:t>9.3</w:t>
            </w:r>
          </w:p>
        </w:tc>
        <w:tc>
          <w:tcPr>
            <w:tcW w:w="978" w:type="dxa"/>
            <w:shd w:val="clear" w:color="auto" w:fill="DBD9D6"/>
            <w:vAlign w:val="center"/>
          </w:tcPr>
          <w:p w14:paraId="77EC161B" w14:textId="77777777" w:rsidR="001E029F" w:rsidRPr="008202F2" w:rsidRDefault="001E029F" w:rsidP="00621F74">
            <w:pPr>
              <w:jc w:val="right"/>
            </w:pPr>
            <w:r>
              <w:t>9.9</w:t>
            </w:r>
          </w:p>
        </w:tc>
        <w:tc>
          <w:tcPr>
            <w:tcW w:w="979" w:type="dxa"/>
            <w:shd w:val="clear" w:color="auto" w:fill="DBD9D6"/>
            <w:vAlign w:val="center"/>
          </w:tcPr>
          <w:p w14:paraId="3718F242" w14:textId="77777777" w:rsidR="001E029F" w:rsidRPr="008202F2" w:rsidRDefault="001E029F" w:rsidP="00621F74">
            <w:pPr>
              <w:jc w:val="right"/>
            </w:pPr>
            <w:r>
              <w:t>7.4</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16</w:t>
            </w:r>
          </w:p>
        </w:tc>
        <w:tc>
          <w:tcPr>
            <w:tcW w:w="979" w:type="dxa"/>
            <w:vAlign w:val="center"/>
          </w:tcPr>
          <w:p w14:paraId="0A1AA096" w14:textId="77777777" w:rsidR="001E029F" w:rsidRPr="008202F2" w:rsidRDefault="001E029F" w:rsidP="00621F74">
            <w:pPr>
              <w:jc w:val="right"/>
            </w:pPr>
            <w:r>
              <w:t>13.0</w:t>
            </w:r>
          </w:p>
        </w:tc>
        <w:tc>
          <w:tcPr>
            <w:tcW w:w="978" w:type="dxa"/>
            <w:vAlign w:val="center"/>
          </w:tcPr>
          <w:p w14:paraId="3A8F432E" w14:textId="77777777" w:rsidR="001E029F" w:rsidRPr="008202F2" w:rsidRDefault="001E029F" w:rsidP="00621F74">
            <w:pPr>
              <w:jc w:val="right"/>
            </w:pPr>
            <w:r>
              <w:t>8.8</w:t>
            </w:r>
          </w:p>
        </w:tc>
        <w:tc>
          <w:tcPr>
            <w:tcW w:w="979" w:type="dxa"/>
            <w:vAlign w:val="center"/>
          </w:tcPr>
          <w:p w14:paraId="25110764" w14:textId="77777777" w:rsidR="001E029F" w:rsidRPr="008202F2" w:rsidRDefault="001E029F" w:rsidP="00621F74">
            <w:pPr>
              <w:jc w:val="right"/>
            </w:pPr>
            <w:r>
              <w:t>8.5</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3.3</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8.3</w:t>
            </w:r>
          </w:p>
        </w:tc>
        <w:tc>
          <w:tcPr>
            <w:tcW w:w="978" w:type="dxa"/>
            <w:vAlign w:val="center"/>
          </w:tcPr>
          <w:p w14:paraId="73B8FBB0" w14:textId="77777777" w:rsidR="001E029F" w:rsidRPr="008202F2" w:rsidRDefault="001E029F" w:rsidP="00621F74">
            <w:pPr>
              <w:jc w:val="right"/>
            </w:pPr>
            <w:r>
              <w:t>6.9</w:t>
            </w:r>
          </w:p>
        </w:tc>
        <w:tc>
          <w:tcPr>
            <w:tcW w:w="979" w:type="dxa"/>
            <w:vAlign w:val="center"/>
          </w:tcPr>
          <w:p w14:paraId="1A9C772A" w14:textId="77777777" w:rsidR="001E029F" w:rsidRPr="008202F2" w:rsidRDefault="001E029F" w:rsidP="00621F74">
            <w:pPr>
              <w:jc w:val="right"/>
            </w:pPr>
            <w:r>
              <w:t>4.9</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17</w:t>
            </w:r>
          </w:p>
        </w:tc>
        <w:tc>
          <w:tcPr>
            <w:tcW w:w="980" w:type="dxa"/>
            <w:shd w:val="clear" w:color="auto" w:fill="auto"/>
            <w:vAlign w:val="center"/>
          </w:tcPr>
          <w:p w14:paraId="32C27126" w14:textId="77777777" w:rsidR="001E029F" w:rsidRPr="000309BB" w:rsidRDefault="001E029F" w:rsidP="00621F74">
            <w:pPr>
              <w:jc w:val="right"/>
            </w:pPr>
            <w:r>
              <w:t>13.9</w:t>
            </w:r>
          </w:p>
        </w:tc>
        <w:tc>
          <w:tcPr>
            <w:tcW w:w="980" w:type="dxa"/>
            <w:shd w:val="clear" w:color="auto" w:fill="auto"/>
            <w:vAlign w:val="center"/>
          </w:tcPr>
          <w:p w14:paraId="687B9BF0" w14:textId="77777777" w:rsidR="001E029F" w:rsidRPr="000309BB" w:rsidRDefault="001E029F" w:rsidP="00621F74">
            <w:pPr>
              <w:jc w:val="right"/>
            </w:pPr>
            <w:r>
              <w:t>11.0</w:t>
            </w:r>
          </w:p>
        </w:tc>
        <w:tc>
          <w:tcPr>
            <w:tcW w:w="981" w:type="dxa"/>
            <w:shd w:val="clear" w:color="auto" w:fill="auto"/>
            <w:vAlign w:val="center"/>
          </w:tcPr>
          <w:p w14:paraId="691A3DEC" w14:textId="77777777" w:rsidR="001E029F" w:rsidRPr="000309BB" w:rsidRDefault="001E029F" w:rsidP="00621F74">
            <w:pPr>
              <w:jc w:val="right"/>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w:t>
            </w:r>
          </w:p>
        </w:tc>
        <w:tc>
          <w:tcPr>
            <w:tcW w:w="980" w:type="dxa"/>
            <w:shd w:val="clear" w:color="auto" w:fill="DBD9D6"/>
            <w:vAlign w:val="center"/>
          </w:tcPr>
          <w:p w14:paraId="599E26FE" w14:textId="77777777" w:rsidR="001E029F" w:rsidRPr="000309BB" w:rsidRDefault="001E029F" w:rsidP="00621F74">
            <w:pPr>
              <w:jc w:val="right"/>
            </w:pPr>
            <w:r>
              <w:t>5.3</w:t>
            </w:r>
          </w:p>
        </w:tc>
        <w:tc>
          <w:tcPr>
            <w:tcW w:w="980" w:type="dxa"/>
            <w:shd w:val="clear" w:color="auto" w:fill="DBD9D6"/>
            <w:vAlign w:val="center"/>
          </w:tcPr>
          <w:p w14:paraId="234AB39E" w14:textId="77777777" w:rsidR="001E029F" w:rsidRPr="000309BB" w:rsidRDefault="001E029F" w:rsidP="00621F74">
            <w:pPr>
              <w:jc w:val="right"/>
            </w:pPr>
            <w:r>
              <w:t>4.8</w:t>
            </w:r>
          </w:p>
        </w:tc>
        <w:tc>
          <w:tcPr>
            <w:tcW w:w="981" w:type="dxa"/>
            <w:shd w:val="clear" w:color="auto" w:fill="DBD9D6"/>
            <w:vAlign w:val="center"/>
          </w:tcPr>
          <w:p w14:paraId="03D989F8" w14:textId="77777777" w:rsidR="001E029F" w:rsidRPr="000309BB" w:rsidRDefault="001E029F" w:rsidP="00621F74">
            <w:pPr>
              <w:jc w:val="right"/>
            </w:pPr>
            <w:r>
              <w:t>3.1</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w:t>
            </w:r>
          </w:p>
        </w:tc>
        <w:tc>
          <w:tcPr>
            <w:tcW w:w="980" w:type="dxa"/>
            <w:vAlign w:val="center"/>
          </w:tcPr>
          <w:p w14:paraId="717C0577" w14:textId="77777777" w:rsidR="001E029F" w:rsidRPr="000309BB" w:rsidRDefault="001E029F" w:rsidP="00621F74">
            <w:pPr>
              <w:jc w:val="right"/>
            </w:pPr>
            <w:r>
              <w:t>3.8</w:t>
            </w:r>
          </w:p>
        </w:tc>
        <w:tc>
          <w:tcPr>
            <w:tcW w:w="980" w:type="dxa"/>
            <w:vAlign w:val="center"/>
          </w:tcPr>
          <w:p w14:paraId="3DEA89D0" w14:textId="77777777" w:rsidR="001E029F" w:rsidRPr="000309BB" w:rsidRDefault="001E029F" w:rsidP="00621F74">
            <w:pPr>
              <w:jc w:val="right"/>
            </w:pPr>
            <w:r>
              <w:t>5.1</w:t>
            </w:r>
          </w:p>
        </w:tc>
        <w:tc>
          <w:tcPr>
            <w:tcW w:w="981" w:type="dxa"/>
            <w:vAlign w:val="center"/>
          </w:tcPr>
          <w:p w14:paraId="69B5B379" w14:textId="77777777" w:rsidR="001E029F" w:rsidRPr="000309BB" w:rsidRDefault="001E029F" w:rsidP="00621F74">
            <w:pPr>
              <w:jc w:val="right"/>
            </w:pPr>
            <w:r>
              <w:t>3.2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0.8</w:t>
            </w:r>
          </w:p>
        </w:tc>
        <w:tc>
          <w:tcPr>
            <w:tcW w:w="980" w:type="dxa"/>
            <w:shd w:val="clear" w:color="auto" w:fill="DBD9D6"/>
            <w:vAlign w:val="center"/>
          </w:tcPr>
          <w:p w14:paraId="58586AE1" w14:textId="77777777" w:rsidR="001E029F" w:rsidRPr="000309BB" w:rsidRDefault="001E029F" w:rsidP="00621F74">
            <w:pPr>
              <w:jc w:val="right"/>
            </w:pPr>
            <w:r>
              <w:t>1.8</w:t>
            </w:r>
          </w:p>
        </w:tc>
        <w:tc>
          <w:tcPr>
            <w:tcW w:w="981" w:type="dxa"/>
            <w:shd w:val="clear" w:color="auto" w:fill="DBD9D6"/>
            <w:vAlign w:val="center"/>
          </w:tcPr>
          <w:p w14:paraId="53091D3E" w14:textId="77777777" w:rsidR="001E029F" w:rsidRPr="000309BB" w:rsidRDefault="001E029F" w:rsidP="00621F74">
            <w:pPr>
              <w:jc w:val="right"/>
            </w:pPr>
            <w:r>
              <w:t>1.1</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r>
              <w:t>8</w:t>
            </w:r>
          </w:p>
        </w:tc>
        <w:tc>
          <w:tcPr>
            <w:tcW w:w="980" w:type="dxa"/>
            <w:vAlign w:val="center"/>
          </w:tcPr>
          <w:p w14:paraId="052A5D21" w14:textId="77777777" w:rsidR="001E029F" w:rsidRPr="000309BB" w:rsidRDefault="001E029F" w:rsidP="00621F74">
            <w:pPr>
              <w:jc w:val="right"/>
            </w:pPr>
            <w:r>
              <w:t>6.3</w:t>
            </w:r>
          </w:p>
        </w:tc>
        <w:tc>
          <w:tcPr>
            <w:tcW w:w="980" w:type="dxa"/>
            <w:vAlign w:val="center"/>
          </w:tcPr>
          <w:p w14:paraId="45437BF3" w14:textId="77777777" w:rsidR="001E029F" w:rsidRPr="000309BB" w:rsidRDefault="001E029F" w:rsidP="00621F74">
            <w:pPr>
              <w:jc w:val="right"/>
            </w:pPr>
            <w:r>
              <w:t>4.5</w:t>
            </w:r>
          </w:p>
        </w:tc>
        <w:tc>
          <w:tcPr>
            <w:tcW w:w="981" w:type="dxa"/>
            <w:vAlign w:val="center"/>
          </w:tcPr>
          <w:p w14:paraId="48F705A0" w14:textId="77777777" w:rsidR="001E029F" w:rsidRPr="000309BB" w:rsidRDefault="001E029F" w:rsidP="00621F74">
            <w:pPr>
              <w:jc w:val="right"/>
            </w:pPr>
            <w:r>
              <w:t>2.9</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w:t>
            </w:r>
          </w:p>
        </w:tc>
        <w:tc>
          <w:tcPr>
            <w:tcW w:w="980" w:type="dxa"/>
            <w:shd w:val="clear" w:color="auto" w:fill="DBD9D6"/>
            <w:vAlign w:val="center"/>
          </w:tcPr>
          <w:p w14:paraId="35B1A855" w14:textId="77777777" w:rsidR="001E029F" w:rsidRPr="000309BB" w:rsidRDefault="001E029F" w:rsidP="00621F74">
            <w:pPr>
              <w:jc w:val="right"/>
            </w:pPr>
            <w:r>
              <w:t>8.4</w:t>
            </w:r>
          </w:p>
        </w:tc>
        <w:tc>
          <w:tcPr>
            <w:tcW w:w="980" w:type="dxa"/>
            <w:shd w:val="clear" w:color="auto" w:fill="DBD9D6"/>
            <w:vAlign w:val="center"/>
          </w:tcPr>
          <w:p w14:paraId="7B939DAA" w14:textId="77777777" w:rsidR="001E029F" w:rsidRPr="000309BB" w:rsidRDefault="001E029F" w:rsidP="00621F74">
            <w:pPr>
              <w:jc w:val="right"/>
            </w:pPr>
            <w:r>
              <w:t>5.1</w:t>
            </w:r>
          </w:p>
        </w:tc>
        <w:tc>
          <w:tcPr>
            <w:tcW w:w="981" w:type="dxa"/>
            <w:shd w:val="clear" w:color="auto" w:fill="DBD9D6"/>
            <w:vAlign w:val="center"/>
          </w:tcPr>
          <w:p w14:paraId="69148C53" w14:textId="77777777" w:rsidR="001E029F" w:rsidRPr="000309BB" w:rsidRDefault="001E029F" w:rsidP="00621F74">
            <w:pPr>
              <w:jc w:val="right"/>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17</w:t>
            </w:r>
          </w:p>
        </w:tc>
        <w:tc>
          <w:tcPr>
            <w:tcW w:w="980" w:type="dxa"/>
            <w:shd w:val="clear" w:color="auto" w:fill="DBD9D6"/>
            <w:vAlign w:val="center"/>
          </w:tcPr>
          <w:p w14:paraId="2E7EF981" w14:textId="77777777" w:rsidR="001E029F" w:rsidRPr="000309BB" w:rsidRDefault="001E029F" w:rsidP="00621F74">
            <w:pPr>
              <w:jc w:val="right"/>
            </w:pPr>
            <w:r>
              <w:t>13.3</w:t>
            </w:r>
          </w:p>
        </w:tc>
        <w:tc>
          <w:tcPr>
            <w:tcW w:w="980" w:type="dxa"/>
            <w:shd w:val="clear" w:color="auto" w:fill="DBD9D6"/>
            <w:vAlign w:val="center"/>
          </w:tcPr>
          <w:p w14:paraId="58369790" w14:textId="77777777" w:rsidR="001E029F" w:rsidRPr="000309BB" w:rsidRDefault="001E029F" w:rsidP="00621F74">
            <w:pPr>
              <w:jc w:val="right"/>
            </w:pPr>
            <w:r>
              <w:t>10.8</w:t>
            </w:r>
          </w:p>
        </w:tc>
        <w:tc>
          <w:tcPr>
            <w:tcW w:w="981" w:type="dxa"/>
            <w:shd w:val="clear" w:color="auto" w:fill="DBD9D6"/>
            <w:vAlign w:val="center"/>
          </w:tcPr>
          <w:p w14:paraId="41615703" w14:textId="77777777" w:rsidR="001E029F" w:rsidRPr="000309BB" w:rsidRDefault="001E029F" w:rsidP="00621F74">
            <w:pPr>
              <w:jc w:val="right"/>
            </w:pPr>
            <w:r>
              <w:t>7.0</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2017</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18"/>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207B4DEB"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A4221">
      <w:rPr>
        <w:noProof/>
        <w:lang w:val="en-GB"/>
      </w:rPr>
      <w:t>November 18</w:t>
    </w:r>
    <w:r>
      <w:fldChar w:fldCharType="end"/>
    </w:r>
  </w:p>
  <w:p w14:paraId="151BDC14" w14:textId="77777777" w:rsidR="00667EEC" w:rsidRDefault="00667EEC" w:rsidP="00667EEC">
    <w:pPr>
      <w:pStyle w:val="FootnoteText"/>
      <w:ind w:right="2828"/>
    </w:pPr>
    <w:r>
      <w:t>©State of Victoria (Department of Education and Training) 2017</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5C195E95"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A283B">
      <w:rPr>
        <w:rStyle w:val="PageNumber"/>
        <w:noProof/>
      </w:rPr>
      <w:t>6</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4" name="Picture 4"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633E"/>
    <w:rsid w:val="00065195"/>
    <w:rsid w:val="00083585"/>
    <w:rsid w:val="000A4221"/>
    <w:rsid w:val="000A47D4"/>
    <w:rsid w:val="00122369"/>
    <w:rsid w:val="00124D09"/>
    <w:rsid w:val="00141F23"/>
    <w:rsid w:val="0016325E"/>
    <w:rsid w:val="001A283B"/>
    <w:rsid w:val="001E02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ducation.vic.gov.au/about/research/Pages/reportdatahealth.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OUTCOMES FOR VICTORIAN</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940D3-BD03-42FE-A800-815A70F21FF5}"/>
</file>

<file path=customXml/itemProps2.xml><?xml version="1.0" encoding="utf-8"?>
<ds:datastoreItem xmlns:ds="http://schemas.openxmlformats.org/officeDocument/2006/customXml" ds:itemID="{65DBDCCC-F80F-4C9D-B386-8A15011DCDC5}"/>
</file>

<file path=customXml/itemProps3.xml><?xml version="1.0" encoding="utf-8"?>
<ds:datastoreItem xmlns:ds="http://schemas.openxmlformats.org/officeDocument/2006/customXml" ds:itemID="{5F375BAA-33D5-4427-B54A-03CC105D3306}"/>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9C8F2E1E-35A6-4F2B-AB53-6719ED7856C9}"/>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2</cp:revision>
  <dcterms:created xsi:type="dcterms:W3CDTF">2018-11-09T00:00:00Z</dcterms:created>
  <dcterms:modified xsi:type="dcterms:W3CDTF">2018-11-09T00:00:00Z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101;#Page|eb523acf-a821-456c-a76b-7607578309d7</vt:lpwstr>
  </property>
  <property fmtid="{D5CDD505-2E9C-101B-9397-08002B2CF9AE}" pid="6" name="DEECD_Audience">
    <vt:lpwstr/>
  </property>
</Properties>
</file>