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7B2" w:rsidRPr="00FB3924" w:rsidRDefault="00FB3924" w:rsidP="00E76CFE">
      <w:pPr>
        <w:pStyle w:val="Heading1"/>
        <w:rPr>
          <w:rStyle w:val="A2"/>
          <w:rFonts w:cstheme="majorBidi"/>
          <w:b w:val="0"/>
          <w:bCs w:val="0"/>
          <w:color w:val="2E74B5" w:themeColor="accent1" w:themeShade="BF"/>
          <w:sz w:val="32"/>
          <w:szCs w:val="32"/>
        </w:rPr>
      </w:pPr>
      <w:r w:rsidRPr="00FB3924">
        <w:rPr>
          <w:rStyle w:val="A2"/>
          <w:rFonts w:cstheme="majorBidi"/>
          <w:b w:val="0"/>
          <w:bCs w:val="0"/>
          <w:color w:val="2E74B5" w:themeColor="accent1" w:themeShade="BF"/>
          <w:sz w:val="32"/>
          <w:szCs w:val="32"/>
        </w:rPr>
        <w:t>Health and wellbeing trends of Victorian school entrants from 2013-2017</w:t>
      </w:r>
    </w:p>
    <w:p w:rsidR="00FB3924" w:rsidRDefault="00FB3924" w:rsidP="00FB3924">
      <w:pPr>
        <w:pStyle w:val="Default"/>
      </w:pPr>
    </w:p>
    <w:p w:rsidR="00FB3924" w:rsidRDefault="00FB3924" w:rsidP="00FB3924">
      <w:r w:rsidRPr="00E2520F">
        <w:rPr>
          <w:rFonts w:cs="VIC SemiBold"/>
          <w:bCs/>
        </w:rPr>
        <w:t>The School Entrant Health Questionnaire (SEHQ)</w:t>
      </w:r>
      <w:r>
        <w:rPr>
          <w:rFonts w:cs="VIC SemiBold"/>
          <w:b/>
          <w:bCs/>
        </w:rPr>
        <w:t xml:space="preserve"> </w:t>
      </w:r>
      <w:r>
        <w:t xml:space="preserve">is an annual survey that records the observations and concerns of parents about their child’s health and wellbeing. SEHQ has been distributed to parents and guardians of preparatory (Prep) grade children in Victorian primary schools since 1997, and provides insights into health and wellbeing of children during their crucial movements into early primary schooling. </w:t>
      </w:r>
    </w:p>
    <w:p w:rsidR="00FB3924" w:rsidRDefault="00FB3924" w:rsidP="00FB3924">
      <w:r>
        <w:t xml:space="preserve">In 2017, there were 63,937 responses from parents, representing 90% of all Victorian children enrolled in Prep that year. Topics covered by the survey include general health, speech and language, service use, general development, behavioural and emotional wellbeing and family stress. </w:t>
      </w:r>
    </w:p>
    <w:p w:rsidR="00FB3924" w:rsidRDefault="00FB3924" w:rsidP="00FB3924">
      <w:r>
        <w:t>This snapshot summarises trends in parents’ responses to SEHQ between 2013 and 2017.</w:t>
      </w:r>
    </w:p>
    <w:p w:rsidR="00F418D0" w:rsidRDefault="00F418D0" w:rsidP="00FB3924"/>
    <w:p w:rsidR="00FB3924" w:rsidRPr="00FB3924" w:rsidRDefault="00FB3924" w:rsidP="00E76CFE">
      <w:pPr>
        <w:pStyle w:val="Heading2"/>
      </w:pPr>
      <w:r w:rsidRPr="00FB3924">
        <w:t>General health</w:t>
      </w:r>
    </w:p>
    <w:p w:rsidR="00FB3924" w:rsidRDefault="00FB3924" w:rsidP="00FB3924">
      <w:r>
        <w:t xml:space="preserve">Since 2013, more than 9 in 10 Victorian parents rated their child’s health as good, very good or excellent. </w:t>
      </w:r>
    </w:p>
    <w:p w:rsidR="00FB3924" w:rsidRDefault="00FB3924" w:rsidP="00FB3924">
      <w:r>
        <w:t xml:space="preserve">Despite fluctuations, this indicator has remained consistently high. In 2017, </w:t>
      </w:r>
      <w:r w:rsidRPr="00F418D0">
        <w:t>92% of parents</w:t>
      </w:r>
      <w:r>
        <w:rPr>
          <w:rFonts w:ascii="VIC SemiBold" w:hAnsi="VIC SemiBold" w:cs="VIC SemiBold"/>
          <w:b/>
          <w:bCs/>
        </w:rPr>
        <w:t xml:space="preserve"> </w:t>
      </w:r>
      <w:r>
        <w:t>reported positive perceptions of their child’s health.</w:t>
      </w:r>
    </w:p>
    <w:tbl>
      <w:tblPr>
        <w:tblStyle w:val="TableGrid"/>
        <w:tblW w:w="0" w:type="auto"/>
        <w:tblLook w:val="04A0" w:firstRow="1" w:lastRow="0" w:firstColumn="1" w:lastColumn="0" w:noHBand="0" w:noVBand="1"/>
        <w:tblDescription w:val="General Health"/>
      </w:tblPr>
      <w:tblGrid>
        <w:gridCol w:w="1696"/>
        <w:gridCol w:w="4111"/>
      </w:tblGrid>
      <w:tr w:rsidR="002C68E1" w:rsidTr="001F49F7">
        <w:tc>
          <w:tcPr>
            <w:tcW w:w="1696" w:type="dxa"/>
          </w:tcPr>
          <w:p w:rsidR="002C68E1" w:rsidRPr="00F418D0" w:rsidRDefault="002C68E1" w:rsidP="00F418D0">
            <w:pPr>
              <w:rPr>
                <w:b/>
              </w:rPr>
            </w:pPr>
            <w:r w:rsidRPr="00F418D0">
              <w:rPr>
                <w:b/>
              </w:rPr>
              <w:t>Year</w:t>
            </w:r>
          </w:p>
        </w:tc>
        <w:tc>
          <w:tcPr>
            <w:tcW w:w="4111" w:type="dxa"/>
          </w:tcPr>
          <w:p w:rsidR="002C68E1" w:rsidRPr="00F418D0" w:rsidRDefault="00F418D0" w:rsidP="001F49F7">
            <w:pPr>
              <w:rPr>
                <w:b/>
              </w:rPr>
            </w:pPr>
            <w:r w:rsidRPr="00F418D0">
              <w:rPr>
                <w:b/>
              </w:rPr>
              <w:t>P</w:t>
            </w:r>
            <w:r>
              <w:rPr>
                <w:b/>
              </w:rPr>
              <w:t xml:space="preserve">roportion </w:t>
            </w:r>
            <w:r w:rsidRPr="00F418D0">
              <w:rPr>
                <w:b/>
              </w:rPr>
              <w:t xml:space="preserve">of </w:t>
            </w:r>
            <w:r w:rsidR="001F49F7">
              <w:rPr>
                <w:b/>
              </w:rPr>
              <w:t xml:space="preserve">parents reporting </w:t>
            </w:r>
            <w:r w:rsidRPr="00F418D0">
              <w:rPr>
                <w:b/>
              </w:rPr>
              <w:t xml:space="preserve">positive </w:t>
            </w:r>
            <w:r w:rsidR="001F49F7">
              <w:rPr>
                <w:b/>
              </w:rPr>
              <w:t>perceptions of their child’s health</w:t>
            </w:r>
          </w:p>
        </w:tc>
      </w:tr>
      <w:tr w:rsidR="002C68E1" w:rsidTr="001F49F7">
        <w:tc>
          <w:tcPr>
            <w:tcW w:w="1696" w:type="dxa"/>
          </w:tcPr>
          <w:p w:rsidR="002C68E1" w:rsidRDefault="002C68E1" w:rsidP="00F418D0">
            <w:r>
              <w:t>2013</w:t>
            </w:r>
          </w:p>
        </w:tc>
        <w:tc>
          <w:tcPr>
            <w:tcW w:w="4111" w:type="dxa"/>
          </w:tcPr>
          <w:p w:rsidR="002C68E1" w:rsidRDefault="00F418D0" w:rsidP="00F418D0">
            <w:r>
              <w:t>95.4%</w:t>
            </w:r>
          </w:p>
        </w:tc>
      </w:tr>
      <w:tr w:rsidR="002C68E1" w:rsidTr="001F49F7">
        <w:tc>
          <w:tcPr>
            <w:tcW w:w="1696" w:type="dxa"/>
          </w:tcPr>
          <w:p w:rsidR="002C68E1" w:rsidRDefault="002C68E1" w:rsidP="00F418D0">
            <w:r>
              <w:t>2014</w:t>
            </w:r>
          </w:p>
        </w:tc>
        <w:tc>
          <w:tcPr>
            <w:tcW w:w="4111" w:type="dxa"/>
          </w:tcPr>
          <w:p w:rsidR="002C68E1" w:rsidRDefault="00F418D0" w:rsidP="00F418D0">
            <w:r>
              <w:t>95.1%</w:t>
            </w:r>
          </w:p>
        </w:tc>
      </w:tr>
      <w:tr w:rsidR="002C68E1" w:rsidTr="001F49F7">
        <w:tc>
          <w:tcPr>
            <w:tcW w:w="1696" w:type="dxa"/>
          </w:tcPr>
          <w:p w:rsidR="002C68E1" w:rsidRDefault="002C68E1" w:rsidP="00F418D0">
            <w:r>
              <w:t>2015</w:t>
            </w:r>
          </w:p>
        </w:tc>
        <w:tc>
          <w:tcPr>
            <w:tcW w:w="4111" w:type="dxa"/>
          </w:tcPr>
          <w:p w:rsidR="002C68E1" w:rsidRDefault="00F418D0" w:rsidP="00F418D0">
            <w:r>
              <w:t>92.9%</w:t>
            </w:r>
          </w:p>
        </w:tc>
      </w:tr>
      <w:tr w:rsidR="002C68E1" w:rsidTr="001F49F7">
        <w:tc>
          <w:tcPr>
            <w:tcW w:w="1696" w:type="dxa"/>
          </w:tcPr>
          <w:p w:rsidR="002C68E1" w:rsidRDefault="002C68E1" w:rsidP="00F418D0">
            <w:r>
              <w:t>2016</w:t>
            </w:r>
          </w:p>
        </w:tc>
        <w:tc>
          <w:tcPr>
            <w:tcW w:w="4111" w:type="dxa"/>
          </w:tcPr>
          <w:p w:rsidR="002C68E1" w:rsidRDefault="00F418D0" w:rsidP="00F418D0">
            <w:r>
              <w:t>93.1%</w:t>
            </w:r>
          </w:p>
        </w:tc>
      </w:tr>
      <w:tr w:rsidR="002C68E1" w:rsidTr="001F49F7">
        <w:tc>
          <w:tcPr>
            <w:tcW w:w="1696" w:type="dxa"/>
          </w:tcPr>
          <w:p w:rsidR="002C68E1" w:rsidRDefault="002C68E1" w:rsidP="00F418D0">
            <w:r>
              <w:t>2017</w:t>
            </w:r>
          </w:p>
        </w:tc>
        <w:tc>
          <w:tcPr>
            <w:tcW w:w="4111" w:type="dxa"/>
          </w:tcPr>
          <w:p w:rsidR="002C68E1" w:rsidRDefault="00F418D0" w:rsidP="00F418D0">
            <w:r>
              <w:t>92.0</w:t>
            </w:r>
            <w:r w:rsidR="002C68E1">
              <w:t>%</w:t>
            </w:r>
          </w:p>
        </w:tc>
      </w:tr>
    </w:tbl>
    <w:p w:rsidR="002C68E1" w:rsidRPr="00FB3924" w:rsidRDefault="002C68E1" w:rsidP="002C68E1"/>
    <w:p w:rsidR="00FB3924" w:rsidRDefault="00FB3924" w:rsidP="00E76CFE">
      <w:pPr>
        <w:pStyle w:val="Heading2"/>
      </w:pPr>
      <w:r>
        <w:t>Family stress</w:t>
      </w:r>
    </w:p>
    <w:p w:rsidR="00F418D0" w:rsidRDefault="00F418D0" w:rsidP="00F418D0">
      <w:r>
        <w:t>The SEHQ asks parents to rate their family’s level of stress over the month prior to completing the questionnaire using a five point Likert scale, from ‘little or no stress/pressure’ to ‘almost more than I can bear’.</w:t>
      </w:r>
    </w:p>
    <w:p w:rsidR="00784BCF" w:rsidRPr="007D0C62" w:rsidRDefault="00F418D0" w:rsidP="00F418D0">
      <w:r>
        <w:t>The percentage of parents reporting the high or highest levels of family stress has consistently decreased over the last five years, from 11.2% in 2013 to 8.8% in 2017.</w:t>
      </w:r>
    </w:p>
    <w:tbl>
      <w:tblPr>
        <w:tblStyle w:val="TableGrid"/>
        <w:tblW w:w="0" w:type="auto"/>
        <w:tblLook w:val="04A0" w:firstRow="1" w:lastRow="0" w:firstColumn="1" w:lastColumn="0" w:noHBand="0" w:noVBand="1"/>
        <w:tblDescription w:val="Family Stress"/>
      </w:tblPr>
      <w:tblGrid>
        <w:gridCol w:w="1696"/>
        <w:gridCol w:w="4111"/>
      </w:tblGrid>
      <w:tr w:rsidR="002C68E1" w:rsidTr="00F418D0">
        <w:tc>
          <w:tcPr>
            <w:tcW w:w="1696" w:type="dxa"/>
          </w:tcPr>
          <w:p w:rsidR="002C68E1" w:rsidRPr="00F418D0" w:rsidRDefault="002C68E1" w:rsidP="00F418D0">
            <w:pPr>
              <w:rPr>
                <w:b/>
              </w:rPr>
            </w:pPr>
            <w:r w:rsidRPr="00F418D0">
              <w:rPr>
                <w:b/>
              </w:rPr>
              <w:t>Year</w:t>
            </w:r>
          </w:p>
        </w:tc>
        <w:tc>
          <w:tcPr>
            <w:tcW w:w="4111" w:type="dxa"/>
          </w:tcPr>
          <w:p w:rsidR="002C68E1" w:rsidRPr="00F418D0" w:rsidRDefault="001F49F7" w:rsidP="00F418D0">
            <w:pPr>
              <w:rPr>
                <w:b/>
              </w:rPr>
            </w:pPr>
            <w:r>
              <w:rPr>
                <w:b/>
              </w:rPr>
              <w:t>Proportion</w:t>
            </w:r>
            <w:r w:rsidR="00F418D0">
              <w:rPr>
                <w:b/>
              </w:rPr>
              <w:t xml:space="preserve"> of parents reporting high or highest levels of family stress</w:t>
            </w:r>
          </w:p>
        </w:tc>
      </w:tr>
      <w:tr w:rsidR="002C68E1" w:rsidTr="00F418D0">
        <w:tc>
          <w:tcPr>
            <w:tcW w:w="1696" w:type="dxa"/>
          </w:tcPr>
          <w:p w:rsidR="002C68E1" w:rsidRDefault="002C68E1" w:rsidP="00F418D0">
            <w:r>
              <w:t>2013</w:t>
            </w:r>
          </w:p>
        </w:tc>
        <w:tc>
          <w:tcPr>
            <w:tcW w:w="4111" w:type="dxa"/>
          </w:tcPr>
          <w:p w:rsidR="002C68E1" w:rsidRDefault="00F418D0" w:rsidP="00F418D0">
            <w:r>
              <w:t>11.2%</w:t>
            </w:r>
          </w:p>
        </w:tc>
      </w:tr>
      <w:tr w:rsidR="002C68E1" w:rsidTr="00F418D0">
        <w:tc>
          <w:tcPr>
            <w:tcW w:w="1696" w:type="dxa"/>
          </w:tcPr>
          <w:p w:rsidR="002C68E1" w:rsidRDefault="002C68E1" w:rsidP="00F418D0">
            <w:r>
              <w:t>2014</w:t>
            </w:r>
          </w:p>
        </w:tc>
        <w:tc>
          <w:tcPr>
            <w:tcW w:w="4111" w:type="dxa"/>
          </w:tcPr>
          <w:p w:rsidR="002C68E1" w:rsidRDefault="00F418D0" w:rsidP="00F418D0">
            <w:r>
              <w:t>11.0%</w:t>
            </w:r>
          </w:p>
        </w:tc>
      </w:tr>
      <w:tr w:rsidR="002C68E1" w:rsidTr="00F418D0">
        <w:tc>
          <w:tcPr>
            <w:tcW w:w="1696" w:type="dxa"/>
          </w:tcPr>
          <w:p w:rsidR="002C68E1" w:rsidRDefault="002C68E1" w:rsidP="00F418D0">
            <w:r>
              <w:t>2015</w:t>
            </w:r>
          </w:p>
        </w:tc>
        <w:tc>
          <w:tcPr>
            <w:tcW w:w="4111" w:type="dxa"/>
          </w:tcPr>
          <w:p w:rsidR="002C68E1" w:rsidRDefault="00784BCF" w:rsidP="00F418D0">
            <w:r>
              <w:t>9.9%</w:t>
            </w:r>
          </w:p>
        </w:tc>
      </w:tr>
      <w:tr w:rsidR="002C68E1" w:rsidTr="00F418D0">
        <w:tc>
          <w:tcPr>
            <w:tcW w:w="1696" w:type="dxa"/>
          </w:tcPr>
          <w:p w:rsidR="002C68E1" w:rsidRDefault="002C68E1" w:rsidP="00F418D0">
            <w:r>
              <w:t>2016</w:t>
            </w:r>
          </w:p>
        </w:tc>
        <w:tc>
          <w:tcPr>
            <w:tcW w:w="4111" w:type="dxa"/>
          </w:tcPr>
          <w:p w:rsidR="002C68E1" w:rsidRDefault="00784BCF" w:rsidP="00F418D0">
            <w:r>
              <w:t>9.2%</w:t>
            </w:r>
          </w:p>
        </w:tc>
      </w:tr>
      <w:tr w:rsidR="002C68E1" w:rsidTr="00F418D0">
        <w:tc>
          <w:tcPr>
            <w:tcW w:w="1696" w:type="dxa"/>
          </w:tcPr>
          <w:p w:rsidR="002C68E1" w:rsidRDefault="002C68E1" w:rsidP="00F418D0">
            <w:r>
              <w:t>2017</w:t>
            </w:r>
          </w:p>
        </w:tc>
        <w:tc>
          <w:tcPr>
            <w:tcW w:w="4111" w:type="dxa"/>
          </w:tcPr>
          <w:p w:rsidR="002C68E1" w:rsidRDefault="00F418D0" w:rsidP="00F418D0">
            <w:r>
              <w:t>8.8%</w:t>
            </w:r>
          </w:p>
        </w:tc>
      </w:tr>
    </w:tbl>
    <w:p w:rsidR="00FB3924" w:rsidRDefault="00FB3924" w:rsidP="00E76CFE">
      <w:pPr>
        <w:pStyle w:val="Heading2"/>
      </w:pPr>
      <w:r>
        <w:lastRenderedPageBreak/>
        <w:t>Psychological health and wellbeing</w:t>
      </w:r>
    </w:p>
    <w:p w:rsidR="00E76CFE" w:rsidRDefault="00E76CFE" w:rsidP="00E76CFE">
      <w:r>
        <w:t>In 2013, based on SDQ* responses, 13.3% of parents reported concerns about their child’s emotional and psychological health. By 2017, the percentage of parents reporting concerns decreased slightly, to 12.6%.</w:t>
      </w:r>
    </w:p>
    <w:p w:rsidR="00E76CFE" w:rsidRDefault="00E76CFE" w:rsidP="00E76CFE">
      <w:r>
        <w:t>*The Strengths and Difficulties Questionnaire (SDQ) is a brief behavioural screening questionnaire that includes questions on 25 psychological attributes, divided between five scales: emotional symptoms, conduct problems, hyperactivity, peer problems, and, prosocial.</w:t>
      </w:r>
    </w:p>
    <w:tbl>
      <w:tblPr>
        <w:tblStyle w:val="TableGrid"/>
        <w:tblW w:w="0" w:type="auto"/>
        <w:tblLook w:val="04A0" w:firstRow="1" w:lastRow="0" w:firstColumn="1" w:lastColumn="0" w:noHBand="0" w:noVBand="1"/>
        <w:tblDescription w:val="Psychological health and wellbeing"/>
      </w:tblPr>
      <w:tblGrid>
        <w:gridCol w:w="1696"/>
        <w:gridCol w:w="4820"/>
      </w:tblGrid>
      <w:tr w:rsidR="002C68E1" w:rsidTr="00784BCF">
        <w:tc>
          <w:tcPr>
            <w:tcW w:w="1696" w:type="dxa"/>
          </w:tcPr>
          <w:p w:rsidR="002C68E1" w:rsidRPr="00784BCF" w:rsidRDefault="002C68E1" w:rsidP="00E76CFE">
            <w:pPr>
              <w:rPr>
                <w:b/>
              </w:rPr>
            </w:pPr>
            <w:r w:rsidRPr="00784BCF">
              <w:rPr>
                <w:b/>
              </w:rPr>
              <w:t>Year</w:t>
            </w:r>
          </w:p>
        </w:tc>
        <w:tc>
          <w:tcPr>
            <w:tcW w:w="4820" w:type="dxa"/>
          </w:tcPr>
          <w:p w:rsidR="002C68E1" w:rsidRPr="00784BCF" w:rsidRDefault="002C68E1" w:rsidP="00784BCF">
            <w:pPr>
              <w:rPr>
                <w:b/>
              </w:rPr>
            </w:pPr>
            <w:r w:rsidRPr="00784BCF">
              <w:rPr>
                <w:b/>
              </w:rPr>
              <w:t xml:space="preserve">Proportion of </w:t>
            </w:r>
            <w:r w:rsidR="00784BCF" w:rsidRPr="00784BCF">
              <w:rPr>
                <w:b/>
              </w:rPr>
              <w:t>parents reporting concerns about their child’s emotional and psychological health</w:t>
            </w:r>
          </w:p>
        </w:tc>
      </w:tr>
      <w:tr w:rsidR="002C68E1" w:rsidTr="00784BCF">
        <w:tc>
          <w:tcPr>
            <w:tcW w:w="1696" w:type="dxa"/>
          </w:tcPr>
          <w:p w:rsidR="002C68E1" w:rsidRDefault="002C68E1" w:rsidP="00E76CFE">
            <w:r>
              <w:t>2013</w:t>
            </w:r>
          </w:p>
        </w:tc>
        <w:tc>
          <w:tcPr>
            <w:tcW w:w="4820" w:type="dxa"/>
          </w:tcPr>
          <w:p w:rsidR="002C68E1" w:rsidRDefault="002C68E1" w:rsidP="00E76CFE">
            <w:r>
              <w:t>13.3%</w:t>
            </w:r>
          </w:p>
        </w:tc>
      </w:tr>
      <w:tr w:rsidR="002C68E1" w:rsidTr="00784BCF">
        <w:tc>
          <w:tcPr>
            <w:tcW w:w="1696" w:type="dxa"/>
          </w:tcPr>
          <w:p w:rsidR="002C68E1" w:rsidRDefault="002C68E1" w:rsidP="00E76CFE">
            <w:r>
              <w:t>2014</w:t>
            </w:r>
          </w:p>
        </w:tc>
        <w:tc>
          <w:tcPr>
            <w:tcW w:w="4820" w:type="dxa"/>
          </w:tcPr>
          <w:p w:rsidR="002C68E1" w:rsidRDefault="00784BCF" w:rsidP="00E76CFE">
            <w:r>
              <w:t>13.5%</w:t>
            </w:r>
          </w:p>
        </w:tc>
      </w:tr>
      <w:tr w:rsidR="002C68E1" w:rsidTr="00784BCF">
        <w:tc>
          <w:tcPr>
            <w:tcW w:w="1696" w:type="dxa"/>
          </w:tcPr>
          <w:p w:rsidR="002C68E1" w:rsidRDefault="002C68E1" w:rsidP="00E76CFE">
            <w:r>
              <w:t>2015</w:t>
            </w:r>
          </w:p>
        </w:tc>
        <w:tc>
          <w:tcPr>
            <w:tcW w:w="4820" w:type="dxa"/>
          </w:tcPr>
          <w:p w:rsidR="002C68E1" w:rsidRDefault="00784BCF" w:rsidP="00E76CFE">
            <w:r>
              <w:t>13.0%</w:t>
            </w:r>
          </w:p>
        </w:tc>
      </w:tr>
      <w:tr w:rsidR="002C68E1" w:rsidTr="00784BCF">
        <w:tc>
          <w:tcPr>
            <w:tcW w:w="1696" w:type="dxa"/>
          </w:tcPr>
          <w:p w:rsidR="002C68E1" w:rsidRDefault="002C68E1" w:rsidP="00E76CFE">
            <w:r>
              <w:t>2016</w:t>
            </w:r>
          </w:p>
        </w:tc>
        <w:tc>
          <w:tcPr>
            <w:tcW w:w="4820" w:type="dxa"/>
          </w:tcPr>
          <w:p w:rsidR="002C68E1" w:rsidRDefault="00784BCF" w:rsidP="00784BCF">
            <w:r>
              <w:t>12.6%</w:t>
            </w:r>
          </w:p>
        </w:tc>
      </w:tr>
      <w:tr w:rsidR="002C68E1" w:rsidTr="00784BCF">
        <w:tc>
          <w:tcPr>
            <w:tcW w:w="1696" w:type="dxa"/>
          </w:tcPr>
          <w:p w:rsidR="002C68E1" w:rsidRDefault="002C68E1" w:rsidP="00E76CFE">
            <w:r>
              <w:t>2017</w:t>
            </w:r>
          </w:p>
        </w:tc>
        <w:tc>
          <w:tcPr>
            <w:tcW w:w="4820" w:type="dxa"/>
          </w:tcPr>
          <w:p w:rsidR="002C68E1" w:rsidRDefault="00F418D0" w:rsidP="00E76CFE">
            <w:r>
              <w:t>12.6</w:t>
            </w:r>
            <w:r w:rsidR="002C68E1">
              <w:t>%</w:t>
            </w:r>
          </w:p>
        </w:tc>
      </w:tr>
    </w:tbl>
    <w:p w:rsidR="00FB3924" w:rsidRDefault="00FB3924" w:rsidP="00FB3924">
      <w:pPr>
        <w:rPr>
          <w:rFonts w:ascii="VIC Light" w:hAnsi="VIC Light" w:cs="VIC Light"/>
          <w:color w:val="000000"/>
        </w:rPr>
      </w:pPr>
    </w:p>
    <w:p w:rsidR="00FB3924" w:rsidRDefault="00FB3924" w:rsidP="00E76CFE">
      <w:pPr>
        <w:pStyle w:val="Heading2"/>
      </w:pPr>
      <w:r>
        <w:t>Reported concerns about oral health, vision and allergies</w:t>
      </w:r>
    </w:p>
    <w:p w:rsidR="00E76CFE" w:rsidRDefault="00E76CFE" w:rsidP="00E76CFE">
      <w:r>
        <w:t xml:space="preserve">Since 2013, the proportion of parents reporting concerns about their child’s vision have decreased slightly, while concerns about oral health have remained relatively stable. </w:t>
      </w:r>
    </w:p>
    <w:p w:rsidR="00FB3924" w:rsidRDefault="00E76CFE" w:rsidP="00E76CFE">
      <w:r>
        <w:t xml:space="preserve">The proportion of students with a known allergy has declined. </w:t>
      </w:r>
    </w:p>
    <w:p w:rsidR="00784BCF" w:rsidRPr="00784BCF" w:rsidRDefault="00784BCF" w:rsidP="00E76CFE">
      <w:pPr>
        <w:rPr>
          <w:rStyle w:val="Strong"/>
        </w:rPr>
      </w:pPr>
      <w:r>
        <w:rPr>
          <w:rStyle w:val="Strong"/>
        </w:rPr>
        <w:t xml:space="preserve">Proportion of parents reporting concerns about their child’s oral health, allergies and vision, </w:t>
      </w:r>
      <w:r w:rsidR="007D0C62">
        <w:rPr>
          <w:rStyle w:val="Strong"/>
        </w:rPr>
        <w:t xml:space="preserve">SEHQ, </w:t>
      </w:r>
      <w:r>
        <w:rPr>
          <w:rStyle w:val="Strong"/>
        </w:rPr>
        <w:t>2013-2017</w:t>
      </w:r>
    </w:p>
    <w:tbl>
      <w:tblPr>
        <w:tblStyle w:val="TableGrid"/>
        <w:tblW w:w="0" w:type="auto"/>
        <w:tblLook w:val="04A0" w:firstRow="1" w:lastRow="0" w:firstColumn="1" w:lastColumn="0" w:noHBand="0" w:noVBand="1"/>
        <w:tblDescription w:val="Reported concerns about oral health, vision and allergies"/>
      </w:tblPr>
      <w:tblGrid>
        <w:gridCol w:w="1502"/>
        <w:gridCol w:w="1502"/>
        <w:gridCol w:w="1503"/>
        <w:gridCol w:w="1503"/>
        <w:gridCol w:w="1503"/>
        <w:gridCol w:w="1503"/>
      </w:tblGrid>
      <w:tr w:rsidR="002C68E1" w:rsidTr="002C68E1">
        <w:tc>
          <w:tcPr>
            <w:tcW w:w="1502" w:type="dxa"/>
          </w:tcPr>
          <w:p w:rsidR="002C68E1" w:rsidRDefault="002C68E1" w:rsidP="00E76CFE">
            <w:bookmarkStart w:id="0" w:name="_GoBack" w:colFirst="0" w:colLast="6"/>
          </w:p>
        </w:tc>
        <w:tc>
          <w:tcPr>
            <w:tcW w:w="1502" w:type="dxa"/>
          </w:tcPr>
          <w:p w:rsidR="002C68E1" w:rsidRPr="00E76CFE" w:rsidRDefault="002C68E1" w:rsidP="00E76CFE">
            <w:pPr>
              <w:rPr>
                <w:b/>
              </w:rPr>
            </w:pPr>
            <w:r w:rsidRPr="00E76CFE">
              <w:rPr>
                <w:b/>
              </w:rPr>
              <w:t>2013</w:t>
            </w:r>
          </w:p>
        </w:tc>
        <w:tc>
          <w:tcPr>
            <w:tcW w:w="1503" w:type="dxa"/>
          </w:tcPr>
          <w:p w:rsidR="002C68E1" w:rsidRPr="00E76CFE" w:rsidRDefault="002C68E1" w:rsidP="00E76CFE">
            <w:pPr>
              <w:rPr>
                <w:b/>
              </w:rPr>
            </w:pPr>
            <w:r w:rsidRPr="00E76CFE">
              <w:rPr>
                <w:b/>
              </w:rPr>
              <w:t>2014</w:t>
            </w:r>
          </w:p>
        </w:tc>
        <w:tc>
          <w:tcPr>
            <w:tcW w:w="1503" w:type="dxa"/>
          </w:tcPr>
          <w:p w:rsidR="002C68E1" w:rsidRPr="00E76CFE" w:rsidRDefault="002C68E1" w:rsidP="00E76CFE">
            <w:pPr>
              <w:rPr>
                <w:b/>
              </w:rPr>
            </w:pPr>
            <w:r w:rsidRPr="00E76CFE">
              <w:rPr>
                <w:b/>
              </w:rPr>
              <w:t>2015</w:t>
            </w:r>
          </w:p>
        </w:tc>
        <w:tc>
          <w:tcPr>
            <w:tcW w:w="1503" w:type="dxa"/>
          </w:tcPr>
          <w:p w:rsidR="002C68E1" w:rsidRPr="00E76CFE" w:rsidRDefault="002C68E1" w:rsidP="00E76CFE">
            <w:pPr>
              <w:rPr>
                <w:b/>
              </w:rPr>
            </w:pPr>
            <w:r w:rsidRPr="00E76CFE">
              <w:rPr>
                <w:b/>
              </w:rPr>
              <w:t>2016</w:t>
            </w:r>
          </w:p>
        </w:tc>
        <w:tc>
          <w:tcPr>
            <w:tcW w:w="1503" w:type="dxa"/>
          </w:tcPr>
          <w:p w:rsidR="002C68E1" w:rsidRPr="00E76CFE" w:rsidRDefault="002C68E1" w:rsidP="00E76CFE">
            <w:pPr>
              <w:rPr>
                <w:b/>
              </w:rPr>
            </w:pPr>
            <w:r w:rsidRPr="00E76CFE">
              <w:rPr>
                <w:b/>
              </w:rPr>
              <w:t>2017</w:t>
            </w:r>
          </w:p>
        </w:tc>
      </w:tr>
      <w:tr w:rsidR="002C68E1" w:rsidTr="002C68E1">
        <w:tc>
          <w:tcPr>
            <w:tcW w:w="1502" w:type="dxa"/>
          </w:tcPr>
          <w:p w:rsidR="002C68E1" w:rsidRPr="00E76CFE" w:rsidRDefault="002C68E1" w:rsidP="00E76CFE">
            <w:pPr>
              <w:rPr>
                <w:b/>
              </w:rPr>
            </w:pPr>
            <w:r w:rsidRPr="00E76CFE">
              <w:rPr>
                <w:b/>
              </w:rPr>
              <w:t>Oral health</w:t>
            </w:r>
          </w:p>
        </w:tc>
        <w:tc>
          <w:tcPr>
            <w:tcW w:w="1502" w:type="dxa"/>
          </w:tcPr>
          <w:p w:rsidR="002C68E1" w:rsidRDefault="002C68E1" w:rsidP="00E76CFE">
            <w:r>
              <w:t>14.6%</w:t>
            </w:r>
          </w:p>
        </w:tc>
        <w:tc>
          <w:tcPr>
            <w:tcW w:w="1503" w:type="dxa"/>
          </w:tcPr>
          <w:p w:rsidR="002C68E1" w:rsidRDefault="00784BCF" w:rsidP="00E76CFE">
            <w:r>
              <w:t>14.5%</w:t>
            </w:r>
          </w:p>
        </w:tc>
        <w:tc>
          <w:tcPr>
            <w:tcW w:w="1503" w:type="dxa"/>
          </w:tcPr>
          <w:p w:rsidR="002C68E1" w:rsidRDefault="00784BCF" w:rsidP="00E76CFE">
            <w:r>
              <w:t>14.3%</w:t>
            </w:r>
          </w:p>
        </w:tc>
        <w:tc>
          <w:tcPr>
            <w:tcW w:w="1503" w:type="dxa"/>
          </w:tcPr>
          <w:p w:rsidR="002C68E1" w:rsidRDefault="00784BCF" w:rsidP="00E76CFE">
            <w:r>
              <w:t>13.8%</w:t>
            </w:r>
          </w:p>
        </w:tc>
        <w:tc>
          <w:tcPr>
            <w:tcW w:w="1503" w:type="dxa"/>
          </w:tcPr>
          <w:p w:rsidR="002C68E1" w:rsidRDefault="002C68E1" w:rsidP="00E76CFE">
            <w:r>
              <w:t>14</w:t>
            </w:r>
            <w:r w:rsidR="00784BCF">
              <w:t>.0</w:t>
            </w:r>
            <w:r>
              <w:t>%</w:t>
            </w:r>
          </w:p>
        </w:tc>
      </w:tr>
      <w:tr w:rsidR="002C68E1" w:rsidTr="002C68E1">
        <w:tc>
          <w:tcPr>
            <w:tcW w:w="1502" w:type="dxa"/>
          </w:tcPr>
          <w:p w:rsidR="002C68E1" w:rsidRPr="00E76CFE" w:rsidRDefault="002C68E1" w:rsidP="00E76CFE">
            <w:pPr>
              <w:rPr>
                <w:b/>
              </w:rPr>
            </w:pPr>
            <w:r w:rsidRPr="00E76CFE">
              <w:rPr>
                <w:b/>
              </w:rPr>
              <w:t xml:space="preserve">Allergies </w:t>
            </w:r>
          </w:p>
        </w:tc>
        <w:tc>
          <w:tcPr>
            <w:tcW w:w="1502" w:type="dxa"/>
          </w:tcPr>
          <w:p w:rsidR="002C68E1" w:rsidRDefault="002C68E1" w:rsidP="00E76CFE">
            <w:r>
              <w:t>10.8%</w:t>
            </w:r>
          </w:p>
        </w:tc>
        <w:tc>
          <w:tcPr>
            <w:tcW w:w="1503" w:type="dxa"/>
          </w:tcPr>
          <w:p w:rsidR="002C68E1" w:rsidRDefault="00784BCF" w:rsidP="00E76CFE">
            <w:r>
              <w:t>10.5%</w:t>
            </w:r>
          </w:p>
        </w:tc>
        <w:tc>
          <w:tcPr>
            <w:tcW w:w="1503" w:type="dxa"/>
          </w:tcPr>
          <w:p w:rsidR="002C68E1" w:rsidRDefault="00784BCF" w:rsidP="00E76CFE">
            <w:r>
              <w:t>10.0%</w:t>
            </w:r>
          </w:p>
        </w:tc>
        <w:tc>
          <w:tcPr>
            <w:tcW w:w="1503" w:type="dxa"/>
          </w:tcPr>
          <w:p w:rsidR="002C68E1" w:rsidRDefault="00784BCF" w:rsidP="00E76CFE">
            <w:r>
              <w:t>9.2%</w:t>
            </w:r>
          </w:p>
        </w:tc>
        <w:tc>
          <w:tcPr>
            <w:tcW w:w="1503" w:type="dxa"/>
          </w:tcPr>
          <w:p w:rsidR="002C68E1" w:rsidRDefault="002C68E1" w:rsidP="00E76CFE">
            <w:r>
              <w:t>9.2%</w:t>
            </w:r>
          </w:p>
        </w:tc>
      </w:tr>
      <w:tr w:rsidR="002C68E1" w:rsidTr="002C68E1">
        <w:tc>
          <w:tcPr>
            <w:tcW w:w="1502" w:type="dxa"/>
          </w:tcPr>
          <w:p w:rsidR="002C68E1" w:rsidRPr="00E76CFE" w:rsidRDefault="002C68E1" w:rsidP="00E76CFE">
            <w:pPr>
              <w:rPr>
                <w:b/>
              </w:rPr>
            </w:pPr>
            <w:r w:rsidRPr="00E76CFE">
              <w:rPr>
                <w:b/>
              </w:rPr>
              <w:t xml:space="preserve">Vision </w:t>
            </w:r>
          </w:p>
        </w:tc>
        <w:tc>
          <w:tcPr>
            <w:tcW w:w="1502" w:type="dxa"/>
          </w:tcPr>
          <w:p w:rsidR="002C68E1" w:rsidRDefault="002C68E1" w:rsidP="00E76CFE">
            <w:r>
              <w:t>7.9%</w:t>
            </w:r>
          </w:p>
        </w:tc>
        <w:tc>
          <w:tcPr>
            <w:tcW w:w="1503" w:type="dxa"/>
          </w:tcPr>
          <w:p w:rsidR="002C68E1" w:rsidRDefault="00784BCF" w:rsidP="00E76CFE">
            <w:r>
              <w:t>8.0%</w:t>
            </w:r>
          </w:p>
        </w:tc>
        <w:tc>
          <w:tcPr>
            <w:tcW w:w="1503" w:type="dxa"/>
          </w:tcPr>
          <w:p w:rsidR="002C68E1" w:rsidRDefault="00784BCF" w:rsidP="00E76CFE">
            <w:r>
              <w:t>7.6%</w:t>
            </w:r>
          </w:p>
        </w:tc>
        <w:tc>
          <w:tcPr>
            <w:tcW w:w="1503" w:type="dxa"/>
          </w:tcPr>
          <w:p w:rsidR="002C68E1" w:rsidRDefault="00784BCF" w:rsidP="00E76CFE">
            <w:r>
              <w:t>7.2%</w:t>
            </w:r>
          </w:p>
        </w:tc>
        <w:tc>
          <w:tcPr>
            <w:tcW w:w="1503" w:type="dxa"/>
          </w:tcPr>
          <w:p w:rsidR="002C68E1" w:rsidRDefault="002C68E1" w:rsidP="00E76CFE">
            <w:r>
              <w:t>6.9%</w:t>
            </w:r>
          </w:p>
        </w:tc>
      </w:tr>
      <w:bookmarkEnd w:id="0"/>
    </w:tbl>
    <w:p w:rsidR="002C68E1" w:rsidRDefault="002C68E1" w:rsidP="00E76CFE"/>
    <w:p w:rsidR="00FB3924" w:rsidRDefault="00FB3924" w:rsidP="00E76CFE">
      <w:pPr>
        <w:pStyle w:val="Heading2"/>
      </w:pPr>
      <w:r>
        <w:t>Risks of developmental or behavioural problems</w:t>
      </w:r>
    </w:p>
    <w:p w:rsidR="00FB3924" w:rsidRPr="00665A69" w:rsidRDefault="00665A69" w:rsidP="00E76CFE">
      <w:r w:rsidRPr="00665A69">
        <w:rPr>
          <w:rStyle w:val="A6"/>
          <w:rFonts w:cstheme="minorBidi"/>
          <w:color w:val="auto"/>
          <w:sz w:val="22"/>
          <w:szCs w:val="22"/>
        </w:rPr>
        <w:t xml:space="preserve">Based on PEDS* responses from parents, </w:t>
      </w:r>
      <w:r w:rsidRPr="00665A69">
        <w:rPr>
          <w:rStyle w:val="A18"/>
          <w:rFonts w:asciiTheme="minorHAnsi" w:hAnsiTheme="minorHAnsi" w:cstheme="minorBidi"/>
          <w:color w:val="auto"/>
          <w:sz w:val="22"/>
          <w:szCs w:val="22"/>
        </w:rPr>
        <w:t>the proportion of incoming students at risk of developmental or behavioural issues has remained stable between 2013 and 2017.</w:t>
      </w:r>
    </w:p>
    <w:p w:rsidR="00665A69" w:rsidRPr="00665A69" w:rsidRDefault="00665A69" w:rsidP="00665A69">
      <w:pPr>
        <w:pStyle w:val="ListParagraph"/>
        <w:numPr>
          <w:ilvl w:val="0"/>
          <w:numId w:val="5"/>
        </w:numPr>
        <w:rPr>
          <w:rStyle w:val="A3"/>
          <w:b w:val="0"/>
        </w:rPr>
      </w:pPr>
      <w:r w:rsidRPr="00665A69">
        <w:rPr>
          <w:rStyle w:val="A3"/>
          <w:b w:val="0"/>
        </w:rPr>
        <w:t>28.6% of children were assessed as being at moderate risk of developmental or behavioural problems in 2017</w:t>
      </w:r>
      <w:r>
        <w:rPr>
          <w:rStyle w:val="A3"/>
          <w:b w:val="0"/>
        </w:rPr>
        <w:t>.</w:t>
      </w:r>
    </w:p>
    <w:p w:rsidR="00665A69" w:rsidRDefault="00665A69" w:rsidP="00665A69">
      <w:pPr>
        <w:pStyle w:val="ListParagraph"/>
        <w:numPr>
          <w:ilvl w:val="0"/>
          <w:numId w:val="5"/>
        </w:numPr>
        <w:rPr>
          <w:rStyle w:val="A3"/>
          <w:b w:val="0"/>
        </w:rPr>
      </w:pPr>
      <w:r w:rsidRPr="00665A69">
        <w:rPr>
          <w:rStyle w:val="A3"/>
          <w:b w:val="0"/>
        </w:rPr>
        <w:t>15.5% of children were assessed as being at high risk of developmental or behavioural problems in 2017</w:t>
      </w:r>
      <w:r>
        <w:rPr>
          <w:rStyle w:val="A3"/>
          <w:b w:val="0"/>
        </w:rPr>
        <w:t>.</w:t>
      </w:r>
    </w:p>
    <w:p w:rsidR="00665A69" w:rsidRPr="00665A69" w:rsidRDefault="00665A69" w:rsidP="00665A69">
      <w:pPr>
        <w:pStyle w:val="ListParagraph"/>
        <w:numPr>
          <w:ilvl w:val="0"/>
          <w:numId w:val="5"/>
        </w:numPr>
        <w:rPr>
          <w:rStyle w:val="A3"/>
          <w:b w:val="0"/>
        </w:rPr>
      </w:pPr>
      <w:r w:rsidRPr="00665A69">
        <w:rPr>
          <w:rStyle w:val="A3"/>
          <w:b w:val="0"/>
        </w:rPr>
        <w:t>14.1% of parents reported that their child has difficulties with speech and language in 2017.</w:t>
      </w:r>
    </w:p>
    <w:p w:rsidR="00665A69" w:rsidRDefault="00665A69" w:rsidP="00665A69">
      <w:pPr>
        <w:rPr>
          <w:rStyle w:val="A3"/>
          <w:b w:val="0"/>
        </w:rPr>
      </w:pPr>
      <w:r>
        <w:rPr>
          <w:rStyle w:val="A3"/>
          <w:b w:val="0"/>
        </w:rPr>
        <w:t xml:space="preserve">*The </w:t>
      </w:r>
      <w:r>
        <w:rPr>
          <w:rStyle w:val="A3"/>
        </w:rPr>
        <w:t>Parental Evaluation of Developmental Status</w:t>
      </w:r>
      <w:r>
        <w:rPr>
          <w:rStyle w:val="A3"/>
          <w:b w:val="0"/>
        </w:rPr>
        <w:t xml:space="preserve"> (PEDS) is a method for detecting developmental and behavioural problems in children from ages 0-8. The PEDS can also be used as an informal means to elicit and respond to parent concerns.</w:t>
      </w:r>
    </w:p>
    <w:p w:rsidR="00665A69" w:rsidRDefault="00665A69" w:rsidP="00665A69">
      <w:pPr>
        <w:rPr>
          <w:rStyle w:val="A3"/>
          <w:b w:val="0"/>
        </w:rPr>
      </w:pPr>
      <w:r>
        <w:rPr>
          <w:rStyle w:val="A3"/>
          <w:b w:val="0"/>
        </w:rPr>
        <w:t xml:space="preserve">Children assessed as having speech and language difficulties are more than three times as likely to demonstrate social-emotional and behavioural issues as those without speech and language difficulties (Hughes, </w:t>
      </w:r>
      <w:proofErr w:type="spellStart"/>
      <w:r>
        <w:rPr>
          <w:rStyle w:val="A3"/>
          <w:b w:val="0"/>
        </w:rPr>
        <w:t>Sciberras</w:t>
      </w:r>
      <w:proofErr w:type="spellEnd"/>
      <w:r>
        <w:rPr>
          <w:rStyle w:val="A3"/>
          <w:b w:val="0"/>
        </w:rPr>
        <w:t xml:space="preserve"> and </w:t>
      </w:r>
      <w:proofErr w:type="spellStart"/>
      <w:r>
        <w:rPr>
          <w:rStyle w:val="A3"/>
          <w:b w:val="0"/>
        </w:rPr>
        <w:t>Goldfeld</w:t>
      </w:r>
      <w:proofErr w:type="spellEnd"/>
      <w:r>
        <w:rPr>
          <w:rStyle w:val="A3"/>
          <w:b w:val="0"/>
        </w:rPr>
        <w:t xml:space="preserve">, 2016). </w:t>
      </w:r>
    </w:p>
    <w:p w:rsidR="00665A69" w:rsidRDefault="00665A69" w:rsidP="00665A69">
      <w:pPr>
        <w:rPr>
          <w:rStyle w:val="A3"/>
          <w:b w:val="0"/>
        </w:rPr>
      </w:pPr>
      <w:r>
        <w:rPr>
          <w:rStyle w:val="A3"/>
          <w:b w:val="0"/>
        </w:rPr>
        <w:lastRenderedPageBreak/>
        <w:t xml:space="preserve">DET analysis shows that on average, children who have speech and language difficulties at school entry have poorer educational achievement in National Assessment Program – Literacy and Numeracy (NAPLAN) testing in Year 3. </w:t>
      </w:r>
    </w:p>
    <w:p w:rsidR="00784BCF" w:rsidRDefault="00784BCF" w:rsidP="00665A69">
      <w:pPr>
        <w:rPr>
          <w:rStyle w:val="A3"/>
          <w:b w:val="0"/>
        </w:rPr>
      </w:pPr>
    </w:p>
    <w:p w:rsidR="00E76CFE" w:rsidRPr="00E76CFE" w:rsidRDefault="00E76CFE" w:rsidP="00E76CFE">
      <w:pPr>
        <w:pStyle w:val="Heading2"/>
        <w:rPr>
          <w:rStyle w:val="A3"/>
          <w:rFonts w:cstheme="majorBidi"/>
          <w:b w:val="0"/>
          <w:bCs w:val="0"/>
          <w:color w:val="2E74B5" w:themeColor="accent1" w:themeShade="BF"/>
          <w:sz w:val="26"/>
          <w:szCs w:val="26"/>
        </w:rPr>
      </w:pPr>
      <w:r w:rsidRPr="00E76CFE">
        <w:rPr>
          <w:rStyle w:val="A3"/>
          <w:rFonts w:cstheme="majorBidi"/>
          <w:b w:val="0"/>
          <w:bCs w:val="0"/>
          <w:color w:val="2E74B5" w:themeColor="accent1" w:themeShade="BF"/>
          <w:sz w:val="26"/>
          <w:szCs w:val="26"/>
        </w:rPr>
        <w:t>Find out more</w:t>
      </w:r>
    </w:p>
    <w:p w:rsidR="00FB3924" w:rsidRPr="00E76CFE" w:rsidRDefault="00E76CFE" w:rsidP="00E76CFE">
      <w:pPr>
        <w:rPr>
          <w:rFonts w:cs="VIC SemiBold"/>
          <w:bCs/>
          <w:color w:val="000000"/>
        </w:rPr>
      </w:pPr>
      <w:r>
        <w:rPr>
          <w:rStyle w:val="A3"/>
          <w:b w:val="0"/>
        </w:rPr>
        <w:t xml:space="preserve">Contact the Performance Insights Team: </w:t>
      </w:r>
      <w:hyperlink r:id="rId8" w:history="1">
        <w:r w:rsidRPr="00110636">
          <w:rPr>
            <w:rStyle w:val="Hyperlink"/>
            <w:rFonts w:cs="VIC SemiBold"/>
          </w:rPr>
          <w:t>insights.and.evidence@edumail.vic.gov.au</w:t>
        </w:r>
      </w:hyperlink>
      <w:r>
        <w:rPr>
          <w:rStyle w:val="A3"/>
          <w:b w:val="0"/>
        </w:rPr>
        <w:t xml:space="preserve"> </w:t>
      </w:r>
      <w:r w:rsidR="00FB3924">
        <w:t xml:space="preserve"> </w:t>
      </w:r>
    </w:p>
    <w:sectPr w:rsidR="00FB3924" w:rsidRPr="00E76C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IC Light">
    <w:altName w:val="VIC Light"/>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VIC">
    <w:altName w:val="VIC"/>
    <w:panose1 w:val="00000000000000000000"/>
    <w:charset w:val="00"/>
    <w:family w:val="swiss"/>
    <w:notTrueType/>
    <w:pitch w:val="default"/>
    <w:sig w:usb0="00000003" w:usb1="00000000" w:usb2="00000000" w:usb3="00000000" w:csb0="00000001" w:csb1="00000000"/>
  </w:font>
  <w:font w:name="VIC SemiBold">
    <w:altName w:val="VIC Semi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613DE"/>
    <w:multiLevelType w:val="hybridMultilevel"/>
    <w:tmpl w:val="B7BC2AD6"/>
    <w:lvl w:ilvl="0" w:tplc="4D02D98A">
      <w:numFmt w:val="bullet"/>
      <w:lvlText w:val=""/>
      <w:lvlJc w:val="left"/>
      <w:pPr>
        <w:ind w:left="720" w:hanging="360"/>
      </w:pPr>
      <w:rPr>
        <w:rFonts w:ascii="Symbol" w:eastAsiaTheme="minorHAnsi" w:hAnsi="Symbol" w:cs="VIC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F26878"/>
    <w:multiLevelType w:val="hybridMultilevel"/>
    <w:tmpl w:val="2104F02C"/>
    <w:lvl w:ilvl="0" w:tplc="4D02D98A">
      <w:numFmt w:val="bullet"/>
      <w:lvlText w:val=""/>
      <w:lvlJc w:val="left"/>
      <w:pPr>
        <w:ind w:left="720" w:hanging="360"/>
      </w:pPr>
      <w:rPr>
        <w:rFonts w:ascii="Symbol" w:eastAsiaTheme="minorHAnsi" w:hAnsi="Symbol" w:cs="VIC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1FB3127"/>
    <w:multiLevelType w:val="hybridMultilevel"/>
    <w:tmpl w:val="A6FCB18A"/>
    <w:lvl w:ilvl="0" w:tplc="4D02D98A">
      <w:numFmt w:val="bullet"/>
      <w:lvlText w:val=""/>
      <w:lvlJc w:val="left"/>
      <w:pPr>
        <w:ind w:left="720" w:hanging="360"/>
      </w:pPr>
      <w:rPr>
        <w:rFonts w:ascii="Symbol" w:eastAsiaTheme="minorHAnsi" w:hAnsi="Symbol" w:cs="VIC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74B4BDD"/>
    <w:multiLevelType w:val="hybridMultilevel"/>
    <w:tmpl w:val="5472F852"/>
    <w:lvl w:ilvl="0" w:tplc="4D02D98A">
      <w:numFmt w:val="bullet"/>
      <w:lvlText w:val=""/>
      <w:lvlJc w:val="left"/>
      <w:pPr>
        <w:ind w:left="720" w:hanging="360"/>
      </w:pPr>
      <w:rPr>
        <w:rFonts w:ascii="Symbol" w:eastAsiaTheme="minorHAnsi" w:hAnsi="Symbol" w:cs="VIC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EF67D71"/>
    <w:multiLevelType w:val="hybridMultilevel"/>
    <w:tmpl w:val="7BAA9216"/>
    <w:lvl w:ilvl="0" w:tplc="4D02D98A">
      <w:numFmt w:val="bullet"/>
      <w:lvlText w:val=""/>
      <w:lvlJc w:val="left"/>
      <w:pPr>
        <w:ind w:left="720" w:hanging="360"/>
      </w:pPr>
      <w:rPr>
        <w:rFonts w:ascii="Symbol" w:eastAsiaTheme="minorHAnsi" w:hAnsi="Symbol" w:cs="VIC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924"/>
    <w:rsid w:val="001F49F7"/>
    <w:rsid w:val="002C68E1"/>
    <w:rsid w:val="00665A69"/>
    <w:rsid w:val="00765ADA"/>
    <w:rsid w:val="00784BCF"/>
    <w:rsid w:val="007D0C62"/>
    <w:rsid w:val="009C776E"/>
    <w:rsid w:val="00C10A87"/>
    <w:rsid w:val="00D44DFF"/>
    <w:rsid w:val="00E2520F"/>
    <w:rsid w:val="00E76CFE"/>
    <w:rsid w:val="00F418D0"/>
    <w:rsid w:val="00FB39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A66CD9-CCD7-4EF1-93DD-A98A73A33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B39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B39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B3924"/>
    <w:pPr>
      <w:autoSpaceDE w:val="0"/>
      <w:autoSpaceDN w:val="0"/>
      <w:adjustRightInd w:val="0"/>
      <w:spacing w:after="0" w:line="240" w:lineRule="auto"/>
    </w:pPr>
    <w:rPr>
      <w:rFonts w:ascii="VIC" w:hAnsi="VIC" w:cs="VIC"/>
      <w:color w:val="000000"/>
      <w:sz w:val="24"/>
      <w:szCs w:val="24"/>
    </w:rPr>
  </w:style>
  <w:style w:type="character" w:customStyle="1" w:styleId="A2">
    <w:name w:val="A2"/>
    <w:uiPriority w:val="99"/>
    <w:rsid w:val="00FB3924"/>
    <w:rPr>
      <w:rFonts w:cs="VIC"/>
      <w:b/>
      <w:bCs/>
      <w:color w:val="000000"/>
      <w:sz w:val="33"/>
      <w:szCs w:val="33"/>
    </w:rPr>
  </w:style>
  <w:style w:type="paragraph" w:customStyle="1" w:styleId="Pa4">
    <w:name w:val="Pa4"/>
    <w:basedOn w:val="Default"/>
    <w:next w:val="Default"/>
    <w:uiPriority w:val="99"/>
    <w:rsid w:val="00FB3924"/>
    <w:pPr>
      <w:spacing w:line="221" w:lineRule="atLeast"/>
    </w:pPr>
    <w:rPr>
      <w:rFonts w:ascii="VIC SemiBold" w:hAnsi="VIC SemiBold" w:cstheme="minorBidi"/>
      <w:color w:val="auto"/>
    </w:rPr>
  </w:style>
  <w:style w:type="character" w:customStyle="1" w:styleId="A3">
    <w:name w:val="A3"/>
    <w:uiPriority w:val="99"/>
    <w:rsid w:val="00FB3924"/>
    <w:rPr>
      <w:rFonts w:cs="VIC SemiBold"/>
      <w:b/>
      <w:bCs/>
      <w:color w:val="000000"/>
      <w:sz w:val="22"/>
      <w:szCs w:val="22"/>
    </w:rPr>
  </w:style>
  <w:style w:type="character" w:customStyle="1" w:styleId="A15">
    <w:name w:val="A15"/>
    <w:uiPriority w:val="99"/>
    <w:rsid w:val="00FB3924"/>
    <w:rPr>
      <w:rFonts w:ascii="VIC" w:hAnsi="VIC" w:cs="VIC"/>
      <w:color w:val="000000"/>
      <w:sz w:val="17"/>
      <w:szCs w:val="17"/>
    </w:rPr>
  </w:style>
  <w:style w:type="character" w:styleId="Hyperlink">
    <w:name w:val="Hyperlink"/>
    <w:basedOn w:val="DefaultParagraphFont"/>
    <w:uiPriority w:val="99"/>
    <w:unhideWhenUsed/>
    <w:rsid w:val="00FB3924"/>
    <w:rPr>
      <w:color w:val="0563C1" w:themeColor="hyperlink"/>
      <w:u w:val="single"/>
    </w:rPr>
  </w:style>
  <w:style w:type="paragraph" w:styleId="Title">
    <w:name w:val="Title"/>
    <w:basedOn w:val="Normal"/>
    <w:next w:val="Normal"/>
    <w:link w:val="TitleChar"/>
    <w:uiPriority w:val="10"/>
    <w:qFormat/>
    <w:rsid w:val="00FB392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392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B392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B392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FB3924"/>
    <w:pPr>
      <w:ind w:left="720"/>
      <w:contextualSpacing/>
    </w:pPr>
  </w:style>
  <w:style w:type="character" w:customStyle="1" w:styleId="A6">
    <w:name w:val="A6"/>
    <w:uiPriority w:val="99"/>
    <w:rsid w:val="00FB3924"/>
    <w:rPr>
      <w:rFonts w:cs="VIC"/>
      <w:color w:val="000000"/>
      <w:sz w:val="19"/>
      <w:szCs w:val="19"/>
    </w:rPr>
  </w:style>
  <w:style w:type="character" w:customStyle="1" w:styleId="A10">
    <w:name w:val="A10"/>
    <w:uiPriority w:val="99"/>
    <w:rsid w:val="00FB3924"/>
    <w:rPr>
      <w:rFonts w:cs="VIC"/>
      <w:b/>
      <w:bCs/>
      <w:color w:val="000000"/>
      <w:sz w:val="26"/>
      <w:szCs w:val="26"/>
    </w:rPr>
  </w:style>
  <w:style w:type="character" w:customStyle="1" w:styleId="A18">
    <w:name w:val="A18"/>
    <w:uiPriority w:val="99"/>
    <w:rsid w:val="00FB3924"/>
    <w:rPr>
      <w:rFonts w:ascii="VIC" w:hAnsi="VIC" w:cs="VIC"/>
      <w:color w:val="000000"/>
      <w:sz w:val="23"/>
      <w:szCs w:val="23"/>
    </w:rPr>
  </w:style>
  <w:style w:type="character" w:customStyle="1" w:styleId="A17">
    <w:name w:val="A17"/>
    <w:uiPriority w:val="99"/>
    <w:rsid w:val="00FB3924"/>
    <w:rPr>
      <w:rFonts w:cs="VIC"/>
      <w:color w:val="000000"/>
      <w:sz w:val="16"/>
      <w:szCs w:val="16"/>
    </w:rPr>
  </w:style>
  <w:style w:type="table" w:styleId="TableGrid">
    <w:name w:val="Table Grid"/>
    <w:basedOn w:val="TableNormal"/>
    <w:uiPriority w:val="39"/>
    <w:rsid w:val="002C68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68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68E1"/>
    <w:rPr>
      <w:rFonts w:ascii="Segoe UI" w:hAnsi="Segoe UI" w:cs="Segoe UI"/>
      <w:sz w:val="18"/>
      <w:szCs w:val="18"/>
    </w:rPr>
  </w:style>
  <w:style w:type="paragraph" w:customStyle="1" w:styleId="Pa8">
    <w:name w:val="Pa8"/>
    <w:basedOn w:val="Default"/>
    <w:next w:val="Default"/>
    <w:uiPriority w:val="99"/>
    <w:rsid w:val="002C68E1"/>
    <w:pPr>
      <w:spacing w:line="151" w:lineRule="atLeast"/>
    </w:pPr>
    <w:rPr>
      <w:rFonts w:cstheme="minorBidi"/>
      <w:color w:val="auto"/>
    </w:rPr>
  </w:style>
  <w:style w:type="character" w:customStyle="1" w:styleId="A9">
    <w:name w:val="A9"/>
    <w:uiPriority w:val="99"/>
    <w:rsid w:val="002C68E1"/>
    <w:rPr>
      <w:rFonts w:cs="VIC"/>
      <w:b/>
      <w:bCs/>
      <w:color w:val="000000"/>
      <w:sz w:val="20"/>
      <w:szCs w:val="20"/>
    </w:rPr>
  </w:style>
  <w:style w:type="paragraph" w:styleId="NoSpacing">
    <w:name w:val="No Spacing"/>
    <w:uiPriority w:val="1"/>
    <w:qFormat/>
    <w:rsid w:val="00665A69"/>
    <w:pPr>
      <w:spacing w:after="0" w:line="240" w:lineRule="auto"/>
    </w:pPr>
  </w:style>
  <w:style w:type="character" w:styleId="Strong">
    <w:name w:val="Strong"/>
    <w:basedOn w:val="DefaultParagraphFont"/>
    <w:uiPriority w:val="22"/>
    <w:qFormat/>
    <w:rsid w:val="00784BCF"/>
    <w:rPr>
      <w:b/>
      <w:bCs/>
    </w:rPr>
  </w:style>
  <w:style w:type="character" w:styleId="CommentReference">
    <w:name w:val="annotation reference"/>
    <w:basedOn w:val="DefaultParagraphFont"/>
    <w:uiPriority w:val="99"/>
    <w:semiHidden/>
    <w:unhideWhenUsed/>
    <w:rsid w:val="001F49F7"/>
    <w:rPr>
      <w:sz w:val="16"/>
      <w:szCs w:val="16"/>
    </w:rPr>
  </w:style>
  <w:style w:type="paragraph" w:styleId="CommentText">
    <w:name w:val="annotation text"/>
    <w:basedOn w:val="Normal"/>
    <w:link w:val="CommentTextChar"/>
    <w:uiPriority w:val="99"/>
    <w:semiHidden/>
    <w:unhideWhenUsed/>
    <w:rsid w:val="001F49F7"/>
    <w:pPr>
      <w:spacing w:line="240" w:lineRule="auto"/>
    </w:pPr>
    <w:rPr>
      <w:sz w:val="20"/>
      <w:szCs w:val="20"/>
    </w:rPr>
  </w:style>
  <w:style w:type="character" w:customStyle="1" w:styleId="CommentTextChar">
    <w:name w:val="Comment Text Char"/>
    <w:basedOn w:val="DefaultParagraphFont"/>
    <w:link w:val="CommentText"/>
    <w:uiPriority w:val="99"/>
    <w:semiHidden/>
    <w:rsid w:val="001F49F7"/>
    <w:rPr>
      <w:sz w:val="20"/>
      <w:szCs w:val="20"/>
    </w:rPr>
  </w:style>
  <w:style w:type="paragraph" w:styleId="CommentSubject">
    <w:name w:val="annotation subject"/>
    <w:basedOn w:val="CommentText"/>
    <w:next w:val="CommentText"/>
    <w:link w:val="CommentSubjectChar"/>
    <w:uiPriority w:val="99"/>
    <w:semiHidden/>
    <w:unhideWhenUsed/>
    <w:rsid w:val="001F49F7"/>
    <w:rPr>
      <w:b/>
      <w:bCs/>
    </w:rPr>
  </w:style>
  <w:style w:type="character" w:customStyle="1" w:styleId="CommentSubjectChar">
    <w:name w:val="Comment Subject Char"/>
    <w:basedOn w:val="CommentTextChar"/>
    <w:link w:val="CommentSubject"/>
    <w:uiPriority w:val="99"/>
    <w:semiHidden/>
    <w:rsid w:val="001F49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ights.and.evidence@edumail.vic.gov.a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 xsi:nil="true"/>
    <a319977fc8504e09982f090ae1d7c602 xmlns="76b566cd-adb9-46c2-964b-22eba181fd0b">
      <Terms xmlns="http://schemas.microsoft.com/office/infopath/2007/PartnerControls"/>
    </a319977fc8504e09982f090ae1d7c602>
    <TaxCatchAll xmlns="cb9114c1-daad-44dd-acad-30f4246641f2"/>
    <DEECD_Expired xmlns="http://schemas.microsoft.com/sharepoint/v3">false</DEECD_Expired>
    <DEECD_Keywords xmlns="http://schemas.microsoft.com/sharepoint/v3" xsi:nil="true"/>
    <PublishingExpirationDate xmlns="http://schemas.microsoft.com/sharepoint/v3" xsi:nil="true"/>
    <DEECD_Description xmlns="http://schemas.microsoft.com/sharepoint/v3">Health and wellbeing trends of Victorian school entrants from 2013-2017</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73E2C7DF-5826-4B10-9BA4-1DBB8F9FE315}"/>
</file>

<file path=customXml/itemProps2.xml><?xml version="1.0" encoding="utf-8"?>
<ds:datastoreItem xmlns:ds="http://schemas.openxmlformats.org/officeDocument/2006/customXml" ds:itemID="{ADB64E22-1DEB-4197-AD02-AC4AE9A880EE}"/>
</file>

<file path=customXml/itemProps3.xml><?xml version="1.0" encoding="utf-8"?>
<ds:datastoreItem xmlns:ds="http://schemas.openxmlformats.org/officeDocument/2006/customXml" ds:itemID="{ACAE07E4-955C-450A-A40A-6A13CE350BD5}"/>
</file>

<file path=docProps/app.xml><?xml version="1.0" encoding="utf-8"?>
<Properties xmlns="http://schemas.openxmlformats.org/officeDocument/2006/extended-properties" xmlns:vt="http://schemas.openxmlformats.org/officeDocument/2006/docPropsVTypes">
  <Template>Normal</Template>
  <TotalTime>65</TotalTime>
  <Pages>3</Pages>
  <Words>659</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Stanley, Rosalind J</dc:creator>
  <cp:keywords/>
  <dc:description/>
  <cp:lastModifiedBy>Beck, Luke L</cp:lastModifiedBy>
  <cp:revision>4</cp:revision>
  <dcterms:created xsi:type="dcterms:W3CDTF">2018-11-08T22:51:00Z</dcterms:created>
  <dcterms:modified xsi:type="dcterms:W3CDTF">2018-11-29T04:36:00Z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