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DF2" w:rsidRPr="0007748B" w:rsidRDefault="00F67D82" w:rsidP="00C62DF2">
      <w:pPr>
        <w:jc w:val="both"/>
        <w:rPr>
          <w:rFonts w:cs="Calibri"/>
        </w:rPr>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4075430</wp:posOffset>
                </wp:positionH>
                <wp:positionV relativeFrom="paragraph">
                  <wp:posOffset>-51435</wp:posOffset>
                </wp:positionV>
                <wp:extent cx="2869565" cy="1267460"/>
                <wp:effectExtent l="0" t="0" r="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9565" cy="1267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DF2" w:rsidRDefault="00C62DF2" w:rsidP="00C62DF2">
                            <w:r>
                              <w:rPr>
                                <w:noProof/>
                                <w:lang w:eastAsia="en-AU"/>
                              </w:rPr>
                              <w:drawing>
                                <wp:inline distT="0" distB="0" distL="0" distR="0">
                                  <wp:extent cx="2676525" cy="1228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6525" cy="1228725"/>
                                          </a:xfrm>
                                          <a:prstGeom prst="rect">
                                            <a:avLst/>
                                          </a:prstGeom>
                                          <a:solidFill>
                                            <a:srgbClr val="1F497D"/>
                                          </a:solid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20.9pt;margin-top:-4.05pt;width:225.95pt;height:99.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" filled="f" stroked="f">
                <v:textbox>
                  <w:txbxContent>
                    <w:p w:rsidR="00C62DF2" w:rsidRDefault="00C62DF2" w:rsidP="00C62DF2">
                      <w:r>
                        <w:rPr>
                          <w:noProof/>
                          <w:lang w:eastAsia="en-AU"/>
                        </w:rPr>
                        <w:drawing>
                          <wp:inline distT="0" distB="0" distL="0" distR="0">
                            <wp:extent cx="2676525" cy="1228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6525" cy="1228725"/>
                                    </a:xfrm>
                                    <a:prstGeom prst="rect">
                                      <a:avLst/>
                                    </a:prstGeom>
                                    <a:solidFill>
                                      <a:srgbClr val="1F497D"/>
                                    </a:solidFill>
                                    <a:ln>
                                      <a:noFill/>
                                    </a:ln>
                                  </pic:spPr>
                                </pic:pic>
                              </a:graphicData>
                            </a:graphic>
                          </wp:inline>
                        </w:drawing>
                      </w:r>
                    </w:p>
                  </w:txbxContent>
                </v:textbox>
              </v:shape>
            </w:pict>
          </mc:Fallback>
        </mc:AlternateContent>
      </w:r>
      <w:r>
        <w:rPr>
          <w:rFonts w:cs="Calibri"/>
          <w:noProof/>
          <w:lang w:eastAsia="en-AU"/>
        </w:rPr>
        <mc:AlternateContent>
          <mc:Choice Requires="wps">
            <w:drawing>
              <wp:anchor distT="0" distB="0" distL="114300" distR="114300" simplePos="0" relativeHeight="251659264" behindDoc="0" locked="0" layoutInCell="1" allowOverlap="1">
                <wp:simplePos x="0" y="0"/>
                <wp:positionH relativeFrom="column">
                  <wp:posOffset>-708025</wp:posOffset>
                </wp:positionH>
                <wp:positionV relativeFrom="paragraph">
                  <wp:posOffset>-51435</wp:posOffset>
                </wp:positionV>
                <wp:extent cx="3479165" cy="1158240"/>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115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DF2" w:rsidRDefault="00C62DF2" w:rsidP="00C62DF2">
                            <w:r>
                              <w:rPr>
                                <w:noProof/>
                                <w:lang w:eastAsia="en-AU"/>
                              </w:rPr>
                              <w:drawing>
                                <wp:inline distT="0" distB="0" distL="0" distR="0">
                                  <wp:extent cx="3286125" cy="904875"/>
                                  <wp:effectExtent l="0" t="0" r="9525" b="9525"/>
                                  <wp:docPr id="3" name="Picture 3" descr="DEE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EC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6125" cy="904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55.75pt;margin-top:-4.05pt;width:273.95pt;height:91.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" filled="f" stroked="f">
                <v:textbox style="mso-fit-shape-to-text:t">
                  <w:txbxContent>
                    <w:p w:rsidR="00C62DF2" w:rsidRDefault="00C62DF2" w:rsidP="00C62DF2">
                      <w:r>
                        <w:rPr>
                          <w:noProof/>
                          <w:lang w:eastAsia="en-AU"/>
                        </w:rPr>
                        <w:drawing>
                          <wp:inline distT="0" distB="0" distL="0" distR="0">
                            <wp:extent cx="3286125" cy="904875"/>
                            <wp:effectExtent l="0" t="0" r="9525" b="9525"/>
                            <wp:docPr id="3" name="Picture 3" descr="DEE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EC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6125" cy="904875"/>
                                    </a:xfrm>
                                    <a:prstGeom prst="rect">
                                      <a:avLst/>
                                    </a:prstGeom>
                                    <a:noFill/>
                                    <a:ln>
                                      <a:noFill/>
                                    </a:ln>
                                  </pic:spPr>
                                </pic:pic>
                              </a:graphicData>
                            </a:graphic>
                          </wp:inline>
                        </w:drawing>
                      </w:r>
                    </w:p>
                  </w:txbxContent>
                </v:textbox>
              </v:shape>
            </w:pict>
          </mc:Fallback>
        </mc:AlternateContent>
      </w:r>
    </w:p>
    <w:p w:rsidR="00C62DF2" w:rsidRPr="0007748B" w:rsidRDefault="00C62DF2" w:rsidP="00C62DF2">
      <w:pPr>
        <w:jc w:val="both"/>
        <w:rPr>
          <w:rFonts w:cs="Calibri"/>
        </w:rPr>
      </w:pPr>
    </w:p>
    <w:p w:rsidR="00C62DF2" w:rsidRPr="0007748B" w:rsidRDefault="00C62DF2" w:rsidP="00C62DF2">
      <w:pPr>
        <w:jc w:val="both"/>
        <w:rPr>
          <w:rFonts w:cs="Calibri"/>
        </w:rPr>
      </w:pPr>
    </w:p>
    <w:p w:rsidR="00C62DF2" w:rsidRPr="0007748B" w:rsidRDefault="00F67D82" w:rsidP="00C62DF2">
      <w:pPr>
        <w:spacing w:after="120"/>
        <w:ind w:right="-1158"/>
        <w:jc w:val="right"/>
        <w:rPr>
          <w:rFonts w:cs="Calibri"/>
          <w:b/>
          <w:color w:val="005696"/>
          <w:spacing w:val="-7"/>
          <w:sz w:val="48"/>
          <w:szCs w:val="48"/>
        </w:rPr>
      </w:pP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-556895</wp:posOffset>
                </wp:positionH>
                <wp:positionV relativeFrom="paragraph">
                  <wp:posOffset>1905</wp:posOffset>
                </wp:positionV>
                <wp:extent cx="2410460" cy="193865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1938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DF2" w:rsidRDefault="00C62DF2" w:rsidP="00C62DF2">
                            <w:r>
                              <w:rPr>
                                <w:noProof/>
                                <w:lang w:eastAsia="en-AU"/>
                              </w:rPr>
                              <w:drawing>
                                <wp:inline distT="0" distB="0" distL="0" distR="0">
                                  <wp:extent cx="2162175" cy="1885950"/>
                                  <wp:effectExtent l="0" t="0" r="9525" b="0"/>
                                  <wp:docPr id="1" name="Picture 1" descr="0644 Research partnership-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644 Research partnership-logo-0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2175" cy="1885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 o:spid="_x0000_s1028" type="#_x0000_t202" style="position:absolute;left:0;text-align:left;margin-left:-43.85pt;margin-top:.15pt;width:189.8pt;height:152.6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X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" filled="f" stroked="f">
                <v:textbox>
                  <w:txbxContent>
                    <w:p w:rsidR="00C62DF2" w:rsidRDefault="00C62DF2" w:rsidP="00C62DF2">
                      <w:r>
                        <w:rPr>
                          <w:noProof/>
                          <w:lang w:eastAsia="en-AU"/>
                        </w:rPr>
                        <w:drawing>
                          <wp:inline distT="0" distB="0" distL="0" distR="0">
                            <wp:extent cx="2162175" cy="1885950"/>
                            <wp:effectExtent l="0" t="0" r="9525" b="0"/>
                            <wp:docPr id="1" name="Picture 1" descr="0644 Research partnership-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644 Research partnership-logo-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62175" cy="1885950"/>
                                    </a:xfrm>
                                    <a:prstGeom prst="rect">
                                      <a:avLst/>
                                    </a:prstGeom>
                                    <a:noFill/>
                                    <a:ln>
                                      <a:noFill/>
                                    </a:ln>
                                  </pic:spPr>
                                </pic:pic>
                              </a:graphicData>
                            </a:graphic>
                          </wp:inline>
                        </w:drawing>
                      </w:r>
                    </w:p>
                  </w:txbxContent>
                </v:textbox>
              </v:shape>
            </w:pict>
          </mc:Fallback>
        </mc:AlternateContent>
      </w:r>
    </w:p>
    <w:p w:rsidR="00C62DF2" w:rsidRDefault="00C62DF2" w:rsidP="00C62DF2">
      <w:pPr>
        <w:spacing w:after="120"/>
        <w:jc w:val="both"/>
        <w:rPr>
          <w:rFonts w:cs="Calibri"/>
          <w:b/>
          <w:color w:val="005696"/>
          <w:spacing w:val="-7"/>
          <w:sz w:val="48"/>
          <w:szCs w:val="48"/>
        </w:rPr>
      </w:pPr>
    </w:p>
    <w:p w:rsidR="00C62DF2" w:rsidRDefault="00C62DF2" w:rsidP="00C62DF2">
      <w:pPr>
        <w:spacing w:after="120"/>
        <w:jc w:val="right"/>
        <w:rPr>
          <w:rFonts w:cs="Calibri"/>
          <w:b/>
          <w:color w:val="005696"/>
          <w:spacing w:val="-7"/>
          <w:sz w:val="48"/>
          <w:szCs w:val="48"/>
        </w:rPr>
      </w:pPr>
      <w:r>
        <w:rPr>
          <w:rFonts w:cs="Calibri"/>
          <w:b/>
          <w:color w:val="005696"/>
          <w:spacing w:val="-7"/>
          <w:sz w:val="48"/>
          <w:szCs w:val="48"/>
        </w:rPr>
        <w:t>SUMMARY NOTE</w:t>
      </w:r>
    </w:p>
    <w:p w:rsidR="00C62DF2" w:rsidRDefault="00C62DF2" w:rsidP="00C62DF2">
      <w:pPr>
        <w:spacing w:after="120"/>
        <w:jc w:val="both"/>
        <w:rPr>
          <w:rFonts w:cs="Calibri"/>
          <w:b/>
          <w:color w:val="005696"/>
          <w:spacing w:val="-7"/>
          <w:sz w:val="48"/>
          <w:szCs w:val="48"/>
        </w:rPr>
      </w:pPr>
    </w:p>
    <w:p w:rsidR="000B7FF7" w:rsidRDefault="000B7FF7" w:rsidP="000B7FF7">
      <w:pPr>
        <w:spacing w:after="120"/>
        <w:jc w:val="both"/>
        <w:rPr>
          <w:rFonts w:cs="Calibri"/>
          <w:b/>
          <w:color w:val="005696"/>
          <w:spacing w:val="-7"/>
          <w:sz w:val="48"/>
          <w:szCs w:val="48"/>
        </w:rPr>
      </w:pPr>
      <w:r>
        <w:rPr>
          <w:rFonts w:cs="Calibri"/>
          <w:b/>
          <w:color w:val="005696"/>
          <w:spacing w:val="-7"/>
          <w:sz w:val="48"/>
          <w:szCs w:val="48"/>
        </w:rPr>
        <w:t>Reaching Year 12: Student and School Influences</w:t>
      </w:r>
    </w:p>
    <w:p w:rsidR="000B7FF7" w:rsidRPr="00CC61E4" w:rsidRDefault="009A111D" w:rsidP="000B7FF7">
      <w:pPr>
        <w:tabs>
          <w:tab w:val="left" w:pos="7797"/>
          <w:tab w:val="left" w:pos="9615"/>
        </w:tabs>
        <w:spacing w:before="120"/>
        <w:ind w:right="-24"/>
        <w:rPr>
          <w:rFonts w:cs="Calibri"/>
          <w:b/>
          <w:sz w:val="32"/>
          <w:szCs w:val="32"/>
        </w:rPr>
      </w:pPr>
      <w:r>
        <w:rPr>
          <w:rFonts w:cs="Calibri"/>
          <w:b/>
          <w:sz w:val="32"/>
          <w:szCs w:val="32"/>
        </w:rPr>
        <w:t>This</w:t>
      </w:r>
      <w:r w:rsidR="000B7FF7" w:rsidRPr="00CC61E4">
        <w:rPr>
          <w:rFonts w:cs="Calibri"/>
          <w:b/>
          <w:sz w:val="32"/>
          <w:szCs w:val="32"/>
        </w:rPr>
        <w:t xml:space="preserve"> research sets out to </w:t>
      </w:r>
      <w:r w:rsidR="000B7FF7" w:rsidRPr="00F96EAD">
        <w:rPr>
          <w:rFonts w:cs="Calibri"/>
          <w:b/>
          <w:sz w:val="32"/>
          <w:szCs w:val="32"/>
        </w:rPr>
        <w:t xml:space="preserve">investigate the factors that facilitate students reaching Year 12. </w:t>
      </w:r>
    </w:p>
    <w:p w:rsidR="000B7FF7" w:rsidRPr="004C0376" w:rsidRDefault="000B7FF7" w:rsidP="000B7FF7">
      <w:pPr>
        <w:pStyle w:val="H1"/>
        <w:spacing w:before="120" w:after="120"/>
        <w:jc w:val="both"/>
        <w:rPr>
          <w:rFonts w:ascii="Calibri" w:hAnsi="Calibri" w:cs="Calibri"/>
          <w:sz w:val="28"/>
          <w:szCs w:val="28"/>
        </w:rPr>
      </w:pPr>
      <w:r w:rsidRPr="004C0376">
        <w:rPr>
          <w:rFonts w:ascii="Calibri" w:hAnsi="Calibri" w:cs="Calibri"/>
          <w:sz w:val="28"/>
          <w:szCs w:val="28"/>
        </w:rPr>
        <w:t>Key Findings and Conclusions</w:t>
      </w:r>
    </w:p>
    <w:p w:rsidR="00044217" w:rsidRDefault="00044217" w:rsidP="008E0DAE">
      <w:pPr>
        <w:pStyle w:val="ListParagraph"/>
        <w:numPr>
          <w:ilvl w:val="0"/>
          <w:numId w:val="1"/>
        </w:numPr>
        <w:spacing w:after="60"/>
        <w:ind w:left="357" w:hanging="357"/>
        <w:contextualSpacing w:val="0"/>
        <w:jc w:val="both"/>
        <w:rPr>
          <w:rFonts w:cs="Arial"/>
          <w:sz w:val="24"/>
          <w:szCs w:val="24"/>
        </w:rPr>
      </w:pPr>
      <w:r>
        <w:rPr>
          <w:rFonts w:cs="Arial"/>
          <w:sz w:val="24"/>
          <w:szCs w:val="24"/>
        </w:rPr>
        <w:t>This research</w:t>
      </w:r>
      <w:r w:rsidRPr="00044217">
        <w:rPr>
          <w:rFonts w:cs="Arial"/>
          <w:sz w:val="24"/>
          <w:szCs w:val="24"/>
        </w:rPr>
        <w:t xml:space="preserve"> indicates the strongest predictor of school completion is prior student performance (in this case, Year 9 NAPLAN performance in reading and numeracy) with socioeconomic background showing a substantially weaker impact.</w:t>
      </w:r>
    </w:p>
    <w:p w:rsidR="000B7FF7" w:rsidRPr="00683358" w:rsidRDefault="000B7FF7" w:rsidP="008E0DAE">
      <w:pPr>
        <w:pStyle w:val="ListParagraph"/>
        <w:numPr>
          <w:ilvl w:val="0"/>
          <w:numId w:val="1"/>
        </w:numPr>
        <w:spacing w:after="60"/>
        <w:ind w:left="357" w:hanging="357"/>
        <w:contextualSpacing w:val="0"/>
        <w:jc w:val="both"/>
        <w:rPr>
          <w:rFonts w:cs="Arial"/>
          <w:sz w:val="24"/>
          <w:szCs w:val="24"/>
        </w:rPr>
      </w:pPr>
      <w:r w:rsidRPr="00683358">
        <w:rPr>
          <w:rFonts w:cs="Arial"/>
          <w:sz w:val="24"/>
          <w:szCs w:val="24"/>
        </w:rPr>
        <w:t xml:space="preserve">Male students are less likely to reach Year 12 than females and school retention rates among females in 2012 were 8.5 percentage points higher than that for males. </w:t>
      </w:r>
    </w:p>
    <w:p w:rsidR="000B7FF7" w:rsidRPr="00683358" w:rsidRDefault="000B7FF7" w:rsidP="008E0DAE">
      <w:pPr>
        <w:pStyle w:val="ListParagraph"/>
        <w:numPr>
          <w:ilvl w:val="0"/>
          <w:numId w:val="1"/>
        </w:numPr>
        <w:spacing w:after="60"/>
        <w:ind w:left="357" w:hanging="357"/>
        <w:contextualSpacing w:val="0"/>
        <w:jc w:val="both"/>
        <w:rPr>
          <w:rFonts w:cs="Arial"/>
          <w:sz w:val="24"/>
          <w:szCs w:val="24"/>
        </w:rPr>
      </w:pPr>
      <w:r w:rsidRPr="00683358">
        <w:rPr>
          <w:rFonts w:cs="Arial"/>
          <w:sz w:val="24"/>
          <w:szCs w:val="24"/>
        </w:rPr>
        <w:t xml:space="preserve">School completion rates of students from language background other than English (LBOTE) is higher than that for students from English speaking backgrounds, even when taking into account socioeconomic background and prior achievement. </w:t>
      </w:r>
    </w:p>
    <w:p w:rsidR="000B7FF7" w:rsidRPr="00683358" w:rsidRDefault="000B7FF7" w:rsidP="008E0DAE">
      <w:pPr>
        <w:pStyle w:val="ListParagraph"/>
        <w:numPr>
          <w:ilvl w:val="0"/>
          <w:numId w:val="1"/>
        </w:numPr>
        <w:spacing w:after="60"/>
        <w:ind w:left="357" w:hanging="357"/>
        <w:contextualSpacing w:val="0"/>
        <w:jc w:val="both"/>
        <w:rPr>
          <w:rFonts w:cs="Arial"/>
          <w:sz w:val="24"/>
          <w:szCs w:val="24"/>
        </w:rPr>
      </w:pPr>
      <w:r w:rsidRPr="00683358">
        <w:rPr>
          <w:rFonts w:cs="Arial"/>
          <w:sz w:val="24"/>
          <w:szCs w:val="24"/>
        </w:rPr>
        <w:t>Indigenous (Aboriginal and Torres Strait Islander) students are the most disadvantaged in completing school</w:t>
      </w:r>
      <w:r>
        <w:rPr>
          <w:rFonts w:cs="Arial"/>
          <w:sz w:val="24"/>
          <w:szCs w:val="24"/>
        </w:rPr>
        <w:t>,</w:t>
      </w:r>
      <w:r w:rsidRPr="00683358">
        <w:rPr>
          <w:rFonts w:cs="Arial"/>
          <w:sz w:val="24"/>
          <w:szCs w:val="24"/>
        </w:rPr>
        <w:t xml:space="preserve"> </w:t>
      </w:r>
      <w:r>
        <w:rPr>
          <w:rFonts w:cs="Arial"/>
          <w:sz w:val="24"/>
          <w:szCs w:val="24"/>
        </w:rPr>
        <w:t>d</w:t>
      </w:r>
      <w:r w:rsidRPr="00683358">
        <w:rPr>
          <w:rFonts w:cs="Arial"/>
          <w:sz w:val="24"/>
          <w:szCs w:val="24"/>
        </w:rPr>
        <w:t>espite the small increases in the last few years</w:t>
      </w:r>
      <w:r>
        <w:rPr>
          <w:rFonts w:cs="Arial"/>
          <w:sz w:val="24"/>
          <w:szCs w:val="24"/>
        </w:rPr>
        <w:t xml:space="preserve"> documented elsewhere</w:t>
      </w:r>
      <w:r w:rsidRPr="00683358">
        <w:rPr>
          <w:rFonts w:cs="Arial"/>
          <w:sz w:val="24"/>
          <w:szCs w:val="24"/>
        </w:rPr>
        <w:t xml:space="preserve">. </w:t>
      </w:r>
    </w:p>
    <w:p w:rsidR="000B7FF7" w:rsidRDefault="000B7FF7" w:rsidP="008E0DAE">
      <w:pPr>
        <w:pStyle w:val="ListParagraph"/>
        <w:numPr>
          <w:ilvl w:val="0"/>
          <w:numId w:val="1"/>
        </w:numPr>
        <w:spacing w:after="60"/>
        <w:ind w:left="357" w:hanging="357"/>
        <w:contextualSpacing w:val="0"/>
        <w:jc w:val="both"/>
        <w:rPr>
          <w:rFonts w:cs="Arial"/>
          <w:sz w:val="24"/>
          <w:szCs w:val="24"/>
        </w:rPr>
      </w:pPr>
      <w:r w:rsidRPr="00683358">
        <w:rPr>
          <w:rFonts w:cs="Arial"/>
          <w:sz w:val="24"/>
          <w:szCs w:val="24"/>
        </w:rPr>
        <w:t xml:space="preserve">This research highlights the need for further examination of how school differences attribute to students reaching Year 12. Most of the variation between schools can be credited to the differences in the social, socioeconomic and </w:t>
      </w:r>
      <w:r>
        <w:rPr>
          <w:rFonts w:cs="Arial"/>
          <w:sz w:val="24"/>
          <w:szCs w:val="24"/>
        </w:rPr>
        <w:t xml:space="preserve">especially the </w:t>
      </w:r>
      <w:r w:rsidRPr="00683358">
        <w:rPr>
          <w:rFonts w:cs="Arial"/>
          <w:sz w:val="24"/>
          <w:szCs w:val="24"/>
        </w:rPr>
        <w:t xml:space="preserve">academic profiles of their students. Between one quarter and one fifth of schools have an independent effect on their students reaching Year 12 and it is these factors (e.g. leadership qualities and or teacher or student morale etc.) that need further inquiry. </w:t>
      </w:r>
    </w:p>
    <w:p w:rsidR="000B7FF7" w:rsidRDefault="000B7FF7" w:rsidP="000B7FF7">
      <w:pPr>
        <w:pStyle w:val="H1"/>
        <w:spacing w:before="120" w:after="120"/>
        <w:jc w:val="both"/>
        <w:rPr>
          <w:rFonts w:ascii="Calibri" w:hAnsi="Calibri" w:cs="Calibri"/>
          <w:sz w:val="28"/>
          <w:szCs w:val="28"/>
        </w:rPr>
      </w:pPr>
    </w:p>
    <w:p w:rsidR="000B7FF7" w:rsidRDefault="000B7FF7" w:rsidP="000B7FF7">
      <w:pPr>
        <w:pStyle w:val="H1"/>
        <w:spacing w:before="120" w:after="120"/>
        <w:jc w:val="both"/>
        <w:rPr>
          <w:rFonts w:ascii="Calibri" w:hAnsi="Calibri" w:cs="Calibri"/>
          <w:sz w:val="28"/>
          <w:szCs w:val="28"/>
        </w:rPr>
      </w:pPr>
    </w:p>
    <w:p w:rsidR="000B7FF7" w:rsidRPr="00E23956" w:rsidRDefault="000B7FF7" w:rsidP="000B7FF7">
      <w:pPr>
        <w:pStyle w:val="H1"/>
        <w:spacing w:before="120" w:after="120"/>
        <w:jc w:val="both"/>
        <w:rPr>
          <w:rFonts w:ascii="Calibri" w:hAnsi="Calibri" w:cs="Calibri"/>
          <w:sz w:val="28"/>
          <w:szCs w:val="28"/>
        </w:rPr>
      </w:pPr>
      <w:r w:rsidRPr="007C794B">
        <w:rPr>
          <w:rFonts w:ascii="Calibri" w:hAnsi="Calibri" w:cs="Calibri"/>
          <w:sz w:val="28"/>
          <w:szCs w:val="28"/>
        </w:rPr>
        <w:lastRenderedPageBreak/>
        <w:t>Project Background</w:t>
      </w:r>
    </w:p>
    <w:p w:rsidR="000B7FF7" w:rsidRPr="00683358" w:rsidRDefault="000B7FF7" w:rsidP="008E0DAE">
      <w:pPr>
        <w:pStyle w:val="ListParagraph"/>
        <w:numPr>
          <w:ilvl w:val="0"/>
          <w:numId w:val="1"/>
        </w:numPr>
        <w:spacing w:after="60"/>
        <w:ind w:left="357" w:hanging="357"/>
        <w:contextualSpacing w:val="0"/>
        <w:jc w:val="both"/>
        <w:rPr>
          <w:rFonts w:cs="Arial"/>
          <w:sz w:val="24"/>
          <w:szCs w:val="24"/>
        </w:rPr>
      </w:pPr>
      <w:r>
        <w:rPr>
          <w:rFonts w:cs="Arial"/>
          <w:sz w:val="24"/>
          <w:szCs w:val="24"/>
        </w:rPr>
        <w:t xml:space="preserve">According to the Australian Bureau of Statistics the </w:t>
      </w:r>
      <w:r w:rsidRPr="00683358">
        <w:rPr>
          <w:rFonts w:cs="Arial"/>
          <w:sz w:val="24"/>
          <w:szCs w:val="24"/>
        </w:rPr>
        <w:t>school</w:t>
      </w:r>
      <w:r>
        <w:rPr>
          <w:rFonts w:cs="Arial"/>
          <w:sz w:val="24"/>
          <w:szCs w:val="24"/>
        </w:rPr>
        <w:t xml:space="preserve"> </w:t>
      </w:r>
      <w:r w:rsidRPr="00683358">
        <w:rPr>
          <w:rFonts w:cs="Arial"/>
          <w:sz w:val="24"/>
          <w:szCs w:val="24"/>
        </w:rPr>
        <w:t xml:space="preserve">retention rate </w:t>
      </w:r>
      <w:r>
        <w:rPr>
          <w:rFonts w:cs="Arial"/>
          <w:sz w:val="24"/>
          <w:szCs w:val="24"/>
        </w:rPr>
        <w:t xml:space="preserve">in Australia has risen from </w:t>
      </w:r>
      <w:r w:rsidRPr="00683358">
        <w:rPr>
          <w:rFonts w:cs="Arial"/>
          <w:sz w:val="24"/>
          <w:szCs w:val="24"/>
        </w:rPr>
        <w:t xml:space="preserve">approximately 33% in 1980 to about 80% in 2012 with Victoria slightly higher at 82%. </w:t>
      </w:r>
    </w:p>
    <w:p w:rsidR="000B7FF7" w:rsidRPr="00683358" w:rsidRDefault="000B7FF7" w:rsidP="008E0DAE">
      <w:pPr>
        <w:pStyle w:val="ListParagraph"/>
        <w:numPr>
          <w:ilvl w:val="0"/>
          <w:numId w:val="1"/>
        </w:numPr>
        <w:spacing w:after="60"/>
        <w:ind w:left="357" w:hanging="357"/>
        <w:contextualSpacing w:val="0"/>
        <w:jc w:val="both"/>
        <w:rPr>
          <w:rFonts w:cs="Arial"/>
          <w:sz w:val="24"/>
          <w:szCs w:val="24"/>
        </w:rPr>
      </w:pPr>
      <w:r w:rsidRPr="00683358">
        <w:rPr>
          <w:rFonts w:cs="Arial"/>
          <w:sz w:val="24"/>
          <w:szCs w:val="24"/>
        </w:rPr>
        <w:t xml:space="preserve">There has been a strong commitment from federal and state governments </w:t>
      </w:r>
      <w:r w:rsidR="009A111D">
        <w:rPr>
          <w:rFonts w:cs="Arial"/>
          <w:sz w:val="24"/>
          <w:szCs w:val="24"/>
        </w:rPr>
        <w:t xml:space="preserve">to increase school completion. </w:t>
      </w:r>
      <w:r w:rsidRPr="00683358">
        <w:rPr>
          <w:rFonts w:cs="Arial"/>
          <w:sz w:val="24"/>
          <w:szCs w:val="24"/>
        </w:rPr>
        <w:t xml:space="preserve">These policies have included broadening the curriculum, restricting unemployment assistance for </w:t>
      </w:r>
      <w:r>
        <w:rPr>
          <w:rFonts w:cs="Arial"/>
          <w:sz w:val="24"/>
          <w:szCs w:val="24"/>
        </w:rPr>
        <w:t xml:space="preserve">early </w:t>
      </w:r>
      <w:r w:rsidRPr="00683358">
        <w:rPr>
          <w:rFonts w:cs="Arial"/>
          <w:sz w:val="24"/>
          <w:szCs w:val="24"/>
        </w:rPr>
        <w:t xml:space="preserve">school levers, expanding vocational education in secondary schools and increasing the minimum school leaving age. </w:t>
      </w:r>
    </w:p>
    <w:p w:rsidR="000B7FF7" w:rsidRPr="00683358" w:rsidRDefault="000B7FF7" w:rsidP="008E0DAE">
      <w:pPr>
        <w:pStyle w:val="ListParagraph"/>
        <w:numPr>
          <w:ilvl w:val="0"/>
          <w:numId w:val="1"/>
        </w:numPr>
        <w:spacing w:after="60"/>
        <w:ind w:left="357" w:hanging="357"/>
        <w:contextualSpacing w:val="0"/>
        <w:jc w:val="both"/>
        <w:rPr>
          <w:rFonts w:cs="Arial"/>
          <w:sz w:val="24"/>
          <w:szCs w:val="24"/>
        </w:rPr>
      </w:pPr>
      <w:r w:rsidRPr="00683358">
        <w:rPr>
          <w:rFonts w:cs="Arial"/>
          <w:sz w:val="24"/>
          <w:szCs w:val="24"/>
        </w:rPr>
        <w:t xml:space="preserve">This policy direction has also been contested and </w:t>
      </w:r>
      <w:r>
        <w:rPr>
          <w:rFonts w:cs="Arial"/>
          <w:sz w:val="24"/>
          <w:szCs w:val="24"/>
        </w:rPr>
        <w:t xml:space="preserve">some </w:t>
      </w:r>
      <w:r w:rsidRPr="00683358">
        <w:rPr>
          <w:rFonts w:cs="Arial"/>
          <w:sz w:val="24"/>
          <w:szCs w:val="24"/>
        </w:rPr>
        <w:t xml:space="preserve">research has demonstrated that the extra years of schooling have delivered no benefit to labour market outcomes and sometimes on other measures worse off. </w:t>
      </w:r>
    </w:p>
    <w:p w:rsidR="000B7FF7" w:rsidRPr="004C0376" w:rsidRDefault="000B7FF7" w:rsidP="000B7FF7">
      <w:pPr>
        <w:pStyle w:val="H1"/>
        <w:spacing w:before="120" w:after="120"/>
        <w:jc w:val="both"/>
        <w:rPr>
          <w:rFonts w:ascii="Calibri" w:hAnsi="Calibri" w:cs="Calibri"/>
          <w:sz w:val="28"/>
          <w:szCs w:val="28"/>
        </w:rPr>
      </w:pPr>
      <w:r w:rsidRPr="004C0376">
        <w:rPr>
          <w:rFonts w:ascii="Calibri" w:hAnsi="Calibri" w:cs="Calibri"/>
          <w:sz w:val="28"/>
          <w:szCs w:val="28"/>
        </w:rPr>
        <w:t>Project Methodology</w:t>
      </w:r>
    </w:p>
    <w:p w:rsidR="000B7FF7" w:rsidRPr="00F96EAD" w:rsidRDefault="000B7FF7" w:rsidP="008E0DAE">
      <w:pPr>
        <w:pStyle w:val="ListParagraph"/>
        <w:numPr>
          <w:ilvl w:val="0"/>
          <w:numId w:val="2"/>
        </w:numPr>
        <w:spacing w:after="60"/>
        <w:ind w:left="389" w:hangingChars="162" w:hanging="389"/>
        <w:contextualSpacing w:val="0"/>
        <w:rPr>
          <w:sz w:val="24"/>
        </w:rPr>
      </w:pPr>
      <w:r w:rsidRPr="00F96EAD">
        <w:rPr>
          <w:sz w:val="24"/>
        </w:rPr>
        <w:t xml:space="preserve">This paper contributes to the knowledge of school completion in Australia in the following way: </w:t>
      </w:r>
    </w:p>
    <w:p w:rsidR="000B7FF7" w:rsidRPr="00F96EAD" w:rsidRDefault="000B7FF7" w:rsidP="008E0DAE">
      <w:pPr>
        <w:pStyle w:val="ListParagraph"/>
        <w:numPr>
          <w:ilvl w:val="1"/>
          <w:numId w:val="2"/>
        </w:numPr>
        <w:spacing w:after="60"/>
        <w:contextualSpacing w:val="0"/>
        <w:rPr>
          <w:sz w:val="24"/>
        </w:rPr>
      </w:pPr>
      <w:r w:rsidRPr="00F96EAD">
        <w:rPr>
          <w:sz w:val="24"/>
        </w:rPr>
        <w:t>This research is the first that examines the effects of performance in Year 9 NAPLAN on reaching Year 12.</w:t>
      </w:r>
    </w:p>
    <w:p w:rsidR="000B7FF7" w:rsidRPr="00F96EAD" w:rsidRDefault="000B7FF7" w:rsidP="008E0DAE">
      <w:pPr>
        <w:pStyle w:val="ListParagraph"/>
        <w:numPr>
          <w:ilvl w:val="1"/>
          <w:numId w:val="2"/>
        </w:numPr>
        <w:spacing w:after="60"/>
        <w:contextualSpacing w:val="0"/>
        <w:rPr>
          <w:sz w:val="24"/>
        </w:rPr>
      </w:pPr>
      <w:r w:rsidRPr="00F96EAD">
        <w:rPr>
          <w:sz w:val="24"/>
        </w:rPr>
        <w:t xml:space="preserve">The data used is from all students allowing more accurate estimates of the effects of various influences on school completion. </w:t>
      </w:r>
    </w:p>
    <w:p w:rsidR="000B7FF7" w:rsidRPr="00F96EAD" w:rsidRDefault="000B7FF7" w:rsidP="008E0DAE">
      <w:pPr>
        <w:pStyle w:val="ListParagraph"/>
        <w:numPr>
          <w:ilvl w:val="1"/>
          <w:numId w:val="2"/>
        </w:numPr>
        <w:spacing w:after="60"/>
        <w:contextualSpacing w:val="0"/>
        <w:rPr>
          <w:sz w:val="24"/>
        </w:rPr>
      </w:pPr>
      <w:r w:rsidRPr="00F96EAD">
        <w:rPr>
          <w:sz w:val="24"/>
        </w:rPr>
        <w:t xml:space="preserve">The </w:t>
      </w:r>
      <w:r>
        <w:rPr>
          <w:sz w:val="24"/>
        </w:rPr>
        <w:t xml:space="preserve">average </w:t>
      </w:r>
      <w:r w:rsidRPr="00F96EAD">
        <w:rPr>
          <w:sz w:val="24"/>
        </w:rPr>
        <w:t>number of students per school was 97. This provides a more accurate effect of school</w:t>
      </w:r>
      <w:r>
        <w:rPr>
          <w:sz w:val="24"/>
        </w:rPr>
        <w:t>s</w:t>
      </w:r>
      <w:r w:rsidRPr="00F96EAD">
        <w:rPr>
          <w:sz w:val="24"/>
        </w:rPr>
        <w:t xml:space="preserve"> specifically </w:t>
      </w:r>
      <w:r>
        <w:rPr>
          <w:sz w:val="24"/>
        </w:rPr>
        <w:t>when taking into account the</w:t>
      </w:r>
      <w:r w:rsidRPr="00F96EAD">
        <w:rPr>
          <w:sz w:val="24"/>
        </w:rPr>
        <w:t xml:space="preserve"> gender, ethnicity, socioeconomic and academic mixes of schools. </w:t>
      </w:r>
    </w:p>
    <w:p w:rsidR="000B7FF7" w:rsidRPr="00683358" w:rsidRDefault="000B7FF7" w:rsidP="008E0DAE">
      <w:pPr>
        <w:pStyle w:val="ListParagraph"/>
        <w:numPr>
          <w:ilvl w:val="0"/>
          <w:numId w:val="1"/>
        </w:numPr>
        <w:spacing w:after="60"/>
        <w:ind w:left="389" w:hangingChars="162" w:hanging="389"/>
        <w:contextualSpacing w:val="0"/>
        <w:jc w:val="both"/>
        <w:rPr>
          <w:rFonts w:cs="Arial"/>
          <w:sz w:val="24"/>
          <w:szCs w:val="24"/>
        </w:rPr>
      </w:pPr>
      <w:r w:rsidRPr="00683358">
        <w:rPr>
          <w:rFonts w:cs="Arial"/>
          <w:sz w:val="24"/>
          <w:szCs w:val="24"/>
        </w:rPr>
        <w:t>The concept of ‘reaching Year 12</w:t>
      </w:r>
      <w:r w:rsidR="00044217">
        <w:rPr>
          <w:rFonts w:cs="Arial"/>
          <w:sz w:val="24"/>
          <w:szCs w:val="24"/>
        </w:rPr>
        <w:t>’</w:t>
      </w:r>
      <w:r w:rsidRPr="00683358">
        <w:rPr>
          <w:rFonts w:cs="Arial"/>
          <w:sz w:val="24"/>
          <w:szCs w:val="24"/>
        </w:rPr>
        <w:t xml:space="preserve"> is used rather than school completion since it is not known if students </w:t>
      </w:r>
      <w:proofErr w:type="gramStart"/>
      <w:r w:rsidRPr="00683358">
        <w:rPr>
          <w:rFonts w:cs="Arial"/>
          <w:sz w:val="24"/>
          <w:szCs w:val="24"/>
        </w:rPr>
        <w:t>competed</w:t>
      </w:r>
      <w:proofErr w:type="gramEnd"/>
      <w:r w:rsidRPr="00683358">
        <w:rPr>
          <w:rFonts w:cs="Arial"/>
          <w:sz w:val="24"/>
          <w:szCs w:val="24"/>
        </w:rPr>
        <w:t xml:space="preserve"> the requirements of the Victorian </w:t>
      </w:r>
      <w:r w:rsidR="00044217">
        <w:rPr>
          <w:rFonts w:cs="Arial"/>
          <w:sz w:val="24"/>
          <w:szCs w:val="24"/>
        </w:rPr>
        <w:t>Certificate of E</w:t>
      </w:r>
      <w:r w:rsidRPr="00683358">
        <w:rPr>
          <w:rFonts w:cs="Arial"/>
          <w:sz w:val="24"/>
          <w:szCs w:val="24"/>
        </w:rPr>
        <w:t>ducation</w:t>
      </w:r>
      <w:r w:rsidR="00044217">
        <w:rPr>
          <w:rFonts w:cs="Arial"/>
          <w:sz w:val="24"/>
          <w:szCs w:val="24"/>
        </w:rPr>
        <w:t xml:space="preserve"> (VCE)</w:t>
      </w:r>
      <w:r>
        <w:rPr>
          <w:rFonts w:cs="Arial"/>
          <w:sz w:val="24"/>
          <w:szCs w:val="24"/>
        </w:rPr>
        <w:t xml:space="preserve"> or the vocational equivalent</w:t>
      </w:r>
      <w:r w:rsidRPr="00683358">
        <w:rPr>
          <w:rFonts w:cs="Arial"/>
          <w:sz w:val="24"/>
          <w:szCs w:val="24"/>
        </w:rPr>
        <w:t xml:space="preserve">.  </w:t>
      </w:r>
    </w:p>
    <w:p w:rsidR="000B7FF7" w:rsidRPr="00683358" w:rsidRDefault="000B7FF7" w:rsidP="008E0DAE">
      <w:pPr>
        <w:pStyle w:val="ListParagraph"/>
        <w:numPr>
          <w:ilvl w:val="0"/>
          <w:numId w:val="1"/>
        </w:numPr>
        <w:spacing w:after="60"/>
        <w:ind w:left="389" w:hangingChars="162" w:hanging="389"/>
        <w:contextualSpacing w:val="0"/>
        <w:jc w:val="both"/>
        <w:rPr>
          <w:rFonts w:cs="Arial"/>
          <w:sz w:val="24"/>
          <w:szCs w:val="24"/>
        </w:rPr>
      </w:pPr>
      <w:r w:rsidRPr="00683358">
        <w:rPr>
          <w:rFonts w:cs="Arial"/>
          <w:sz w:val="24"/>
          <w:szCs w:val="24"/>
        </w:rPr>
        <w:t xml:space="preserve">Data used was from Victorian students in year 9 in 2008 and with typical grade progression they would reach Year 12 in 2011. The measure of reaching Year 12 is the percentage of students in Year 12 in 2011. </w:t>
      </w:r>
    </w:p>
    <w:p w:rsidR="000B7FF7" w:rsidRPr="00683358" w:rsidRDefault="000B7FF7" w:rsidP="008E0DAE">
      <w:pPr>
        <w:pStyle w:val="ListParagraph"/>
        <w:numPr>
          <w:ilvl w:val="0"/>
          <w:numId w:val="1"/>
        </w:numPr>
        <w:spacing w:after="60"/>
        <w:ind w:left="389" w:hangingChars="162" w:hanging="389"/>
        <w:contextualSpacing w:val="0"/>
        <w:jc w:val="both"/>
        <w:rPr>
          <w:rFonts w:cs="Arial"/>
          <w:sz w:val="24"/>
          <w:szCs w:val="24"/>
        </w:rPr>
      </w:pPr>
      <w:r w:rsidRPr="00683358">
        <w:rPr>
          <w:rFonts w:cs="Arial"/>
          <w:sz w:val="24"/>
          <w:szCs w:val="24"/>
        </w:rPr>
        <w:t xml:space="preserve">The education data includes NAPLAN Year 9 numeracy and reading scores, ATAR aggregate and ATAR. The demographic information includes gender, parental occupation and education, language background, Indigenous status, school type (government or non-government) and school attended. </w:t>
      </w:r>
    </w:p>
    <w:p w:rsidR="000B7FF7" w:rsidRPr="004C0376" w:rsidRDefault="000B7FF7" w:rsidP="000B7FF7">
      <w:pPr>
        <w:pStyle w:val="H1"/>
        <w:spacing w:before="120" w:after="120"/>
        <w:jc w:val="both"/>
        <w:rPr>
          <w:rFonts w:ascii="Calibri" w:hAnsi="Calibri" w:cs="Calibri"/>
          <w:sz w:val="28"/>
          <w:szCs w:val="28"/>
        </w:rPr>
      </w:pPr>
      <w:r>
        <w:rPr>
          <w:rFonts w:ascii="Calibri" w:hAnsi="Calibri" w:cs="Calibri"/>
          <w:sz w:val="28"/>
          <w:szCs w:val="28"/>
        </w:rPr>
        <w:t>Acknowledgments</w:t>
      </w:r>
    </w:p>
    <w:p w:rsidR="00121E2D" w:rsidRDefault="000B7FF7" w:rsidP="00121E2D">
      <w:pPr>
        <w:spacing w:after="0"/>
        <w:jc w:val="both"/>
        <w:rPr>
          <w:rFonts w:cs="Arial"/>
          <w:sz w:val="24"/>
          <w:szCs w:val="24"/>
        </w:rPr>
      </w:pPr>
      <w:r w:rsidRPr="00121E2D">
        <w:rPr>
          <w:rFonts w:cs="Arial"/>
          <w:sz w:val="24"/>
          <w:szCs w:val="24"/>
        </w:rPr>
        <w:t xml:space="preserve">This summary paper is based on the 2013 research report, </w:t>
      </w:r>
      <w:r w:rsidRPr="00415286">
        <w:rPr>
          <w:rFonts w:cs="Arial"/>
          <w:i/>
          <w:sz w:val="24"/>
          <w:szCs w:val="24"/>
        </w:rPr>
        <w:t>Reaching Year 12: Student and School Influences</w:t>
      </w:r>
      <w:r w:rsidR="00415286">
        <w:rPr>
          <w:rFonts w:cs="Arial"/>
          <w:sz w:val="24"/>
          <w:szCs w:val="24"/>
        </w:rPr>
        <w:t>,</w:t>
      </w:r>
      <w:bookmarkStart w:id="0" w:name="_GoBack"/>
      <w:bookmarkEnd w:id="0"/>
      <w:r w:rsidRPr="00121E2D">
        <w:rPr>
          <w:rFonts w:cs="Arial"/>
          <w:sz w:val="24"/>
          <w:szCs w:val="24"/>
        </w:rPr>
        <w:t xml:space="preserve"> by </w:t>
      </w:r>
      <w:r w:rsidR="00415286">
        <w:rPr>
          <w:rFonts w:cs="Arial"/>
          <w:sz w:val="24"/>
          <w:szCs w:val="24"/>
        </w:rPr>
        <w:t xml:space="preserve">Dr </w:t>
      </w:r>
      <w:r w:rsidRPr="00121E2D">
        <w:rPr>
          <w:rFonts w:cs="Arial"/>
          <w:sz w:val="24"/>
          <w:szCs w:val="24"/>
        </w:rPr>
        <w:t>Gary N. M</w:t>
      </w:r>
      <w:r w:rsidR="00415286">
        <w:rPr>
          <w:rFonts w:cs="Arial"/>
          <w:sz w:val="24"/>
          <w:szCs w:val="24"/>
        </w:rPr>
        <w:t>arks.</w:t>
      </w:r>
    </w:p>
    <w:p w:rsidR="00415286" w:rsidRDefault="00415286" w:rsidP="008E0DAE">
      <w:pPr>
        <w:spacing w:after="360"/>
        <w:jc w:val="both"/>
        <w:rPr>
          <w:rFonts w:cs="Calibri"/>
          <w:b/>
        </w:rPr>
      </w:pPr>
    </w:p>
    <w:p w:rsidR="00C62DF2" w:rsidRPr="00121E2D" w:rsidRDefault="000B7FF7" w:rsidP="008E0DAE">
      <w:pPr>
        <w:spacing w:after="360"/>
        <w:jc w:val="both"/>
        <w:rPr>
          <w:rFonts w:cs="Arial"/>
          <w:sz w:val="24"/>
          <w:szCs w:val="24"/>
        </w:rPr>
      </w:pPr>
      <w:r>
        <w:rPr>
          <w:rFonts w:cs="Calibri"/>
          <w:b/>
        </w:rPr>
        <w:t>This research is a result of a partnership arrangement between the Department of Education and Early Childhood Development and the Melbourne Institute of Applied Economic and Social Research.</w:t>
      </w:r>
    </w:p>
    <w:sectPr w:rsidR="00C62DF2" w:rsidRPr="00121E2D" w:rsidSect="008E0DAE">
      <w:headerReference w:type="default" r:id="rId18"/>
      <w:footerReference w:type="default" r:id="rId19"/>
      <w:pgSz w:w="11906" w:h="16838"/>
      <w:pgMar w:top="1440" w:right="127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E00" w:rsidRDefault="006E7E00" w:rsidP="00C62DF2">
      <w:pPr>
        <w:spacing w:after="0" w:line="240" w:lineRule="auto"/>
      </w:pPr>
      <w:r>
        <w:separator/>
      </w:r>
    </w:p>
  </w:endnote>
  <w:endnote w:type="continuationSeparator" w:id="0">
    <w:p w:rsidR="006E7E00" w:rsidRDefault="006E7E00" w:rsidP="00C6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DDF" w:rsidRDefault="00F67D82">
    <w:pPr>
      <w:pStyle w:val="Footer"/>
    </w:pPr>
    <w:r>
      <w:rPr>
        <w:noProof/>
        <w:lang w:eastAsia="en-AU"/>
      </w:rPr>
      <mc:AlternateContent>
        <mc:Choice Requires="wps">
          <w:drawing>
            <wp:anchor distT="0" distB="0" distL="114300" distR="114300" simplePos="0" relativeHeight="251657728" behindDoc="0" locked="0" layoutInCell="1" allowOverlap="1" wp14:anchorId="2FD14117" wp14:editId="09BADABD">
              <wp:simplePos x="0" y="0"/>
              <wp:positionH relativeFrom="margin">
                <wp:posOffset>-965200</wp:posOffset>
              </wp:positionH>
              <wp:positionV relativeFrom="page">
                <wp:posOffset>9896475</wp:posOffset>
              </wp:positionV>
              <wp:extent cx="15083155" cy="942975"/>
              <wp:effectExtent l="0" t="0" r="444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3155" cy="942975"/>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id="Rectangle 7" o:spid="_x0000_s1026" style="position:absolute;margin-left:-76pt;margin-top:779.25pt;width:1187.65pt;height:7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" fillcolor="#4f81bd" stroked="f" strokeweight="2pt">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E00" w:rsidRDefault="006E7E00" w:rsidP="00C62DF2">
      <w:pPr>
        <w:spacing w:after="0" w:line="240" w:lineRule="auto"/>
      </w:pPr>
      <w:r>
        <w:separator/>
      </w:r>
    </w:p>
  </w:footnote>
  <w:footnote w:type="continuationSeparator" w:id="0">
    <w:p w:rsidR="006E7E00" w:rsidRDefault="006E7E00" w:rsidP="00C62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DDF" w:rsidRPr="00C93443" w:rsidRDefault="00F67D82" w:rsidP="00C93443">
    <w:pPr>
      <w:pStyle w:val="Header"/>
      <w:jc w:val="both"/>
      <w:rPr>
        <w:color w:val="FFFF00"/>
      </w:rPr>
    </w:pPr>
    <w:r>
      <w:rPr>
        <w:noProof/>
        <w:lang w:eastAsia="en-AU"/>
      </w:rPr>
      <mc:AlternateContent>
        <mc:Choice Requires="wps">
          <w:drawing>
            <wp:anchor distT="0" distB="0" distL="114300" distR="114300" simplePos="0" relativeHeight="251656704" behindDoc="0" locked="0" layoutInCell="1" allowOverlap="1" wp14:anchorId="22311BB7" wp14:editId="5101095E">
              <wp:simplePos x="0" y="0"/>
              <wp:positionH relativeFrom="margin">
                <wp:align>center</wp:align>
              </wp:positionH>
              <wp:positionV relativeFrom="page">
                <wp:align>top</wp:align>
              </wp:positionV>
              <wp:extent cx="10800080" cy="946150"/>
              <wp:effectExtent l="0" t="0" r="1270"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80" cy="946150"/>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id="Rectangle 8" o:spid="_x0000_s1026" style="position:absolute;margin-left:0;margin-top:0;width:850.4pt;height:74.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" fillcolor="#4f81bd" stroked="f" strokeweight="2pt">
              <w10:wrap anchorx="margin" anchory="page"/>
            </v:rect>
          </w:pict>
        </mc:Fallback>
      </mc:AlternateContent>
    </w:r>
  </w:p>
  <w:p w:rsidR="00DE5DDF" w:rsidRDefault="006E7E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7693D"/>
    <w:multiLevelType w:val="hybridMultilevel"/>
    <w:tmpl w:val="8370EE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502"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76B6318"/>
    <w:multiLevelType w:val="hybridMultilevel"/>
    <w:tmpl w:val="E04666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314515F"/>
    <w:multiLevelType w:val="hybridMultilevel"/>
    <w:tmpl w:val="E40C3F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66470A8E"/>
    <w:multiLevelType w:val="hybridMultilevel"/>
    <w:tmpl w:val="41B071EC"/>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4A17AA"/>
    <w:multiLevelType w:val="hybridMultilevel"/>
    <w:tmpl w:val="9FC284A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74715DD3"/>
    <w:multiLevelType w:val="hybridMultilevel"/>
    <w:tmpl w:val="5A4A5C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7CF34DAA"/>
    <w:multiLevelType w:val="hybridMultilevel"/>
    <w:tmpl w:val="4F864854"/>
    <w:lvl w:ilvl="0" w:tplc="0C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101030"/>
    <w:multiLevelType w:val="hybridMultilevel"/>
    <w:tmpl w:val="3C3C2B2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5"/>
  </w:num>
  <w:num w:numId="3">
    <w:abstractNumId w:val="1"/>
  </w:num>
  <w:num w:numId="4">
    <w:abstractNumId w:val="7"/>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F2"/>
    <w:rsid w:val="000020B6"/>
    <w:rsid w:val="00013778"/>
    <w:rsid w:val="00044217"/>
    <w:rsid w:val="000B7FF7"/>
    <w:rsid w:val="00121E2D"/>
    <w:rsid w:val="001802A5"/>
    <w:rsid w:val="00206169"/>
    <w:rsid w:val="002432F3"/>
    <w:rsid w:val="00261273"/>
    <w:rsid w:val="002622DF"/>
    <w:rsid w:val="002A4FCC"/>
    <w:rsid w:val="002E1751"/>
    <w:rsid w:val="003054B0"/>
    <w:rsid w:val="00415286"/>
    <w:rsid w:val="00433282"/>
    <w:rsid w:val="0054525E"/>
    <w:rsid w:val="0055552F"/>
    <w:rsid w:val="006E7E00"/>
    <w:rsid w:val="00733724"/>
    <w:rsid w:val="00762DFB"/>
    <w:rsid w:val="00771FC6"/>
    <w:rsid w:val="00857B8E"/>
    <w:rsid w:val="00891BA8"/>
    <w:rsid w:val="008A426E"/>
    <w:rsid w:val="008B635A"/>
    <w:rsid w:val="008E0DAE"/>
    <w:rsid w:val="00903C2A"/>
    <w:rsid w:val="009A111D"/>
    <w:rsid w:val="009A71D6"/>
    <w:rsid w:val="00A132CD"/>
    <w:rsid w:val="00A57497"/>
    <w:rsid w:val="00BE611E"/>
    <w:rsid w:val="00C04DFA"/>
    <w:rsid w:val="00C62DF2"/>
    <w:rsid w:val="00CA3DA1"/>
    <w:rsid w:val="00CA5C81"/>
    <w:rsid w:val="00D40C64"/>
    <w:rsid w:val="00DE2C96"/>
    <w:rsid w:val="00DE2EF9"/>
    <w:rsid w:val="00DF1718"/>
    <w:rsid w:val="00E36C16"/>
    <w:rsid w:val="00F071B1"/>
    <w:rsid w:val="00F21305"/>
    <w:rsid w:val="00F330A2"/>
    <w:rsid w:val="00F67D82"/>
    <w:rsid w:val="00FC1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F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DF2"/>
    <w:pPr>
      <w:tabs>
        <w:tab w:val="center" w:pos="4513"/>
        <w:tab w:val="right" w:pos="9026"/>
      </w:tabs>
    </w:pPr>
  </w:style>
  <w:style w:type="character" w:customStyle="1" w:styleId="HeaderChar">
    <w:name w:val="Header Char"/>
    <w:basedOn w:val="DefaultParagraphFont"/>
    <w:link w:val="Header"/>
    <w:uiPriority w:val="99"/>
    <w:rsid w:val="00C62DF2"/>
    <w:rPr>
      <w:rFonts w:ascii="Calibri" w:eastAsia="Calibri" w:hAnsi="Calibri" w:cs="Times New Roman"/>
    </w:rPr>
  </w:style>
  <w:style w:type="paragraph" w:styleId="Footer">
    <w:name w:val="footer"/>
    <w:basedOn w:val="Normal"/>
    <w:link w:val="FooterChar"/>
    <w:uiPriority w:val="99"/>
    <w:unhideWhenUsed/>
    <w:rsid w:val="00C62DF2"/>
    <w:pPr>
      <w:tabs>
        <w:tab w:val="center" w:pos="4513"/>
        <w:tab w:val="right" w:pos="9026"/>
      </w:tabs>
    </w:pPr>
  </w:style>
  <w:style w:type="character" w:customStyle="1" w:styleId="FooterChar">
    <w:name w:val="Footer Char"/>
    <w:basedOn w:val="DefaultParagraphFont"/>
    <w:link w:val="Footer"/>
    <w:uiPriority w:val="99"/>
    <w:rsid w:val="00C62DF2"/>
    <w:rPr>
      <w:rFonts w:ascii="Calibri" w:eastAsia="Calibri" w:hAnsi="Calibri" w:cs="Times New Roman"/>
    </w:rPr>
  </w:style>
  <w:style w:type="paragraph" w:customStyle="1" w:styleId="H1">
    <w:name w:val="H1"/>
    <w:basedOn w:val="Normal"/>
    <w:uiPriority w:val="99"/>
    <w:rsid w:val="00C62DF2"/>
    <w:pPr>
      <w:suppressAutoHyphens/>
      <w:autoSpaceDE w:val="0"/>
      <w:autoSpaceDN w:val="0"/>
      <w:adjustRightInd w:val="0"/>
      <w:spacing w:before="283" w:after="283" w:line="280" w:lineRule="atLeast"/>
      <w:textAlignment w:val="center"/>
    </w:pPr>
    <w:rPr>
      <w:rFonts w:ascii="Verdana" w:hAnsi="Verdana" w:cs="Verdana"/>
      <w:b/>
      <w:bCs/>
      <w:color w:val="005696"/>
      <w:sz w:val="24"/>
      <w:szCs w:val="24"/>
      <w:u w:color="005596"/>
      <w:lang w:val="en-US" w:eastAsia="en-AU"/>
    </w:rPr>
  </w:style>
  <w:style w:type="character" w:styleId="Hyperlink">
    <w:name w:val="Hyperlink"/>
    <w:uiPriority w:val="99"/>
    <w:unhideWhenUsed/>
    <w:rsid w:val="00C62DF2"/>
    <w:rPr>
      <w:color w:val="0000FF"/>
      <w:u w:val="single"/>
    </w:rPr>
  </w:style>
  <w:style w:type="paragraph" w:styleId="ListParagraph">
    <w:name w:val="List Paragraph"/>
    <w:basedOn w:val="Normal"/>
    <w:uiPriority w:val="34"/>
    <w:qFormat/>
    <w:rsid w:val="00C62DF2"/>
    <w:pPr>
      <w:ind w:left="720"/>
      <w:contextualSpacing/>
    </w:pPr>
  </w:style>
  <w:style w:type="paragraph" w:styleId="BalloonText">
    <w:name w:val="Balloon Text"/>
    <w:basedOn w:val="Normal"/>
    <w:link w:val="BalloonTextChar"/>
    <w:uiPriority w:val="99"/>
    <w:semiHidden/>
    <w:unhideWhenUsed/>
    <w:rsid w:val="00C62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DF2"/>
    <w:rPr>
      <w:rFonts w:ascii="Tahoma" w:eastAsia="Calibri" w:hAnsi="Tahoma" w:cs="Tahoma"/>
      <w:sz w:val="16"/>
      <w:szCs w:val="16"/>
    </w:rPr>
  </w:style>
  <w:style w:type="paragraph" w:styleId="FootnoteText">
    <w:name w:val="footnote text"/>
    <w:basedOn w:val="Normal"/>
    <w:link w:val="FootnoteTextChar"/>
    <w:uiPriority w:val="99"/>
    <w:semiHidden/>
    <w:unhideWhenUsed/>
    <w:rsid w:val="00C62D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2DF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62DF2"/>
    <w:rPr>
      <w:vertAlign w:val="superscript"/>
    </w:rPr>
  </w:style>
  <w:style w:type="character" w:styleId="CommentReference">
    <w:name w:val="annotation reference"/>
    <w:basedOn w:val="DefaultParagraphFont"/>
    <w:uiPriority w:val="99"/>
    <w:semiHidden/>
    <w:unhideWhenUsed/>
    <w:rsid w:val="008A426E"/>
    <w:rPr>
      <w:sz w:val="16"/>
      <w:szCs w:val="16"/>
    </w:rPr>
  </w:style>
  <w:style w:type="paragraph" w:styleId="CommentText">
    <w:name w:val="annotation text"/>
    <w:basedOn w:val="Normal"/>
    <w:link w:val="CommentTextChar"/>
    <w:uiPriority w:val="99"/>
    <w:semiHidden/>
    <w:unhideWhenUsed/>
    <w:rsid w:val="008A426E"/>
    <w:pPr>
      <w:spacing w:line="240" w:lineRule="auto"/>
    </w:pPr>
    <w:rPr>
      <w:sz w:val="20"/>
      <w:szCs w:val="20"/>
    </w:rPr>
  </w:style>
  <w:style w:type="character" w:customStyle="1" w:styleId="CommentTextChar">
    <w:name w:val="Comment Text Char"/>
    <w:basedOn w:val="DefaultParagraphFont"/>
    <w:link w:val="CommentText"/>
    <w:uiPriority w:val="99"/>
    <w:semiHidden/>
    <w:rsid w:val="008A426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A426E"/>
    <w:rPr>
      <w:b/>
      <w:bCs/>
    </w:rPr>
  </w:style>
  <w:style w:type="character" w:customStyle="1" w:styleId="CommentSubjectChar">
    <w:name w:val="Comment Subject Char"/>
    <w:basedOn w:val="CommentTextChar"/>
    <w:link w:val="CommentSubject"/>
    <w:uiPriority w:val="99"/>
    <w:semiHidden/>
    <w:rsid w:val="008A426E"/>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01377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F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DF2"/>
    <w:pPr>
      <w:tabs>
        <w:tab w:val="center" w:pos="4513"/>
        <w:tab w:val="right" w:pos="9026"/>
      </w:tabs>
    </w:pPr>
  </w:style>
  <w:style w:type="character" w:customStyle="1" w:styleId="HeaderChar">
    <w:name w:val="Header Char"/>
    <w:basedOn w:val="DefaultParagraphFont"/>
    <w:link w:val="Header"/>
    <w:uiPriority w:val="99"/>
    <w:rsid w:val="00C62DF2"/>
    <w:rPr>
      <w:rFonts w:ascii="Calibri" w:eastAsia="Calibri" w:hAnsi="Calibri" w:cs="Times New Roman"/>
    </w:rPr>
  </w:style>
  <w:style w:type="paragraph" w:styleId="Footer">
    <w:name w:val="footer"/>
    <w:basedOn w:val="Normal"/>
    <w:link w:val="FooterChar"/>
    <w:uiPriority w:val="99"/>
    <w:unhideWhenUsed/>
    <w:rsid w:val="00C62DF2"/>
    <w:pPr>
      <w:tabs>
        <w:tab w:val="center" w:pos="4513"/>
        <w:tab w:val="right" w:pos="9026"/>
      </w:tabs>
    </w:pPr>
  </w:style>
  <w:style w:type="character" w:customStyle="1" w:styleId="FooterChar">
    <w:name w:val="Footer Char"/>
    <w:basedOn w:val="DefaultParagraphFont"/>
    <w:link w:val="Footer"/>
    <w:uiPriority w:val="99"/>
    <w:rsid w:val="00C62DF2"/>
    <w:rPr>
      <w:rFonts w:ascii="Calibri" w:eastAsia="Calibri" w:hAnsi="Calibri" w:cs="Times New Roman"/>
    </w:rPr>
  </w:style>
  <w:style w:type="paragraph" w:customStyle="1" w:styleId="H1">
    <w:name w:val="H1"/>
    <w:basedOn w:val="Normal"/>
    <w:uiPriority w:val="99"/>
    <w:rsid w:val="00C62DF2"/>
    <w:pPr>
      <w:suppressAutoHyphens/>
      <w:autoSpaceDE w:val="0"/>
      <w:autoSpaceDN w:val="0"/>
      <w:adjustRightInd w:val="0"/>
      <w:spacing w:before="283" w:after="283" w:line="280" w:lineRule="atLeast"/>
      <w:textAlignment w:val="center"/>
    </w:pPr>
    <w:rPr>
      <w:rFonts w:ascii="Verdana" w:hAnsi="Verdana" w:cs="Verdana"/>
      <w:b/>
      <w:bCs/>
      <w:color w:val="005696"/>
      <w:sz w:val="24"/>
      <w:szCs w:val="24"/>
      <w:u w:color="005596"/>
      <w:lang w:val="en-US" w:eastAsia="en-AU"/>
    </w:rPr>
  </w:style>
  <w:style w:type="character" w:styleId="Hyperlink">
    <w:name w:val="Hyperlink"/>
    <w:uiPriority w:val="99"/>
    <w:unhideWhenUsed/>
    <w:rsid w:val="00C62DF2"/>
    <w:rPr>
      <w:color w:val="0000FF"/>
      <w:u w:val="single"/>
    </w:rPr>
  </w:style>
  <w:style w:type="paragraph" w:styleId="ListParagraph">
    <w:name w:val="List Paragraph"/>
    <w:basedOn w:val="Normal"/>
    <w:uiPriority w:val="34"/>
    <w:qFormat/>
    <w:rsid w:val="00C62DF2"/>
    <w:pPr>
      <w:ind w:left="720"/>
      <w:contextualSpacing/>
    </w:pPr>
  </w:style>
  <w:style w:type="paragraph" w:styleId="BalloonText">
    <w:name w:val="Balloon Text"/>
    <w:basedOn w:val="Normal"/>
    <w:link w:val="BalloonTextChar"/>
    <w:uiPriority w:val="99"/>
    <w:semiHidden/>
    <w:unhideWhenUsed/>
    <w:rsid w:val="00C62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DF2"/>
    <w:rPr>
      <w:rFonts w:ascii="Tahoma" w:eastAsia="Calibri" w:hAnsi="Tahoma" w:cs="Tahoma"/>
      <w:sz w:val="16"/>
      <w:szCs w:val="16"/>
    </w:rPr>
  </w:style>
  <w:style w:type="paragraph" w:styleId="FootnoteText">
    <w:name w:val="footnote text"/>
    <w:basedOn w:val="Normal"/>
    <w:link w:val="FootnoteTextChar"/>
    <w:uiPriority w:val="99"/>
    <w:semiHidden/>
    <w:unhideWhenUsed/>
    <w:rsid w:val="00C62D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2DF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62DF2"/>
    <w:rPr>
      <w:vertAlign w:val="superscript"/>
    </w:rPr>
  </w:style>
  <w:style w:type="character" w:styleId="CommentReference">
    <w:name w:val="annotation reference"/>
    <w:basedOn w:val="DefaultParagraphFont"/>
    <w:uiPriority w:val="99"/>
    <w:semiHidden/>
    <w:unhideWhenUsed/>
    <w:rsid w:val="008A426E"/>
    <w:rPr>
      <w:sz w:val="16"/>
      <w:szCs w:val="16"/>
    </w:rPr>
  </w:style>
  <w:style w:type="paragraph" w:styleId="CommentText">
    <w:name w:val="annotation text"/>
    <w:basedOn w:val="Normal"/>
    <w:link w:val="CommentTextChar"/>
    <w:uiPriority w:val="99"/>
    <w:semiHidden/>
    <w:unhideWhenUsed/>
    <w:rsid w:val="008A426E"/>
    <w:pPr>
      <w:spacing w:line="240" w:lineRule="auto"/>
    </w:pPr>
    <w:rPr>
      <w:sz w:val="20"/>
      <w:szCs w:val="20"/>
    </w:rPr>
  </w:style>
  <w:style w:type="character" w:customStyle="1" w:styleId="CommentTextChar">
    <w:name w:val="Comment Text Char"/>
    <w:basedOn w:val="DefaultParagraphFont"/>
    <w:link w:val="CommentText"/>
    <w:uiPriority w:val="99"/>
    <w:semiHidden/>
    <w:rsid w:val="008A426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A426E"/>
    <w:rPr>
      <w:b/>
      <w:bCs/>
    </w:rPr>
  </w:style>
  <w:style w:type="character" w:customStyle="1" w:styleId="CommentSubjectChar">
    <w:name w:val="Comment Subject Char"/>
    <w:basedOn w:val="CommentTextChar"/>
    <w:link w:val="CommentSubject"/>
    <w:uiPriority w:val="99"/>
    <w:semiHidden/>
    <w:rsid w:val="008A426E"/>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0137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7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0.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0.jpe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94</Value>
      <Value>93</Value>
      <Value>101</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This research investigated the factors that facilitate students reaching Year 12. </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General Public</TermName>
          <TermId xmlns="http://schemas.microsoft.com/office/infopath/2007/PartnerControls">ef488336-45f4-40cf-bd6f-84d3a45c44c0</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BC226-35CC-4C08-83D6-60BD2D0D8A51}"/>
</file>

<file path=customXml/itemProps2.xml><?xml version="1.0" encoding="utf-8"?>
<ds:datastoreItem xmlns:ds="http://schemas.openxmlformats.org/officeDocument/2006/customXml" ds:itemID="{C516BB36-C4FA-4662-BDAC-AAA9591C0D3F}"/>
</file>

<file path=customXml/itemProps3.xml><?xml version="1.0" encoding="utf-8"?>
<ds:datastoreItem xmlns:ds="http://schemas.openxmlformats.org/officeDocument/2006/customXml" ds:itemID="{596B29D6-E41C-41FC-A429-92A3BEF4515A}"/>
</file>

<file path=customXml/itemProps4.xml><?xml version="1.0" encoding="utf-8"?>
<ds:datastoreItem xmlns:ds="http://schemas.openxmlformats.org/officeDocument/2006/customXml" ds:itemID="{ABC564B9-4E60-4CB4-93F5-DCD48929CAAB}"/>
</file>

<file path=docProps/app.xml><?xml version="1.0" encoding="utf-8"?>
<Properties xmlns="http://schemas.openxmlformats.org/officeDocument/2006/extended-properties" xmlns:vt="http://schemas.openxmlformats.org/officeDocument/2006/docPropsVTypes">
  <Template>Normal.dotm</Template>
  <TotalTime>55</TotalTime>
  <Pages>2</Pages>
  <Words>574</Words>
  <Characters>3273</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Peer effects and achievement in Victorian Schools</vt:lpstr>
      <vt:lpstr/>
    </vt:vector>
  </TitlesOfParts>
  <Company>DEECD</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Reaching Year 12 Student and School Influences</dc:title>
  <dc:creator>Endekov, Zoran Z</dc:creator>
  <cp:lastModifiedBy>Endekov, Zoran Z</cp:lastModifiedBy>
  <cp:revision>17</cp:revision>
  <cp:lastPrinted>2014-08-19T00:00:00Z</cp:lastPrinted>
  <dcterms:created xsi:type="dcterms:W3CDTF">2014-08-19T00:14:00Z</dcterms:created>
  <dcterms:modified xsi:type="dcterms:W3CDTF">2014-11-20T04:24:00Z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93;#General Public|ef488336-45f4-40cf-bd6f-84d3a45c44c0</vt:lpwstr>
  </property>
  <property fmtid="{D5CDD505-2E9C-101B-9397-08002B2CF9AE}" pid="7" name="Order">
    <vt:r8>1991000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