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FC1EB" w14:textId="3C46F2A3" w:rsidR="005750CF" w:rsidRPr="0067161B" w:rsidRDefault="005750CF" w:rsidP="0067161B">
      <w:pPr>
        <w:pStyle w:val="Title"/>
        <w:jc w:val="center"/>
        <w:rPr>
          <w:b/>
          <w:bCs/>
        </w:rPr>
      </w:pPr>
      <w:r w:rsidRPr="0067161B">
        <w:rPr>
          <w:b/>
          <w:bCs/>
        </w:rPr>
        <w:t>On Track 20</w:t>
      </w:r>
      <w:r w:rsidR="00004EB5" w:rsidRPr="0067161B">
        <w:rPr>
          <w:b/>
          <w:bCs/>
        </w:rPr>
        <w:t>2</w:t>
      </w:r>
      <w:r w:rsidR="00184036">
        <w:rPr>
          <w:b/>
          <w:bCs/>
        </w:rPr>
        <w:t>2</w:t>
      </w:r>
      <w:r w:rsidRPr="0067161B">
        <w:rPr>
          <w:b/>
          <w:bCs/>
        </w:rPr>
        <w:t>: Destinations of Victorian School Leavers</w:t>
      </w:r>
    </w:p>
    <w:p w14:paraId="5A8823B6" w14:textId="51386840" w:rsidR="0067161B" w:rsidRPr="0067161B" w:rsidRDefault="00302AFC" w:rsidP="001F65C6">
      <w:pPr>
        <w:pStyle w:val="Heading1"/>
      </w:pPr>
      <w:r w:rsidRPr="005750CF">
        <w:t xml:space="preserve">About the </w:t>
      </w:r>
      <w:r w:rsidR="00BC4C7B">
        <w:t>s</w:t>
      </w:r>
      <w:r w:rsidRPr="005750CF">
        <w:t>tudy</w:t>
      </w:r>
    </w:p>
    <w:p w14:paraId="187230B4" w14:textId="55A76A20" w:rsidR="003558E1" w:rsidRDefault="005750CF" w:rsidP="00F74AAE">
      <w:pPr>
        <w:spacing w:line="240" w:lineRule="auto"/>
        <w:contextualSpacing/>
        <w:rPr>
          <w:rFonts w:cstheme="minorHAnsi"/>
        </w:rPr>
      </w:pPr>
      <w:r w:rsidRPr="00922B25">
        <w:rPr>
          <w:rFonts w:cstheme="minorHAnsi"/>
        </w:rPr>
        <w:t>Since 2003</w:t>
      </w:r>
      <w:r w:rsidR="00183785" w:rsidRPr="00922B25">
        <w:rPr>
          <w:rFonts w:cstheme="minorHAnsi"/>
        </w:rPr>
        <w:t>,</w:t>
      </w:r>
      <w:r w:rsidRPr="00922B25">
        <w:rPr>
          <w:rFonts w:cstheme="minorHAnsi"/>
        </w:rPr>
        <w:t xml:space="preserve"> t</w:t>
      </w:r>
      <w:r w:rsidR="00627192" w:rsidRPr="00922B25">
        <w:rPr>
          <w:rFonts w:cstheme="minorHAnsi"/>
        </w:rPr>
        <w:t xml:space="preserve">he annual </w:t>
      </w:r>
      <w:r w:rsidR="00302AFC" w:rsidRPr="00922B25">
        <w:rPr>
          <w:rFonts w:cstheme="minorHAnsi"/>
        </w:rPr>
        <w:t xml:space="preserve">On Track survey </w:t>
      </w:r>
      <w:r w:rsidRPr="00922B25">
        <w:rPr>
          <w:rFonts w:cstheme="minorHAnsi"/>
        </w:rPr>
        <w:t>has followed</w:t>
      </w:r>
      <w:r w:rsidR="00683A8F" w:rsidRPr="00922B25">
        <w:rPr>
          <w:rFonts w:cstheme="minorHAnsi"/>
        </w:rPr>
        <w:t xml:space="preserve"> the outcomes of</w:t>
      </w:r>
      <w:r w:rsidR="00627192" w:rsidRPr="00922B25">
        <w:rPr>
          <w:rFonts w:cstheme="minorHAnsi"/>
        </w:rPr>
        <w:t xml:space="preserve"> Victorian students </w:t>
      </w:r>
      <w:r w:rsidR="00302AFC" w:rsidRPr="00922B25">
        <w:rPr>
          <w:rFonts w:cstheme="minorHAnsi"/>
        </w:rPr>
        <w:t xml:space="preserve">who finish Year 12 and those who leave </w:t>
      </w:r>
      <w:r w:rsidR="0024773F" w:rsidRPr="00922B25">
        <w:rPr>
          <w:rFonts w:cstheme="minorHAnsi"/>
        </w:rPr>
        <w:t>school before completion</w:t>
      </w:r>
      <w:r w:rsidR="00302AFC" w:rsidRPr="00922B25">
        <w:rPr>
          <w:rFonts w:cstheme="minorHAnsi"/>
        </w:rPr>
        <w:t xml:space="preserve">. </w:t>
      </w:r>
      <w:r w:rsidR="00302AFC" w:rsidRPr="00CD590D">
        <w:rPr>
          <w:rFonts w:cstheme="minorHAnsi"/>
        </w:rPr>
        <w:t xml:space="preserve">Between </w:t>
      </w:r>
      <w:r w:rsidR="00FA1658" w:rsidRPr="00CD590D">
        <w:rPr>
          <w:rFonts w:cstheme="minorHAnsi"/>
        </w:rPr>
        <w:t>September</w:t>
      </w:r>
      <w:r w:rsidR="00217518" w:rsidRPr="00CD590D">
        <w:rPr>
          <w:rFonts w:cstheme="minorHAnsi"/>
        </w:rPr>
        <w:t xml:space="preserve"> </w:t>
      </w:r>
      <w:r w:rsidRPr="00CD590D">
        <w:rPr>
          <w:rFonts w:cstheme="minorHAnsi"/>
        </w:rPr>
        <w:t xml:space="preserve">and </w:t>
      </w:r>
      <w:r w:rsidR="00FA1658" w:rsidRPr="00CD590D">
        <w:rPr>
          <w:rFonts w:cstheme="minorHAnsi"/>
        </w:rPr>
        <w:t>November</w:t>
      </w:r>
      <w:r w:rsidR="00217518" w:rsidRPr="00CD590D">
        <w:rPr>
          <w:rFonts w:cstheme="minorHAnsi"/>
        </w:rPr>
        <w:t xml:space="preserve"> </w:t>
      </w:r>
      <w:r w:rsidR="006F172D" w:rsidRPr="00CD590D">
        <w:rPr>
          <w:rFonts w:cstheme="minorHAnsi"/>
        </w:rPr>
        <w:t>202</w:t>
      </w:r>
      <w:r w:rsidR="00922B25" w:rsidRPr="00CD590D">
        <w:rPr>
          <w:rFonts w:cstheme="minorHAnsi"/>
        </w:rPr>
        <w:t>2</w:t>
      </w:r>
      <w:r w:rsidR="00302AFC" w:rsidRPr="00CD590D">
        <w:rPr>
          <w:rFonts w:cstheme="minorHAnsi"/>
        </w:rPr>
        <w:t>,</w:t>
      </w:r>
      <w:r w:rsidR="00302AFC" w:rsidRPr="00922B25">
        <w:rPr>
          <w:rFonts w:cstheme="minorHAnsi"/>
        </w:rPr>
        <w:t xml:space="preserve"> the Department</w:t>
      </w:r>
      <w:r w:rsidR="00DB1143">
        <w:rPr>
          <w:rFonts w:cstheme="minorHAnsi"/>
        </w:rPr>
        <w:t xml:space="preserve"> of Education</w:t>
      </w:r>
      <w:r w:rsidR="00302AFC" w:rsidRPr="00922B25">
        <w:rPr>
          <w:rFonts w:cstheme="minorHAnsi"/>
        </w:rPr>
        <w:t xml:space="preserve"> surveyed </w:t>
      </w:r>
      <w:r w:rsidR="00922B25" w:rsidRPr="00922B25">
        <w:rPr>
          <w:rFonts w:cstheme="minorHAnsi"/>
        </w:rPr>
        <w:t>21,428</w:t>
      </w:r>
      <w:r w:rsidR="00683A8F" w:rsidRPr="00922B25">
        <w:rPr>
          <w:rFonts w:cstheme="minorHAnsi"/>
        </w:rPr>
        <w:t xml:space="preserve"> </w:t>
      </w:r>
      <w:r w:rsidR="00302AFC" w:rsidRPr="00922B25">
        <w:rPr>
          <w:rFonts w:cstheme="minorHAnsi"/>
        </w:rPr>
        <w:t>students who completed Year 12</w:t>
      </w:r>
      <w:r w:rsidR="005B2AD6" w:rsidRPr="00922B25">
        <w:rPr>
          <w:rFonts w:cstheme="minorHAnsi"/>
        </w:rPr>
        <w:t xml:space="preserve"> in 20</w:t>
      </w:r>
      <w:r w:rsidR="00D120EB" w:rsidRPr="00922B25">
        <w:rPr>
          <w:rFonts w:cstheme="minorHAnsi"/>
        </w:rPr>
        <w:t>2</w:t>
      </w:r>
      <w:r w:rsidR="00922B25" w:rsidRPr="00922B25">
        <w:rPr>
          <w:rFonts w:cstheme="minorHAnsi"/>
        </w:rPr>
        <w:t>1</w:t>
      </w:r>
      <w:r w:rsidR="00302AFC" w:rsidRPr="00922B25">
        <w:rPr>
          <w:rFonts w:cstheme="minorHAnsi"/>
        </w:rPr>
        <w:t xml:space="preserve"> and </w:t>
      </w:r>
      <w:r w:rsidR="00922B25" w:rsidRPr="00922B25">
        <w:rPr>
          <w:rFonts w:cstheme="minorHAnsi"/>
        </w:rPr>
        <w:t>1</w:t>
      </w:r>
      <w:r w:rsidR="00DF7119">
        <w:rPr>
          <w:rFonts w:cstheme="minorHAnsi"/>
        </w:rPr>
        <w:t>,</w:t>
      </w:r>
      <w:r w:rsidR="00922B25" w:rsidRPr="00922B25">
        <w:rPr>
          <w:rFonts w:cstheme="minorHAnsi"/>
        </w:rPr>
        <w:t>571</w:t>
      </w:r>
      <w:r w:rsidR="00302AFC" w:rsidRPr="00922B25">
        <w:rPr>
          <w:rFonts w:cstheme="minorHAnsi"/>
        </w:rPr>
        <w:t xml:space="preserve"> students who left school </w:t>
      </w:r>
      <w:r w:rsidR="00302AFC" w:rsidRPr="00C34263">
        <w:rPr>
          <w:rFonts w:cstheme="minorHAnsi"/>
        </w:rPr>
        <w:t xml:space="preserve">in Years 10, 11 or 12 </w:t>
      </w:r>
      <w:r w:rsidR="005B2AD6" w:rsidRPr="00C34263">
        <w:rPr>
          <w:rFonts w:cstheme="minorHAnsi"/>
        </w:rPr>
        <w:t>in 20</w:t>
      </w:r>
      <w:r w:rsidR="00D120EB" w:rsidRPr="00C34263">
        <w:rPr>
          <w:rFonts w:cstheme="minorHAnsi"/>
        </w:rPr>
        <w:t>2</w:t>
      </w:r>
      <w:r w:rsidR="00922B25" w:rsidRPr="00C34263">
        <w:rPr>
          <w:rFonts w:cstheme="minorHAnsi"/>
        </w:rPr>
        <w:t>1</w:t>
      </w:r>
      <w:r w:rsidR="00DF7119">
        <w:rPr>
          <w:rFonts w:cstheme="minorHAnsi"/>
        </w:rPr>
        <w:t xml:space="preserve"> (</w:t>
      </w:r>
      <w:r w:rsidR="00FE099C">
        <w:rPr>
          <w:rFonts w:cstheme="minorHAnsi"/>
        </w:rPr>
        <w:t>non-completers</w:t>
      </w:r>
      <w:r w:rsidR="00DF7119">
        <w:rPr>
          <w:rFonts w:cstheme="minorHAnsi"/>
        </w:rPr>
        <w:t>)</w:t>
      </w:r>
      <w:r w:rsidR="00DF7119" w:rsidRPr="00922B25">
        <w:rPr>
          <w:rFonts w:cstheme="minorHAnsi"/>
        </w:rPr>
        <w:t xml:space="preserve">. </w:t>
      </w:r>
      <w:r w:rsidR="009F04B5" w:rsidRPr="00922B25">
        <w:rPr>
          <w:rFonts w:cstheme="minorHAnsi"/>
        </w:rPr>
        <w:t>Th</w:t>
      </w:r>
      <w:r w:rsidR="004365D4" w:rsidRPr="00922B25">
        <w:rPr>
          <w:rFonts w:cstheme="minorHAnsi"/>
        </w:rPr>
        <w:t xml:space="preserve">e </w:t>
      </w:r>
      <w:r w:rsidR="00DF7119">
        <w:rPr>
          <w:rFonts w:cstheme="minorHAnsi"/>
        </w:rPr>
        <w:t>sample</w:t>
      </w:r>
      <w:r w:rsidR="009F04B5" w:rsidRPr="00922B25">
        <w:rPr>
          <w:rFonts w:cstheme="minorHAnsi"/>
        </w:rPr>
        <w:t xml:space="preserve"> included </w:t>
      </w:r>
      <w:r w:rsidR="00922B25" w:rsidRPr="00922B25">
        <w:rPr>
          <w:rFonts w:cstheme="minorHAnsi"/>
        </w:rPr>
        <w:t>12,555</w:t>
      </w:r>
      <w:r w:rsidR="009F04B5" w:rsidRPr="00922B25">
        <w:rPr>
          <w:rFonts w:cstheme="minorHAnsi"/>
        </w:rPr>
        <w:t xml:space="preserve"> female, </w:t>
      </w:r>
      <w:r w:rsidR="00922B25" w:rsidRPr="00922B25">
        <w:rPr>
          <w:rFonts w:cstheme="minorHAnsi"/>
        </w:rPr>
        <w:t>10,382</w:t>
      </w:r>
      <w:r w:rsidR="009F04B5" w:rsidRPr="00922B25">
        <w:rPr>
          <w:rFonts w:cstheme="minorHAnsi"/>
        </w:rPr>
        <w:t xml:space="preserve"> male</w:t>
      </w:r>
      <w:r w:rsidR="00DF7119">
        <w:rPr>
          <w:rFonts w:cstheme="minorHAnsi"/>
        </w:rPr>
        <w:t>,</w:t>
      </w:r>
      <w:r w:rsidR="00E33875" w:rsidRPr="00922B25">
        <w:rPr>
          <w:rFonts w:cstheme="minorHAnsi"/>
        </w:rPr>
        <w:t xml:space="preserve"> and </w:t>
      </w:r>
      <w:r w:rsidR="00922B25" w:rsidRPr="00922B25">
        <w:rPr>
          <w:rFonts w:cstheme="minorHAnsi"/>
        </w:rPr>
        <w:t>62</w:t>
      </w:r>
      <w:r w:rsidR="00742812" w:rsidRPr="00922B25">
        <w:rPr>
          <w:rFonts w:cstheme="minorHAnsi"/>
        </w:rPr>
        <w:t xml:space="preserve"> </w:t>
      </w:r>
      <w:r w:rsidR="00F36262" w:rsidRPr="00922B25">
        <w:rPr>
          <w:rFonts w:cstheme="minorHAnsi"/>
        </w:rPr>
        <w:t>respondents</w:t>
      </w:r>
      <w:r w:rsidR="00F36262">
        <w:rPr>
          <w:rFonts w:cstheme="minorHAnsi"/>
        </w:rPr>
        <w:t xml:space="preserve"> who </w:t>
      </w:r>
      <w:r w:rsidR="00F36262">
        <w:t>either did not identify as either male or female, or for whom such information was unavailable</w:t>
      </w:r>
      <w:r w:rsidR="004E11AC">
        <w:t>.</w:t>
      </w:r>
    </w:p>
    <w:p w14:paraId="33AE9372" w14:textId="77777777" w:rsidR="00192E36" w:rsidRDefault="00192E36" w:rsidP="00F74AAE">
      <w:pPr>
        <w:spacing w:line="240" w:lineRule="auto"/>
        <w:contextualSpacing/>
        <w:rPr>
          <w:rFonts w:cstheme="minorHAnsi"/>
        </w:rPr>
      </w:pPr>
    </w:p>
    <w:p w14:paraId="76C594A4" w14:textId="4814AACF" w:rsidR="00187CA7" w:rsidRDefault="000E1285" w:rsidP="00C04C02">
      <w:pPr>
        <w:pStyle w:val="Heading1"/>
      </w:pPr>
      <w:r>
        <w:t xml:space="preserve">Key </w:t>
      </w:r>
      <w:r w:rsidR="00BC4C7B">
        <w:t>f</w:t>
      </w:r>
      <w:r>
        <w:t xml:space="preserve">indings </w:t>
      </w:r>
      <w:r w:rsidR="00954402">
        <w:t>202</w:t>
      </w:r>
      <w:r w:rsidR="00184036">
        <w:t>2</w:t>
      </w:r>
    </w:p>
    <w:p w14:paraId="0E8D7838" w14:textId="04C753EB" w:rsidR="00CE15F9" w:rsidRPr="007F1283" w:rsidRDefault="00E248E1" w:rsidP="00E248E1">
      <w:pPr>
        <w:pStyle w:val="ListParagraph"/>
        <w:numPr>
          <w:ilvl w:val="0"/>
          <w:numId w:val="21"/>
        </w:numPr>
        <w:spacing w:after="120" w:line="240" w:lineRule="auto"/>
        <w:contextualSpacing w:val="0"/>
        <w:rPr>
          <w:rFonts w:cstheme="minorHAnsi"/>
        </w:rPr>
      </w:pPr>
      <w:r w:rsidRPr="007F1283">
        <w:rPr>
          <w:rFonts w:cstheme="minorHAnsi"/>
        </w:rPr>
        <w:t>Th</w:t>
      </w:r>
      <w:r w:rsidR="00CE15F9" w:rsidRPr="007F1283">
        <w:rPr>
          <w:rFonts w:cstheme="minorHAnsi"/>
        </w:rPr>
        <w:t>e</w:t>
      </w:r>
      <w:r w:rsidRPr="007F1283">
        <w:rPr>
          <w:rFonts w:cstheme="minorHAnsi"/>
        </w:rPr>
        <w:t xml:space="preserve"> </w:t>
      </w:r>
      <w:r w:rsidR="00CE15F9" w:rsidRPr="007F1283">
        <w:rPr>
          <w:rFonts w:cstheme="minorHAnsi"/>
        </w:rPr>
        <w:t>proportion of Year 12 completers in employment increased from 18.0% in 2021 to 24.3% in 2022</w:t>
      </w:r>
      <w:r w:rsidR="00AA648A" w:rsidRPr="007F1283">
        <w:rPr>
          <w:rFonts w:cstheme="minorHAnsi"/>
        </w:rPr>
        <w:t xml:space="preserve">, largely due to </w:t>
      </w:r>
      <w:r w:rsidR="00A027B9" w:rsidRPr="007F1283">
        <w:rPr>
          <w:rFonts w:cstheme="minorHAnsi"/>
        </w:rPr>
        <w:t>growth in</w:t>
      </w:r>
      <w:r w:rsidR="00AA648A" w:rsidRPr="007F1283">
        <w:rPr>
          <w:rFonts w:cstheme="minorHAnsi"/>
        </w:rPr>
        <w:t xml:space="preserve"> full-time employment</w:t>
      </w:r>
      <w:r w:rsidR="00CE15F9" w:rsidRPr="007F1283">
        <w:rPr>
          <w:rFonts w:cstheme="minorHAnsi"/>
        </w:rPr>
        <w:t>. The proportion of Year 12 completers who deferred further study also increased from 7.5% in 2021 to 10.3% in 2022.</w:t>
      </w:r>
    </w:p>
    <w:p w14:paraId="752B5976" w14:textId="455160F2" w:rsidR="00E248E1" w:rsidRPr="007F1283" w:rsidRDefault="00CE15F9" w:rsidP="00E248E1">
      <w:pPr>
        <w:pStyle w:val="ListParagraph"/>
        <w:numPr>
          <w:ilvl w:val="0"/>
          <w:numId w:val="21"/>
        </w:numPr>
        <w:spacing w:after="120" w:line="240" w:lineRule="auto"/>
        <w:contextualSpacing w:val="0"/>
        <w:rPr>
          <w:rFonts w:cstheme="minorHAnsi"/>
        </w:rPr>
      </w:pPr>
      <w:r w:rsidRPr="007F1283">
        <w:rPr>
          <w:rFonts w:cstheme="minorHAnsi"/>
        </w:rPr>
        <w:t>The</w:t>
      </w:r>
      <w:r w:rsidR="00207661" w:rsidRPr="007F1283">
        <w:rPr>
          <w:rFonts w:cstheme="minorHAnsi"/>
        </w:rPr>
        <w:t xml:space="preserve"> p</w:t>
      </w:r>
      <w:r w:rsidRPr="007F1283">
        <w:rPr>
          <w:rFonts w:cstheme="minorHAnsi"/>
        </w:rPr>
        <w:t>roportion of Year 12 completers undertaking a bachelor’s degree</w:t>
      </w:r>
      <w:r w:rsidR="00207661" w:rsidRPr="007F1283">
        <w:rPr>
          <w:rFonts w:cstheme="minorHAnsi"/>
        </w:rPr>
        <w:t xml:space="preserve"> decreased</w:t>
      </w:r>
      <w:r w:rsidRPr="007F1283">
        <w:rPr>
          <w:rFonts w:cstheme="minorHAnsi"/>
        </w:rPr>
        <w:t xml:space="preserve"> from </w:t>
      </w:r>
      <w:r w:rsidR="00934E1E" w:rsidRPr="007F1283">
        <w:rPr>
          <w:rFonts w:cstheme="minorHAnsi"/>
        </w:rPr>
        <w:t>56</w:t>
      </w:r>
      <w:r w:rsidRPr="007F1283">
        <w:rPr>
          <w:rFonts w:cstheme="minorHAnsi"/>
        </w:rPr>
        <w:t>.</w:t>
      </w:r>
      <w:r w:rsidR="00934E1E" w:rsidRPr="007F1283">
        <w:rPr>
          <w:rFonts w:cstheme="minorHAnsi"/>
        </w:rPr>
        <w:t>1</w:t>
      </w:r>
      <w:r w:rsidRPr="007F1283">
        <w:rPr>
          <w:rFonts w:cstheme="minorHAnsi"/>
        </w:rPr>
        <w:t xml:space="preserve">% in 2021 to </w:t>
      </w:r>
      <w:r w:rsidR="00934E1E" w:rsidRPr="007F1283">
        <w:rPr>
          <w:rFonts w:cstheme="minorHAnsi"/>
        </w:rPr>
        <w:t>52.3%</w:t>
      </w:r>
      <w:r w:rsidRPr="007F1283">
        <w:rPr>
          <w:rFonts w:cstheme="minorHAnsi"/>
        </w:rPr>
        <w:t xml:space="preserve"> in 2022. There was a </w:t>
      </w:r>
      <w:r w:rsidR="00A027B9" w:rsidRPr="007F1283">
        <w:rPr>
          <w:rFonts w:cstheme="minorHAnsi"/>
        </w:rPr>
        <w:t>slight</w:t>
      </w:r>
      <w:r w:rsidRPr="007F1283">
        <w:rPr>
          <w:rFonts w:cstheme="minorHAnsi"/>
        </w:rPr>
        <w:t xml:space="preserve"> decline in the proportion of completers undertaking a certificate/diploma from </w:t>
      </w:r>
      <w:r w:rsidR="00934E1E" w:rsidRPr="007F1283">
        <w:rPr>
          <w:rFonts w:cstheme="minorHAnsi"/>
        </w:rPr>
        <w:t>11.3</w:t>
      </w:r>
      <w:r w:rsidRPr="007F1283">
        <w:rPr>
          <w:rFonts w:cstheme="minorHAnsi"/>
        </w:rPr>
        <w:t xml:space="preserve">% in 2021 to </w:t>
      </w:r>
      <w:r w:rsidR="00934E1E" w:rsidRPr="007F1283">
        <w:rPr>
          <w:rFonts w:cstheme="minorHAnsi"/>
        </w:rPr>
        <w:t>9</w:t>
      </w:r>
      <w:r w:rsidRPr="007F1283">
        <w:rPr>
          <w:rFonts w:cstheme="minorHAnsi"/>
        </w:rPr>
        <w:t>.</w:t>
      </w:r>
      <w:r w:rsidR="00934E1E" w:rsidRPr="007F1283">
        <w:rPr>
          <w:rFonts w:cstheme="minorHAnsi"/>
        </w:rPr>
        <w:t>7</w:t>
      </w:r>
      <w:r w:rsidRPr="007F1283">
        <w:rPr>
          <w:rFonts w:cstheme="minorHAnsi"/>
        </w:rPr>
        <w:t>% in 2022.</w:t>
      </w:r>
      <w:r w:rsidR="00E248E1" w:rsidRPr="007F1283">
        <w:rPr>
          <w:rFonts w:cstheme="minorHAnsi"/>
        </w:rPr>
        <w:t xml:space="preserve"> </w:t>
      </w:r>
    </w:p>
    <w:p w14:paraId="27AE79AD" w14:textId="18105050" w:rsidR="00207661" w:rsidRPr="007F1283" w:rsidRDefault="00934E1E" w:rsidP="00207661">
      <w:pPr>
        <w:pStyle w:val="ListParagraph"/>
        <w:numPr>
          <w:ilvl w:val="0"/>
          <w:numId w:val="21"/>
        </w:numPr>
        <w:spacing w:after="120" w:line="240" w:lineRule="auto"/>
        <w:contextualSpacing w:val="0"/>
        <w:rPr>
          <w:rFonts w:cstheme="minorHAnsi"/>
        </w:rPr>
      </w:pPr>
      <w:r w:rsidRPr="007F1283">
        <w:rPr>
          <w:rFonts w:cstheme="minorHAnsi"/>
        </w:rPr>
        <w:t>The proportion of non-completers in employment increased considerably from 27.2% in 2021 to 37.8% in 2022</w:t>
      </w:r>
      <w:r w:rsidR="00A027B9" w:rsidRPr="007F1283">
        <w:rPr>
          <w:rFonts w:cstheme="minorHAnsi"/>
        </w:rPr>
        <w:t>, with similar increases</w:t>
      </w:r>
      <w:r w:rsidR="00207661" w:rsidRPr="007F1283">
        <w:rPr>
          <w:rFonts w:cstheme="minorHAnsi"/>
        </w:rPr>
        <w:t xml:space="preserve"> to</w:t>
      </w:r>
      <w:r w:rsidR="00A027B9" w:rsidRPr="007F1283">
        <w:rPr>
          <w:rFonts w:cstheme="minorHAnsi"/>
        </w:rPr>
        <w:t xml:space="preserve"> part-time and full-time employment.</w:t>
      </w:r>
      <w:r w:rsidR="008314C4" w:rsidRPr="007F1283">
        <w:rPr>
          <w:rFonts w:cstheme="minorHAnsi"/>
        </w:rPr>
        <w:t xml:space="preserve"> </w:t>
      </w:r>
      <w:r w:rsidR="008314C4" w:rsidRPr="007F1283">
        <w:t>There was also a decrease in the proportion of non-completers looking for work, from 14.6% in 2021 to 9.7% in 2022.</w:t>
      </w:r>
    </w:p>
    <w:p w14:paraId="65C6C41A" w14:textId="55417E03" w:rsidR="00F71283" w:rsidRPr="007F1283" w:rsidRDefault="00207661" w:rsidP="00207661">
      <w:pPr>
        <w:pStyle w:val="ListParagraph"/>
        <w:numPr>
          <w:ilvl w:val="0"/>
          <w:numId w:val="21"/>
        </w:numPr>
        <w:spacing w:after="120" w:line="240" w:lineRule="auto"/>
        <w:contextualSpacing w:val="0"/>
        <w:rPr>
          <w:rFonts w:cstheme="minorHAnsi"/>
        </w:rPr>
      </w:pPr>
      <w:r w:rsidRPr="007F1283">
        <w:rPr>
          <w:rFonts w:cstheme="minorHAnsi"/>
        </w:rPr>
        <w:t>T</w:t>
      </w:r>
      <w:r w:rsidR="00B36B4F" w:rsidRPr="007F1283">
        <w:rPr>
          <w:rFonts w:cstheme="minorHAnsi"/>
        </w:rPr>
        <w:t xml:space="preserve">he proportion of </w:t>
      </w:r>
      <w:r w:rsidR="00673422" w:rsidRPr="007F1283">
        <w:rPr>
          <w:rFonts w:cstheme="minorHAnsi"/>
        </w:rPr>
        <w:t>non-completers</w:t>
      </w:r>
      <w:r w:rsidR="00AD0496" w:rsidRPr="007F1283">
        <w:rPr>
          <w:rFonts w:cstheme="minorHAnsi"/>
        </w:rPr>
        <w:t xml:space="preserve"> </w:t>
      </w:r>
      <w:r w:rsidRPr="007F1283">
        <w:rPr>
          <w:rFonts w:cstheme="minorHAnsi"/>
        </w:rPr>
        <w:t xml:space="preserve">undertaking an apprenticeship/traineeship remained steady, while the proportion </w:t>
      </w:r>
      <w:r w:rsidR="00AA73D4" w:rsidRPr="007F1283">
        <w:rPr>
          <w:rFonts w:cstheme="minorHAnsi"/>
        </w:rPr>
        <w:t>enrolled in</w:t>
      </w:r>
      <w:r w:rsidR="00AD0496" w:rsidRPr="007F1283">
        <w:rPr>
          <w:rFonts w:cstheme="minorHAnsi"/>
        </w:rPr>
        <w:t xml:space="preserve"> </w:t>
      </w:r>
      <w:r w:rsidR="00E248E1" w:rsidRPr="007F1283">
        <w:rPr>
          <w:rFonts w:cstheme="minorHAnsi"/>
        </w:rPr>
        <w:t>a certificate/diploma</w:t>
      </w:r>
      <w:r w:rsidRPr="007F1283">
        <w:rPr>
          <w:rFonts w:cstheme="minorHAnsi"/>
        </w:rPr>
        <w:t xml:space="preserve"> decreased slightly from </w:t>
      </w:r>
      <w:r w:rsidR="00E248E1" w:rsidRPr="007F1283">
        <w:rPr>
          <w:rFonts w:cstheme="minorHAnsi"/>
        </w:rPr>
        <w:t>15.6%</w:t>
      </w:r>
      <w:r w:rsidR="00E410AA" w:rsidRPr="007F1283">
        <w:rPr>
          <w:rFonts w:cstheme="minorHAnsi"/>
        </w:rPr>
        <w:t xml:space="preserve"> in 2021</w:t>
      </w:r>
      <w:r w:rsidR="00E248E1" w:rsidRPr="007F1283">
        <w:rPr>
          <w:rFonts w:cstheme="minorHAnsi"/>
        </w:rPr>
        <w:t xml:space="preserve"> to </w:t>
      </w:r>
      <w:r w:rsidR="00AD0496" w:rsidRPr="007F1283">
        <w:rPr>
          <w:rFonts w:cstheme="minorHAnsi"/>
        </w:rPr>
        <w:t>12.0%</w:t>
      </w:r>
      <w:r w:rsidRPr="007F1283">
        <w:rPr>
          <w:rFonts w:cstheme="minorHAnsi"/>
        </w:rPr>
        <w:t xml:space="preserve"> to 2022</w:t>
      </w:r>
      <w:r w:rsidR="00640FF4" w:rsidRPr="007F1283">
        <w:rPr>
          <w:rFonts w:cstheme="minorHAnsi"/>
        </w:rPr>
        <w:t>.</w:t>
      </w:r>
    </w:p>
    <w:p w14:paraId="20740E15" w14:textId="4485DB3B" w:rsidR="003D21FF" w:rsidRPr="007F1283" w:rsidRDefault="00F43723" w:rsidP="00F74AAE">
      <w:pPr>
        <w:pStyle w:val="ListParagraph"/>
        <w:numPr>
          <w:ilvl w:val="0"/>
          <w:numId w:val="21"/>
        </w:numPr>
        <w:spacing w:after="120" w:line="240" w:lineRule="auto"/>
        <w:contextualSpacing w:val="0"/>
        <w:rPr>
          <w:rFonts w:cstheme="minorHAnsi"/>
        </w:rPr>
      </w:pPr>
      <w:r w:rsidRPr="007F1283">
        <w:rPr>
          <w:rFonts w:cstheme="minorHAnsi"/>
        </w:rPr>
        <w:t xml:space="preserve">The proportion of respondents </w:t>
      </w:r>
      <w:r w:rsidR="00B36B4F" w:rsidRPr="007F1283">
        <w:rPr>
          <w:rFonts w:cstheme="minorHAnsi"/>
        </w:rPr>
        <w:t>not</w:t>
      </w:r>
      <w:r w:rsidRPr="007F1283">
        <w:rPr>
          <w:rFonts w:cstheme="minorHAnsi"/>
        </w:rPr>
        <w:t xml:space="preserve"> in the labour force, </w:t>
      </w:r>
      <w:r w:rsidR="00EB4899" w:rsidRPr="007F1283">
        <w:rPr>
          <w:rFonts w:cstheme="minorHAnsi"/>
        </w:rPr>
        <w:t>education,</w:t>
      </w:r>
      <w:r w:rsidRPr="007F1283">
        <w:rPr>
          <w:rFonts w:cstheme="minorHAnsi"/>
        </w:rPr>
        <w:t xml:space="preserve"> or training (NILFET) </w:t>
      </w:r>
      <w:r w:rsidR="00B36B4F" w:rsidRPr="007F1283">
        <w:rPr>
          <w:rFonts w:cstheme="minorHAnsi"/>
        </w:rPr>
        <w:t>decrease</w:t>
      </w:r>
      <w:r w:rsidR="009D4574" w:rsidRPr="007F1283">
        <w:rPr>
          <w:rFonts w:cstheme="minorHAnsi"/>
        </w:rPr>
        <w:t>d</w:t>
      </w:r>
      <w:r w:rsidR="00B36B4F" w:rsidRPr="007F1283">
        <w:rPr>
          <w:rFonts w:cstheme="minorHAnsi"/>
        </w:rPr>
        <w:t xml:space="preserve"> slightly in 2022 for both Year 12 completers and </w:t>
      </w:r>
      <w:r w:rsidR="009D4574" w:rsidRPr="007F1283">
        <w:rPr>
          <w:rFonts w:cstheme="minorHAnsi"/>
        </w:rPr>
        <w:t>non-completers</w:t>
      </w:r>
      <w:r w:rsidRPr="007F1283">
        <w:rPr>
          <w:rFonts w:cstheme="minorHAnsi"/>
        </w:rPr>
        <w:t>. This followed a spike in 2020 that returned to pre-2020 levels in 2021.</w:t>
      </w:r>
    </w:p>
    <w:p w14:paraId="5E38460A" w14:textId="540E1327" w:rsidR="003927BA" w:rsidRDefault="003927BA" w:rsidP="003927BA">
      <w:pPr>
        <w:spacing w:after="120" w:line="240" w:lineRule="auto"/>
        <w:rPr>
          <w:rFonts w:cstheme="minorHAnsi"/>
        </w:rPr>
      </w:pPr>
    </w:p>
    <w:p w14:paraId="3B019E07" w14:textId="48184ABC" w:rsidR="003927BA" w:rsidRDefault="003927BA" w:rsidP="003927BA">
      <w:pPr>
        <w:spacing w:after="120" w:line="240" w:lineRule="auto"/>
        <w:rPr>
          <w:rFonts w:cstheme="minorHAnsi"/>
        </w:rPr>
      </w:pPr>
    </w:p>
    <w:p w14:paraId="0B618694" w14:textId="3D92F02A" w:rsidR="003927BA" w:rsidRDefault="003927BA" w:rsidP="003927BA"/>
    <w:p w14:paraId="4914516D" w14:textId="2F4C42F5" w:rsidR="003927BA" w:rsidRDefault="003927BA" w:rsidP="003927BA"/>
    <w:p w14:paraId="1BB17B7C" w14:textId="12043F94" w:rsidR="002B2E67" w:rsidRDefault="002B2E67" w:rsidP="003927BA"/>
    <w:p w14:paraId="4807BA5A" w14:textId="07AE162A" w:rsidR="002B2E67" w:rsidRDefault="002B2E67" w:rsidP="003927BA"/>
    <w:p w14:paraId="3C9504D4" w14:textId="28DB58C5" w:rsidR="002B2E67" w:rsidRDefault="002B2E67" w:rsidP="003927BA"/>
    <w:p w14:paraId="01E94AF9" w14:textId="79C79AF4" w:rsidR="002B2E67" w:rsidRDefault="002B2E67" w:rsidP="003927BA"/>
    <w:p w14:paraId="799084DD" w14:textId="77777777" w:rsidR="002B2E67" w:rsidRDefault="002B2E67" w:rsidP="003927BA"/>
    <w:p w14:paraId="4267E92E" w14:textId="6A87ABAC" w:rsidR="00941DEC" w:rsidRDefault="00B140AB" w:rsidP="00AB11E1">
      <w:pPr>
        <w:pStyle w:val="Heading1"/>
      </w:pPr>
      <w:r>
        <w:lastRenderedPageBreak/>
        <w:t>Destination</w:t>
      </w:r>
      <w:r w:rsidR="00110CB3">
        <w:t>s</w:t>
      </w:r>
      <w:r w:rsidRPr="005750CF">
        <w:t xml:space="preserve"> of Year 12 completers and </w:t>
      </w:r>
      <w:r>
        <w:t>non-completers</w:t>
      </w:r>
      <w:r w:rsidRPr="005750CF">
        <w:t xml:space="preserve"> </w:t>
      </w:r>
      <w:r>
        <w:t>differ</w:t>
      </w:r>
    </w:p>
    <w:p w14:paraId="03B3285B" w14:textId="7C746903" w:rsidR="008C1DE2" w:rsidRDefault="000E57F2" w:rsidP="00131AF7">
      <w:pPr>
        <w:spacing w:after="120" w:line="240" w:lineRule="auto"/>
        <w:rPr>
          <w:rFonts w:cstheme="minorHAnsi"/>
        </w:rPr>
      </w:pPr>
      <w:r>
        <w:rPr>
          <w:rFonts w:cstheme="minorHAnsi"/>
        </w:rPr>
        <w:t>The post-school destination</w:t>
      </w:r>
      <w:r w:rsidR="00D1752C">
        <w:rPr>
          <w:rFonts w:cstheme="minorHAnsi"/>
        </w:rPr>
        <w:t>s</w:t>
      </w:r>
      <w:r>
        <w:rPr>
          <w:rFonts w:cstheme="minorHAnsi"/>
        </w:rPr>
        <w:t xml:space="preserve"> of Year 12 completers and non-completers follow different but well-established patterns</w:t>
      </w:r>
      <w:r w:rsidR="008C1DE2">
        <w:rPr>
          <w:rFonts w:cstheme="minorHAnsi"/>
        </w:rPr>
        <w:t>, with</w:t>
      </w:r>
      <w:r>
        <w:rPr>
          <w:rFonts w:cstheme="minorHAnsi"/>
        </w:rPr>
        <w:t xml:space="preserve"> broad trends </w:t>
      </w:r>
      <w:r w:rsidR="008C1DE2">
        <w:rPr>
          <w:rFonts w:cstheme="minorHAnsi"/>
        </w:rPr>
        <w:t>from previous years continuing in 2022.</w:t>
      </w:r>
    </w:p>
    <w:p w14:paraId="58C9F457" w14:textId="265336DE" w:rsidR="00131AF7" w:rsidRDefault="00131AF7" w:rsidP="00131AF7">
      <w:pPr>
        <w:spacing w:after="120" w:line="240" w:lineRule="auto"/>
        <w:rPr>
          <w:rFonts w:cstheme="minorHAnsi"/>
        </w:rPr>
      </w:pPr>
      <w:r>
        <w:rPr>
          <w:rFonts w:cstheme="minorHAnsi"/>
        </w:rPr>
        <w:t>A large majority of Year 12 completers (72.2%) remain in education and training, with enrolment in a bachelor’s degree (52.3%) being the most popular destination. Year 12 completers not in education or training are slightly more likely to be in part-time employment (13.7% of all Year 12 completers) than full-time employment (10.6%).</w:t>
      </w:r>
    </w:p>
    <w:p w14:paraId="464FFF97" w14:textId="714E16B7" w:rsidR="00131AF7" w:rsidRDefault="00212AA6" w:rsidP="00131AF7">
      <w:pPr>
        <w:spacing w:after="120" w:line="240" w:lineRule="auto"/>
        <w:rPr>
          <w:rFonts w:cstheme="minorHAnsi"/>
        </w:rPr>
      </w:pPr>
      <w:r>
        <w:rPr>
          <w:rFonts w:cstheme="minorHAnsi"/>
        </w:rPr>
        <w:t>Around half</w:t>
      </w:r>
      <w:r w:rsidR="00131AF7">
        <w:rPr>
          <w:rFonts w:cstheme="minorHAnsi"/>
        </w:rPr>
        <w:t xml:space="preserve"> of non-completers </w:t>
      </w:r>
      <w:r>
        <w:rPr>
          <w:rFonts w:cstheme="minorHAnsi"/>
        </w:rPr>
        <w:t>continue</w:t>
      </w:r>
      <w:r w:rsidR="00131AF7">
        <w:rPr>
          <w:rFonts w:cstheme="minorHAnsi"/>
        </w:rPr>
        <w:t xml:space="preserve"> education and training (49.0%). Apprenticeships/traineeships remain the most popular destination for non-completers in education or training (35.4%</w:t>
      </w:r>
      <w:r>
        <w:rPr>
          <w:rFonts w:cstheme="minorHAnsi"/>
        </w:rPr>
        <w:t xml:space="preserve"> of all non-completers</w:t>
      </w:r>
      <w:r w:rsidR="00131AF7">
        <w:rPr>
          <w:rFonts w:cstheme="minorHAnsi"/>
        </w:rPr>
        <w:t xml:space="preserve">). Non-completers not in education or training were also slightly more likely to be in part-time employment (20.4% of all non-completers) than full-time employment (17.4%). </w:t>
      </w:r>
    </w:p>
    <w:p w14:paraId="74F8F91A" w14:textId="2413B06F" w:rsidR="00941DEC" w:rsidRPr="00941DEC" w:rsidRDefault="00941DEC" w:rsidP="00941DEC">
      <w:pPr>
        <w:rPr>
          <w:b/>
          <w:bCs/>
          <w:lang w:val="en-US"/>
        </w:rPr>
      </w:pPr>
      <w:r w:rsidRPr="00C56023">
        <w:rPr>
          <w:b/>
          <w:bCs/>
          <w:lang w:val="en-US"/>
        </w:rPr>
        <w:t>Destination</w:t>
      </w:r>
      <w:r w:rsidR="009D233D">
        <w:rPr>
          <w:b/>
          <w:bCs/>
          <w:lang w:val="en-US"/>
        </w:rPr>
        <w:t>s</w:t>
      </w:r>
      <w:r>
        <w:rPr>
          <w:b/>
          <w:bCs/>
          <w:lang w:val="en-US"/>
        </w:rPr>
        <w:t xml:space="preserve"> of</w:t>
      </w:r>
      <w:r w:rsidRPr="00C56023">
        <w:rPr>
          <w:b/>
          <w:bCs/>
          <w:lang w:val="en-US"/>
        </w:rPr>
        <w:t xml:space="preserve"> Year 12 completers</w:t>
      </w:r>
      <w:r>
        <w:rPr>
          <w:b/>
          <w:bCs/>
          <w:lang w:val="en-US"/>
        </w:rPr>
        <w:t xml:space="preserve"> and non-completers</w:t>
      </w:r>
      <w:r w:rsidRPr="00C56023">
        <w:rPr>
          <w:b/>
          <w:bCs/>
          <w:lang w:val="en-US"/>
        </w:rPr>
        <w:t>, 202</w:t>
      </w:r>
      <w:r>
        <w:rPr>
          <w:b/>
          <w:bCs/>
          <w:lang w:val="en-US"/>
        </w:rPr>
        <w:t>2</w:t>
      </w:r>
    </w:p>
    <w:tbl>
      <w:tblPr>
        <w:tblW w:w="7959" w:type="dxa"/>
        <w:tblLook w:val="04A0" w:firstRow="1" w:lastRow="0" w:firstColumn="1" w:lastColumn="0" w:noHBand="0" w:noVBand="1"/>
      </w:tblPr>
      <w:tblGrid>
        <w:gridCol w:w="3246"/>
        <w:gridCol w:w="2112"/>
        <w:gridCol w:w="2601"/>
      </w:tblGrid>
      <w:tr w:rsidR="0033344F" w:rsidRPr="0033344F" w14:paraId="3D45B57F" w14:textId="77777777" w:rsidTr="0033344F">
        <w:trPr>
          <w:trHeight w:val="294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7BC9" w14:textId="77777777" w:rsidR="0033344F" w:rsidRPr="0033344F" w:rsidRDefault="0033344F" w:rsidP="003334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3344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Destination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A324" w14:textId="77777777" w:rsidR="0033344F" w:rsidRPr="0033344F" w:rsidRDefault="0033344F" w:rsidP="002F0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3344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Year 12 completers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5CBE" w14:textId="55D3F70B" w:rsidR="0033344F" w:rsidRPr="0033344F" w:rsidRDefault="00FE099C" w:rsidP="00C7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Non-completers</w:t>
            </w:r>
          </w:p>
        </w:tc>
      </w:tr>
      <w:tr w:rsidR="0033344F" w:rsidRPr="0033344F" w14:paraId="7BA6E2FF" w14:textId="77777777" w:rsidTr="0033344F">
        <w:trPr>
          <w:trHeight w:val="304"/>
        </w:trPr>
        <w:tc>
          <w:tcPr>
            <w:tcW w:w="324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A620" w14:textId="0CD5158C" w:rsidR="0033344F" w:rsidRPr="0033344F" w:rsidRDefault="0033344F" w:rsidP="00333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344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In 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e</w:t>
            </w:r>
            <w:r w:rsidRPr="0033344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ducation or 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t</w:t>
            </w:r>
            <w:r w:rsidRPr="0033344F">
              <w:rPr>
                <w:rFonts w:ascii="Calibri" w:eastAsia="Times New Roman" w:hAnsi="Calibri" w:cs="Calibri"/>
                <w:color w:val="000000"/>
                <w:lang w:eastAsia="en-AU"/>
              </w:rPr>
              <w:t>raining</w:t>
            </w:r>
          </w:p>
        </w:tc>
        <w:tc>
          <w:tcPr>
            <w:tcW w:w="21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DD0F" w14:textId="77777777" w:rsidR="0033344F" w:rsidRPr="0033344F" w:rsidRDefault="0033344F" w:rsidP="00333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344F">
              <w:rPr>
                <w:rFonts w:ascii="Calibri" w:eastAsia="Times New Roman" w:hAnsi="Calibri" w:cs="Calibri"/>
                <w:color w:val="000000"/>
                <w:lang w:eastAsia="en-AU"/>
              </w:rPr>
              <w:t>72.2%</w:t>
            </w:r>
          </w:p>
        </w:tc>
        <w:tc>
          <w:tcPr>
            <w:tcW w:w="26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7493" w14:textId="77777777" w:rsidR="0033344F" w:rsidRPr="0033344F" w:rsidRDefault="0033344F" w:rsidP="00333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344F">
              <w:rPr>
                <w:rFonts w:ascii="Calibri" w:eastAsia="Times New Roman" w:hAnsi="Calibri" w:cs="Calibri"/>
                <w:color w:val="000000"/>
                <w:lang w:eastAsia="en-AU"/>
              </w:rPr>
              <w:t>49.0%</w:t>
            </w:r>
          </w:p>
        </w:tc>
      </w:tr>
      <w:tr w:rsidR="0033344F" w:rsidRPr="0033344F" w14:paraId="76B17A92" w14:textId="77777777" w:rsidTr="0033344F">
        <w:trPr>
          <w:trHeight w:val="304"/>
        </w:trPr>
        <w:tc>
          <w:tcPr>
            <w:tcW w:w="3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484C" w14:textId="0A6F6759" w:rsidR="0033344F" w:rsidRPr="0033344F" w:rsidRDefault="0033344F" w:rsidP="00333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344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Bachelor’s degree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6898" w14:textId="77777777" w:rsidR="0033344F" w:rsidRPr="0033344F" w:rsidRDefault="0033344F" w:rsidP="00333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344F">
              <w:rPr>
                <w:rFonts w:ascii="Calibri" w:eastAsia="Times New Roman" w:hAnsi="Calibri" w:cs="Calibri"/>
                <w:color w:val="000000"/>
                <w:lang w:eastAsia="en-AU"/>
              </w:rPr>
              <w:t>52.3%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7905" w14:textId="77777777" w:rsidR="0033344F" w:rsidRPr="0033344F" w:rsidRDefault="0033344F" w:rsidP="00333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344F">
              <w:rPr>
                <w:rFonts w:ascii="Calibri" w:eastAsia="Times New Roman" w:hAnsi="Calibri" w:cs="Calibri"/>
                <w:color w:val="000000"/>
                <w:lang w:eastAsia="en-AU"/>
              </w:rPr>
              <w:t>1.6%</w:t>
            </w:r>
          </w:p>
        </w:tc>
      </w:tr>
      <w:tr w:rsidR="0033344F" w:rsidRPr="0033344F" w14:paraId="4CDABABE" w14:textId="77777777" w:rsidTr="0033344F">
        <w:trPr>
          <w:trHeight w:val="294"/>
        </w:trPr>
        <w:tc>
          <w:tcPr>
            <w:tcW w:w="3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375E" w14:textId="77777777" w:rsidR="0033344F" w:rsidRPr="0033344F" w:rsidRDefault="0033344F" w:rsidP="00333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344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Apprenticeship/traineeship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BC3B" w14:textId="77777777" w:rsidR="0033344F" w:rsidRPr="0033344F" w:rsidRDefault="0033344F" w:rsidP="00333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344F">
              <w:rPr>
                <w:rFonts w:ascii="Calibri" w:eastAsia="Times New Roman" w:hAnsi="Calibri" w:cs="Calibri"/>
                <w:color w:val="000000"/>
                <w:lang w:eastAsia="en-AU"/>
              </w:rPr>
              <w:t>10.2%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0E48" w14:textId="77777777" w:rsidR="0033344F" w:rsidRPr="0033344F" w:rsidRDefault="0033344F" w:rsidP="00333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344F">
              <w:rPr>
                <w:rFonts w:ascii="Calibri" w:eastAsia="Times New Roman" w:hAnsi="Calibri" w:cs="Calibri"/>
                <w:color w:val="000000"/>
                <w:lang w:eastAsia="en-AU"/>
              </w:rPr>
              <w:t>35.4%</w:t>
            </w:r>
          </w:p>
        </w:tc>
      </w:tr>
      <w:tr w:rsidR="0033344F" w:rsidRPr="0033344F" w14:paraId="49670A71" w14:textId="77777777" w:rsidTr="0033344F">
        <w:trPr>
          <w:trHeight w:val="294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FC03" w14:textId="77777777" w:rsidR="0033344F" w:rsidRPr="0033344F" w:rsidRDefault="0033344F" w:rsidP="00333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344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Certificates/diplomas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FBFF" w14:textId="77777777" w:rsidR="0033344F" w:rsidRPr="0033344F" w:rsidRDefault="0033344F" w:rsidP="00333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344F">
              <w:rPr>
                <w:rFonts w:ascii="Calibri" w:eastAsia="Times New Roman" w:hAnsi="Calibri" w:cs="Calibri"/>
                <w:color w:val="000000"/>
                <w:lang w:eastAsia="en-AU"/>
              </w:rPr>
              <w:t>9.7%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37B0" w14:textId="77777777" w:rsidR="0033344F" w:rsidRPr="0033344F" w:rsidRDefault="0033344F" w:rsidP="00333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344F">
              <w:rPr>
                <w:rFonts w:ascii="Calibri" w:eastAsia="Times New Roman" w:hAnsi="Calibri" w:cs="Calibri"/>
                <w:color w:val="000000"/>
                <w:lang w:eastAsia="en-AU"/>
              </w:rPr>
              <w:t>12.0%</w:t>
            </w:r>
          </w:p>
        </w:tc>
      </w:tr>
      <w:tr w:rsidR="0033344F" w:rsidRPr="0033344F" w14:paraId="173722AF" w14:textId="77777777" w:rsidTr="0033344F">
        <w:trPr>
          <w:trHeight w:val="304"/>
        </w:trPr>
        <w:tc>
          <w:tcPr>
            <w:tcW w:w="324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710A" w14:textId="4317D15A" w:rsidR="0033344F" w:rsidRPr="0033344F" w:rsidRDefault="0033344F" w:rsidP="00333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344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Not in 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e</w:t>
            </w:r>
            <w:r w:rsidRPr="0033344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ducation or 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t</w:t>
            </w:r>
            <w:r w:rsidRPr="0033344F">
              <w:rPr>
                <w:rFonts w:ascii="Calibri" w:eastAsia="Times New Roman" w:hAnsi="Calibri" w:cs="Calibri"/>
                <w:color w:val="000000"/>
                <w:lang w:eastAsia="en-AU"/>
              </w:rPr>
              <w:t>raining</w:t>
            </w:r>
          </w:p>
        </w:tc>
        <w:tc>
          <w:tcPr>
            <w:tcW w:w="21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33E6" w14:textId="77777777" w:rsidR="0033344F" w:rsidRPr="0033344F" w:rsidRDefault="0033344F" w:rsidP="00333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344F">
              <w:rPr>
                <w:rFonts w:ascii="Calibri" w:eastAsia="Times New Roman" w:hAnsi="Calibri" w:cs="Calibri"/>
                <w:color w:val="000000"/>
                <w:lang w:eastAsia="en-AU"/>
              </w:rPr>
              <w:t>27.8%</w:t>
            </w:r>
          </w:p>
        </w:tc>
        <w:tc>
          <w:tcPr>
            <w:tcW w:w="26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B8EC" w14:textId="77777777" w:rsidR="0033344F" w:rsidRPr="0033344F" w:rsidRDefault="0033344F" w:rsidP="00333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344F">
              <w:rPr>
                <w:rFonts w:ascii="Calibri" w:eastAsia="Times New Roman" w:hAnsi="Calibri" w:cs="Calibri"/>
                <w:color w:val="000000"/>
                <w:lang w:eastAsia="en-AU"/>
              </w:rPr>
              <w:t>51.0%</w:t>
            </w:r>
          </w:p>
        </w:tc>
      </w:tr>
      <w:tr w:rsidR="000B2222" w:rsidRPr="0033344F" w14:paraId="779E4C89" w14:textId="77777777" w:rsidTr="0033344F">
        <w:trPr>
          <w:trHeight w:val="304"/>
        </w:trPr>
        <w:tc>
          <w:tcPr>
            <w:tcW w:w="3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2476B" w14:textId="4AAC8C71" w:rsidR="000B2222" w:rsidRPr="0033344F" w:rsidRDefault="000B2222" w:rsidP="00333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Deferred*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A9117" w14:textId="7BA02B5D" w:rsidR="000B2222" w:rsidRPr="0033344F" w:rsidRDefault="000B2222" w:rsidP="00333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10.3%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CE232" w14:textId="4FEC718A" w:rsidR="000B2222" w:rsidRPr="0033344F" w:rsidRDefault="000B2222" w:rsidP="00333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N/A</w:t>
            </w:r>
          </w:p>
        </w:tc>
      </w:tr>
      <w:tr w:rsidR="0033344F" w:rsidRPr="0033344F" w14:paraId="603B5235" w14:textId="77777777" w:rsidTr="0033344F">
        <w:trPr>
          <w:trHeight w:val="304"/>
        </w:trPr>
        <w:tc>
          <w:tcPr>
            <w:tcW w:w="3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4B3F" w14:textId="77777777" w:rsidR="0033344F" w:rsidRPr="0033344F" w:rsidRDefault="0033344F" w:rsidP="00333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344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Employed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8828" w14:textId="77777777" w:rsidR="0033344F" w:rsidRPr="0033344F" w:rsidRDefault="0033344F" w:rsidP="00333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344F">
              <w:rPr>
                <w:rFonts w:ascii="Calibri" w:eastAsia="Times New Roman" w:hAnsi="Calibri" w:cs="Calibri"/>
                <w:color w:val="000000"/>
                <w:lang w:eastAsia="en-AU"/>
              </w:rPr>
              <w:t>24.3%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18F6" w14:textId="77777777" w:rsidR="0033344F" w:rsidRPr="0033344F" w:rsidRDefault="0033344F" w:rsidP="00333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344F">
              <w:rPr>
                <w:rFonts w:ascii="Calibri" w:eastAsia="Times New Roman" w:hAnsi="Calibri" w:cs="Calibri"/>
                <w:color w:val="000000"/>
                <w:lang w:eastAsia="en-AU"/>
              </w:rPr>
              <w:t>37.8%</w:t>
            </w:r>
          </w:p>
        </w:tc>
      </w:tr>
      <w:tr w:rsidR="0033344F" w:rsidRPr="0033344F" w14:paraId="0E92D82B" w14:textId="77777777" w:rsidTr="0033344F">
        <w:trPr>
          <w:trHeight w:val="294"/>
        </w:trPr>
        <w:tc>
          <w:tcPr>
            <w:tcW w:w="3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A7F9" w14:textId="77777777" w:rsidR="0033344F" w:rsidRPr="0033344F" w:rsidRDefault="0033344F" w:rsidP="003334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33344F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        Employed full-time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EACE" w14:textId="77777777" w:rsidR="0033344F" w:rsidRPr="0033344F" w:rsidRDefault="0033344F" w:rsidP="00333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344F">
              <w:rPr>
                <w:rFonts w:ascii="Calibri" w:eastAsia="Times New Roman" w:hAnsi="Calibri" w:cs="Calibri"/>
                <w:color w:val="000000"/>
                <w:lang w:eastAsia="en-AU"/>
              </w:rPr>
              <w:t>10.6%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912A" w14:textId="77777777" w:rsidR="0033344F" w:rsidRPr="0033344F" w:rsidRDefault="0033344F" w:rsidP="00333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344F">
              <w:rPr>
                <w:rFonts w:ascii="Calibri" w:eastAsia="Times New Roman" w:hAnsi="Calibri" w:cs="Calibri"/>
                <w:color w:val="000000"/>
                <w:lang w:eastAsia="en-AU"/>
              </w:rPr>
              <w:t>17.4%</w:t>
            </w:r>
          </w:p>
        </w:tc>
      </w:tr>
      <w:tr w:rsidR="0033344F" w:rsidRPr="0033344F" w14:paraId="593E08FF" w14:textId="77777777" w:rsidTr="0033344F">
        <w:trPr>
          <w:trHeight w:val="294"/>
        </w:trPr>
        <w:tc>
          <w:tcPr>
            <w:tcW w:w="3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B048" w14:textId="77777777" w:rsidR="0033344F" w:rsidRPr="0033344F" w:rsidRDefault="0033344F" w:rsidP="003334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33344F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        Employed part-time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78A5" w14:textId="77777777" w:rsidR="0033344F" w:rsidRPr="0033344F" w:rsidRDefault="0033344F" w:rsidP="00333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344F">
              <w:rPr>
                <w:rFonts w:ascii="Calibri" w:eastAsia="Times New Roman" w:hAnsi="Calibri" w:cs="Calibri"/>
                <w:color w:val="000000"/>
                <w:lang w:eastAsia="en-AU"/>
              </w:rPr>
              <w:t>13.7%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3E83" w14:textId="77777777" w:rsidR="0033344F" w:rsidRPr="0033344F" w:rsidRDefault="0033344F" w:rsidP="00333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344F">
              <w:rPr>
                <w:rFonts w:ascii="Calibri" w:eastAsia="Times New Roman" w:hAnsi="Calibri" w:cs="Calibri"/>
                <w:color w:val="000000"/>
                <w:lang w:eastAsia="en-AU"/>
              </w:rPr>
              <w:t>20.4%</w:t>
            </w:r>
          </w:p>
        </w:tc>
      </w:tr>
      <w:tr w:rsidR="0033344F" w:rsidRPr="0033344F" w14:paraId="40BBB3C5" w14:textId="77777777" w:rsidTr="0033344F">
        <w:trPr>
          <w:trHeight w:val="294"/>
        </w:trPr>
        <w:tc>
          <w:tcPr>
            <w:tcW w:w="3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FD92" w14:textId="77777777" w:rsidR="0033344F" w:rsidRPr="0033344F" w:rsidRDefault="0033344F" w:rsidP="00333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344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Looking for work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A932" w14:textId="77777777" w:rsidR="0033344F" w:rsidRPr="0033344F" w:rsidRDefault="0033344F" w:rsidP="00333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344F">
              <w:rPr>
                <w:rFonts w:ascii="Calibri" w:eastAsia="Times New Roman" w:hAnsi="Calibri" w:cs="Calibri"/>
                <w:color w:val="000000"/>
                <w:lang w:eastAsia="en-AU"/>
              </w:rPr>
              <w:t>2.7%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D73B" w14:textId="77777777" w:rsidR="0033344F" w:rsidRPr="0033344F" w:rsidRDefault="0033344F" w:rsidP="00333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344F">
              <w:rPr>
                <w:rFonts w:ascii="Calibri" w:eastAsia="Times New Roman" w:hAnsi="Calibri" w:cs="Calibri"/>
                <w:color w:val="000000"/>
                <w:lang w:eastAsia="en-AU"/>
              </w:rPr>
              <w:t>9.7%</w:t>
            </w:r>
          </w:p>
        </w:tc>
      </w:tr>
      <w:tr w:rsidR="0033344F" w:rsidRPr="0033344F" w14:paraId="4D28E3ED" w14:textId="77777777" w:rsidTr="0033344F">
        <w:trPr>
          <w:trHeight w:val="294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7563" w14:textId="77777777" w:rsidR="0033344F" w:rsidRPr="0033344F" w:rsidRDefault="0033344F" w:rsidP="00333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344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NILFET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5B97" w14:textId="77777777" w:rsidR="0033344F" w:rsidRPr="0033344F" w:rsidRDefault="0033344F" w:rsidP="00333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344F">
              <w:rPr>
                <w:rFonts w:ascii="Calibri" w:eastAsia="Times New Roman" w:hAnsi="Calibri" w:cs="Calibri"/>
                <w:color w:val="000000"/>
                <w:lang w:eastAsia="en-AU"/>
              </w:rPr>
              <w:t>0.8%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76D0" w14:textId="77777777" w:rsidR="0033344F" w:rsidRPr="0033344F" w:rsidRDefault="0033344F" w:rsidP="00333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344F">
              <w:rPr>
                <w:rFonts w:ascii="Calibri" w:eastAsia="Times New Roman" w:hAnsi="Calibri" w:cs="Calibri"/>
                <w:color w:val="000000"/>
                <w:lang w:eastAsia="en-AU"/>
              </w:rPr>
              <w:t>3.4%</w:t>
            </w:r>
          </w:p>
        </w:tc>
      </w:tr>
    </w:tbl>
    <w:p w14:paraId="07B72D63" w14:textId="4F6CFB74" w:rsidR="0033344F" w:rsidRPr="002718C7" w:rsidRDefault="000B2222" w:rsidP="0033344F">
      <w:pPr>
        <w:spacing w:after="120" w:line="240" w:lineRule="auto"/>
        <w:rPr>
          <w:rFonts w:cstheme="minorHAnsi"/>
          <w:i/>
          <w:iCs/>
        </w:rPr>
      </w:pPr>
      <w:r w:rsidRPr="001059C0">
        <w:rPr>
          <w:rFonts w:cstheme="minorHAnsi"/>
          <w:i/>
          <w:iCs/>
        </w:rPr>
        <w:t>Note</w:t>
      </w:r>
      <w:r w:rsidR="00A9058C" w:rsidRPr="001059C0">
        <w:rPr>
          <w:rFonts w:cstheme="minorHAnsi"/>
          <w:i/>
          <w:iCs/>
        </w:rPr>
        <w:t>:</w:t>
      </w:r>
      <w:r w:rsidRPr="001059C0">
        <w:rPr>
          <w:rFonts w:cstheme="minorHAnsi"/>
          <w:i/>
          <w:iCs/>
        </w:rPr>
        <w:t xml:space="preserve"> </w:t>
      </w:r>
      <w:r w:rsidR="002718C7" w:rsidRPr="001059C0">
        <w:rPr>
          <w:rFonts w:cstheme="minorHAnsi"/>
          <w:i/>
          <w:iCs/>
        </w:rPr>
        <w:t>Respondents that have</w:t>
      </w:r>
      <w:r w:rsidRPr="001059C0">
        <w:rPr>
          <w:rFonts w:cstheme="minorHAnsi"/>
          <w:i/>
          <w:iCs/>
        </w:rPr>
        <w:t xml:space="preserve"> deferred</w:t>
      </w:r>
      <w:r w:rsidR="002718C7" w:rsidRPr="001059C0">
        <w:rPr>
          <w:rFonts w:cstheme="minorHAnsi"/>
          <w:i/>
          <w:iCs/>
        </w:rPr>
        <w:t xml:space="preserve"> study</w:t>
      </w:r>
      <w:r w:rsidRPr="001059C0">
        <w:rPr>
          <w:rFonts w:cstheme="minorHAnsi"/>
          <w:i/>
          <w:iCs/>
        </w:rPr>
        <w:t xml:space="preserve"> are distributed across the remaining categories under not in education or training, </w:t>
      </w:r>
      <w:r w:rsidR="00CC7A13">
        <w:rPr>
          <w:rFonts w:cstheme="minorHAnsi"/>
          <w:i/>
          <w:iCs/>
        </w:rPr>
        <w:t>that is</w:t>
      </w:r>
      <w:r w:rsidRPr="001059C0">
        <w:rPr>
          <w:rFonts w:cstheme="minorHAnsi"/>
          <w:i/>
          <w:iCs/>
        </w:rPr>
        <w:t xml:space="preserve">, they are counted twice. The proportion of respondents that have deferred </w:t>
      </w:r>
      <w:r w:rsidR="00755187">
        <w:rPr>
          <w:rFonts w:cstheme="minorHAnsi"/>
          <w:i/>
          <w:iCs/>
        </w:rPr>
        <w:t>does</w:t>
      </w:r>
      <w:r w:rsidRPr="001059C0">
        <w:rPr>
          <w:rFonts w:cstheme="minorHAnsi"/>
          <w:i/>
          <w:iCs/>
        </w:rPr>
        <w:t xml:space="preserve"> therefore not </w:t>
      </w:r>
      <w:r w:rsidR="00755187">
        <w:rPr>
          <w:rFonts w:cstheme="minorHAnsi"/>
          <w:i/>
          <w:iCs/>
        </w:rPr>
        <w:t>contribute to</w:t>
      </w:r>
      <w:r w:rsidRPr="001059C0">
        <w:rPr>
          <w:rFonts w:cstheme="minorHAnsi"/>
          <w:i/>
          <w:iCs/>
        </w:rPr>
        <w:t xml:space="preserve"> the total proportion not in education o</w:t>
      </w:r>
      <w:r w:rsidR="00BD125D">
        <w:rPr>
          <w:rFonts w:cstheme="minorHAnsi"/>
          <w:i/>
          <w:iCs/>
        </w:rPr>
        <w:t>r</w:t>
      </w:r>
      <w:r w:rsidRPr="001059C0">
        <w:rPr>
          <w:rFonts w:cstheme="minorHAnsi"/>
          <w:i/>
          <w:iCs/>
        </w:rPr>
        <w:t xml:space="preserve"> training.</w:t>
      </w:r>
    </w:p>
    <w:p w14:paraId="21DF3032" w14:textId="0A48AA90" w:rsidR="009D233D" w:rsidRDefault="009D233D" w:rsidP="00B34FD3">
      <w:pPr>
        <w:spacing w:after="120" w:line="240" w:lineRule="auto"/>
        <w:rPr>
          <w:rFonts w:cstheme="minorHAnsi"/>
        </w:rPr>
      </w:pPr>
    </w:p>
    <w:p w14:paraId="20C40140" w14:textId="1A70AACD" w:rsidR="009D233D" w:rsidRDefault="009D233D" w:rsidP="00B34FD3">
      <w:pPr>
        <w:spacing w:after="120" w:line="240" w:lineRule="auto"/>
        <w:rPr>
          <w:rFonts w:cstheme="minorHAnsi"/>
        </w:rPr>
      </w:pPr>
    </w:p>
    <w:p w14:paraId="6F5536F0" w14:textId="3329856E" w:rsidR="009D233D" w:rsidRDefault="009D233D" w:rsidP="00B34FD3">
      <w:pPr>
        <w:spacing w:after="120" w:line="240" w:lineRule="auto"/>
        <w:rPr>
          <w:rFonts w:cstheme="minorHAnsi"/>
        </w:rPr>
      </w:pPr>
    </w:p>
    <w:p w14:paraId="5AF0AAB2" w14:textId="5DD1516B" w:rsidR="009D233D" w:rsidRDefault="009D233D" w:rsidP="00B34FD3">
      <w:pPr>
        <w:spacing w:after="120" w:line="240" w:lineRule="auto"/>
        <w:rPr>
          <w:rFonts w:cstheme="minorHAnsi"/>
        </w:rPr>
      </w:pPr>
    </w:p>
    <w:p w14:paraId="422D5F25" w14:textId="61A7F025" w:rsidR="009D233D" w:rsidRDefault="009D233D" w:rsidP="00B34FD3">
      <w:pPr>
        <w:spacing w:after="120" w:line="240" w:lineRule="auto"/>
        <w:rPr>
          <w:rFonts w:cstheme="minorHAnsi"/>
        </w:rPr>
      </w:pPr>
    </w:p>
    <w:p w14:paraId="02B4B641" w14:textId="69C083EC" w:rsidR="009D233D" w:rsidRDefault="009D233D" w:rsidP="00B34FD3">
      <w:pPr>
        <w:spacing w:after="120" w:line="240" w:lineRule="auto"/>
        <w:rPr>
          <w:rFonts w:cstheme="minorHAnsi"/>
        </w:rPr>
      </w:pPr>
    </w:p>
    <w:p w14:paraId="1991EA4D" w14:textId="0DD6563B" w:rsidR="009D233D" w:rsidRDefault="009D233D" w:rsidP="00B34FD3">
      <w:pPr>
        <w:spacing w:after="120" w:line="240" w:lineRule="auto"/>
        <w:rPr>
          <w:rFonts w:cstheme="minorHAnsi"/>
        </w:rPr>
      </w:pPr>
    </w:p>
    <w:p w14:paraId="72B6C922" w14:textId="694F03ED" w:rsidR="009D233D" w:rsidRDefault="009D233D" w:rsidP="00B34FD3">
      <w:pPr>
        <w:spacing w:after="120" w:line="240" w:lineRule="auto"/>
        <w:rPr>
          <w:rFonts w:cstheme="minorHAnsi"/>
        </w:rPr>
      </w:pPr>
    </w:p>
    <w:p w14:paraId="17568E91" w14:textId="6EA800A1" w:rsidR="009D233D" w:rsidRDefault="009D233D" w:rsidP="00B34FD3">
      <w:pPr>
        <w:spacing w:after="120" w:line="240" w:lineRule="auto"/>
        <w:rPr>
          <w:rFonts w:cstheme="minorHAnsi"/>
        </w:rPr>
      </w:pPr>
    </w:p>
    <w:p w14:paraId="3E2D03EB" w14:textId="5FFC29B5" w:rsidR="009D233D" w:rsidRDefault="009D233D" w:rsidP="00B34FD3">
      <w:pPr>
        <w:spacing w:after="120" w:line="240" w:lineRule="auto"/>
        <w:rPr>
          <w:rFonts w:cstheme="minorHAnsi"/>
        </w:rPr>
      </w:pPr>
    </w:p>
    <w:p w14:paraId="67D8EEB3" w14:textId="77777777" w:rsidR="009D233D" w:rsidRPr="00B34FD3" w:rsidRDefault="009D233D" w:rsidP="00B34FD3">
      <w:pPr>
        <w:spacing w:after="120" w:line="240" w:lineRule="auto"/>
        <w:rPr>
          <w:rFonts w:cstheme="minorHAnsi"/>
        </w:rPr>
      </w:pPr>
    </w:p>
    <w:p w14:paraId="6A96A2DB" w14:textId="33E070D1" w:rsidR="0091089F" w:rsidRDefault="00071F26" w:rsidP="008A10C9">
      <w:pPr>
        <w:pStyle w:val="Heading1"/>
        <w:rPr>
          <w:rFonts w:cstheme="minorHAnsi"/>
        </w:rPr>
      </w:pPr>
      <w:r>
        <w:lastRenderedPageBreak/>
        <w:t xml:space="preserve">Destinations patterns have been largely stable over time, </w:t>
      </w:r>
      <w:r w:rsidR="004D19BB">
        <w:t>with</w:t>
      </w:r>
      <w:r>
        <w:t xml:space="preserve"> a few notable changes in 2022</w:t>
      </w:r>
    </w:p>
    <w:p w14:paraId="34584E7D" w14:textId="4A9F0E7D" w:rsidR="00976F7D" w:rsidRPr="007F1283" w:rsidRDefault="00976F7D" w:rsidP="007A5ABF">
      <w:pPr>
        <w:spacing w:after="120" w:line="240" w:lineRule="auto"/>
        <w:rPr>
          <w:rFonts w:cstheme="minorHAnsi"/>
        </w:rPr>
      </w:pPr>
      <w:r w:rsidRPr="007F1283">
        <w:rPr>
          <w:rFonts w:cstheme="minorHAnsi"/>
        </w:rPr>
        <w:t>The proportion of Year 12 completers in employment increased from 18.0% in 2021 to 24.3% in 202</w:t>
      </w:r>
      <w:r w:rsidR="004A795B" w:rsidRPr="007F1283">
        <w:rPr>
          <w:rFonts w:cstheme="minorHAnsi"/>
        </w:rPr>
        <w:t>2</w:t>
      </w:r>
      <w:r w:rsidRPr="007F1283">
        <w:rPr>
          <w:rFonts w:cstheme="minorHAnsi"/>
        </w:rPr>
        <w:t xml:space="preserve">. This increase was driven by growth in the proportion </w:t>
      </w:r>
      <w:r w:rsidR="00565993" w:rsidRPr="007F1283">
        <w:rPr>
          <w:rFonts w:cstheme="minorHAnsi"/>
        </w:rPr>
        <w:t>engaged</w:t>
      </w:r>
      <w:r w:rsidRPr="007F1283">
        <w:rPr>
          <w:rFonts w:cstheme="minorHAnsi"/>
        </w:rPr>
        <w:t xml:space="preserve"> in full-time employment from 6.0% in 2021 to 10.6% 2022.</w:t>
      </w:r>
    </w:p>
    <w:p w14:paraId="487D48BA" w14:textId="613A03F9" w:rsidR="00A774CA" w:rsidRDefault="00C625FC" w:rsidP="007A5ABF">
      <w:pPr>
        <w:spacing w:after="120" w:line="240" w:lineRule="auto"/>
        <w:rPr>
          <w:rFonts w:cstheme="minorHAnsi"/>
        </w:rPr>
      </w:pPr>
      <w:r w:rsidRPr="007F1283">
        <w:rPr>
          <w:rFonts w:cstheme="minorHAnsi"/>
        </w:rPr>
        <w:t>Th</w:t>
      </w:r>
      <w:r w:rsidR="00976F7D" w:rsidRPr="007F1283">
        <w:rPr>
          <w:rFonts w:cstheme="minorHAnsi"/>
        </w:rPr>
        <w:t>e p</w:t>
      </w:r>
      <w:r w:rsidRPr="007F1283">
        <w:rPr>
          <w:rFonts w:cstheme="minorHAnsi"/>
        </w:rPr>
        <w:t xml:space="preserve">roportion of completers </w:t>
      </w:r>
      <w:r w:rsidR="0091089F" w:rsidRPr="007F1283">
        <w:rPr>
          <w:rFonts w:cstheme="minorHAnsi"/>
        </w:rPr>
        <w:t>purs</w:t>
      </w:r>
      <w:r w:rsidR="004746CA" w:rsidRPr="007F1283">
        <w:rPr>
          <w:rFonts w:cstheme="minorHAnsi"/>
        </w:rPr>
        <w:t>u</w:t>
      </w:r>
      <w:r w:rsidR="0091089F" w:rsidRPr="007F1283">
        <w:rPr>
          <w:rFonts w:cstheme="minorHAnsi"/>
        </w:rPr>
        <w:t>ing a bachelor’s degree decreas</w:t>
      </w:r>
      <w:r w:rsidR="00976F7D" w:rsidRPr="007F1283">
        <w:rPr>
          <w:rFonts w:cstheme="minorHAnsi"/>
        </w:rPr>
        <w:t>ed</w:t>
      </w:r>
      <w:r w:rsidR="0091089F" w:rsidRPr="007F1283">
        <w:rPr>
          <w:rFonts w:cstheme="minorHAnsi"/>
        </w:rPr>
        <w:t xml:space="preserve"> from 56.1% in 2021 to 52.3% in 2022</w:t>
      </w:r>
      <w:r w:rsidRPr="007F1283">
        <w:rPr>
          <w:rFonts w:cstheme="minorHAnsi"/>
        </w:rPr>
        <w:t xml:space="preserve">. </w:t>
      </w:r>
      <w:r w:rsidR="00820450" w:rsidRPr="007F1283">
        <w:rPr>
          <w:rFonts w:cstheme="minorHAnsi"/>
        </w:rPr>
        <w:t>This decrease is partly explained by an increase in the proportion</w:t>
      </w:r>
      <w:r w:rsidR="00BA3FA9" w:rsidRPr="007F1283">
        <w:rPr>
          <w:rFonts w:cstheme="minorHAnsi"/>
        </w:rPr>
        <w:t xml:space="preserve"> </w:t>
      </w:r>
      <w:r w:rsidR="00820450" w:rsidRPr="007F1283">
        <w:rPr>
          <w:rFonts w:cstheme="minorHAnsi"/>
        </w:rPr>
        <w:t>deferr</w:t>
      </w:r>
      <w:r w:rsidR="00BA3FA9" w:rsidRPr="007F1283">
        <w:rPr>
          <w:rFonts w:cstheme="minorHAnsi"/>
        </w:rPr>
        <w:t xml:space="preserve">ing </w:t>
      </w:r>
      <w:r w:rsidR="00820450" w:rsidRPr="007F1283">
        <w:rPr>
          <w:rFonts w:cstheme="minorHAnsi"/>
        </w:rPr>
        <w:t>study</w:t>
      </w:r>
      <w:r w:rsidR="00976F7D" w:rsidRPr="007F1283">
        <w:rPr>
          <w:rFonts w:cstheme="minorHAnsi"/>
        </w:rPr>
        <w:t>, which returned to 10.3%</w:t>
      </w:r>
      <w:r w:rsidR="00A92A4F" w:rsidRPr="007F1283">
        <w:rPr>
          <w:rFonts w:cstheme="minorHAnsi"/>
        </w:rPr>
        <w:t xml:space="preserve"> in 2022</w:t>
      </w:r>
      <w:r w:rsidR="00976F7D" w:rsidRPr="007F1283">
        <w:rPr>
          <w:rFonts w:cstheme="minorHAnsi"/>
        </w:rPr>
        <w:t xml:space="preserve"> after an historic low of 7.5% in 2021.</w:t>
      </w:r>
    </w:p>
    <w:p w14:paraId="68CD6643" w14:textId="5CCF86AA" w:rsidR="00301B5A" w:rsidRPr="00301B5A" w:rsidRDefault="00301B5A" w:rsidP="007A5ABF">
      <w:pPr>
        <w:spacing w:after="120" w:line="240" w:lineRule="auto"/>
        <w:rPr>
          <w:rFonts w:cstheme="minorHAnsi"/>
          <w:b/>
          <w:bCs/>
        </w:rPr>
      </w:pPr>
      <w:r w:rsidRPr="00301B5A">
        <w:rPr>
          <w:rFonts w:cstheme="minorHAnsi"/>
          <w:b/>
          <w:bCs/>
        </w:rPr>
        <w:t>Figure 1</w:t>
      </w:r>
      <w:r w:rsidR="009D233D">
        <w:rPr>
          <w:rFonts w:cstheme="minorHAnsi"/>
          <w:b/>
          <w:bCs/>
        </w:rPr>
        <w:t>:</w:t>
      </w:r>
      <w:r w:rsidRPr="00301B5A">
        <w:rPr>
          <w:rFonts w:cstheme="minorHAnsi"/>
          <w:b/>
          <w:bCs/>
        </w:rPr>
        <w:t xml:space="preserve"> </w:t>
      </w:r>
      <w:r w:rsidR="00A933B4">
        <w:rPr>
          <w:rFonts w:cstheme="minorHAnsi"/>
          <w:b/>
          <w:bCs/>
        </w:rPr>
        <w:t xml:space="preserve">Proportion of Year 12 completers </w:t>
      </w:r>
      <w:r w:rsidR="00B741BA">
        <w:rPr>
          <w:rFonts w:cstheme="minorHAnsi"/>
          <w:b/>
          <w:bCs/>
        </w:rPr>
        <w:t>by</w:t>
      </w:r>
      <w:r w:rsidR="00A933B4">
        <w:rPr>
          <w:rFonts w:cstheme="minorHAnsi"/>
          <w:b/>
          <w:bCs/>
        </w:rPr>
        <w:t xml:space="preserve"> destination, 2018 to 2022</w:t>
      </w:r>
    </w:p>
    <w:p w14:paraId="32728990" w14:textId="7161B11B" w:rsidR="005747B7" w:rsidRDefault="00E4444A" w:rsidP="00974222">
      <w:pPr>
        <w:spacing w:after="120" w:line="240" w:lineRule="auto"/>
      </w:pPr>
      <w:r>
        <w:rPr>
          <w:noProof/>
        </w:rPr>
        <w:drawing>
          <wp:inline distT="0" distB="0" distL="0" distR="0" wp14:anchorId="0D03B312" wp14:editId="6A6E19EE">
            <wp:extent cx="5400000" cy="2887200"/>
            <wp:effectExtent l="0" t="0" r="6350" b="889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23B4398-5A0A-1121-D5BD-F6F4E32492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52EEE82" w14:textId="6FB7227D" w:rsidR="005747B7" w:rsidRPr="007F1283" w:rsidRDefault="005747B7" w:rsidP="00B140AB">
      <w:r w:rsidRPr="007F1283">
        <w:t xml:space="preserve">The proportion of non-completers in employment increased substantially from 27.2% in 2021 to 37.8% in 2022, with similar increases to part-time and full-time employment. There were also fewer non-completers looking for work (14.6% in 2021 compared to 9.7% in 2022). These changes continue trends observed from 2020 to 2021. </w:t>
      </w:r>
    </w:p>
    <w:p w14:paraId="22A7448E" w14:textId="60AE2DF0" w:rsidR="00A774CA" w:rsidRDefault="00F34625" w:rsidP="00B140AB">
      <w:r w:rsidRPr="007F1283">
        <w:t>The proportion of non-completers in</w:t>
      </w:r>
      <w:r w:rsidR="009343AA" w:rsidRPr="007F1283">
        <w:t xml:space="preserve"> apprenticeships/traineeships remained stable</w:t>
      </w:r>
      <w:r w:rsidRPr="007F1283">
        <w:t xml:space="preserve"> </w:t>
      </w:r>
      <w:r w:rsidR="00AF08AD" w:rsidRPr="007F1283">
        <w:t>(</w:t>
      </w:r>
      <w:r w:rsidR="00F41337" w:rsidRPr="007F1283">
        <w:t xml:space="preserve">35.9% in 2021 and </w:t>
      </w:r>
      <w:r w:rsidR="00AF08AD" w:rsidRPr="007F1283">
        <w:t>35.4%</w:t>
      </w:r>
      <w:r w:rsidR="00F41337" w:rsidRPr="007F1283">
        <w:t xml:space="preserve"> in 2022</w:t>
      </w:r>
      <w:r w:rsidR="00AF08AD" w:rsidRPr="007F1283">
        <w:t>)</w:t>
      </w:r>
      <w:r w:rsidR="009343AA" w:rsidRPr="007F1283">
        <w:t>.</w:t>
      </w:r>
      <w:r w:rsidR="00CF3E89" w:rsidRPr="007F1283">
        <w:t xml:space="preserve"> </w:t>
      </w:r>
      <w:r w:rsidR="005747B7" w:rsidRPr="007F1283">
        <w:t>The proportion of non-completers enrolled in a certificate/diploma</w:t>
      </w:r>
      <w:r w:rsidR="00C93DB2" w:rsidRPr="007F1283">
        <w:t xml:space="preserve"> decrease</w:t>
      </w:r>
      <w:r w:rsidR="00350F58" w:rsidRPr="007F1283">
        <w:t>d</w:t>
      </w:r>
      <w:r w:rsidR="00C93DB2" w:rsidRPr="007F1283">
        <w:t xml:space="preserve"> slightly from </w:t>
      </w:r>
      <w:r w:rsidR="005747B7" w:rsidRPr="007F1283">
        <w:t>15.6% in 2021 to 12.0% in 2022.</w:t>
      </w:r>
    </w:p>
    <w:p w14:paraId="7242B897" w14:textId="04B06967" w:rsidR="00DC540F" w:rsidRDefault="00DC540F" w:rsidP="00B140AB"/>
    <w:p w14:paraId="7EC8414C" w14:textId="637DF93E" w:rsidR="00DC540F" w:rsidRDefault="00DC540F" w:rsidP="00B140AB"/>
    <w:p w14:paraId="72CFAA71" w14:textId="23CAB8F9" w:rsidR="00DC540F" w:rsidRDefault="00DC540F" w:rsidP="00B140AB"/>
    <w:p w14:paraId="3326EF1E" w14:textId="77B01063" w:rsidR="00DC540F" w:rsidRDefault="00DC540F" w:rsidP="00B140AB"/>
    <w:p w14:paraId="2559A653" w14:textId="77777777" w:rsidR="00A774CA" w:rsidRDefault="00A774CA" w:rsidP="00A933B4">
      <w:pPr>
        <w:spacing w:after="120" w:line="240" w:lineRule="auto"/>
      </w:pPr>
    </w:p>
    <w:p w14:paraId="2ACC52A1" w14:textId="43D6404A" w:rsidR="00796699" w:rsidRDefault="00796699" w:rsidP="00A933B4">
      <w:pPr>
        <w:spacing w:after="120" w:line="240" w:lineRule="auto"/>
      </w:pPr>
    </w:p>
    <w:p w14:paraId="3591244C" w14:textId="13075366" w:rsidR="00C93DB2" w:rsidRDefault="00C93DB2" w:rsidP="00A933B4">
      <w:pPr>
        <w:spacing w:after="120" w:line="240" w:lineRule="auto"/>
      </w:pPr>
    </w:p>
    <w:p w14:paraId="1B17215C" w14:textId="61678DD4" w:rsidR="00976F7D" w:rsidRDefault="00976F7D" w:rsidP="00A933B4">
      <w:pPr>
        <w:spacing w:after="120" w:line="240" w:lineRule="auto"/>
      </w:pPr>
    </w:p>
    <w:p w14:paraId="5CB8DBD3" w14:textId="77777777" w:rsidR="00976F7D" w:rsidRDefault="00976F7D" w:rsidP="00A933B4">
      <w:pPr>
        <w:spacing w:after="120" w:line="240" w:lineRule="auto"/>
      </w:pPr>
    </w:p>
    <w:p w14:paraId="755C4B68" w14:textId="77777777" w:rsidR="00796699" w:rsidRDefault="00796699" w:rsidP="00A933B4">
      <w:pPr>
        <w:spacing w:after="120" w:line="240" w:lineRule="auto"/>
      </w:pPr>
    </w:p>
    <w:p w14:paraId="4A71D0AA" w14:textId="63AF72AF" w:rsidR="00A933B4" w:rsidRPr="00301B5A" w:rsidRDefault="00A933B4" w:rsidP="00A933B4">
      <w:pPr>
        <w:spacing w:after="120" w:line="240" w:lineRule="auto"/>
        <w:rPr>
          <w:rFonts w:cstheme="minorHAnsi"/>
          <w:b/>
          <w:bCs/>
        </w:rPr>
      </w:pPr>
      <w:r w:rsidRPr="00301B5A">
        <w:rPr>
          <w:rFonts w:cstheme="minorHAnsi"/>
          <w:b/>
          <w:bCs/>
        </w:rPr>
        <w:lastRenderedPageBreak/>
        <w:t xml:space="preserve">Figure </w:t>
      </w:r>
      <w:r w:rsidR="009D233D">
        <w:rPr>
          <w:rFonts w:cstheme="minorHAnsi"/>
          <w:b/>
          <w:bCs/>
        </w:rPr>
        <w:t>2:</w:t>
      </w:r>
      <w:r w:rsidRPr="00301B5A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Proportion of non-completers </w:t>
      </w:r>
      <w:r w:rsidR="00C951A6">
        <w:rPr>
          <w:rFonts w:cstheme="minorHAnsi"/>
          <w:b/>
          <w:bCs/>
        </w:rPr>
        <w:t>by</w:t>
      </w:r>
      <w:r>
        <w:rPr>
          <w:rFonts w:cstheme="minorHAnsi"/>
          <w:b/>
          <w:bCs/>
        </w:rPr>
        <w:t xml:space="preserve"> destination, 201</w:t>
      </w:r>
      <w:r w:rsidR="0028388C">
        <w:rPr>
          <w:rFonts w:cstheme="minorHAnsi"/>
          <w:b/>
          <w:bCs/>
        </w:rPr>
        <w:t>8</w:t>
      </w:r>
      <w:r>
        <w:rPr>
          <w:rFonts w:cstheme="minorHAnsi"/>
          <w:b/>
          <w:bCs/>
        </w:rPr>
        <w:t xml:space="preserve"> to 2022</w:t>
      </w:r>
    </w:p>
    <w:p w14:paraId="04BDF0F5" w14:textId="4777679B" w:rsidR="008B4513" w:rsidRDefault="00E4444A" w:rsidP="00B140AB">
      <w:r>
        <w:rPr>
          <w:noProof/>
        </w:rPr>
        <w:drawing>
          <wp:inline distT="0" distB="0" distL="0" distR="0" wp14:anchorId="4285C966" wp14:editId="5C14A526">
            <wp:extent cx="5403175" cy="2887200"/>
            <wp:effectExtent l="0" t="0" r="7620" b="889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DB5FB5B4-1653-92F6-5669-2B41B5621AC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1E5FBF9" w14:textId="273B0196" w:rsidR="007A5ABF" w:rsidRDefault="0059440F" w:rsidP="00B140AB">
      <w:r>
        <w:t xml:space="preserve">The 2020 On Track </w:t>
      </w:r>
      <w:r w:rsidR="00290272">
        <w:t xml:space="preserve">survey </w:t>
      </w:r>
      <w:r>
        <w:t xml:space="preserve">showed an increase in the proportion of respondents not </w:t>
      </w:r>
      <w:r w:rsidR="008E3138">
        <w:t xml:space="preserve">in the labour force, education, or training </w:t>
      </w:r>
      <w:r>
        <w:t>(NILFET)</w:t>
      </w:r>
      <w:r w:rsidR="008A10C9">
        <w:t xml:space="preserve"> for both Year 12 completers</w:t>
      </w:r>
      <w:r w:rsidR="008E3C6B">
        <w:t xml:space="preserve"> (</w:t>
      </w:r>
      <w:r w:rsidR="00AA0154">
        <w:t>1.5</w:t>
      </w:r>
      <w:r w:rsidR="008E3C6B">
        <w:t>%)</w:t>
      </w:r>
      <w:r w:rsidR="008A10C9">
        <w:t xml:space="preserve"> and non-completers</w:t>
      </w:r>
      <w:r w:rsidR="008E3C6B">
        <w:t xml:space="preserve"> (7.0%)</w:t>
      </w:r>
      <w:r w:rsidR="008A10C9">
        <w:t xml:space="preserve">. </w:t>
      </w:r>
      <w:r w:rsidR="008E3C6B">
        <w:t>T</w:t>
      </w:r>
      <w:r w:rsidR="008A10C9">
        <w:t xml:space="preserve">hese figures returned to pre-2020 </w:t>
      </w:r>
      <w:r w:rsidR="008E3C6B">
        <w:t>levels in 2021 (</w:t>
      </w:r>
      <w:r w:rsidR="00AA0154">
        <w:t>0.9</w:t>
      </w:r>
      <w:r w:rsidR="008E3C6B">
        <w:t xml:space="preserve">% for Year 12 completers and 4.9% for </w:t>
      </w:r>
      <w:r w:rsidR="00673422">
        <w:t>non-completers</w:t>
      </w:r>
      <w:r w:rsidR="008E3C6B">
        <w:t>)</w:t>
      </w:r>
      <w:r w:rsidR="007615AE">
        <w:t xml:space="preserve"> and decline</w:t>
      </w:r>
      <w:r w:rsidR="008E3C6B">
        <w:t>d</w:t>
      </w:r>
      <w:r w:rsidR="007615AE">
        <w:t xml:space="preserve"> further still in 2022 (</w:t>
      </w:r>
      <w:r w:rsidR="008E3C6B">
        <w:t>0</w:t>
      </w:r>
      <w:r w:rsidR="007615AE">
        <w:t>.</w:t>
      </w:r>
      <w:r w:rsidR="008E3C6B">
        <w:t>8</w:t>
      </w:r>
      <w:r w:rsidR="007615AE">
        <w:t xml:space="preserve">% for Year 12 completers and </w:t>
      </w:r>
      <w:r w:rsidR="008E3C6B">
        <w:t>3.4</w:t>
      </w:r>
      <w:r w:rsidR="007615AE">
        <w:t xml:space="preserve">% for </w:t>
      </w:r>
      <w:r w:rsidR="00673422">
        <w:t>non-completers</w:t>
      </w:r>
      <w:r w:rsidR="007615AE">
        <w:t>).</w:t>
      </w:r>
    </w:p>
    <w:p w14:paraId="45E87ABE" w14:textId="77777777" w:rsidR="0091089F" w:rsidRDefault="0091089F" w:rsidP="00B140AB"/>
    <w:p w14:paraId="6ED26F72" w14:textId="77072C6B" w:rsidR="00B140AB" w:rsidRPr="008A10C9" w:rsidRDefault="004C75D4" w:rsidP="008A10C9">
      <w:pPr>
        <w:pStyle w:val="Heading1"/>
      </w:pPr>
      <w:r>
        <w:t>Year 12 completers and non-completers favour different fields of study</w:t>
      </w:r>
    </w:p>
    <w:p w14:paraId="5490B2A8" w14:textId="12DD10F7" w:rsidR="00F16096" w:rsidRDefault="00F16096" w:rsidP="00B140AB">
      <w:pPr>
        <w:rPr>
          <w:rFonts w:cstheme="minorHAnsi"/>
          <w:bCs/>
        </w:rPr>
      </w:pPr>
      <w:r w:rsidRPr="00CF649E">
        <w:rPr>
          <w:rFonts w:cstheme="minorHAnsi"/>
        </w:rPr>
        <w:t xml:space="preserve">In 2022, </w:t>
      </w:r>
      <w:r w:rsidR="00A02D1B">
        <w:rPr>
          <w:rFonts w:cstheme="minorHAnsi"/>
        </w:rPr>
        <w:t xml:space="preserve">the most popular field of study for </w:t>
      </w:r>
      <w:r w:rsidR="00B177B9" w:rsidRPr="00CF649E">
        <w:rPr>
          <w:rFonts w:cstheme="minorHAnsi"/>
        </w:rPr>
        <w:t xml:space="preserve">Year 12 completers </w:t>
      </w:r>
      <w:r w:rsidR="00A02D1B">
        <w:rPr>
          <w:rFonts w:cstheme="minorHAnsi"/>
        </w:rPr>
        <w:t>was</w:t>
      </w:r>
      <w:r w:rsidR="00B177B9" w:rsidRPr="00CF649E">
        <w:rPr>
          <w:rFonts w:cstheme="minorHAnsi"/>
        </w:rPr>
        <w:t xml:space="preserve"> </w:t>
      </w:r>
      <w:r w:rsidRPr="00CF649E">
        <w:rPr>
          <w:rFonts w:cstheme="minorHAnsi"/>
        </w:rPr>
        <w:t>H</w:t>
      </w:r>
      <w:r w:rsidR="00B12BA4" w:rsidRPr="00CF649E">
        <w:rPr>
          <w:rFonts w:cstheme="minorHAnsi"/>
        </w:rPr>
        <w:t>ealth</w:t>
      </w:r>
      <w:r w:rsidR="00B177B9" w:rsidRPr="00CF649E">
        <w:rPr>
          <w:rFonts w:cstheme="minorHAnsi"/>
        </w:rPr>
        <w:t xml:space="preserve"> </w:t>
      </w:r>
      <w:r w:rsidR="00B12BA4" w:rsidRPr="00CF649E">
        <w:rPr>
          <w:rFonts w:cstheme="minorHAnsi"/>
        </w:rPr>
        <w:t>(</w:t>
      </w:r>
      <w:r w:rsidRPr="00CF649E">
        <w:rPr>
          <w:rFonts w:cstheme="minorHAnsi"/>
        </w:rPr>
        <w:t>21</w:t>
      </w:r>
      <w:r w:rsidR="00B12BA4" w:rsidRPr="00CF649E">
        <w:rPr>
          <w:rFonts w:cstheme="minorHAnsi"/>
        </w:rPr>
        <w:t>.</w:t>
      </w:r>
      <w:r w:rsidRPr="00CF649E">
        <w:rPr>
          <w:rFonts w:cstheme="minorHAnsi"/>
        </w:rPr>
        <w:t>5</w:t>
      </w:r>
      <w:r w:rsidR="00B12BA4" w:rsidRPr="00CF649E">
        <w:rPr>
          <w:rFonts w:cstheme="minorHAnsi"/>
        </w:rPr>
        <w:t>%), followed by Society and Culture (</w:t>
      </w:r>
      <w:r w:rsidRPr="00CF649E">
        <w:rPr>
          <w:rFonts w:cstheme="minorHAnsi"/>
        </w:rPr>
        <w:t>17</w:t>
      </w:r>
      <w:r w:rsidR="00B12BA4" w:rsidRPr="00CF649E">
        <w:rPr>
          <w:rFonts w:cstheme="minorHAnsi"/>
        </w:rPr>
        <w:t>.</w:t>
      </w:r>
      <w:r w:rsidRPr="00CF649E">
        <w:rPr>
          <w:rFonts w:cstheme="minorHAnsi"/>
        </w:rPr>
        <w:t>3</w:t>
      </w:r>
      <w:r w:rsidR="00B12BA4" w:rsidRPr="00CF649E">
        <w:rPr>
          <w:rFonts w:cstheme="minorHAnsi"/>
        </w:rPr>
        <w:t xml:space="preserve">%), and </w:t>
      </w:r>
      <w:r w:rsidR="00B177B9" w:rsidRPr="00CF649E">
        <w:rPr>
          <w:rFonts w:cstheme="minorHAnsi"/>
        </w:rPr>
        <w:t>M</w:t>
      </w:r>
      <w:r w:rsidR="00025D60" w:rsidRPr="00CF649E">
        <w:rPr>
          <w:rFonts w:cstheme="minorHAnsi"/>
        </w:rPr>
        <w:t>anagement and Commerce</w:t>
      </w:r>
      <w:r w:rsidR="00B12BA4" w:rsidRPr="00CF649E">
        <w:rPr>
          <w:rFonts w:cstheme="minorHAnsi"/>
        </w:rPr>
        <w:t xml:space="preserve"> (</w:t>
      </w:r>
      <w:r w:rsidRPr="00CF649E">
        <w:rPr>
          <w:rFonts w:cstheme="minorHAnsi"/>
        </w:rPr>
        <w:t>13</w:t>
      </w:r>
      <w:r w:rsidR="00B12BA4" w:rsidRPr="00CF649E">
        <w:rPr>
          <w:rFonts w:cstheme="minorHAnsi"/>
        </w:rPr>
        <w:t>.</w:t>
      </w:r>
      <w:r w:rsidRPr="00CF649E">
        <w:rPr>
          <w:rFonts w:cstheme="minorHAnsi"/>
        </w:rPr>
        <w:t>5</w:t>
      </w:r>
      <w:r w:rsidR="00B12BA4" w:rsidRPr="00CF649E">
        <w:rPr>
          <w:rFonts w:cstheme="minorHAnsi"/>
        </w:rPr>
        <w:t xml:space="preserve">%). These have been the </w:t>
      </w:r>
      <w:r w:rsidR="00A758CF" w:rsidRPr="00CF649E">
        <w:rPr>
          <w:rFonts w:cstheme="minorHAnsi"/>
        </w:rPr>
        <w:t>3</w:t>
      </w:r>
      <w:r w:rsidR="00B12BA4" w:rsidRPr="00CF649E">
        <w:rPr>
          <w:rFonts w:cstheme="minorHAnsi"/>
        </w:rPr>
        <w:t xml:space="preserve"> most popular </w:t>
      </w:r>
      <w:r w:rsidR="00A02D1B">
        <w:rPr>
          <w:rFonts w:cstheme="minorHAnsi"/>
        </w:rPr>
        <w:t xml:space="preserve">fields </w:t>
      </w:r>
      <w:r w:rsidR="00525835" w:rsidRPr="00CF649E">
        <w:rPr>
          <w:rFonts w:cstheme="minorHAnsi"/>
        </w:rPr>
        <w:t>for</w:t>
      </w:r>
      <w:r w:rsidR="00B12BA4" w:rsidRPr="00CF649E">
        <w:rPr>
          <w:rFonts w:cstheme="minorHAnsi"/>
        </w:rPr>
        <w:t xml:space="preserve"> the past </w:t>
      </w:r>
      <w:r w:rsidRPr="00CF649E">
        <w:rPr>
          <w:rFonts w:cstheme="minorHAnsi"/>
        </w:rPr>
        <w:t>6</w:t>
      </w:r>
      <w:r w:rsidR="00B12BA4" w:rsidRPr="00CF649E">
        <w:rPr>
          <w:rFonts w:cstheme="minorHAnsi"/>
        </w:rPr>
        <w:t xml:space="preserve"> years</w:t>
      </w:r>
      <w:r w:rsidR="00E46DF0" w:rsidRPr="005945C1">
        <w:rPr>
          <w:rFonts w:cstheme="minorHAnsi"/>
          <w:bCs/>
        </w:rPr>
        <w:t xml:space="preserve">, but while </w:t>
      </w:r>
      <w:r w:rsidR="00A02D1B">
        <w:rPr>
          <w:rFonts w:cstheme="minorHAnsi"/>
          <w:bCs/>
        </w:rPr>
        <w:t xml:space="preserve">the proportions of completers studying </w:t>
      </w:r>
      <w:r w:rsidR="00025D60" w:rsidRPr="00CF649E">
        <w:rPr>
          <w:rFonts w:cstheme="minorHAnsi"/>
        </w:rPr>
        <w:t>Health</w:t>
      </w:r>
      <w:r w:rsidR="00CC6A8B" w:rsidRPr="00CF649E">
        <w:rPr>
          <w:rFonts w:cstheme="minorHAnsi"/>
        </w:rPr>
        <w:t>,</w:t>
      </w:r>
      <w:r w:rsidR="00025D60" w:rsidRPr="00CF649E">
        <w:rPr>
          <w:rFonts w:cstheme="minorHAnsi"/>
        </w:rPr>
        <w:t xml:space="preserve"> and Society and Culture </w:t>
      </w:r>
      <w:r w:rsidR="00E46DF0" w:rsidRPr="00CF649E">
        <w:rPr>
          <w:rFonts w:cstheme="minorHAnsi"/>
          <w:bCs/>
        </w:rPr>
        <w:t>ha</w:t>
      </w:r>
      <w:r w:rsidR="00E46DF0" w:rsidRPr="00575EF1">
        <w:rPr>
          <w:rFonts w:cstheme="minorHAnsi"/>
          <w:bCs/>
        </w:rPr>
        <w:t>ve</w:t>
      </w:r>
      <w:r w:rsidR="00E46DF0" w:rsidRPr="00CF649E">
        <w:rPr>
          <w:rFonts w:cstheme="minorHAnsi"/>
          <w:bCs/>
        </w:rPr>
        <w:t xml:space="preserve"> </w:t>
      </w:r>
      <w:r w:rsidR="00025D60" w:rsidRPr="00CF649E">
        <w:rPr>
          <w:rFonts w:cstheme="minorHAnsi"/>
        </w:rPr>
        <w:t>grown over time</w:t>
      </w:r>
      <w:r w:rsidR="00E46DF0" w:rsidRPr="005945C1">
        <w:rPr>
          <w:rFonts w:cstheme="minorHAnsi"/>
          <w:bCs/>
        </w:rPr>
        <w:t>,</w:t>
      </w:r>
      <w:r w:rsidR="00025D60" w:rsidRPr="00CF649E">
        <w:rPr>
          <w:rFonts w:cstheme="minorHAnsi"/>
        </w:rPr>
        <w:t xml:space="preserve"> </w:t>
      </w:r>
      <w:r w:rsidR="00A758CF" w:rsidRPr="00CF649E">
        <w:rPr>
          <w:rFonts w:cstheme="minorHAnsi"/>
        </w:rPr>
        <w:t>Management and Commerce has de</w:t>
      </w:r>
      <w:r w:rsidR="00A02D1B">
        <w:rPr>
          <w:rFonts w:cstheme="minorHAnsi"/>
        </w:rPr>
        <w:t>clined</w:t>
      </w:r>
      <w:r w:rsidR="00A758CF" w:rsidRPr="00CF649E">
        <w:rPr>
          <w:rFonts w:cstheme="minorHAnsi"/>
        </w:rPr>
        <w:t>.</w:t>
      </w:r>
      <w:r w:rsidR="00A758CF">
        <w:rPr>
          <w:rFonts w:cstheme="minorHAnsi"/>
          <w:bCs/>
        </w:rPr>
        <w:t xml:space="preserve"> </w:t>
      </w:r>
    </w:p>
    <w:p w14:paraId="72D8423E" w14:textId="4441B306" w:rsidR="008449EC" w:rsidRDefault="007B723F" w:rsidP="00B140AB">
      <w:pPr>
        <w:rPr>
          <w:rFonts w:cstheme="minorHAnsi"/>
          <w:bCs/>
        </w:rPr>
      </w:pPr>
      <w:r>
        <w:rPr>
          <w:rFonts w:cstheme="minorHAnsi"/>
          <w:bCs/>
        </w:rPr>
        <w:t xml:space="preserve">In 2022, </w:t>
      </w:r>
      <w:r w:rsidR="00F65324">
        <w:rPr>
          <w:rFonts w:cstheme="minorHAnsi"/>
          <w:bCs/>
        </w:rPr>
        <w:t>non</w:t>
      </w:r>
      <w:r w:rsidR="00FE099C">
        <w:rPr>
          <w:rFonts w:cstheme="minorHAnsi"/>
          <w:bCs/>
        </w:rPr>
        <w:t>-completers</w:t>
      </w:r>
      <w:r w:rsidR="00B12BA4" w:rsidRPr="00EA527F">
        <w:rPr>
          <w:rFonts w:cstheme="minorHAnsi"/>
          <w:bCs/>
        </w:rPr>
        <w:t xml:space="preserve"> were most likely to study </w:t>
      </w:r>
      <w:r w:rsidR="00D86277">
        <w:rPr>
          <w:rFonts w:cstheme="minorHAnsi"/>
          <w:bCs/>
        </w:rPr>
        <w:t>Society and Culture</w:t>
      </w:r>
      <w:r w:rsidR="00B12BA4" w:rsidRPr="00EA527F">
        <w:rPr>
          <w:rFonts w:cstheme="minorHAnsi"/>
          <w:bCs/>
        </w:rPr>
        <w:t xml:space="preserve"> (</w:t>
      </w:r>
      <w:r>
        <w:rPr>
          <w:rFonts w:cstheme="minorHAnsi"/>
          <w:bCs/>
        </w:rPr>
        <w:t>14</w:t>
      </w:r>
      <w:r w:rsidR="00B12BA4" w:rsidRPr="00EA527F">
        <w:rPr>
          <w:rFonts w:cstheme="minorHAnsi"/>
          <w:bCs/>
        </w:rPr>
        <w:t>.</w:t>
      </w:r>
      <w:r>
        <w:rPr>
          <w:rFonts w:cstheme="minorHAnsi"/>
          <w:bCs/>
        </w:rPr>
        <w:t>6</w:t>
      </w:r>
      <w:r w:rsidR="00B12BA4" w:rsidRPr="00EA527F">
        <w:rPr>
          <w:rFonts w:cstheme="minorHAnsi"/>
          <w:bCs/>
        </w:rPr>
        <w:t xml:space="preserve">%), followed by </w:t>
      </w:r>
      <w:r w:rsidR="00D86277">
        <w:rPr>
          <w:rFonts w:cstheme="minorHAnsi"/>
          <w:bCs/>
        </w:rPr>
        <w:t>Food, Hospitality, and Personal Services</w:t>
      </w:r>
      <w:r w:rsidR="00B12BA4" w:rsidRPr="00EA527F">
        <w:rPr>
          <w:rFonts w:cstheme="minorHAnsi"/>
          <w:bCs/>
        </w:rPr>
        <w:t xml:space="preserve"> (</w:t>
      </w:r>
      <w:r>
        <w:rPr>
          <w:rFonts w:cstheme="minorHAnsi"/>
          <w:bCs/>
        </w:rPr>
        <w:t>14</w:t>
      </w:r>
      <w:r w:rsidR="00B12BA4" w:rsidRPr="00EA527F">
        <w:rPr>
          <w:rFonts w:cstheme="minorHAnsi"/>
          <w:bCs/>
        </w:rPr>
        <w:t>.</w:t>
      </w:r>
      <w:r>
        <w:rPr>
          <w:rFonts w:cstheme="minorHAnsi"/>
          <w:bCs/>
        </w:rPr>
        <w:t>1</w:t>
      </w:r>
      <w:r w:rsidR="00B12BA4" w:rsidRPr="00EA527F">
        <w:rPr>
          <w:rFonts w:cstheme="minorHAnsi"/>
          <w:bCs/>
        </w:rPr>
        <w:t>%)</w:t>
      </w:r>
      <w:r w:rsidR="00A150CB">
        <w:rPr>
          <w:rFonts w:cstheme="minorHAnsi"/>
          <w:bCs/>
        </w:rPr>
        <w:t>,</w:t>
      </w:r>
      <w:r w:rsidR="00B12BA4" w:rsidRPr="00EA527F">
        <w:rPr>
          <w:rFonts w:cstheme="minorHAnsi"/>
          <w:bCs/>
        </w:rPr>
        <w:t xml:space="preserve"> and </w:t>
      </w:r>
      <w:r w:rsidR="00D86277">
        <w:rPr>
          <w:rFonts w:cstheme="minorHAnsi"/>
          <w:bCs/>
        </w:rPr>
        <w:t>Creative Arts</w:t>
      </w:r>
      <w:r w:rsidR="00B12BA4" w:rsidRPr="00EA527F">
        <w:rPr>
          <w:rFonts w:cstheme="minorHAnsi"/>
          <w:bCs/>
        </w:rPr>
        <w:t xml:space="preserve"> (</w:t>
      </w:r>
      <w:r>
        <w:rPr>
          <w:rFonts w:cstheme="minorHAnsi"/>
          <w:bCs/>
        </w:rPr>
        <w:t>12</w:t>
      </w:r>
      <w:r w:rsidR="00B12BA4" w:rsidRPr="00EA527F">
        <w:rPr>
          <w:rFonts w:cstheme="minorHAnsi"/>
          <w:bCs/>
        </w:rPr>
        <w:t>.</w:t>
      </w:r>
      <w:r>
        <w:rPr>
          <w:rFonts w:cstheme="minorHAnsi"/>
          <w:bCs/>
        </w:rPr>
        <w:t>6</w:t>
      </w:r>
      <w:r w:rsidR="00B12BA4" w:rsidRPr="00EA527F">
        <w:rPr>
          <w:rFonts w:cstheme="minorHAnsi"/>
          <w:bCs/>
        </w:rPr>
        <w:t xml:space="preserve">%). The preferences of non-completers have </w:t>
      </w:r>
      <w:r>
        <w:rPr>
          <w:rFonts w:cstheme="minorHAnsi"/>
          <w:bCs/>
        </w:rPr>
        <w:t>fluctuated</w:t>
      </w:r>
      <w:r w:rsidR="00B12BA4" w:rsidRPr="00EA527F">
        <w:rPr>
          <w:rFonts w:cstheme="minorHAnsi"/>
          <w:bCs/>
        </w:rPr>
        <w:t xml:space="preserve"> </w:t>
      </w:r>
      <w:r>
        <w:rPr>
          <w:rFonts w:cstheme="minorHAnsi"/>
          <w:bCs/>
        </w:rPr>
        <w:t>over time</w:t>
      </w:r>
      <w:r w:rsidR="00B12BA4" w:rsidRPr="00EA527F">
        <w:rPr>
          <w:rFonts w:cstheme="minorHAnsi"/>
          <w:bCs/>
        </w:rPr>
        <w:t xml:space="preserve"> with </w:t>
      </w:r>
      <w:r>
        <w:rPr>
          <w:rFonts w:cstheme="minorHAnsi"/>
          <w:bCs/>
        </w:rPr>
        <w:t xml:space="preserve">Management and Commerce (11.6%) and Health (12.1%) previously being in the 3 most popular fields of study. The yearly fluctuations are in part </w:t>
      </w:r>
      <w:r w:rsidR="00696B60">
        <w:rPr>
          <w:rFonts w:cstheme="minorHAnsi"/>
          <w:bCs/>
        </w:rPr>
        <w:t xml:space="preserve">due </w:t>
      </w:r>
      <w:r>
        <w:rPr>
          <w:rFonts w:cstheme="minorHAnsi"/>
          <w:bCs/>
        </w:rPr>
        <w:t>to the small</w:t>
      </w:r>
      <w:r w:rsidR="00696B60">
        <w:rPr>
          <w:rFonts w:cstheme="minorHAnsi"/>
          <w:bCs/>
        </w:rPr>
        <w:t>er</w:t>
      </w:r>
      <w:r>
        <w:rPr>
          <w:rFonts w:cstheme="minorHAnsi"/>
          <w:bCs/>
        </w:rPr>
        <w:t xml:space="preserve"> </w:t>
      </w:r>
      <w:r w:rsidR="00F65324">
        <w:rPr>
          <w:rFonts w:cstheme="minorHAnsi"/>
          <w:bCs/>
        </w:rPr>
        <w:t xml:space="preserve">sample </w:t>
      </w:r>
      <w:r>
        <w:rPr>
          <w:rFonts w:cstheme="minorHAnsi"/>
          <w:bCs/>
        </w:rPr>
        <w:t>of non-completers.</w:t>
      </w:r>
    </w:p>
    <w:p w14:paraId="7B54986D" w14:textId="7768749F" w:rsidR="00BF1435" w:rsidRDefault="00BF1435" w:rsidP="00B140AB">
      <w:pPr>
        <w:rPr>
          <w:rFonts w:cstheme="minorHAnsi"/>
          <w:bCs/>
        </w:rPr>
      </w:pPr>
    </w:p>
    <w:p w14:paraId="7D4EEEAB" w14:textId="58272083" w:rsidR="00BF1435" w:rsidRDefault="00BF1435" w:rsidP="00B140AB">
      <w:pPr>
        <w:rPr>
          <w:rFonts w:cstheme="minorHAnsi"/>
          <w:bCs/>
        </w:rPr>
      </w:pPr>
    </w:p>
    <w:p w14:paraId="70172E4F" w14:textId="44587C0B" w:rsidR="00BF1435" w:rsidRDefault="00BF1435" w:rsidP="00B140AB">
      <w:pPr>
        <w:rPr>
          <w:rFonts w:cstheme="minorHAnsi"/>
          <w:bCs/>
        </w:rPr>
      </w:pPr>
    </w:p>
    <w:p w14:paraId="119B88D7" w14:textId="16DD6797" w:rsidR="00BF1435" w:rsidRDefault="00BF1435" w:rsidP="00B140AB">
      <w:pPr>
        <w:rPr>
          <w:rFonts w:cstheme="minorHAnsi"/>
          <w:bCs/>
        </w:rPr>
      </w:pPr>
    </w:p>
    <w:p w14:paraId="46DBCA45" w14:textId="78EB9EAB" w:rsidR="00BF1435" w:rsidRDefault="00BF1435" w:rsidP="00B140AB">
      <w:pPr>
        <w:rPr>
          <w:rFonts w:cstheme="minorHAnsi"/>
          <w:bCs/>
        </w:rPr>
      </w:pPr>
    </w:p>
    <w:p w14:paraId="0232EBA7" w14:textId="77777777" w:rsidR="00BF1435" w:rsidRDefault="00BF1435" w:rsidP="00B140AB">
      <w:pPr>
        <w:rPr>
          <w:rFonts w:cstheme="minorHAnsi"/>
          <w:bCs/>
        </w:rPr>
      </w:pPr>
    </w:p>
    <w:p w14:paraId="51EEF69A" w14:textId="77777777" w:rsidR="000B1873" w:rsidRDefault="000B1873" w:rsidP="00B140AB">
      <w:pPr>
        <w:rPr>
          <w:rFonts w:cstheme="minorHAnsi"/>
          <w:b/>
        </w:rPr>
      </w:pPr>
    </w:p>
    <w:p w14:paraId="153386DB" w14:textId="19581878" w:rsidR="008F2BA3" w:rsidRPr="00CC6A8B" w:rsidRDefault="008F2BA3" w:rsidP="00B140AB">
      <w:pPr>
        <w:rPr>
          <w:rFonts w:cstheme="minorHAnsi"/>
          <w:b/>
        </w:rPr>
      </w:pPr>
      <w:r w:rsidRPr="00CC6A8B">
        <w:rPr>
          <w:rFonts w:cstheme="minorHAnsi"/>
          <w:b/>
        </w:rPr>
        <w:lastRenderedPageBreak/>
        <w:t>Figure 3</w:t>
      </w:r>
      <w:r w:rsidR="009D233D">
        <w:rPr>
          <w:rFonts w:cstheme="minorHAnsi"/>
          <w:b/>
        </w:rPr>
        <w:t>:</w:t>
      </w:r>
      <w:r w:rsidRPr="00CC6A8B">
        <w:rPr>
          <w:rFonts w:cstheme="minorHAnsi"/>
          <w:b/>
        </w:rPr>
        <w:t xml:space="preserve"> </w:t>
      </w:r>
      <w:r w:rsidR="00CC6A8B" w:rsidRPr="00CC6A8B">
        <w:rPr>
          <w:rFonts w:cstheme="minorHAnsi"/>
          <w:b/>
        </w:rPr>
        <w:t>Proportion of Year 12 completers in education</w:t>
      </w:r>
      <w:r w:rsidR="00D10826">
        <w:rPr>
          <w:rFonts w:cstheme="minorHAnsi"/>
          <w:b/>
        </w:rPr>
        <w:t xml:space="preserve"> or training</w:t>
      </w:r>
      <w:r w:rsidR="00CC6A8B" w:rsidRPr="00CC6A8B">
        <w:rPr>
          <w:rFonts w:cstheme="minorHAnsi"/>
          <w:b/>
        </w:rPr>
        <w:t xml:space="preserve"> across the 3 most popular fields of study</w:t>
      </w:r>
      <w:r w:rsidR="009D233D">
        <w:rPr>
          <w:rFonts w:cstheme="minorHAnsi"/>
          <w:b/>
        </w:rPr>
        <w:t>, 2018 to 2022</w:t>
      </w:r>
    </w:p>
    <w:p w14:paraId="183796F2" w14:textId="1E75FA20" w:rsidR="00B140AB" w:rsidRPr="005750CF" w:rsidRDefault="00E4444A" w:rsidP="007B1C6F">
      <w:pPr>
        <w:spacing w:line="240" w:lineRule="auto"/>
        <w:contextualSpacing/>
        <w:rPr>
          <w:rFonts w:cstheme="minorHAnsi"/>
          <w:b/>
        </w:rPr>
      </w:pPr>
      <w:r w:rsidRPr="00E4444A">
        <w:rPr>
          <w:noProof/>
        </w:rPr>
        <w:t xml:space="preserve"> </w:t>
      </w:r>
      <w:r>
        <w:rPr>
          <w:noProof/>
        </w:rPr>
        <w:drawing>
          <wp:inline distT="0" distB="0" distL="0" distR="0" wp14:anchorId="212EA499" wp14:editId="5A02CFA6">
            <wp:extent cx="4267200" cy="2609850"/>
            <wp:effectExtent l="0" t="0" r="0" b="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7365EF41-7B22-D6D5-7BA7-F2CF2F9BBD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838C8B8" w14:textId="5DB9FE15" w:rsidR="00B140AB" w:rsidRDefault="00B140AB" w:rsidP="00B140AB"/>
    <w:p w14:paraId="6B077B62" w14:textId="110FBEB6" w:rsidR="00161544" w:rsidRPr="005750CF" w:rsidRDefault="00AF4D65" w:rsidP="001F65C6">
      <w:pPr>
        <w:pStyle w:val="Heading1"/>
      </w:pPr>
      <w:r>
        <w:t>Favoured industries of employment have remained stable over time</w:t>
      </w:r>
    </w:p>
    <w:p w14:paraId="4807E2C5" w14:textId="5EB60607" w:rsidR="00E933FC" w:rsidRDefault="001C3C1B" w:rsidP="00EA527F">
      <w:pPr>
        <w:rPr>
          <w:rFonts w:cstheme="minorHAnsi"/>
          <w:bCs/>
        </w:rPr>
      </w:pPr>
      <w:r>
        <w:rPr>
          <w:rFonts w:cstheme="minorHAnsi"/>
          <w:bCs/>
        </w:rPr>
        <w:t>Leading i</w:t>
      </w:r>
      <w:r w:rsidR="00457EF7" w:rsidRPr="00EA527F">
        <w:rPr>
          <w:rFonts w:cstheme="minorHAnsi"/>
          <w:bCs/>
        </w:rPr>
        <w:t>ndustries of employment for Year 12 completers and non-completers</w:t>
      </w:r>
      <w:r w:rsidRPr="001C3C1B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have </w:t>
      </w:r>
      <w:r w:rsidRPr="00EA527F">
        <w:rPr>
          <w:rFonts w:cstheme="minorHAnsi"/>
          <w:bCs/>
        </w:rPr>
        <w:t>remain</w:t>
      </w:r>
      <w:r>
        <w:rPr>
          <w:rFonts w:cstheme="minorHAnsi"/>
          <w:bCs/>
        </w:rPr>
        <w:t>ed</w:t>
      </w:r>
      <w:r w:rsidRPr="00EA527F">
        <w:rPr>
          <w:rFonts w:cstheme="minorHAnsi"/>
          <w:bCs/>
        </w:rPr>
        <w:t xml:space="preserve"> largely unchanged since 2017</w:t>
      </w:r>
      <w:r w:rsidR="00457EF7" w:rsidRPr="00EA527F">
        <w:rPr>
          <w:rFonts w:cstheme="minorHAnsi"/>
          <w:bCs/>
        </w:rPr>
        <w:t xml:space="preserve">. Respondents who completed Year 12 are most likely to gain employment </w:t>
      </w:r>
      <w:r w:rsidR="00E933FC">
        <w:rPr>
          <w:rFonts w:cstheme="minorHAnsi"/>
          <w:bCs/>
        </w:rPr>
        <w:t>as Sales Assistants and Storepersons (</w:t>
      </w:r>
      <w:r w:rsidR="00C72085">
        <w:rPr>
          <w:rFonts w:cstheme="minorHAnsi"/>
          <w:bCs/>
        </w:rPr>
        <w:t>30</w:t>
      </w:r>
      <w:r w:rsidR="00E933FC">
        <w:rPr>
          <w:rFonts w:cstheme="minorHAnsi"/>
          <w:bCs/>
        </w:rPr>
        <w:t>.</w:t>
      </w:r>
      <w:r w:rsidR="00C72085">
        <w:rPr>
          <w:rFonts w:cstheme="minorHAnsi"/>
          <w:bCs/>
        </w:rPr>
        <w:t>8</w:t>
      </w:r>
      <w:r w:rsidR="00E933FC">
        <w:rPr>
          <w:rFonts w:cstheme="minorHAnsi"/>
          <w:bCs/>
        </w:rPr>
        <w:t>%), or in the Food, Hospitality and Tourism industry (</w:t>
      </w:r>
      <w:r w:rsidR="00C72085">
        <w:rPr>
          <w:rFonts w:cstheme="minorHAnsi"/>
          <w:bCs/>
        </w:rPr>
        <w:t>26</w:t>
      </w:r>
      <w:r w:rsidR="00E933FC">
        <w:rPr>
          <w:rFonts w:cstheme="minorHAnsi"/>
          <w:bCs/>
        </w:rPr>
        <w:t>.</w:t>
      </w:r>
      <w:r w:rsidR="00C72085">
        <w:rPr>
          <w:rFonts w:cstheme="minorHAnsi"/>
          <w:bCs/>
        </w:rPr>
        <w:t>3</w:t>
      </w:r>
      <w:r w:rsidR="00E933FC">
        <w:rPr>
          <w:rFonts w:cstheme="minorHAnsi"/>
          <w:bCs/>
        </w:rPr>
        <w:t>%).</w:t>
      </w:r>
      <w:r w:rsidR="002A7BF3">
        <w:rPr>
          <w:rFonts w:cstheme="minorHAnsi"/>
          <w:bCs/>
        </w:rPr>
        <w:t xml:space="preserve"> These 2 industries have alternated </w:t>
      </w:r>
      <w:r w:rsidR="00CA5C6B">
        <w:rPr>
          <w:rFonts w:cstheme="minorHAnsi"/>
          <w:bCs/>
        </w:rPr>
        <w:t xml:space="preserve">as </w:t>
      </w:r>
      <w:r w:rsidR="002A7BF3">
        <w:rPr>
          <w:rFonts w:cstheme="minorHAnsi"/>
          <w:bCs/>
        </w:rPr>
        <w:t xml:space="preserve">the </w:t>
      </w:r>
      <w:r w:rsidR="00A023EC">
        <w:rPr>
          <w:rFonts w:cstheme="minorHAnsi"/>
          <w:bCs/>
        </w:rPr>
        <w:t>top</w:t>
      </w:r>
      <w:r w:rsidR="002A7BF3">
        <w:rPr>
          <w:rFonts w:cstheme="minorHAnsi"/>
          <w:bCs/>
        </w:rPr>
        <w:t xml:space="preserve"> industry </w:t>
      </w:r>
      <w:r w:rsidR="00A023EC">
        <w:rPr>
          <w:rFonts w:cstheme="minorHAnsi"/>
          <w:bCs/>
        </w:rPr>
        <w:t>over</w:t>
      </w:r>
      <w:r w:rsidR="002A7BF3">
        <w:rPr>
          <w:rFonts w:cstheme="minorHAnsi"/>
          <w:bCs/>
        </w:rPr>
        <w:t xml:space="preserve"> the past 6 years. </w:t>
      </w:r>
    </w:p>
    <w:p w14:paraId="2CB4792A" w14:textId="33665325" w:rsidR="009C5020" w:rsidRPr="003A5ECA" w:rsidRDefault="008C6141" w:rsidP="00EA527F">
      <w:pPr>
        <w:rPr>
          <w:rFonts w:cstheme="minorHAnsi"/>
        </w:rPr>
      </w:pPr>
      <w:r>
        <w:rPr>
          <w:rFonts w:cstheme="minorHAnsi"/>
          <w:bCs/>
        </w:rPr>
        <w:t xml:space="preserve">The top 5 </w:t>
      </w:r>
      <w:r w:rsidR="00E933FC">
        <w:rPr>
          <w:rFonts w:cstheme="minorHAnsi"/>
          <w:bCs/>
        </w:rPr>
        <w:t>industries</w:t>
      </w:r>
      <w:r>
        <w:rPr>
          <w:rFonts w:cstheme="minorHAnsi"/>
          <w:bCs/>
        </w:rPr>
        <w:t xml:space="preserve"> </w:t>
      </w:r>
      <w:r w:rsidR="00A023EC">
        <w:rPr>
          <w:rFonts w:cstheme="minorHAnsi"/>
          <w:bCs/>
        </w:rPr>
        <w:t>of</w:t>
      </w:r>
      <w:r>
        <w:rPr>
          <w:rFonts w:cstheme="minorHAnsi"/>
          <w:bCs/>
        </w:rPr>
        <w:t xml:space="preserve"> employment for </w:t>
      </w:r>
      <w:r w:rsidR="00A933B4">
        <w:rPr>
          <w:rFonts w:cstheme="minorHAnsi"/>
          <w:bCs/>
        </w:rPr>
        <w:t>non-completers</w:t>
      </w:r>
      <w:r>
        <w:rPr>
          <w:rFonts w:cstheme="minorHAnsi"/>
          <w:bCs/>
        </w:rPr>
        <w:t xml:space="preserve"> have remained </w:t>
      </w:r>
      <w:r w:rsidR="0011489D">
        <w:rPr>
          <w:rFonts w:cstheme="minorHAnsi"/>
          <w:bCs/>
        </w:rPr>
        <w:t xml:space="preserve">largely </w:t>
      </w:r>
      <w:r>
        <w:rPr>
          <w:rFonts w:cstheme="minorHAnsi"/>
          <w:bCs/>
        </w:rPr>
        <w:t xml:space="preserve">unchanged </w:t>
      </w:r>
      <w:r w:rsidR="0011489D">
        <w:rPr>
          <w:rFonts w:cstheme="minorHAnsi"/>
          <w:bCs/>
        </w:rPr>
        <w:t xml:space="preserve">over </w:t>
      </w:r>
      <w:r>
        <w:rPr>
          <w:rFonts w:cstheme="minorHAnsi"/>
          <w:bCs/>
        </w:rPr>
        <w:t xml:space="preserve">the past </w:t>
      </w:r>
      <w:r w:rsidR="00E933FC">
        <w:rPr>
          <w:rFonts w:cstheme="minorHAnsi"/>
          <w:bCs/>
        </w:rPr>
        <w:t>5 years</w:t>
      </w:r>
      <w:r w:rsidR="0011489D">
        <w:rPr>
          <w:rFonts w:cstheme="minorHAnsi"/>
          <w:bCs/>
        </w:rPr>
        <w:t>,</w:t>
      </w:r>
      <w:r w:rsidR="002A7BF3">
        <w:rPr>
          <w:rFonts w:cstheme="minorHAnsi"/>
          <w:bCs/>
        </w:rPr>
        <w:t xml:space="preserve"> with the exception </w:t>
      </w:r>
      <w:r w:rsidR="0011489D">
        <w:rPr>
          <w:rFonts w:cstheme="minorHAnsi"/>
          <w:bCs/>
        </w:rPr>
        <w:t xml:space="preserve">that </w:t>
      </w:r>
      <w:r w:rsidR="002A7BF3">
        <w:rPr>
          <w:rFonts w:cstheme="minorHAnsi"/>
          <w:bCs/>
        </w:rPr>
        <w:t xml:space="preserve">Electrical and Electronic Trades and Motor Vehicle Service and Repair </w:t>
      </w:r>
      <w:r w:rsidR="003629BD">
        <w:rPr>
          <w:rFonts w:cstheme="minorHAnsi"/>
          <w:bCs/>
        </w:rPr>
        <w:t xml:space="preserve">have </w:t>
      </w:r>
      <w:r w:rsidR="0011489D">
        <w:rPr>
          <w:rFonts w:cstheme="minorHAnsi"/>
          <w:bCs/>
        </w:rPr>
        <w:t xml:space="preserve">previously </w:t>
      </w:r>
      <w:r w:rsidR="003629BD">
        <w:rPr>
          <w:rFonts w:cstheme="minorHAnsi"/>
          <w:bCs/>
        </w:rPr>
        <w:t xml:space="preserve">been as </w:t>
      </w:r>
      <w:r w:rsidR="002A7BF3">
        <w:rPr>
          <w:rFonts w:cstheme="minorHAnsi"/>
          <w:bCs/>
        </w:rPr>
        <w:t xml:space="preserve">popular </w:t>
      </w:r>
      <w:r w:rsidR="003629BD">
        <w:rPr>
          <w:rFonts w:cstheme="minorHAnsi"/>
          <w:bCs/>
        </w:rPr>
        <w:t>as</w:t>
      </w:r>
      <w:r w:rsidR="002A7BF3">
        <w:rPr>
          <w:rFonts w:cstheme="minorHAnsi"/>
          <w:bCs/>
        </w:rPr>
        <w:t xml:space="preserve"> Health, Fitness, Hair and Beauty</w:t>
      </w:r>
      <w:r w:rsidR="00A023EC">
        <w:rPr>
          <w:rFonts w:cstheme="minorHAnsi"/>
          <w:bCs/>
        </w:rPr>
        <w:t xml:space="preserve"> which is</w:t>
      </w:r>
      <w:r w:rsidR="0011489D">
        <w:rPr>
          <w:rFonts w:cstheme="minorHAnsi"/>
          <w:bCs/>
        </w:rPr>
        <w:t xml:space="preserve"> currently in fifth place</w:t>
      </w:r>
      <w:r w:rsidR="002A7BF3">
        <w:rPr>
          <w:rFonts w:cstheme="minorHAnsi"/>
          <w:bCs/>
        </w:rPr>
        <w:t>.</w:t>
      </w:r>
    </w:p>
    <w:p w14:paraId="20B24749" w14:textId="7DCFB4A1" w:rsidR="003A5ECA" w:rsidRDefault="003A5ECA" w:rsidP="003A5ECA">
      <w:pPr>
        <w:pStyle w:val="NoSpacing"/>
        <w:rPr>
          <w:rFonts w:asciiTheme="minorHAnsi" w:hAnsiTheme="minorHAnsi" w:cstheme="minorHAnsi"/>
          <w:b/>
          <w:sz w:val="22"/>
        </w:rPr>
      </w:pPr>
      <w:r w:rsidRPr="00733848">
        <w:rPr>
          <w:rFonts w:asciiTheme="minorHAnsi" w:hAnsiTheme="minorHAnsi" w:cstheme="minorHAnsi"/>
          <w:b/>
          <w:sz w:val="22"/>
        </w:rPr>
        <w:t>Top 5 employment destinations</w:t>
      </w:r>
      <w:r w:rsidR="00015014">
        <w:rPr>
          <w:rFonts w:asciiTheme="minorHAnsi" w:hAnsiTheme="minorHAnsi" w:cstheme="minorHAnsi"/>
          <w:b/>
          <w:sz w:val="22"/>
        </w:rPr>
        <w:t xml:space="preserve"> for Year 12 completers and non-completers</w:t>
      </w:r>
      <w:r w:rsidRPr="00733848">
        <w:rPr>
          <w:rFonts w:asciiTheme="minorHAnsi" w:hAnsiTheme="minorHAnsi" w:cstheme="minorHAnsi"/>
          <w:b/>
          <w:sz w:val="22"/>
        </w:rPr>
        <w:t xml:space="preserve">, </w:t>
      </w:r>
      <w:r>
        <w:rPr>
          <w:rFonts w:asciiTheme="minorHAnsi" w:hAnsiTheme="minorHAnsi" w:cstheme="minorHAnsi"/>
          <w:b/>
          <w:sz w:val="22"/>
        </w:rPr>
        <w:t>202</w:t>
      </w:r>
      <w:r w:rsidR="008C6141">
        <w:rPr>
          <w:rFonts w:asciiTheme="minorHAnsi" w:hAnsiTheme="minorHAnsi" w:cstheme="minorHAnsi"/>
          <w:b/>
          <w:sz w:val="22"/>
        </w:rPr>
        <w:t>2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704"/>
        <w:gridCol w:w="4394"/>
        <w:gridCol w:w="4395"/>
      </w:tblGrid>
      <w:tr w:rsidR="008C6141" w:rsidRPr="008C6141" w14:paraId="1AF252DF" w14:textId="77777777" w:rsidTr="008C6141">
        <w:trPr>
          <w:trHeight w:val="2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3C76" w14:textId="77777777" w:rsidR="008C6141" w:rsidRPr="008C6141" w:rsidRDefault="008C6141" w:rsidP="008C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C614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Rank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5DB3" w14:textId="77777777" w:rsidR="008C6141" w:rsidRPr="008C6141" w:rsidRDefault="008C6141" w:rsidP="008C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C614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Year 12 completers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65E8" w14:textId="275D96A4" w:rsidR="008C6141" w:rsidRPr="008C6141" w:rsidRDefault="00FE099C" w:rsidP="008C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Non-completers</w:t>
            </w:r>
          </w:p>
        </w:tc>
      </w:tr>
      <w:tr w:rsidR="008C6141" w:rsidRPr="008C6141" w14:paraId="44C67075" w14:textId="77777777" w:rsidTr="008C6141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E377" w14:textId="77777777" w:rsidR="008C6141" w:rsidRPr="008C6141" w:rsidRDefault="008C6141" w:rsidP="008C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141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3DC0" w14:textId="77777777" w:rsidR="008C6141" w:rsidRPr="008C6141" w:rsidRDefault="008C6141" w:rsidP="008C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141">
              <w:rPr>
                <w:rFonts w:ascii="Calibri" w:eastAsia="Times New Roman" w:hAnsi="Calibri" w:cs="Calibri"/>
                <w:color w:val="000000"/>
                <w:lang w:eastAsia="en-AU"/>
              </w:rPr>
              <w:t>Sales Assistants &amp; Storepersons (30.8%)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A957" w14:textId="77777777" w:rsidR="008C6141" w:rsidRPr="008C6141" w:rsidRDefault="008C6141" w:rsidP="008C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141">
              <w:rPr>
                <w:rFonts w:ascii="Calibri" w:eastAsia="Times New Roman" w:hAnsi="Calibri" w:cs="Calibri"/>
                <w:color w:val="000000"/>
                <w:lang w:eastAsia="en-AU"/>
              </w:rPr>
              <w:t>Building &amp; Construction (20.6%)</w:t>
            </w:r>
          </w:p>
        </w:tc>
      </w:tr>
      <w:tr w:rsidR="008C6141" w:rsidRPr="008C6141" w14:paraId="5B68E103" w14:textId="77777777" w:rsidTr="008C6141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0A1B" w14:textId="77777777" w:rsidR="008C6141" w:rsidRPr="008C6141" w:rsidRDefault="008C6141" w:rsidP="008C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141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59DF" w14:textId="77777777" w:rsidR="008C6141" w:rsidRPr="008C6141" w:rsidRDefault="008C6141" w:rsidP="008C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141">
              <w:rPr>
                <w:rFonts w:ascii="Calibri" w:eastAsia="Times New Roman" w:hAnsi="Calibri" w:cs="Calibri"/>
                <w:color w:val="000000"/>
                <w:lang w:eastAsia="en-AU"/>
              </w:rPr>
              <w:t>Food, Hospitality &amp; Tourism (26.3%)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6BFE" w14:textId="77777777" w:rsidR="008C6141" w:rsidRPr="008C6141" w:rsidRDefault="008C6141" w:rsidP="008C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141">
              <w:rPr>
                <w:rFonts w:ascii="Calibri" w:eastAsia="Times New Roman" w:hAnsi="Calibri" w:cs="Calibri"/>
                <w:color w:val="000000"/>
                <w:lang w:eastAsia="en-AU"/>
              </w:rPr>
              <w:t>Food, Hospitality &amp; Tourism (14.9%)</w:t>
            </w:r>
          </w:p>
        </w:tc>
      </w:tr>
      <w:tr w:rsidR="008C6141" w:rsidRPr="008C6141" w14:paraId="1CF02991" w14:textId="77777777" w:rsidTr="008C6141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261A" w14:textId="77777777" w:rsidR="008C6141" w:rsidRPr="008C6141" w:rsidRDefault="008C6141" w:rsidP="008C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141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9081" w14:textId="77777777" w:rsidR="008C6141" w:rsidRPr="008C6141" w:rsidRDefault="008C6141" w:rsidP="008C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141">
              <w:rPr>
                <w:rFonts w:ascii="Calibri" w:eastAsia="Times New Roman" w:hAnsi="Calibri" w:cs="Calibri"/>
                <w:color w:val="000000"/>
                <w:lang w:eastAsia="en-AU"/>
              </w:rPr>
              <w:t>Teaching, Childcare &amp; Library (7.2%)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95A2" w14:textId="77777777" w:rsidR="008C6141" w:rsidRPr="008C6141" w:rsidRDefault="008C6141" w:rsidP="008C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141">
              <w:rPr>
                <w:rFonts w:ascii="Calibri" w:eastAsia="Times New Roman" w:hAnsi="Calibri" w:cs="Calibri"/>
                <w:color w:val="000000"/>
                <w:lang w:eastAsia="en-AU"/>
              </w:rPr>
              <w:t>Sales Assistants &amp; Storepersons (13.5%)</w:t>
            </w:r>
          </w:p>
        </w:tc>
      </w:tr>
      <w:tr w:rsidR="008C6141" w:rsidRPr="008C6141" w14:paraId="3B394263" w14:textId="77777777" w:rsidTr="008C6141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5E9E" w14:textId="77777777" w:rsidR="008C6141" w:rsidRPr="008C6141" w:rsidRDefault="008C6141" w:rsidP="008C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141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9D0E" w14:textId="77777777" w:rsidR="008C6141" w:rsidRPr="008C6141" w:rsidRDefault="008C6141" w:rsidP="008C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141">
              <w:rPr>
                <w:rFonts w:ascii="Calibri" w:eastAsia="Times New Roman" w:hAnsi="Calibri" w:cs="Calibri"/>
                <w:color w:val="000000"/>
                <w:lang w:eastAsia="en-AU"/>
              </w:rPr>
              <w:t>Health, Fitness, Hair &amp; Beauty (6.3%)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EAC4" w14:textId="77777777" w:rsidR="008C6141" w:rsidRPr="008C6141" w:rsidRDefault="008C6141" w:rsidP="008C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141">
              <w:rPr>
                <w:rFonts w:ascii="Calibri" w:eastAsia="Times New Roman" w:hAnsi="Calibri" w:cs="Calibri"/>
                <w:color w:val="000000"/>
                <w:lang w:eastAsia="en-AU"/>
              </w:rPr>
              <w:t>Labourers, Factory &amp; Machine Workers (7.5%)</w:t>
            </w:r>
          </w:p>
        </w:tc>
      </w:tr>
      <w:tr w:rsidR="008C6141" w:rsidRPr="008C6141" w14:paraId="794161D6" w14:textId="77777777" w:rsidTr="008C6141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99FF" w14:textId="77777777" w:rsidR="008C6141" w:rsidRPr="008C6141" w:rsidRDefault="008C6141" w:rsidP="008C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141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90CC" w14:textId="77777777" w:rsidR="008C6141" w:rsidRPr="008C6141" w:rsidRDefault="008C6141" w:rsidP="008C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141">
              <w:rPr>
                <w:rFonts w:ascii="Calibri" w:eastAsia="Times New Roman" w:hAnsi="Calibri" w:cs="Calibri"/>
                <w:color w:val="000000"/>
                <w:lang w:eastAsia="en-AU"/>
              </w:rPr>
              <w:t>Labourers, Factory &amp; Machine Workers (4.9%)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AEB0" w14:textId="77777777" w:rsidR="008C6141" w:rsidRPr="008C6141" w:rsidRDefault="008C6141" w:rsidP="008C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141">
              <w:rPr>
                <w:rFonts w:ascii="Calibri" w:eastAsia="Times New Roman" w:hAnsi="Calibri" w:cs="Calibri"/>
                <w:color w:val="000000"/>
                <w:lang w:eastAsia="en-AU"/>
              </w:rPr>
              <w:t>Health, Fitness, Hair &amp; Beauty (7.0%)</w:t>
            </w:r>
          </w:p>
        </w:tc>
      </w:tr>
    </w:tbl>
    <w:p w14:paraId="11A19A85" w14:textId="77777777" w:rsidR="003A5ECA" w:rsidRPr="00B140AB" w:rsidRDefault="003A5ECA" w:rsidP="00FA57A2"/>
    <w:p w14:paraId="29287ED1" w14:textId="75446FAA" w:rsidR="002A4104" w:rsidRPr="008674D5" w:rsidRDefault="00B63031" w:rsidP="001F65C6">
      <w:pPr>
        <w:pStyle w:val="Heading1"/>
      </w:pPr>
      <w:r>
        <w:t>Non-completers leave schools for a range of reasons</w:t>
      </w:r>
    </w:p>
    <w:p w14:paraId="359BA6F7" w14:textId="4BF10C2B" w:rsidR="0042334C" w:rsidRDefault="002A4104" w:rsidP="002A4104">
      <w:pPr>
        <w:pStyle w:val="NoSpacing"/>
        <w:jc w:val="both"/>
        <w:rPr>
          <w:rFonts w:asciiTheme="minorHAnsi" w:hAnsiTheme="minorHAnsi" w:cstheme="minorHAnsi"/>
          <w:sz w:val="22"/>
        </w:rPr>
      </w:pPr>
      <w:r w:rsidRPr="0008339F">
        <w:rPr>
          <w:rFonts w:asciiTheme="minorHAnsi" w:hAnsiTheme="minorHAnsi" w:cstheme="minorHAnsi"/>
          <w:sz w:val="22"/>
        </w:rPr>
        <w:t xml:space="preserve">Reasons for leaving school are categorised as either </w:t>
      </w:r>
      <w:r w:rsidR="00701C4A">
        <w:rPr>
          <w:rFonts w:asciiTheme="minorHAnsi" w:hAnsiTheme="minorHAnsi" w:cstheme="minorHAnsi"/>
          <w:sz w:val="22"/>
        </w:rPr>
        <w:t xml:space="preserve">“pull” factors (leaving school to pursue other opportunities) or “push” factors (leaving school due to negative experiences). In 2022, the most common reason given by non-completers for leaving school was work/career reasons (21.8%), a pull factor. </w:t>
      </w:r>
      <w:r w:rsidR="00D709DE">
        <w:rPr>
          <w:rFonts w:asciiTheme="minorHAnsi" w:hAnsiTheme="minorHAnsi" w:cstheme="minorHAnsi"/>
          <w:sz w:val="22"/>
        </w:rPr>
        <w:t xml:space="preserve">Completing VCAL (5.2%) or studying elsewhere (4.8%) were the </w:t>
      </w:r>
      <w:r w:rsidR="0007789B">
        <w:rPr>
          <w:rFonts w:asciiTheme="minorHAnsi" w:hAnsiTheme="minorHAnsi" w:cstheme="minorHAnsi"/>
          <w:sz w:val="22"/>
        </w:rPr>
        <w:t>sixth</w:t>
      </w:r>
      <w:r w:rsidR="00D709DE">
        <w:rPr>
          <w:rFonts w:asciiTheme="minorHAnsi" w:hAnsiTheme="minorHAnsi" w:cstheme="minorHAnsi"/>
          <w:sz w:val="22"/>
        </w:rPr>
        <w:t xml:space="preserve"> and </w:t>
      </w:r>
      <w:r w:rsidR="0007789B">
        <w:rPr>
          <w:rFonts w:asciiTheme="minorHAnsi" w:hAnsiTheme="minorHAnsi" w:cstheme="minorHAnsi"/>
          <w:sz w:val="22"/>
        </w:rPr>
        <w:t>seventh</w:t>
      </w:r>
      <w:r w:rsidR="00D709DE">
        <w:rPr>
          <w:rFonts w:asciiTheme="minorHAnsi" w:hAnsiTheme="minorHAnsi" w:cstheme="minorHAnsi"/>
          <w:sz w:val="22"/>
        </w:rPr>
        <w:t xml:space="preserve"> most common reasons. Common push factors include ill health (12.7%), not liking school (11.7%), not coping at school (10.8%), and finding school a poor fit (9.0%). The proportions of respondent</w:t>
      </w:r>
      <w:r w:rsidR="0011489D">
        <w:rPr>
          <w:rFonts w:asciiTheme="minorHAnsi" w:hAnsiTheme="minorHAnsi" w:cstheme="minorHAnsi"/>
          <w:sz w:val="22"/>
        </w:rPr>
        <w:t>s</w:t>
      </w:r>
      <w:r w:rsidR="00D709DE">
        <w:rPr>
          <w:rFonts w:asciiTheme="minorHAnsi" w:hAnsiTheme="minorHAnsi" w:cstheme="minorHAnsi"/>
          <w:sz w:val="22"/>
        </w:rPr>
        <w:t xml:space="preserve"> </w:t>
      </w:r>
      <w:r w:rsidR="004947F1">
        <w:rPr>
          <w:rFonts w:asciiTheme="minorHAnsi" w:hAnsiTheme="minorHAnsi" w:cstheme="minorHAnsi"/>
          <w:sz w:val="22"/>
        </w:rPr>
        <w:t xml:space="preserve">citing </w:t>
      </w:r>
      <w:r w:rsidR="00D709DE">
        <w:rPr>
          <w:rFonts w:asciiTheme="minorHAnsi" w:hAnsiTheme="minorHAnsi" w:cstheme="minorHAnsi"/>
          <w:sz w:val="22"/>
        </w:rPr>
        <w:t>these reasons have not changed considerabl</w:t>
      </w:r>
      <w:r w:rsidR="004947F1">
        <w:rPr>
          <w:rFonts w:asciiTheme="minorHAnsi" w:hAnsiTheme="minorHAnsi" w:cstheme="minorHAnsi"/>
          <w:sz w:val="22"/>
        </w:rPr>
        <w:t>y</w:t>
      </w:r>
      <w:r w:rsidR="00D709DE">
        <w:rPr>
          <w:rFonts w:asciiTheme="minorHAnsi" w:hAnsiTheme="minorHAnsi" w:cstheme="minorHAnsi"/>
          <w:sz w:val="22"/>
        </w:rPr>
        <w:t xml:space="preserve"> over time, </w:t>
      </w:r>
      <w:r w:rsidR="009C6FD1">
        <w:rPr>
          <w:rFonts w:asciiTheme="minorHAnsi" w:hAnsiTheme="minorHAnsi" w:cstheme="minorHAnsi"/>
          <w:sz w:val="22"/>
        </w:rPr>
        <w:t>except for</w:t>
      </w:r>
      <w:r w:rsidR="00D709DE">
        <w:rPr>
          <w:rFonts w:asciiTheme="minorHAnsi" w:hAnsiTheme="minorHAnsi" w:cstheme="minorHAnsi"/>
          <w:sz w:val="22"/>
        </w:rPr>
        <w:t xml:space="preserve"> ill health which </w:t>
      </w:r>
      <w:r w:rsidR="009D233D">
        <w:rPr>
          <w:rFonts w:asciiTheme="minorHAnsi" w:hAnsiTheme="minorHAnsi" w:cstheme="minorHAnsi"/>
          <w:sz w:val="22"/>
        </w:rPr>
        <w:t>has</w:t>
      </w:r>
      <w:r w:rsidR="00D709DE">
        <w:rPr>
          <w:rFonts w:asciiTheme="minorHAnsi" w:hAnsiTheme="minorHAnsi" w:cstheme="minorHAnsi"/>
          <w:sz w:val="22"/>
        </w:rPr>
        <w:t xml:space="preserve"> grown steadily from 7.7% in 2016.</w:t>
      </w:r>
    </w:p>
    <w:p w14:paraId="796CA090" w14:textId="77777777" w:rsidR="009C6FD1" w:rsidRDefault="009C6FD1" w:rsidP="002A4104">
      <w:pPr>
        <w:pStyle w:val="NoSpacing"/>
        <w:jc w:val="both"/>
        <w:rPr>
          <w:rFonts w:asciiTheme="minorHAnsi" w:hAnsiTheme="minorHAnsi" w:cstheme="minorHAnsi"/>
          <w:sz w:val="22"/>
        </w:rPr>
      </w:pPr>
    </w:p>
    <w:p w14:paraId="7302C300" w14:textId="0F58CC12" w:rsidR="002A4104" w:rsidRPr="0042334C" w:rsidRDefault="002E5A57" w:rsidP="0042334C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Primary</w:t>
      </w:r>
      <w:r w:rsidR="00B63031" w:rsidRPr="0042334C">
        <w:rPr>
          <w:b/>
          <w:bCs/>
          <w:lang w:val="en-US"/>
        </w:rPr>
        <w:t xml:space="preserve"> r</w:t>
      </w:r>
      <w:r w:rsidR="002A4104" w:rsidRPr="0042334C">
        <w:rPr>
          <w:b/>
          <w:bCs/>
          <w:lang w:val="en-US"/>
        </w:rPr>
        <w:t>eason</w:t>
      </w:r>
      <w:r w:rsidR="00172185">
        <w:rPr>
          <w:b/>
          <w:bCs/>
          <w:lang w:val="en-US"/>
        </w:rPr>
        <w:t>s</w:t>
      </w:r>
      <w:r w:rsidR="002A4104" w:rsidRPr="0042334C">
        <w:rPr>
          <w:b/>
          <w:bCs/>
          <w:lang w:val="en-US"/>
        </w:rPr>
        <w:t xml:space="preserve"> </w:t>
      </w:r>
      <w:r w:rsidR="00B63031" w:rsidRPr="0042334C">
        <w:rPr>
          <w:b/>
          <w:bCs/>
          <w:lang w:val="en-US"/>
        </w:rPr>
        <w:t>given by non-completers for</w:t>
      </w:r>
      <w:r w:rsidR="002A4104" w:rsidRPr="0042334C">
        <w:rPr>
          <w:b/>
          <w:bCs/>
          <w:lang w:val="en-US"/>
        </w:rPr>
        <w:t xml:space="preserve"> leaving school</w:t>
      </w:r>
      <w:r w:rsidR="00B63031" w:rsidRPr="0042334C">
        <w:rPr>
          <w:b/>
          <w:bCs/>
          <w:lang w:val="en-US"/>
        </w:rPr>
        <w:t>, 2022</w:t>
      </w:r>
    </w:p>
    <w:tbl>
      <w:tblPr>
        <w:tblW w:w="7277" w:type="dxa"/>
        <w:tblLook w:val="04A0" w:firstRow="1" w:lastRow="0" w:firstColumn="1" w:lastColumn="0" w:noHBand="0" w:noVBand="1"/>
      </w:tblPr>
      <w:tblGrid>
        <w:gridCol w:w="657"/>
        <w:gridCol w:w="5330"/>
        <w:gridCol w:w="1290"/>
      </w:tblGrid>
      <w:tr w:rsidR="00D709DE" w:rsidRPr="00D709DE" w14:paraId="6BDF575B" w14:textId="77777777" w:rsidTr="00AA4B85">
        <w:trPr>
          <w:trHeight w:val="27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D232" w14:textId="77777777" w:rsidR="00D709DE" w:rsidRPr="00D709DE" w:rsidRDefault="00D709DE" w:rsidP="00423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709DE">
              <w:rPr>
                <w:rFonts w:ascii="Calibri" w:eastAsia="Times New Roman" w:hAnsi="Calibri" w:cs="Calibri"/>
                <w:color w:val="000000"/>
                <w:lang w:eastAsia="en-AU"/>
              </w:rPr>
              <w:t>Rank</w:t>
            </w:r>
          </w:p>
        </w:tc>
        <w:tc>
          <w:tcPr>
            <w:tcW w:w="5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B616" w14:textId="77777777" w:rsidR="00D709DE" w:rsidRPr="00D709DE" w:rsidRDefault="00D709DE" w:rsidP="00D70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709DE">
              <w:rPr>
                <w:rFonts w:ascii="Calibri" w:eastAsia="Times New Roman" w:hAnsi="Calibri" w:cs="Calibri"/>
                <w:color w:val="000000"/>
                <w:lang w:eastAsia="en-AU"/>
              </w:rPr>
              <w:t>Reason for leaving school early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2F60" w14:textId="77777777" w:rsidR="00D709DE" w:rsidRPr="00D709DE" w:rsidRDefault="00D709DE" w:rsidP="00D70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709DE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</w:tr>
      <w:tr w:rsidR="00C61442" w:rsidRPr="00D709DE" w14:paraId="292FB39C" w14:textId="77777777" w:rsidTr="00AA4B85">
        <w:trPr>
          <w:trHeight w:val="274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23F5" w14:textId="77777777" w:rsidR="00C61442" w:rsidRPr="00D709DE" w:rsidRDefault="00C61442" w:rsidP="00C6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709DE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6F67" w14:textId="77777777" w:rsidR="00C61442" w:rsidRPr="00D709DE" w:rsidRDefault="00C61442" w:rsidP="00C61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709DE">
              <w:rPr>
                <w:rFonts w:ascii="Calibri" w:eastAsia="Times New Roman" w:hAnsi="Calibri" w:cs="Calibri"/>
                <w:color w:val="000000"/>
                <w:lang w:eastAsia="en-AU"/>
              </w:rPr>
              <w:t>Work reasons/career reasons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B6F0" w14:textId="3724D447" w:rsidR="00C61442" w:rsidRPr="00D709DE" w:rsidRDefault="00C61442" w:rsidP="00C6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21.8%</w:t>
            </w:r>
          </w:p>
        </w:tc>
      </w:tr>
      <w:tr w:rsidR="00C61442" w:rsidRPr="00D709DE" w14:paraId="73D668F9" w14:textId="77777777" w:rsidTr="00AA4B85">
        <w:trPr>
          <w:trHeight w:val="274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37C6" w14:textId="77777777" w:rsidR="00C61442" w:rsidRPr="00D709DE" w:rsidRDefault="00C61442" w:rsidP="00C6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709DE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6EB5" w14:textId="77777777" w:rsidR="00C61442" w:rsidRPr="00D709DE" w:rsidRDefault="00C61442" w:rsidP="00C61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709DE">
              <w:rPr>
                <w:rFonts w:ascii="Calibri" w:eastAsia="Times New Roman" w:hAnsi="Calibri" w:cs="Calibri"/>
                <w:color w:val="000000"/>
                <w:lang w:eastAsia="en-AU"/>
              </w:rPr>
              <w:t>Ill health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1668" w14:textId="49CDFFEC" w:rsidR="00C61442" w:rsidRPr="00D709DE" w:rsidRDefault="00C61442" w:rsidP="00C6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12.7%</w:t>
            </w:r>
          </w:p>
        </w:tc>
      </w:tr>
      <w:tr w:rsidR="00C61442" w:rsidRPr="00D709DE" w14:paraId="48EA9DA1" w14:textId="77777777" w:rsidTr="00AA4B85">
        <w:trPr>
          <w:trHeight w:val="274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0675" w14:textId="77777777" w:rsidR="00C61442" w:rsidRPr="00D709DE" w:rsidRDefault="00C61442" w:rsidP="00C6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709DE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5C7E" w14:textId="77777777" w:rsidR="00C61442" w:rsidRPr="00D709DE" w:rsidRDefault="00C61442" w:rsidP="00C61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709DE">
              <w:rPr>
                <w:rFonts w:ascii="Calibri" w:eastAsia="Times New Roman" w:hAnsi="Calibri" w:cs="Calibri"/>
                <w:color w:val="000000"/>
                <w:lang w:eastAsia="en-AU"/>
              </w:rPr>
              <w:t>Did not like school/teachers/not interested in going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2B23" w14:textId="7749DB6D" w:rsidR="00C61442" w:rsidRPr="00D709DE" w:rsidRDefault="00C61442" w:rsidP="00C6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11.7%</w:t>
            </w:r>
          </w:p>
        </w:tc>
      </w:tr>
      <w:tr w:rsidR="00C61442" w:rsidRPr="00D709DE" w14:paraId="2B2E15D4" w14:textId="77777777" w:rsidTr="00AA4B85">
        <w:trPr>
          <w:trHeight w:val="274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0101" w14:textId="77777777" w:rsidR="00C61442" w:rsidRPr="00D709DE" w:rsidRDefault="00C61442" w:rsidP="00C6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709DE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6333" w14:textId="77777777" w:rsidR="00C61442" w:rsidRPr="00D709DE" w:rsidRDefault="00C61442" w:rsidP="00C61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709DE">
              <w:rPr>
                <w:rFonts w:ascii="Calibri" w:eastAsia="Times New Roman" w:hAnsi="Calibri" w:cs="Calibri"/>
                <w:color w:val="000000"/>
                <w:lang w:eastAsia="en-AU"/>
              </w:rPr>
              <w:t>Not coping well at school/failed/failing subjects/too hard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5B4B" w14:textId="5E8497AD" w:rsidR="00C61442" w:rsidRPr="00D709DE" w:rsidRDefault="00C61442" w:rsidP="00C6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10.8%</w:t>
            </w:r>
          </w:p>
        </w:tc>
      </w:tr>
      <w:tr w:rsidR="00C61442" w:rsidRPr="00D709DE" w14:paraId="31BDB197" w14:textId="77777777" w:rsidTr="00AA4B85">
        <w:trPr>
          <w:trHeight w:val="274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27BB" w14:textId="77777777" w:rsidR="00C61442" w:rsidRPr="00D709DE" w:rsidRDefault="00C61442" w:rsidP="00C6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709DE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EFE0" w14:textId="77777777" w:rsidR="00C61442" w:rsidRPr="00D709DE" w:rsidRDefault="00C61442" w:rsidP="00C61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709DE">
              <w:rPr>
                <w:rFonts w:ascii="Calibri" w:eastAsia="Times New Roman" w:hAnsi="Calibri" w:cs="Calibri"/>
                <w:color w:val="000000"/>
                <w:lang w:eastAsia="en-AU"/>
              </w:rPr>
              <w:t>School not for me/not good environment/not learning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2E07" w14:textId="7D8B52D3" w:rsidR="00C61442" w:rsidRPr="00D709DE" w:rsidRDefault="00C61442" w:rsidP="00C6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9.0%</w:t>
            </w:r>
          </w:p>
        </w:tc>
      </w:tr>
      <w:tr w:rsidR="00C61442" w:rsidRPr="00D709DE" w14:paraId="471A7E22" w14:textId="77777777" w:rsidTr="00AA4B85">
        <w:trPr>
          <w:trHeight w:val="274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A8AC" w14:textId="77777777" w:rsidR="00C61442" w:rsidRPr="00D709DE" w:rsidRDefault="00C61442" w:rsidP="00C6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709DE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BEE0" w14:textId="77777777" w:rsidR="00C61442" w:rsidRPr="00D709DE" w:rsidRDefault="00C61442" w:rsidP="00C61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709DE">
              <w:rPr>
                <w:rFonts w:ascii="Calibri" w:eastAsia="Times New Roman" w:hAnsi="Calibri" w:cs="Calibri"/>
                <w:color w:val="000000"/>
                <w:lang w:eastAsia="en-AU"/>
              </w:rPr>
              <w:t>Finished/finished VCAL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82E6" w14:textId="772AD63F" w:rsidR="00C61442" w:rsidRPr="00D709DE" w:rsidRDefault="00C61442" w:rsidP="00C6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5.2%</w:t>
            </w:r>
          </w:p>
        </w:tc>
      </w:tr>
      <w:tr w:rsidR="00C61442" w:rsidRPr="00D709DE" w14:paraId="5D00D6EB" w14:textId="77777777" w:rsidTr="00AA4B85">
        <w:trPr>
          <w:trHeight w:val="27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AA41" w14:textId="77777777" w:rsidR="00C61442" w:rsidRPr="00D709DE" w:rsidRDefault="00C61442" w:rsidP="00C6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709DE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5986" w14:textId="77777777" w:rsidR="00C61442" w:rsidRPr="00D709DE" w:rsidRDefault="00C61442" w:rsidP="00C61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709DE">
              <w:rPr>
                <w:rFonts w:ascii="Calibri" w:eastAsia="Times New Roman" w:hAnsi="Calibri" w:cs="Calibri"/>
                <w:color w:val="000000"/>
                <w:lang w:eastAsia="en-AU"/>
              </w:rPr>
              <w:t>Study elsewhere/TAFE/different course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68AF" w14:textId="54B284F4" w:rsidR="00C61442" w:rsidRPr="00D709DE" w:rsidRDefault="00C61442" w:rsidP="00C6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4.8%</w:t>
            </w:r>
          </w:p>
        </w:tc>
      </w:tr>
    </w:tbl>
    <w:p w14:paraId="41EA0163" w14:textId="77777777" w:rsidR="00B63031" w:rsidRPr="00B63031" w:rsidRDefault="00B63031" w:rsidP="00B63031"/>
    <w:p w14:paraId="064D1FEE" w14:textId="6E4E5165" w:rsidR="008916A2" w:rsidRPr="005750CF" w:rsidRDefault="00AC2B62" w:rsidP="00AF39D4">
      <w:pPr>
        <w:pStyle w:val="Heading1"/>
      </w:pPr>
      <w:r w:rsidRPr="008674D5">
        <w:t>Post-</w:t>
      </w:r>
      <w:r w:rsidR="00893C3F" w:rsidRPr="008674D5">
        <w:t xml:space="preserve">school destinations </w:t>
      </w:r>
      <w:r w:rsidR="00C76A6E">
        <w:t>are influenced by</w:t>
      </w:r>
      <w:r w:rsidR="00B87858" w:rsidRPr="008674D5">
        <w:t xml:space="preserve"> </w:t>
      </w:r>
      <w:r w:rsidR="00102D89">
        <w:t>respondent</w:t>
      </w:r>
      <w:r w:rsidR="00102D89" w:rsidRPr="008674D5">
        <w:t xml:space="preserve"> </w:t>
      </w:r>
      <w:r w:rsidR="00B87858" w:rsidRPr="008674D5">
        <w:t>characteristics</w:t>
      </w:r>
    </w:p>
    <w:p w14:paraId="792F9694" w14:textId="482BC8A1" w:rsidR="00B87858" w:rsidRPr="005750CF" w:rsidRDefault="00B87858" w:rsidP="00D44B7E">
      <w:pPr>
        <w:spacing w:after="120" w:line="240" w:lineRule="auto"/>
        <w:rPr>
          <w:rFonts w:cstheme="minorHAnsi"/>
        </w:rPr>
      </w:pPr>
      <w:r w:rsidRPr="005750CF">
        <w:rPr>
          <w:rFonts w:cstheme="minorHAnsi"/>
        </w:rPr>
        <w:t xml:space="preserve">The On Track survey </w:t>
      </w:r>
      <w:r w:rsidR="00CF58EA" w:rsidRPr="005750CF">
        <w:rPr>
          <w:rFonts w:cstheme="minorHAnsi"/>
        </w:rPr>
        <w:t>provides information on</w:t>
      </w:r>
      <w:r w:rsidRPr="005750CF">
        <w:rPr>
          <w:rFonts w:cstheme="minorHAnsi"/>
        </w:rPr>
        <w:t xml:space="preserve"> post-school </w:t>
      </w:r>
      <w:r w:rsidR="00F92B57">
        <w:rPr>
          <w:rFonts w:cstheme="minorHAnsi"/>
        </w:rPr>
        <w:t>destinations</w:t>
      </w:r>
      <w:r w:rsidRPr="005750CF">
        <w:rPr>
          <w:rFonts w:cstheme="minorHAnsi"/>
        </w:rPr>
        <w:t xml:space="preserve"> by selected student characteristics, including gender, location</w:t>
      </w:r>
      <w:r w:rsidR="00C76A6E">
        <w:rPr>
          <w:rFonts w:cstheme="minorHAnsi"/>
        </w:rPr>
        <w:t>,</w:t>
      </w:r>
      <w:r w:rsidRPr="005750CF">
        <w:rPr>
          <w:rFonts w:cstheme="minorHAnsi"/>
        </w:rPr>
        <w:t xml:space="preserve"> and </w:t>
      </w:r>
      <w:r w:rsidR="004A283B">
        <w:rPr>
          <w:rFonts w:cstheme="minorHAnsi"/>
        </w:rPr>
        <w:t>language</w:t>
      </w:r>
      <w:r w:rsidRPr="005750CF">
        <w:rPr>
          <w:rFonts w:cstheme="minorHAnsi"/>
        </w:rPr>
        <w:t xml:space="preserve"> background. </w:t>
      </w:r>
      <w:r w:rsidR="0021465D" w:rsidRPr="005750CF">
        <w:rPr>
          <w:rFonts w:cstheme="minorHAnsi"/>
        </w:rPr>
        <w:t>For both cohorts of students (those who complete Year 12 and those who do</w:t>
      </w:r>
      <w:r w:rsidR="00C433DF">
        <w:rPr>
          <w:rFonts w:cstheme="minorHAnsi"/>
        </w:rPr>
        <w:t xml:space="preserve"> no</w:t>
      </w:r>
      <w:r w:rsidR="0021465D" w:rsidRPr="005750CF">
        <w:rPr>
          <w:rFonts w:cstheme="minorHAnsi"/>
        </w:rPr>
        <w:t>t) the following trends can be seen:</w:t>
      </w:r>
    </w:p>
    <w:p w14:paraId="3241933F" w14:textId="78A35851" w:rsidR="004B664D" w:rsidRPr="008B42E3" w:rsidRDefault="00F82352" w:rsidP="00B46907">
      <w:pPr>
        <w:pStyle w:val="ListParagraph"/>
        <w:numPr>
          <w:ilvl w:val="0"/>
          <w:numId w:val="6"/>
        </w:numPr>
        <w:spacing w:after="120" w:line="240" w:lineRule="auto"/>
        <w:ind w:left="426"/>
        <w:rPr>
          <w:rFonts w:cstheme="minorHAnsi"/>
        </w:rPr>
      </w:pPr>
      <w:r>
        <w:rPr>
          <w:rFonts w:cstheme="minorHAnsi"/>
        </w:rPr>
        <w:t>M</w:t>
      </w:r>
      <w:r w:rsidR="00CF7605" w:rsidRPr="008B42E3">
        <w:rPr>
          <w:rFonts w:cstheme="minorHAnsi"/>
        </w:rPr>
        <w:t xml:space="preserve">ales </w:t>
      </w:r>
      <w:r w:rsidR="0021465D" w:rsidRPr="008B42E3">
        <w:rPr>
          <w:rFonts w:cstheme="minorHAnsi"/>
        </w:rPr>
        <w:t>are</w:t>
      </w:r>
      <w:r w:rsidR="00CF7605" w:rsidRPr="008B42E3">
        <w:rPr>
          <w:rFonts w:cstheme="minorHAnsi"/>
        </w:rPr>
        <w:t xml:space="preserve"> more likely to commence an apprenticeship or traineeship</w:t>
      </w:r>
      <w:r w:rsidR="008A7903">
        <w:rPr>
          <w:rFonts w:cstheme="minorHAnsi"/>
        </w:rPr>
        <w:t xml:space="preserve">, </w:t>
      </w:r>
      <w:r w:rsidR="00893C3F" w:rsidRPr="008B42E3">
        <w:rPr>
          <w:rFonts w:cstheme="minorHAnsi"/>
        </w:rPr>
        <w:t>while females are more likely to pursue further education</w:t>
      </w:r>
      <w:r>
        <w:rPr>
          <w:rFonts w:cstheme="minorHAnsi"/>
        </w:rPr>
        <w:t>.</w:t>
      </w:r>
      <w:r w:rsidR="0021465D" w:rsidRPr="008B42E3">
        <w:rPr>
          <w:rFonts w:cstheme="minorHAnsi"/>
        </w:rPr>
        <w:t>*</w:t>
      </w:r>
    </w:p>
    <w:p w14:paraId="406AC74B" w14:textId="0336A9B1" w:rsidR="0021465D" w:rsidRPr="008B42E3" w:rsidRDefault="00F82352" w:rsidP="00B46907">
      <w:pPr>
        <w:pStyle w:val="ListParagraph"/>
        <w:numPr>
          <w:ilvl w:val="0"/>
          <w:numId w:val="6"/>
        </w:numPr>
        <w:spacing w:after="120" w:line="240" w:lineRule="auto"/>
        <w:ind w:left="426"/>
        <w:rPr>
          <w:rFonts w:cstheme="minorHAnsi"/>
        </w:rPr>
      </w:pPr>
      <w:r>
        <w:rPr>
          <w:rFonts w:cstheme="minorHAnsi"/>
        </w:rPr>
        <w:t>St</w:t>
      </w:r>
      <w:r w:rsidR="0021465D" w:rsidRPr="008B42E3">
        <w:rPr>
          <w:rFonts w:cstheme="minorHAnsi"/>
        </w:rPr>
        <w:t>udents with a language background other than</w:t>
      </w:r>
      <w:r w:rsidR="006016D9" w:rsidRPr="008B42E3">
        <w:rPr>
          <w:rFonts w:cstheme="minorHAnsi"/>
        </w:rPr>
        <w:t xml:space="preserve"> English </w:t>
      </w:r>
      <w:r w:rsidR="00967B2C">
        <w:rPr>
          <w:rFonts w:cstheme="minorHAnsi"/>
        </w:rPr>
        <w:t xml:space="preserve">are more likely to </w:t>
      </w:r>
      <w:r w:rsidR="006016D9" w:rsidRPr="008B42E3">
        <w:rPr>
          <w:rFonts w:cstheme="minorHAnsi"/>
        </w:rPr>
        <w:t xml:space="preserve">enrol in a </w:t>
      </w:r>
      <w:r w:rsidR="003F6E73" w:rsidRPr="008B42E3">
        <w:rPr>
          <w:rFonts w:cstheme="minorHAnsi"/>
        </w:rPr>
        <w:t>bachelor’s</w:t>
      </w:r>
      <w:r w:rsidR="006016D9" w:rsidRPr="008B42E3">
        <w:rPr>
          <w:rFonts w:cstheme="minorHAnsi"/>
        </w:rPr>
        <w:t xml:space="preserve"> d</w:t>
      </w:r>
      <w:r w:rsidR="00370D0A" w:rsidRPr="008B42E3">
        <w:rPr>
          <w:rFonts w:cstheme="minorHAnsi"/>
        </w:rPr>
        <w:t>egree or Certificate /</w:t>
      </w:r>
      <w:r w:rsidR="0021465D" w:rsidRPr="008B42E3">
        <w:rPr>
          <w:rFonts w:cstheme="minorHAnsi"/>
        </w:rPr>
        <w:t>Diploma than those of English</w:t>
      </w:r>
      <w:r w:rsidR="007739EF" w:rsidRPr="008B42E3">
        <w:rPr>
          <w:rFonts w:cstheme="minorHAnsi"/>
        </w:rPr>
        <w:t>-</w:t>
      </w:r>
      <w:r w:rsidR="0021465D" w:rsidRPr="008B42E3">
        <w:rPr>
          <w:rFonts w:cstheme="minorHAnsi"/>
        </w:rPr>
        <w:t>speaking backgrounds</w:t>
      </w:r>
      <w:r>
        <w:rPr>
          <w:rFonts w:cstheme="minorHAnsi"/>
        </w:rPr>
        <w:t>.</w:t>
      </w:r>
    </w:p>
    <w:p w14:paraId="6408ADC9" w14:textId="651434AC" w:rsidR="00B87858" w:rsidRPr="008B42E3" w:rsidRDefault="00F82352" w:rsidP="00B46907">
      <w:pPr>
        <w:pStyle w:val="ListParagraph"/>
        <w:numPr>
          <w:ilvl w:val="0"/>
          <w:numId w:val="6"/>
        </w:numPr>
        <w:spacing w:after="120" w:line="240" w:lineRule="auto"/>
        <w:ind w:left="426"/>
        <w:rPr>
          <w:rFonts w:cstheme="minorHAnsi"/>
        </w:rPr>
      </w:pPr>
      <w:r>
        <w:rPr>
          <w:rFonts w:cstheme="minorHAnsi"/>
        </w:rPr>
        <w:t>Y</w:t>
      </w:r>
      <w:r w:rsidR="0021465D" w:rsidRPr="008B42E3">
        <w:rPr>
          <w:rFonts w:cstheme="minorHAnsi"/>
        </w:rPr>
        <w:t>oung people in non-metropolitan Victoria are more likely to undertake an apprenticeship or traineeship than their metropolitan counterparts</w:t>
      </w:r>
      <w:r w:rsidR="006F147C" w:rsidRPr="008B42E3">
        <w:rPr>
          <w:rFonts w:cstheme="minorHAnsi"/>
        </w:rPr>
        <w:t>.</w:t>
      </w:r>
      <w:r w:rsidR="0021465D" w:rsidRPr="008B42E3">
        <w:rPr>
          <w:rFonts w:cstheme="minorHAnsi"/>
        </w:rPr>
        <w:t xml:space="preserve"> </w:t>
      </w:r>
    </w:p>
    <w:p w14:paraId="5F6D889D" w14:textId="67CAAAA2" w:rsidR="000F0982" w:rsidRDefault="003035BA" w:rsidP="00D44B7E">
      <w:pPr>
        <w:spacing w:after="0" w:line="240" w:lineRule="auto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>*</w:t>
      </w:r>
      <w:r w:rsidR="001779AF">
        <w:rPr>
          <w:rFonts w:eastAsia="Times New Roman" w:cstheme="minorHAnsi"/>
          <w:i/>
        </w:rPr>
        <w:t>N</w:t>
      </w:r>
      <w:r w:rsidR="0021465D" w:rsidRPr="008B42E3">
        <w:rPr>
          <w:rFonts w:eastAsia="Times New Roman" w:cstheme="minorHAnsi"/>
          <w:i/>
        </w:rPr>
        <w:t>ote</w:t>
      </w:r>
      <w:r>
        <w:rPr>
          <w:rFonts w:eastAsia="Times New Roman" w:cstheme="minorHAnsi"/>
          <w:i/>
        </w:rPr>
        <w:t>:</w:t>
      </w:r>
      <w:r w:rsidR="0021465D" w:rsidRPr="008B42E3">
        <w:rPr>
          <w:rFonts w:eastAsia="Times New Roman" w:cstheme="minorHAnsi"/>
          <w:i/>
        </w:rPr>
        <w:t xml:space="preserve"> </w:t>
      </w:r>
      <w:r>
        <w:rPr>
          <w:rFonts w:eastAsia="Times New Roman" w:cstheme="minorHAnsi"/>
          <w:i/>
        </w:rPr>
        <w:t>D</w:t>
      </w:r>
      <w:r w:rsidR="00B87858" w:rsidRPr="008B42E3">
        <w:rPr>
          <w:rFonts w:eastAsia="Times New Roman" w:cstheme="minorHAnsi"/>
          <w:i/>
        </w:rPr>
        <w:t>ata represented by gender is described as male and female. This analysis does not include respondents</w:t>
      </w:r>
      <w:r w:rsidR="00231234" w:rsidRPr="00F82352">
        <w:rPr>
          <w:rFonts w:eastAsia="Times New Roman" w:cstheme="minorHAnsi"/>
          <w:i/>
        </w:rPr>
        <w:t xml:space="preserve"> who either did not identify as either </w:t>
      </w:r>
      <w:r w:rsidR="00231234">
        <w:rPr>
          <w:rFonts w:eastAsia="Times New Roman" w:cstheme="minorHAnsi"/>
          <w:i/>
        </w:rPr>
        <w:t>m</w:t>
      </w:r>
      <w:r w:rsidR="00231234" w:rsidRPr="00F82352">
        <w:rPr>
          <w:rFonts w:eastAsia="Times New Roman" w:cstheme="minorHAnsi"/>
          <w:i/>
        </w:rPr>
        <w:t xml:space="preserve">ale or </w:t>
      </w:r>
      <w:r w:rsidR="00231234">
        <w:rPr>
          <w:rFonts w:eastAsia="Times New Roman" w:cstheme="minorHAnsi"/>
          <w:i/>
        </w:rPr>
        <w:t>f</w:t>
      </w:r>
      <w:r w:rsidR="00231234" w:rsidRPr="00F82352">
        <w:rPr>
          <w:rFonts w:eastAsia="Times New Roman" w:cstheme="minorHAnsi"/>
          <w:i/>
        </w:rPr>
        <w:t>emale or for whom such identifying information was unavailable</w:t>
      </w:r>
      <w:r w:rsidR="00B87858" w:rsidRPr="008B42E3">
        <w:rPr>
          <w:rFonts w:eastAsia="Times New Roman" w:cstheme="minorHAnsi"/>
          <w:i/>
        </w:rPr>
        <w:t xml:space="preserve"> </w:t>
      </w:r>
      <w:r w:rsidR="00B916AD" w:rsidRPr="004512BD">
        <w:rPr>
          <w:rFonts w:eastAsia="Times New Roman" w:cstheme="minorHAnsi"/>
          <w:i/>
        </w:rPr>
        <w:t>due to the small number of respondents</w:t>
      </w:r>
      <w:r w:rsidR="003F6E73" w:rsidRPr="004512BD">
        <w:rPr>
          <w:rFonts w:eastAsia="Times New Roman" w:cstheme="minorHAnsi"/>
          <w:i/>
        </w:rPr>
        <w:t xml:space="preserve"> in </w:t>
      </w:r>
      <w:r w:rsidR="001736CA" w:rsidRPr="004512BD">
        <w:rPr>
          <w:rFonts w:eastAsia="Times New Roman" w:cstheme="minorHAnsi"/>
          <w:i/>
        </w:rPr>
        <w:t>th</w:t>
      </w:r>
      <w:r w:rsidR="00231234">
        <w:rPr>
          <w:rFonts w:eastAsia="Times New Roman" w:cstheme="minorHAnsi"/>
          <w:i/>
        </w:rPr>
        <w:t>is</w:t>
      </w:r>
      <w:r w:rsidR="003F6E73" w:rsidRPr="004512BD">
        <w:rPr>
          <w:rFonts w:eastAsia="Times New Roman" w:cstheme="minorHAnsi"/>
          <w:i/>
        </w:rPr>
        <w:t xml:space="preserve"> categor</w:t>
      </w:r>
      <w:r w:rsidR="00231234">
        <w:rPr>
          <w:rFonts w:eastAsia="Times New Roman" w:cstheme="minorHAnsi"/>
          <w:i/>
        </w:rPr>
        <w:t>y</w:t>
      </w:r>
      <w:r w:rsidR="00B87858" w:rsidRPr="004512BD">
        <w:rPr>
          <w:rFonts w:eastAsia="Times New Roman" w:cstheme="minorHAnsi"/>
          <w:i/>
        </w:rPr>
        <w:t>.</w:t>
      </w:r>
    </w:p>
    <w:p w14:paraId="79A550E2" w14:textId="79A5BECA" w:rsidR="000F0982" w:rsidRPr="006E6688" w:rsidRDefault="00413051" w:rsidP="000F0982">
      <w:pPr>
        <w:pStyle w:val="Heading1"/>
      </w:pPr>
      <w:r>
        <w:t>Destinations of</w:t>
      </w:r>
      <w:r w:rsidR="000F0982" w:rsidRPr="006E6688">
        <w:t xml:space="preserve"> Aboriginal</w:t>
      </w:r>
      <w:r w:rsidR="00826577">
        <w:t xml:space="preserve"> and/or Torres Strait Islander</w:t>
      </w:r>
      <w:r w:rsidR="000F0982" w:rsidRPr="006E6688">
        <w:t xml:space="preserve"> </w:t>
      </w:r>
      <w:r w:rsidR="000F0982">
        <w:t xml:space="preserve">respondents </w:t>
      </w:r>
      <w:r>
        <w:t>follow different patterns</w:t>
      </w:r>
    </w:p>
    <w:p w14:paraId="22918009" w14:textId="1EAA5D59" w:rsidR="00171183" w:rsidRDefault="00171183" w:rsidP="000F0982">
      <w:pPr>
        <w:spacing w:after="120" w:line="240" w:lineRule="auto"/>
        <w:rPr>
          <w:rFonts w:cstheme="minorHAnsi"/>
        </w:rPr>
      </w:pPr>
      <w:r>
        <w:rPr>
          <w:rFonts w:cstheme="minorHAnsi"/>
        </w:rPr>
        <w:t>In 2022,</w:t>
      </w:r>
      <w:r w:rsidR="00405DDB">
        <w:rPr>
          <w:rFonts w:cstheme="minorHAnsi"/>
        </w:rPr>
        <w:t xml:space="preserve"> there were</w:t>
      </w:r>
      <w:r>
        <w:rPr>
          <w:rFonts w:cstheme="minorHAnsi"/>
        </w:rPr>
        <w:t xml:space="preserve"> 370 Aboriginal and/or Torres Strait Islander respondents</w:t>
      </w:r>
      <w:r w:rsidR="000B5AF1">
        <w:rPr>
          <w:rFonts w:cstheme="minorHAnsi"/>
        </w:rPr>
        <w:t xml:space="preserve"> (297 Year 12 completers and 73 non-completers)</w:t>
      </w:r>
      <w:r>
        <w:rPr>
          <w:rFonts w:cstheme="minorHAnsi"/>
        </w:rPr>
        <w:t xml:space="preserve"> to the On Track survey. Aboriginal and/or Torres Strait Islander respondents who completed Year 12 were similarly likely to pursu</w:t>
      </w:r>
      <w:r w:rsidR="00875A4B">
        <w:rPr>
          <w:rFonts w:cstheme="minorHAnsi"/>
        </w:rPr>
        <w:t>e</w:t>
      </w:r>
      <w:r>
        <w:rPr>
          <w:rFonts w:cstheme="minorHAnsi"/>
        </w:rPr>
        <w:t xml:space="preserve"> an apprenticeship/traineeship (24.2%) or a bachelor’s degree (</w:t>
      </w:r>
      <w:r w:rsidR="00C66381">
        <w:rPr>
          <w:rFonts w:cstheme="minorHAnsi"/>
        </w:rPr>
        <w:t>26</w:t>
      </w:r>
      <w:r>
        <w:rPr>
          <w:rFonts w:cstheme="minorHAnsi"/>
        </w:rPr>
        <w:t>.</w:t>
      </w:r>
      <w:r w:rsidR="00C66381">
        <w:rPr>
          <w:rFonts w:cstheme="minorHAnsi"/>
        </w:rPr>
        <w:t>9</w:t>
      </w:r>
      <w:r>
        <w:rPr>
          <w:rFonts w:cstheme="minorHAnsi"/>
        </w:rPr>
        <w:t xml:space="preserve">%). Completers were more likely to be employed (32.0%) than the average across all respondents (24.3%). </w:t>
      </w:r>
      <w:r w:rsidR="00405DDB">
        <w:rPr>
          <w:rFonts w:cstheme="minorHAnsi"/>
        </w:rPr>
        <w:t xml:space="preserve">Certificates/diplomas were pursued by both Year 12 completers and non-completers in similar proportions to the average across all respondents. </w:t>
      </w:r>
    </w:p>
    <w:p w14:paraId="4BCD674F" w14:textId="23D00564" w:rsidR="00441B4A" w:rsidRPr="00441B4A" w:rsidRDefault="00441B4A" w:rsidP="00441B4A">
      <w:pPr>
        <w:rPr>
          <w:b/>
          <w:bCs/>
          <w:lang w:val="en-US"/>
        </w:rPr>
      </w:pPr>
      <w:r w:rsidRPr="00C56023">
        <w:rPr>
          <w:b/>
          <w:bCs/>
          <w:lang w:val="en-US"/>
        </w:rPr>
        <w:t>Destination</w:t>
      </w:r>
      <w:r>
        <w:rPr>
          <w:b/>
          <w:bCs/>
          <w:lang w:val="en-US"/>
        </w:rPr>
        <w:t>s of</w:t>
      </w:r>
      <w:r w:rsidRPr="00C56023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Aboriginal and/or Torres Strait Islander </w:t>
      </w:r>
      <w:r w:rsidRPr="00C56023">
        <w:rPr>
          <w:b/>
          <w:bCs/>
          <w:lang w:val="en-US"/>
        </w:rPr>
        <w:t>Year 12 completers</w:t>
      </w:r>
      <w:r>
        <w:rPr>
          <w:b/>
          <w:bCs/>
          <w:lang w:val="en-US"/>
        </w:rPr>
        <w:t xml:space="preserve"> and non-completers</w:t>
      </w:r>
      <w:r w:rsidRPr="00C56023">
        <w:rPr>
          <w:b/>
          <w:bCs/>
          <w:lang w:val="en-US"/>
        </w:rPr>
        <w:t>, 202</w:t>
      </w:r>
      <w:r>
        <w:rPr>
          <w:b/>
          <w:bCs/>
          <w:lang w:val="en-US"/>
        </w:rPr>
        <w:t>2</w:t>
      </w: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2547"/>
        <w:gridCol w:w="1701"/>
        <w:gridCol w:w="1276"/>
        <w:gridCol w:w="1417"/>
        <w:gridCol w:w="1134"/>
        <w:gridCol w:w="992"/>
        <w:gridCol w:w="1134"/>
      </w:tblGrid>
      <w:tr w:rsidR="00171183" w:rsidRPr="00171183" w14:paraId="60FBFA2A" w14:textId="77777777" w:rsidTr="007F1283">
        <w:trPr>
          <w:trHeight w:val="29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2C2F" w14:textId="77777777" w:rsidR="00171183" w:rsidRPr="00171183" w:rsidRDefault="00171183" w:rsidP="00171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1183">
              <w:rPr>
                <w:rFonts w:ascii="Calibri" w:eastAsia="Times New Roman" w:hAnsi="Calibri" w:cs="Calibri"/>
                <w:color w:val="000000"/>
                <w:lang w:eastAsia="en-AU"/>
              </w:rPr>
              <w:t>Aboriginal and/or Torres Strait Islander cohort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2D286" w14:textId="77777777" w:rsidR="00171183" w:rsidRPr="00171183" w:rsidRDefault="00171183" w:rsidP="00171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1183">
              <w:rPr>
                <w:rFonts w:ascii="Calibri" w:eastAsia="Times New Roman" w:hAnsi="Calibri" w:cs="Calibri"/>
                <w:color w:val="000000"/>
                <w:lang w:eastAsia="en-AU"/>
              </w:rPr>
              <w:t>In Education or Training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35B82" w14:textId="77777777" w:rsidR="00171183" w:rsidRPr="00171183" w:rsidRDefault="00171183" w:rsidP="00171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1183">
              <w:rPr>
                <w:rFonts w:ascii="Calibri" w:eastAsia="Times New Roman" w:hAnsi="Calibri" w:cs="Calibri"/>
                <w:color w:val="000000"/>
                <w:lang w:eastAsia="en-AU"/>
              </w:rPr>
              <w:t>Not in Education or Training</w:t>
            </w:r>
          </w:p>
        </w:tc>
      </w:tr>
      <w:tr w:rsidR="00171183" w:rsidRPr="00171183" w14:paraId="3A5AFC07" w14:textId="77777777" w:rsidTr="007F1283">
        <w:trPr>
          <w:trHeight w:val="29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A08FC" w14:textId="77777777" w:rsidR="00171183" w:rsidRPr="00171183" w:rsidRDefault="00171183" w:rsidP="001711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760AD" w14:textId="77777777" w:rsidR="00171183" w:rsidRPr="00171183" w:rsidRDefault="00171183" w:rsidP="00171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1183">
              <w:rPr>
                <w:rFonts w:ascii="Calibri" w:eastAsia="Times New Roman" w:hAnsi="Calibri" w:cs="Calibri"/>
                <w:color w:val="000000"/>
                <w:lang w:eastAsia="en-AU"/>
              </w:rPr>
              <w:t>Apprenticeship/traineeship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7801" w14:textId="77777777" w:rsidR="00171183" w:rsidRPr="00171183" w:rsidRDefault="00171183" w:rsidP="00171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1183">
              <w:rPr>
                <w:rFonts w:ascii="Calibri" w:eastAsia="Times New Roman" w:hAnsi="Calibri" w:cs="Calibri"/>
                <w:color w:val="000000"/>
                <w:lang w:eastAsia="en-AU"/>
              </w:rPr>
              <w:t>Bachelor's degree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B02E" w14:textId="77777777" w:rsidR="00171183" w:rsidRPr="00171183" w:rsidRDefault="00171183" w:rsidP="00171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1183">
              <w:rPr>
                <w:rFonts w:ascii="Calibri" w:eastAsia="Times New Roman" w:hAnsi="Calibri" w:cs="Calibri"/>
                <w:color w:val="000000"/>
                <w:lang w:eastAsia="en-AU"/>
              </w:rPr>
              <w:t>Certificates/diplomas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FAB2D" w14:textId="77777777" w:rsidR="00171183" w:rsidRPr="00171183" w:rsidRDefault="00171183" w:rsidP="00171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1183">
              <w:rPr>
                <w:rFonts w:ascii="Calibri" w:eastAsia="Times New Roman" w:hAnsi="Calibri" w:cs="Calibri"/>
                <w:color w:val="000000"/>
                <w:lang w:eastAsia="en-AU"/>
              </w:rPr>
              <w:t>Employed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6CEB6" w14:textId="77777777" w:rsidR="00171183" w:rsidRPr="00171183" w:rsidRDefault="00171183" w:rsidP="00171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1183">
              <w:rPr>
                <w:rFonts w:ascii="Calibri" w:eastAsia="Times New Roman" w:hAnsi="Calibri" w:cs="Calibri"/>
                <w:color w:val="000000"/>
                <w:lang w:eastAsia="en-AU"/>
              </w:rPr>
              <w:t>Looking for work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1595" w14:textId="260F03DA" w:rsidR="00171183" w:rsidRPr="00171183" w:rsidRDefault="00171183" w:rsidP="00171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F1283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  <w:r w:rsidR="00670E29" w:rsidRPr="007F1283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ot in labour force, </w:t>
            </w:r>
            <w:r w:rsidR="00670E29" w:rsidRPr="00670E29">
              <w:rPr>
                <w:rFonts w:ascii="Calibri" w:eastAsia="Times New Roman" w:hAnsi="Calibri" w:cs="Calibri"/>
                <w:color w:val="000000"/>
                <w:lang w:eastAsia="en-AU"/>
              </w:rPr>
              <w:t>education</w:t>
            </w:r>
            <w:r w:rsidR="00670E29" w:rsidRPr="007F1283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or training</w:t>
            </w:r>
          </w:p>
        </w:tc>
      </w:tr>
      <w:tr w:rsidR="00171183" w:rsidRPr="00171183" w14:paraId="68ADB93C" w14:textId="77777777" w:rsidTr="007F1283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F8F9" w14:textId="77777777" w:rsidR="00171183" w:rsidRPr="00171183" w:rsidRDefault="00171183" w:rsidP="001711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1183">
              <w:rPr>
                <w:rFonts w:ascii="Calibri" w:eastAsia="Times New Roman" w:hAnsi="Calibri" w:cs="Calibri"/>
                <w:color w:val="000000"/>
                <w:lang w:eastAsia="en-AU"/>
              </w:rPr>
              <w:t>Year 12 completers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1C58" w14:textId="77777777" w:rsidR="00171183" w:rsidRPr="00171183" w:rsidRDefault="00171183" w:rsidP="00171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1183">
              <w:rPr>
                <w:rFonts w:ascii="Calibri" w:eastAsia="Times New Roman" w:hAnsi="Calibri" w:cs="Calibri"/>
                <w:color w:val="000000"/>
                <w:lang w:eastAsia="en-AU"/>
              </w:rPr>
              <w:t>24.2%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40CA" w14:textId="77777777" w:rsidR="00171183" w:rsidRPr="00171183" w:rsidRDefault="00171183" w:rsidP="00171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1183">
              <w:rPr>
                <w:rFonts w:ascii="Calibri" w:eastAsia="Times New Roman" w:hAnsi="Calibri" w:cs="Calibri"/>
                <w:color w:val="000000"/>
                <w:lang w:eastAsia="en-AU"/>
              </w:rPr>
              <w:t>26.9%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34E4" w14:textId="77777777" w:rsidR="00171183" w:rsidRPr="00171183" w:rsidRDefault="00171183" w:rsidP="00171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1183">
              <w:rPr>
                <w:rFonts w:ascii="Calibri" w:eastAsia="Times New Roman" w:hAnsi="Calibri" w:cs="Calibri"/>
                <w:color w:val="000000"/>
                <w:lang w:eastAsia="en-AU"/>
              </w:rPr>
              <w:t>10.8%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C873" w14:textId="77777777" w:rsidR="00171183" w:rsidRPr="00171183" w:rsidRDefault="00171183" w:rsidP="00171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1183">
              <w:rPr>
                <w:rFonts w:ascii="Calibri" w:eastAsia="Times New Roman" w:hAnsi="Calibri" w:cs="Calibri"/>
                <w:color w:val="000000"/>
                <w:lang w:eastAsia="en-AU"/>
              </w:rPr>
              <w:t>32.0%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B167" w14:textId="77777777" w:rsidR="00171183" w:rsidRPr="00171183" w:rsidRDefault="00171183" w:rsidP="00171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1183">
              <w:rPr>
                <w:rFonts w:ascii="Calibri" w:eastAsia="Times New Roman" w:hAnsi="Calibri" w:cs="Calibri"/>
                <w:color w:val="000000"/>
                <w:lang w:eastAsia="en-AU"/>
              </w:rPr>
              <w:t>4.7%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9D26" w14:textId="77777777" w:rsidR="00171183" w:rsidRPr="00171183" w:rsidRDefault="00171183" w:rsidP="00171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1183">
              <w:rPr>
                <w:rFonts w:ascii="Calibri" w:eastAsia="Times New Roman" w:hAnsi="Calibri" w:cs="Calibri"/>
                <w:color w:val="000000"/>
                <w:lang w:eastAsia="en-AU"/>
              </w:rPr>
              <w:t>1.3%</w:t>
            </w:r>
          </w:p>
        </w:tc>
      </w:tr>
      <w:tr w:rsidR="00171183" w:rsidRPr="00171183" w14:paraId="386154D7" w14:textId="77777777" w:rsidTr="007F1283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4EA2" w14:textId="77777777" w:rsidR="00171183" w:rsidRPr="00171183" w:rsidRDefault="00171183" w:rsidP="001711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1183">
              <w:rPr>
                <w:rFonts w:ascii="Calibri" w:eastAsia="Times New Roman" w:hAnsi="Calibri" w:cs="Calibri"/>
                <w:color w:val="000000"/>
                <w:lang w:eastAsia="en-AU"/>
              </w:rPr>
              <w:t>Non-completers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8D8C" w14:textId="77777777" w:rsidR="00171183" w:rsidRPr="00171183" w:rsidRDefault="00171183" w:rsidP="00171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1183">
              <w:rPr>
                <w:rFonts w:ascii="Calibri" w:eastAsia="Times New Roman" w:hAnsi="Calibri" w:cs="Calibri"/>
                <w:color w:val="000000"/>
                <w:lang w:eastAsia="en-AU"/>
              </w:rPr>
              <w:t>26.0%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EE87" w14:textId="77777777" w:rsidR="00171183" w:rsidRPr="00171183" w:rsidRDefault="00171183" w:rsidP="00171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1183">
              <w:rPr>
                <w:rFonts w:ascii="Calibri" w:eastAsia="Times New Roman" w:hAnsi="Calibri" w:cs="Calibri"/>
                <w:color w:val="000000"/>
                <w:lang w:eastAsia="en-AU"/>
              </w:rPr>
              <w:t>2.7%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9380" w14:textId="77777777" w:rsidR="00171183" w:rsidRPr="00171183" w:rsidRDefault="00171183" w:rsidP="00171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1183">
              <w:rPr>
                <w:rFonts w:ascii="Calibri" w:eastAsia="Times New Roman" w:hAnsi="Calibri" w:cs="Calibri"/>
                <w:color w:val="000000"/>
                <w:lang w:eastAsia="en-AU"/>
              </w:rPr>
              <w:t>12.3%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62E7" w14:textId="77777777" w:rsidR="00171183" w:rsidRPr="00171183" w:rsidRDefault="00171183" w:rsidP="00171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1183">
              <w:rPr>
                <w:rFonts w:ascii="Calibri" w:eastAsia="Times New Roman" w:hAnsi="Calibri" w:cs="Calibri"/>
                <w:color w:val="000000"/>
                <w:lang w:eastAsia="en-AU"/>
              </w:rPr>
              <w:t>34.2%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03C0" w14:textId="77777777" w:rsidR="00171183" w:rsidRPr="00171183" w:rsidRDefault="00171183" w:rsidP="00171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1183">
              <w:rPr>
                <w:rFonts w:ascii="Calibri" w:eastAsia="Times New Roman" w:hAnsi="Calibri" w:cs="Calibri"/>
                <w:color w:val="000000"/>
                <w:lang w:eastAsia="en-AU"/>
              </w:rPr>
              <w:t>20.5%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8956" w14:textId="77777777" w:rsidR="00171183" w:rsidRPr="00171183" w:rsidRDefault="00171183" w:rsidP="00171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1183">
              <w:rPr>
                <w:rFonts w:ascii="Calibri" w:eastAsia="Times New Roman" w:hAnsi="Calibri" w:cs="Calibri"/>
                <w:color w:val="000000"/>
                <w:lang w:eastAsia="en-AU"/>
              </w:rPr>
              <w:t>4.1%</w:t>
            </w:r>
          </w:p>
        </w:tc>
      </w:tr>
    </w:tbl>
    <w:p w14:paraId="5F0046A7" w14:textId="77777777" w:rsidR="00171183" w:rsidRPr="00ED694C" w:rsidRDefault="00171183" w:rsidP="000F0982">
      <w:pPr>
        <w:spacing w:after="120" w:line="240" w:lineRule="auto"/>
        <w:rPr>
          <w:rFonts w:cstheme="minorHAnsi"/>
        </w:rPr>
      </w:pPr>
    </w:p>
    <w:p w14:paraId="41FF0597" w14:textId="16567608" w:rsidR="00F74AAE" w:rsidRPr="008674D5" w:rsidRDefault="0047253E" w:rsidP="000B72FA">
      <w:pPr>
        <w:pStyle w:val="Heading1"/>
      </w:pPr>
      <w:r w:rsidRPr="008674D5">
        <w:lastRenderedPageBreak/>
        <w:t>Year 12 completers and non-completers</w:t>
      </w:r>
      <w:r w:rsidR="00BF3100">
        <w:t xml:space="preserve"> have different perceptions of careers advice</w:t>
      </w:r>
    </w:p>
    <w:p w14:paraId="4CAAB1E6" w14:textId="58A55BDE" w:rsidR="000B1873" w:rsidRDefault="00485D3B" w:rsidP="000B72FA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In 2022, </w:t>
      </w:r>
      <w:r w:rsidR="00AE3CBB">
        <w:rPr>
          <w:rFonts w:cstheme="minorHAnsi"/>
        </w:rPr>
        <w:t>the</w:t>
      </w:r>
      <w:r w:rsidR="00233B00">
        <w:rPr>
          <w:rFonts w:cstheme="minorHAnsi"/>
        </w:rPr>
        <w:t xml:space="preserve"> proportion of respondents finding care</w:t>
      </w:r>
      <w:r w:rsidR="00C95506">
        <w:rPr>
          <w:rFonts w:cstheme="minorHAnsi"/>
        </w:rPr>
        <w:t>er</w:t>
      </w:r>
      <w:r w:rsidR="00233B00">
        <w:rPr>
          <w:rFonts w:cstheme="minorHAnsi"/>
        </w:rPr>
        <w:t xml:space="preserve"> advice somewhat or very useful was greater for Year 12 completers</w:t>
      </w:r>
      <w:r w:rsidR="005E028E">
        <w:rPr>
          <w:rFonts w:cstheme="minorHAnsi"/>
        </w:rPr>
        <w:t xml:space="preserve"> </w:t>
      </w:r>
      <w:r w:rsidR="00370D0A" w:rsidRPr="00355D4C">
        <w:rPr>
          <w:rFonts w:cstheme="minorHAnsi"/>
        </w:rPr>
        <w:t>(</w:t>
      </w:r>
      <w:r w:rsidR="00355D4C" w:rsidRPr="00355D4C">
        <w:rPr>
          <w:rFonts w:cstheme="minorHAnsi"/>
        </w:rPr>
        <w:t>7</w:t>
      </w:r>
      <w:r w:rsidR="0062044D">
        <w:rPr>
          <w:rFonts w:cstheme="minorHAnsi"/>
        </w:rPr>
        <w:t>1.0%</w:t>
      </w:r>
      <w:r w:rsidR="00233B00">
        <w:rPr>
          <w:rFonts w:cstheme="minorHAnsi"/>
        </w:rPr>
        <w:t>) than for</w:t>
      </w:r>
      <w:r w:rsidR="005E6ADC" w:rsidRPr="00355D4C">
        <w:rPr>
          <w:rFonts w:cstheme="minorHAnsi"/>
        </w:rPr>
        <w:t xml:space="preserve"> non-completers</w:t>
      </w:r>
      <w:r w:rsidR="00233B00">
        <w:rPr>
          <w:rFonts w:cstheme="minorHAnsi"/>
        </w:rPr>
        <w:t xml:space="preserve"> (49.9%)</w:t>
      </w:r>
      <w:r w:rsidR="005E6ADC" w:rsidRPr="00355D4C">
        <w:rPr>
          <w:rFonts w:cstheme="minorHAnsi"/>
        </w:rPr>
        <w:t>.</w:t>
      </w:r>
      <w:r w:rsidR="005E6ADC" w:rsidRPr="005E6ADC">
        <w:rPr>
          <w:rFonts w:cstheme="minorHAnsi"/>
        </w:rPr>
        <w:t xml:space="preserve"> </w:t>
      </w:r>
      <w:r w:rsidR="00233B00">
        <w:rPr>
          <w:rFonts w:cstheme="minorHAnsi"/>
        </w:rPr>
        <w:t>These proportions have decreased over time, particularly since 2020.</w:t>
      </w:r>
    </w:p>
    <w:p w14:paraId="6C1F968B" w14:textId="52BB1F31" w:rsidR="00075FF5" w:rsidRPr="00075FF5" w:rsidRDefault="00075FF5" w:rsidP="000B72FA">
      <w:pPr>
        <w:spacing w:after="120" w:line="240" w:lineRule="auto"/>
        <w:rPr>
          <w:rFonts w:cstheme="minorHAnsi"/>
          <w:b/>
          <w:bCs/>
        </w:rPr>
      </w:pPr>
      <w:r w:rsidRPr="00075FF5">
        <w:rPr>
          <w:rFonts w:cstheme="minorHAnsi"/>
          <w:b/>
          <w:bCs/>
        </w:rPr>
        <w:t>Proportion</w:t>
      </w:r>
      <w:r w:rsidR="000E5A5B">
        <w:rPr>
          <w:rFonts w:cstheme="minorHAnsi"/>
          <w:b/>
          <w:bCs/>
        </w:rPr>
        <w:t>s of Year 12 completers and non-completers</w:t>
      </w:r>
      <w:r w:rsidRPr="00075FF5">
        <w:rPr>
          <w:rFonts w:cstheme="minorHAnsi"/>
          <w:b/>
          <w:bCs/>
        </w:rPr>
        <w:t xml:space="preserve"> finding career activities somewhat or very useful</w:t>
      </w:r>
      <w:r w:rsidR="003E71FB">
        <w:rPr>
          <w:rFonts w:cstheme="minorHAnsi"/>
          <w:b/>
          <w:bCs/>
        </w:rPr>
        <w:t>, 2020 to 2022</w:t>
      </w:r>
    </w:p>
    <w:tbl>
      <w:tblPr>
        <w:tblW w:w="5182" w:type="dxa"/>
        <w:tblLook w:val="04A0" w:firstRow="1" w:lastRow="0" w:firstColumn="1" w:lastColumn="0" w:noHBand="0" w:noVBand="1"/>
      </w:tblPr>
      <w:tblGrid>
        <w:gridCol w:w="2499"/>
        <w:gridCol w:w="891"/>
        <w:gridCol w:w="901"/>
        <w:gridCol w:w="891"/>
      </w:tblGrid>
      <w:tr w:rsidR="00233B00" w:rsidRPr="00233B00" w14:paraId="21740891" w14:textId="77777777" w:rsidTr="00075FF5">
        <w:trPr>
          <w:trHeight w:val="282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6364" w14:textId="77777777" w:rsidR="00233B00" w:rsidRPr="00233B00" w:rsidRDefault="00233B00" w:rsidP="00233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33B00">
              <w:rPr>
                <w:rFonts w:ascii="Calibri" w:eastAsia="Times New Roman" w:hAnsi="Calibri" w:cs="Calibri"/>
                <w:color w:val="000000"/>
                <w:lang w:eastAsia="en-AU"/>
              </w:rPr>
              <w:t>Cohort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3DC73" w14:textId="77777777" w:rsidR="00233B00" w:rsidRPr="00233B00" w:rsidRDefault="00233B00" w:rsidP="00233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33B00">
              <w:rPr>
                <w:rFonts w:ascii="Calibri" w:eastAsia="Times New Roman" w:hAnsi="Calibri" w:cs="Calibri"/>
                <w:color w:val="000000"/>
                <w:lang w:eastAsia="en-AU"/>
              </w:rPr>
              <w:t>2020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D21FC" w14:textId="77777777" w:rsidR="00233B00" w:rsidRPr="00233B00" w:rsidRDefault="00233B00" w:rsidP="00233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33B00">
              <w:rPr>
                <w:rFonts w:ascii="Calibri" w:eastAsia="Times New Roman" w:hAnsi="Calibri" w:cs="Calibri"/>
                <w:color w:val="000000"/>
                <w:lang w:eastAsia="en-AU"/>
              </w:rPr>
              <w:t>2021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A448" w14:textId="77777777" w:rsidR="00233B00" w:rsidRPr="00233B00" w:rsidRDefault="00233B00" w:rsidP="00233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33B00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</w:tr>
      <w:tr w:rsidR="00233B00" w:rsidRPr="00233B00" w14:paraId="788C802B" w14:textId="77777777" w:rsidTr="00075FF5">
        <w:trPr>
          <w:trHeight w:val="282"/>
        </w:trPr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752B" w14:textId="77777777" w:rsidR="00233B00" w:rsidRPr="00233B00" w:rsidRDefault="00233B00" w:rsidP="00233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33B00">
              <w:rPr>
                <w:rFonts w:ascii="Calibri" w:eastAsia="Times New Roman" w:hAnsi="Calibri" w:cs="Calibri"/>
                <w:color w:val="000000"/>
                <w:lang w:eastAsia="en-AU"/>
              </w:rPr>
              <w:t>Year 12 completers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F24C" w14:textId="77777777" w:rsidR="00233B00" w:rsidRPr="00233B00" w:rsidRDefault="00233B00" w:rsidP="00233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33B00">
              <w:rPr>
                <w:rFonts w:ascii="Calibri" w:eastAsia="Times New Roman" w:hAnsi="Calibri" w:cs="Calibri"/>
                <w:color w:val="000000"/>
                <w:lang w:eastAsia="en-AU"/>
              </w:rPr>
              <w:t>78.2%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3B3B" w14:textId="77777777" w:rsidR="00233B00" w:rsidRPr="00233B00" w:rsidRDefault="00233B00" w:rsidP="00233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33B00">
              <w:rPr>
                <w:rFonts w:ascii="Calibri" w:eastAsia="Times New Roman" w:hAnsi="Calibri" w:cs="Calibri"/>
                <w:color w:val="000000"/>
                <w:lang w:eastAsia="en-AU"/>
              </w:rPr>
              <w:t>73.5%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1662" w14:textId="77777777" w:rsidR="00233B00" w:rsidRPr="00233B00" w:rsidRDefault="00233B00" w:rsidP="00233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33B00">
              <w:rPr>
                <w:rFonts w:ascii="Calibri" w:eastAsia="Times New Roman" w:hAnsi="Calibri" w:cs="Calibri"/>
                <w:color w:val="000000"/>
                <w:lang w:eastAsia="en-AU"/>
              </w:rPr>
              <w:t>71.0%</w:t>
            </w:r>
          </w:p>
        </w:tc>
      </w:tr>
      <w:tr w:rsidR="00233B00" w:rsidRPr="00233B00" w14:paraId="7F474AE4" w14:textId="77777777" w:rsidTr="00075FF5">
        <w:trPr>
          <w:trHeight w:val="282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F844" w14:textId="6D44FA43" w:rsidR="00233B00" w:rsidRPr="00233B00" w:rsidRDefault="00FE099C" w:rsidP="00233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Non-completers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A3247" w14:textId="77777777" w:rsidR="00233B00" w:rsidRPr="00233B00" w:rsidRDefault="00233B00" w:rsidP="00233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33B00">
              <w:rPr>
                <w:rFonts w:ascii="Calibri" w:eastAsia="Times New Roman" w:hAnsi="Calibri" w:cs="Calibri"/>
                <w:color w:val="000000"/>
                <w:lang w:eastAsia="en-AU"/>
              </w:rPr>
              <w:t>61.2%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7A503" w14:textId="77777777" w:rsidR="00233B00" w:rsidRPr="00233B00" w:rsidRDefault="00233B00" w:rsidP="00233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33B00">
              <w:rPr>
                <w:rFonts w:ascii="Calibri" w:eastAsia="Times New Roman" w:hAnsi="Calibri" w:cs="Calibri"/>
                <w:color w:val="000000"/>
                <w:lang w:eastAsia="en-AU"/>
              </w:rPr>
              <w:t>55.8%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280D" w14:textId="77777777" w:rsidR="00233B00" w:rsidRPr="00233B00" w:rsidRDefault="00233B00" w:rsidP="00233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33B00">
              <w:rPr>
                <w:rFonts w:ascii="Calibri" w:eastAsia="Times New Roman" w:hAnsi="Calibri" w:cs="Calibri"/>
                <w:color w:val="000000"/>
                <w:lang w:eastAsia="en-AU"/>
              </w:rPr>
              <w:t>49.9%</w:t>
            </w:r>
          </w:p>
        </w:tc>
      </w:tr>
    </w:tbl>
    <w:p w14:paraId="52AFECFC" w14:textId="65106823" w:rsidR="0062044D" w:rsidRDefault="0062044D" w:rsidP="000B72FA">
      <w:pPr>
        <w:spacing w:after="120" w:line="240" w:lineRule="auto"/>
        <w:rPr>
          <w:rFonts w:cstheme="minorHAnsi"/>
        </w:rPr>
      </w:pPr>
    </w:p>
    <w:p w14:paraId="7C69DF40" w14:textId="30204D12" w:rsidR="005A4186" w:rsidRDefault="003955CA" w:rsidP="000B72FA">
      <w:pPr>
        <w:spacing w:line="240" w:lineRule="auto"/>
        <w:rPr>
          <w:rFonts w:cstheme="minorHAnsi"/>
        </w:rPr>
      </w:pPr>
      <w:r>
        <w:rPr>
          <w:rFonts w:cstheme="minorHAnsi"/>
        </w:rPr>
        <w:t>The 3 most</w:t>
      </w:r>
      <w:r w:rsidR="00412095">
        <w:rPr>
          <w:rFonts w:cstheme="minorHAnsi"/>
        </w:rPr>
        <w:t xml:space="preserve"> attended </w:t>
      </w:r>
      <w:r>
        <w:rPr>
          <w:rFonts w:cstheme="minorHAnsi"/>
        </w:rPr>
        <w:t>career activities</w:t>
      </w:r>
      <w:r w:rsidR="00412095">
        <w:rPr>
          <w:rFonts w:cstheme="minorHAnsi"/>
        </w:rPr>
        <w:t xml:space="preserve"> were the same for both Year 12 completers and non-completers. </w:t>
      </w:r>
      <w:r w:rsidR="001B10CA">
        <w:rPr>
          <w:rFonts w:cstheme="minorHAnsi"/>
        </w:rPr>
        <w:t xml:space="preserve">Participation in </w:t>
      </w:r>
      <w:r w:rsidR="00412095">
        <w:rPr>
          <w:rFonts w:cstheme="minorHAnsi"/>
        </w:rPr>
        <w:t xml:space="preserve">these activities </w:t>
      </w:r>
      <w:r w:rsidR="00823E4B">
        <w:rPr>
          <w:rFonts w:cstheme="minorHAnsi"/>
        </w:rPr>
        <w:t xml:space="preserve">has </w:t>
      </w:r>
      <w:r w:rsidR="00412095">
        <w:rPr>
          <w:rFonts w:cstheme="minorHAnsi"/>
        </w:rPr>
        <w:t>decline</w:t>
      </w:r>
      <w:r w:rsidR="00040CBB">
        <w:rPr>
          <w:rFonts w:cstheme="minorHAnsi"/>
        </w:rPr>
        <w:t>d</w:t>
      </w:r>
      <w:r w:rsidR="00412095">
        <w:rPr>
          <w:rFonts w:cstheme="minorHAnsi"/>
        </w:rPr>
        <w:t xml:space="preserve"> over time, but their popularity compared to other activities has been consistent.</w:t>
      </w:r>
    </w:p>
    <w:p w14:paraId="6842F1AB" w14:textId="588016B5" w:rsidR="00075FF5" w:rsidRPr="00075FF5" w:rsidRDefault="00075FF5" w:rsidP="000B72FA">
      <w:pPr>
        <w:spacing w:line="240" w:lineRule="auto"/>
        <w:rPr>
          <w:rFonts w:cstheme="minorHAnsi"/>
          <w:b/>
          <w:bCs/>
        </w:rPr>
      </w:pPr>
      <w:r w:rsidRPr="00075FF5">
        <w:rPr>
          <w:rFonts w:cstheme="minorHAnsi"/>
          <w:b/>
          <w:bCs/>
        </w:rPr>
        <w:t xml:space="preserve">Proportion of </w:t>
      </w:r>
      <w:r w:rsidR="00B85448">
        <w:rPr>
          <w:rFonts w:cstheme="minorHAnsi"/>
          <w:b/>
          <w:bCs/>
        </w:rPr>
        <w:t>Year 12 completers and non-completers</w:t>
      </w:r>
      <w:r w:rsidRPr="00075FF5">
        <w:rPr>
          <w:rFonts w:cstheme="minorHAnsi"/>
          <w:b/>
          <w:bCs/>
        </w:rPr>
        <w:t xml:space="preserve"> attending the 3 most popular career activities</w:t>
      </w:r>
      <w:r w:rsidR="003E71FB">
        <w:rPr>
          <w:rFonts w:cstheme="minorHAnsi"/>
          <w:b/>
          <w:bCs/>
        </w:rPr>
        <w:t>, 2022</w:t>
      </w:r>
    </w:p>
    <w:tbl>
      <w:tblPr>
        <w:tblW w:w="8764" w:type="dxa"/>
        <w:tblLook w:val="04A0" w:firstRow="1" w:lastRow="0" w:firstColumn="1" w:lastColumn="0" w:noHBand="0" w:noVBand="1"/>
      </w:tblPr>
      <w:tblGrid>
        <w:gridCol w:w="5524"/>
        <w:gridCol w:w="1559"/>
        <w:gridCol w:w="1681"/>
      </w:tblGrid>
      <w:tr w:rsidR="00382401" w:rsidRPr="00382401" w14:paraId="6DCFD348" w14:textId="77777777" w:rsidTr="00382401">
        <w:trPr>
          <w:trHeight w:val="29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3A89" w14:textId="156E4440" w:rsidR="00382401" w:rsidRPr="00382401" w:rsidRDefault="00412095" w:rsidP="00382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Career activity attendance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79D5" w14:textId="3B2A8AB5" w:rsidR="00382401" w:rsidRPr="00382401" w:rsidRDefault="00382401" w:rsidP="00382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82401">
              <w:rPr>
                <w:rFonts w:ascii="Calibri" w:eastAsia="Times New Roman" w:hAnsi="Calibri" w:cs="Calibri"/>
                <w:color w:val="000000"/>
                <w:lang w:eastAsia="en-AU"/>
              </w:rPr>
              <w:t>Year 12 completers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8E9D" w14:textId="16EB2965" w:rsidR="00382401" w:rsidRPr="00382401" w:rsidRDefault="00FE099C" w:rsidP="00382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Non-completers</w:t>
            </w:r>
          </w:p>
        </w:tc>
      </w:tr>
      <w:tr w:rsidR="00382401" w:rsidRPr="00382401" w14:paraId="44126155" w14:textId="77777777" w:rsidTr="00382401">
        <w:trPr>
          <w:trHeight w:val="296"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757A" w14:textId="136E24C7" w:rsidR="00382401" w:rsidRPr="00382401" w:rsidRDefault="00382401" w:rsidP="0038240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82401">
              <w:rPr>
                <w:rFonts w:ascii="Calibri" w:eastAsia="Times New Roman" w:hAnsi="Calibri" w:cs="Calibri"/>
                <w:color w:val="000000"/>
                <w:lang w:eastAsia="en-AU"/>
              </w:rPr>
              <w:t>Have a one-on-one talk with the school’s career advisor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C122" w14:textId="77777777" w:rsidR="00382401" w:rsidRPr="00382401" w:rsidRDefault="00382401" w:rsidP="00382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82401">
              <w:rPr>
                <w:rFonts w:ascii="Calibri" w:eastAsia="Times New Roman" w:hAnsi="Calibri" w:cs="Calibri"/>
                <w:color w:val="000000"/>
                <w:lang w:eastAsia="en-AU"/>
              </w:rPr>
              <w:t>80.4%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F9D7" w14:textId="77777777" w:rsidR="00382401" w:rsidRPr="00382401" w:rsidRDefault="00382401" w:rsidP="00382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82401">
              <w:rPr>
                <w:rFonts w:ascii="Calibri" w:eastAsia="Times New Roman" w:hAnsi="Calibri" w:cs="Calibri"/>
                <w:color w:val="000000"/>
                <w:lang w:eastAsia="en-AU"/>
              </w:rPr>
              <w:t>65.1%</w:t>
            </w:r>
          </w:p>
        </w:tc>
      </w:tr>
      <w:tr w:rsidR="00382401" w:rsidRPr="00382401" w14:paraId="2F998509" w14:textId="77777777" w:rsidTr="00382401">
        <w:trPr>
          <w:trHeight w:val="296"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C483" w14:textId="77777777" w:rsidR="00382401" w:rsidRPr="00382401" w:rsidRDefault="00382401" w:rsidP="0038240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82401">
              <w:rPr>
                <w:rFonts w:ascii="Calibri" w:eastAsia="Times New Roman" w:hAnsi="Calibri" w:cs="Calibri"/>
                <w:color w:val="000000"/>
                <w:lang w:eastAsia="en-AU"/>
              </w:rPr>
              <w:t>Search on-line for career options at school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85C5" w14:textId="77777777" w:rsidR="00382401" w:rsidRPr="00382401" w:rsidRDefault="00382401" w:rsidP="00382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82401">
              <w:rPr>
                <w:rFonts w:ascii="Calibri" w:eastAsia="Times New Roman" w:hAnsi="Calibri" w:cs="Calibri"/>
                <w:color w:val="000000"/>
                <w:lang w:eastAsia="en-AU"/>
              </w:rPr>
              <w:t>76.6%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A88A" w14:textId="77777777" w:rsidR="00382401" w:rsidRPr="00382401" w:rsidRDefault="00382401" w:rsidP="00382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82401">
              <w:rPr>
                <w:rFonts w:ascii="Calibri" w:eastAsia="Times New Roman" w:hAnsi="Calibri" w:cs="Calibri"/>
                <w:color w:val="000000"/>
                <w:lang w:eastAsia="en-AU"/>
              </w:rPr>
              <w:t>56.3%</w:t>
            </w:r>
          </w:p>
        </w:tc>
      </w:tr>
      <w:tr w:rsidR="00382401" w:rsidRPr="00382401" w14:paraId="51853442" w14:textId="77777777" w:rsidTr="00382401">
        <w:trPr>
          <w:trHeight w:val="29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6803" w14:textId="77777777" w:rsidR="00382401" w:rsidRPr="00382401" w:rsidRDefault="00382401" w:rsidP="0038240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82401">
              <w:rPr>
                <w:rFonts w:ascii="Calibri" w:eastAsia="Times New Roman" w:hAnsi="Calibri" w:cs="Calibri"/>
                <w:color w:val="000000"/>
                <w:lang w:eastAsia="en-AU"/>
              </w:rPr>
              <w:t>Identify careers that match your interests and abilities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0856" w14:textId="77777777" w:rsidR="00382401" w:rsidRPr="00382401" w:rsidRDefault="00382401" w:rsidP="00382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82401">
              <w:rPr>
                <w:rFonts w:ascii="Calibri" w:eastAsia="Times New Roman" w:hAnsi="Calibri" w:cs="Calibri"/>
                <w:color w:val="000000"/>
                <w:lang w:eastAsia="en-AU"/>
              </w:rPr>
              <w:t>72.1%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D5DC" w14:textId="77777777" w:rsidR="00382401" w:rsidRPr="00382401" w:rsidRDefault="00382401" w:rsidP="00382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82401">
              <w:rPr>
                <w:rFonts w:ascii="Calibri" w:eastAsia="Times New Roman" w:hAnsi="Calibri" w:cs="Calibri"/>
                <w:color w:val="000000"/>
                <w:lang w:eastAsia="en-AU"/>
              </w:rPr>
              <w:t>56.2%</w:t>
            </w:r>
          </w:p>
        </w:tc>
      </w:tr>
    </w:tbl>
    <w:p w14:paraId="07E0D325" w14:textId="2AB3B7D8" w:rsidR="000B72FA" w:rsidRPr="00161670" w:rsidRDefault="000B72FA" w:rsidP="00161670">
      <w:pPr>
        <w:spacing w:line="240" w:lineRule="auto"/>
        <w:rPr>
          <w:rFonts w:cstheme="minorHAnsi"/>
          <w:b/>
          <w:bCs/>
        </w:rPr>
      </w:pPr>
    </w:p>
    <w:p w14:paraId="43E4CE17" w14:textId="7A46F895" w:rsidR="007C2837" w:rsidRDefault="00165FE0" w:rsidP="000B72FA">
      <w:pPr>
        <w:pStyle w:val="Heading1"/>
      </w:pPr>
      <w:r w:rsidRPr="008674D5">
        <w:t>D</w:t>
      </w:r>
      <w:r w:rsidR="003550CE" w:rsidRPr="008674D5">
        <w:t xml:space="preserve">ifferences </w:t>
      </w:r>
      <w:r w:rsidR="00405C88" w:rsidRPr="008674D5">
        <w:t>in</w:t>
      </w:r>
      <w:r w:rsidR="003550CE" w:rsidRPr="008674D5">
        <w:t xml:space="preserve"> student </w:t>
      </w:r>
      <w:r w:rsidR="009F286C">
        <w:t>destinations</w:t>
      </w:r>
      <w:r w:rsidR="003550CE" w:rsidRPr="008674D5">
        <w:t xml:space="preserve"> </w:t>
      </w:r>
      <w:r w:rsidR="00405C88" w:rsidRPr="008674D5">
        <w:t>between</w:t>
      </w:r>
      <w:r w:rsidR="003550CE" w:rsidRPr="008674D5">
        <w:t xml:space="preserve"> </w:t>
      </w:r>
      <w:r w:rsidR="007C2837" w:rsidRPr="008674D5">
        <w:t>school sectors</w:t>
      </w:r>
    </w:p>
    <w:p w14:paraId="4D093AD2" w14:textId="04A33C87" w:rsidR="00993C8C" w:rsidRPr="00336F3E" w:rsidRDefault="00B724D7" w:rsidP="00336F3E">
      <w:pPr>
        <w:rPr>
          <w:rFonts w:cstheme="minorHAnsi"/>
          <w:bCs/>
        </w:rPr>
      </w:pPr>
      <w:r w:rsidRPr="00336F3E">
        <w:rPr>
          <w:rFonts w:cstheme="minorHAnsi"/>
          <w:bCs/>
        </w:rPr>
        <w:t>In 2022, the proportion of Year 12 completers enrolled in a bachelor’s degrees was greater for the non-government school sector (59.9%) than for the government school sector (45.6%)</w:t>
      </w:r>
      <w:r w:rsidR="00C95506" w:rsidRPr="00336F3E">
        <w:rPr>
          <w:rFonts w:cstheme="minorHAnsi"/>
          <w:bCs/>
        </w:rPr>
        <w:t xml:space="preserve">, with both sectors showing declines from 2021 results (64.2% and 48.8% for non-government and government respectively). In the long term, however, enrolment in bachelor’s degrees has increased for both sectors. </w:t>
      </w:r>
    </w:p>
    <w:p w14:paraId="35B4AD01" w14:textId="548316C2" w:rsidR="00075FF5" w:rsidRPr="00336F3E" w:rsidRDefault="00CA09DE" w:rsidP="00336F3E">
      <w:pPr>
        <w:rPr>
          <w:rFonts w:cstheme="minorHAnsi"/>
          <w:bCs/>
        </w:rPr>
      </w:pPr>
      <w:r w:rsidRPr="00336F3E">
        <w:rPr>
          <w:rFonts w:cstheme="minorHAnsi"/>
          <w:bCs/>
        </w:rPr>
        <w:t xml:space="preserve">Year 12 completers and non-completers </w:t>
      </w:r>
      <w:r w:rsidR="00BB4366" w:rsidRPr="00336F3E">
        <w:rPr>
          <w:rFonts w:cstheme="minorHAnsi"/>
          <w:bCs/>
        </w:rPr>
        <w:t xml:space="preserve">from </w:t>
      </w:r>
      <w:r w:rsidR="00D30D47" w:rsidRPr="00336F3E">
        <w:rPr>
          <w:rFonts w:cstheme="minorHAnsi"/>
          <w:bCs/>
        </w:rPr>
        <w:t xml:space="preserve">the government sector are </w:t>
      </w:r>
      <w:r w:rsidR="00BB4366" w:rsidRPr="00336F3E">
        <w:rPr>
          <w:rFonts w:cstheme="minorHAnsi"/>
          <w:bCs/>
        </w:rPr>
        <w:t>more likely to transition into employment than those from the</w:t>
      </w:r>
      <w:r w:rsidR="00D30D47" w:rsidRPr="00336F3E">
        <w:rPr>
          <w:rFonts w:cstheme="minorHAnsi"/>
          <w:bCs/>
        </w:rPr>
        <w:t xml:space="preserve"> non-government sector</w:t>
      </w:r>
      <w:r w:rsidR="00993C8C" w:rsidRPr="00336F3E">
        <w:rPr>
          <w:rFonts w:cstheme="minorHAnsi"/>
          <w:bCs/>
        </w:rPr>
        <w:t>. This trend has been consistent over time.</w:t>
      </w:r>
    </w:p>
    <w:p w14:paraId="7A14668B" w14:textId="10DED443" w:rsidR="000342C7" w:rsidRDefault="00BA4C7A" w:rsidP="000342C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D</w:t>
      </w:r>
      <w:r w:rsidR="000342C7" w:rsidRPr="005A0426">
        <w:rPr>
          <w:rFonts w:cstheme="minorHAnsi"/>
          <w:b/>
          <w:bCs/>
        </w:rPr>
        <w:t>estination</w:t>
      </w:r>
      <w:r w:rsidR="00451D7E">
        <w:rPr>
          <w:rFonts w:cstheme="minorHAnsi"/>
          <w:b/>
          <w:bCs/>
        </w:rPr>
        <w:t>s</w:t>
      </w:r>
      <w:r w:rsidR="000342C7" w:rsidRPr="005A0426">
        <w:rPr>
          <w:rFonts w:cstheme="minorHAnsi"/>
          <w:b/>
          <w:bCs/>
        </w:rPr>
        <w:t xml:space="preserve"> </w:t>
      </w:r>
      <w:r w:rsidR="00451D7E">
        <w:rPr>
          <w:rFonts w:cstheme="minorHAnsi"/>
          <w:b/>
          <w:bCs/>
        </w:rPr>
        <w:t>for</w:t>
      </w:r>
      <w:r w:rsidR="000342C7" w:rsidRPr="005A0426">
        <w:rPr>
          <w:rFonts w:cstheme="minorHAnsi"/>
          <w:b/>
          <w:bCs/>
        </w:rPr>
        <w:t xml:space="preserve"> Year 12 completers by school sector, </w:t>
      </w:r>
      <w:r w:rsidR="000342C7">
        <w:rPr>
          <w:rFonts w:cstheme="minorHAnsi"/>
          <w:b/>
          <w:bCs/>
        </w:rPr>
        <w:t>202</w:t>
      </w:r>
      <w:r w:rsidR="00451D7E">
        <w:rPr>
          <w:rFonts w:cstheme="minorHAnsi"/>
          <w:b/>
          <w:bCs/>
        </w:rPr>
        <w:t>2</w: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1276"/>
        <w:gridCol w:w="1276"/>
        <w:gridCol w:w="1134"/>
        <w:gridCol w:w="1134"/>
        <w:gridCol w:w="1559"/>
      </w:tblGrid>
      <w:tr w:rsidR="009068EF" w:rsidRPr="009068EF" w14:paraId="509A19F8" w14:textId="77777777" w:rsidTr="007F1283">
        <w:trPr>
          <w:trHeight w:val="29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5C9C" w14:textId="77777777" w:rsidR="009068EF" w:rsidRPr="009068EF" w:rsidRDefault="009068EF" w:rsidP="00906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068EF">
              <w:rPr>
                <w:rFonts w:ascii="Calibri" w:eastAsia="Times New Roman" w:hAnsi="Calibri" w:cs="Calibri"/>
                <w:color w:val="000000"/>
                <w:lang w:eastAsia="en-AU"/>
              </w:rPr>
              <w:t>School sector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7C502" w14:textId="77777777" w:rsidR="009068EF" w:rsidRPr="009068EF" w:rsidRDefault="009068EF" w:rsidP="00906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068EF">
              <w:rPr>
                <w:rFonts w:ascii="Calibri" w:eastAsia="Times New Roman" w:hAnsi="Calibri" w:cs="Calibri"/>
                <w:color w:val="000000"/>
                <w:lang w:eastAsia="en-AU"/>
              </w:rPr>
              <w:t>In Education or Training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DACC6" w14:textId="77777777" w:rsidR="009068EF" w:rsidRPr="009068EF" w:rsidRDefault="009068EF" w:rsidP="00906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068EF">
              <w:rPr>
                <w:rFonts w:ascii="Calibri" w:eastAsia="Times New Roman" w:hAnsi="Calibri" w:cs="Calibri"/>
                <w:color w:val="000000"/>
                <w:lang w:eastAsia="en-AU"/>
              </w:rPr>
              <w:t>Not in Education or Training</w:t>
            </w:r>
          </w:p>
        </w:tc>
      </w:tr>
      <w:tr w:rsidR="009068EF" w:rsidRPr="009068EF" w14:paraId="46170A04" w14:textId="77777777" w:rsidTr="007F1283">
        <w:trPr>
          <w:trHeight w:val="58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32A77" w14:textId="77777777" w:rsidR="009068EF" w:rsidRPr="009068EF" w:rsidRDefault="009068EF" w:rsidP="00906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0FC3C" w14:textId="77777777" w:rsidR="009068EF" w:rsidRPr="009068EF" w:rsidRDefault="009068EF" w:rsidP="00906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068EF">
              <w:rPr>
                <w:rFonts w:ascii="Calibri" w:eastAsia="Times New Roman" w:hAnsi="Calibri" w:cs="Calibri"/>
                <w:color w:val="000000"/>
                <w:lang w:eastAsia="en-AU"/>
              </w:rPr>
              <w:t>Apprenticeship/traineeship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5DF2" w14:textId="77777777" w:rsidR="009068EF" w:rsidRPr="009068EF" w:rsidRDefault="009068EF" w:rsidP="00906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068EF">
              <w:rPr>
                <w:rFonts w:ascii="Calibri" w:eastAsia="Times New Roman" w:hAnsi="Calibri" w:cs="Calibri"/>
                <w:color w:val="000000"/>
                <w:lang w:eastAsia="en-AU"/>
              </w:rPr>
              <w:t>Bachelor's degree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5BFB7" w14:textId="77777777" w:rsidR="009068EF" w:rsidRPr="009068EF" w:rsidRDefault="009068EF" w:rsidP="00906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068EF">
              <w:rPr>
                <w:rFonts w:ascii="Calibri" w:eastAsia="Times New Roman" w:hAnsi="Calibri" w:cs="Calibri"/>
                <w:color w:val="000000"/>
                <w:lang w:eastAsia="en-AU"/>
              </w:rPr>
              <w:t>Certificates/diplomas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AF2A" w14:textId="77777777" w:rsidR="009068EF" w:rsidRPr="009068EF" w:rsidRDefault="009068EF" w:rsidP="00906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068EF">
              <w:rPr>
                <w:rFonts w:ascii="Calibri" w:eastAsia="Times New Roman" w:hAnsi="Calibri" w:cs="Calibri"/>
                <w:color w:val="000000"/>
                <w:lang w:eastAsia="en-AU"/>
              </w:rPr>
              <w:t>Employed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B65F" w14:textId="77777777" w:rsidR="009068EF" w:rsidRPr="009068EF" w:rsidRDefault="009068EF" w:rsidP="00906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068EF">
              <w:rPr>
                <w:rFonts w:ascii="Calibri" w:eastAsia="Times New Roman" w:hAnsi="Calibri" w:cs="Calibri"/>
                <w:color w:val="000000"/>
                <w:lang w:eastAsia="en-AU"/>
              </w:rPr>
              <w:t>Looking for work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4BBB" w14:textId="0605CA7E" w:rsidR="009068EF" w:rsidRPr="009068EF" w:rsidRDefault="00670E29" w:rsidP="00906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A2AD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Not in labour force, </w:t>
            </w:r>
            <w:r w:rsidRPr="00670E29">
              <w:rPr>
                <w:rFonts w:ascii="Calibri" w:eastAsia="Times New Roman" w:hAnsi="Calibri" w:cs="Calibri"/>
                <w:color w:val="000000"/>
                <w:lang w:eastAsia="en-AU"/>
              </w:rPr>
              <w:t>education</w:t>
            </w:r>
            <w:r w:rsidRPr="00BA2AD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or training</w:t>
            </w:r>
          </w:p>
        </w:tc>
      </w:tr>
      <w:tr w:rsidR="009068EF" w:rsidRPr="009068EF" w14:paraId="5B7E6051" w14:textId="77777777" w:rsidTr="007F1283">
        <w:trPr>
          <w:trHeight w:val="290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276C" w14:textId="77777777" w:rsidR="009068EF" w:rsidRPr="009068EF" w:rsidRDefault="009068EF" w:rsidP="00906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068EF">
              <w:rPr>
                <w:rFonts w:ascii="Calibri" w:eastAsia="Times New Roman" w:hAnsi="Calibri" w:cs="Calibri"/>
                <w:color w:val="000000"/>
                <w:lang w:eastAsia="en-AU"/>
              </w:rPr>
              <w:t>Government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509E" w14:textId="77777777" w:rsidR="009068EF" w:rsidRPr="009068EF" w:rsidRDefault="009068EF" w:rsidP="00906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068EF">
              <w:rPr>
                <w:rFonts w:ascii="Calibri" w:eastAsia="Times New Roman" w:hAnsi="Calibri" w:cs="Calibri"/>
                <w:color w:val="000000"/>
                <w:lang w:eastAsia="en-AU"/>
              </w:rPr>
              <w:t>11.2%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BD4D" w14:textId="77777777" w:rsidR="009068EF" w:rsidRPr="009068EF" w:rsidRDefault="009068EF" w:rsidP="00906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068EF">
              <w:rPr>
                <w:rFonts w:ascii="Calibri" w:eastAsia="Times New Roman" w:hAnsi="Calibri" w:cs="Calibri"/>
                <w:color w:val="000000"/>
                <w:lang w:eastAsia="en-AU"/>
              </w:rPr>
              <w:t>45.6%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0F36" w14:textId="77777777" w:rsidR="009068EF" w:rsidRPr="009068EF" w:rsidRDefault="009068EF" w:rsidP="00906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068EF">
              <w:rPr>
                <w:rFonts w:ascii="Calibri" w:eastAsia="Times New Roman" w:hAnsi="Calibri" w:cs="Calibri"/>
                <w:color w:val="000000"/>
                <w:lang w:eastAsia="en-AU"/>
              </w:rPr>
              <w:t>11.1%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5519" w14:textId="77777777" w:rsidR="009068EF" w:rsidRPr="009068EF" w:rsidRDefault="009068EF" w:rsidP="00906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068EF">
              <w:rPr>
                <w:rFonts w:ascii="Calibri" w:eastAsia="Times New Roman" w:hAnsi="Calibri" w:cs="Calibri"/>
                <w:color w:val="000000"/>
                <w:lang w:eastAsia="en-AU"/>
              </w:rPr>
              <w:t>27.7%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68B0" w14:textId="77777777" w:rsidR="009068EF" w:rsidRPr="009068EF" w:rsidRDefault="009068EF" w:rsidP="00906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068EF">
              <w:rPr>
                <w:rFonts w:ascii="Calibri" w:eastAsia="Times New Roman" w:hAnsi="Calibri" w:cs="Calibri"/>
                <w:color w:val="000000"/>
                <w:lang w:eastAsia="en-AU"/>
              </w:rPr>
              <w:t>3.4%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0227" w14:textId="77777777" w:rsidR="009068EF" w:rsidRPr="009068EF" w:rsidRDefault="009068EF" w:rsidP="00906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068EF">
              <w:rPr>
                <w:rFonts w:ascii="Calibri" w:eastAsia="Times New Roman" w:hAnsi="Calibri" w:cs="Calibri"/>
                <w:color w:val="000000"/>
                <w:lang w:eastAsia="en-AU"/>
              </w:rPr>
              <w:t>0.9%</w:t>
            </w:r>
          </w:p>
        </w:tc>
      </w:tr>
      <w:tr w:rsidR="009068EF" w:rsidRPr="009068EF" w14:paraId="1910A96D" w14:textId="77777777" w:rsidTr="007F1283">
        <w:trPr>
          <w:trHeight w:val="2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EE93" w14:textId="77777777" w:rsidR="009068EF" w:rsidRPr="009068EF" w:rsidRDefault="009068EF" w:rsidP="00906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068EF">
              <w:rPr>
                <w:rFonts w:ascii="Calibri" w:eastAsia="Times New Roman" w:hAnsi="Calibri" w:cs="Calibri"/>
                <w:color w:val="000000"/>
                <w:lang w:eastAsia="en-AU"/>
              </w:rPr>
              <w:t>Non-government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4D80" w14:textId="77777777" w:rsidR="009068EF" w:rsidRPr="009068EF" w:rsidRDefault="009068EF" w:rsidP="00906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068EF">
              <w:rPr>
                <w:rFonts w:ascii="Calibri" w:eastAsia="Times New Roman" w:hAnsi="Calibri" w:cs="Calibri"/>
                <w:color w:val="000000"/>
                <w:lang w:eastAsia="en-AU"/>
              </w:rPr>
              <w:t>9.1%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0801" w14:textId="77777777" w:rsidR="009068EF" w:rsidRPr="009068EF" w:rsidRDefault="009068EF" w:rsidP="00906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068EF">
              <w:rPr>
                <w:rFonts w:ascii="Calibri" w:eastAsia="Times New Roman" w:hAnsi="Calibri" w:cs="Calibri"/>
                <w:color w:val="000000"/>
                <w:lang w:eastAsia="en-AU"/>
              </w:rPr>
              <w:t>59.9%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0CC4" w14:textId="77777777" w:rsidR="009068EF" w:rsidRPr="009068EF" w:rsidRDefault="009068EF" w:rsidP="00906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068EF">
              <w:rPr>
                <w:rFonts w:ascii="Calibri" w:eastAsia="Times New Roman" w:hAnsi="Calibri" w:cs="Calibri"/>
                <w:color w:val="000000"/>
                <w:lang w:eastAsia="en-AU"/>
              </w:rPr>
              <w:t>8.1%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A587" w14:textId="77777777" w:rsidR="009068EF" w:rsidRPr="009068EF" w:rsidRDefault="009068EF" w:rsidP="00906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068EF">
              <w:rPr>
                <w:rFonts w:ascii="Calibri" w:eastAsia="Times New Roman" w:hAnsi="Calibri" w:cs="Calibri"/>
                <w:color w:val="000000"/>
                <w:lang w:eastAsia="en-AU"/>
              </w:rPr>
              <w:t>20.4%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FC38" w14:textId="77777777" w:rsidR="009068EF" w:rsidRPr="009068EF" w:rsidRDefault="009068EF" w:rsidP="00906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068EF">
              <w:rPr>
                <w:rFonts w:ascii="Calibri" w:eastAsia="Times New Roman" w:hAnsi="Calibri" w:cs="Calibri"/>
                <w:color w:val="000000"/>
                <w:lang w:eastAsia="en-AU"/>
              </w:rPr>
              <w:t>1.8%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B174" w14:textId="77777777" w:rsidR="009068EF" w:rsidRPr="009068EF" w:rsidRDefault="009068EF" w:rsidP="00906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068EF">
              <w:rPr>
                <w:rFonts w:ascii="Calibri" w:eastAsia="Times New Roman" w:hAnsi="Calibri" w:cs="Calibri"/>
                <w:color w:val="000000"/>
                <w:lang w:eastAsia="en-AU"/>
              </w:rPr>
              <w:t>0.8%</w:t>
            </w:r>
          </w:p>
        </w:tc>
      </w:tr>
    </w:tbl>
    <w:p w14:paraId="24C941BF" w14:textId="77777777" w:rsidR="0017449C" w:rsidRPr="00AD04DE" w:rsidRDefault="0017449C" w:rsidP="00AD04DE">
      <w:pPr>
        <w:rPr>
          <w:rFonts w:cstheme="minorHAnsi"/>
          <w:bCs/>
        </w:rPr>
      </w:pPr>
    </w:p>
    <w:p w14:paraId="0A7F55E7" w14:textId="77777777" w:rsidR="00AD04DE" w:rsidRPr="00AD04DE" w:rsidRDefault="00AD04DE" w:rsidP="00AD04DE">
      <w:pPr>
        <w:rPr>
          <w:rFonts w:cstheme="minorHAnsi"/>
          <w:bCs/>
        </w:rPr>
      </w:pPr>
    </w:p>
    <w:p w14:paraId="2CED5447" w14:textId="77777777" w:rsidR="00AD04DE" w:rsidRPr="00AD04DE" w:rsidRDefault="00AD04DE" w:rsidP="00AD04DE">
      <w:pPr>
        <w:rPr>
          <w:rFonts w:cstheme="minorHAnsi"/>
          <w:bCs/>
        </w:rPr>
      </w:pPr>
    </w:p>
    <w:p w14:paraId="133C2E4E" w14:textId="4994EDA3" w:rsidR="0092709C" w:rsidRPr="003B7AEF" w:rsidRDefault="0092709C" w:rsidP="00FF35F3">
      <w:pPr>
        <w:pStyle w:val="Heading1"/>
        <w:rPr>
          <w:rFonts w:cstheme="minorHAnsi"/>
          <w:color w:val="000000"/>
        </w:rPr>
      </w:pPr>
      <w:r w:rsidRPr="003B7AEF">
        <w:lastRenderedPageBreak/>
        <w:t>Find out more</w:t>
      </w:r>
    </w:p>
    <w:p w14:paraId="079797B2" w14:textId="789516A8" w:rsidR="0092709C" w:rsidRDefault="0092709C" w:rsidP="003B7AEF">
      <w:pPr>
        <w:rPr>
          <w:rFonts w:cstheme="minorHAnsi"/>
          <w:color w:val="215E9F"/>
        </w:rPr>
      </w:pPr>
      <w:r w:rsidRPr="003B7AEF">
        <w:rPr>
          <w:rFonts w:cstheme="minorHAnsi"/>
          <w:color w:val="000000"/>
        </w:rPr>
        <w:t xml:space="preserve">Contact the Performance Insights Team: </w:t>
      </w:r>
      <w:hyperlink r:id="rId14" w:history="1">
        <w:r w:rsidR="005E3CCA" w:rsidRPr="006D6AD8">
          <w:rPr>
            <w:rStyle w:val="Hyperlink"/>
            <w:rFonts w:cstheme="minorHAnsi"/>
          </w:rPr>
          <w:t>insights.and.evidence@education.vic.gov.au</w:t>
        </w:r>
      </w:hyperlink>
    </w:p>
    <w:p w14:paraId="3344D4DF" w14:textId="27E8829C" w:rsidR="00BB2DAC" w:rsidRPr="00EB3B46" w:rsidRDefault="00B069EA" w:rsidP="003B7AEF">
      <w:pPr>
        <w:rPr>
          <w:rFonts w:ascii="Arial" w:eastAsiaTheme="majorEastAsia" w:hAnsi="Arial" w:cstheme="majorBidi"/>
          <w:b/>
          <w:color w:val="FF0000"/>
          <w:sz w:val="40"/>
          <w:szCs w:val="40"/>
        </w:rPr>
      </w:pPr>
      <w:r>
        <w:rPr>
          <w:rFonts w:cstheme="minorHAnsi"/>
        </w:rPr>
        <w:t>**********************************************************************************</w:t>
      </w:r>
    </w:p>
    <w:sectPr w:rsidR="00BB2DAC" w:rsidRPr="00EB3B46" w:rsidSect="006B041F">
      <w:footerReference w:type="default" r:id="rId15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07CB2" w14:textId="77777777" w:rsidR="008E34C0" w:rsidRDefault="008E34C0" w:rsidP="009D06ED">
      <w:pPr>
        <w:spacing w:after="0" w:line="240" w:lineRule="auto"/>
      </w:pPr>
      <w:r>
        <w:separator/>
      </w:r>
    </w:p>
  </w:endnote>
  <w:endnote w:type="continuationSeparator" w:id="0">
    <w:p w14:paraId="06485AE7" w14:textId="77777777" w:rsidR="008E34C0" w:rsidRDefault="008E34C0" w:rsidP="009D06ED">
      <w:pPr>
        <w:spacing w:after="0" w:line="240" w:lineRule="auto"/>
      </w:pPr>
      <w:r>
        <w:continuationSeparator/>
      </w:r>
    </w:p>
  </w:endnote>
  <w:endnote w:type="continuationNotice" w:id="1">
    <w:p w14:paraId="7F2BBB87" w14:textId="77777777" w:rsidR="008E34C0" w:rsidRDefault="008E34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09306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7089D7" w14:textId="78180254" w:rsidR="00497248" w:rsidRDefault="004972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4E3974" w14:textId="77777777" w:rsidR="009D06ED" w:rsidRDefault="009D06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DC372" w14:textId="77777777" w:rsidR="008E34C0" w:rsidRDefault="008E34C0" w:rsidP="009D06ED">
      <w:pPr>
        <w:spacing w:after="0" w:line="240" w:lineRule="auto"/>
      </w:pPr>
      <w:r>
        <w:separator/>
      </w:r>
    </w:p>
  </w:footnote>
  <w:footnote w:type="continuationSeparator" w:id="0">
    <w:p w14:paraId="0B0CEE3B" w14:textId="77777777" w:rsidR="008E34C0" w:rsidRDefault="008E34C0" w:rsidP="009D06ED">
      <w:pPr>
        <w:spacing w:after="0" w:line="240" w:lineRule="auto"/>
      </w:pPr>
      <w:r>
        <w:continuationSeparator/>
      </w:r>
    </w:p>
  </w:footnote>
  <w:footnote w:type="continuationNotice" w:id="1">
    <w:p w14:paraId="6FB4E3CE" w14:textId="77777777" w:rsidR="008E34C0" w:rsidRDefault="008E34C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254"/>
    <w:multiLevelType w:val="hybridMultilevel"/>
    <w:tmpl w:val="B90465DC"/>
    <w:lvl w:ilvl="0" w:tplc="70920BD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B20EB"/>
    <w:multiLevelType w:val="hybridMultilevel"/>
    <w:tmpl w:val="1FCC17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57049"/>
    <w:multiLevelType w:val="hybridMultilevel"/>
    <w:tmpl w:val="FE5EF406"/>
    <w:lvl w:ilvl="0" w:tplc="EE12A78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60AA3"/>
    <w:multiLevelType w:val="hybridMultilevel"/>
    <w:tmpl w:val="A1ACED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F070F"/>
    <w:multiLevelType w:val="hybridMultilevel"/>
    <w:tmpl w:val="EF38EC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01EDC"/>
    <w:multiLevelType w:val="hybridMultilevel"/>
    <w:tmpl w:val="6414D97C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8D3309"/>
    <w:multiLevelType w:val="hybridMultilevel"/>
    <w:tmpl w:val="B2282E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208BB"/>
    <w:multiLevelType w:val="hybridMultilevel"/>
    <w:tmpl w:val="0F0A5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D6F37"/>
    <w:multiLevelType w:val="hybridMultilevel"/>
    <w:tmpl w:val="232251B2"/>
    <w:lvl w:ilvl="0" w:tplc="C50CD8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C311D"/>
    <w:multiLevelType w:val="hybridMultilevel"/>
    <w:tmpl w:val="B6741C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36CDA"/>
    <w:multiLevelType w:val="hybridMultilevel"/>
    <w:tmpl w:val="53463A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245B8"/>
    <w:multiLevelType w:val="hybridMultilevel"/>
    <w:tmpl w:val="C054F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27585"/>
    <w:multiLevelType w:val="hybridMultilevel"/>
    <w:tmpl w:val="84762C82"/>
    <w:lvl w:ilvl="0" w:tplc="6542F73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36C2A"/>
    <w:multiLevelType w:val="hybridMultilevel"/>
    <w:tmpl w:val="AC08547A"/>
    <w:lvl w:ilvl="0" w:tplc="EE12A78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9711D"/>
    <w:multiLevelType w:val="hybridMultilevel"/>
    <w:tmpl w:val="58AC16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E5660"/>
    <w:multiLevelType w:val="hybridMultilevel"/>
    <w:tmpl w:val="AF3C3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A4478"/>
    <w:multiLevelType w:val="hybridMultilevel"/>
    <w:tmpl w:val="D9C625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E3959"/>
    <w:multiLevelType w:val="hybridMultilevel"/>
    <w:tmpl w:val="E894171E"/>
    <w:lvl w:ilvl="0" w:tplc="5ED2125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4E6FE0"/>
    <w:multiLevelType w:val="hybridMultilevel"/>
    <w:tmpl w:val="7FEA980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05577"/>
    <w:multiLevelType w:val="hybridMultilevel"/>
    <w:tmpl w:val="BDF87C84"/>
    <w:lvl w:ilvl="0" w:tplc="432450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B75F1"/>
    <w:multiLevelType w:val="hybridMultilevel"/>
    <w:tmpl w:val="BCCA0360"/>
    <w:lvl w:ilvl="0" w:tplc="6542F73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77660"/>
    <w:multiLevelType w:val="hybridMultilevel"/>
    <w:tmpl w:val="B16AE5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A62035"/>
    <w:multiLevelType w:val="hybridMultilevel"/>
    <w:tmpl w:val="8A58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985137">
    <w:abstractNumId w:val="8"/>
  </w:num>
  <w:num w:numId="2" w16cid:durableId="828596405">
    <w:abstractNumId w:val="20"/>
  </w:num>
  <w:num w:numId="3" w16cid:durableId="1519739074">
    <w:abstractNumId w:val="12"/>
  </w:num>
  <w:num w:numId="4" w16cid:durableId="534081424">
    <w:abstractNumId w:val="5"/>
  </w:num>
  <w:num w:numId="5" w16cid:durableId="426771445">
    <w:abstractNumId w:val="22"/>
  </w:num>
  <w:num w:numId="6" w16cid:durableId="1216694225">
    <w:abstractNumId w:val="11"/>
  </w:num>
  <w:num w:numId="7" w16cid:durableId="459423970">
    <w:abstractNumId w:val="10"/>
  </w:num>
  <w:num w:numId="8" w16cid:durableId="227811605">
    <w:abstractNumId w:val="14"/>
  </w:num>
  <w:num w:numId="9" w16cid:durableId="739064319">
    <w:abstractNumId w:val="13"/>
  </w:num>
  <w:num w:numId="10" w16cid:durableId="883367887">
    <w:abstractNumId w:val="2"/>
  </w:num>
  <w:num w:numId="11" w16cid:durableId="2092845685">
    <w:abstractNumId w:val="7"/>
  </w:num>
  <w:num w:numId="12" w16cid:durableId="338851514">
    <w:abstractNumId w:val="9"/>
  </w:num>
  <w:num w:numId="13" w16cid:durableId="1480465031">
    <w:abstractNumId w:val="6"/>
  </w:num>
  <w:num w:numId="14" w16cid:durableId="981890401">
    <w:abstractNumId w:val="18"/>
  </w:num>
  <w:num w:numId="15" w16cid:durableId="867523300">
    <w:abstractNumId w:val="4"/>
  </w:num>
  <w:num w:numId="16" w16cid:durableId="1318149199">
    <w:abstractNumId w:val="16"/>
  </w:num>
  <w:num w:numId="17" w16cid:durableId="940996052">
    <w:abstractNumId w:val="21"/>
  </w:num>
  <w:num w:numId="18" w16cid:durableId="1169562684">
    <w:abstractNumId w:val="1"/>
  </w:num>
  <w:num w:numId="19" w16cid:durableId="310644910">
    <w:abstractNumId w:val="15"/>
  </w:num>
  <w:num w:numId="20" w16cid:durableId="736437174">
    <w:abstractNumId w:val="19"/>
  </w:num>
  <w:num w:numId="21" w16cid:durableId="222058435">
    <w:abstractNumId w:val="3"/>
  </w:num>
  <w:num w:numId="22" w16cid:durableId="164788553">
    <w:abstractNumId w:val="0"/>
  </w:num>
  <w:num w:numId="23" w16cid:durableId="10549607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798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1szAzMLYwsjA3MzFR0lEKTi0uzszPAykwrgUA+xYAciwAAAA="/>
  </w:docVars>
  <w:rsids>
    <w:rsidRoot w:val="00302AFC"/>
    <w:rsid w:val="000009C0"/>
    <w:rsid w:val="00002EF8"/>
    <w:rsid w:val="000033FD"/>
    <w:rsid w:val="00003FA3"/>
    <w:rsid w:val="00004163"/>
    <w:rsid w:val="00004409"/>
    <w:rsid w:val="000048A7"/>
    <w:rsid w:val="00004EB5"/>
    <w:rsid w:val="000052C8"/>
    <w:rsid w:val="00005614"/>
    <w:rsid w:val="00006C1E"/>
    <w:rsid w:val="00006C3F"/>
    <w:rsid w:val="000075F9"/>
    <w:rsid w:val="000108FF"/>
    <w:rsid w:val="00011C81"/>
    <w:rsid w:val="000125C0"/>
    <w:rsid w:val="00013BD8"/>
    <w:rsid w:val="00015014"/>
    <w:rsid w:val="0001526E"/>
    <w:rsid w:val="000159D4"/>
    <w:rsid w:val="00016640"/>
    <w:rsid w:val="00017631"/>
    <w:rsid w:val="000201BC"/>
    <w:rsid w:val="00021397"/>
    <w:rsid w:val="0002377C"/>
    <w:rsid w:val="000238D8"/>
    <w:rsid w:val="00023F53"/>
    <w:rsid w:val="000245C5"/>
    <w:rsid w:val="00025665"/>
    <w:rsid w:val="00025B95"/>
    <w:rsid w:val="00025D60"/>
    <w:rsid w:val="00027694"/>
    <w:rsid w:val="00027B15"/>
    <w:rsid w:val="000302A1"/>
    <w:rsid w:val="00032A67"/>
    <w:rsid w:val="00032DFF"/>
    <w:rsid w:val="00033501"/>
    <w:rsid w:val="000342C7"/>
    <w:rsid w:val="0003431F"/>
    <w:rsid w:val="00036057"/>
    <w:rsid w:val="00036898"/>
    <w:rsid w:val="00037A26"/>
    <w:rsid w:val="0004006B"/>
    <w:rsid w:val="00040CBB"/>
    <w:rsid w:val="00040EA6"/>
    <w:rsid w:val="000420F9"/>
    <w:rsid w:val="00042E47"/>
    <w:rsid w:val="0004398B"/>
    <w:rsid w:val="00045B02"/>
    <w:rsid w:val="00045C84"/>
    <w:rsid w:val="00045CF9"/>
    <w:rsid w:val="000475CA"/>
    <w:rsid w:val="0005019E"/>
    <w:rsid w:val="00050581"/>
    <w:rsid w:val="00051515"/>
    <w:rsid w:val="0005219C"/>
    <w:rsid w:val="00052395"/>
    <w:rsid w:val="00052597"/>
    <w:rsid w:val="00052F18"/>
    <w:rsid w:val="00053C28"/>
    <w:rsid w:val="00054991"/>
    <w:rsid w:val="00054DC7"/>
    <w:rsid w:val="00054F0D"/>
    <w:rsid w:val="00055FBC"/>
    <w:rsid w:val="00056421"/>
    <w:rsid w:val="00057572"/>
    <w:rsid w:val="00060D16"/>
    <w:rsid w:val="00060D1E"/>
    <w:rsid w:val="00062375"/>
    <w:rsid w:val="0006238F"/>
    <w:rsid w:val="00062A83"/>
    <w:rsid w:val="00064264"/>
    <w:rsid w:val="00064B05"/>
    <w:rsid w:val="000653E3"/>
    <w:rsid w:val="00065A58"/>
    <w:rsid w:val="00066727"/>
    <w:rsid w:val="0006746B"/>
    <w:rsid w:val="000711E8"/>
    <w:rsid w:val="00071F26"/>
    <w:rsid w:val="000722F8"/>
    <w:rsid w:val="0007247D"/>
    <w:rsid w:val="00072CE7"/>
    <w:rsid w:val="0007444A"/>
    <w:rsid w:val="0007456E"/>
    <w:rsid w:val="00074A40"/>
    <w:rsid w:val="000754F4"/>
    <w:rsid w:val="00075501"/>
    <w:rsid w:val="00075FF5"/>
    <w:rsid w:val="00076AC4"/>
    <w:rsid w:val="00076CDE"/>
    <w:rsid w:val="00077310"/>
    <w:rsid w:val="00077619"/>
    <w:rsid w:val="00077676"/>
    <w:rsid w:val="0007777B"/>
    <w:rsid w:val="0007789B"/>
    <w:rsid w:val="00077DFD"/>
    <w:rsid w:val="000821EE"/>
    <w:rsid w:val="00082DFD"/>
    <w:rsid w:val="00082E32"/>
    <w:rsid w:val="0008339F"/>
    <w:rsid w:val="000856ED"/>
    <w:rsid w:val="000904A1"/>
    <w:rsid w:val="00090631"/>
    <w:rsid w:val="000910CF"/>
    <w:rsid w:val="00093628"/>
    <w:rsid w:val="0009378D"/>
    <w:rsid w:val="00093F90"/>
    <w:rsid w:val="000947BB"/>
    <w:rsid w:val="000959AD"/>
    <w:rsid w:val="00095C4B"/>
    <w:rsid w:val="00095CDF"/>
    <w:rsid w:val="00096E6C"/>
    <w:rsid w:val="00097627"/>
    <w:rsid w:val="000A05CE"/>
    <w:rsid w:val="000A15BD"/>
    <w:rsid w:val="000A3203"/>
    <w:rsid w:val="000A3A29"/>
    <w:rsid w:val="000A487E"/>
    <w:rsid w:val="000A5D3A"/>
    <w:rsid w:val="000A6CF9"/>
    <w:rsid w:val="000A72D6"/>
    <w:rsid w:val="000A7641"/>
    <w:rsid w:val="000A7A6A"/>
    <w:rsid w:val="000B05CD"/>
    <w:rsid w:val="000B0AA0"/>
    <w:rsid w:val="000B1873"/>
    <w:rsid w:val="000B1885"/>
    <w:rsid w:val="000B1A36"/>
    <w:rsid w:val="000B2222"/>
    <w:rsid w:val="000B2B71"/>
    <w:rsid w:val="000B2F7A"/>
    <w:rsid w:val="000B44B6"/>
    <w:rsid w:val="000B4C96"/>
    <w:rsid w:val="000B5005"/>
    <w:rsid w:val="000B537A"/>
    <w:rsid w:val="000B5599"/>
    <w:rsid w:val="000B5AF1"/>
    <w:rsid w:val="000B6E8D"/>
    <w:rsid w:val="000B72FA"/>
    <w:rsid w:val="000B74C6"/>
    <w:rsid w:val="000C1477"/>
    <w:rsid w:val="000C2EA6"/>
    <w:rsid w:val="000C43B7"/>
    <w:rsid w:val="000C51BF"/>
    <w:rsid w:val="000C5EDB"/>
    <w:rsid w:val="000C738D"/>
    <w:rsid w:val="000C7DBF"/>
    <w:rsid w:val="000C7E6E"/>
    <w:rsid w:val="000D01ED"/>
    <w:rsid w:val="000D0AF4"/>
    <w:rsid w:val="000D0F1E"/>
    <w:rsid w:val="000D1C5E"/>
    <w:rsid w:val="000D2046"/>
    <w:rsid w:val="000D2835"/>
    <w:rsid w:val="000D3FD4"/>
    <w:rsid w:val="000D44FA"/>
    <w:rsid w:val="000D4A2B"/>
    <w:rsid w:val="000D5ABA"/>
    <w:rsid w:val="000D5D2A"/>
    <w:rsid w:val="000D5E4E"/>
    <w:rsid w:val="000D5FC9"/>
    <w:rsid w:val="000D7131"/>
    <w:rsid w:val="000E07F3"/>
    <w:rsid w:val="000E1285"/>
    <w:rsid w:val="000E1A55"/>
    <w:rsid w:val="000E2333"/>
    <w:rsid w:val="000E27FF"/>
    <w:rsid w:val="000E36EC"/>
    <w:rsid w:val="000E39AE"/>
    <w:rsid w:val="000E3AFD"/>
    <w:rsid w:val="000E4394"/>
    <w:rsid w:val="000E4B25"/>
    <w:rsid w:val="000E57F2"/>
    <w:rsid w:val="000E5A5B"/>
    <w:rsid w:val="000E5C65"/>
    <w:rsid w:val="000F0982"/>
    <w:rsid w:val="000F0A27"/>
    <w:rsid w:val="000F0EC8"/>
    <w:rsid w:val="000F1284"/>
    <w:rsid w:val="000F4478"/>
    <w:rsid w:val="000F491A"/>
    <w:rsid w:val="000F5574"/>
    <w:rsid w:val="000F6BB9"/>
    <w:rsid w:val="00100285"/>
    <w:rsid w:val="00101EBB"/>
    <w:rsid w:val="0010235C"/>
    <w:rsid w:val="00102484"/>
    <w:rsid w:val="00102C67"/>
    <w:rsid w:val="00102D89"/>
    <w:rsid w:val="00103182"/>
    <w:rsid w:val="001036E7"/>
    <w:rsid w:val="00103A5A"/>
    <w:rsid w:val="00104619"/>
    <w:rsid w:val="00104A65"/>
    <w:rsid w:val="00104C20"/>
    <w:rsid w:val="001059C0"/>
    <w:rsid w:val="00105E10"/>
    <w:rsid w:val="001075C4"/>
    <w:rsid w:val="00107951"/>
    <w:rsid w:val="00110035"/>
    <w:rsid w:val="00110CB3"/>
    <w:rsid w:val="00110CCC"/>
    <w:rsid w:val="001117A1"/>
    <w:rsid w:val="001118A9"/>
    <w:rsid w:val="001121C5"/>
    <w:rsid w:val="0011489D"/>
    <w:rsid w:val="00116130"/>
    <w:rsid w:val="001166D9"/>
    <w:rsid w:val="001169AB"/>
    <w:rsid w:val="00120109"/>
    <w:rsid w:val="00120CE8"/>
    <w:rsid w:val="00121457"/>
    <w:rsid w:val="001228D3"/>
    <w:rsid w:val="0012312F"/>
    <w:rsid w:val="001238BC"/>
    <w:rsid w:val="001243F9"/>
    <w:rsid w:val="0012759E"/>
    <w:rsid w:val="00130C4A"/>
    <w:rsid w:val="00131109"/>
    <w:rsid w:val="00131AF7"/>
    <w:rsid w:val="00133035"/>
    <w:rsid w:val="001333D2"/>
    <w:rsid w:val="00136217"/>
    <w:rsid w:val="00137A67"/>
    <w:rsid w:val="001406B7"/>
    <w:rsid w:val="001406CB"/>
    <w:rsid w:val="00141C59"/>
    <w:rsid w:val="00142490"/>
    <w:rsid w:val="0014251F"/>
    <w:rsid w:val="00143E05"/>
    <w:rsid w:val="001449D2"/>
    <w:rsid w:val="00145CE4"/>
    <w:rsid w:val="0014677E"/>
    <w:rsid w:val="0014709A"/>
    <w:rsid w:val="00152B4F"/>
    <w:rsid w:val="00153141"/>
    <w:rsid w:val="00156B73"/>
    <w:rsid w:val="001571CB"/>
    <w:rsid w:val="00157946"/>
    <w:rsid w:val="00157C9C"/>
    <w:rsid w:val="00160328"/>
    <w:rsid w:val="00160466"/>
    <w:rsid w:val="00161544"/>
    <w:rsid w:val="00161670"/>
    <w:rsid w:val="00163098"/>
    <w:rsid w:val="00163AB1"/>
    <w:rsid w:val="0016434D"/>
    <w:rsid w:val="001647C5"/>
    <w:rsid w:val="00165FE0"/>
    <w:rsid w:val="001661CA"/>
    <w:rsid w:val="00166973"/>
    <w:rsid w:val="001675CD"/>
    <w:rsid w:val="00171183"/>
    <w:rsid w:val="00171941"/>
    <w:rsid w:val="00172185"/>
    <w:rsid w:val="00172936"/>
    <w:rsid w:val="001736CA"/>
    <w:rsid w:val="00173A5D"/>
    <w:rsid w:val="0017449C"/>
    <w:rsid w:val="00174733"/>
    <w:rsid w:val="00175159"/>
    <w:rsid w:val="00175FEA"/>
    <w:rsid w:val="001777C3"/>
    <w:rsid w:val="001779AF"/>
    <w:rsid w:val="00177D5C"/>
    <w:rsid w:val="00181F3C"/>
    <w:rsid w:val="00183785"/>
    <w:rsid w:val="00184036"/>
    <w:rsid w:val="001840EC"/>
    <w:rsid w:val="00184586"/>
    <w:rsid w:val="0018478B"/>
    <w:rsid w:val="00185256"/>
    <w:rsid w:val="001868DB"/>
    <w:rsid w:val="00187637"/>
    <w:rsid w:val="00187B24"/>
    <w:rsid w:val="00187CA7"/>
    <w:rsid w:val="0019034C"/>
    <w:rsid w:val="00190A07"/>
    <w:rsid w:val="00192E36"/>
    <w:rsid w:val="0019408A"/>
    <w:rsid w:val="00194435"/>
    <w:rsid w:val="0019515C"/>
    <w:rsid w:val="00196997"/>
    <w:rsid w:val="001971EE"/>
    <w:rsid w:val="001A2009"/>
    <w:rsid w:val="001A3D58"/>
    <w:rsid w:val="001A6C1D"/>
    <w:rsid w:val="001A7052"/>
    <w:rsid w:val="001A7211"/>
    <w:rsid w:val="001A7563"/>
    <w:rsid w:val="001B01FC"/>
    <w:rsid w:val="001B0BDF"/>
    <w:rsid w:val="001B10CA"/>
    <w:rsid w:val="001B25A5"/>
    <w:rsid w:val="001B4DEA"/>
    <w:rsid w:val="001B4FC9"/>
    <w:rsid w:val="001B58F2"/>
    <w:rsid w:val="001B619E"/>
    <w:rsid w:val="001B667D"/>
    <w:rsid w:val="001B7021"/>
    <w:rsid w:val="001B734A"/>
    <w:rsid w:val="001B77FC"/>
    <w:rsid w:val="001C0644"/>
    <w:rsid w:val="001C0925"/>
    <w:rsid w:val="001C3C1B"/>
    <w:rsid w:val="001C4522"/>
    <w:rsid w:val="001C47DC"/>
    <w:rsid w:val="001C54A3"/>
    <w:rsid w:val="001C745B"/>
    <w:rsid w:val="001C752B"/>
    <w:rsid w:val="001C7D77"/>
    <w:rsid w:val="001C7E88"/>
    <w:rsid w:val="001D06D7"/>
    <w:rsid w:val="001D25E8"/>
    <w:rsid w:val="001D2EE9"/>
    <w:rsid w:val="001D2F6A"/>
    <w:rsid w:val="001D67D7"/>
    <w:rsid w:val="001D6892"/>
    <w:rsid w:val="001D68AC"/>
    <w:rsid w:val="001D7AEF"/>
    <w:rsid w:val="001D7F18"/>
    <w:rsid w:val="001D7FF3"/>
    <w:rsid w:val="001E025D"/>
    <w:rsid w:val="001E12BE"/>
    <w:rsid w:val="001E136F"/>
    <w:rsid w:val="001E13B5"/>
    <w:rsid w:val="001E1756"/>
    <w:rsid w:val="001E354C"/>
    <w:rsid w:val="001E41A4"/>
    <w:rsid w:val="001E5C2B"/>
    <w:rsid w:val="001E5FB6"/>
    <w:rsid w:val="001E70D6"/>
    <w:rsid w:val="001F00A3"/>
    <w:rsid w:val="001F08D1"/>
    <w:rsid w:val="001F133C"/>
    <w:rsid w:val="001F1FD5"/>
    <w:rsid w:val="001F2872"/>
    <w:rsid w:val="001F2EF7"/>
    <w:rsid w:val="001F3376"/>
    <w:rsid w:val="001F370A"/>
    <w:rsid w:val="001F4E13"/>
    <w:rsid w:val="001F6126"/>
    <w:rsid w:val="001F612F"/>
    <w:rsid w:val="001F6558"/>
    <w:rsid w:val="001F65C6"/>
    <w:rsid w:val="002007DD"/>
    <w:rsid w:val="00201DBC"/>
    <w:rsid w:val="002024DF"/>
    <w:rsid w:val="002024E0"/>
    <w:rsid w:val="00203149"/>
    <w:rsid w:val="00203175"/>
    <w:rsid w:val="00203A72"/>
    <w:rsid w:val="00204AF4"/>
    <w:rsid w:val="00205BF1"/>
    <w:rsid w:val="00206219"/>
    <w:rsid w:val="00207214"/>
    <w:rsid w:val="00207661"/>
    <w:rsid w:val="002105D6"/>
    <w:rsid w:val="0021075D"/>
    <w:rsid w:val="00210FB3"/>
    <w:rsid w:val="002126DD"/>
    <w:rsid w:val="00212AA6"/>
    <w:rsid w:val="00212D70"/>
    <w:rsid w:val="00212F8A"/>
    <w:rsid w:val="002132C2"/>
    <w:rsid w:val="0021465D"/>
    <w:rsid w:val="0021494E"/>
    <w:rsid w:val="00217518"/>
    <w:rsid w:val="002202B1"/>
    <w:rsid w:val="00220F39"/>
    <w:rsid w:val="002226B2"/>
    <w:rsid w:val="00223B14"/>
    <w:rsid w:val="00223C81"/>
    <w:rsid w:val="00224451"/>
    <w:rsid w:val="00224914"/>
    <w:rsid w:val="00224F9C"/>
    <w:rsid w:val="0022697D"/>
    <w:rsid w:val="00226BFE"/>
    <w:rsid w:val="00231234"/>
    <w:rsid w:val="00231539"/>
    <w:rsid w:val="00231617"/>
    <w:rsid w:val="0023221E"/>
    <w:rsid w:val="0023222F"/>
    <w:rsid w:val="00233B00"/>
    <w:rsid w:val="00234221"/>
    <w:rsid w:val="00234AA9"/>
    <w:rsid w:val="0023508D"/>
    <w:rsid w:val="00235932"/>
    <w:rsid w:val="00235A3C"/>
    <w:rsid w:val="00235EE3"/>
    <w:rsid w:val="00237190"/>
    <w:rsid w:val="00237A9E"/>
    <w:rsid w:val="00237EC4"/>
    <w:rsid w:val="00237F89"/>
    <w:rsid w:val="00240BAD"/>
    <w:rsid w:val="0024256C"/>
    <w:rsid w:val="002438A5"/>
    <w:rsid w:val="00244348"/>
    <w:rsid w:val="002449A5"/>
    <w:rsid w:val="00244FE1"/>
    <w:rsid w:val="00246214"/>
    <w:rsid w:val="00246A15"/>
    <w:rsid w:val="0024721E"/>
    <w:rsid w:val="0024773F"/>
    <w:rsid w:val="00247B11"/>
    <w:rsid w:val="00247C71"/>
    <w:rsid w:val="00247DE0"/>
    <w:rsid w:val="00250C10"/>
    <w:rsid w:val="002511B1"/>
    <w:rsid w:val="00251C1C"/>
    <w:rsid w:val="00252D1F"/>
    <w:rsid w:val="00253015"/>
    <w:rsid w:val="002532CF"/>
    <w:rsid w:val="002532DE"/>
    <w:rsid w:val="002546BC"/>
    <w:rsid w:val="002556BD"/>
    <w:rsid w:val="0025587B"/>
    <w:rsid w:val="00255B94"/>
    <w:rsid w:val="002567C0"/>
    <w:rsid w:val="00257486"/>
    <w:rsid w:val="00257AB1"/>
    <w:rsid w:val="0026140C"/>
    <w:rsid w:val="00264368"/>
    <w:rsid w:val="00265E2D"/>
    <w:rsid w:val="00265EF7"/>
    <w:rsid w:val="0026665C"/>
    <w:rsid w:val="002679D4"/>
    <w:rsid w:val="002718C7"/>
    <w:rsid w:val="002724C8"/>
    <w:rsid w:val="00273AE3"/>
    <w:rsid w:val="00273FAE"/>
    <w:rsid w:val="00275E1B"/>
    <w:rsid w:val="002760D3"/>
    <w:rsid w:val="00276176"/>
    <w:rsid w:val="0027624A"/>
    <w:rsid w:val="00276A71"/>
    <w:rsid w:val="00276C09"/>
    <w:rsid w:val="00281520"/>
    <w:rsid w:val="00281A6C"/>
    <w:rsid w:val="00282236"/>
    <w:rsid w:val="0028261C"/>
    <w:rsid w:val="0028388C"/>
    <w:rsid w:val="00283A4D"/>
    <w:rsid w:val="00284272"/>
    <w:rsid w:val="002857CB"/>
    <w:rsid w:val="0028603D"/>
    <w:rsid w:val="002862F5"/>
    <w:rsid w:val="00290272"/>
    <w:rsid w:val="00290852"/>
    <w:rsid w:val="00290881"/>
    <w:rsid w:val="002918EE"/>
    <w:rsid w:val="00292F6B"/>
    <w:rsid w:val="002932F2"/>
    <w:rsid w:val="00294297"/>
    <w:rsid w:val="00294823"/>
    <w:rsid w:val="002955D4"/>
    <w:rsid w:val="0029631C"/>
    <w:rsid w:val="00296848"/>
    <w:rsid w:val="00297957"/>
    <w:rsid w:val="002A0437"/>
    <w:rsid w:val="002A2157"/>
    <w:rsid w:val="002A2223"/>
    <w:rsid w:val="002A2B87"/>
    <w:rsid w:val="002A2F28"/>
    <w:rsid w:val="002A3177"/>
    <w:rsid w:val="002A4104"/>
    <w:rsid w:val="002A4451"/>
    <w:rsid w:val="002A4B37"/>
    <w:rsid w:val="002A5B6F"/>
    <w:rsid w:val="002A6625"/>
    <w:rsid w:val="002A7BF3"/>
    <w:rsid w:val="002B0C6F"/>
    <w:rsid w:val="002B2382"/>
    <w:rsid w:val="002B2E67"/>
    <w:rsid w:val="002B3533"/>
    <w:rsid w:val="002B3A16"/>
    <w:rsid w:val="002B41F8"/>
    <w:rsid w:val="002B43E1"/>
    <w:rsid w:val="002B4DBB"/>
    <w:rsid w:val="002B6455"/>
    <w:rsid w:val="002B6B6E"/>
    <w:rsid w:val="002C0513"/>
    <w:rsid w:val="002C0606"/>
    <w:rsid w:val="002C1B5C"/>
    <w:rsid w:val="002C221A"/>
    <w:rsid w:val="002C23AA"/>
    <w:rsid w:val="002C2762"/>
    <w:rsid w:val="002C2931"/>
    <w:rsid w:val="002C3DAD"/>
    <w:rsid w:val="002C3DD2"/>
    <w:rsid w:val="002C4C0F"/>
    <w:rsid w:val="002C4CE7"/>
    <w:rsid w:val="002C5B2B"/>
    <w:rsid w:val="002C7363"/>
    <w:rsid w:val="002C76C0"/>
    <w:rsid w:val="002D030C"/>
    <w:rsid w:val="002D0688"/>
    <w:rsid w:val="002D1265"/>
    <w:rsid w:val="002D12C2"/>
    <w:rsid w:val="002D4046"/>
    <w:rsid w:val="002D43C0"/>
    <w:rsid w:val="002D471E"/>
    <w:rsid w:val="002D4CE2"/>
    <w:rsid w:val="002D5867"/>
    <w:rsid w:val="002D5F81"/>
    <w:rsid w:val="002D69E2"/>
    <w:rsid w:val="002D709D"/>
    <w:rsid w:val="002D7427"/>
    <w:rsid w:val="002D7AE0"/>
    <w:rsid w:val="002E0D54"/>
    <w:rsid w:val="002E2E51"/>
    <w:rsid w:val="002E3CA1"/>
    <w:rsid w:val="002E4170"/>
    <w:rsid w:val="002E4322"/>
    <w:rsid w:val="002E447B"/>
    <w:rsid w:val="002E4991"/>
    <w:rsid w:val="002E5A57"/>
    <w:rsid w:val="002F0371"/>
    <w:rsid w:val="002F13A6"/>
    <w:rsid w:val="002F16BA"/>
    <w:rsid w:val="002F1AFB"/>
    <w:rsid w:val="002F1B7B"/>
    <w:rsid w:val="002F2A23"/>
    <w:rsid w:val="002F3F7F"/>
    <w:rsid w:val="002F3F83"/>
    <w:rsid w:val="002F4E64"/>
    <w:rsid w:val="002F5939"/>
    <w:rsid w:val="002F5A4A"/>
    <w:rsid w:val="002F75A2"/>
    <w:rsid w:val="002F77FB"/>
    <w:rsid w:val="002F79B5"/>
    <w:rsid w:val="002F7F7E"/>
    <w:rsid w:val="003004F0"/>
    <w:rsid w:val="003019D3"/>
    <w:rsid w:val="00301B5A"/>
    <w:rsid w:val="003028B6"/>
    <w:rsid w:val="00302AD8"/>
    <w:rsid w:val="00302AFC"/>
    <w:rsid w:val="00302D91"/>
    <w:rsid w:val="003030B5"/>
    <w:rsid w:val="003032D7"/>
    <w:rsid w:val="003035BA"/>
    <w:rsid w:val="00303D22"/>
    <w:rsid w:val="00305672"/>
    <w:rsid w:val="003058DC"/>
    <w:rsid w:val="0030635A"/>
    <w:rsid w:val="003063AA"/>
    <w:rsid w:val="003106D0"/>
    <w:rsid w:val="003119FC"/>
    <w:rsid w:val="00313793"/>
    <w:rsid w:val="003145FC"/>
    <w:rsid w:val="00315D1D"/>
    <w:rsid w:val="00316337"/>
    <w:rsid w:val="00316C51"/>
    <w:rsid w:val="003177B9"/>
    <w:rsid w:val="00317D09"/>
    <w:rsid w:val="003220EF"/>
    <w:rsid w:val="0032281F"/>
    <w:rsid w:val="00323604"/>
    <w:rsid w:val="003242F0"/>
    <w:rsid w:val="00324FA8"/>
    <w:rsid w:val="003262EE"/>
    <w:rsid w:val="0032677D"/>
    <w:rsid w:val="00326BF8"/>
    <w:rsid w:val="00326FFE"/>
    <w:rsid w:val="0033025B"/>
    <w:rsid w:val="0033037B"/>
    <w:rsid w:val="00330A14"/>
    <w:rsid w:val="00331A93"/>
    <w:rsid w:val="003324F3"/>
    <w:rsid w:val="003331CC"/>
    <w:rsid w:val="0033344F"/>
    <w:rsid w:val="00335A9E"/>
    <w:rsid w:val="00335D44"/>
    <w:rsid w:val="00336786"/>
    <w:rsid w:val="00336F3E"/>
    <w:rsid w:val="003400C5"/>
    <w:rsid w:val="0034093B"/>
    <w:rsid w:val="00341C4B"/>
    <w:rsid w:val="00341D17"/>
    <w:rsid w:val="003423FC"/>
    <w:rsid w:val="003427FE"/>
    <w:rsid w:val="00343B3B"/>
    <w:rsid w:val="003443C3"/>
    <w:rsid w:val="00344560"/>
    <w:rsid w:val="00344E1C"/>
    <w:rsid w:val="003454BD"/>
    <w:rsid w:val="00350962"/>
    <w:rsid w:val="00350F58"/>
    <w:rsid w:val="00351A13"/>
    <w:rsid w:val="00351BAD"/>
    <w:rsid w:val="00352747"/>
    <w:rsid w:val="00352C07"/>
    <w:rsid w:val="003550CE"/>
    <w:rsid w:val="003558E1"/>
    <w:rsid w:val="00355D4C"/>
    <w:rsid w:val="003562A0"/>
    <w:rsid w:val="00357A8F"/>
    <w:rsid w:val="003606C5"/>
    <w:rsid w:val="0036091E"/>
    <w:rsid w:val="00361410"/>
    <w:rsid w:val="0036265F"/>
    <w:rsid w:val="003629BD"/>
    <w:rsid w:val="00362A95"/>
    <w:rsid w:val="003652B4"/>
    <w:rsid w:val="003658C3"/>
    <w:rsid w:val="0036592E"/>
    <w:rsid w:val="003659A7"/>
    <w:rsid w:val="00365F1E"/>
    <w:rsid w:val="00366B61"/>
    <w:rsid w:val="003670E7"/>
    <w:rsid w:val="0036716D"/>
    <w:rsid w:val="003679F8"/>
    <w:rsid w:val="00370B0F"/>
    <w:rsid w:val="00370D0A"/>
    <w:rsid w:val="00372732"/>
    <w:rsid w:val="00372CBD"/>
    <w:rsid w:val="0037302B"/>
    <w:rsid w:val="003734C0"/>
    <w:rsid w:val="00373EC6"/>
    <w:rsid w:val="003742DA"/>
    <w:rsid w:val="00374641"/>
    <w:rsid w:val="00375980"/>
    <w:rsid w:val="00375F04"/>
    <w:rsid w:val="0037672D"/>
    <w:rsid w:val="00376E8A"/>
    <w:rsid w:val="00377F8C"/>
    <w:rsid w:val="003801A7"/>
    <w:rsid w:val="003809AD"/>
    <w:rsid w:val="0038146D"/>
    <w:rsid w:val="0038193E"/>
    <w:rsid w:val="00381F14"/>
    <w:rsid w:val="003821C6"/>
    <w:rsid w:val="00382401"/>
    <w:rsid w:val="00382B6B"/>
    <w:rsid w:val="00383184"/>
    <w:rsid w:val="0038739E"/>
    <w:rsid w:val="0038760E"/>
    <w:rsid w:val="003878FB"/>
    <w:rsid w:val="00390752"/>
    <w:rsid w:val="00390A72"/>
    <w:rsid w:val="003927BA"/>
    <w:rsid w:val="003927EB"/>
    <w:rsid w:val="0039295C"/>
    <w:rsid w:val="00393A4E"/>
    <w:rsid w:val="00394268"/>
    <w:rsid w:val="00394680"/>
    <w:rsid w:val="00394D31"/>
    <w:rsid w:val="003955CA"/>
    <w:rsid w:val="00395C45"/>
    <w:rsid w:val="00396D2C"/>
    <w:rsid w:val="003973AB"/>
    <w:rsid w:val="003A1560"/>
    <w:rsid w:val="003A157E"/>
    <w:rsid w:val="003A3286"/>
    <w:rsid w:val="003A3DE8"/>
    <w:rsid w:val="003A3EF4"/>
    <w:rsid w:val="003A5ECA"/>
    <w:rsid w:val="003A63B5"/>
    <w:rsid w:val="003A7974"/>
    <w:rsid w:val="003A7988"/>
    <w:rsid w:val="003B0F9D"/>
    <w:rsid w:val="003B195C"/>
    <w:rsid w:val="003B412F"/>
    <w:rsid w:val="003B41BB"/>
    <w:rsid w:val="003B637E"/>
    <w:rsid w:val="003B7AEF"/>
    <w:rsid w:val="003C1076"/>
    <w:rsid w:val="003C2709"/>
    <w:rsid w:val="003C33BF"/>
    <w:rsid w:val="003C3ACF"/>
    <w:rsid w:val="003C6571"/>
    <w:rsid w:val="003C78B5"/>
    <w:rsid w:val="003D21FF"/>
    <w:rsid w:val="003D7CA6"/>
    <w:rsid w:val="003E0FE1"/>
    <w:rsid w:val="003E2675"/>
    <w:rsid w:val="003E3A1C"/>
    <w:rsid w:val="003E525D"/>
    <w:rsid w:val="003E6D9A"/>
    <w:rsid w:val="003E71FB"/>
    <w:rsid w:val="003F0280"/>
    <w:rsid w:val="003F1CD0"/>
    <w:rsid w:val="003F2405"/>
    <w:rsid w:val="003F24ED"/>
    <w:rsid w:val="003F3CD8"/>
    <w:rsid w:val="003F47F4"/>
    <w:rsid w:val="003F6E73"/>
    <w:rsid w:val="003F6E98"/>
    <w:rsid w:val="003F77FB"/>
    <w:rsid w:val="003F7A3C"/>
    <w:rsid w:val="003F7AA7"/>
    <w:rsid w:val="004013AE"/>
    <w:rsid w:val="0040208E"/>
    <w:rsid w:val="00402EC7"/>
    <w:rsid w:val="004049EE"/>
    <w:rsid w:val="00404CE5"/>
    <w:rsid w:val="00405C88"/>
    <w:rsid w:val="00405DDB"/>
    <w:rsid w:val="00405F59"/>
    <w:rsid w:val="004061E6"/>
    <w:rsid w:val="00407019"/>
    <w:rsid w:val="00407177"/>
    <w:rsid w:val="00407307"/>
    <w:rsid w:val="00407572"/>
    <w:rsid w:val="00407951"/>
    <w:rsid w:val="004104E1"/>
    <w:rsid w:val="00412095"/>
    <w:rsid w:val="004121AC"/>
    <w:rsid w:val="00413051"/>
    <w:rsid w:val="00414316"/>
    <w:rsid w:val="00415233"/>
    <w:rsid w:val="00416AF2"/>
    <w:rsid w:val="00416C54"/>
    <w:rsid w:val="004170B0"/>
    <w:rsid w:val="00417E83"/>
    <w:rsid w:val="004205D2"/>
    <w:rsid w:val="0042106E"/>
    <w:rsid w:val="00421CE4"/>
    <w:rsid w:val="00422386"/>
    <w:rsid w:val="0042334C"/>
    <w:rsid w:val="004234CB"/>
    <w:rsid w:val="00424F23"/>
    <w:rsid w:val="00425F37"/>
    <w:rsid w:val="00426017"/>
    <w:rsid w:val="00426B16"/>
    <w:rsid w:val="004279D4"/>
    <w:rsid w:val="00430D0A"/>
    <w:rsid w:val="00433849"/>
    <w:rsid w:val="00433A34"/>
    <w:rsid w:val="00435F5C"/>
    <w:rsid w:val="004365D4"/>
    <w:rsid w:val="00436CA0"/>
    <w:rsid w:val="004371EA"/>
    <w:rsid w:val="004417AC"/>
    <w:rsid w:val="004419C7"/>
    <w:rsid w:val="00441B4A"/>
    <w:rsid w:val="004422BA"/>
    <w:rsid w:val="00442A5D"/>
    <w:rsid w:val="00442B47"/>
    <w:rsid w:val="00443481"/>
    <w:rsid w:val="00443E52"/>
    <w:rsid w:val="004447A4"/>
    <w:rsid w:val="0044545E"/>
    <w:rsid w:val="004460E1"/>
    <w:rsid w:val="0044675F"/>
    <w:rsid w:val="004477B3"/>
    <w:rsid w:val="00450E15"/>
    <w:rsid w:val="00450E5A"/>
    <w:rsid w:val="004512BD"/>
    <w:rsid w:val="00451766"/>
    <w:rsid w:val="00451D7E"/>
    <w:rsid w:val="00453C48"/>
    <w:rsid w:val="00453D0B"/>
    <w:rsid w:val="00453E5A"/>
    <w:rsid w:val="0045410D"/>
    <w:rsid w:val="004557F8"/>
    <w:rsid w:val="00456BD8"/>
    <w:rsid w:val="00457EF7"/>
    <w:rsid w:val="0046006B"/>
    <w:rsid w:val="00460501"/>
    <w:rsid w:val="00461646"/>
    <w:rsid w:val="00461AA5"/>
    <w:rsid w:val="00463330"/>
    <w:rsid w:val="0046440D"/>
    <w:rsid w:val="0046507C"/>
    <w:rsid w:val="00466FC8"/>
    <w:rsid w:val="00467A38"/>
    <w:rsid w:val="00467AE8"/>
    <w:rsid w:val="004722DA"/>
    <w:rsid w:val="0047253E"/>
    <w:rsid w:val="004726DD"/>
    <w:rsid w:val="00472EE0"/>
    <w:rsid w:val="004738FA"/>
    <w:rsid w:val="004746CA"/>
    <w:rsid w:val="00475839"/>
    <w:rsid w:val="00475CDE"/>
    <w:rsid w:val="00477232"/>
    <w:rsid w:val="0047745A"/>
    <w:rsid w:val="00480FAA"/>
    <w:rsid w:val="004812CC"/>
    <w:rsid w:val="004816CE"/>
    <w:rsid w:val="0048215A"/>
    <w:rsid w:val="00482F98"/>
    <w:rsid w:val="00483068"/>
    <w:rsid w:val="00483931"/>
    <w:rsid w:val="00483A8C"/>
    <w:rsid w:val="00483FFC"/>
    <w:rsid w:val="004848ED"/>
    <w:rsid w:val="00484D7E"/>
    <w:rsid w:val="00484FDF"/>
    <w:rsid w:val="00485247"/>
    <w:rsid w:val="00485D3B"/>
    <w:rsid w:val="00485E17"/>
    <w:rsid w:val="004863FF"/>
    <w:rsid w:val="00490CF9"/>
    <w:rsid w:val="00490E01"/>
    <w:rsid w:val="00490E9A"/>
    <w:rsid w:val="00491055"/>
    <w:rsid w:val="00492FEE"/>
    <w:rsid w:val="00493B7B"/>
    <w:rsid w:val="004947F1"/>
    <w:rsid w:val="00495650"/>
    <w:rsid w:val="00495B8F"/>
    <w:rsid w:val="00496A3B"/>
    <w:rsid w:val="00497248"/>
    <w:rsid w:val="00497671"/>
    <w:rsid w:val="00497AC3"/>
    <w:rsid w:val="00497DD0"/>
    <w:rsid w:val="004A04A4"/>
    <w:rsid w:val="004A08E8"/>
    <w:rsid w:val="004A1373"/>
    <w:rsid w:val="004A1D80"/>
    <w:rsid w:val="004A20E8"/>
    <w:rsid w:val="004A283B"/>
    <w:rsid w:val="004A2BAD"/>
    <w:rsid w:val="004A2CB0"/>
    <w:rsid w:val="004A38A4"/>
    <w:rsid w:val="004A4984"/>
    <w:rsid w:val="004A50C0"/>
    <w:rsid w:val="004A62C9"/>
    <w:rsid w:val="004A795B"/>
    <w:rsid w:val="004B0027"/>
    <w:rsid w:val="004B0517"/>
    <w:rsid w:val="004B1C64"/>
    <w:rsid w:val="004B664D"/>
    <w:rsid w:val="004B7A59"/>
    <w:rsid w:val="004C0A4F"/>
    <w:rsid w:val="004C2885"/>
    <w:rsid w:val="004C2CB7"/>
    <w:rsid w:val="004C4AA8"/>
    <w:rsid w:val="004C4D02"/>
    <w:rsid w:val="004C559E"/>
    <w:rsid w:val="004C5B24"/>
    <w:rsid w:val="004C5D0F"/>
    <w:rsid w:val="004C5FBB"/>
    <w:rsid w:val="004C6974"/>
    <w:rsid w:val="004C6C93"/>
    <w:rsid w:val="004C75D4"/>
    <w:rsid w:val="004C7FBC"/>
    <w:rsid w:val="004D0306"/>
    <w:rsid w:val="004D0867"/>
    <w:rsid w:val="004D19BB"/>
    <w:rsid w:val="004D1FA7"/>
    <w:rsid w:val="004D24C6"/>
    <w:rsid w:val="004D286B"/>
    <w:rsid w:val="004D2FB5"/>
    <w:rsid w:val="004D3F4E"/>
    <w:rsid w:val="004D6082"/>
    <w:rsid w:val="004D6578"/>
    <w:rsid w:val="004D6B42"/>
    <w:rsid w:val="004D71CC"/>
    <w:rsid w:val="004E11AC"/>
    <w:rsid w:val="004E3252"/>
    <w:rsid w:val="004E3B8B"/>
    <w:rsid w:val="004E4F78"/>
    <w:rsid w:val="004E6AE6"/>
    <w:rsid w:val="004E6BCB"/>
    <w:rsid w:val="004E76A3"/>
    <w:rsid w:val="004F15E6"/>
    <w:rsid w:val="004F3133"/>
    <w:rsid w:val="004F3507"/>
    <w:rsid w:val="004F39C9"/>
    <w:rsid w:val="004F400B"/>
    <w:rsid w:val="004F4FF9"/>
    <w:rsid w:val="004F5267"/>
    <w:rsid w:val="004F5363"/>
    <w:rsid w:val="004F54F0"/>
    <w:rsid w:val="004F5A8B"/>
    <w:rsid w:val="004F5F4D"/>
    <w:rsid w:val="004F7A5C"/>
    <w:rsid w:val="004F7B88"/>
    <w:rsid w:val="0050011D"/>
    <w:rsid w:val="00500974"/>
    <w:rsid w:val="00501D30"/>
    <w:rsid w:val="00502002"/>
    <w:rsid w:val="00502A6C"/>
    <w:rsid w:val="00503741"/>
    <w:rsid w:val="00504B1F"/>
    <w:rsid w:val="00504C4E"/>
    <w:rsid w:val="005062BF"/>
    <w:rsid w:val="00506B03"/>
    <w:rsid w:val="00507CF7"/>
    <w:rsid w:val="00507D01"/>
    <w:rsid w:val="005150BB"/>
    <w:rsid w:val="005150F3"/>
    <w:rsid w:val="0051529D"/>
    <w:rsid w:val="00515BEB"/>
    <w:rsid w:val="00516319"/>
    <w:rsid w:val="005163D3"/>
    <w:rsid w:val="00517407"/>
    <w:rsid w:val="00521AFC"/>
    <w:rsid w:val="00524443"/>
    <w:rsid w:val="0052528D"/>
    <w:rsid w:val="00525420"/>
    <w:rsid w:val="00525835"/>
    <w:rsid w:val="00525D7F"/>
    <w:rsid w:val="005268F7"/>
    <w:rsid w:val="00527AAB"/>
    <w:rsid w:val="00527AB5"/>
    <w:rsid w:val="00527BEF"/>
    <w:rsid w:val="0053136F"/>
    <w:rsid w:val="005318A3"/>
    <w:rsid w:val="00531D9E"/>
    <w:rsid w:val="005325A3"/>
    <w:rsid w:val="00533BC1"/>
    <w:rsid w:val="00533ED7"/>
    <w:rsid w:val="00534878"/>
    <w:rsid w:val="00536FCE"/>
    <w:rsid w:val="0053787D"/>
    <w:rsid w:val="0054041B"/>
    <w:rsid w:val="005413F2"/>
    <w:rsid w:val="005418A1"/>
    <w:rsid w:val="005423D6"/>
    <w:rsid w:val="00542AAC"/>
    <w:rsid w:val="00542D87"/>
    <w:rsid w:val="005434DB"/>
    <w:rsid w:val="00543E79"/>
    <w:rsid w:val="005440EE"/>
    <w:rsid w:val="00544B6C"/>
    <w:rsid w:val="00544CB4"/>
    <w:rsid w:val="005474A3"/>
    <w:rsid w:val="0055001B"/>
    <w:rsid w:val="00553C5D"/>
    <w:rsid w:val="005540F5"/>
    <w:rsid w:val="005543BF"/>
    <w:rsid w:val="0055465F"/>
    <w:rsid w:val="0055607C"/>
    <w:rsid w:val="0055757F"/>
    <w:rsid w:val="005575A6"/>
    <w:rsid w:val="00557C43"/>
    <w:rsid w:val="0056050A"/>
    <w:rsid w:val="00562576"/>
    <w:rsid w:val="00564631"/>
    <w:rsid w:val="0056478E"/>
    <w:rsid w:val="00565993"/>
    <w:rsid w:val="00565E69"/>
    <w:rsid w:val="005661FD"/>
    <w:rsid w:val="00566B49"/>
    <w:rsid w:val="005671EF"/>
    <w:rsid w:val="005673E2"/>
    <w:rsid w:val="0056761E"/>
    <w:rsid w:val="005677DE"/>
    <w:rsid w:val="00567DC8"/>
    <w:rsid w:val="00570157"/>
    <w:rsid w:val="005716EA"/>
    <w:rsid w:val="005719CD"/>
    <w:rsid w:val="005720EC"/>
    <w:rsid w:val="00574397"/>
    <w:rsid w:val="005744D7"/>
    <w:rsid w:val="005747B7"/>
    <w:rsid w:val="005750CF"/>
    <w:rsid w:val="00575EED"/>
    <w:rsid w:val="00575EF1"/>
    <w:rsid w:val="00581A32"/>
    <w:rsid w:val="005830B7"/>
    <w:rsid w:val="00584B56"/>
    <w:rsid w:val="00584E14"/>
    <w:rsid w:val="00587689"/>
    <w:rsid w:val="00587A9A"/>
    <w:rsid w:val="00587C59"/>
    <w:rsid w:val="0059150F"/>
    <w:rsid w:val="00591E25"/>
    <w:rsid w:val="005924A1"/>
    <w:rsid w:val="005927EA"/>
    <w:rsid w:val="0059440F"/>
    <w:rsid w:val="005945C1"/>
    <w:rsid w:val="00594E55"/>
    <w:rsid w:val="00595EAC"/>
    <w:rsid w:val="00596696"/>
    <w:rsid w:val="00596783"/>
    <w:rsid w:val="005977B0"/>
    <w:rsid w:val="00597C25"/>
    <w:rsid w:val="005A0299"/>
    <w:rsid w:val="005A0426"/>
    <w:rsid w:val="005A13FF"/>
    <w:rsid w:val="005A2148"/>
    <w:rsid w:val="005A26E1"/>
    <w:rsid w:val="005A4186"/>
    <w:rsid w:val="005A47C5"/>
    <w:rsid w:val="005A4AF7"/>
    <w:rsid w:val="005A58CE"/>
    <w:rsid w:val="005A60BE"/>
    <w:rsid w:val="005A648A"/>
    <w:rsid w:val="005A72AB"/>
    <w:rsid w:val="005B1721"/>
    <w:rsid w:val="005B223C"/>
    <w:rsid w:val="005B2AD6"/>
    <w:rsid w:val="005B3330"/>
    <w:rsid w:val="005B45C4"/>
    <w:rsid w:val="005B68A4"/>
    <w:rsid w:val="005B745D"/>
    <w:rsid w:val="005C0BF3"/>
    <w:rsid w:val="005C35E7"/>
    <w:rsid w:val="005C4526"/>
    <w:rsid w:val="005C4A63"/>
    <w:rsid w:val="005C52E7"/>
    <w:rsid w:val="005C7421"/>
    <w:rsid w:val="005C77E8"/>
    <w:rsid w:val="005D01E1"/>
    <w:rsid w:val="005D0427"/>
    <w:rsid w:val="005D0B77"/>
    <w:rsid w:val="005D0EE8"/>
    <w:rsid w:val="005D2A3F"/>
    <w:rsid w:val="005D4555"/>
    <w:rsid w:val="005D507D"/>
    <w:rsid w:val="005D5850"/>
    <w:rsid w:val="005D73D3"/>
    <w:rsid w:val="005D7BE1"/>
    <w:rsid w:val="005E028E"/>
    <w:rsid w:val="005E051D"/>
    <w:rsid w:val="005E2F04"/>
    <w:rsid w:val="005E3CCA"/>
    <w:rsid w:val="005E48B5"/>
    <w:rsid w:val="005E6852"/>
    <w:rsid w:val="005E685D"/>
    <w:rsid w:val="005E6ADC"/>
    <w:rsid w:val="005E6F7E"/>
    <w:rsid w:val="005E7692"/>
    <w:rsid w:val="005F118C"/>
    <w:rsid w:val="005F1684"/>
    <w:rsid w:val="005F4229"/>
    <w:rsid w:val="005F45B1"/>
    <w:rsid w:val="005F47CC"/>
    <w:rsid w:val="005F5A60"/>
    <w:rsid w:val="005F61A9"/>
    <w:rsid w:val="005F62A6"/>
    <w:rsid w:val="005F70B5"/>
    <w:rsid w:val="005F7628"/>
    <w:rsid w:val="0060000F"/>
    <w:rsid w:val="006016D9"/>
    <w:rsid w:val="00602F95"/>
    <w:rsid w:val="00603250"/>
    <w:rsid w:val="00603AB3"/>
    <w:rsid w:val="0060430D"/>
    <w:rsid w:val="00604DA0"/>
    <w:rsid w:val="00605483"/>
    <w:rsid w:val="00611924"/>
    <w:rsid w:val="00611AE3"/>
    <w:rsid w:val="0061246E"/>
    <w:rsid w:val="00612747"/>
    <w:rsid w:val="006129C4"/>
    <w:rsid w:val="00613D5F"/>
    <w:rsid w:val="00614B77"/>
    <w:rsid w:val="0062044D"/>
    <w:rsid w:val="00620799"/>
    <w:rsid w:val="00620D37"/>
    <w:rsid w:val="00624FF8"/>
    <w:rsid w:val="00625136"/>
    <w:rsid w:val="006254A7"/>
    <w:rsid w:val="0062558E"/>
    <w:rsid w:val="00625BC1"/>
    <w:rsid w:val="00627192"/>
    <w:rsid w:val="00630542"/>
    <w:rsid w:val="00630BFD"/>
    <w:rsid w:val="006318C6"/>
    <w:rsid w:val="00631E75"/>
    <w:rsid w:val="006327E3"/>
    <w:rsid w:val="00632D25"/>
    <w:rsid w:val="0063337A"/>
    <w:rsid w:val="00634127"/>
    <w:rsid w:val="00634FF6"/>
    <w:rsid w:val="00635378"/>
    <w:rsid w:val="0063657B"/>
    <w:rsid w:val="00636F65"/>
    <w:rsid w:val="006379A3"/>
    <w:rsid w:val="006408AF"/>
    <w:rsid w:val="00640FF4"/>
    <w:rsid w:val="00641973"/>
    <w:rsid w:val="00641F97"/>
    <w:rsid w:val="00642598"/>
    <w:rsid w:val="00643262"/>
    <w:rsid w:val="006438FA"/>
    <w:rsid w:val="0064462C"/>
    <w:rsid w:val="00644F4C"/>
    <w:rsid w:val="0064581C"/>
    <w:rsid w:val="006502ED"/>
    <w:rsid w:val="00652570"/>
    <w:rsid w:val="00652748"/>
    <w:rsid w:val="00654857"/>
    <w:rsid w:val="00656307"/>
    <w:rsid w:val="00657D98"/>
    <w:rsid w:val="00661A5C"/>
    <w:rsid w:val="00662193"/>
    <w:rsid w:val="00662EEA"/>
    <w:rsid w:val="00665C27"/>
    <w:rsid w:val="00665D98"/>
    <w:rsid w:val="0066624D"/>
    <w:rsid w:val="00670E29"/>
    <w:rsid w:val="00671407"/>
    <w:rsid w:val="0067161B"/>
    <w:rsid w:val="00671673"/>
    <w:rsid w:val="0067278C"/>
    <w:rsid w:val="00673422"/>
    <w:rsid w:val="00673A21"/>
    <w:rsid w:val="00674049"/>
    <w:rsid w:val="0067416E"/>
    <w:rsid w:val="0067444B"/>
    <w:rsid w:val="00674661"/>
    <w:rsid w:val="006746AF"/>
    <w:rsid w:val="00675B49"/>
    <w:rsid w:val="00675BD5"/>
    <w:rsid w:val="0067670C"/>
    <w:rsid w:val="00676DA2"/>
    <w:rsid w:val="00677F31"/>
    <w:rsid w:val="00681AAD"/>
    <w:rsid w:val="00681FA8"/>
    <w:rsid w:val="00683281"/>
    <w:rsid w:val="00683A8F"/>
    <w:rsid w:val="006843B7"/>
    <w:rsid w:val="00685082"/>
    <w:rsid w:val="00685180"/>
    <w:rsid w:val="006871E7"/>
    <w:rsid w:val="006875A7"/>
    <w:rsid w:val="0068786C"/>
    <w:rsid w:val="00687BA8"/>
    <w:rsid w:val="006902DA"/>
    <w:rsid w:val="006914D4"/>
    <w:rsid w:val="006916C9"/>
    <w:rsid w:val="006918B7"/>
    <w:rsid w:val="0069280F"/>
    <w:rsid w:val="0069413E"/>
    <w:rsid w:val="00695644"/>
    <w:rsid w:val="006968E3"/>
    <w:rsid w:val="00696B60"/>
    <w:rsid w:val="00697336"/>
    <w:rsid w:val="00697B57"/>
    <w:rsid w:val="00697C85"/>
    <w:rsid w:val="00697E2D"/>
    <w:rsid w:val="006A0CFC"/>
    <w:rsid w:val="006A26A6"/>
    <w:rsid w:val="006A281C"/>
    <w:rsid w:val="006A379F"/>
    <w:rsid w:val="006A43A7"/>
    <w:rsid w:val="006A5869"/>
    <w:rsid w:val="006A5B84"/>
    <w:rsid w:val="006A6149"/>
    <w:rsid w:val="006A6DFF"/>
    <w:rsid w:val="006A710E"/>
    <w:rsid w:val="006A7C38"/>
    <w:rsid w:val="006B022D"/>
    <w:rsid w:val="006B041F"/>
    <w:rsid w:val="006B0BEC"/>
    <w:rsid w:val="006B1229"/>
    <w:rsid w:val="006B1544"/>
    <w:rsid w:val="006B5644"/>
    <w:rsid w:val="006B620C"/>
    <w:rsid w:val="006B712A"/>
    <w:rsid w:val="006B7782"/>
    <w:rsid w:val="006B7C42"/>
    <w:rsid w:val="006B7FF8"/>
    <w:rsid w:val="006C1ED5"/>
    <w:rsid w:val="006C1F09"/>
    <w:rsid w:val="006C4387"/>
    <w:rsid w:val="006C4FB3"/>
    <w:rsid w:val="006C728F"/>
    <w:rsid w:val="006C7495"/>
    <w:rsid w:val="006C7DF2"/>
    <w:rsid w:val="006D0A43"/>
    <w:rsid w:val="006D11CB"/>
    <w:rsid w:val="006D1E53"/>
    <w:rsid w:val="006D206E"/>
    <w:rsid w:val="006D2930"/>
    <w:rsid w:val="006D4207"/>
    <w:rsid w:val="006D58F6"/>
    <w:rsid w:val="006D5EDD"/>
    <w:rsid w:val="006D6238"/>
    <w:rsid w:val="006D6AD8"/>
    <w:rsid w:val="006D703C"/>
    <w:rsid w:val="006D7615"/>
    <w:rsid w:val="006D76FA"/>
    <w:rsid w:val="006E0466"/>
    <w:rsid w:val="006E09F0"/>
    <w:rsid w:val="006E1AA9"/>
    <w:rsid w:val="006E2811"/>
    <w:rsid w:val="006E3366"/>
    <w:rsid w:val="006E3EE7"/>
    <w:rsid w:val="006E47E2"/>
    <w:rsid w:val="006E6688"/>
    <w:rsid w:val="006E7362"/>
    <w:rsid w:val="006F08A9"/>
    <w:rsid w:val="006F0C10"/>
    <w:rsid w:val="006F0C42"/>
    <w:rsid w:val="006F0CB3"/>
    <w:rsid w:val="006F147C"/>
    <w:rsid w:val="006F172D"/>
    <w:rsid w:val="006F28FB"/>
    <w:rsid w:val="006F4578"/>
    <w:rsid w:val="006F4B1A"/>
    <w:rsid w:val="006F669D"/>
    <w:rsid w:val="006F7F25"/>
    <w:rsid w:val="007005D5"/>
    <w:rsid w:val="007009B7"/>
    <w:rsid w:val="00700D68"/>
    <w:rsid w:val="00700F7B"/>
    <w:rsid w:val="00701C4A"/>
    <w:rsid w:val="0070260B"/>
    <w:rsid w:val="00702BD0"/>
    <w:rsid w:val="0070332D"/>
    <w:rsid w:val="0070365A"/>
    <w:rsid w:val="00703739"/>
    <w:rsid w:val="00703C74"/>
    <w:rsid w:val="00704865"/>
    <w:rsid w:val="00707FA8"/>
    <w:rsid w:val="00710860"/>
    <w:rsid w:val="00712FA5"/>
    <w:rsid w:val="0071365D"/>
    <w:rsid w:val="0071431E"/>
    <w:rsid w:val="00714737"/>
    <w:rsid w:val="00714A81"/>
    <w:rsid w:val="007150DA"/>
    <w:rsid w:val="00715753"/>
    <w:rsid w:val="0071617F"/>
    <w:rsid w:val="007163F5"/>
    <w:rsid w:val="00717253"/>
    <w:rsid w:val="0071782C"/>
    <w:rsid w:val="00717DBA"/>
    <w:rsid w:val="00720D43"/>
    <w:rsid w:val="00721326"/>
    <w:rsid w:val="00721757"/>
    <w:rsid w:val="00721EB2"/>
    <w:rsid w:val="00724E3A"/>
    <w:rsid w:val="00725959"/>
    <w:rsid w:val="00725966"/>
    <w:rsid w:val="00726B2E"/>
    <w:rsid w:val="00726CAE"/>
    <w:rsid w:val="00730DF4"/>
    <w:rsid w:val="00731ACF"/>
    <w:rsid w:val="00732207"/>
    <w:rsid w:val="007327FA"/>
    <w:rsid w:val="00732D7A"/>
    <w:rsid w:val="00733848"/>
    <w:rsid w:val="00734228"/>
    <w:rsid w:val="00735892"/>
    <w:rsid w:val="00735953"/>
    <w:rsid w:val="00736056"/>
    <w:rsid w:val="0073614E"/>
    <w:rsid w:val="00736920"/>
    <w:rsid w:val="00736FD3"/>
    <w:rsid w:val="00737949"/>
    <w:rsid w:val="00741874"/>
    <w:rsid w:val="007418D0"/>
    <w:rsid w:val="00741E55"/>
    <w:rsid w:val="00741F3B"/>
    <w:rsid w:val="00742812"/>
    <w:rsid w:val="007434E7"/>
    <w:rsid w:val="00743802"/>
    <w:rsid w:val="00743A63"/>
    <w:rsid w:val="00745360"/>
    <w:rsid w:val="00746001"/>
    <w:rsid w:val="00746028"/>
    <w:rsid w:val="0074649D"/>
    <w:rsid w:val="007477C6"/>
    <w:rsid w:val="00747B58"/>
    <w:rsid w:val="007500E3"/>
    <w:rsid w:val="007509C6"/>
    <w:rsid w:val="00751C83"/>
    <w:rsid w:val="00751F32"/>
    <w:rsid w:val="00753922"/>
    <w:rsid w:val="00753EA0"/>
    <w:rsid w:val="007542EB"/>
    <w:rsid w:val="00754342"/>
    <w:rsid w:val="00755187"/>
    <w:rsid w:val="007553DD"/>
    <w:rsid w:val="007557E9"/>
    <w:rsid w:val="007564F1"/>
    <w:rsid w:val="00756EF4"/>
    <w:rsid w:val="0076129F"/>
    <w:rsid w:val="007612B0"/>
    <w:rsid w:val="007612D6"/>
    <w:rsid w:val="007615AE"/>
    <w:rsid w:val="007616C7"/>
    <w:rsid w:val="007623CB"/>
    <w:rsid w:val="007627E2"/>
    <w:rsid w:val="007630DB"/>
    <w:rsid w:val="00763941"/>
    <w:rsid w:val="00763ED7"/>
    <w:rsid w:val="00764DB6"/>
    <w:rsid w:val="00764EF2"/>
    <w:rsid w:val="00766384"/>
    <w:rsid w:val="00766975"/>
    <w:rsid w:val="00770524"/>
    <w:rsid w:val="00771737"/>
    <w:rsid w:val="00772349"/>
    <w:rsid w:val="007739EF"/>
    <w:rsid w:val="00774E99"/>
    <w:rsid w:val="00775563"/>
    <w:rsid w:val="00776097"/>
    <w:rsid w:val="007777C9"/>
    <w:rsid w:val="00777DF1"/>
    <w:rsid w:val="00780E79"/>
    <w:rsid w:val="00781AC3"/>
    <w:rsid w:val="007822B8"/>
    <w:rsid w:val="007831C3"/>
    <w:rsid w:val="007831E3"/>
    <w:rsid w:val="007841C4"/>
    <w:rsid w:val="00784D55"/>
    <w:rsid w:val="007863A6"/>
    <w:rsid w:val="00786516"/>
    <w:rsid w:val="00786949"/>
    <w:rsid w:val="00786FDF"/>
    <w:rsid w:val="00787078"/>
    <w:rsid w:val="00790767"/>
    <w:rsid w:val="00790EDF"/>
    <w:rsid w:val="0079175B"/>
    <w:rsid w:val="00792C57"/>
    <w:rsid w:val="00792D8B"/>
    <w:rsid w:val="00794698"/>
    <w:rsid w:val="0079487E"/>
    <w:rsid w:val="0079491A"/>
    <w:rsid w:val="00795F99"/>
    <w:rsid w:val="00796699"/>
    <w:rsid w:val="007968A7"/>
    <w:rsid w:val="007974E8"/>
    <w:rsid w:val="00797B76"/>
    <w:rsid w:val="007A0701"/>
    <w:rsid w:val="007A107A"/>
    <w:rsid w:val="007A1A26"/>
    <w:rsid w:val="007A1B9E"/>
    <w:rsid w:val="007A3135"/>
    <w:rsid w:val="007A3166"/>
    <w:rsid w:val="007A40AB"/>
    <w:rsid w:val="007A4172"/>
    <w:rsid w:val="007A459A"/>
    <w:rsid w:val="007A5ABF"/>
    <w:rsid w:val="007A6928"/>
    <w:rsid w:val="007B1C6F"/>
    <w:rsid w:val="007B2EE4"/>
    <w:rsid w:val="007B52F7"/>
    <w:rsid w:val="007B66FB"/>
    <w:rsid w:val="007B679A"/>
    <w:rsid w:val="007B689D"/>
    <w:rsid w:val="007B6C72"/>
    <w:rsid w:val="007B723F"/>
    <w:rsid w:val="007B7D81"/>
    <w:rsid w:val="007C02D8"/>
    <w:rsid w:val="007C22A1"/>
    <w:rsid w:val="007C238A"/>
    <w:rsid w:val="007C2837"/>
    <w:rsid w:val="007C2D22"/>
    <w:rsid w:val="007C2F9C"/>
    <w:rsid w:val="007C38F3"/>
    <w:rsid w:val="007C4633"/>
    <w:rsid w:val="007C4831"/>
    <w:rsid w:val="007C543E"/>
    <w:rsid w:val="007C629D"/>
    <w:rsid w:val="007C6E27"/>
    <w:rsid w:val="007D0496"/>
    <w:rsid w:val="007D23AA"/>
    <w:rsid w:val="007D2436"/>
    <w:rsid w:val="007D296D"/>
    <w:rsid w:val="007D3425"/>
    <w:rsid w:val="007D578B"/>
    <w:rsid w:val="007D6966"/>
    <w:rsid w:val="007E06FB"/>
    <w:rsid w:val="007E120E"/>
    <w:rsid w:val="007E12A2"/>
    <w:rsid w:val="007E434F"/>
    <w:rsid w:val="007E4571"/>
    <w:rsid w:val="007E46C5"/>
    <w:rsid w:val="007E47EC"/>
    <w:rsid w:val="007E51E8"/>
    <w:rsid w:val="007E5213"/>
    <w:rsid w:val="007E6CF2"/>
    <w:rsid w:val="007E6DA1"/>
    <w:rsid w:val="007E785F"/>
    <w:rsid w:val="007F039D"/>
    <w:rsid w:val="007F1283"/>
    <w:rsid w:val="007F14BA"/>
    <w:rsid w:val="007F1E19"/>
    <w:rsid w:val="007F2B8B"/>
    <w:rsid w:val="007F2D75"/>
    <w:rsid w:val="007F3728"/>
    <w:rsid w:val="007F3C6D"/>
    <w:rsid w:val="007F4F61"/>
    <w:rsid w:val="007F7804"/>
    <w:rsid w:val="008007E5"/>
    <w:rsid w:val="00801822"/>
    <w:rsid w:val="008019DF"/>
    <w:rsid w:val="00801DB9"/>
    <w:rsid w:val="008021D7"/>
    <w:rsid w:val="00802AFD"/>
    <w:rsid w:val="00802DD4"/>
    <w:rsid w:val="008032B2"/>
    <w:rsid w:val="00803578"/>
    <w:rsid w:val="00803D82"/>
    <w:rsid w:val="0080518A"/>
    <w:rsid w:val="00805E64"/>
    <w:rsid w:val="008063AC"/>
    <w:rsid w:val="00806A7E"/>
    <w:rsid w:val="00806BE7"/>
    <w:rsid w:val="00807757"/>
    <w:rsid w:val="00810690"/>
    <w:rsid w:val="008108A7"/>
    <w:rsid w:val="00811438"/>
    <w:rsid w:val="00812BF3"/>
    <w:rsid w:val="00814FC4"/>
    <w:rsid w:val="00815146"/>
    <w:rsid w:val="00817440"/>
    <w:rsid w:val="0082015C"/>
    <w:rsid w:val="00820450"/>
    <w:rsid w:val="00820B71"/>
    <w:rsid w:val="00820E70"/>
    <w:rsid w:val="00821BEB"/>
    <w:rsid w:val="00821D20"/>
    <w:rsid w:val="00822981"/>
    <w:rsid w:val="00823D6D"/>
    <w:rsid w:val="00823E4B"/>
    <w:rsid w:val="008246AD"/>
    <w:rsid w:val="00825ACE"/>
    <w:rsid w:val="008262D8"/>
    <w:rsid w:val="00826577"/>
    <w:rsid w:val="00826706"/>
    <w:rsid w:val="00826A68"/>
    <w:rsid w:val="00826EAF"/>
    <w:rsid w:val="008273FB"/>
    <w:rsid w:val="008276C3"/>
    <w:rsid w:val="008277B8"/>
    <w:rsid w:val="008314C4"/>
    <w:rsid w:val="00832F03"/>
    <w:rsid w:val="0083425F"/>
    <w:rsid w:val="00834571"/>
    <w:rsid w:val="0083457E"/>
    <w:rsid w:val="0083576B"/>
    <w:rsid w:val="00836848"/>
    <w:rsid w:val="00842681"/>
    <w:rsid w:val="008433D0"/>
    <w:rsid w:val="0084356E"/>
    <w:rsid w:val="008439AF"/>
    <w:rsid w:val="008449EC"/>
    <w:rsid w:val="00847DCE"/>
    <w:rsid w:val="00851750"/>
    <w:rsid w:val="00851EBC"/>
    <w:rsid w:val="00851F11"/>
    <w:rsid w:val="00852786"/>
    <w:rsid w:val="00852EE3"/>
    <w:rsid w:val="0085396E"/>
    <w:rsid w:val="00854D24"/>
    <w:rsid w:val="00854EFD"/>
    <w:rsid w:val="00860588"/>
    <w:rsid w:val="00860594"/>
    <w:rsid w:val="00860C76"/>
    <w:rsid w:val="008620F4"/>
    <w:rsid w:val="00863581"/>
    <w:rsid w:val="0086433C"/>
    <w:rsid w:val="00865019"/>
    <w:rsid w:val="00866F47"/>
    <w:rsid w:val="008674D5"/>
    <w:rsid w:val="0087050C"/>
    <w:rsid w:val="00870A50"/>
    <w:rsid w:val="0087108A"/>
    <w:rsid w:val="008712FB"/>
    <w:rsid w:val="008714A3"/>
    <w:rsid w:val="00873950"/>
    <w:rsid w:val="008750E1"/>
    <w:rsid w:val="008753D7"/>
    <w:rsid w:val="00875A4B"/>
    <w:rsid w:val="00877E4C"/>
    <w:rsid w:val="0088373E"/>
    <w:rsid w:val="00883EE9"/>
    <w:rsid w:val="008842F5"/>
    <w:rsid w:val="00884E0A"/>
    <w:rsid w:val="0088543D"/>
    <w:rsid w:val="00885DCC"/>
    <w:rsid w:val="008861E6"/>
    <w:rsid w:val="0088768E"/>
    <w:rsid w:val="00887CEF"/>
    <w:rsid w:val="008908D8"/>
    <w:rsid w:val="00890996"/>
    <w:rsid w:val="008916A2"/>
    <w:rsid w:val="00893C3F"/>
    <w:rsid w:val="008959F4"/>
    <w:rsid w:val="008A10C9"/>
    <w:rsid w:val="008A24A2"/>
    <w:rsid w:val="008A389D"/>
    <w:rsid w:val="008A3CB2"/>
    <w:rsid w:val="008A4B0D"/>
    <w:rsid w:val="008A7903"/>
    <w:rsid w:val="008B20E0"/>
    <w:rsid w:val="008B3B40"/>
    <w:rsid w:val="008B42E3"/>
    <w:rsid w:val="008B4513"/>
    <w:rsid w:val="008B5CBC"/>
    <w:rsid w:val="008B6AD6"/>
    <w:rsid w:val="008C005E"/>
    <w:rsid w:val="008C0620"/>
    <w:rsid w:val="008C0A95"/>
    <w:rsid w:val="008C19FA"/>
    <w:rsid w:val="008C1DE2"/>
    <w:rsid w:val="008C377C"/>
    <w:rsid w:val="008C4B36"/>
    <w:rsid w:val="008C5595"/>
    <w:rsid w:val="008C578A"/>
    <w:rsid w:val="008C5A75"/>
    <w:rsid w:val="008C5F18"/>
    <w:rsid w:val="008C6141"/>
    <w:rsid w:val="008C700B"/>
    <w:rsid w:val="008C73DB"/>
    <w:rsid w:val="008D0B2A"/>
    <w:rsid w:val="008D175E"/>
    <w:rsid w:val="008D49CA"/>
    <w:rsid w:val="008D4B00"/>
    <w:rsid w:val="008D6986"/>
    <w:rsid w:val="008D729A"/>
    <w:rsid w:val="008D73AF"/>
    <w:rsid w:val="008E0D70"/>
    <w:rsid w:val="008E3138"/>
    <w:rsid w:val="008E34C0"/>
    <w:rsid w:val="008E3C6B"/>
    <w:rsid w:val="008E3E2E"/>
    <w:rsid w:val="008E4AAC"/>
    <w:rsid w:val="008E7431"/>
    <w:rsid w:val="008F21C0"/>
    <w:rsid w:val="008F25E3"/>
    <w:rsid w:val="008F26F8"/>
    <w:rsid w:val="008F2BA3"/>
    <w:rsid w:val="008F372E"/>
    <w:rsid w:val="008F39E1"/>
    <w:rsid w:val="008F3C56"/>
    <w:rsid w:val="008F44D5"/>
    <w:rsid w:val="008F510A"/>
    <w:rsid w:val="008F5E55"/>
    <w:rsid w:val="008F6133"/>
    <w:rsid w:val="008F6911"/>
    <w:rsid w:val="008F7EF6"/>
    <w:rsid w:val="009003AB"/>
    <w:rsid w:val="00900727"/>
    <w:rsid w:val="009007FA"/>
    <w:rsid w:val="009008EA"/>
    <w:rsid w:val="00900CD3"/>
    <w:rsid w:val="009012CD"/>
    <w:rsid w:val="00902D19"/>
    <w:rsid w:val="00903410"/>
    <w:rsid w:val="009038A9"/>
    <w:rsid w:val="00903F20"/>
    <w:rsid w:val="0090456A"/>
    <w:rsid w:val="00904BBF"/>
    <w:rsid w:val="00904C5C"/>
    <w:rsid w:val="009068EF"/>
    <w:rsid w:val="00906EE5"/>
    <w:rsid w:val="009075BD"/>
    <w:rsid w:val="00907D6C"/>
    <w:rsid w:val="0091089F"/>
    <w:rsid w:val="009111CA"/>
    <w:rsid w:val="00911818"/>
    <w:rsid w:val="00911E66"/>
    <w:rsid w:val="009126CF"/>
    <w:rsid w:val="0091292B"/>
    <w:rsid w:val="00914A4A"/>
    <w:rsid w:val="009153BE"/>
    <w:rsid w:val="0091605B"/>
    <w:rsid w:val="0091742A"/>
    <w:rsid w:val="00920757"/>
    <w:rsid w:val="00921DB9"/>
    <w:rsid w:val="009226B3"/>
    <w:rsid w:val="00922B25"/>
    <w:rsid w:val="0092389F"/>
    <w:rsid w:val="00923A1B"/>
    <w:rsid w:val="009242CC"/>
    <w:rsid w:val="00925F9C"/>
    <w:rsid w:val="0092628D"/>
    <w:rsid w:val="009268ED"/>
    <w:rsid w:val="0092709C"/>
    <w:rsid w:val="009278D0"/>
    <w:rsid w:val="009300F2"/>
    <w:rsid w:val="00931D13"/>
    <w:rsid w:val="009320C8"/>
    <w:rsid w:val="00932F63"/>
    <w:rsid w:val="00933A50"/>
    <w:rsid w:val="00933D19"/>
    <w:rsid w:val="00933F9F"/>
    <w:rsid w:val="009343AA"/>
    <w:rsid w:val="00934E1E"/>
    <w:rsid w:val="009369C2"/>
    <w:rsid w:val="0093798B"/>
    <w:rsid w:val="00937A13"/>
    <w:rsid w:val="00937D33"/>
    <w:rsid w:val="00941638"/>
    <w:rsid w:val="00941DEC"/>
    <w:rsid w:val="00941E5E"/>
    <w:rsid w:val="00942DCB"/>
    <w:rsid w:val="00943B57"/>
    <w:rsid w:val="009445B8"/>
    <w:rsid w:val="00944B78"/>
    <w:rsid w:val="00945964"/>
    <w:rsid w:val="00945FAF"/>
    <w:rsid w:val="00946B5D"/>
    <w:rsid w:val="00947F67"/>
    <w:rsid w:val="00950006"/>
    <w:rsid w:val="00950F4B"/>
    <w:rsid w:val="0095118D"/>
    <w:rsid w:val="00951708"/>
    <w:rsid w:val="00951B5C"/>
    <w:rsid w:val="00954402"/>
    <w:rsid w:val="00954C91"/>
    <w:rsid w:val="009626AE"/>
    <w:rsid w:val="009642C6"/>
    <w:rsid w:val="00964CF6"/>
    <w:rsid w:val="009652BB"/>
    <w:rsid w:val="0096789F"/>
    <w:rsid w:val="00967B2C"/>
    <w:rsid w:val="00970424"/>
    <w:rsid w:val="00970565"/>
    <w:rsid w:val="00973134"/>
    <w:rsid w:val="00974222"/>
    <w:rsid w:val="009743B2"/>
    <w:rsid w:val="00974CAD"/>
    <w:rsid w:val="00975DFA"/>
    <w:rsid w:val="00976BDE"/>
    <w:rsid w:val="00976F7D"/>
    <w:rsid w:val="009778D9"/>
    <w:rsid w:val="0098079D"/>
    <w:rsid w:val="00981418"/>
    <w:rsid w:val="00982E7E"/>
    <w:rsid w:val="00984A65"/>
    <w:rsid w:val="00984D6B"/>
    <w:rsid w:val="0098548A"/>
    <w:rsid w:val="00985CB2"/>
    <w:rsid w:val="00985E2D"/>
    <w:rsid w:val="00985FA9"/>
    <w:rsid w:val="009868E6"/>
    <w:rsid w:val="00986ED1"/>
    <w:rsid w:val="00991D68"/>
    <w:rsid w:val="00993C8C"/>
    <w:rsid w:val="00994F2D"/>
    <w:rsid w:val="0099577F"/>
    <w:rsid w:val="00995BC0"/>
    <w:rsid w:val="00995E1A"/>
    <w:rsid w:val="00996342"/>
    <w:rsid w:val="009969E4"/>
    <w:rsid w:val="00997052"/>
    <w:rsid w:val="00997238"/>
    <w:rsid w:val="00997CF0"/>
    <w:rsid w:val="009A12F2"/>
    <w:rsid w:val="009A29CA"/>
    <w:rsid w:val="009A2FF4"/>
    <w:rsid w:val="009A3169"/>
    <w:rsid w:val="009A3AE5"/>
    <w:rsid w:val="009A56F7"/>
    <w:rsid w:val="009A5B8E"/>
    <w:rsid w:val="009A5FA4"/>
    <w:rsid w:val="009A7083"/>
    <w:rsid w:val="009B1CDB"/>
    <w:rsid w:val="009B2750"/>
    <w:rsid w:val="009B2BD9"/>
    <w:rsid w:val="009B45F0"/>
    <w:rsid w:val="009B4E7E"/>
    <w:rsid w:val="009B56FA"/>
    <w:rsid w:val="009B5DE9"/>
    <w:rsid w:val="009B6BD8"/>
    <w:rsid w:val="009B760A"/>
    <w:rsid w:val="009C0B9E"/>
    <w:rsid w:val="009C1D0A"/>
    <w:rsid w:val="009C2CD5"/>
    <w:rsid w:val="009C3ED0"/>
    <w:rsid w:val="009C4563"/>
    <w:rsid w:val="009C496B"/>
    <w:rsid w:val="009C4D65"/>
    <w:rsid w:val="009C5020"/>
    <w:rsid w:val="009C548A"/>
    <w:rsid w:val="009C6FD1"/>
    <w:rsid w:val="009C7AEE"/>
    <w:rsid w:val="009D06ED"/>
    <w:rsid w:val="009D233D"/>
    <w:rsid w:val="009D2A77"/>
    <w:rsid w:val="009D2AE1"/>
    <w:rsid w:val="009D2F96"/>
    <w:rsid w:val="009D3074"/>
    <w:rsid w:val="009D4574"/>
    <w:rsid w:val="009D6410"/>
    <w:rsid w:val="009D64BE"/>
    <w:rsid w:val="009D6658"/>
    <w:rsid w:val="009D7E0F"/>
    <w:rsid w:val="009D7F93"/>
    <w:rsid w:val="009E2720"/>
    <w:rsid w:val="009E2CD4"/>
    <w:rsid w:val="009E3015"/>
    <w:rsid w:val="009E313C"/>
    <w:rsid w:val="009E378C"/>
    <w:rsid w:val="009E3B63"/>
    <w:rsid w:val="009E40BE"/>
    <w:rsid w:val="009E7957"/>
    <w:rsid w:val="009E7E5D"/>
    <w:rsid w:val="009F04B5"/>
    <w:rsid w:val="009F0501"/>
    <w:rsid w:val="009F099E"/>
    <w:rsid w:val="009F16EF"/>
    <w:rsid w:val="009F1800"/>
    <w:rsid w:val="009F1E13"/>
    <w:rsid w:val="009F26A5"/>
    <w:rsid w:val="009F286C"/>
    <w:rsid w:val="009F2EC5"/>
    <w:rsid w:val="009F4552"/>
    <w:rsid w:val="009F4A00"/>
    <w:rsid w:val="009F4D00"/>
    <w:rsid w:val="009F4F40"/>
    <w:rsid w:val="009F6667"/>
    <w:rsid w:val="009F68FB"/>
    <w:rsid w:val="00A003DE"/>
    <w:rsid w:val="00A01525"/>
    <w:rsid w:val="00A01ACB"/>
    <w:rsid w:val="00A01C51"/>
    <w:rsid w:val="00A022EE"/>
    <w:rsid w:val="00A023EC"/>
    <w:rsid w:val="00A024DB"/>
    <w:rsid w:val="00A027B9"/>
    <w:rsid w:val="00A02D1B"/>
    <w:rsid w:val="00A02F8C"/>
    <w:rsid w:val="00A057EF"/>
    <w:rsid w:val="00A07CBF"/>
    <w:rsid w:val="00A10500"/>
    <w:rsid w:val="00A11543"/>
    <w:rsid w:val="00A11737"/>
    <w:rsid w:val="00A12EBD"/>
    <w:rsid w:val="00A1480F"/>
    <w:rsid w:val="00A14B7A"/>
    <w:rsid w:val="00A150CB"/>
    <w:rsid w:val="00A15632"/>
    <w:rsid w:val="00A15678"/>
    <w:rsid w:val="00A20289"/>
    <w:rsid w:val="00A22482"/>
    <w:rsid w:val="00A2389B"/>
    <w:rsid w:val="00A23C14"/>
    <w:rsid w:val="00A2409C"/>
    <w:rsid w:val="00A24118"/>
    <w:rsid w:val="00A24EE7"/>
    <w:rsid w:val="00A251D2"/>
    <w:rsid w:val="00A25354"/>
    <w:rsid w:val="00A264D4"/>
    <w:rsid w:val="00A27BD7"/>
    <w:rsid w:val="00A30DED"/>
    <w:rsid w:val="00A31D9D"/>
    <w:rsid w:val="00A32FA7"/>
    <w:rsid w:val="00A347E6"/>
    <w:rsid w:val="00A34DE2"/>
    <w:rsid w:val="00A35187"/>
    <w:rsid w:val="00A36309"/>
    <w:rsid w:val="00A36D51"/>
    <w:rsid w:val="00A40328"/>
    <w:rsid w:val="00A41070"/>
    <w:rsid w:val="00A4233F"/>
    <w:rsid w:val="00A42BD8"/>
    <w:rsid w:val="00A42BF7"/>
    <w:rsid w:val="00A4325B"/>
    <w:rsid w:val="00A44A89"/>
    <w:rsid w:val="00A4525B"/>
    <w:rsid w:val="00A45333"/>
    <w:rsid w:val="00A45CC6"/>
    <w:rsid w:val="00A47575"/>
    <w:rsid w:val="00A47837"/>
    <w:rsid w:val="00A47EC9"/>
    <w:rsid w:val="00A47F90"/>
    <w:rsid w:val="00A50906"/>
    <w:rsid w:val="00A50E22"/>
    <w:rsid w:val="00A517CC"/>
    <w:rsid w:val="00A519AA"/>
    <w:rsid w:val="00A51D0A"/>
    <w:rsid w:val="00A52A8B"/>
    <w:rsid w:val="00A530CE"/>
    <w:rsid w:val="00A55069"/>
    <w:rsid w:val="00A568BF"/>
    <w:rsid w:val="00A56BDF"/>
    <w:rsid w:val="00A573BE"/>
    <w:rsid w:val="00A57D9C"/>
    <w:rsid w:val="00A6088F"/>
    <w:rsid w:val="00A6137F"/>
    <w:rsid w:val="00A615E8"/>
    <w:rsid w:val="00A6201B"/>
    <w:rsid w:val="00A62B35"/>
    <w:rsid w:val="00A63860"/>
    <w:rsid w:val="00A63E04"/>
    <w:rsid w:val="00A65884"/>
    <w:rsid w:val="00A665A4"/>
    <w:rsid w:val="00A66A7E"/>
    <w:rsid w:val="00A67620"/>
    <w:rsid w:val="00A7058C"/>
    <w:rsid w:val="00A7141B"/>
    <w:rsid w:val="00A72670"/>
    <w:rsid w:val="00A737F6"/>
    <w:rsid w:val="00A73D64"/>
    <w:rsid w:val="00A73DAB"/>
    <w:rsid w:val="00A75898"/>
    <w:rsid w:val="00A758CF"/>
    <w:rsid w:val="00A7726E"/>
    <w:rsid w:val="00A774CA"/>
    <w:rsid w:val="00A80229"/>
    <w:rsid w:val="00A80C57"/>
    <w:rsid w:val="00A80F88"/>
    <w:rsid w:val="00A81554"/>
    <w:rsid w:val="00A82EEE"/>
    <w:rsid w:val="00A84277"/>
    <w:rsid w:val="00A86E6F"/>
    <w:rsid w:val="00A87B17"/>
    <w:rsid w:val="00A9058C"/>
    <w:rsid w:val="00A913B4"/>
    <w:rsid w:val="00A913C9"/>
    <w:rsid w:val="00A91D18"/>
    <w:rsid w:val="00A923BB"/>
    <w:rsid w:val="00A92A4F"/>
    <w:rsid w:val="00A933B4"/>
    <w:rsid w:val="00A93C20"/>
    <w:rsid w:val="00A94946"/>
    <w:rsid w:val="00A9524F"/>
    <w:rsid w:val="00A97477"/>
    <w:rsid w:val="00AA0154"/>
    <w:rsid w:val="00AA0198"/>
    <w:rsid w:val="00AA2710"/>
    <w:rsid w:val="00AA433C"/>
    <w:rsid w:val="00AA4B85"/>
    <w:rsid w:val="00AA5076"/>
    <w:rsid w:val="00AA559F"/>
    <w:rsid w:val="00AA5F68"/>
    <w:rsid w:val="00AA648A"/>
    <w:rsid w:val="00AA6A82"/>
    <w:rsid w:val="00AA714C"/>
    <w:rsid w:val="00AA73D4"/>
    <w:rsid w:val="00AA7F3E"/>
    <w:rsid w:val="00AB06E9"/>
    <w:rsid w:val="00AB0737"/>
    <w:rsid w:val="00AB0A6F"/>
    <w:rsid w:val="00AB11E1"/>
    <w:rsid w:val="00AB1C93"/>
    <w:rsid w:val="00AB1F4C"/>
    <w:rsid w:val="00AB1FAD"/>
    <w:rsid w:val="00AB2655"/>
    <w:rsid w:val="00AB5A08"/>
    <w:rsid w:val="00AB5E7A"/>
    <w:rsid w:val="00AB6F0D"/>
    <w:rsid w:val="00AC103F"/>
    <w:rsid w:val="00AC2401"/>
    <w:rsid w:val="00AC2B62"/>
    <w:rsid w:val="00AC3D5D"/>
    <w:rsid w:val="00AC40B4"/>
    <w:rsid w:val="00AC4675"/>
    <w:rsid w:val="00AC4FE9"/>
    <w:rsid w:val="00AC51BF"/>
    <w:rsid w:val="00AC5208"/>
    <w:rsid w:val="00AC57AA"/>
    <w:rsid w:val="00AC6A57"/>
    <w:rsid w:val="00AC7085"/>
    <w:rsid w:val="00AC7A81"/>
    <w:rsid w:val="00AC7E7D"/>
    <w:rsid w:val="00AD0496"/>
    <w:rsid w:val="00AD04DE"/>
    <w:rsid w:val="00AD0510"/>
    <w:rsid w:val="00AD0C28"/>
    <w:rsid w:val="00AD0CA6"/>
    <w:rsid w:val="00AD0D05"/>
    <w:rsid w:val="00AD141A"/>
    <w:rsid w:val="00AD1595"/>
    <w:rsid w:val="00AD2092"/>
    <w:rsid w:val="00AD20F1"/>
    <w:rsid w:val="00AD231D"/>
    <w:rsid w:val="00AD247C"/>
    <w:rsid w:val="00AD2C5D"/>
    <w:rsid w:val="00AD4063"/>
    <w:rsid w:val="00AD423E"/>
    <w:rsid w:val="00AD4912"/>
    <w:rsid w:val="00AD4CAC"/>
    <w:rsid w:val="00AD5212"/>
    <w:rsid w:val="00AD5BEF"/>
    <w:rsid w:val="00AD60A3"/>
    <w:rsid w:val="00AD6EEA"/>
    <w:rsid w:val="00AD70E3"/>
    <w:rsid w:val="00AD7B39"/>
    <w:rsid w:val="00AE05F5"/>
    <w:rsid w:val="00AE0774"/>
    <w:rsid w:val="00AE1A01"/>
    <w:rsid w:val="00AE207E"/>
    <w:rsid w:val="00AE2868"/>
    <w:rsid w:val="00AE345F"/>
    <w:rsid w:val="00AE3600"/>
    <w:rsid w:val="00AE373A"/>
    <w:rsid w:val="00AE3CBB"/>
    <w:rsid w:val="00AE3D8F"/>
    <w:rsid w:val="00AE468E"/>
    <w:rsid w:val="00AE78EE"/>
    <w:rsid w:val="00AF08AD"/>
    <w:rsid w:val="00AF1D33"/>
    <w:rsid w:val="00AF1F05"/>
    <w:rsid w:val="00AF24E8"/>
    <w:rsid w:val="00AF3467"/>
    <w:rsid w:val="00AF39D4"/>
    <w:rsid w:val="00AF48BA"/>
    <w:rsid w:val="00AF4958"/>
    <w:rsid w:val="00AF4D65"/>
    <w:rsid w:val="00AF6093"/>
    <w:rsid w:val="00AF76F0"/>
    <w:rsid w:val="00B027E3"/>
    <w:rsid w:val="00B034EA"/>
    <w:rsid w:val="00B03F02"/>
    <w:rsid w:val="00B04076"/>
    <w:rsid w:val="00B040ED"/>
    <w:rsid w:val="00B045EB"/>
    <w:rsid w:val="00B0579A"/>
    <w:rsid w:val="00B069EA"/>
    <w:rsid w:val="00B06E7F"/>
    <w:rsid w:val="00B10BAD"/>
    <w:rsid w:val="00B11050"/>
    <w:rsid w:val="00B123B8"/>
    <w:rsid w:val="00B12BA4"/>
    <w:rsid w:val="00B140AB"/>
    <w:rsid w:val="00B1619A"/>
    <w:rsid w:val="00B1657F"/>
    <w:rsid w:val="00B177B9"/>
    <w:rsid w:val="00B17FA1"/>
    <w:rsid w:val="00B21754"/>
    <w:rsid w:val="00B21C5E"/>
    <w:rsid w:val="00B22BA2"/>
    <w:rsid w:val="00B22D9D"/>
    <w:rsid w:val="00B23672"/>
    <w:rsid w:val="00B238B4"/>
    <w:rsid w:val="00B23E54"/>
    <w:rsid w:val="00B24399"/>
    <w:rsid w:val="00B249DA"/>
    <w:rsid w:val="00B26281"/>
    <w:rsid w:val="00B26D5C"/>
    <w:rsid w:val="00B32018"/>
    <w:rsid w:val="00B33805"/>
    <w:rsid w:val="00B339D7"/>
    <w:rsid w:val="00B34FA3"/>
    <w:rsid w:val="00B34FD3"/>
    <w:rsid w:val="00B356A9"/>
    <w:rsid w:val="00B35D80"/>
    <w:rsid w:val="00B36B4F"/>
    <w:rsid w:val="00B36BE6"/>
    <w:rsid w:val="00B37E6E"/>
    <w:rsid w:val="00B40B71"/>
    <w:rsid w:val="00B44456"/>
    <w:rsid w:val="00B45054"/>
    <w:rsid w:val="00B451AF"/>
    <w:rsid w:val="00B458C3"/>
    <w:rsid w:val="00B46907"/>
    <w:rsid w:val="00B46B23"/>
    <w:rsid w:val="00B46E27"/>
    <w:rsid w:val="00B47ED8"/>
    <w:rsid w:val="00B51BF1"/>
    <w:rsid w:val="00B52BDD"/>
    <w:rsid w:val="00B53226"/>
    <w:rsid w:val="00B5379E"/>
    <w:rsid w:val="00B53F26"/>
    <w:rsid w:val="00B54971"/>
    <w:rsid w:val="00B55425"/>
    <w:rsid w:val="00B55CE9"/>
    <w:rsid w:val="00B5645B"/>
    <w:rsid w:val="00B567B1"/>
    <w:rsid w:val="00B57413"/>
    <w:rsid w:val="00B578B3"/>
    <w:rsid w:val="00B6099F"/>
    <w:rsid w:val="00B62CA5"/>
    <w:rsid w:val="00B63031"/>
    <w:rsid w:val="00B63A1C"/>
    <w:rsid w:val="00B63CB3"/>
    <w:rsid w:val="00B647AE"/>
    <w:rsid w:val="00B64B1E"/>
    <w:rsid w:val="00B64BA6"/>
    <w:rsid w:val="00B64E2E"/>
    <w:rsid w:val="00B65646"/>
    <w:rsid w:val="00B668BF"/>
    <w:rsid w:val="00B674AB"/>
    <w:rsid w:val="00B67681"/>
    <w:rsid w:val="00B71500"/>
    <w:rsid w:val="00B7160F"/>
    <w:rsid w:val="00B724D7"/>
    <w:rsid w:val="00B7271B"/>
    <w:rsid w:val="00B72B24"/>
    <w:rsid w:val="00B73E9C"/>
    <w:rsid w:val="00B7418C"/>
    <w:rsid w:val="00B741BA"/>
    <w:rsid w:val="00B74766"/>
    <w:rsid w:val="00B7492C"/>
    <w:rsid w:val="00B74D5A"/>
    <w:rsid w:val="00B75D8A"/>
    <w:rsid w:val="00B76564"/>
    <w:rsid w:val="00B76758"/>
    <w:rsid w:val="00B775B8"/>
    <w:rsid w:val="00B80222"/>
    <w:rsid w:val="00B80FD4"/>
    <w:rsid w:val="00B8154C"/>
    <w:rsid w:val="00B83117"/>
    <w:rsid w:val="00B843CC"/>
    <w:rsid w:val="00B85448"/>
    <w:rsid w:val="00B87858"/>
    <w:rsid w:val="00B87CFF"/>
    <w:rsid w:val="00B909B5"/>
    <w:rsid w:val="00B912BA"/>
    <w:rsid w:val="00B916AD"/>
    <w:rsid w:val="00B91952"/>
    <w:rsid w:val="00B925F4"/>
    <w:rsid w:val="00B93A31"/>
    <w:rsid w:val="00B94C80"/>
    <w:rsid w:val="00B9505E"/>
    <w:rsid w:val="00B96D5D"/>
    <w:rsid w:val="00BA04E1"/>
    <w:rsid w:val="00BA0638"/>
    <w:rsid w:val="00BA0CD6"/>
    <w:rsid w:val="00BA22F7"/>
    <w:rsid w:val="00BA2696"/>
    <w:rsid w:val="00BA2737"/>
    <w:rsid w:val="00BA2DC2"/>
    <w:rsid w:val="00BA3B54"/>
    <w:rsid w:val="00BA3EB5"/>
    <w:rsid w:val="00BA3FA9"/>
    <w:rsid w:val="00BA4C7A"/>
    <w:rsid w:val="00BA5F70"/>
    <w:rsid w:val="00BA6820"/>
    <w:rsid w:val="00BA68D5"/>
    <w:rsid w:val="00BA6A75"/>
    <w:rsid w:val="00BA719E"/>
    <w:rsid w:val="00BA7C58"/>
    <w:rsid w:val="00BB1B26"/>
    <w:rsid w:val="00BB1D6C"/>
    <w:rsid w:val="00BB2C57"/>
    <w:rsid w:val="00BB2DAC"/>
    <w:rsid w:val="00BB32AB"/>
    <w:rsid w:val="00BB38BF"/>
    <w:rsid w:val="00BB4366"/>
    <w:rsid w:val="00BB43B0"/>
    <w:rsid w:val="00BB4787"/>
    <w:rsid w:val="00BB7820"/>
    <w:rsid w:val="00BC096D"/>
    <w:rsid w:val="00BC0AA0"/>
    <w:rsid w:val="00BC0B1E"/>
    <w:rsid w:val="00BC1577"/>
    <w:rsid w:val="00BC164A"/>
    <w:rsid w:val="00BC1D69"/>
    <w:rsid w:val="00BC28E4"/>
    <w:rsid w:val="00BC29A8"/>
    <w:rsid w:val="00BC2C6C"/>
    <w:rsid w:val="00BC39E6"/>
    <w:rsid w:val="00BC3D4F"/>
    <w:rsid w:val="00BC4C7B"/>
    <w:rsid w:val="00BC5176"/>
    <w:rsid w:val="00BC5BA4"/>
    <w:rsid w:val="00BC6B60"/>
    <w:rsid w:val="00BD0E64"/>
    <w:rsid w:val="00BD11C7"/>
    <w:rsid w:val="00BD125D"/>
    <w:rsid w:val="00BD139F"/>
    <w:rsid w:val="00BD1758"/>
    <w:rsid w:val="00BD2310"/>
    <w:rsid w:val="00BD2C27"/>
    <w:rsid w:val="00BD40E7"/>
    <w:rsid w:val="00BD4469"/>
    <w:rsid w:val="00BD44AF"/>
    <w:rsid w:val="00BD5324"/>
    <w:rsid w:val="00BD5432"/>
    <w:rsid w:val="00BD572B"/>
    <w:rsid w:val="00BD5BA4"/>
    <w:rsid w:val="00BD5C20"/>
    <w:rsid w:val="00BD65D3"/>
    <w:rsid w:val="00BD72A6"/>
    <w:rsid w:val="00BE0531"/>
    <w:rsid w:val="00BE149F"/>
    <w:rsid w:val="00BE1C3A"/>
    <w:rsid w:val="00BE25A2"/>
    <w:rsid w:val="00BE3317"/>
    <w:rsid w:val="00BE3BC5"/>
    <w:rsid w:val="00BE3E09"/>
    <w:rsid w:val="00BE4C3C"/>
    <w:rsid w:val="00BE63EF"/>
    <w:rsid w:val="00BE6849"/>
    <w:rsid w:val="00BE6E2B"/>
    <w:rsid w:val="00BE73A9"/>
    <w:rsid w:val="00BE7B9A"/>
    <w:rsid w:val="00BF02F4"/>
    <w:rsid w:val="00BF1435"/>
    <w:rsid w:val="00BF3100"/>
    <w:rsid w:val="00BF4133"/>
    <w:rsid w:val="00BF4982"/>
    <w:rsid w:val="00BF4D3C"/>
    <w:rsid w:val="00BF4DB8"/>
    <w:rsid w:val="00BF5F6A"/>
    <w:rsid w:val="00C00CC1"/>
    <w:rsid w:val="00C01CB2"/>
    <w:rsid w:val="00C02DDD"/>
    <w:rsid w:val="00C0428D"/>
    <w:rsid w:val="00C045E0"/>
    <w:rsid w:val="00C04C02"/>
    <w:rsid w:val="00C04C35"/>
    <w:rsid w:val="00C05167"/>
    <w:rsid w:val="00C0735E"/>
    <w:rsid w:val="00C079E1"/>
    <w:rsid w:val="00C07BA9"/>
    <w:rsid w:val="00C10373"/>
    <w:rsid w:val="00C10E3C"/>
    <w:rsid w:val="00C1370C"/>
    <w:rsid w:val="00C1441B"/>
    <w:rsid w:val="00C1680C"/>
    <w:rsid w:val="00C17553"/>
    <w:rsid w:val="00C2090E"/>
    <w:rsid w:val="00C22C94"/>
    <w:rsid w:val="00C24D71"/>
    <w:rsid w:val="00C25F4A"/>
    <w:rsid w:val="00C27D1E"/>
    <w:rsid w:val="00C328F2"/>
    <w:rsid w:val="00C33C9C"/>
    <w:rsid w:val="00C34044"/>
    <w:rsid w:val="00C340D5"/>
    <w:rsid w:val="00C34263"/>
    <w:rsid w:val="00C343D0"/>
    <w:rsid w:val="00C359B2"/>
    <w:rsid w:val="00C37289"/>
    <w:rsid w:val="00C400F9"/>
    <w:rsid w:val="00C40AE7"/>
    <w:rsid w:val="00C410B1"/>
    <w:rsid w:val="00C41CCC"/>
    <w:rsid w:val="00C433DF"/>
    <w:rsid w:val="00C437A6"/>
    <w:rsid w:val="00C45690"/>
    <w:rsid w:val="00C47ED6"/>
    <w:rsid w:val="00C50237"/>
    <w:rsid w:val="00C502D7"/>
    <w:rsid w:val="00C50908"/>
    <w:rsid w:val="00C50EC0"/>
    <w:rsid w:val="00C5150A"/>
    <w:rsid w:val="00C527AD"/>
    <w:rsid w:val="00C53279"/>
    <w:rsid w:val="00C535F4"/>
    <w:rsid w:val="00C53841"/>
    <w:rsid w:val="00C53854"/>
    <w:rsid w:val="00C53B54"/>
    <w:rsid w:val="00C55FDA"/>
    <w:rsid w:val="00C55FFC"/>
    <w:rsid w:val="00C56023"/>
    <w:rsid w:val="00C56067"/>
    <w:rsid w:val="00C57F3E"/>
    <w:rsid w:val="00C6133B"/>
    <w:rsid w:val="00C61442"/>
    <w:rsid w:val="00C61964"/>
    <w:rsid w:val="00C61BF9"/>
    <w:rsid w:val="00C625FC"/>
    <w:rsid w:val="00C6441C"/>
    <w:rsid w:val="00C64705"/>
    <w:rsid w:val="00C65C95"/>
    <w:rsid w:val="00C66381"/>
    <w:rsid w:val="00C672AD"/>
    <w:rsid w:val="00C71031"/>
    <w:rsid w:val="00C7153F"/>
    <w:rsid w:val="00C71F00"/>
    <w:rsid w:val="00C72085"/>
    <w:rsid w:val="00C726C3"/>
    <w:rsid w:val="00C727F6"/>
    <w:rsid w:val="00C72A39"/>
    <w:rsid w:val="00C72A6F"/>
    <w:rsid w:val="00C72F97"/>
    <w:rsid w:val="00C7348B"/>
    <w:rsid w:val="00C742E5"/>
    <w:rsid w:val="00C76234"/>
    <w:rsid w:val="00C76A6E"/>
    <w:rsid w:val="00C76AD8"/>
    <w:rsid w:val="00C76C2F"/>
    <w:rsid w:val="00C7738E"/>
    <w:rsid w:val="00C77A63"/>
    <w:rsid w:val="00C8109B"/>
    <w:rsid w:val="00C81609"/>
    <w:rsid w:val="00C83782"/>
    <w:rsid w:val="00C85649"/>
    <w:rsid w:val="00C85F8F"/>
    <w:rsid w:val="00C90D3D"/>
    <w:rsid w:val="00C928B3"/>
    <w:rsid w:val="00C9394A"/>
    <w:rsid w:val="00C93BA5"/>
    <w:rsid w:val="00C93DB2"/>
    <w:rsid w:val="00C951A6"/>
    <w:rsid w:val="00C95506"/>
    <w:rsid w:val="00C95F27"/>
    <w:rsid w:val="00C96CB8"/>
    <w:rsid w:val="00C97450"/>
    <w:rsid w:val="00C976EC"/>
    <w:rsid w:val="00C97AD3"/>
    <w:rsid w:val="00C97C6F"/>
    <w:rsid w:val="00C97F1E"/>
    <w:rsid w:val="00CA09DE"/>
    <w:rsid w:val="00CA1ADB"/>
    <w:rsid w:val="00CA2028"/>
    <w:rsid w:val="00CA4C8B"/>
    <w:rsid w:val="00CA5C6B"/>
    <w:rsid w:val="00CA7019"/>
    <w:rsid w:val="00CA7B8A"/>
    <w:rsid w:val="00CB1C22"/>
    <w:rsid w:val="00CB4351"/>
    <w:rsid w:val="00CB47BD"/>
    <w:rsid w:val="00CB4D55"/>
    <w:rsid w:val="00CB50A7"/>
    <w:rsid w:val="00CC05CA"/>
    <w:rsid w:val="00CC1B10"/>
    <w:rsid w:val="00CC1FEB"/>
    <w:rsid w:val="00CC230A"/>
    <w:rsid w:val="00CC50D4"/>
    <w:rsid w:val="00CC5DB2"/>
    <w:rsid w:val="00CC6A8B"/>
    <w:rsid w:val="00CC6AC5"/>
    <w:rsid w:val="00CC7A13"/>
    <w:rsid w:val="00CC7DD8"/>
    <w:rsid w:val="00CD1976"/>
    <w:rsid w:val="00CD29B3"/>
    <w:rsid w:val="00CD2FE8"/>
    <w:rsid w:val="00CD4A80"/>
    <w:rsid w:val="00CD5390"/>
    <w:rsid w:val="00CD590D"/>
    <w:rsid w:val="00CD5BB8"/>
    <w:rsid w:val="00CD5F35"/>
    <w:rsid w:val="00CD769D"/>
    <w:rsid w:val="00CE0366"/>
    <w:rsid w:val="00CE09C6"/>
    <w:rsid w:val="00CE12F4"/>
    <w:rsid w:val="00CE15F9"/>
    <w:rsid w:val="00CE1957"/>
    <w:rsid w:val="00CE1EA7"/>
    <w:rsid w:val="00CE3252"/>
    <w:rsid w:val="00CE353F"/>
    <w:rsid w:val="00CE4077"/>
    <w:rsid w:val="00CE4A75"/>
    <w:rsid w:val="00CE69DD"/>
    <w:rsid w:val="00CE6CAB"/>
    <w:rsid w:val="00CE6F6D"/>
    <w:rsid w:val="00CE768B"/>
    <w:rsid w:val="00CE7FE0"/>
    <w:rsid w:val="00CF0EFB"/>
    <w:rsid w:val="00CF10EF"/>
    <w:rsid w:val="00CF13A3"/>
    <w:rsid w:val="00CF1CC8"/>
    <w:rsid w:val="00CF1D5F"/>
    <w:rsid w:val="00CF2315"/>
    <w:rsid w:val="00CF31D5"/>
    <w:rsid w:val="00CF327A"/>
    <w:rsid w:val="00CF3313"/>
    <w:rsid w:val="00CF3DCB"/>
    <w:rsid w:val="00CF3E89"/>
    <w:rsid w:val="00CF563C"/>
    <w:rsid w:val="00CF58EA"/>
    <w:rsid w:val="00CF5A72"/>
    <w:rsid w:val="00CF649E"/>
    <w:rsid w:val="00CF6545"/>
    <w:rsid w:val="00CF74F5"/>
    <w:rsid w:val="00CF7605"/>
    <w:rsid w:val="00D00B16"/>
    <w:rsid w:val="00D02CB1"/>
    <w:rsid w:val="00D04BB4"/>
    <w:rsid w:val="00D04CB2"/>
    <w:rsid w:val="00D06FAF"/>
    <w:rsid w:val="00D103A2"/>
    <w:rsid w:val="00D10826"/>
    <w:rsid w:val="00D120EB"/>
    <w:rsid w:val="00D12695"/>
    <w:rsid w:val="00D131A4"/>
    <w:rsid w:val="00D139C6"/>
    <w:rsid w:val="00D15A75"/>
    <w:rsid w:val="00D1718E"/>
    <w:rsid w:val="00D17213"/>
    <w:rsid w:val="00D1752C"/>
    <w:rsid w:val="00D17CFF"/>
    <w:rsid w:val="00D20ACD"/>
    <w:rsid w:val="00D211AC"/>
    <w:rsid w:val="00D2313A"/>
    <w:rsid w:val="00D23499"/>
    <w:rsid w:val="00D237FF"/>
    <w:rsid w:val="00D2399A"/>
    <w:rsid w:val="00D23DA1"/>
    <w:rsid w:val="00D23E39"/>
    <w:rsid w:val="00D23E3B"/>
    <w:rsid w:val="00D25884"/>
    <w:rsid w:val="00D25A04"/>
    <w:rsid w:val="00D25A8F"/>
    <w:rsid w:val="00D2767A"/>
    <w:rsid w:val="00D308ED"/>
    <w:rsid w:val="00D30D47"/>
    <w:rsid w:val="00D3161B"/>
    <w:rsid w:val="00D31CE4"/>
    <w:rsid w:val="00D3255A"/>
    <w:rsid w:val="00D32B5C"/>
    <w:rsid w:val="00D3483E"/>
    <w:rsid w:val="00D354FE"/>
    <w:rsid w:val="00D35BDB"/>
    <w:rsid w:val="00D37817"/>
    <w:rsid w:val="00D41B33"/>
    <w:rsid w:val="00D429D7"/>
    <w:rsid w:val="00D42A25"/>
    <w:rsid w:val="00D42D48"/>
    <w:rsid w:val="00D42E0B"/>
    <w:rsid w:val="00D4325B"/>
    <w:rsid w:val="00D44332"/>
    <w:rsid w:val="00D4493C"/>
    <w:rsid w:val="00D44964"/>
    <w:rsid w:val="00D44B7E"/>
    <w:rsid w:val="00D45C00"/>
    <w:rsid w:val="00D45D47"/>
    <w:rsid w:val="00D4608C"/>
    <w:rsid w:val="00D46303"/>
    <w:rsid w:val="00D46833"/>
    <w:rsid w:val="00D46BC3"/>
    <w:rsid w:val="00D46CFC"/>
    <w:rsid w:val="00D474BB"/>
    <w:rsid w:val="00D474C8"/>
    <w:rsid w:val="00D479A0"/>
    <w:rsid w:val="00D5070C"/>
    <w:rsid w:val="00D51111"/>
    <w:rsid w:val="00D511D0"/>
    <w:rsid w:val="00D51D1C"/>
    <w:rsid w:val="00D51E18"/>
    <w:rsid w:val="00D52092"/>
    <w:rsid w:val="00D5289D"/>
    <w:rsid w:val="00D54F75"/>
    <w:rsid w:val="00D5576D"/>
    <w:rsid w:val="00D56114"/>
    <w:rsid w:val="00D572AE"/>
    <w:rsid w:val="00D57A7A"/>
    <w:rsid w:val="00D60983"/>
    <w:rsid w:val="00D63F04"/>
    <w:rsid w:val="00D64A79"/>
    <w:rsid w:val="00D65128"/>
    <w:rsid w:val="00D657B6"/>
    <w:rsid w:val="00D65E53"/>
    <w:rsid w:val="00D66441"/>
    <w:rsid w:val="00D66AC7"/>
    <w:rsid w:val="00D67D7C"/>
    <w:rsid w:val="00D70361"/>
    <w:rsid w:val="00D705E6"/>
    <w:rsid w:val="00D709DE"/>
    <w:rsid w:val="00D70B14"/>
    <w:rsid w:val="00D71BE1"/>
    <w:rsid w:val="00D72FEC"/>
    <w:rsid w:val="00D7335F"/>
    <w:rsid w:val="00D82321"/>
    <w:rsid w:val="00D83AC3"/>
    <w:rsid w:val="00D84D72"/>
    <w:rsid w:val="00D851EB"/>
    <w:rsid w:val="00D86277"/>
    <w:rsid w:val="00D86D42"/>
    <w:rsid w:val="00D86D6C"/>
    <w:rsid w:val="00D8724F"/>
    <w:rsid w:val="00D87ADE"/>
    <w:rsid w:val="00D87EBC"/>
    <w:rsid w:val="00D90B43"/>
    <w:rsid w:val="00D90CE6"/>
    <w:rsid w:val="00D90F4D"/>
    <w:rsid w:val="00D940BE"/>
    <w:rsid w:val="00D9438D"/>
    <w:rsid w:val="00D968D2"/>
    <w:rsid w:val="00D96FE1"/>
    <w:rsid w:val="00D97C84"/>
    <w:rsid w:val="00D97FF5"/>
    <w:rsid w:val="00DA0444"/>
    <w:rsid w:val="00DA053F"/>
    <w:rsid w:val="00DA0CD5"/>
    <w:rsid w:val="00DA17EA"/>
    <w:rsid w:val="00DA21FF"/>
    <w:rsid w:val="00DA2817"/>
    <w:rsid w:val="00DA48A0"/>
    <w:rsid w:val="00DA4A8C"/>
    <w:rsid w:val="00DA5271"/>
    <w:rsid w:val="00DA7866"/>
    <w:rsid w:val="00DA79C4"/>
    <w:rsid w:val="00DB034A"/>
    <w:rsid w:val="00DB0E06"/>
    <w:rsid w:val="00DB0F7A"/>
    <w:rsid w:val="00DB1143"/>
    <w:rsid w:val="00DB160C"/>
    <w:rsid w:val="00DB54A2"/>
    <w:rsid w:val="00DB6248"/>
    <w:rsid w:val="00DB63E9"/>
    <w:rsid w:val="00DC1E2A"/>
    <w:rsid w:val="00DC1F7C"/>
    <w:rsid w:val="00DC21EB"/>
    <w:rsid w:val="00DC3878"/>
    <w:rsid w:val="00DC390C"/>
    <w:rsid w:val="00DC41FC"/>
    <w:rsid w:val="00DC4D03"/>
    <w:rsid w:val="00DC540F"/>
    <w:rsid w:val="00DC5640"/>
    <w:rsid w:val="00DC5BA4"/>
    <w:rsid w:val="00DC71E9"/>
    <w:rsid w:val="00DD0588"/>
    <w:rsid w:val="00DD144F"/>
    <w:rsid w:val="00DD16B6"/>
    <w:rsid w:val="00DD2A5B"/>
    <w:rsid w:val="00DD34D2"/>
    <w:rsid w:val="00DD379A"/>
    <w:rsid w:val="00DD3E7A"/>
    <w:rsid w:val="00DD66BE"/>
    <w:rsid w:val="00DD7B63"/>
    <w:rsid w:val="00DE0A06"/>
    <w:rsid w:val="00DE0C40"/>
    <w:rsid w:val="00DE32F6"/>
    <w:rsid w:val="00DE3D8C"/>
    <w:rsid w:val="00DE452B"/>
    <w:rsid w:val="00DE4875"/>
    <w:rsid w:val="00DE5225"/>
    <w:rsid w:val="00DE529E"/>
    <w:rsid w:val="00DE5E71"/>
    <w:rsid w:val="00DF003C"/>
    <w:rsid w:val="00DF01B9"/>
    <w:rsid w:val="00DF253D"/>
    <w:rsid w:val="00DF34D5"/>
    <w:rsid w:val="00DF5B17"/>
    <w:rsid w:val="00DF5F25"/>
    <w:rsid w:val="00DF7119"/>
    <w:rsid w:val="00E00187"/>
    <w:rsid w:val="00E0026C"/>
    <w:rsid w:val="00E008AF"/>
    <w:rsid w:val="00E00C6F"/>
    <w:rsid w:val="00E00D3F"/>
    <w:rsid w:val="00E00F45"/>
    <w:rsid w:val="00E01737"/>
    <w:rsid w:val="00E02641"/>
    <w:rsid w:val="00E027B7"/>
    <w:rsid w:val="00E0438B"/>
    <w:rsid w:val="00E047BA"/>
    <w:rsid w:val="00E048E0"/>
    <w:rsid w:val="00E0506F"/>
    <w:rsid w:val="00E06EF4"/>
    <w:rsid w:val="00E078E9"/>
    <w:rsid w:val="00E108F3"/>
    <w:rsid w:val="00E12EFB"/>
    <w:rsid w:val="00E13913"/>
    <w:rsid w:val="00E14E44"/>
    <w:rsid w:val="00E164E2"/>
    <w:rsid w:val="00E16A7C"/>
    <w:rsid w:val="00E1769A"/>
    <w:rsid w:val="00E17906"/>
    <w:rsid w:val="00E20981"/>
    <w:rsid w:val="00E20E51"/>
    <w:rsid w:val="00E20FB6"/>
    <w:rsid w:val="00E21323"/>
    <w:rsid w:val="00E2193E"/>
    <w:rsid w:val="00E22B04"/>
    <w:rsid w:val="00E23085"/>
    <w:rsid w:val="00E24699"/>
    <w:rsid w:val="00E248E1"/>
    <w:rsid w:val="00E257BD"/>
    <w:rsid w:val="00E2739E"/>
    <w:rsid w:val="00E277BC"/>
    <w:rsid w:val="00E27F1A"/>
    <w:rsid w:val="00E33875"/>
    <w:rsid w:val="00E354E6"/>
    <w:rsid w:val="00E36F8A"/>
    <w:rsid w:val="00E372F2"/>
    <w:rsid w:val="00E3736B"/>
    <w:rsid w:val="00E37832"/>
    <w:rsid w:val="00E37B88"/>
    <w:rsid w:val="00E40EF1"/>
    <w:rsid w:val="00E410AA"/>
    <w:rsid w:val="00E410C2"/>
    <w:rsid w:val="00E41E21"/>
    <w:rsid w:val="00E4315E"/>
    <w:rsid w:val="00E4444A"/>
    <w:rsid w:val="00E44A05"/>
    <w:rsid w:val="00E44CFC"/>
    <w:rsid w:val="00E44FFF"/>
    <w:rsid w:val="00E451F3"/>
    <w:rsid w:val="00E46DF0"/>
    <w:rsid w:val="00E52260"/>
    <w:rsid w:val="00E5230E"/>
    <w:rsid w:val="00E52A82"/>
    <w:rsid w:val="00E55D8E"/>
    <w:rsid w:val="00E56164"/>
    <w:rsid w:val="00E5670E"/>
    <w:rsid w:val="00E569AB"/>
    <w:rsid w:val="00E56ECB"/>
    <w:rsid w:val="00E578A9"/>
    <w:rsid w:val="00E605A1"/>
    <w:rsid w:val="00E609B5"/>
    <w:rsid w:val="00E60EB5"/>
    <w:rsid w:val="00E6253C"/>
    <w:rsid w:val="00E62D03"/>
    <w:rsid w:val="00E6327E"/>
    <w:rsid w:val="00E63CD4"/>
    <w:rsid w:val="00E667F1"/>
    <w:rsid w:val="00E66897"/>
    <w:rsid w:val="00E66E84"/>
    <w:rsid w:val="00E6768E"/>
    <w:rsid w:val="00E706FE"/>
    <w:rsid w:val="00E71177"/>
    <w:rsid w:val="00E71B22"/>
    <w:rsid w:val="00E71C15"/>
    <w:rsid w:val="00E72C6C"/>
    <w:rsid w:val="00E74F51"/>
    <w:rsid w:val="00E7585C"/>
    <w:rsid w:val="00E76C8F"/>
    <w:rsid w:val="00E81BC8"/>
    <w:rsid w:val="00E8265B"/>
    <w:rsid w:val="00E82C50"/>
    <w:rsid w:val="00E84C67"/>
    <w:rsid w:val="00E85938"/>
    <w:rsid w:val="00E85C5F"/>
    <w:rsid w:val="00E8668E"/>
    <w:rsid w:val="00E866C7"/>
    <w:rsid w:val="00E86D06"/>
    <w:rsid w:val="00E87A7F"/>
    <w:rsid w:val="00E92768"/>
    <w:rsid w:val="00E933FC"/>
    <w:rsid w:val="00E93CD8"/>
    <w:rsid w:val="00E94B80"/>
    <w:rsid w:val="00E95A09"/>
    <w:rsid w:val="00E97E5A"/>
    <w:rsid w:val="00EA22C3"/>
    <w:rsid w:val="00EA3F7D"/>
    <w:rsid w:val="00EA47AE"/>
    <w:rsid w:val="00EA527F"/>
    <w:rsid w:val="00EA6F25"/>
    <w:rsid w:val="00EA7BEF"/>
    <w:rsid w:val="00EB03F6"/>
    <w:rsid w:val="00EB12E2"/>
    <w:rsid w:val="00EB2299"/>
    <w:rsid w:val="00EB2AFB"/>
    <w:rsid w:val="00EB2B87"/>
    <w:rsid w:val="00EB363E"/>
    <w:rsid w:val="00EB3B39"/>
    <w:rsid w:val="00EB3B46"/>
    <w:rsid w:val="00EB41BD"/>
    <w:rsid w:val="00EB4899"/>
    <w:rsid w:val="00EB5989"/>
    <w:rsid w:val="00EB5CCA"/>
    <w:rsid w:val="00EB5F79"/>
    <w:rsid w:val="00EB62CB"/>
    <w:rsid w:val="00EB79C2"/>
    <w:rsid w:val="00EC069D"/>
    <w:rsid w:val="00EC09D8"/>
    <w:rsid w:val="00EC2ACE"/>
    <w:rsid w:val="00EC3B8E"/>
    <w:rsid w:val="00EC3C28"/>
    <w:rsid w:val="00EC4A32"/>
    <w:rsid w:val="00EC5298"/>
    <w:rsid w:val="00EC52CB"/>
    <w:rsid w:val="00EC7528"/>
    <w:rsid w:val="00EC7A72"/>
    <w:rsid w:val="00ED1A2F"/>
    <w:rsid w:val="00ED2320"/>
    <w:rsid w:val="00ED27DB"/>
    <w:rsid w:val="00ED2FF6"/>
    <w:rsid w:val="00ED42C8"/>
    <w:rsid w:val="00ED5773"/>
    <w:rsid w:val="00ED694C"/>
    <w:rsid w:val="00ED6A0C"/>
    <w:rsid w:val="00EE1CA3"/>
    <w:rsid w:val="00EE2D6D"/>
    <w:rsid w:val="00EE3ED2"/>
    <w:rsid w:val="00EE7095"/>
    <w:rsid w:val="00EE7EF2"/>
    <w:rsid w:val="00EF0DB8"/>
    <w:rsid w:val="00EF3371"/>
    <w:rsid w:val="00EF3778"/>
    <w:rsid w:val="00EF3DAD"/>
    <w:rsid w:val="00EF45F3"/>
    <w:rsid w:val="00EF661C"/>
    <w:rsid w:val="00EF6DCF"/>
    <w:rsid w:val="00EF7B97"/>
    <w:rsid w:val="00F001C5"/>
    <w:rsid w:val="00F00BEA"/>
    <w:rsid w:val="00F0118E"/>
    <w:rsid w:val="00F011B2"/>
    <w:rsid w:val="00F018D9"/>
    <w:rsid w:val="00F01991"/>
    <w:rsid w:val="00F01EF9"/>
    <w:rsid w:val="00F021A3"/>
    <w:rsid w:val="00F028F1"/>
    <w:rsid w:val="00F031AA"/>
    <w:rsid w:val="00F06EB5"/>
    <w:rsid w:val="00F11906"/>
    <w:rsid w:val="00F1191A"/>
    <w:rsid w:val="00F12B2B"/>
    <w:rsid w:val="00F14160"/>
    <w:rsid w:val="00F146E1"/>
    <w:rsid w:val="00F14EDB"/>
    <w:rsid w:val="00F15EAA"/>
    <w:rsid w:val="00F16096"/>
    <w:rsid w:val="00F16374"/>
    <w:rsid w:val="00F16D99"/>
    <w:rsid w:val="00F17922"/>
    <w:rsid w:val="00F208C7"/>
    <w:rsid w:val="00F21106"/>
    <w:rsid w:val="00F235FC"/>
    <w:rsid w:val="00F2488D"/>
    <w:rsid w:val="00F24F41"/>
    <w:rsid w:val="00F2534C"/>
    <w:rsid w:val="00F2550C"/>
    <w:rsid w:val="00F30CF1"/>
    <w:rsid w:val="00F30E49"/>
    <w:rsid w:val="00F34625"/>
    <w:rsid w:val="00F34A99"/>
    <w:rsid w:val="00F35345"/>
    <w:rsid w:val="00F35557"/>
    <w:rsid w:val="00F358E4"/>
    <w:rsid w:val="00F36262"/>
    <w:rsid w:val="00F36642"/>
    <w:rsid w:val="00F367B7"/>
    <w:rsid w:val="00F37467"/>
    <w:rsid w:val="00F37AC6"/>
    <w:rsid w:val="00F4128D"/>
    <w:rsid w:val="00F412BF"/>
    <w:rsid w:val="00F41337"/>
    <w:rsid w:val="00F41C16"/>
    <w:rsid w:val="00F42BE3"/>
    <w:rsid w:val="00F431FF"/>
    <w:rsid w:val="00F43723"/>
    <w:rsid w:val="00F44116"/>
    <w:rsid w:val="00F45F3E"/>
    <w:rsid w:val="00F4626A"/>
    <w:rsid w:val="00F46C23"/>
    <w:rsid w:val="00F46C99"/>
    <w:rsid w:val="00F4750E"/>
    <w:rsid w:val="00F475EC"/>
    <w:rsid w:val="00F477BE"/>
    <w:rsid w:val="00F47C8D"/>
    <w:rsid w:val="00F505BF"/>
    <w:rsid w:val="00F5064E"/>
    <w:rsid w:val="00F51A29"/>
    <w:rsid w:val="00F52109"/>
    <w:rsid w:val="00F52C9A"/>
    <w:rsid w:val="00F531A3"/>
    <w:rsid w:val="00F540D2"/>
    <w:rsid w:val="00F54857"/>
    <w:rsid w:val="00F55063"/>
    <w:rsid w:val="00F56AAC"/>
    <w:rsid w:val="00F5769A"/>
    <w:rsid w:val="00F6071D"/>
    <w:rsid w:val="00F60842"/>
    <w:rsid w:val="00F62C68"/>
    <w:rsid w:val="00F63373"/>
    <w:rsid w:val="00F63518"/>
    <w:rsid w:val="00F63B3F"/>
    <w:rsid w:val="00F65324"/>
    <w:rsid w:val="00F653F0"/>
    <w:rsid w:val="00F65EF0"/>
    <w:rsid w:val="00F6660C"/>
    <w:rsid w:val="00F701C1"/>
    <w:rsid w:val="00F71283"/>
    <w:rsid w:val="00F728E0"/>
    <w:rsid w:val="00F72A11"/>
    <w:rsid w:val="00F72E93"/>
    <w:rsid w:val="00F7302E"/>
    <w:rsid w:val="00F74AAE"/>
    <w:rsid w:val="00F74EB3"/>
    <w:rsid w:val="00F751C0"/>
    <w:rsid w:val="00F75446"/>
    <w:rsid w:val="00F75F2E"/>
    <w:rsid w:val="00F77175"/>
    <w:rsid w:val="00F7774F"/>
    <w:rsid w:val="00F82352"/>
    <w:rsid w:val="00F82D45"/>
    <w:rsid w:val="00F8348D"/>
    <w:rsid w:val="00F85161"/>
    <w:rsid w:val="00F87C5B"/>
    <w:rsid w:val="00F87EF9"/>
    <w:rsid w:val="00F9122D"/>
    <w:rsid w:val="00F91528"/>
    <w:rsid w:val="00F91897"/>
    <w:rsid w:val="00F92B57"/>
    <w:rsid w:val="00F93842"/>
    <w:rsid w:val="00F93948"/>
    <w:rsid w:val="00F94F1C"/>
    <w:rsid w:val="00F95C2D"/>
    <w:rsid w:val="00F97440"/>
    <w:rsid w:val="00F97B6C"/>
    <w:rsid w:val="00FA00B7"/>
    <w:rsid w:val="00FA1658"/>
    <w:rsid w:val="00FA249D"/>
    <w:rsid w:val="00FA2DE8"/>
    <w:rsid w:val="00FA2F2C"/>
    <w:rsid w:val="00FA310C"/>
    <w:rsid w:val="00FA37BB"/>
    <w:rsid w:val="00FA57A2"/>
    <w:rsid w:val="00FA586D"/>
    <w:rsid w:val="00FA63B5"/>
    <w:rsid w:val="00FB1AFD"/>
    <w:rsid w:val="00FB1EBA"/>
    <w:rsid w:val="00FB22DF"/>
    <w:rsid w:val="00FB2A70"/>
    <w:rsid w:val="00FB5221"/>
    <w:rsid w:val="00FB5960"/>
    <w:rsid w:val="00FB5BB3"/>
    <w:rsid w:val="00FB6809"/>
    <w:rsid w:val="00FB6F78"/>
    <w:rsid w:val="00FC0C62"/>
    <w:rsid w:val="00FC0F53"/>
    <w:rsid w:val="00FC169B"/>
    <w:rsid w:val="00FC4F98"/>
    <w:rsid w:val="00FC5840"/>
    <w:rsid w:val="00FC6962"/>
    <w:rsid w:val="00FD0083"/>
    <w:rsid w:val="00FD05E4"/>
    <w:rsid w:val="00FD13F7"/>
    <w:rsid w:val="00FD1F9C"/>
    <w:rsid w:val="00FD39CF"/>
    <w:rsid w:val="00FD5551"/>
    <w:rsid w:val="00FD5F9C"/>
    <w:rsid w:val="00FD7C87"/>
    <w:rsid w:val="00FE099C"/>
    <w:rsid w:val="00FE1753"/>
    <w:rsid w:val="00FE3AE2"/>
    <w:rsid w:val="00FE4595"/>
    <w:rsid w:val="00FE5355"/>
    <w:rsid w:val="00FE56F2"/>
    <w:rsid w:val="00FE6878"/>
    <w:rsid w:val="00FF067B"/>
    <w:rsid w:val="00FF197F"/>
    <w:rsid w:val="00FF1B86"/>
    <w:rsid w:val="00FF2AA8"/>
    <w:rsid w:val="00FF2B7D"/>
    <w:rsid w:val="00FF2D59"/>
    <w:rsid w:val="00FF35F3"/>
    <w:rsid w:val="00FF42AF"/>
    <w:rsid w:val="00FF432E"/>
    <w:rsid w:val="00FF5033"/>
    <w:rsid w:val="00FF51AA"/>
    <w:rsid w:val="00FF5802"/>
    <w:rsid w:val="00FF69A0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62382311"/>
  <w15:docId w15:val="{214106B3-E29D-475B-8093-6BEE829D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E7A"/>
  </w:style>
  <w:style w:type="paragraph" w:styleId="Heading1">
    <w:name w:val="heading 1"/>
    <w:basedOn w:val="Normal"/>
    <w:next w:val="Normal"/>
    <w:link w:val="Heading1Char"/>
    <w:uiPriority w:val="9"/>
    <w:qFormat/>
    <w:rsid w:val="00302AFC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2AFC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1952"/>
    <w:pPr>
      <w:keepNext/>
      <w:keepLines/>
      <w:spacing w:before="160" w:after="120"/>
      <w:outlineLvl w:val="2"/>
    </w:pPr>
    <w:rPr>
      <w:rFonts w:ascii="Arial" w:eastAsiaTheme="majorEastAsia" w:hAnsi="Arial" w:cstheme="majorBidi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2AFC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02AFC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02AFC"/>
    <w:rPr>
      <w:rFonts w:ascii="Arial" w:eastAsiaTheme="majorEastAsia" w:hAnsi="Arial" w:cstheme="majorBidi"/>
      <w:b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5B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5B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5B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B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BB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3B63"/>
    <w:pPr>
      <w:ind w:left="720"/>
      <w:contextualSpacing/>
    </w:pPr>
  </w:style>
  <w:style w:type="table" w:styleId="TableGrid">
    <w:name w:val="Table Grid"/>
    <w:basedOn w:val="TableNormal"/>
    <w:uiPriority w:val="39"/>
    <w:rsid w:val="00755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74AAE"/>
    <w:pPr>
      <w:spacing w:after="0" w:line="240" w:lineRule="auto"/>
    </w:pPr>
    <w:rPr>
      <w:rFonts w:ascii="Arial" w:hAnsi="Arial"/>
      <w:sz w:val="20"/>
    </w:rPr>
  </w:style>
  <w:style w:type="paragraph" w:styleId="NormalWeb">
    <w:name w:val="Normal (Web)"/>
    <w:basedOn w:val="Normal"/>
    <w:uiPriority w:val="99"/>
    <w:semiHidden/>
    <w:unhideWhenUsed/>
    <w:rsid w:val="00E66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C04C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1C752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0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6ED"/>
  </w:style>
  <w:style w:type="paragraph" w:styleId="Footer">
    <w:name w:val="footer"/>
    <w:basedOn w:val="Normal"/>
    <w:link w:val="FooterChar"/>
    <w:uiPriority w:val="99"/>
    <w:unhideWhenUsed/>
    <w:rsid w:val="009D0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6ED"/>
  </w:style>
  <w:style w:type="character" w:styleId="Hyperlink">
    <w:name w:val="Hyperlink"/>
    <w:basedOn w:val="DefaultParagraphFont"/>
    <w:uiPriority w:val="99"/>
    <w:unhideWhenUsed/>
    <w:rsid w:val="002024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4E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B83117"/>
    <w:pPr>
      <w:spacing w:after="120" w:line="24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83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sights.and.evidence@education.vic.gov.a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edugate.eduweb.vic.gov.au/edrms/PED/Performance_Insights1/On_Track_Survey_Analysis_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edugate.eduweb.vic.gov.au/edrms/PED/Performance_Insights1/On_Track_Survey_Analysis_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edugate.eduweb.vic.gov.au/edrms/PED/Performance_Insights1/On_Track_Survey_Analysis_202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2"/>
          <c:order val="2"/>
          <c:tx>
            <c:strRef>
              <c:f>'2022 Summary'!$A$545</c:f>
              <c:strCache>
                <c:ptCount val="1"/>
                <c:pt idx="0">
                  <c:v>Bachelor's degree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3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'2022 Summary'!$K$542:$O$542</c:f>
              <c:strCach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  <c:extLst/>
            </c:strRef>
          </c:cat>
          <c:val>
            <c:numRef>
              <c:f>'2022 Summary'!$K$545:$O$545</c:f>
              <c:numCache>
                <c:formatCode>0.0%</c:formatCode>
                <c:ptCount val="5"/>
                <c:pt idx="0">
                  <c:v>0.54855764113117833</c:v>
                </c:pt>
                <c:pt idx="1">
                  <c:v>0.54132369920667434</c:v>
                </c:pt>
                <c:pt idx="2">
                  <c:v>0.54464185524593234</c:v>
                </c:pt>
                <c:pt idx="3">
                  <c:v>0.56084773297888046</c:v>
                </c:pt>
                <c:pt idx="4">
                  <c:v>0.52282060854956136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6029-4AFF-A6B0-27AE41AD9FDD}"/>
            </c:ext>
          </c:extLst>
        </c:ser>
        <c:ser>
          <c:idx val="5"/>
          <c:order val="5"/>
          <c:tx>
            <c:strRef>
              <c:f>'2022 Summary'!$A$548</c:f>
              <c:strCache>
                <c:ptCount val="1"/>
                <c:pt idx="0">
                  <c:v>Deferred</c:v>
                </c:pt>
              </c:strCache>
            </c:strRef>
          </c:tx>
          <c:spPr>
            <a:ln w="28575" cap="rnd">
              <a:solidFill>
                <a:schemeClr val="bg1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>
                  <a:lumMod val="50000"/>
                </a:schemeClr>
              </a:solidFill>
              <a:ln w="9525">
                <a:solidFill>
                  <a:schemeClr val="bg1">
                    <a:lumMod val="50000"/>
                  </a:schemeClr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'2022 Summary'!$K$542:$O$542</c:f>
              <c:strCach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  <c:extLst/>
            </c:strRef>
          </c:cat>
          <c:val>
            <c:numRef>
              <c:f>'2022 Summary'!$K$548:$O$548</c:f>
              <c:numCache>
                <c:formatCode>0.0%</c:formatCode>
                <c:ptCount val="5"/>
                <c:pt idx="0">
                  <c:v>0.10020224958308201</c:v>
                </c:pt>
                <c:pt idx="1">
                  <c:v>9.568326567097471E-2</c:v>
                </c:pt>
                <c:pt idx="2">
                  <c:v>0.10166448475780812</c:v>
                </c:pt>
                <c:pt idx="3">
                  <c:v>7.4693546005021413E-2</c:v>
                </c:pt>
                <c:pt idx="4">
                  <c:v>0.10313608362889677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6029-4AFF-A6B0-27AE41AD9FDD}"/>
            </c:ext>
          </c:extLst>
        </c:ser>
        <c:ser>
          <c:idx val="6"/>
          <c:order val="6"/>
          <c:tx>
            <c:strRef>
              <c:f>'2022 Summary'!$A$549</c:f>
              <c:strCache>
                <c:ptCount val="1"/>
                <c:pt idx="0">
                  <c:v>Employed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'2022 Summary'!$K$542:$O$542</c:f>
              <c:strCach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  <c:extLst/>
            </c:strRef>
          </c:cat>
          <c:val>
            <c:numRef>
              <c:f>'2022 Summary'!$K$549:$O$549</c:f>
              <c:numCache>
                <c:formatCode>0.0%</c:formatCode>
                <c:ptCount val="5"/>
                <c:pt idx="0">
                  <c:v>0.19809077681961745</c:v>
                </c:pt>
                <c:pt idx="1">
                  <c:v>0.1966327708868775</c:v>
                </c:pt>
                <c:pt idx="2">
                  <c:v>0.17628576772021695</c:v>
                </c:pt>
                <c:pt idx="3">
                  <c:v>0.18021710234824989</c:v>
                </c:pt>
                <c:pt idx="4">
                  <c:v>0.24309314915064401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2-6029-4AFF-A6B0-27AE41AD9FDD}"/>
            </c:ext>
          </c:extLst>
        </c:ser>
        <c:ser>
          <c:idx val="7"/>
          <c:order val="7"/>
          <c:tx>
            <c:strRef>
              <c:f>'2022 Summary'!$A$550</c:f>
              <c:strCache>
                <c:ptCount val="1"/>
                <c:pt idx="0">
                  <c:v>Looking for work</c:v>
                </c:pt>
              </c:strCache>
            </c:strRef>
          </c:tx>
          <c:spPr>
            <a:ln w="28575" cap="rnd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75000"/>
                </a:schemeClr>
              </a:solidFill>
              <a:ln w="9525">
                <a:solidFill>
                  <a:schemeClr val="accent2">
                    <a:lumMod val="75000"/>
                  </a:scheme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2166512345679028E-2"/>
                  <c:y val="3.34285357771708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029-4AFF-A6B0-27AE41AD9FDD}"/>
                </c:ext>
              </c:extLst>
            </c:dLbl>
            <c:dLbl>
              <c:idx val="1"/>
              <c:layout>
                <c:manualLayout>
                  <c:x val="-3.4126388888888887E-2"/>
                  <c:y val="3.695010190358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029-4AFF-A6B0-27AE41AD9FDD}"/>
                </c:ext>
              </c:extLst>
            </c:dLbl>
            <c:dLbl>
              <c:idx val="3"/>
              <c:layout>
                <c:manualLayout>
                  <c:x val="-3.1748258173627031E-2"/>
                  <c:y val="3.21776535848785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029-4AFF-A6B0-27AE41AD9FDD}"/>
                </c:ext>
              </c:extLst>
            </c:dLbl>
            <c:dLbl>
              <c:idx val="4"/>
              <c:layout>
                <c:manualLayout>
                  <c:x val="-3.174825817362717E-2"/>
                  <c:y val="-3.2223533695802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029-4AFF-A6B0-27AE41AD9FD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'2022 Summary'!$K$542:$O$542</c:f>
              <c:strCach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  <c:extLst/>
            </c:strRef>
          </c:cat>
          <c:val>
            <c:numRef>
              <c:f>'2022 Summary'!$K$550:$O$550</c:f>
              <c:numCache>
                <c:formatCode>0.0%</c:formatCode>
                <c:ptCount val="5"/>
                <c:pt idx="0">
                  <c:v>4.269136591078463E-2</c:v>
                </c:pt>
                <c:pt idx="1">
                  <c:v>4.3654784519685623E-2</c:v>
                </c:pt>
                <c:pt idx="2">
                  <c:v>6.3886291378342994E-2</c:v>
                </c:pt>
                <c:pt idx="3">
                  <c:v>3.8952887313543051E-2</c:v>
                </c:pt>
                <c:pt idx="4">
                  <c:v>2.6740713085682283E-2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7-6029-4AFF-A6B0-27AE41AD9F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8997008"/>
        <c:axId val="828996592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'2022 Summary'!$A$543</c15:sqref>
                        </c15:formulaRef>
                      </c:ext>
                    </c:extLst>
                    <c:strCache>
                      <c:ptCount val="1"/>
                      <c:pt idx="0">
                        <c:v>In Education or Training</c:v>
                      </c:pt>
                    </c:strCache>
                  </c:strRef>
                </c:tx>
                <c:spPr>
                  <a:ln w="285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1"/>
                    </a:solidFill>
                    <a:ln w="9525">
                      <a:solidFill>
                        <a:schemeClr val="accent1"/>
                      </a:solidFill>
                    </a:ln>
                    <a:effectLst/>
                  </c:spPr>
                </c:marker>
                <c:cat>
                  <c:strRef>
                    <c:extLst>
                      <c:ext uri="{02D57815-91ED-43cb-92C2-25804820EDAC}">
                        <c15:formulaRef>
                          <c15:sqref>'2022 Summary'!$K$542:$O$542</c15:sqref>
                        </c15:formulaRef>
                      </c:ext>
                    </c:extLst>
                    <c:strCache>
                      <c:ptCount val="5"/>
                      <c:pt idx="0">
                        <c:v>2018</c:v>
                      </c:pt>
                      <c:pt idx="1">
                        <c:v>2019</c:v>
                      </c:pt>
                      <c:pt idx="2">
                        <c:v>2020</c:v>
                      </c:pt>
                      <c:pt idx="3">
                        <c:v>2021</c:v>
                      </c:pt>
                      <c:pt idx="4">
                        <c:v>2022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'2022 Summary'!$K$543:$O$543</c15:sqref>
                        </c15:formulaRef>
                      </c:ext>
                    </c:extLst>
                    <c:numCache>
                      <c:formatCode>0.0%</c:formatCode>
                      <c:ptCount val="5"/>
                      <c:pt idx="0">
                        <c:v>0.75084270659617502</c:v>
                      </c:pt>
                      <c:pt idx="1">
                        <c:v>0.75205780475995376</c:v>
                      </c:pt>
                      <c:pt idx="2">
                        <c:v>0.74520291752384515</c:v>
                      </c:pt>
                      <c:pt idx="3">
                        <c:v>0.77171023482498891</c:v>
                      </c:pt>
                      <c:pt idx="4">
                        <c:v>0.72204592122456601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8-6029-4AFF-A6B0-27AE41AD9FDD}"/>
                  </c:ext>
                </c:extLst>
              </c15:ser>
            </c15:filteredLineSeries>
            <c15:filteredLin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'2022 Summary'!$A$544</c15:sqref>
                        </c15:formulaRef>
                      </c:ext>
                    </c:extLst>
                    <c:strCache>
                      <c:ptCount val="1"/>
                      <c:pt idx="0">
                        <c:v>Apprenticeship/traineeship</c:v>
                      </c:pt>
                    </c:strCache>
                  </c:strRef>
                </c:tx>
                <c:spPr>
                  <a:ln w="28575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2"/>
                    </a:solidFill>
                    <a:ln w="9525">
                      <a:solidFill>
                        <a:schemeClr val="accent2"/>
                      </a:solidFill>
                    </a:ln>
                    <a:effectLst/>
                  </c:spPr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'2022 Summary'!$K$542:$O$542</c15:sqref>
                        </c15:formulaRef>
                      </c:ext>
                    </c:extLst>
                    <c:strCache>
                      <c:ptCount val="5"/>
                      <c:pt idx="0">
                        <c:v>2018</c:v>
                      </c:pt>
                      <c:pt idx="1">
                        <c:v>2019</c:v>
                      </c:pt>
                      <c:pt idx="2">
                        <c:v>2020</c:v>
                      </c:pt>
                      <c:pt idx="3">
                        <c:v>2021</c:v>
                      </c:pt>
                      <c:pt idx="4">
                        <c:v>2022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'2022 Summary'!$K$544:$O$544</c15:sqref>
                        </c15:formulaRef>
                      </c:ext>
                    </c:extLst>
                    <c:numCache>
                      <c:formatCode>0.0%</c:formatCode>
                      <c:ptCount val="5"/>
                      <c:pt idx="0">
                        <c:v>8.1077245147784124E-2</c:v>
                      </c:pt>
                      <c:pt idx="1">
                        <c:v>8.2498417073261568E-2</c:v>
                      </c:pt>
                      <c:pt idx="2">
                        <c:v>8.1503646904806437E-2</c:v>
                      </c:pt>
                      <c:pt idx="3">
                        <c:v>9.8065278393147243E-2</c:v>
                      </c:pt>
                      <c:pt idx="4">
                        <c:v>0.10220272540601083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9-6029-4AFF-A6B0-27AE41AD9FDD}"/>
                  </c:ext>
                </c:extLst>
              </c15:ser>
            </c15:filteredLineSeries>
            <c15:filteredLine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'2022 Summary'!$A$546</c15:sqref>
                        </c15:formulaRef>
                      </c:ext>
                    </c:extLst>
                    <c:strCache>
                      <c:ptCount val="1"/>
                      <c:pt idx="0">
                        <c:v>Certificates/diplomas</c:v>
                      </c:pt>
                    </c:strCache>
                  </c:strRef>
                </c:tx>
                <c:spPr>
                  <a:ln w="28575" cap="rnd">
                    <a:solidFill>
                      <a:schemeClr val="accent4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4"/>
                    </a:solidFill>
                    <a:ln w="9525">
                      <a:solidFill>
                        <a:schemeClr val="accent4"/>
                      </a:solidFill>
                    </a:ln>
                    <a:effectLst/>
                  </c:spPr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'2022 Summary'!$K$542:$O$542</c15:sqref>
                        </c15:formulaRef>
                      </c:ext>
                    </c:extLst>
                    <c:strCache>
                      <c:ptCount val="5"/>
                      <c:pt idx="0">
                        <c:v>2018</c:v>
                      </c:pt>
                      <c:pt idx="1">
                        <c:v>2019</c:v>
                      </c:pt>
                      <c:pt idx="2">
                        <c:v>2020</c:v>
                      </c:pt>
                      <c:pt idx="3">
                        <c:v>2021</c:v>
                      </c:pt>
                      <c:pt idx="4">
                        <c:v>2022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'2022 Summary'!$K$546:$O$546</c15:sqref>
                        </c15:formulaRef>
                      </c:ext>
                    </c:extLst>
                    <c:numCache>
                      <c:formatCode>0.0%</c:formatCode>
                      <c:ptCount val="5"/>
                      <c:pt idx="0">
                        <c:v>0.1212078203172125</c:v>
                      </c:pt>
                      <c:pt idx="1">
                        <c:v>0.12823568848001787</c:v>
                      </c:pt>
                      <c:pt idx="2">
                        <c:v>0.11905741537310642</c:v>
                      </c:pt>
                      <c:pt idx="3">
                        <c:v>0.11279722345296116</c:v>
                      </c:pt>
                      <c:pt idx="4">
                        <c:v>9.7022587268993835E-2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A-6029-4AFF-A6B0-27AE41AD9FDD}"/>
                  </c:ext>
                </c:extLst>
              </c15:ser>
            </c15:filteredLineSeries>
            <c15:filteredLine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'2022 Summary'!$A$547</c15:sqref>
                        </c15:formulaRef>
                      </c:ext>
                    </c:extLst>
                    <c:strCache>
                      <c:ptCount val="1"/>
                      <c:pt idx="0">
                        <c:v>Not in Education or Training</c:v>
                      </c:pt>
                    </c:strCache>
                  </c:strRef>
                </c:tx>
                <c:spPr>
                  <a:ln w="28575" cap="rnd">
                    <a:solidFill>
                      <a:schemeClr val="accent5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5"/>
                    </a:solidFill>
                    <a:ln w="9525">
                      <a:solidFill>
                        <a:schemeClr val="accent5"/>
                      </a:solidFill>
                    </a:ln>
                    <a:effectLst/>
                  </c:spPr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'2022 Summary'!$K$542:$O$542</c15:sqref>
                        </c15:formulaRef>
                      </c:ext>
                    </c:extLst>
                    <c:strCache>
                      <c:ptCount val="5"/>
                      <c:pt idx="0">
                        <c:v>2018</c:v>
                      </c:pt>
                      <c:pt idx="1">
                        <c:v>2019</c:v>
                      </c:pt>
                      <c:pt idx="2">
                        <c:v>2020</c:v>
                      </c:pt>
                      <c:pt idx="3">
                        <c:v>2021</c:v>
                      </c:pt>
                      <c:pt idx="4">
                        <c:v>2022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'2022 Summary'!$K$547:$O$547</c15:sqref>
                        </c15:formulaRef>
                      </c:ext>
                    </c:extLst>
                    <c:numCache>
                      <c:formatCode>0.0%</c:formatCode>
                      <c:ptCount val="5"/>
                      <c:pt idx="0">
                        <c:v>0.24905071152276517</c:v>
                      </c:pt>
                      <c:pt idx="1">
                        <c:v>0.24788616977688382</c:v>
                      </c:pt>
                      <c:pt idx="2">
                        <c:v>0.25479708247615485</c:v>
                      </c:pt>
                      <c:pt idx="3">
                        <c:v>0.22828976517501107</c:v>
                      </c:pt>
                      <c:pt idx="4">
                        <c:v>0.27795407877543399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B-6029-4AFF-A6B0-27AE41AD9FDD}"/>
                  </c:ext>
                </c:extLst>
              </c15:ser>
            </c15:filteredLineSeries>
            <c15:filteredLineSeries>
              <c15:ser>
                <c:idx val="8"/>
                <c:order val="8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'2022 Summary'!$A$551</c15:sqref>
                        </c15:formulaRef>
                      </c:ext>
                    </c:extLst>
                    <c:strCache>
                      <c:ptCount val="1"/>
                      <c:pt idx="0">
                        <c:v>NILFET</c:v>
                      </c:pt>
                    </c:strCache>
                  </c:strRef>
                </c:tx>
                <c:spPr>
                  <a:ln w="28575" cap="rnd">
                    <a:solidFill>
                      <a:schemeClr val="accent3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3">
                        <a:lumMod val="60000"/>
                      </a:schemeClr>
                    </a:solidFill>
                    <a:ln w="9525">
                      <a:solidFill>
                        <a:schemeClr val="accent3">
                          <a:lumMod val="60000"/>
                        </a:schemeClr>
                      </a:solidFill>
                    </a:ln>
                    <a:effectLst/>
                  </c:spPr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'2022 Summary'!$K$542:$O$542</c15:sqref>
                        </c15:formulaRef>
                      </c:ext>
                    </c:extLst>
                    <c:strCache>
                      <c:ptCount val="5"/>
                      <c:pt idx="0">
                        <c:v>2018</c:v>
                      </c:pt>
                      <c:pt idx="1">
                        <c:v>2019</c:v>
                      </c:pt>
                      <c:pt idx="2">
                        <c:v>2020</c:v>
                      </c:pt>
                      <c:pt idx="3">
                        <c:v>2021</c:v>
                      </c:pt>
                      <c:pt idx="4">
                        <c:v>2022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'2022 Summary'!$K$551:$O$551</c15:sqref>
                        </c15:formulaRef>
                      </c:ext>
                    </c:extLst>
                    <c:numCache>
                      <c:formatCode>0.0%</c:formatCode>
                      <c:ptCount val="5"/>
                      <c:pt idx="0">
                        <c:v>8.2685687923631079E-3</c:v>
                      </c:pt>
                      <c:pt idx="1">
                        <c:v>7.5986143703207065E-3</c:v>
                      </c:pt>
                      <c:pt idx="2">
                        <c:v>1.4625023377594913E-2</c:v>
                      </c:pt>
                      <c:pt idx="3">
                        <c:v>9.1197755132181365E-3</c:v>
                      </c:pt>
                      <c:pt idx="4">
                        <c:v>8.1202165391077094E-3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C-6029-4AFF-A6B0-27AE41AD9FDD}"/>
                  </c:ext>
                </c:extLst>
              </c15:ser>
            </c15:filteredLineSeries>
          </c:ext>
        </c:extLst>
      </c:lineChart>
      <c:catAx>
        <c:axId val="828997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28996592"/>
        <c:crosses val="autoZero"/>
        <c:auto val="1"/>
        <c:lblAlgn val="ctr"/>
        <c:lblOffset val="100"/>
        <c:noMultiLvlLbl val="0"/>
      </c:catAx>
      <c:valAx>
        <c:axId val="828996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28997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1"/>
          <c:tx>
            <c:strRef>
              <c:f>'2022 Summary'!$T$544</c:f>
              <c:strCache>
                <c:ptCount val="1"/>
                <c:pt idx="0">
                  <c:v>Apprenticeship/traineeship</c:v>
                </c:pt>
              </c:strCache>
            </c:strRef>
          </c:tx>
          <c:spPr>
            <a:ln w="28575" cap="rnd">
              <a:solidFill>
                <a:srgbClr val="8C3FC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8C3FC5"/>
              </a:solidFill>
              <a:ln w="9525">
                <a:solidFill>
                  <a:srgbClr val="8C3FC5"/>
                </a:solidFill>
              </a:ln>
              <a:effectLst/>
            </c:spPr>
          </c:marker>
          <c:dLbls>
            <c:dLbl>
              <c:idx val="4"/>
              <c:layout>
                <c:manualLayout>
                  <c:x val="-3.5776160097318169E-2"/>
                  <c:y val="3.87985549399962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599-4525-84EF-776EB6AA12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8C3FC5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'2022 Summary'!$AD$542:$AH$542</c:f>
              <c:strCach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  <c:extLst/>
            </c:strRef>
          </c:cat>
          <c:val>
            <c:numRef>
              <c:f>'2022 Summary'!$AD$544:$AH$544</c:f>
              <c:numCache>
                <c:formatCode>0.0%</c:formatCode>
                <c:ptCount val="5"/>
                <c:pt idx="0">
                  <c:v>0.32172818791946306</c:v>
                </c:pt>
                <c:pt idx="1">
                  <c:v>0.32691404415218411</c:v>
                </c:pt>
                <c:pt idx="2">
                  <c:v>0.30119284294234594</c:v>
                </c:pt>
                <c:pt idx="3">
                  <c:v>0.35897435897435898</c:v>
                </c:pt>
                <c:pt idx="4">
                  <c:v>0.3539147040101846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3599-4525-84EF-776EB6AA1277}"/>
            </c:ext>
          </c:extLst>
        </c:ser>
        <c:ser>
          <c:idx val="3"/>
          <c:order val="3"/>
          <c:tx>
            <c:strRef>
              <c:f>'2022 Summary'!$T$546</c:f>
              <c:strCache>
                <c:ptCount val="1"/>
                <c:pt idx="0">
                  <c:v>Certificates/diplomas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6286674038875292E-2"/>
                  <c:y val="-5.05524383485730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599-4525-84EF-776EB6AA1277}"/>
                </c:ext>
              </c:extLst>
            </c:dLbl>
            <c:dLbl>
              <c:idx val="1"/>
              <c:layout>
                <c:manualLayout>
                  <c:x val="-4.6286674038875292E-2"/>
                  <c:y val="-4.17549875311720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599-4525-84EF-776EB6AA1277}"/>
                </c:ext>
              </c:extLst>
            </c:dLbl>
            <c:dLbl>
              <c:idx val="2"/>
              <c:layout>
                <c:manualLayout>
                  <c:x val="-4.3936204176248224E-2"/>
                  <c:y val="-3.29575367137711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599-4525-84EF-776EB6AA12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6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'2022 Summary'!$AD$542:$AH$542</c:f>
              <c:strCach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  <c:extLst/>
            </c:strRef>
          </c:cat>
          <c:val>
            <c:numRef>
              <c:f>'2022 Summary'!$AD$546:$AH$546</c:f>
              <c:numCache>
                <c:formatCode>0.0%</c:formatCode>
                <c:ptCount val="5"/>
                <c:pt idx="0">
                  <c:v>0.19546979865771813</c:v>
                </c:pt>
                <c:pt idx="1">
                  <c:v>0.19727571629873181</c:v>
                </c:pt>
                <c:pt idx="2">
                  <c:v>0.19383697813121273</c:v>
                </c:pt>
                <c:pt idx="3">
                  <c:v>0.1562313655336911</c:v>
                </c:pt>
                <c:pt idx="4">
                  <c:v>0.12030553787396563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5-3599-4525-84EF-776EB6AA1277}"/>
            </c:ext>
          </c:extLst>
        </c:ser>
        <c:ser>
          <c:idx val="5"/>
          <c:order val="5"/>
          <c:tx>
            <c:strRef>
              <c:f>'2022 Summary'!$T$548</c:f>
              <c:strCache>
                <c:ptCount val="1"/>
                <c:pt idx="0">
                  <c:v>Employed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2"/>
              <c:layout>
                <c:manualLayout>
                  <c:x val="-4.2153548607994376E-2"/>
                  <c:y val="-3.61564837905236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599-4525-84EF-776EB6AA1277}"/>
                </c:ext>
              </c:extLst>
            </c:dLbl>
            <c:dLbl>
              <c:idx val="4"/>
              <c:layout>
                <c:manualLayout>
                  <c:x val="-3.7736111111111109E-2"/>
                  <c:y val="-3.15681827668248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599-4525-84EF-776EB6AA12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'2022 Summary'!$AD$542:$AH$542</c:f>
              <c:strCach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  <c:extLst/>
            </c:strRef>
          </c:cat>
          <c:val>
            <c:numRef>
              <c:f>'2022 Summary'!$AD$548:$AH$548</c:f>
              <c:numCache>
                <c:formatCode>0.0%</c:formatCode>
                <c:ptCount val="5"/>
                <c:pt idx="0">
                  <c:v>0.27516778523489932</c:v>
                </c:pt>
                <c:pt idx="1">
                  <c:v>0.2677313292625646</c:v>
                </c:pt>
                <c:pt idx="2">
                  <c:v>0.22415506958250497</c:v>
                </c:pt>
                <c:pt idx="3">
                  <c:v>0.27191413237924866</c:v>
                </c:pt>
                <c:pt idx="4">
                  <c:v>0.37810311903246341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8-3599-4525-84EF-776EB6AA1277}"/>
            </c:ext>
          </c:extLst>
        </c:ser>
        <c:ser>
          <c:idx val="6"/>
          <c:order val="6"/>
          <c:tx>
            <c:strRef>
              <c:f>'2022 Summary'!$T$549</c:f>
              <c:strCache>
                <c:ptCount val="1"/>
                <c:pt idx="0">
                  <c:v>Looking for work</c:v>
                </c:pt>
              </c:strCache>
            </c:strRef>
          </c:tx>
          <c:spPr>
            <a:ln w="28575" cap="rnd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75000"/>
                </a:schemeClr>
              </a:solidFill>
              <a:ln w="9525">
                <a:solidFill>
                  <a:schemeClr val="accent2">
                    <a:lumMod val="75000"/>
                  </a:schemeClr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'2022 Summary'!$AD$542:$AH$542</c:f>
              <c:strCach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  <c:extLst/>
            </c:strRef>
          </c:cat>
          <c:val>
            <c:numRef>
              <c:f>'2022 Summary'!$AD$549:$AH$549</c:f>
              <c:numCache>
                <c:formatCode>0.0%</c:formatCode>
                <c:ptCount val="5"/>
                <c:pt idx="0">
                  <c:v>0.15016778523489932</c:v>
                </c:pt>
                <c:pt idx="1">
                  <c:v>0.14842649131047439</c:v>
                </c:pt>
                <c:pt idx="2">
                  <c:v>0.18787276341948311</c:v>
                </c:pt>
                <c:pt idx="3">
                  <c:v>0.14609421586165772</c:v>
                </c:pt>
                <c:pt idx="4">
                  <c:v>9.7390197326543609E-2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9-3599-4525-84EF-776EB6AA12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1807984"/>
        <c:axId val="1061807152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'2022 Summary'!$T$543</c15:sqref>
                        </c15:formulaRef>
                      </c:ext>
                    </c:extLst>
                    <c:strCache>
                      <c:ptCount val="1"/>
                      <c:pt idx="0">
                        <c:v>In Education or Training</c:v>
                      </c:pt>
                    </c:strCache>
                  </c:strRef>
                </c:tx>
                <c:spPr>
                  <a:ln w="285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1"/>
                    </a:solidFill>
                    <a:ln w="9525">
                      <a:solidFill>
                        <a:schemeClr val="accent1"/>
                      </a:solidFill>
                    </a:ln>
                    <a:effectLst/>
                  </c:spPr>
                </c:marker>
                <c:cat>
                  <c:strRef>
                    <c:extLst>
                      <c:ext uri="{02D57815-91ED-43cb-92C2-25804820EDAC}">
                        <c15:formulaRef>
                          <c15:sqref>'2022 Summary'!$AD$542:$AH$542</c15:sqref>
                        </c15:formulaRef>
                      </c:ext>
                    </c:extLst>
                    <c:strCache>
                      <c:ptCount val="5"/>
                      <c:pt idx="0">
                        <c:v>2018</c:v>
                      </c:pt>
                      <c:pt idx="1">
                        <c:v>2019</c:v>
                      </c:pt>
                      <c:pt idx="2">
                        <c:v>2020</c:v>
                      </c:pt>
                      <c:pt idx="3">
                        <c:v>2021</c:v>
                      </c:pt>
                      <c:pt idx="4">
                        <c:v>2022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'2022 Summary'!$AD$543:$AH$543</c15:sqref>
                        </c15:formulaRef>
                      </c:ext>
                    </c:extLst>
                    <c:numCache>
                      <c:formatCode>0.0%</c:formatCode>
                      <c:ptCount val="5"/>
                      <c:pt idx="0">
                        <c:v>0.52642617449664431</c:v>
                      </c:pt>
                      <c:pt idx="1">
                        <c:v>0.53734147487083139</c:v>
                      </c:pt>
                      <c:pt idx="2">
                        <c:v>0.51789264413518887</c:v>
                      </c:pt>
                      <c:pt idx="3">
                        <c:v>0.53309481216457966</c:v>
                      </c:pt>
                      <c:pt idx="4">
                        <c:v>0.49013367281985998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A-3599-4525-84EF-776EB6AA1277}"/>
                  </c:ext>
                </c:extLst>
              </c15:ser>
            </c15:filteredLineSeries>
            <c15:filteredLin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'2022 Summary'!$T$545</c15:sqref>
                        </c15:formulaRef>
                      </c:ext>
                    </c:extLst>
                    <c:strCache>
                      <c:ptCount val="1"/>
                      <c:pt idx="0">
                        <c:v>Bachelor degree</c:v>
                      </c:pt>
                    </c:strCache>
                  </c:strRef>
                </c:tx>
                <c:spPr>
                  <a:ln w="2857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3"/>
                    </a:solidFill>
                    <a:ln w="9525">
                      <a:solidFill>
                        <a:schemeClr val="accent3"/>
                      </a:solidFill>
                    </a:ln>
                    <a:effectLst/>
                  </c:spPr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'2022 Summary'!$AD$542:$AH$542</c15:sqref>
                        </c15:formulaRef>
                      </c:ext>
                    </c:extLst>
                    <c:strCache>
                      <c:ptCount val="5"/>
                      <c:pt idx="0">
                        <c:v>2018</c:v>
                      </c:pt>
                      <c:pt idx="1">
                        <c:v>2019</c:v>
                      </c:pt>
                      <c:pt idx="2">
                        <c:v>2020</c:v>
                      </c:pt>
                      <c:pt idx="3">
                        <c:v>2021</c:v>
                      </c:pt>
                      <c:pt idx="4">
                        <c:v>2022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'2022 Summary'!$AD$545:$AH$545</c15:sqref>
                        </c15:formulaRef>
                      </c:ext>
                    </c:extLst>
                    <c:numCache>
                      <c:formatCode>0.0%</c:formatCode>
                      <c:ptCount val="5"/>
                      <c:pt idx="0">
                        <c:v>9.2281879194630878E-3</c:v>
                      </c:pt>
                      <c:pt idx="1">
                        <c:v>1.3151714419915453E-2</c:v>
                      </c:pt>
                      <c:pt idx="2">
                        <c:v>2.2862823061630219E-2</c:v>
                      </c:pt>
                      <c:pt idx="3">
                        <c:v>1.7889087656529516E-2</c:v>
                      </c:pt>
                      <c:pt idx="4">
                        <c:v>1.5913430935709738E-2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B-3599-4525-84EF-776EB6AA1277}"/>
                  </c:ext>
                </c:extLst>
              </c15:ser>
            </c15:filteredLineSeries>
            <c15:filteredLine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'2022 Summary'!$T$547</c15:sqref>
                        </c15:formulaRef>
                      </c:ext>
                    </c:extLst>
                    <c:strCache>
                      <c:ptCount val="1"/>
                      <c:pt idx="0">
                        <c:v>Not in Education or Training</c:v>
                      </c:pt>
                    </c:strCache>
                  </c:strRef>
                </c:tx>
                <c:spPr>
                  <a:ln w="28575" cap="rnd">
                    <a:solidFill>
                      <a:schemeClr val="accent5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5"/>
                    </a:solidFill>
                    <a:ln w="9525">
                      <a:solidFill>
                        <a:schemeClr val="accent5"/>
                      </a:solidFill>
                    </a:ln>
                    <a:effectLst/>
                  </c:spPr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'2022 Summary'!$AD$542:$AH$542</c15:sqref>
                        </c15:formulaRef>
                      </c:ext>
                    </c:extLst>
                    <c:strCache>
                      <c:ptCount val="5"/>
                      <c:pt idx="0">
                        <c:v>2018</c:v>
                      </c:pt>
                      <c:pt idx="1">
                        <c:v>2019</c:v>
                      </c:pt>
                      <c:pt idx="2">
                        <c:v>2020</c:v>
                      </c:pt>
                      <c:pt idx="3">
                        <c:v>2021</c:v>
                      </c:pt>
                      <c:pt idx="4">
                        <c:v>2022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'2022 Summary'!$AD$547:$AH$547</c15:sqref>
                        </c15:formulaRef>
                      </c:ext>
                    </c:extLst>
                    <c:numCache>
                      <c:formatCode>0.0%</c:formatCode>
                      <c:ptCount val="5"/>
                      <c:pt idx="0">
                        <c:v>0.47357382550335569</c:v>
                      </c:pt>
                      <c:pt idx="1">
                        <c:v>0.46265852512916861</c:v>
                      </c:pt>
                      <c:pt idx="2">
                        <c:v>0.48210735586481113</c:v>
                      </c:pt>
                      <c:pt idx="3">
                        <c:v>0.4669051878354204</c:v>
                      </c:pt>
                      <c:pt idx="4">
                        <c:v>0.50986632718014002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C-3599-4525-84EF-776EB6AA1277}"/>
                  </c:ext>
                </c:extLst>
              </c15:ser>
            </c15:filteredLineSeries>
            <c15:filteredLineSeries>
              <c15:ser>
                <c:idx val="7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'2022 Summary'!$T$550</c15:sqref>
                        </c15:formulaRef>
                      </c:ext>
                    </c:extLst>
                    <c:strCache>
                      <c:ptCount val="1"/>
                      <c:pt idx="0">
                        <c:v>NILFET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2">
                        <a:lumMod val="60000"/>
                      </a:schemeClr>
                    </a:solidFill>
                    <a:ln w="9525">
                      <a:solidFill>
                        <a:schemeClr val="accent2">
                          <a:lumMod val="60000"/>
                        </a:schemeClr>
                      </a:solidFill>
                    </a:ln>
                    <a:effectLst/>
                  </c:spPr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'2022 Summary'!$AD$542:$AH$542</c15:sqref>
                        </c15:formulaRef>
                      </c:ext>
                    </c:extLst>
                    <c:strCache>
                      <c:ptCount val="5"/>
                      <c:pt idx="0">
                        <c:v>2018</c:v>
                      </c:pt>
                      <c:pt idx="1">
                        <c:v>2019</c:v>
                      </c:pt>
                      <c:pt idx="2">
                        <c:v>2020</c:v>
                      </c:pt>
                      <c:pt idx="3">
                        <c:v>2021</c:v>
                      </c:pt>
                      <c:pt idx="4">
                        <c:v>2022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'2022 Summary'!$AD$550:$AH$550</c15:sqref>
                        </c15:formulaRef>
                      </c:ext>
                    </c:extLst>
                    <c:numCache>
                      <c:formatCode>0.0%</c:formatCode>
                      <c:ptCount val="5"/>
                      <c:pt idx="0">
                        <c:v>4.8238255033557047E-2</c:v>
                      </c:pt>
                      <c:pt idx="1">
                        <c:v>4.6500704556129639E-2</c:v>
                      </c:pt>
                      <c:pt idx="2">
                        <c:v>7.0079522862823068E-2</c:v>
                      </c:pt>
                      <c:pt idx="3">
                        <c:v>4.8896839594514012E-2</c:v>
                      </c:pt>
                      <c:pt idx="4">
                        <c:v>3.4373010821133039E-2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D-3599-4525-84EF-776EB6AA1277}"/>
                  </c:ext>
                </c:extLst>
              </c15:ser>
            </c15:filteredLineSeries>
          </c:ext>
        </c:extLst>
      </c:lineChart>
      <c:catAx>
        <c:axId val="1061807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61807152"/>
        <c:crosses val="autoZero"/>
        <c:auto val="1"/>
        <c:lblAlgn val="ctr"/>
        <c:lblOffset val="100"/>
        <c:noMultiLvlLbl val="0"/>
      </c:catAx>
      <c:valAx>
        <c:axId val="1061807152"/>
        <c:scaling>
          <c:orientation val="minMax"/>
          <c:min val="5.000000000000001E-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61807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'2022 Summary'!$A$62</c:f>
              <c:strCache>
                <c:ptCount val="1"/>
                <c:pt idx="0">
                  <c:v>Health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'2022 Summary'!$D$61:$H$61</c:f>
              <c:strCach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  <c:extLst/>
            </c:strRef>
          </c:cat>
          <c:val>
            <c:numRef>
              <c:f>'2022 Summary'!$D$62:$H$62</c:f>
              <c:numCache>
                <c:formatCode>0.0%</c:formatCode>
                <c:ptCount val="5"/>
                <c:pt idx="0">
                  <c:v>0.19495291503544598</c:v>
                </c:pt>
                <c:pt idx="1">
                  <c:v>0.19389834241973677</c:v>
                </c:pt>
                <c:pt idx="2">
                  <c:v>0.20656068069861172</c:v>
                </c:pt>
                <c:pt idx="3">
                  <c:v>0.21798350336444541</c:v>
                </c:pt>
                <c:pt idx="4">
                  <c:v>0.21491129575567033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CA3B-432D-B2B4-8E9C3E655EE3}"/>
            </c:ext>
          </c:extLst>
        </c:ser>
        <c:ser>
          <c:idx val="1"/>
          <c:order val="1"/>
          <c:tx>
            <c:strRef>
              <c:f>'2022 Summary'!$A$63</c:f>
              <c:strCache>
                <c:ptCount val="1"/>
                <c:pt idx="0">
                  <c:v>Society and Culture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2"/>
              <c:layout>
                <c:manualLayout>
                  <c:x val="-5.261881327334083E-2"/>
                  <c:y val="-4.22683295974864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A3B-432D-B2B4-8E9C3E655EE3}"/>
                </c:ext>
              </c:extLst>
            </c:dLbl>
            <c:dLbl>
              <c:idx val="3"/>
              <c:layout>
                <c:manualLayout>
                  <c:x val="-4.9642649148277172E-2"/>
                  <c:y val="-3.61737666618789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A3B-432D-B2B4-8E9C3E655EE3}"/>
                </c:ext>
              </c:extLst>
            </c:dLbl>
            <c:dLbl>
              <c:idx val="4"/>
              <c:layout>
                <c:manualLayout>
                  <c:x val="-5.2163537787326721E-2"/>
                  <c:y val="-3.1921771320994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A3B-432D-B2B4-8E9C3E655EE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'2022 Summary'!$D$61:$H$61</c:f>
              <c:strCach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  <c:extLst/>
            </c:strRef>
          </c:cat>
          <c:val>
            <c:numRef>
              <c:f>'2022 Summary'!$D$63:$H$63</c:f>
              <c:numCache>
                <c:formatCode>0.0%</c:formatCode>
                <c:ptCount val="5"/>
                <c:pt idx="0">
                  <c:v>0.14844989948153633</c:v>
                </c:pt>
                <c:pt idx="1">
                  <c:v>0.15331240707087396</c:v>
                </c:pt>
                <c:pt idx="2">
                  <c:v>0.16793551276309898</c:v>
                </c:pt>
                <c:pt idx="3">
                  <c:v>0.16762535272411547</c:v>
                </c:pt>
                <c:pt idx="4">
                  <c:v>0.17344112583277191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4-CA3B-432D-B2B4-8E9C3E655EE3}"/>
            </c:ext>
          </c:extLst>
        </c:ser>
        <c:ser>
          <c:idx val="2"/>
          <c:order val="2"/>
          <c:tx>
            <c:strRef>
              <c:f>'2022 Summary'!$A$64</c:f>
              <c:strCache>
                <c:ptCount val="1"/>
                <c:pt idx="0">
                  <c:v>Management and Commerce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3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'2022 Summary'!$D$61:$H$61</c:f>
              <c:strCach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  <c:extLst/>
            </c:strRef>
          </c:cat>
          <c:val>
            <c:numRef>
              <c:f>'2022 Summary'!$D$64:$H$64</c:f>
              <c:numCache>
                <c:formatCode>0.0%</c:formatCode>
                <c:ptCount val="5"/>
                <c:pt idx="0">
                  <c:v>0.16442704475716854</c:v>
                </c:pt>
                <c:pt idx="1">
                  <c:v>0.15760779778622172</c:v>
                </c:pt>
                <c:pt idx="2">
                  <c:v>0.14403269144648456</c:v>
                </c:pt>
                <c:pt idx="3">
                  <c:v>0.14000434121988278</c:v>
                </c:pt>
                <c:pt idx="4">
                  <c:v>0.13526461561494124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5-CA3B-432D-B2B4-8E9C3E655E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19768863"/>
        <c:axId val="2119773439"/>
        <c:extLst>
          <c:ext xmlns:c15="http://schemas.microsoft.com/office/drawing/2012/chart" uri="{02D57815-91ED-43cb-92C2-25804820EDAC}">
            <c15:filteredLineSeries>
              <c15:ser>
                <c:idx val="3"/>
                <c:order val="3"/>
                <c:tx>
                  <c:strRef>
                    <c:extLst>
                      <c:ext uri="{02D57815-91ED-43cb-92C2-25804820EDAC}">
                        <c15:formulaRef>
                          <c15:sqref>'2022 Summary'!$A$65</c15:sqref>
                        </c15:formulaRef>
                      </c:ext>
                    </c:extLst>
                    <c:strCache>
                      <c:ptCount val="1"/>
                      <c:pt idx="0">
                        <c:v>Natural and Physical Sciences</c:v>
                      </c:pt>
                    </c:strCache>
                  </c:strRef>
                </c:tx>
                <c:spPr>
                  <a:ln w="28575" cap="rnd">
                    <a:solidFill>
                      <a:schemeClr val="accent4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4"/>
                    </a:solidFill>
                    <a:ln w="9525">
                      <a:solidFill>
                        <a:schemeClr val="accent4"/>
                      </a:solidFill>
                    </a:ln>
                    <a:effectLst/>
                  </c:spPr>
                </c:marker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b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'2022 Summary'!$D$61:$H$61</c15:sqref>
                        </c15:formulaRef>
                      </c:ext>
                    </c:extLst>
                    <c:strCache>
                      <c:ptCount val="5"/>
                      <c:pt idx="0">
                        <c:v>2018</c:v>
                      </c:pt>
                      <c:pt idx="1">
                        <c:v>2019</c:v>
                      </c:pt>
                      <c:pt idx="2">
                        <c:v>2020</c:v>
                      </c:pt>
                      <c:pt idx="3">
                        <c:v>2021</c:v>
                      </c:pt>
                      <c:pt idx="4">
                        <c:v>2022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'2022 Summary'!$D$65:$H$65</c15:sqref>
                        </c15:formulaRef>
                      </c:ext>
                    </c:extLst>
                    <c:numCache>
                      <c:formatCode>0.0%</c:formatCode>
                      <c:ptCount val="5"/>
                      <c:pt idx="0">
                        <c:v>0.13347793884245054</c:v>
                      </c:pt>
                      <c:pt idx="1">
                        <c:v>0.13332231951098628</c:v>
                      </c:pt>
                      <c:pt idx="2">
                        <c:v>0.13250111957008509</c:v>
                      </c:pt>
                      <c:pt idx="3">
                        <c:v>0.12296505317994356</c:v>
                      </c:pt>
                      <c:pt idx="4">
                        <c:v>0.12179055318511865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6-CA3B-432D-B2B4-8E9C3E655EE3}"/>
                  </c:ext>
                </c:extLst>
              </c15:ser>
            </c15:filteredLineSeries>
            <c15:filteredLine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'2022 Summary'!$A$66</c15:sqref>
                        </c15:formulaRef>
                      </c:ext>
                    </c:extLst>
                    <c:strCache>
                      <c:ptCount val="1"/>
                      <c:pt idx="0">
                        <c:v>Creative Arts</c:v>
                      </c:pt>
                    </c:strCache>
                  </c:strRef>
                </c:tx>
                <c:spPr>
                  <a:ln w="28575" cap="rnd">
                    <a:solidFill>
                      <a:schemeClr val="accent5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5"/>
                    </a:solidFill>
                    <a:ln w="9525">
                      <a:solidFill>
                        <a:schemeClr val="accent5"/>
                      </a:solidFill>
                    </a:ln>
                    <a:effectLst/>
                  </c:spPr>
                </c:marker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b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'2022 Summary'!$D$61:$H$61</c15:sqref>
                        </c15:formulaRef>
                      </c:ext>
                    </c:extLst>
                    <c:strCache>
                      <c:ptCount val="5"/>
                      <c:pt idx="0">
                        <c:v>2018</c:v>
                      </c:pt>
                      <c:pt idx="1">
                        <c:v>2019</c:v>
                      </c:pt>
                      <c:pt idx="2">
                        <c:v>2020</c:v>
                      </c:pt>
                      <c:pt idx="3">
                        <c:v>2021</c:v>
                      </c:pt>
                      <c:pt idx="4">
                        <c:v>2022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'2022 Summary'!$D$66:$H$66</c15:sqref>
                        </c15:formulaRef>
                      </c:ext>
                    </c:extLst>
                    <c:numCache>
                      <c:formatCode>0.0%</c:formatCode>
                      <c:ptCount val="5"/>
                      <c:pt idx="0">
                        <c:v>0.12421965929531266</c:v>
                      </c:pt>
                      <c:pt idx="1">
                        <c:v>0.12313453383996917</c:v>
                      </c:pt>
                      <c:pt idx="2">
                        <c:v>0.10826242722794446</c:v>
                      </c:pt>
                      <c:pt idx="3">
                        <c:v>0.10581723464293466</c:v>
                      </c:pt>
                      <c:pt idx="4">
                        <c:v>0.10487311924545251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CA3B-432D-B2B4-8E9C3E655EE3}"/>
                  </c:ext>
                </c:extLst>
              </c15:ser>
            </c15:filteredLineSeries>
          </c:ext>
        </c:extLst>
      </c:lineChart>
      <c:catAx>
        <c:axId val="21197688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19773439"/>
        <c:crosses val="autoZero"/>
        <c:auto val="1"/>
        <c:lblAlgn val="ctr"/>
        <c:lblOffset val="100"/>
        <c:noMultiLvlLbl val="0"/>
      </c:catAx>
      <c:valAx>
        <c:axId val="2119773439"/>
        <c:scaling>
          <c:orientation val="minMax"/>
          <c:max val="0.25"/>
          <c:min val="0.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19768863"/>
        <c:crosses val="autoZero"/>
        <c:crossBetween val="between"/>
        <c:majorUnit val="5.000000000000001E-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2022_Snapshot-Summary-Report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A183E4-FC4B-4D2C-B6C3-E5E00F04154A}">
  <ds:schemaRefs>
    <ds:schemaRef ds:uri="17a1d9b9-207b-4c38-8007-d3ee0423c442"/>
    <ds:schemaRef ds:uri="http://schemas.microsoft.com/office/2006/documentManagement/types"/>
    <ds:schemaRef ds:uri="http://schemas.microsoft.com/sharepoint/v4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sharepoint/v3"/>
    <ds:schemaRef ds:uri="76b566cd-adb9-46c2-964b-22eba181fd0b"/>
    <ds:schemaRef ds:uri="cb9114c1-daad-44dd-acad-30f4246641f2"/>
  </ds:schemaRefs>
</ds:datastoreItem>
</file>

<file path=customXml/itemProps2.xml><?xml version="1.0" encoding="utf-8"?>
<ds:datastoreItem xmlns:ds="http://schemas.openxmlformats.org/officeDocument/2006/customXml" ds:itemID="{5B388D44-9DEE-4200-9B1C-282E628911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1429B6-66DF-4BF6-83BA-3654BEF0E3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7B9068-7134-4EF3-8A75-75FBAFBA78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 Track 2022 Snapshot</vt:lpstr>
    </vt:vector>
  </TitlesOfParts>
  <Company>Department of Education and Training</Company>
  <LinksUpToDate>false</LinksUpToDate>
  <CharactersWithSpaces>13249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2022_Snapshot-Summary-Report</dc:title>
  <dc:creator>Bateman, Lauren L</dc:creator>
  <cp:lastModifiedBy>Scott Lillie</cp:lastModifiedBy>
  <cp:revision>4</cp:revision>
  <cp:lastPrinted>2020-01-14T06:00:00Z</cp:lastPrinted>
  <dcterms:created xsi:type="dcterms:W3CDTF">2023-05-09T04:08:00Z</dcterms:created>
  <dcterms:modified xsi:type="dcterms:W3CDTF">2023-05-09T04:12:00Z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Order">
    <vt:r8>222400</vt:r8>
  </property>
  <property fmtid="{D5CDD505-2E9C-101B-9397-08002B2CF9AE}" pid="4" name="URL">
    <vt:lpwstr/>
  </property>
  <property fmtid="{D5CDD505-2E9C-101B-9397-08002B2CF9AE}" pid="5" name="Cc">
    <vt:lpwstr/>
  </property>
  <property fmtid="{D5CDD505-2E9C-101B-9397-08002B2CF9AE}" pid="6" name="From1">
    <vt:lpwstr/>
  </property>
  <property fmtid="{D5CDD505-2E9C-101B-9397-08002B2CF9AE}" pid="7" name="xd_ProgID">
    <vt:lpwstr/>
  </property>
  <property fmtid="{D5CDD505-2E9C-101B-9397-08002B2CF9AE}" pid="8" name="DocumentSetDescription">
    <vt:lpwstr/>
  </property>
  <property fmtid="{D5CDD505-2E9C-101B-9397-08002B2CF9AE}" pid="9" name="TaxCatchAll">
    <vt:lpwstr/>
  </property>
  <property fmtid="{D5CDD505-2E9C-101B-9397-08002B2CF9AE}" pid="10" name="Attachment">
    <vt:bool>false</vt:bool>
  </property>
  <property fmtid="{D5CDD505-2E9C-101B-9397-08002B2CF9AE}" pid="11" name="TemplateUrl">
    <vt:lpwstr/>
  </property>
  <property fmtid="{D5CDD505-2E9C-101B-9397-08002B2CF9AE}" pid="12" name="DET_EDRMS_Author">
    <vt:lpwstr/>
  </property>
  <property fmtid="{D5CDD505-2E9C-101B-9397-08002B2CF9AE}" pid="13" name="To">
    <vt:lpwstr/>
  </property>
  <property fmtid="{D5CDD505-2E9C-101B-9397-08002B2CF9AE}" pid="14" name="DET_EDRMS_Category">
    <vt:lpwstr/>
  </property>
  <property fmtid="{D5CDD505-2E9C-101B-9397-08002B2CF9AE}" pid="15" name="Email Categories">
    <vt:lpwstr/>
  </property>
  <property fmtid="{D5CDD505-2E9C-101B-9397-08002B2CF9AE}" pid="16" name="Bcc">
    <vt:lpwstr/>
  </property>
  <property fmtid="{D5CDD505-2E9C-101B-9397-08002B2CF9AE}" pid="17" name="PublishingContactName">
    <vt:lpwstr/>
  </property>
  <property fmtid="{D5CDD505-2E9C-101B-9397-08002B2CF9AE}" pid="18" name="Email Subject">
    <vt:lpwstr/>
  </property>
  <property fmtid="{D5CDD505-2E9C-101B-9397-08002B2CF9AE}" pid="19" name="DET_EDRMS_Description">
    <vt:lpwstr/>
  </property>
  <property fmtid="{D5CDD505-2E9C-101B-9397-08002B2CF9AE}" pid="20" name="Conversation">
    <vt:lpwstr/>
  </property>
  <property fmtid="{D5CDD505-2E9C-101B-9397-08002B2CF9AE}" pid="21" name="RecordPoint_ActiveItemMoved">
    <vt:lpwstr/>
  </property>
  <property fmtid="{D5CDD505-2E9C-101B-9397-08002B2CF9AE}" pid="22" name="RecordPoint_WorkflowType">
    <vt:lpwstr>ActiveSubmitStub</vt:lpwstr>
  </property>
  <property fmtid="{D5CDD505-2E9C-101B-9397-08002B2CF9AE}" pid="23" name="RecordPoint_ActiveItemWebId">
    <vt:lpwstr>{e93fa699-4810-4a92-91d8-f3ea09702ed4}</vt:lpwstr>
  </property>
  <property fmtid="{D5CDD505-2E9C-101B-9397-08002B2CF9AE}" pid="24" name="RecordPoint_ActiveItemSiteId">
    <vt:lpwstr>{bada3518-a604-4f15-8bc7-4552d36ee98e}</vt:lpwstr>
  </property>
  <property fmtid="{D5CDD505-2E9C-101B-9397-08002B2CF9AE}" pid="25" name="RecordPoint_ActiveItemListId">
    <vt:lpwstr>{17a1d9b9-207b-4c38-8007-d3ee0423c442}</vt:lpwstr>
  </property>
  <property fmtid="{D5CDD505-2E9C-101B-9397-08002B2CF9AE}" pid="26" name="RecordPoint_SubmissionDate">
    <vt:lpwstr/>
  </property>
  <property fmtid="{D5CDD505-2E9C-101B-9397-08002B2CF9AE}" pid="27" name="RecordPoint_RecordFormat">
    <vt:lpwstr/>
  </property>
  <property fmtid="{D5CDD505-2E9C-101B-9397-08002B2CF9AE}" pid="28" name="DEECD_Author">
    <vt:lpwstr>94;#Education|5232e41c-5101-41fe-b638-7d41d1371531</vt:lpwstr>
  </property>
  <property fmtid="{D5CDD505-2E9C-101B-9397-08002B2CF9AE}" pid="29" name="DEECD_ItemType">
    <vt:lpwstr>101;#Page|eb523acf-a821-456c-a76b-7607578309d7</vt:lpwstr>
  </property>
  <property fmtid="{D5CDD505-2E9C-101B-9397-08002B2CF9AE}" pid="30" name="DEECD_SubjectCategory">
    <vt:lpwstr/>
  </property>
  <property fmtid="{D5CDD505-2E9C-101B-9397-08002B2CF9AE}" pid="31" name="DEECD_Audience">
    <vt:lpwstr/>
  </property>
  <property fmtid="{D5CDD505-2E9C-101B-9397-08002B2CF9AE}" pid="32" name="RecordPoint_ActiveItemUniqueId">
    <vt:lpwstr>{1596fccf-1256-4845-9a2a-1d3cd47b709b}</vt:lpwstr>
  </property>
  <property fmtid="{D5CDD505-2E9C-101B-9397-08002B2CF9AE}" pid="33" name="RecordPoint_RecordNumberSubmitted">
    <vt:lpwstr>R20230696945</vt:lpwstr>
  </property>
  <property fmtid="{D5CDD505-2E9C-101B-9397-08002B2CF9AE}" pid="34" name="RecordPoint_SubmissionCompleted">
    <vt:lpwstr>2023-01-24T11:44:33.3368464+11:00</vt:lpwstr>
  </property>
</Properties>
</file>