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FC1EB" w14:textId="7CA4A8CD" w:rsidR="005750CF" w:rsidRPr="0067161B" w:rsidRDefault="005750CF" w:rsidP="0067161B">
      <w:pPr>
        <w:pStyle w:val="Title"/>
        <w:jc w:val="center"/>
        <w:rPr>
          <w:b/>
          <w:bCs/>
        </w:rPr>
      </w:pPr>
      <w:r w:rsidRPr="0067161B">
        <w:rPr>
          <w:b/>
          <w:bCs/>
        </w:rPr>
        <w:t>On Track 20</w:t>
      </w:r>
      <w:r w:rsidR="00004EB5" w:rsidRPr="0067161B">
        <w:rPr>
          <w:b/>
          <w:bCs/>
        </w:rPr>
        <w:t>2</w:t>
      </w:r>
      <w:r w:rsidR="00D120EB" w:rsidRPr="0067161B">
        <w:rPr>
          <w:b/>
          <w:bCs/>
        </w:rPr>
        <w:t>1</w:t>
      </w:r>
      <w:r w:rsidRPr="0067161B">
        <w:rPr>
          <w:b/>
          <w:bCs/>
        </w:rPr>
        <w:t>: Destinations of Victorian School Leavers</w:t>
      </w:r>
    </w:p>
    <w:p w14:paraId="294AF61B" w14:textId="46237D3B" w:rsidR="00302AFC" w:rsidRDefault="00302AFC" w:rsidP="00C04C02">
      <w:pPr>
        <w:pStyle w:val="Heading1"/>
      </w:pPr>
      <w:r w:rsidRPr="005750CF">
        <w:t>About the Study</w:t>
      </w:r>
    </w:p>
    <w:p w14:paraId="5A8823B6" w14:textId="77777777" w:rsidR="0067161B" w:rsidRPr="0067161B" w:rsidRDefault="0067161B" w:rsidP="0067161B"/>
    <w:p w14:paraId="187230B4" w14:textId="36536D89" w:rsidR="003558E1" w:rsidRDefault="005750CF" w:rsidP="00F74AAE">
      <w:pPr>
        <w:spacing w:line="240" w:lineRule="auto"/>
        <w:contextualSpacing/>
        <w:rPr>
          <w:rFonts w:cstheme="minorHAnsi"/>
        </w:rPr>
      </w:pPr>
      <w:r>
        <w:rPr>
          <w:rFonts w:cstheme="minorHAnsi"/>
        </w:rPr>
        <w:t>Since 2003</w:t>
      </w:r>
      <w:r w:rsidR="00183785">
        <w:rPr>
          <w:rFonts w:cstheme="minorHAnsi"/>
        </w:rPr>
        <w:t>,</w:t>
      </w:r>
      <w:r>
        <w:rPr>
          <w:rFonts w:cstheme="minorHAnsi"/>
        </w:rPr>
        <w:t xml:space="preserve"> t</w:t>
      </w:r>
      <w:r w:rsidR="00627192" w:rsidRPr="005750CF">
        <w:rPr>
          <w:rFonts w:cstheme="minorHAnsi"/>
        </w:rPr>
        <w:t xml:space="preserve">he annual </w:t>
      </w:r>
      <w:r w:rsidR="00302AFC" w:rsidRPr="005750CF">
        <w:rPr>
          <w:rFonts w:cstheme="minorHAnsi"/>
        </w:rPr>
        <w:t xml:space="preserve">On Track survey </w:t>
      </w:r>
      <w:r>
        <w:rPr>
          <w:rFonts w:cstheme="minorHAnsi"/>
        </w:rPr>
        <w:t>has followed</w:t>
      </w:r>
      <w:r w:rsidR="00683A8F" w:rsidRPr="005750CF">
        <w:rPr>
          <w:rFonts w:cstheme="minorHAnsi"/>
        </w:rPr>
        <w:t xml:space="preserve"> the outcomes of</w:t>
      </w:r>
      <w:r w:rsidR="00627192" w:rsidRPr="005750CF">
        <w:rPr>
          <w:rFonts w:cstheme="minorHAnsi"/>
        </w:rPr>
        <w:t xml:space="preserve"> Victorian students </w:t>
      </w:r>
      <w:r w:rsidR="00302AFC" w:rsidRPr="005750CF">
        <w:rPr>
          <w:rFonts w:cstheme="minorHAnsi"/>
        </w:rPr>
        <w:t xml:space="preserve">who finish Year 12 and those who leave </w:t>
      </w:r>
      <w:r w:rsidR="0024773F" w:rsidRPr="005750CF">
        <w:rPr>
          <w:rFonts w:cstheme="minorHAnsi"/>
        </w:rPr>
        <w:t>school before completion</w:t>
      </w:r>
      <w:r w:rsidR="00302AFC" w:rsidRPr="005750CF">
        <w:rPr>
          <w:rFonts w:cstheme="minorHAnsi"/>
        </w:rPr>
        <w:t xml:space="preserve">. Between </w:t>
      </w:r>
      <w:r w:rsidR="00DE32F6" w:rsidRPr="00BD0E64">
        <w:rPr>
          <w:rFonts w:cstheme="minorHAnsi"/>
        </w:rPr>
        <w:t>April</w:t>
      </w:r>
      <w:r w:rsidR="00217518" w:rsidRPr="00BD0E64">
        <w:rPr>
          <w:rFonts w:cstheme="minorHAnsi"/>
        </w:rPr>
        <w:t xml:space="preserve"> </w:t>
      </w:r>
      <w:r w:rsidRPr="00BD0E64">
        <w:rPr>
          <w:rFonts w:cstheme="minorHAnsi"/>
        </w:rPr>
        <w:t xml:space="preserve">and </w:t>
      </w:r>
      <w:r w:rsidR="00DE32F6" w:rsidRPr="00BD0E64">
        <w:rPr>
          <w:rFonts w:cstheme="minorHAnsi"/>
        </w:rPr>
        <w:t>July</w:t>
      </w:r>
      <w:r w:rsidR="00217518" w:rsidRPr="00DE32F6">
        <w:rPr>
          <w:rFonts w:cstheme="minorHAnsi"/>
        </w:rPr>
        <w:t xml:space="preserve"> </w:t>
      </w:r>
      <w:r w:rsidR="006F172D" w:rsidRPr="00DE32F6">
        <w:rPr>
          <w:rFonts w:cstheme="minorHAnsi"/>
        </w:rPr>
        <w:t>202</w:t>
      </w:r>
      <w:r w:rsidR="00D120EB" w:rsidRPr="00DE32F6">
        <w:rPr>
          <w:rFonts w:cstheme="minorHAnsi"/>
        </w:rPr>
        <w:t>1</w:t>
      </w:r>
      <w:r w:rsidR="00302AFC" w:rsidRPr="005750CF">
        <w:rPr>
          <w:rFonts w:cstheme="minorHAnsi"/>
        </w:rPr>
        <w:t xml:space="preserve">, the Department surveyed </w:t>
      </w:r>
      <w:r w:rsidR="00190A07">
        <w:rPr>
          <w:rFonts w:cstheme="minorHAnsi"/>
        </w:rPr>
        <w:t>2</w:t>
      </w:r>
      <w:r w:rsidR="006B5644">
        <w:rPr>
          <w:rFonts w:cstheme="minorHAnsi"/>
        </w:rPr>
        <w:t>7,085</w:t>
      </w:r>
      <w:r w:rsidR="00683A8F" w:rsidRPr="005750CF">
        <w:rPr>
          <w:rFonts w:cstheme="minorHAnsi"/>
        </w:rPr>
        <w:t xml:space="preserve"> </w:t>
      </w:r>
      <w:r w:rsidR="00302AFC" w:rsidRPr="005750CF">
        <w:rPr>
          <w:rFonts w:cstheme="minorHAnsi"/>
        </w:rPr>
        <w:t xml:space="preserve">students who completed Year </w:t>
      </w:r>
      <w:r w:rsidR="00302AFC" w:rsidRPr="006B041F">
        <w:rPr>
          <w:rFonts w:cstheme="minorHAnsi"/>
        </w:rPr>
        <w:t>12</w:t>
      </w:r>
      <w:r w:rsidR="005B2AD6">
        <w:rPr>
          <w:rFonts w:cstheme="minorHAnsi"/>
        </w:rPr>
        <w:t xml:space="preserve"> in 20</w:t>
      </w:r>
      <w:r w:rsidR="00D120EB">
        <w:rPr>
          <w:rFonts w:cstheme="minorHAnsi"/>
        </w:rPr>
        <w:t>20</w:t>
      </w:r>
      <w:r w:rsidR="00302AFC" w:rsidRPr="006B041F">
        <w:rPr>
          <w:rFonts w:cstheme="minorHAnsi"/>
        </w:rPr>
        <w:t xml:space="preserve"> </w:t>
      </w:r>
      <w:r w:rsidR="00302AFC" w:rsidRPr="005750CF">
        <w:rPr>
          <w:rFonts w:cstheme="minorHAnsi"/>
        </w:rPr>
        <w:t xml:space="preserve">and </w:t>
      </w:r>
      <w:r w:rsidR="00BB2C57">
        <w:rPr>
          <w:rFonts w:cstheme="minorHAnsi"/>
        </w:rPr>
        <w:t>1678</w:t>
      </w:r>
      <w:r w:rsidR="00302AFC" w:rsidRPr="005750CF">
        <w:rPr>
          <w:rFonts w:cstheme="minorHAnsi"/>
        </w:rPr>
        <w:t xml:space="preserve"> students who had left school in Years 10, 11 or 12 </w:t>
      </w:r>
      <w:r w:rsidR="005B2AD6">
        <w:rPr>
          <w:rFonts w:cstheme="minorHAnsi"/>
        </w:rPr>
        <w:t>in 20</w:t>
      </w:r>
      <w:r w:rsidR="00D120EB">
        <w:rPr>
          <w:rFonts w:cstheme="minorHAnsi"/>
        </w:rPr>
        <w:t>20</w:t>
      </w:r>
      <w:r w:rsidR="00302AFC" w:rsidRPr="008262D8">
        <w:rPr>
          <w:rFonts w:cstheme="minorHAnsi"/>
        </w:rPr>
        <w:t xml:space="preserve">. </w:t>
      </w:r>
      <w:r w:rsidR="009F04B5" w:rsidRPr="008262D8">
        <w:rPr>
          <w:rFonts w:cstheme="minorHAnsi"/>
        </w:rPr>
        <w:t>Th</w:t>
      </w:r>
      <w:r w:rsidR="004365D4">
        <w:rPr>
          <w:rFonts w:cstheme="minorHAnsi"/>
        </w:rPr>
        <w:t>e total</w:t>
      </w:r>
      <w:r w:rsidR="009F04B5" w:rsidRPr="008262D8">
        <w:rPr>
          <w:rFonts w:cstheme="minorHAnsi"/>
        </w:rPr>
        <w:t xml:space="preserve"> </w:t>
      </w:r>
      <w:r w:rsidR="004365D4">
        <w:rPr>
          <w:rFonts w:cstheme="minorHAnsi"/>
        </w:rPr>
        <w:t>respondents</w:t>
      </w:r>
      <w:r w:rsidR="009F04B5" w:rsidRPr="008262D8">
        <w:rPr>
          <w:rFonts w:cstheme="minorHAnsi"/>
        </w:rPr>
        <w:t xml:space="preserve"> included </w:t>
      </w:r>
      <w:r w:rsidR="005F4229">
        <w:rPr>
          <w:rFonts w:cstheme="minorHAnsi"/>
        </w:rPr>
        <w:t>1</w:t>
      </w:r>
      <w:r w:rsidR="005F4229" w:rsidRPr="00247C71">
        <w:rPr>
          <w:rFonts w:cstheme="minorHAnsi"/>
        </w:rPr>
        <w:t>5,</w:t>
      </w:r>
      <w:r w:rsidR="002F3F7F" w:rsidRPr="00247C71">
        <w:rPr>
          <w:rFonts w:cstheme="minorHAnsi"/>
        </w:rPr>
        <w:t>511</w:t>
      </w:r>
      <w:r w:rsidR="009F04B5" w:rsidRPr="00247C71">
        <w:rPr>
          <w:rFonts w:cstheme="minorHAnsi"/>
        </w:rPr>
        <w:t xml:space="preserve"> female, </w:t>
      </w:r>
      <w:r w:rsidR="00742812" w:rsidRPr="00247C71">
        <w:rPr>
          <w:rFonts w:cstheme="minorHAnsi"/>
        </w:rPr>
        <w:t>13,</w:t>
      </w:r>
      <w:r w:rsidR="002F3F7F" w:rsidRPr="00247C71">
        <w:rPr>
          <w:rFonts w:cstheme="minorHAnsi"/>
        </w:rPr>
        <w:t>212</w:t>
      </w:r>
      <w:r w:rsidR="009F04B5" w:rsidRPr="00247C71">
        <w:rPr>
          <w:rFonts w:cstheme="minorHAnsi"/>
        </w:rPr>
        <w:t xml:space="preserve"> male</w:t>
      </w:r>
      <w:r w:rsidR="00E33875" w:rsidRPr="00247C71">
        <w:rPr>
          <w:rFonts w:cstheme="minorHAnsi"/>
        </w:rPr>
        <w:t xml:space="preserve"> and </w:t>
      </w:r>
      <w:r w:rsidR="002F3F7F" w:rsidRPr="00247C71">
        <w:rPr>
          <w:rFonts w:cstheme="minorHAnsi"/>
        </w:rPr>
        <w:t>40</w:t>
      </w:r>
      <w:r w:rsidR="00742812" w:rsidRPr="00247C71">
        <w:rPr>
          <w:rFonts w:cstheme="minorHAnsi"/>
        </w:rPr>
        <w:t xml:space="preserve"> </w:t>
      </w:r>
      <w:r w:rsidR="00E33875" w:rsidRPr="00247C71">
        <w:rPr>
          <w:rFonts w:cstheme="minorHAnsi"/>
        </w:rPr>
        <w:t xml:space="preserve">gender X </w:t>
      </w:r>
      <w:r w:rsidR="00062A83" w:rsidRPr="00247C71">
        <w:rPr>
          <w:rFonts w:cstheme="minorHAnsi"/>
        </w:rPr>
        <w:t>(undefined)</w:t>
      </w:r>
      <w:r w:rsidR="00062A83" w:rsidRPr="008262D8">
        <w:rPr>
          <w:rFonts w:cstheme="minorHAnsi"/>
        </w:rPr>
        <w:t xml:space="preserve"> </w:t>
      </w:r>
      <w:r w:rsidR="00E33875" w:rsidRPr="008262D8">
        <w:rPr>
          <w:rFonts w:cstheme="minorHAnsi"/>
        </w:rPr>
        <w:t>respondents.</w:t>
      </w:r>
      <w:r w:rsidR="00E33875" w:rsidRPr="005750CF">
        <w:rPr>
          <w:rFonts w:cstheme="minorHAnsi"/>
        </w:rPr>
        <w:t xml:space="preserve"> </w:t>
      </w:r>
    </w:p>
    <w:p w14:paraId="33AE9372" w14:textId="77777777" w:rsidR="00192E36" w:rsidRDefault="00192E36" w:rsidP="00F74AAE">
      <w:pPr>
        <w:spacing w:line="240" w:lineRule="auto"/>
        <w:contextualSpacing/>
        <w:rPr>
          <w:rFonts w:cstheme="minorHAnsi"/>
        </w:rPr>
      </w:pPr>
    </w:p>
    <w:p w14:paraId="76C594A4" w14:textId="5545A50E" w:rsidR="00187CA7" w:rsidRDefault="000E1285" w:rsidP="00C04C02">
      <w:pPr>
        <w:pStyle w:val="Heading1"/>
      </w:pPr>
      <w:r>
        <w:t xml:space="preserve">Key Findings </w:t>
      </w:r>
      <w:r w:rsidR="00954402">
        <w:t>202</w:t>
      </w:r>
      <w:r w:rsidR="00D120EB">
        <w:t>1</w:t>
      </w:r>
    </w:p>
    <w:p w14:paraId="606CA831" w14:textId="11029F7D" w:rsidR="003D21FF" w:rsidRPr="003D21FF" w:rsidRDefault="005A26E1" w:rsidP="00D3161B">
      <w:pPr>
        <w:pStyle w:val="ListParagraph"/>
        <w:numPr>
          <w:ilvl w:val="0"/>
          <w:numId w:val="20"/>
        </w:numPr>
        <w:spacing w:before="120" w:line="240" w:lineRule="auto"/>
        <w:ind w:left="425" w:hanging="357"/>
        <w:rPr>
          <w:rFonts w:cstheme="minorHAnsi"/>
          <w:bCs/>
        </w:rPr>
      </w:pPr>
      <w:r w:rsidRPr="003D21FF">
        <w:rPr>
          <w:rFonts w:cstheme="minorHAnsi"/>
        </w:rPr>
        <w:t xml:space="preserve">The </w:t>
      </w:r>
      <w:r w:rsidR="001C0644" w:rsidRPr="003D21FF">
        <w:rPr>
          <w:rFonts w:cstheme="minorHAnsi"/>
        </w:rPr>
        <w:t>202</w:t>
      </w:r>
      <w:r w:rsidR="00D120EB" w:rsidRPr="003D21FF">
        <w:rPr>
          <w:rFonts w:cstheme="minorHAnsi"/>
        </w:rPr>
        <w:t>1</w:t>
      </w:r>
      <w:r w:rsidR="001C0644" w:rsidRPr="003D21FF">
        <w:rPr>
          <w:rFonts w:cstheme="minorHAnsi"/>
        </w:rPr>
        <w:t xml:space="preserve"> </w:t>
      </w:r>
      <w:r w:rsidRPr="003D21FF">
        <w:rPr>
          <w:rFonts w:cstheme="minorHAnsi"/>
        </w:rPr>
        <w:t xml:space="preserve">On Track survey results </w:t>
      </w:r>
      <w:r w:rsidR="0070332D">
        <w:rPr>
          <w:rFonts w:cstheme="minorHAnsi"/>
        </w:rPr>
        <w:t>marked</w:t>
      </w:r>
      <w:r w:rsidR="00822981" w:rsidRPr="003D21FF">
        <w:rPr>
          <w:rFonts w:cstheme="minorHAnsi"/>
        </w:rPr>
        <w:t xml:space="preserve"> </w:t>
      </w:r>
      <w:r w:rsidR="00496A3B" w:rsidRPr="003D21FF">
        <w:rPr>
          <w:rFonts w:cstheme="minorHAnsi"/>
        </w:rPr>
        <w:t>a return to pre-</w:t>
      </w:r>
      <w:r w:rsidR="00822981" w:rsidRPr="003D21FF">
        <w:rPr>
          <w:rFonts w:cstheme="minorHAnsi"/>
        </w:rPr>
        <w:t>COVID-19</w:t>
      </w:r>
      <w:r w:rsidR="00496A3B" w:rsidRPr="003D21FF">
        <w:rPr>
          <w:rFonts w:cstheme="minorHAnsi"/>
        </w:rPr>
        <w:t xml:space="preserve"> </w:t>
      </w:r>
      <w:r w:rsidR="0070332D">
        <w:rPr>
          <w:rFonts w:cstheme="minorHAnsi"/>
        </w:rPr>
        <w:t>proportion</w:t>
      </w:r>
      <w:r w:rsidR="00496A3B" w:rsidRPr="003D21FF">
        <w:rPr>
          <w:rFonts w:cstheme="minorHAnsi"/>
        </w:rPr>
        <w:t xml:space="preserve">s of </w:t>
      </w:r>
      <w:r w:rsidR="00A15678">
        <w:rPr>
          <w:rFonts w:cstheme="minorHAnsi"/>
        </w:rPr>
        <w:t>respondents</w:t>
      </w:r>
      <w:r w:rsidR="0070332D">
        <w:rPr>
          <w:rFonts w:cstheme="minorHAnsi"/>
        </w:rPr>
        <w:t xml:space="preserve"> indicating they were in </w:t>
      </w:r>
      <w:r w:rsidR="00496A3B" w:rsidRPr="00D3161B">
        <w:rPr>
          <w:rFonts w:cstheme="minorHAnsi"/>
          <w:b/>
        </w:rPr>
        <w:t>employment</w:t>
      </w:r>
      <w:r w:rsidR="00496A3B" w:rsidRPr="003D21FF">
        <w:rPr>
          <w:rFonts w:cstheme="minorHAnsi"/>
        </w:rPr>
        <w:t xml:space="preserve"> and ‘not in labour force, education or training</w:t>
      </w:r>
      <w:r w:rsidR="0070332D">
        <w:rPr>
          <w:rFonts w:cstheme="minorHAnsi"/>
        </w:rPr>
        <w:t>’</w:t>
      </w:r>
      <w:r w:rsidR="00496A3B" w:rsidRPr="003D21FF">
        <w:rPr>
          <w:rFonts w:cstheme="minorHAnsi"/>
        </w:rPr>
        <w:t xml:space="preserve"> (NILFET)</w:t>
      </w:r>
      <w:r w:rsidR="00184586" w:rsidRPr="003D21FF">
        <w:rPr>
          <w:rFonts w:cstheme="minorHAnsi"/>
        </w:rPr>
        <w:t>.</w:t>
      </w:r>
      <w:r w:rsidR="00C97C6F" w:rsidRPr="003D21FF">
        <w:rPr>
          <w:rFonts w:cstheme="minorHAnsi"/>
        </w:rPr>
        <w:t xml:space="preserve"> </w:t>
      </w:r>
    </w:p>
    <w:p w14:paraId="54018D85" w14:textId="4FBF5AEA" w:rsidR="00203A72" w:rsidRPr="00394268" w:rsidRDefault="00496A3B" w:rsidP="00D3161B">
      <w:pPr>
        <w:pStyle w:val="ListParagraph"/>
        <w:numPr>
          <w:ilvl w:val="0"/>
          <w:numId w:val="20"/>
        </w:numPr>
        <w:spacing w:before="120" w:line="240" w:lineRule="auto"/>
        <w:ind w:left="425" w:hanging="357"/>
        <w:rPr>
          <w:rFonts w:cstheme="minorHAnsi"/>
          <w:bCs/>
        </w:rPr>
      </w:pPr>
      <w:r w:rsidRPr="003D21FF">
        <w:rPr>
          <w:rFonts w:cstheme="minorHAnsi"/>
        </w:rPr>
        <w:t>M</w:t>
      </w:r>
      <w:r w:rsidR="00C97C6F" w:rsidRPr="003D21FF">
        <w:rPr>
          <w:rFonts w:cstheme="minorHAnsi"/>
        </w:rPr>
        <w:t xml:space="preserve">ore </w:t>
      </w:r>
      <w:r w:rsidR="00203A72">
        <w:rPr>
          <w:rFonts w:cstheme="minorHAnsi"/>
        </w:rPr>
        <w:t>respondent</w:t>
      </w:r>
      <w:r w:rsidR="00C97C6F" w:rsidRPr="003D21FF">
        <w:rPr>
          <w:rFonts w:cstheme="minorHAnsi"/>
        </w:rPr>
        <w:t xml:space="preserve">s are pursuing </w:t>
      </w:r>
      <w:r w:rsidR="005F5A60">
        <w:rPr>
          <w:rFonts w:cstheme="minorHAnsi"/>
        </w:rPr>
        <w:t xml:space="preserve">education or training in 2021, with </w:t>
      </w:r>
      <w:r w:rsidR="00A15678">
        <w:rPr>
          <w:rFonts w:cstheme="minorHAnsi"/>
        </w:rPr>
        <w:t>an</w:t>
      </w:r>
      <w:r w:rsidR="005F5A60">
        <w:rPr>
          <w:rFonts w:cstheme="minorHAnsi"/>
        </w:rPr>
        <w:t xml:space="preserve"> </w:t>
      </w:r>
      <w:r w:rsidR="005F5A60" w:rsidRPr="00D3161B">
        <w:rPr>
          <w:rFonts w:cstheme="minorHAnsi"/>
          <w:b/>
          <w:bCs/>
        </w:rPr>
        <w:t xml:space="preserve">increase in </w:t>
      </w:r>
      <w:r w:rsidR="00C97C6F" w:rsidRPr="00D3161B">
        <w:rPr>
          <w:rFonts w:cstheme="minorHAnsi"/>
          <w:b/>
        </w:rPr>
        <w:t>apprenticeships</w:t>
      </w:r>
      <w:r w:rsidR="006438FA" w:rsidRPr="00D3161B">
        <w:rPr>
          <w:rFonts w:cstheme="minorHAnsi"/>
          <w:b/>
          <w:bCs/>
        </w:rPr>
        <w:t xml:space="preserve"> or</w:t>
      </w:r>
      <w:r w:rsidR="00C97C6F" w:rsidRPr="00D3161B">
        <w:rPr>
          <w:rFonts w:cstheme="minorHAnsi"/>
          <w:b/>
        </w:rPr>
        <w:t xml:space="preserve"> traineeships</w:t>
      </w:r>
      <w:r w:rsidR="00C97C6F" w:rsidRPr="003D21FF">
        <w:rPr>
          <w:rFonts w:cstheme="minorHAnsi"/>
        </w:rPr>
        <w:t xml:space="preserve"> </w:t>
      </w:r>
      <w:r w:rsidR="005F5A60">
        <w:rPr>
          <w:rFonts w:cstheme="minorHAnsi"/>
        </w:rPr>
        <w:t xml:space="preserve">the major </w:t>
      </w:r>
      <w:r w:rsidR="00A15678">
        <w:rPr>
          <w:rFonts w:cstheme="minorHAnsi"/>
        </w:rPr>
        <w:t>driver for</w:t>
      </w:r>
      <w:r w:rsidR="005F5A60">
        <w:rPr>
          <w:rFonts w:cstheme="minorHAnsi"/>
        </w:rPr>
        <w:t xml:space="preserve"> this growth</w:t>
      </w:r>
      <w:r w:rsidR="00394268">
        <w:rPr>
          <w:rFonts w:cstheme="minorHAnsi"/>
        </w:rPr>
        <w:t>.</w:t>
      </w:r>
    </w:p>
    <w:p w14:paraId="36865556" w14:textId="2F94362D" w:rsidR="003D21FF" w:rsidRPr="003D21FF" w:rsidRDefault="005F5A60" w:rsidP="00D3161B">
      <w:pPr>
        <w:pStyle w:val="ListParagraph"/>
        <w:numPr>
          <w:ilvl w:val="0"/>
          <w:numId w:val="20"/>
        </w:numPr>
        <w:spacing w:before="120" w:line="240" w:lineRule="auto"/>
        <w:ind w:left="425" w:hanging="357"/>
        <w:rPr>
          <w:rFonts w:cstheme="minorHAnsi"/>
          <w:bCs/>
        </w:rPr>
      </w:pPr>
      <w:r>
        <w:rPr>
          <w:rFonts w:cstheme="minorHAnsi"/>
        </w:rPr>
        <w:t>F</w:t>
      </w:r>
      <w:r w:rsidR="00C97C6F" w:rsidRPr="003D21FF">
        <w:rPr>
          <w:rFonts w:cstheme="minorHAnsi"/>
        </w:rPr>
        <w:t xml:space="preserve">emale </w:t>
      </w:r>
      <w:r w:rsidR="00A15678">
        <w:rPr>
          <w:rFonts w:cstheme="minorHAnsi"/>
        </w:rPr>
        <w:t>respondents</w:t>
      </w:r>
      <w:r w:rsidR="00C97C6F" w:rsidRPr="003D21FF">
        <w:rPr>
          <w:rFonts w:cstheme="minorHAnsi"/>
        </w:rPr>
        <w:t xml:space="preserve"> who did not complete year 12 </w:t>
      </w:r>
      <w:r w:rsidR="00C71F00">
        <w:rPr>
          <w:rFonts w:cstheme="minorHAnsi"/>
        </w:rPr>
        <w:t>represent</w:t>
      </w:r>
      <w:r w:rsidR="0070332D">
        <w:rPr>
          <w:rFonts w:cstheme="minorHAnsi"/>
        </w:rPr>
        <w:t xml:space="preserve"> the largest proportional increase</w:t>
      </w:r>
      <w:r>
        <w:rPr>
          <w:rFonts w:cstheme="minorHAnsi"/>
        </w:rPr>
        <w:t xml:space="preserve"> in the uptake of apprenticeships/ traineeships</w:t>
      </w:r>
      <w:r w:rsidR="00C97C6F" w:rsidRPr="003D21FF">
        <w:rPr>
          <w:rFonts w:cstheme="minorHAnsi"/>
        </w:rPr>
        <w:t xml:space="preserve">. </w:t>
      </w:r>
    </w:p>
    <w:p w14:paraId="32A34088" w14:textId="576562EC" w:rsidR="00040EA6" w:rsidRPr="00040EA6" w:rsidRDefault="00040EA6" w:rsidP="00D3161B">
      <w:pPr>
        <w:pStyle w:val="ListParagraph"/>
        <w:numPr>
          <w:ilvl w:val="0"/>
          <w:numId w:val="20"/>
        </w:numPr>
        <w:spacing w:before="120" w:line="240" w:lineRule="auto"/>
        <w:ind w:left="425" w:hanging="357"/>
        <w:rPr>
          <w:rFonts w:cstheme="minorHAnsi"/>
          <w:bCs/>
        </w:rPr>
      </w:pPr>
      <w:r w:rsidRPr="00040EA6">
        <w:rPr>
          <w:rFonts w:cstheme="minorHAnsi"/>
          <w:bCs/>
        </w:rPr>
        <w:t xml:space="preserve">Greater proportions of Year 12 completers in both government and non-government schools, and non-completers are accessing education or training once they leave school. </w:t>
      </w:r>
    </w:p>
    <w:p w14:paraId="348E30F7" w14:textId="6A075A60" w:rsidR="00394268" w:rsidRPr="00040EA6" w:rsidRDefault="00394268" w:rsidP="00D3161B">
      <w:pPr>
        <w:pStyle w:val="ListParagraph"/>
        <w:numPr>
          <w:ilvl w:val="0"/>
          <w:numId w:val="20"/>
        </w:numPr>
        <w:spacing w:before="120" w:line="240" w:lineRule="auto"/>
        <w:ind w:left="425" w:hanging="357"/>
        <w:rPr>
          <w:rFonts w:cstheme="minorHAnsi"/>
          <w:bCs/>
        </w:rPr>
      </w:pPr>
      <w:r>
        <w:rPr>
          <w:rFonts w:cstheme="minorHAnsi"/>
        </w:rPr>
        <w:t xml:space="preserve">More respondents are pursuing </w:t>
      </w:r>
      <w:r w:rsidRPr="00B46907">
        <w:rPr>
          <w:rFonts w:cstheme="minorHAnsi"/>
          <w:b/>
          <w:bCs/>
        </w:rPr>
        <w:t>Bachelor degrees</w:t>
      </w:r>
      <w:r w:rsidR="00040EA6" w:rsidRPr="00040EA6">
        <w:rPr>
          <w:rFonts w:cstheme="minorHAnsi"/>
          <w:bCs/>
        </w:rPr>
        <w:t xml:space="preserve"> and </w:t>
      </w:r>
      <w:r w:rsidR="00040EA6" w:rsidRPr="00D3161B">
        <w:rPr>
          <w:rFonts w:cstheme="minorHAnsi"/>
          <w:b/>
        </w:rPr>
        <w:t>deferrals</w:t>
      </w:r>
      <w:r w:rsidR="00040EA6" w:rsidRPr="00040EA6">
        <w:rPr>
          <w:rFonts w:cstheme="minorHAnsi"/>
          <w:bCs/>
        </w:rPr>
        <w:t xml:space="preserve"> </w:t>
      </w:r>
      <w:r w:rsidR="00040EA6">
        <w:rPr>
          <w:rFonts w:cstheme="minorHAnsi"/>
          <w:bCs/>
        </w:rPr>
        <w:t xml:space="preserve">of study </w:t>
      </w:r>
      <w:r w:rsidR="00040EA6" w:rsidRPr="00040EA6">
        <w:rPr>
          <w:rFonts w:cstheme="minorHAnsi"/>
          <w:bCs/>
        </w:rPr>
        <w:t>overall are lower in 2021 than they have been over the past five years.</w:t>
      </w:r>
    </w:p>
    <w:p w14:paraId="0E5DE198" w14:textId="327454E3" w:rsidR="00040EA6" w:rsidRPr="00173A5D" w:rsidRDefault="00040EA6" w:rsidP="00D3161B">
      <w:pPr>
        <w:pStyle w:val="ListParagraph"/>
        <w:numPr>
          <w:ilvl w:val="0"/>
          <w:numId w:val="20"/>
        </w:numPr>
        <w:spacing w:before="120" w:line="240" w:lineRule="auto"/>
        <w:ind w:left="425" w:hanging="357"/>
        <w:rPr>
          <w:rFonts w:cstheme="minorHAnsi"/>
          <w:bCs/>
        </w:rPr>
      </w:pPr>
      <w:r w:rsidRPr="00040EA6">
        <w:rPr>
          <w:rFonts w:cstheme="minorHAnsi"/>
          <w:bCs/>
        </w:rPr>
        <w:t>Respondents who complete Year 12 continue to pursue further education or training opportunities at greater proportions than respondents who have left school prior to Year 12 completion.</w:t>
      </w:r>
    </w:p>
    <w:p w14:paraId="3800A783" w14:textId="33B8B756" w:rsidR="009E7E5D" w:rsidRDefault="009E7E5D" w:rsidP="00D3161B">
      <w:pPr>
        <w:pStyle w:val="ListParagraph"/>
        <w:numPr>
          <w:ilvl w:val="0"/>
          <w:numId w:val="20"/>
        </w:numPr>
        <w:spacing w:before="120" w:line="240" w:lineRule="auto"/>
        <w:ind w:left="425" w:hanging="357"/>
        <w:rPr>
          <w:rFonts w:cstheme="minorHAnsi"/>
          <w:bCs/>
        </w:rPr>
      </w:pPr>
      <w:r w:rsidRPr="003D21FF">
        <w:rPr>
          <w:rFonts w:cstheme="minorHAnsi"/>
          <w:bCs/>
        </w:rPr>
        <w:t xml:space="preserve">Differences between </w:t>
      </w:r>
      <w:r w:rsidRPr="00B46907">
        <w:rPr>
          <w:rFonts w:cstheme="minorHAnsi"/>
          <w:b/>
        </w:rPr>
        <w:t>gender, location and sector</w:t>
      </w:r>
      <w:r w:rsidRPr="003D21FF">
        <w:rPr>
          <w:rFonts w:cstheme="minorHAnsi"/>
          <w:bCs/>
        </w:rPr>
        <w:t xml:space="preserve"> are</w:t>
      </w:r>
      <w:r w:rsidR="0070332D">
        <w:rPr>
          <w:rFonts w:cstheme="minorHAnsi"/>
          <w:bCs/>
        </w:rPr>
        <w:t xml:space="preserve"> </w:t>
      </w:r>
      <w:r w:rsidRPr="003D21FF">
        <w:rPr>
          <w:rFonts w:cstheme="minorHAnsi"/>
          <w:bCs/>
        </w:rPr>
        <w:t>consistent with previous years.</w:t>
      </w:r>
    </w:p>
    <w:p w14:paraId="5D5E2BFC" w14:textId="28C48788" w:rsidR="008F5E55" w:rsidRDefault="008F5E55" w:rsidP="00D3161B">
      <w:pPr>
        <w:pStyle w:val="ListParagraph"/>
        <w:numPr>
          <w:ilvl w:val="0"/>
          <w:numId w:val="20"/>
        </w:numPr>
        <w:spacing w:before="120" w:line="240" w:lineRule="auto"/>
        <w:ind w:left="425" w:hanging="357"/>
        <w:rPr>
          <w:rFonts w:cstheme="minorHAnsi"/>
          <w:bCs/>
        </w:rPr>
      </w:pPr>
      <w:r>
        <w:rPr>
          <w:rFonts w:cstheme="minorHAnsi"/>
          <w:bCs/>
        </w:rPr>
        <w:t xml:space="preserve">Employment destinations were similar to </w:t>
      </w:r>
      <w:r w:rsidR="00C71F00">
        <w:rPr>
          <w:rFonts w:cstheme="minorHAnsi"/>
          <w:bCs/>
        </w:rPr>
        <w:t xml:space="preserve">those of </w:t>
      </w:r>
      <w:r>
        <w:rPr>
          <w:rFonts w:cstheme="minorHAnsi"/>
          <w:bCs/>
        </w:rPr>
        <w:t xml:space="preserve">previous years, with </w:t>
      </w:r>
      <w:r w:rsidRPr="00D3161B">
        <w:rPr>
          <w:rFonts w:cstheme="minorHAnsi"/>
          <w:b/>
        </w:rPr>
        <w:t>Food, Hospitality and Tourism</w:t>
      </w:r>
      <w:r>
        <w:rPr>
          <w:rFonts w:cstheme="minorHAnsi"/>
          <w:bCs/>
        </w:rPr>
        <w:t xml:space="preserve"> the most popular sector</w:t>
      </w:r>
      <w:r w:rsidR="006438FA">
        <w:rPr>
          <w:rFonts w:cstheme="minorHAnsi"/>
          <w:bCs/>
        </w:rPr>
        <w:t>s</w:t>
      </w:r>
      <w:r>
        <w:rPr>
          <w:rFonts w:cstheme="minorHAnsi"/>
          <w:bCs/>
        </w:rPr>
        <w:t xml:space="preserve"> for Year 12 completers and </w:t>
      </w:r>
      <w:r w:rsidRPr="00D3161B">
        <w:rPr>
          <w:rFonts w:cstheme="minorHAnsi"/>
          <w:b/>
        </w:rPr>
        <w:t xml:space="preserve">Building and Construction </w:t>
      </w:r>
      <w:r>
        <w:rPr>
          <w:rFonts w:cstheme="minorHAnsi"/>
          <w:bCs/>
        </w:rPr>
        <w:t>representing the most popular field for no</w:t>
      </w:r>
      <w:r w:rsidR="00C71F00">
        <w:rPr>
          <w:rFonts w:cstheme="minorHAnsi"/>
          <w:bCs/>
        </w:rPr>
        <w:t>n</w:t>
      </w:r>
      <w:r>
        <w:rPr>
          <w:rFonts w:cstheme="minorHAnsi"/>
          <w:bCs/>
        </w:rPr>
        <w:t>-completers</w:t>
      </w:r>
      <w:r w:rsidR="00984D6B">
        <w:rPr>
          <w:rFonts w:cstheme="minorHAnsi"/>
          <w:bCs/>
        </w:rPr>
        <w:t>.</w:t>
      </w:r>
    </w:p>
    <w:p w14:paraId="7787E5AE" w14:textId="2D6859C1" w:rsidR="00984D6B" w:rsidRDefault="00984D6B" w:rsidP="00D3161B">
      <w:pPr>
        <w:pStyle w:val="ListParagraph"/>
        <w:numPr>
          <w:ilvl w:val="0"/>
          <w:numId w:val="20"/>
        </w:numPr>
        <w:spacing w:before="120" w:line="240" w:lineRule="auto"/>
        <w:ind w:left="425" w:hanging="357"/>
        <w:rPr>
          <w:rFonts w:cstheme="minorHAnsi"/>
          <w:bCs/>
        </w:rPr>
      </w:pPr>
      <w:r w:rsidRPr="00D3161B">
        <w:rPr>
          <w:rFonts w:cstheme="minorHAnsi"/>
          <w:b/>
        </w:rPr>
        <w:t>Management and Commerce</w:t>
      </w:r>
      <w:r>
        <w:rPr>
          <w:rFonts w:cstheme="minorHAnsi"/>
          <w:bCs/>
        </w:rPr>
        <w:t xml:space="preserve"> has risen to be the most popular field of study for non-completers (previously Society and Culture)</w:t>
      </w:r>
    </w:p>
    <w:p w14:paraId="4FFD901C" w14:textId="38C7247E" w:rsidR="00984D6B" w:rsidRDefault="006438FA" w:rsidP="00D3161B">
      <w:pPr>
        <w:pStyle w:val="ListParagraph"/>
        <w:numPr>
          <w:ilvl w:val="0"/>
          <w:numId w:val="20"/>
        </w:numPr>
        <w:spacing w:before="120" w:line="240" w:lineRule="auto"/>
        <w:ind w:left="425" w:hanging="357"/>
        <w:rPr>
          <w:rFonts w:cstheme="minorHAnsi"/>
          <w:bCs/>
        </w:rPr>
      </w:pPr>
      <w:r>
        <w:rPr>
          <w:rFonts w:cstheme="minorHAnsi"/>
          <w:bCs/>
        </w:rPr>
        <w:t xml:space="preserve">Reported </w:t>
      </w:r>
      <w:r w:rsidRPr="00E72C6C">
        <w:rPr>
          <w:rFonts w:cstheme="minorHAnsi"/>
          <w:b/>
        </w:rPr>
        <w:t>r</w:t>
      </w:r>
      <w:r w:rsidR="00984D6B" w:rsidRPr="00E72C6C">
        <w:rPr>
          <w:rFonts w:cstheme="minorHAnsi"/>
          <w:b/>
        </w:rPr>
        <w:t>easons for leaving school</w:t>
      </w:r>
      <w:r w:rsidR="00984D6B">
        <w:rPr>
          <w:rFonts w:cstheme="minorHAnsi"/>
          <w:bCs/>
        </w:rPr>
        <w:t xml:space="preserve"> were broadly in line with previous years, although there was a decline in respondents identifying ‘study elsewhere’ as a reason to leave early.</w:t>
      </w:r>
    </w:p>
    <w:p w14:paraId="13F22ECA" w14:textId="77777777" w:rsidR="003D21FF" w:rsidRPr="005750CF" w:rsidRDefault="003D21FF" w:rsidP="00F74AAE">
      <w:pPr>
        <w:spacing w:line="240" w:lineRule="auto"/>
        <w:contextualSpacing/>
        <w:rPr>
          <w:rFonts w:cstheme="minorHAnsi"/>
        </w:rPr>
      </w:pPr>
    </w:p>
    <w:p w14:paraId="308DD3A4" w14:textId="4215A5F5" w:rsidR="001D7AEF" w:rsidRPr="006438FA" w:rsidRDefault="001D7AEF" w:rsidP="00F74AAE">
      <w:pPr>
        <w:spacing w:line="240" w:lineRule="auto"/>
        <w:contextualSpacing/>
        <w:rPr>
          <w:rFonts w:cstheme="minorHAnsi"/>
          <w:b/>
          <w:bCs/>
          <w:sz w:val="28"/>
          <w:szCs w:val="28"/>
        </w:rPr>
      </w:pPr>
      <w:r>
        <w:rPr>
          <w:rFonts w:cstheme="minorHAnsi"/>
          <w:b/>
          <w:bCs/>
          <w:sz w:val="28"/>
          <w:szCs w:val="28"/>
        </w:rPr>
        <w:t>Exit destinations</w:t>
      </w:r>
    </w:p>
    <w:p w14:paraId="20740E15" w14:textId="77777777" w:rsidR="003D21FF" w:rsidRPr="003D21FF" w:rsidRDefault="003D21FF" w:rsidP="00F74AAE">
      <w:pPr>
        <w:spacing w:line="240" w:lineRule="auto"/>
        <w:contextualSpacing/>
        <w:rPr>
          <w:rFonts w:cstheme="minorHAnsi"/>
          <w:b/>
          <w:bCs/>
        </w:rPr>
      </w:pPr>
    </w:p>
    <w:tbl>
      <w:tblPr>
        <w:tblStyle w:val="TableGrid"/>
        <w:tblW w:w="0" w:type="auto"/>
        <w:tblLook w:val="04A0" w:firstRow="1" w:lastRow="0" w:firstColumn="1" w:lastColumn="0" w:noHBand="0" w:noVBand="1"/>
      </w:tblPr>
      <w:tblGrid>
        <w:gridCol w:w="3685"/>
        <w:gridCol w:w="1122"/>
        <w:gridCol w:w="3087"/>
        <w:gridCol w:w="1122"/>
      </w:tblGrid>
      <w:tr w:rsidR="006A5B84" w14:paraId="6E8D2579" w14:textId="296C3A5A" w:rsidTr="006438FA">
        <w:tc>
          <w:tcPr>
            <w:tcW w:w="0" w:type="auto"/>
            <w:shd w:val="clear" w:color="auto" w:fill="FFFFFF" w:themeFill="background1"/>
          </w:tcPr>
          <w:p w14:paraId="1447C555" w14:textId="4CF3B987" w:rsidR="00D04BB4" w:rsidRPr="00D83AC3" w:rsidRDefault="003A3286" w:rsidP="00F74AAE">
            <w:pPr>
              <w:contextualSpacing/>
              <w:rPr>
                <w:rFonts w:cstheme="minorHAnsi"/>
                <w:b/>
              </w:rPr>
            </w:pPr>
            <w:r w:rsidRPr="00D83AC3">
              <w:rPr>
                <w:rFonts w:cstheme="minorHAnsi"/>
              </w:rPr>
              <w:t xml:space="preserve">Young people who </w:t>
            </w:r>
            <w:r w:rsidRPr="00D83AC3">
              <w:rPr>
                <w:rFonts w:cstheme="minorHAnsi"/>
                <w:b/>
                <w:bCs/>
              </w:rPr>
              <w:t xml:space="preserve">complete Year 12 </w:t>
            </w:r>
            <w:r w:rsidRPr="00D83AC3">
              <w:rPr>
                <w:rFonts w:cstheme="minorHAnsi"/>
              </w:rPr>
              <w:t>are significantly more likely to continue their education and training journey than seek employment in the workplace</w:t>
            </w:r>
            <w:r w:rsidR="00D3483E" w:rsidRPr="00D83AC3">
              <w:rPr>
                <w:rFonts w:cstheme="minorHAnsi"/>
              </w:rPr>
              <w:t>.</w:t>
            </w:r>
          </w:p>
        </w:tc>
        <w:tc>
          <w:tcPr>
            <w:tcW w:w="0" w:type="auto"/>
            <w:shd w:val="clear" w:color="auto" w:fill="FFFFFF" w:themeFill="background1"/>
          </w:tcPr>
          <w:p w14:paraId="2D92FBCE" w14:textId="52286AF5" w:rsidR="00D04BB4" w:rsidRPr="00D83AC3" w:rsidRDefault="007D296D" w:rsidP="006379A3">
            <w:pPr>
              <w:contextualSpacing/>
              <w:jc w:val="center"/>
              <w:rPr>
                <w:rFonts w:cstheme="minorHAnsi"/>
                <w:b/>
                <w:sz w:val="36"/>
                <w:szCs w:val="36"/>
              </w:rPr>
            </w:pPr>
            <w:r>
              <w:rPr>
                <w:rFonts w:cstheme="minorHAnsi"/>
                <w:b/>
                <w:sz w:val="36"/>
                <w:szCs w:val="36"/>
              </w:rPr>
              <w:t>77.</w:t>
            </w:r>
            <w:r w:rsidR="0071782C">
              <w:rPr>
                <w:rFonts w:cstheme="minorHAnsi"/>
                <w:b/>
                <w:sz w:val="36"/>
                <w:szCs w:val="36"/>
              </w:rPr>
              <w:t>2</w:t>
            </w:r>
            <w:r>
              <w:rPr>
                <w:rFonts w:cstheme="minorHAnsi"/>
                <w:b/>
                <w:sz w:val="36"/>
                <w:szCs w:val="36"/>
              </w:rPr>
              <w:t>%</w:t>
            </w:r>
          </w:p>
        </w:tc>
        <w:tc>
          <w:tcPr>
            <w:tcW w:w="0" w:type="auto"/>
            <w:shd w:val="clear" w:color="auto" w:fill="FFFFFF" w:themeFill="background1"/>
          </w:tcPr>
          <w:p w14:paraId="7AD2DDA2" w14:textId="42022A6D" w:rsidR="00D04BB4" w:rsidRPr="00D83AC3" w:rsidRDefault="007777C9" w:rsidP="00F74AAE">
            <w:pPr>
              <w:contextualSpacing/>
              <w:rPr>
                <w:rFonts w:cstheme="minorHAnsi"/>
                <w:b/>
              </w:rPr>
            </w:pPr>
            <w:r w:rsidRPr="00D83AC3">
              <w:rPr>
                <w:rFonts w:cstheme="minorHAnsi"/>
                <w:i/>
              </w:rPr>
              <w:t xml:space="preserve">The majority of </w:t>
            </w:r>
            <w:r w:rsidR="002E0D54" w:rsidRPr="00D83AC3">
              <w:rPr>
                <w:rFonts w:cstheme="minorHAnsi"/>
                <w:i/>
              </w:rPr>
              <w:t>young people</w:t>
            </w:r>
            <w:r w:rsidR="00103A5A" w:rsidRPr="00D83AC3">
              <w:rPr>
                <w:rFonts w:cstheme="minorHAnsi"/>
                <w:i/>
              </w:rPr>
              <w:t xml:space="preserve"> </w:t>
            </w:r>
            <w:r w:rsidR="004460E1" w:rsidRPr="00D83AC3">
              <w:rPr>
                <w:rFonts w:cstheme="minorHAnsi"/>
                <w:i/>
              </w:rPr>
              <w:t>who complete Year 12</w:t>
            </w:r>
            <w:r w:rsidR="00B67681" w:rsidRPr="00D83AC3">
              <w:rPr>
                <w:rFonts w:cstheme="minorHAnsi"/>
                <w:i/>
              </w:rPr>
              <w:t xml:space="preserve"> enrol in a Bachelor degree at university</w:t>
            </w:r>
            <w:r w:rsidR="00D3483E" w:rsidRPr="00D83AC3">
              <w:rPr>
                <w:rFonts w:cstheme="minorHAnsi"/>
                <w:i/>
              </w:rPr>
              <w:t>.</w:t>
            </w:r>
            <w:r w:rsidR="002E0D54" w:rsidRPr="00D83AC3">
              <w:rPr>
                <w:rFonts w:cstheme="minorHAnsi"/>
                <w:i/>
              </w:rPr>
              <w:t xml:space="preserve"> </w:t>
            </w:r>
          </w:p>
        </w:tc>
        <w:tc>
          <w:tcPr>
            <w:tcW w:w="0" w:type="auto"/>
            <w:shd w:val="clear" w:color="auto" w:fill="FFFFFF" w:themeFill="background1"/>
          </w:tcPr>
          <w:p w14:paraId="38075C79" w14:textId="68E92C2B" w:rsidR="009A3AE5" w:rsidRPr="006379A3" w:rsidRDefault="007D296D" w:rsidP="002567C0">
            <w:pPr>
              <w:contextualSpacing/>
              <w:jc w:val="center"/>
              <w:rPr>
                <w:rFonts w:cstheme="minorHAnsi"/>
                <w:b/>
                <w:sz w:val="36"/>
                <w:szCs w:val="36"/>
              </w:rPr>
            </w:pPr>
            <w:r>
              <w:rPr>
                <w:rFonts w:cstheme="minorHAnsi"/>
                <w:b/>
                <w:sz w:val="36"/>
                <w:szCs w:val="36"/>
              </w:rPr>
              <w:t>56</w:t>
            </w:r>
            <w:r w:rsidR="00764DB6">
              <w:rPr>
                <w:rFonts w:cstheme="minorHAnsi"/>
                <w:b/>
                <w:sz w:val="36"/>
                <w:szCs w:val="36"/>
              </w:rPr>
              <w:t>.</w:t>
            </w:r>
            <w:r w:rsidR="00F35557">
              <w:rPr>
                <w:rFonts w:cstheme="minorHAnsi"/>
                <w:b/>
                <w:sz w:val="36"/>
                <w:szCs w:val="36"/>
              </w:rPr>
              <w:t>1</w:t>
            </w:r>
            <w:r>
              <w:rPr>
                <w:rFonts w:cstheme="minorHAnsi"/>
                <w:b/>
                <w:sz w:val="36"/>
                <w:szCs w:val="36"/>
              </w:rPr>
              <w:t>%</w:t>
            </w:r>
          </w:p>
        </w:tc>
      </w:tr>
      <w:tr w:rsidR="00B339D7" w14:paraId="154E60A2" w14:textId="39E9DDA2" w:rsidTr="006438FA">
        <w:tc>
          <w:tcPr>
            <w:tcW w:w="0" w:type="auto"/>
            <w:shd w:val="clear" w:color="auto" w:fill="FFFFFF" w:themeFill="background1"/>
          </w:tcPr>
          <w:p w14:paraId="307C524E" w14:textId="3D214FE0" w:rsidR="00D04BB4" w:rsidRPr="00D83AC3" w:rsidRDefault="00A347E6" w:rsidP="00F74AAE">
            <w:pPr>
              <w:contextualSpacing/>
              <w:rPr>
                <w:rFonts w:cstheme="minorHAnsi"/>
                <w:b/>
              </w:rPr>
            </w:pPr>
            <w:r w:rsidRPr="00D83AC3">
              <w:rPr>
                <w:rFonts w:cstheme="minorHAnsi"/>
              </w:rPr>
              <w:t xml:space="preserve">For </w:t>
            </w:r>
            <w:r w:rsidR="00AE207E" w:rsidRPr="00D83AC3">
              <w:rPr>
                <w:rFonts w:cstheme="minorHAnsi"/>
              </w:rPr>
              <w:t xml:space="preserve">young people who do </w:t>
            </w:r>
            <w:r w:rsidR="00AE207E" w:rsidRPr="00D83AC3">
              <w:rPr>
                <w:rFonts w:cstheme="minorHAnsi"/>
                <w:b/>
                <w:bCs/>
              </w:rPr>
              <w:t>not complete Year 12</w:t>
            </w:r>
            <w:r w:rsidRPr="00D83AC3">
              <w:rPr>
                <w:rFonts w:cstheme="minorHAnsi"/>
              </w:rPr>
              <w:t>,</w:t>
            </w:r>
            <w:r w:rsidR="00A25354" w:rsidRPr="00D83AC3">
              <w:rPr>
                <w:rFonts w:cstheme="minorHAnsi"/>
              </w:rPr>
              <w:t xml:space="preserve"> </w:t>
            </w:r>
            <w:r w:rsidR="00AE207E" w:rsidRPr="00D83AC3">
              <w:rPr>
                <w:rFonts w:cstheme="minorHAnsi"/>
              </w:rPr>
              <w:t>a</w:t>
            </w:r>
            <w:r w:rsidR="00B0579A" w:rsidRPr="00D83AC3">
              <w:rPr>
                <w:rFonts w:cstheme="minorHAnsi"/>
              </w:rPr>
              <w:t>round half</w:t>
            </w:r>
            <w:r w:rsidR="00AE207E" w:rsidRPr="00D83AC3">
              <w:rPr>
                <w:rFonts w:cstheme="minorHAnsi"/>
              </w:rPr>
              <w:t xml:space="preserve"> continu</w:t>
            </w:r>
            <w:r w:rsidRPr="00D83AC3">
              <w:rPr>
                <w:rFonts w:cstheme="minorHAnsi"/>
              </w:rPr>
              <w:t>e</w:t>
            </w:r>
            <w:r w:rsidR="00AE207E" w:rsidRPr="00D83AC3">
              <w:rPr>
                <w:rFonts w:cstheme="minorHAnsi"/>
              </w:rPr>
              <w:t xml:space="preserve"> on to education and training</w:t>
            </w:r>
            <w:r w:rsidR="00D3483E" w:rsidRPr="00D83AC3">
              <w:rPr>
                <w:rFonts w:cstheme="minorHAnsi"/>
              </w:rPr>
              <w:t>.</w:t>
            </w:r>
            <w:r w:rsidR="00B567B1" w:rsidRPr="00D83AC3">
              <w:rPr>
                <w:rFonts w:cstheme="minorHAnsi"/>
              </w:rPr>
              <w:t xml:space="preserve"> </w:t>
            </w:r>
          </w:p>
        </w:tc>
        <w:tc>
          <w:tcPr>
            <w:tcW w:w="0" w:type="auto"/>
            <w:shd w:val="clear" w:color="auto" w:fill="FFFFFF" w:themeFill="background1"/>
          </w:tcPr>
          <w:p w14:paraId="4DA952A4" w14:textId="70071715" w:rsidR="001E5FB6" w:rsidRPr="00D83AC3" w:rsidRDefault="000D01ED" w:rsidP="006379A3">
            <w:pPr>
              <w:spacing w:before="240"/>
              <w:contextualSpacing/>
              <w:jc w:val="center"/>
              <w:rPr>
                <w:rFonts w:cstheme="minorHAnsi"/>
                <w:b/>
                <w:sz w:val="36"/>
                <w:szCs w:val="36"/>
              </w:rPr>
            </w:pPr>
            <w:r>
              <w:rPr>
                <w:rFonts w:cstheme="minorHAnsi"/>
                <w:b/>
                <w:sz w:val="36"/>
                <w:szCs w:val="36"/>
              </w:rPr>
              <w:t>53.3%</w:t>
            </w:r>
          </w:p>
        </w:tc>
        <w:tc>
          <w:tcPr>
            <w:tcW w:w="0" w:type="auto"/>
            <w:shd w:val="clear" w:color="auto" w:fill="FFFFFF" w:themeFill="background1"/>
          </w:tcPr>
          <w:p w14:paraId="73D43671" w14:textId="0707BFE9" w:rsidR="00D04BB4" w:rsidRPr="00D83AC3" w:rsidRDefault="00FC6BD8" w:rsidP="00F74AAE">
            <w:pPr>
              <w:contextualSpacing/>
              <w:rPr>
                <w:rFonts w:cstheme="minorHAnsi"/>
                <w:b/>
              </w:rPr>
            </w:pPr>
            <w:r>
              <w:rPr>
                <w:rFonts w:cstheme="minorHAnsi"/>
                <w:i/>
              </w:rPr>
              <w:t>Over</w:t>
            </w:r>
            <w:r w:rsidR="0051529D" w:rsidRPr="00D83AC3">
              <w:rPr>
                <w:rFonts w:cstheme="minorHAnsi"/>
                <w:i/>
              </w:rPr>
              <w:t xml:space="preserve"> a third</w:t>
            </w:r>
            <w:r w:rsidR="007777C9" w:rsidRPr="00D83AC3">
              <w:rPr>
                <w:rFonts w:cstheme="minorHAnsi"/>
                <w:i/>
              </w:rPr>
              <w:t xml:space="preserve"> </w:t>
            </w:r>
            <w:r w:rsidR="00AE207E" w:rsidRPr="00D83AC3">
              <w:rPr>
                <w:rFonts w:cstheme="minorHAnsi"/>
                <w:i/>
              </w:rPr>
              <w:t xml:space="preserve">of young people </w:t>
            </w:r>
            <w:r w:rsidR="004460E1" w:rsidRPr="00D83AC3">
              <w:rPr>
                <w:rFonts w:cstheme="minorHAnsi"/>
                <w:i/>
              </w:rPr>
              <w:t>who do</w:t>
            </w:r>
            <w:r w:rsidR="0056050A" w:rsidRPr="00D83AC3">
              <w:rPr>
                <w:rFonts w:cstheme="minorHAnsi"/>
                <w:i/>
              </w:rPr>
              <w:t xml:space="preserve"> not complete Year 12 </w:t>
            </w:r>
            <w:r w:rsidR="00AE207E" w:rsidRPr="00D83AC3">
              <w:rPr>
                <w:rFonts w:cstheme="minorHAnsi"/>
                <w:i/>
              </w:rPr>
              <w:t>choose to take up an apprenticeship or traineeship</w:t>
            </w:r>
            <w:r w:rsidR="00D3483E" w:rsidRPr="00D83AC3">
              <w:rPr>
                <w:rFonts w:cstheme="minorHAnsi"/>
                <w:i/>
              </w:rPr>
              <w:t>.</w:t>
            </w:r>
          </w:p>
        </w:tc>
        <w:tc>
          <w:tcPr>
            <w:tcW w:w="0" w:type="auto"/>
            <w:shd w:val="clear" w:color="auto" w:fill="FFFFFF" w:themeFill="background1"/>
          </w:tcPr>
          <w:p w14:paraId="5BE85323" w14:textId="5A1C22E4" w:rsidR="00D04BB4" w:rsidRPr="006379A3" w:rsidRDefault="0071782C" w:rsidP="006379A3">
            <w:pPr>
              <w:contextualSpacing/>
              <w:jc w:val="center"/>
              <w:rPr>
                <w:rFonts w:cstheme="minorHAnsi"/>
                <w:b/>
                <w:sz w:val="36"/>
                <w:szCs w:val="36"/>
              </w:rPr>
            </w:pPr>
            <w:r>
              <w:rPr>
                <w:rFonts w:cstheme="minorHAnsi"/>
                <w:b/>
                <w:sz w:val="36"/>
                <w:szCs w:val="36"/>
              </w:rPr>
              <w:t>3</w:t>
            </w:r>
            <w:r w:rsidR="00764DB6">
              <w:rPr>
                <w:rFonts w:cstheme="minorHAnsi"/>
                <w:b/>
                <w:sz w:val="36"/>
                <w:szCs w:val="36"/>
              </w:rPr>
              <w:t>5.9</w:t>
            </w:r>
            <w:r w:rsidR="006379A3">
              <w:rPr>
                <w:rFonts w:cstheme="minorHAnsi"/>
                <w:b/>
                <w:sz w:val="36"/>
                <w:szCs w:val="36"/>
              </w:rPr>
              <w:t>%</w:t>
            </w:r>
          </w:p>
        </w:tc>
      </w:tr>
    </w:tbl>
    <w:p w14:paraId="44241C12" w14:textId="77777777" w:rsidR="00472EE0" w:rsidRDefault="00472EE0" w:rsidP="00F74AAE">
      <w:pPr>
        <w:spacing w:line="240" w:lineRule="auto"/>
        <w:contextualSpacing/>
        <w:rPr>
          <w:rFonts w:cstheme="minorHAnsi"/>
          <w:b/>
          <w:bCs/>
        </w:rPr>
      </w:pPr>
    </w:p>
    <w:p w14:paraId="19EEA754" w14:textId="0835FBCC" w:rsidR="00377F8C" w:rsidRDefault="00EC09D8" w:rsidP="00F74AAE">
      <w:pPr>
        <w:spacing w:line="240" w:lineRule="auto"/>
        <w:contextualSpacing/>
        <w:rPr>
          <w:rFonts w:cstheme="minorHAnsi"/>
          <w:b/>
          <w:bCs/>
        </w:rPr>
      </w:pPr>
      <w:r>
        <w:rPr>
          <w:rFonts w:cstheme="minorHAnsi"/>
          <w:b/>
          <w:bCs/>
        </w:rPr>
        <w:lastRenderedPageBreak/>
        <w:t xml:space="preserve">Figure </w:t>
      </w:r>
      <w:r w:rsidR="003B0F9D">
        <w:rPr>
          <w:rFonts w:cstheme="minorHAnsi"/>
          <w:b/>
          <w:bCs/>
        </w:rPr>
        <w:t>1</w:t>
      </w:r>
      <w:r>
        <w:rPr>
          <w:rFonts w:cstheme="minorHAnsi"/>
          <w:b/>
          <w:bCs/>
        </w:rPr>
        <w:t>. Percentage</w:t>
      </w:r>
      <w:r w:rsidRPr="00EC09D8">
        <w:rPr>
          <w:rFonts w:cstheme="minorHAnsi"/>
          <w:b/>
          <w:bCs/>
        </w:rPr>
        <w:t xml:space="preserve"> of individuals indicating apprenticeship/ traineeship as exit destination</w:t>
      </w:r>
    </w:p>
    <w:p w14:paraId="74565888" w14:textId="10102450" w:rsidR="00173A5D" w:rsidRDefault="00173A5D" w:rsidP="00F74AAE">
      <w:pPr>
        <w:spacing w:line="240" w:lineRule="auto"/>
        <w:contextualSpacing/>
        <w:rPr>
          <w:rFonts w:cstheme="minorHAnsi"/>
          <w:b/>
          <w:bCs/>
        </w:rPr>
      </w:pPr>
      <w:r>
        <w:rPr>
          <w:noProof/>
        </w:rPr>
        <w:drawing>
          <wp:anchor distT="0" distB="0" distL="114300" distR="114300" simplePos="0" relativeHeight="251658240" behindDoc="0" locked="0" layoutInCell="1" allowOverlap="1" wp14:anchorId="38730B1F" wp14:editId="564DC8BC">
            <wp:simplePos x="0" y="0"/>
            <wp:positionH relativeFrom="margin">
              <wp:align>left</wp:align>
            </wp:positionH>
            <wp:positionV relativeFrom="paragraph">
              <wp:posOffset>92387</wp:posOffset>
            </wp:positionV>
            <wp:extent cx="5731510" cy="3071495"/>
            <wp:effectExtent l="0" t="0" r="2540" b="14605"/>
            <wp:wrapNone/>
            <wp:docPr id="2" name="Chart 2">
              <a:extLst xmlns:a="http://schemas.openxmlformats.org/drawingml/2006/main">
                <a:ext uri="{FF2B5EF4-FFF2-40B4-BE49-F238E27FC236}">
                  <a16:creationId xmlns:a16="http://schemas.microsoft.com/office/drawing/2014/main" id="{B6FFFBC6-C1BB-41C6-950A-A344B91B9A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3D85AFE7" w14:textId="43331A9C" w:rsidR="00173A5D" w:rsidRDefault="00173A5D" w:rsidP="00F74AAE">
      <w:pPr>
        <w:spacing w:line="240" w:lineRule="auto"/>
        <w:contextualSpacing/>
        <w:rPr>
          <w:rFonts w:cstheme="minorHAnsi"/>
          <w:b/>
          <w:bCs/>
        </w:rPr>
      </w:pPr>
    </w:p>
    <w:p w14:paraId="17894E2B" w14:textId="77777777" w:rsidR="00173A5D" w:rsidRDefault="00173A5D" w:rsidP="00F74AAE">
      <w:pPr>
        <w:spacing w:line="240" w:lineRule="auto"/>
        <w:contextualSpacing/>
        <w:rPr>
          <w:rFonts w:cstheme="minorHAnsi"/>
          <w:b/>
          <w:bCs/>
        </w:rPr>
      </w:pPr>
    </w:p>
    <w:p w14:paraId="43DDBF56" w14:textId="58F026DF" w:rsidR="00496A3B" w:rsidRDefault="00496A3B" w:rsidP="00F74AAE">
      <w:pPr>
        <w:spacing w:line="240" w:lineRule="auto"/>
        <w:contextualSpacing/>
        <w:rPr>
          <w:rFonts w:cstheme="minorHAnsi"/>
          <w:b/>
          <w:bCs/>
        </w:rPr>
      </w:pPr>
    </w:p>
    <w:p w14:paraId="44D4FFF7" w14:textId="033B55DD" w:rsidR="00496A3B" w:rsidRDefault="00496A3B" w:rsidP="00F74AAE">
      <w:pPr>
        <w:spacing w:line="240" w:lineRule="auto"/>
        <w:contextualSpacing/>
        <w:rPr>
          <w:rFonts w:cstheme="minorHAnsi"/>
          <w:b/>
          <w:bCs/>
        </w:rPr>
      </w:pPr>
    </w:p>
    <w:p w14:paraId="709E466C" w14:textId="68E252BE" w:rsidR="00496A3B" w:rsidRDefault="00496A3B" w:rsidP="00F74AAE">
      <w:pPr>
        <w:spacing w:line="240" w:lineRule="auto"/>
        <w:contextualSpacing/>
        <w:rPr>
          <w:rFonts w:cstheme="minorHAnsi"/>
          <w:b/>
          <w:bCs/>
        </w:rPr>
      </w:pPr>
    </w:p>
    <w:p w14:paraId="1E941623" w14:textId="1E197A33" w:rsidR="00496A3B" w:rsidRDefault="00496A3B" w:rsidP="00F74AAE">
      <w:pPr>
        <w:spacing w:line="240" w:lineRule="auto"/>
        <w:contextualSpacing/>
        <w:rPr>
          <w:rFonts w:cstheme="minorHAnsi"/>
          <w:b/>
          <w:bCs/>
        </w:rPr>
      </w:pPr>
    </w:p>
    <w:p w14:paraId="5E0AB6D0" w14:textId="2D8244E7" w:rsidR="00496A3B" w:rsidRDefault="00496A3B" w:rsidP="00F74AAE">
      <w:pPr>
        <w:spacing w:line="240" w:lineRule="auto"/>
        <w:contextualSpacing/>
        <w:rPr>
          <w:rFonts w:cstheme="minorHAnsi"/>
          <w:b/>
          <w:bCs/>
        </w:rPr>
      </w:pPr>
    </w:p>
    <w:p w14:paraId="0CC42AE7" w14:textId="6402CBB1" w:rsidR="00496A3B" w:rsidRDefault="00496A3B" w:rsidP="00F74AAE">
      <w:pPr>
        <w:spacing w:line="240" w:lineRule="auto"/>
        <w:contextualSpacing/>
        <w:rPr>
          <w:rFonts w:cstheme="minorHAnsi"/>
          <w:b/>
          <w:bCs/>
        </w:rPr>
      </w:pPr>
    </w:p>
    <w:p w14:paraId="6202417F" w14:textId="5B6018B8" w:rsidR="00EC09D8" w:rsidRDefault="00EC09D8" w:rsidP="00F74AAE">
      <w:pPr>
        <w:spacing w:line="240" w:lineRule="auto"/>
        <w:contextualSpacing/>
        <w:rPr>
          <w:rFonts w:cstheme="minorHAnsi"/>
          <w:b/>
          <w:bCs/>
        </w:rPr>
      </w:pPr>
    </w:p>
    <w:p w14:paraId="5338FD0B" w14:textId="5C37F7CC" w:rsidR="00EC09D8" w:rsidRDefault="00EC09D8" w:rsidP="00F74AAE">
      <w:pPr>
        <w:spacing w:line="240" w:lineRule="auto"/>
        <w:contextualSpacing/>
        <w:rPr>
          <w:rFonts w:cstheme="minorHAnsi"/>
          <w:b/>
          <w:bCs/>
        </w:rPr>
      </w:pPr>
    </w:p>
    <w:p w14:paraId="44E0DF42" w14:textId="01E1BCA0" w:rsidR="00EC09D8" w:rsidRDefault="00EC09D8" w:rsidP="00F74AAE">
      <w:pPr>
        <w:spacing w:line="240" w:lineRule="auto"/>
        <w:contextualSpacing/>
        <w:rPr>
          <w:rFonts w:cstheme="minorHAnsi"/>
          <w:b/>
          <w:bCs/>
        </w:rPr>
      </w:pPr>
    </w:p>
    <w:p w14:paraId="4C0DEAD7" w14:textId="4CF71419" w:rsidR="00EC09D8" w:rsidRDefault="00EC09D8" w:rsidP="00F74AAE">
      <w:pPr>
        <w:spacing w:line="240" w:lineRule="auto"/>
        <w:contextualSpacing/>
        <w:rPr>
          <w:rFonts w:cstheme="minorHAnsi"/>
          <w:b/>
          <w:bCs/>
        </w:rPr>
      </w:pPr>
    </w:p>
    <w:p w14:paraId="3DCAD355" w14:textId="291A2BF6" w:rsidR="00EC09D8" w:rsidRDefault="00EC09D8" w:rsidP="00F74AAE">
      <w:pPr>
        <w:spacing w:line="240" w:lineRule="auto"/>
        <w:contextualSpacing/>
        <w:rPr>
          <w:rFonts w:cstheme="minorHAnsi"/>
          <w:b/>
          <w:bCs/>
        </w:rPr>
      </w:pPr>
    </w:p>
    <w:p w14:paraId="6C154C2A" w14:textId="0817D242" w:rsidR="00EC09D8" w:rsidRDefault="00EC09D8" w:rsidP="00F74AAE">
      <w:pPr>
        <w:spacing w:line="240" w:lineRule="auto"/>
        <w:contextualSpacing/>
        <w:rPr>
          <w:rFonts w:cstheme="minorHAnsi"/>
          <w:b/>
          <w:bCs/>
        </w:rPr>
      </w:pPr>
    </w:p>
    <w:p w14:paraId="14E9F024" w14:textId="6DAE5776" w:rsidR="00EC09D8" w:rsidRDefault="00EC09D8" w:rsidP="00F74AAE">
      <w:pPr>
        <w:spacing w:line="240" w:lineRule="auto"/>
        <w:contextualSpacing/>
        <w:rPr>
          <w:rFonts w:cstheme="minorHAnsi"/>
          <w:b/>
          <w:bCs/>
        </w:rPr>
      </w:pPr>
    </w:p>
    <w:p w14:paraId="545E4785" w14:textId="3FEAAAAF" w:rsidR="00EC09D8" w:rsidRDefault="00EC09D8" w:rsidP="00F74AAE">
      <w:pPr>
        <w:spacing w:line="240" w:lineRule="auto"/>
        <w:contextualSpacing/>
        <w:rPr>
          <w:rFonts w:cstheme="minorHAnsi"/>
          <w:b/>
          <w:bCs/>
        </w:rPr>
      </w:pPr>
    </w:p>
    <w:p w14:paraId="25AFCDC2" w14:textId="77777777" w:rsidR="00EC09D8" w:rsidRDefault="00EC09D8" w:rsidP="00F74AAE">
      <w:pPr>
        <w:spacing w:line="240" w:lineRule="auto"/>
        <w:contextualSpacing/>
        <w:rPr>
          <w:rFonts w:cstheme="minorHAnsi"/>
          <w:b/>
          <w:bCs/>
        </w:rPr>
      </w:pPr>
    </w:p>
    <w:p w14:paraId="3954E3F8" w14:textId="08BA7145" w:rsidR="00496A3B" w:rsidRDefault="00496A3B" w:rsidP="00F74AAE">
      <w:pPr>
        <w:spacing w:line="240" w:lineRule="auto"/>
        <w:contextualSpacing/>
        <w:rPr>
          <w:rFonts w:cstheme="minorHAnsi"/>
          <w:b/>
          <w:bCs/>
        </w:rPr>
      </w:pPr>
    </w:p>
    <w:p w14:paraId="7398252D" w14:textId="77777777" w:rsidR="00496A3B" w:rsidRDefault="00496A3B" w:rsidP="00F74AAE">
      <w:pPr>
        <w:spacing w:line="240" w:lineRule="auto"/>
        <w:contextualSpacing/>
        <w:rPr>
          <w:rFonts w:cstheme="minorHAnsi"/>
          <w:b/>
          <w:bCs/>
        </w:rPr>
      </w:pPr>
    </w:p>
    <w:p w14:paraId="7980639E" w14:textId="009B379B" w:rsidR="0032281F" w:rsidRPr="000302A1" w:rsidRDefault="009E7E5D" w:rsidP="00F74AAE">
      <w:pPr>
        <w:spacing w:line="240" w:lineRule="auto"/>
        <w:contextualSpacing/>
        <w:rPr>
          <w:rFonts w:cstheme="minorHAnsi"/>
          <w:b/>
        </w:rPr>
      </w:pPr>
      <w:r w:rsidRPr="000302A1">
        <w:rPr>
          <w:rFonts w:cstheme="minorHAnsi"/>
          <w:b/>
          <w:bCs/>
        </w:rPr>
        <w:t xml:space="preserve">While overall rates of </w:t>
      </w:r>
      <w:r w:rsidR="00A93C20" w:rsidRPr="00495B8F">
        <w:rPr>
          <w:rFonts w:cstheme="minorHAnsi"/>
          <w:b/>
          <w:bCs/>
        </w:rPr>
        <w:t>Year 12 non-completers</w:t>
      </w:r>
      <w:r w:rsidRPr="000302A1">
        <w:rPr>
          <w:rFonts w:cstheme="minorHAnsi"/>
          <w:b/>
          <w:bCs/>
        </w:rPr>
        <w:t xml:space="preserve"> entering further education and training and employment have remained stable, there </w:t>
      </w:r>
      <w:r w:rsidR="001D7AEF" w:rsidRPr="00495B8F">
        <w:rPr>
          <w:rFonts w:cstheme="minorHAnsi"/>
          <w:b/>
          <w:bCs/>
        </w:rPr>
        <w:t>have</w:t>
      </w:r>
      <w:r w:rsidRPr="000302A1">
        <w:rPr>
          <w:rFonts w:cstheme="minorHAnsi"/>
          <w:b/>
          <w:bCs/>
        </w:rPr>
        <w:t xml:space="preserve"> been some </w:t>
      </w:r>
      <w:r w:rsidR="001D7AEF" w:rsidRPr="00495B8F">
        <w:rPr>
          <w:rFonts w:cstheme="minorHAnsi"/>
          <w:b/>
          <w:bCs/>
        </w:rPr>
        <w:t>notable changes compared to 2020</w:t>
      </w:r>
    </w:p>
    <w:p w14:paraId="5CF6EE98" w14:textId="77777777" w:rsidR="00FD5F9C" w:rsidRPr="000302A1" w:rsidRDefault="00FD5F9C" w:rsidP="00F74AAE">
      <w:pPr>
        <w:spacing w:line="240" w:lineRule="auto"/>
        <w:contextualSpacing/>
        <w:rPr>
          <w:rFonts w:cstheme="minorHAnsi"/>
          <w:b/>
        </w:rPr>
      </w:pPr>
    </w:p>
    <w:tbl>
      <w:tblPr>
        <w:tblStyle w:val="TableGrid"/>
        <w:tblW w:w="0" w:type="auto"/>
        <w:jc w:val="center"/>
        <w:tblLook w:val="04A0" w:firstRow="1" w:lastRow="0" w:firstColumn="1" w:lastColumn="0" w:noHBand="0" w:noVBand="1"/>
      </w:tblPr>
      <w:tblGrid>
        <w:gridCol w:w="3406"/>
        <w:gridCol w:w="1122"/>
        <w:gridCol w:w="1122"/>
        <w:gridCol w:w="1122"/>
        <w:gridCol w:w="1122"/>
        <w:gridCol w:w="1122"/>
      </w:tblGrid>
      <w:tr w:rsidR="00D3255A" w:rsidRPr="000302A1" w14:paraId="3A6CFF43" w14:textId="5A23018A" w:rsidTr="00FF35F3">
        <w:trPr>
          <w:jc w:val="center"/>
        </w:trPr>
        <w:tc>
          <w:tcPr>
            <w:tcW w:w="0" w:type="auto"/>
          </w:tcPr>
          <w:p w14:paraId="1AF47562" w14:textId="77777777" w:rsidR="00D3255A" w:rsidRPr="000302A1" w:rsidRDefault="00D3255A" w:rsidP="00F74AAE">
            <w:pPr>
              <w:contextualSpacing/>
              <w:rPr>
                <w:rFonts w:cstheme="minorHAnsi"/>
              </w:rPr>
            </w:pPr>
          </w:p>
        </w:tc>
        <w:tc>
          <w:tcPr>
            <w:tcW w:w="0" w:type="auto"/>
          </w:tcPr>
          <w:p w14:paraId="2F47FC48" w14:textId="0029F9E0" w:rsidR="00D3255A" w:rsidRPr="0023508D" w:rsidRDefault="00777DF1" w:rsidP="00D20ACD">
            <w:pPr>
              <w:contextualSpacing/>
              <w:jc w:val="center"/>
              <w:rPr>
                <w:rFonts w:cstheme="minorHAnsi"/>
                <w:b/>
              </w:rPr>
            </w:pPr>
            <w:r w:rsidRPr="0023508D">
              <w:rPr>
                <w:rFonts w:cstheme="minorHAnsi"/>
                <w:b/>
              </w:rPr>
              <w:t>2017</w:t>
            </w:r>
          </w:p>
        </w:tc>
        <w:tc>
          <w:tcPr>
            <w:tcW w:w="0" w:type="auto"/>
          </w:tcPr>
          <w:p w14:paraId="06FB7FDF" w14:textId="4ADBFFF7" w:rsidR="00777DF1" w:rsidRPr="0023508D" w:rsidRDefault="00777DF1" w:rsidP="00D20ACD">
            <w:pPr>
              <w:contextualSpacing/>
              <w:jc w:val="center"/>
              <w:rPr>
                <w:rFonts w:cstheme="minorHAnsi"/>
                <w:b/>
              </w:rPr>
            </w:pPr>
            <w:r w:rsidRPr="0023508D">
              <w:rPr>
                <w:rFonts w:cstheme="minorHAnsi"/>
                <w:b/>
              </w:rPr>
              <w:t>2018</w:t>
            </w:r>
          </w:p>
        </w:tc>
        <w:tc>
          <w:tcPr>
            <w:tcW w:w="0" w:type="auto"/>
          </w:tcPr>
          <w:p w14:paraId="7C925784" w14:textId="16D86731" w:rsidR="00D3255A" w:rsidRPr="000302A1" w:rsidRDefault="00D3255A" w:rsidP="00D20ACD">
            <w:pPr>
              <w:contextualSpacing/>
              <w:jc w:val="center"/>
              <w:rPr>
                <w:rFonts w:cstheme="minorHAnsi"/>
                <w:b/>
                <w:bCs/>
              </w:rPr>
            </w:pPr>
            <w:r w:rsidRPr="000302A1">
              <w:rPr>
                <w:rFonts w:cstheme="minorHAnsi"/>
                <w:b/>
                <w:bCs/>
              </w:rPr>
              <w:t>2019</w:t>
            </w:r>
          </w:p>
        </w:tc>
        <w:tc>
          <w:tcPr>
            <w:tcW w:w="0" w:type="auto"/>
          </w:tcPr>
          <w:p w14:paraId="77A61B2A" w14:textId="1ADBC7F2" w:rsidR="00D3255A" w:rsidRPr="000302A1" w:rsidRDefault="00D3255A" w:rsidP="00D20ACD">
            <w:pPr>
              <w:contextualSpacing/>
              <w:jc w:val="center"/>
              <w:rPr>
                <w:rFonts w:cstheme="minorHAnsi"/>
                <w:b/>
                <w:bCs/>
              </w:rPr>
            </w:pPr>
            <w:r w:rsidRPr="000302A1">
              <w:rPr>
                <w:rFonts w:cstheme="minorHAnsi"/>
                <w:b/>
                <w:bCs/>
              </w:rPr>
              <w:t>2020</w:t>
            </w:r>
          </w:p>
        </w:tc>
        <w:tc>
          <w:tcPr>
            <w:tcW w:w="0" w:type="auto"/>
          </w:tcPr>
          <w:p w14:paraId="0BFEEE7E" w14:textId="3168A517" w:rsidR="00D3255A" w:rsidRPr="000302A1" w:rsidRDefault="00D3255A" w:rsidP="00D20ACD">
            <w:pPr>
              <w:contextualSpacing/>
              <w:jc w:val="center"/>
              <w:rPr>
                <w:rFonts w:cstheme="minorHAnsi"/>
                <w:b/>
                <w:bCs/>
              </w:rPr>
            </w:pPr>
            <w:r w:rsidRPr="000302A1">
              <w:rPr>
                <w:rFonts w:cstheme="minorHAnsi"/>
                <w:b/>
                <w:bCs/>
              </w:rPr>
              <w:t>2021</w:t>
            </w:r>
          </w:p>
        </w:tc>
      </w:tr>
      <w:tr w:rsidR="00D3255A" w:rsidRPr="000302A1" w14:paraId="04E8F01D" w14:textId="18C89612" w:rsidTr="00FF35F3">
        <w:trPr>
          <w:jc w:val="center"/>
        </w:trPr>
        <w:tc>
          <w:tcPr>
            <w:tcW w:w="0" w:type="auto"/>
          </w:tcPr>
          <w:p w14:paraId="527D6BF1" w14:textId="77777777" w:rsidR="00AD4CAC" w:rsidRDefault="00D3255A" w:rsidP="00F74AAE">
            <w:pPr>
              <w:contextualSpacing/>
              <w:rPr>
                <w:rFonts w:cstheme="minorHAnsi"/>
              </w:rPr>
            </w:pPr>
            <w:r w:rsidRPr="000302A1">
              <w:rPr>
                <w:rFonts w:cstheme="minorHAnsi"/>
              </w:rPr>
              <w:t xml:space="preserve">The proportion of Year 12 non-completers gaining employment </w:t>
            </w:r>
            <w:r w:rsidR="00A01C51" w:rsidRPr="000302A1">
              <w:rPr>
                <w:rFonts w:cstheme="minorHAnsi"/>
              </w:rPr>
              <w:t>increased in 2021</w:t>
            </w:r>
          </w:p>
          <w:p w14:paraId="765D7DFD" w14:textId="3682C99D" w:rsidR="00D3255A" w:rsidRPr="000302A1" w:rsidRDefault="00D3255A" w:rsidP="00F74AAE">
            <w:pPr>
              <w:contextualSpacing/>
              <w:rPr>
                <w:rFonts w:cstheme="minorHAnsi"/>
              </w:rPr>
            </w:pPr>
          </w:p>
        </w:tc>
        <w:tc>
          <w:tcPr>
            <w:tcW w:w="0" w:type="auto"/>
          </w:tcPr>
          <w:p w14:paraId="7BB73A15" w14:textId="3B3A9D9A" w:rsidR="00D3255A" w:rsidRPr="0023508D" w:rsidRDefault="00AD4CAC" w:rsidP="00F74AAE">
            <w:pPr>
              <w:contextualSpacing/>
              <w:rPr>
                <w:rFonts w:cstheme="minorHAnsi"/>
                <w:b/>
                <w:sz w:val="36"/>
                <w:szCs w:val="36"/>
              </w:rPr>
            </w:pPr>
            <w:r w:rsidRPr="000302A1">
              <w:rPr>
                <w:rFonts w:cstheme="minorHAnsi"/>
                <w:b/>
                <w:sz w:val="36"/>
                <w:szCs w:val="36"/>
              </w:rPr>
              <w:t>2</w:t>
            </w:r>
            <w:r w:rsidR="00463330">
              <w:rPr>
                <w:rFonts w:cstheme="minorHAnsi"/>
                <w:b/>
                <w:sz w:val="36"/>
                <w:szCs w:val="36"/>
              </w:rPr>
              <w:t>5.9</w:t>
            </w:r>
            <w:r w:rsidRPr="000302A1">
              <w:rPr>
                <w:rFonts w:cstheme="minorHAnsi"/>
                <w:b/>
                <w:sz w:val="36"/>
                <w:szCs w:val="36"/>
              </w:rPr>
              <w:t>%</w:t>
            </w:r>
          </w:p>
        </w:tc>
        <w:tc>
          <w:tcPr>
            <w:tcW w:w="0" w:type="auto"/>
          </w:tcPr>
          <w:p w14:paraId="2C84381B" w14:textId="21DD073D" w:rsidR="00777DF1" w:rsidRPr="000302A1" w:rsidRDefault="00463330" w:rsidP="00F74AAE">
            <w:pPr>
              <w:contextualSpacing/>
              <w:rPr>
                <w:rFonts w:cstheme="minorHAnsi"/>
                <w:b/>
                <w:noProof/>
                <w:sz w:val="36"/>
                <w:szCs w:val="36"/>
              </w:rPr>
            </w:pPr>
            <w:r>
              <w:rPr>
                <w:rFonts w:cstheme="minorHAnsi"/>
                <w:b/>
                <w:noProof/>
                <w:sz w:val="36"/>
                <w:szCs w:val="36"/>
              </w:rPr>
              <w:t>27.5%</w:t>
            </w:r>
          </w:p>
        </w:tc>
        <w:tc>
          <w:tcPr>
            <w:tcW w:w="0" w:type="auto"/>
          </w:tcPr>
          <w:p w14:paraId="35240874" w14:textId="5AE5C9BE" w:rsidR="00D3255A" w:rsidRPr="000302A1" w:rsidRDefault="00AD4CAC" w:rsidP="00F74AAE">
            <w:pPr>
              <w:contextualSpacing/>
              <w:rPr>
                <w:rFonts w:cstheme="minorHAnsi"/>
                <w:b/>
                <w:noProof/>
                <w:sz w:val="36"/>
                <w:szCs w:val="36"/>
              </w:rPr>
            </w:pPr>
            <w:r w:rsidRPr="000302A1">
              <w:rPr>
                <w:rFonts w:cstheme="minorHAnsi"/>
                <w:b/>
                <w:sz w:val="36"/>
                <w:szCs w:val="36"/>
              </w:rPr>
              <w:t>2</w:t>
            </w:r>
            <w:r w:rsidR="00463330">
              <w:rPr>
                <w:rFonts w:cstheme="minorHAnsi"/>
                <w:b/>
                <w:sz w:val="36"/>
                <w:szCs w:val="36"/>
              </w:rPr>
              <w:t>6.8</w:t>
            </w:r>
            <w:r w:rsidRPr="000302A1">
              <w:rPr>
                <w:rFonts w:cstheme="minorHAnsi"/>
                <w:b/>
                <w:sz w:val="36"/>
                <w:szCs w:val="36"/>
              </w:rPr>
              <w:t>%</w:t>
            </w:r>
          </w:p>
        </w:tc>
        <w:tc>
          <w:tcPr>
            <w:tcW w:w="0" w:type="auto"/>
          </w:tcPr>
          <w:p w14:paraId="3F3C3C7A" w14:textId="16B684C1" w:rsidR="00D3255A" w:rsidRPr="000302A1" w:rsidRDefault="00D3255A" w:rsidP="00F74AAE">
            <w:pPr>
              <w:contextualSpacing/>
              <w:rPr>
                <w:rFonts w:cstheme="minorHAnsi"/>
                <w:b/>
                <w:noProof/>
                <w:sz w:val="36"/>
                <w:szCs w:val="36"/>
              </w:rPr>
            </w:pPr>
            <w:r w:rsidRPr="000302A1">
              <w:rPr>
                <w:rFonts w:cstheme="minorHAnsi"/>
                <w:b/>
                <w:noProof/>
                <w:sz w:val="36"/>
                <w:szCs w:val="36"/>
              </w:rPr>
              <w:t>22</w:t>
            </w:r>
            <w:r w:rsidR="00463330">
              <w:rPr>
                <w:rFonts w:cstheme="minorHAnsi"/>
                <w:b/>
                <w:sz w:val="36"/>
                <w:szCs w:val="36"/>
              </w:rPr>
              <w:t>.4</w:t>
            </w:r>
            <w:r w:rsidRPr="000302A1">
              <w:rPr>
                <w:rFonts w:cstheme="minorHAnsi"/>
                <w:b/>
                <w:noProof/>
                <w:sz w:val="36"/>
                <w:szCs w:val="36"/>
              </w:rPr>
              <w:t>%</w:t>
            </w:r>
          </w:p>
        </w:tc>
        <w:tc>
          <w:tcPr>
            <w:tcW w:w="0" w:type="auto"/>
          </w:tcPr>
          <w:p w14:paraId="6231DD58" w14:textId="6AF68DE1" w:rsidR="00D3255A" w:rsidRPr="000302A1" w:rsidRDefault="002532CF" w:rsidP="00F74AAE">
            <w:pPr>
              <w:contextualSpacing/>
              <w:rPr>
                <w:rFonts w:cstheme="minorHAnsi"/>
                <w:b/>
                <w:noProof/>
                <w:sz w:val="36"/>
                <w:szCs w:val="36"/>
              </w:rPr>
            </w:pPr>
            <w:r w:rsidRPr="000302A1">
              <w:rPr>
                <w:rFonts w:cstheme="minorHAnsi"/>
                <w:b/>
                <w:noProof/>
                <w:sz w:val="36"/>
                <w:szCs w:val="36"/>
              </w:rPr>
              <w:t>27.</w:t>
            </w:r>
            <w:r w:rsidR="00C328F2">
              <w:rPr>
                <w:rFonts w:cstheme="minorHAnsi"/>
                <w:b/>
                <w:noProof/>
                <w:sz w:val="36"/>
                <w:szCs w:val="36"/>
              </w:rPr>
              <w:t>2</w:t>
            </w:r>
            <w:r w:rsidR="001B619E" w:rsidRPr="000302A1">
              <w:rPr>
                <w:rFonts w:cstheme="minorHAnsi"/>
                <w:b/>
                <w:noProof/>
                <w:sz w:val="36"/>
                <w:szCs w:val="36"/>
              </w:rPr>
              <w:t>%</w:t>
            </w:r>
          </w:p>
        </w:tc>
      </w:tr>
      <w:tr w:rsidR="00D3255A" w14:paraId="334FD321" w14:textId="350DEDA2" w:rsidTr="00FF35F3">
        <w:trPr>
          <w:jc w:val="center"/>
        </w:trPr>
        <w:tc>
          <w:tcPr>
            <w:tcW w:w="0" w:type="auto"/>
          </w:tcPr>
          <w:p w14:paraId="38CCEE32" w14:textId="69FDA2E0" w:rsidR="00D3255A" w:rsidRPr="000302A1" w:rsidRDefault="00D3255A" w:rsidP="00226BFE">
            <w:pPr>
              <w:rPr>
                <w:rFonts w:cstheme="minorHAnsi"/>
              </w:rPr>
            </w:pPr>
            <w:r w:rsidRPr="000302A1">
              <w:rPr>
                <w:rFonts w:cstheme="minorHAnsi"/>
              </w:rPr>
              <w:t>The proportion of Year 12 non-completers choosing an apprenticeship or traineeship in 202</w:t>
            </w:r>
            <w:r w:rsidR="00B47ED8" w:rsidRPr="000302A1">
              <w:rPr>
                <w:rFonts w:cstheme="minorHAnsi"/>
              </w:rPr>
              <w:t>1</w:t>
            </w:r>
            <w:r w:rsidRPr="000302A1">
              <w:rPr>
                <w:rFonts w:cstheme="minorHAnsi"/>
              </w:rPr>
              <w:t xml:space="preserve"> has </w:t>
            </w:r>
            <w:r w:rsidR="00B47ED8" w:rsidRPr="000302A1">
              <w:rPr>
                <w:rFonts w:cstheme="minorHAnsi"/>
              </w:rPr>
              <w:t>increased</w:t>
            </w:r>
          </w:p>
        </w:tc>
        <w:tc>
          <w:tcPr>
            <w:tcW w:w="0" w:type="auto"/>
          </w:tcPr>
          <w:p w14:paraId="28DACF0E" w14:textId="5E9B241C" w:rsidR="00D3255A" w:rsidRPr="0023508D" w:rsidRDefault="00AD4CAC" w:rsidP="00F74AAE">
            <w:pPr>
              <w:contextualSpacing/>
              <w:rPr>
                <w:rFonts w:cstheme="minorHAnsi"/>
                <w:b/>
                <w:sz w:val="36"/>
                <w:szCs w:val="36"/>
              </w:rPr>
            </w:pPr>
            <w:r w:rsidRPr="000302A1">
              <w:rPr>
                <w:rFonts w:cstheme="minorHAnsi"/>
                <w:b/>
                <w:sz w:val="36"/>
                <w:szCs w:val="36"/>
              </w:rPr>
              <w:t>3</w:t>
            </w:r>
            <w:r w:rsidR="00463330">
              <w:rPr>
                <w:rFonts w:cstheme="minorHAnsi"/>
                <w:b/>
                <w:sz w:val="36"/>
                <w:szCs w:val="36"/>
              </w:rPr>
              <w:t>1.7</w:t>
            </w:r>
            <w:r w:rsidRPr="000302A1">
              <w:rPr>
                <w:rFonts w:cstheme="minorHAnsi"/>
                <w:b/>
                <w:sz w:val="36"/>
                <w:szCs w:val="36"/>
              </w:rPr>
              <w:t>%</w:t>
            </w:r>
          </w:p>
        </w:tc>
        <w:tc>
          <w:tcPr>
            <w:tcW w:w="0" w:type="auto"/>
          </w:tcPr>
          <w:p w14:paraId="1A1956EC" w14:textId="1AAF0FB7" w:rsidR="00777DF1" w:rsidRPr="000302A1" w:rsidRDefault="00463330" w:rsidP="00F74AAE">
            <w:pPr>
              <w:contextualSpacing/>
              <w:rPr>
                <w:rFonts w:cstheme="minorHAnsi"/>
                <w:b/>
                <w:noProof/>
                <w:sz w:val="36"/>
                <w:szCs w:val="36"/>
              </w:rPr>
            </w:pPr>
            <w:r>
              <w:rPr>
                <w:rFonts w:cstheme="minorHAnsi"/>
                <w:b/>
                <w:noProof/>
                <w:sz w:val="36"/>
                <w:szCs w:val="36"/>
              </w:rPr>
              <w:t>32.2%</w:t>
            </w:r>
          </w:p>
        </w:tc>
        <w:tc>
          <w:tcPr>
            <w:tcW w:w="0" w:type="auto"/>
          </w:tcPr>
          <w:p w14:paraId="6C9C2574" w14:textId="530C7E2E" w:rsidR="00D3255A" w:rsidRPr="000302A1" w:rsidRDefault="00AD4CAC" w:rsidP="00F74AAE">
            <w:pPr>
              <w:contextualSpacing/>
              <w:rPr>
                <w:rFonts w:cstheme="minorHAnsi"/>
                <w:b/>
                <w:noProof/>
                <w:sz w:val="36"/>
                <w:szCs w:val="36"/>
              </w:rPr>
            </w:pPr>
            <w:r w:rsidRPr="000302A1">
              <w:rPr>
                <w:rFonts w:cstheme="minorHAnsi"/>
                <w:b/>
                <w:sz w:val="36"/>
                <w:szCs w:val="36"/>
              </w:rPr>
              <w:t>3</w:t>
            </w:r>
            <w:r w:rsidR="00463330">
              <w:rPr>
                <w:rFonts w:cstheme="minorHAnsi"/>
                <w:b/>
                <w:sz w:val="36"/>
                <w:szCs w:val="36"/>
              </w:rPr>
              <w:t>2.7</w:t>
            </w:r>
            <w:r w:rsidRPr="000302A1">
              <w:rPr>
                <w:rFonts w:cstheme="minorHAnsi"/>
                <w:b/>
                <w:sz w:val="36"/>
                <w:szCs w:val="36"/>
              </w:rPr>
              <w:t>%</w:t>
            </w:r>
          </w:p>
        </w:tc>
        <w:tc>
          <w:tcPr>
            <w:tcW w:w="0" w:type="auto"/>
          </w:tcPr>
          <w:p w14:paraId="6D460C39" w14:textId="4FBC547C" w:rsidR="00D3255A" w:rsidRPr="000302A1" w:rsidRDefault="00D3255A" w:rsidP="00F74AAE">
            <w:pPr>
              <w:contextualSpacing/>
              <w:rPr>
                <w:rFonts w:cstheme="minorHAnsi"/>
                <w:b/>
                <w:noProof/>
                <w:sz w:val="36"/>
                <w:szCs w:val="36"/>
              </w:rPr>
            </w:pPr>
            <w:r w:rsidRPr="000302A1">
              <w:rPr>
                <w:rFonts w:cstheme="minorHAnsi"/>
                <w:b/>
                <w:noProof/>
                <w:sz w:val="36"/>
                <w:szCs w:val="36"/>
              </w:rPr>
              <w:t>30</w:t>
            </w:r>
            <w:r w:rsidR="00463330">
              <w:rPr>
                <w:rFonts w:cstheme="minorHAnsi"/>
                <w:b/>
                <w:sz w:val="36"/>
                <w:szCs w:val="36"/>
              </w:rPr>
              <w:t>.1</w:t>
            </w:r>
            <w:r w:rsidRPr="000302A1">
              <w:rPr>
                <w:rFonts w:cstheme="minorHAnsi"/>
                <w:b/>
                <w:noProof/>
                <w:sz w:val="36"/>
                <w:szCs w:val="36"/>
              </w:rPr>
              <w:t>%</w:t>
            </w:r>
          </w:p>
        </w:tc>
        <w:tc>
          <w:tcPr>
            <w:tcW w:w="0" w:type="auto"/>
          </w:tcPr>
          <w:p w14:paraId="7262321F" w14:textId="13304535" w:rsidR="00D3255A" w:rsidRPr="000302A1" w:rsidRDefault="00AD4CAC" w:rsidP="00F74AAE">
            <w:pPr>
              <w:contextualSpacing/>
              <w:rPr>
                <w:rFonts w:cstheme="minorHAnsi"/>
                <w:b/>
                <w:noProof/>
                <w:sz w:val="36"/>
                <w:szCs w:val="36"/>
              </w:rPr>
            </w:pPr>
            <w:r w:rsidRPr="000302A1">
              <w:rPr>
                <w:rFonts w:cstheme="minorHAnsi"/>
                <w:b/>
                <w:noProof/>
                <w:sz w:val="36"/>
                <w:szCs w:val="36"/>
              </w:rPr>
              <w:t>3</w:t>
            </w:r>
            <w:r w:rsidR="00463330">
              <w:rPr>
                <w:rFonts w:cstheme="minorHAnsi"/>
                <w:b/>
                <w:noProof/>
                <w:sz w:val="36"/>
                <w:szCs w:val="36"/>
              </w:rPr>
              <w:t>5.9</w:t>
            </w:r>
            <w:r w:rsidRPr="000302A1">
              <w:rPr>
                <w:rFonts w:cstheme="minorHAnsi"/>
                <w:b/>
                <w:noProof/>
                <w:sz w:val="36"/>
                <w:szCs w:val="36"/>
              </w:rPr>
              <w:t>%</w:t>
            </w:r>
          </w:p>
        </w:tc>
      </w:tr>
    </w:tbl>
    <w:p w14:paraId="2221AA95" w14:textId="152961F0" w:rsidR="00E85938" w:rsidRDefault="00E85938" w:rsidP="00F74AAE">
      <w:pPr>
        <w:spacing w:line="240" w:lineRule="auto"/>
        <w:contextualSpacing/>
        <w:rPr>
          <w:rFonts w:cstheme="minorHAnsi"/>
        </w:rPr>
      </w:pPr>
    </w:p>
    <w:p w14:paraId="5DA514D0" w14:textId="0359F469" w:rsidR="00EC09D8" w:rsidRPr="003D21FF" w:rsidRDefault="003D21FF" w:rsidP="00F74AAE">
      <w:pPr>
        <w:spacing w:line="240" w:lineRule="auto"/>
        <w:contextualSpacing/>
        <w:rPr>
          <w:rFonts w:cstheme="minorHAnsi"/>
          <w:b/>
          <w:bCs/>
        </w:rPr>
      </w:pPr>
      <w:r w:rsidRPr="003D21FF">
        <w:rPr>
          <w:rFonts w:cstheme="minorHAnsi"/>
          <w:b/>
          <w:bCs/>
        </w:rPr>
        <w:t xml:space="preserve">Figure </w:t>
      </w:r>
      <w:r w:rsidR="003B0F9D">
        <w:rPr>
          <w:rFonts w:cstheme="minorHAnsi"/>
          <w:b/>
          <w:bCs/>
        </w:rPr>
        <w:t>2</w:t>
      </w:r>
      <w:r w:rsidRPr="003D21FF">
        <w:rPr>
          <w:rFonts w:cstheme="minorHAnsi"/>
          <w:b/>
          <w:bCs/>
        </w:rPr>
        <w:t xml:space="preserve">. Percentage of </w:t>
      </w:r>
      <w:r w:rsidR="00495B8F">
        <w:rPr>
          <w:rFonts w:cstheme="minorHAnsi"/>
          <w:b/>
          <w:bCs/>
        </w:rPr>
        <w:t xml:space="preserve">non-completers </w:t>
      </w:r>
      <w:r w:rsidR="003B0F9D">
        <w:rPr>
          <w:rFonts w:cstheme="minorHAnsi"/>
          <w:b/>
          <w:bCs/>
        </w:rPr>
        <w:t xml:space="preserve">identifying </w:t>
      </w:r>
      <w:r w:rsidR="00495B8F">
        <w:rPr>
          <w:rFonts w:cstheme="minorHAnsi"/>
          <w:b/>
          <w:bCs/>
        </w:rPr>
        <w:t>NILFET</w:t>
      </w:r>
      <w:r w:rsidR="003B0F9D">
        <w:rPr>
          <w:rFonts w:cstheme="minorHAnsi"/>
          <w:b/>
          <w:bCs/>
        </w:rPr>
        <w:t xml:space="preserve"> status</w:t>
      </w:r>
    </w:p>
    <w:p w14:paraId="1D679AEF" w14:textId="7B731E83" w:rsidR="003D21FF" w:rsidRDefault="00DE4875" w:rsidP="00F74AAE">
      <w:pPr>
        <w:spacing w:line="240" w:lineRule="auto"/>
        <w:contextualSpacing/>
        <w:rPr>
          <w:rFonts w:cstheme="minorHAnsi"/>
        </w:rPr>
      </w:pPr>
      <w:r>
        <w:rPr>
          <w:noProof/>
        </w:rPr>
        <w:drawing>
          <wp:anchor distT="0" distB="0" distL="114300" distR="114300" simplePos="0" relativeHeight="251658241" behindDoc="0" locked="0" layoutInCell="1" allowOverlap="1" wp14:anchorId="21157D0F" wp14:editId="1208F62F">
            <wp:simplePos x="0" y="0"/>
            <wp:positionH relativeFrom="margin">
              <wp:posOffset>-19050</wp:posOffset>
            </wp:positionH>
            <wp:positionV relativeFrom="paragraph">
              <wp:posOffset>37465</wp:posOffset>
            </wp:positionV>
            <wp:extent cx="5731510" cy="3524250"/>
            <wp:effectExtent l="0" t="0" r="2540" b="0"/>
            <wp:wrapNone/>
            <wp:docPr id="3" name="Chart 3">
              <a:extLst xmlns:a="http://schemas.openxmlformats.org/drawingml/2006/main">
                <a:ext uri="{FF2B5EF4-FFF2-40B4-BE49-F238E27FC236}">
                  <a16:creationId xmlns:a16="http://schemas.microsoft.com/office/drawing/2014/main" id="{3A7A7E38-859D-4491-B3F6-5519B96C20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2A09663F" w14:textId="052B7575" w:rsidR="003D21FF" w:rsidRDefault="003D21FF" w:rsidP="00F74AAE">
      <w:pPr>
        <w:spacing w:line="240" w:lineRule="auto"/>
        <w:contextualSpacing/>
        <w:rPr>
          <w:rFonts w:cstheme="minorHAnsi"/>
        </w:rPr>
      </w:pPr>
    </w:p>
    <w:p w14:paraId="4C34B185" w14:textId="583AC7F6" w:rsidR="003D21FF" w:rsidRDefault="003D21FF" w:rsidP="00F74AAE">
      <w:pPr>
        <w:spacing w:line="240" w:lineRule="auto"/>
        <w:contextualSpacing/>
        <w:rPr>
          <w:rFonts w:cstheme="minorHAnsi"/>
        </w:rPr>
      </w:pPr>
    </w:p>
    <w:p w14:paraId="1DEE3A42" w14:textId="5999C6F9" w:rsidR="003D21FF" w:rsidRDefault="003D21FF" w:rsidP="00F74AAE">
      <w:pPr>
        <w:spacing w:line="240" w:lineRule="auto"/>
        <w:contextualSpacing/>
        <w:rPr>
          <w:rFonts w:cstheme="minorHAnsi"/>
        </w:rPr>
      </w:pPr>
    </w:p>
    <w:p w14:paraId="7685F72F" w14:textId="7B21DBC0" w:rsidR="003D21FF" w:rsidRDefault="003D21FF" w:rsidP="00F74AAE">
      <w:pPr>
        <w:spacing w:line="240" w:lineRule="auto"/>
        <w:contextualSpacing/>
        <w:rPr>
          <w:rFonts w:cstheme="minorHAnsi"/>
        </w:rPr>
      </w:pPr>
    </w:p>
    <w:p w14:paraId="2AE19FA9" w14:textId="6EC40551" w:rsidR="003D21FF" w:rsidRDefault="003D21FF" w:rsidP="00F74AAE">
      <w:pPr>
        <w:spacing w:line="240" w:lineRule="auto"/>
        <w:contextualSpacing/>
        <w:rPr>
          <w:rFonts w:cstheme="minorHAnsi"/>
        </w:rPr>
      </w:pPr>
    </w:p>
    <w:p w14:paraId="00DD62F7" w14:textId="78B5ADCD" w:rsidR="003D21FF" w:rsidRDefault="003D21FF" w:rsidP="00F74AAE">
      <w:pPr>
        <w:spacing w:line="240" w:lineRule="auto"/>
        <w:contextualSpacing/>
        <w:rPr>
          <w:rFonts w:cstheme="minorHAnsi"/>
        </w:rPr>
      </w:pPr>
    </w:p>
    <w:p w14:paraId="19D6574D" w14:textId="01332D85" w:rsidR="003D21FF" w:rsidRDefault="003D21FF" w:rsidP="00F74AAE">
      <w:pPr>
        <w:spacing w:line="240" w:lineRule="auto"/>
        <w:contextualSpacing/>
        <w:rPr>
          <w:rFonts w:cstheme="minorHAnsi"/>
        </w:rPr>
      </w:pPr>
    </w:p>
    <w:p w14:paraId="7EDB2A4A" w14:textId="2365EEBB" w:rsidR="003D21FF" w:rsidRDefault="003D21FF" w:rsidP="00F74AAE">
      <w:pPr>
        <w:spacing w:line="240" w:lineRule="auto"/>
        <w:contextualSpacing/>
        <w:rPr>
          <w:rFonts w:cstheme="minorHAnsi"/>
        </w:rPr>
      </w:pPr>
    </w:p>
    <w:p w14:paraId="41091881" w14:textId="0F4F4CE4" w:rsidR="003D21FF" w:rsidRDefault="003D21FF" w:rsidP="00F74AAE">
      <w:pPr>
        <w:spacing w:line="240" w:lineRule="auto"/>
        <w:contextualSpacing/>
        <w:rPr>
          <w:rFonts w:cstheme="minorHAnsi"/>
        </w:rPr>
      </w:pPr>
    </w:p>
    <w:p w14:paraId="68DF17B6" w14:textId="253AC85E" w:rsidR="003D21FF" w:rsidRDefault="003D21FF" w:rsidP="00F74AAE">
      <w:pPr>
        <w:spacing w:line="240" w:lineRule="auto"/>
        <w:contextualSpacing/>
        <w:rPr>
          <w:rFonts w:cstheme="minorHAnsi"/>
        </w:rPr>
      </w:pPr>
    </w:p>
    <w:p w14:paraId="24151D10" w14:textId="5B258511" w:rsidR="003D21FF" w:rsidRDefault="003D21FF" w:rsidP="00F74AAE">
      <w:pPr>
        <w:spacing w:line="240" w:lineRule="auto"/>
        <w:contextualSpacing/>
        <w:rPr>
          <w:rFonts w:cstheme="minorHAnsi"/>
        </w:rPr>
      </w:pPr>
    </w:p>
    <w:p w14:paraId="3D82C8D2" w14:textId="496EC73D" w:rsidR="003D21FF" w:rsidRDefault="003D21FF" w:rsidP="00F74AAE">
      <w:pPr>
        <w:spacing w:line="240" w:lineRule="auto"/>
        <w:contextualSpacing/>
        <w:rPr>
          <w:rFonts w:cstheme="minorHAnsi"/>
        </w:rPr>
      </w:pPr>
    </w:p>
    <w:p w14:paraId="1D728F66" w14:textId="39DE3A17" w:rsidR="003D21FF" w:rsidRDefault="003D21FF" w:rsidP="00F74AAE">
      <w:pPr>
        <w:spacing w:line="240" w:lineRule="auto"/>
        <w:contextualSpacing/>
        <w:rPr>
          <w:rFonts w:cstheme="minorHAnsi"/>
        </w:rPr>
      </w:pPr>
    </w:p>
    <w:p w14:paraId="01528DE6" w14:textId="1D675069" w:rsidR="003D21FF" w:rsidRDefault="003D21FF" w:rsidP="00F74AAE">
      <w:pPr>
        <w:spacing w:line="240" w:lineRule="auto"/>
        <w:contextualSpacing/>
        <w:rPr>
          <w:rFonts w:cstheme="minorHAnsi"/>
        </w:rPr>
      </w:pPr>
    </w:p>
    <w:p w14:paraId="29E9BF2D" w14:textId="1F848DA2" w:rsidR="003D21FF" w:rsidRDefault="003D21FF" w:rsidP="00F74AAE">
      <w:pPr>
        <w:spacing w:line="240" w:lineRule="auto"/>
        <w:contextualSpacing/>
        <w:rPr>
          <w:rFonts w:cstheme="minorHAnsi"/>
        </w:rPr>
      </w:pPr>
    </w:p>
    <w:p w14:paraId="45130471" w14:textId="3B3A5040" w:rsidR="003D21FF" w:rsidRDefault="003D21FF" w:rsidP="00F74AAE">
      <w:pPr>
        <w:spacing w:line="240" w:lineRule="auto"/>
        <w:contextualSpacing/>
        <w:rPr>
          <w:rFonts w:cstheme="minorHAnsi"/>
        </w:rPr>
      </w:pPr>
    </w:p>
    <w:p w14:paraId="0D3A2172" w14:textId="47257D44" w:rsidR="003D21FF" w:rsidRDefault="003D21FF" w:rsidP="00F74AAE">
      <w:pPr>
        <w:spacing w:line="240" w:lineRule="auto"/>
        <w:contextualSpacing/>
        <w:rPr>
          <w:rFonts w:cstheme="minorHAnsi"/>
        </w:rPr>
      </w:pPr>
    </w:p>
    <w:p w14:paraId="6D71951E" w14:textId="239AEBAE" w:rsidR="003D21FF" w:rsidRPr="003D21FF" w:rsidRDefault="003D21FF" w:rsidP="006D6AD8">
      <w:pPr>
        <w:spacing w:line="240" w:lineRule="auto"/>
        <w:contextualSpacing/>
        <w:rPr>
          <w:rFonts w:cstheme="minorHAnsi"/>
          <w:b/>
          <w:bCs/>
          <w:sz w:val="24"/>
          <w:szCs w:val="24"/>
        </w:rPr>
      </w:pPr>
      <w:r w:rsidRPr="003D21FF">
        <w:rPr>
          <w:rFonts w:cstheme="minorHAnsi"/>
          <w:b/>
          <w:bCs/>
          <w:sz w:val="24"/>
          <w:szCs w:val="24"/>
        </w:rPr>
        <w:lastRenderedPageBreak/>
        <w:t>Employment destination</w:t>
      </w:r>
    </w:p>
    <w:p w14:paraId="09503A72" w14:textId="77777777" w:rsidR="003D21FF" w:rsidRDefault="003D21FF" w:rsidP="00F74AAE">
      <w:pPr>
        <w:spacing w:line="240" w:lineRule="auto"/>
        <w:contextualSpacing/>
        <w:rPr>
          <w:rFonts w:cstheme="minorHAnsi"/>
        </w:rPr>
      </w:pPr>
    </w:p>
    <w:p w14:paraId="6D5B2E27" w14:textId="2B931749" w:rsidR="009E7E5D" w:rsidRPr="00495B8F" w:rsidRDefault="00203175" w:rsidP="00F74AAE">
      <w:pPr>
        <w:spacing w:line="240" w:lineRule="auto"/>
        <w:contextualSpacing/>
        <w:rPr>
          <w:rFonts w:cstheme="minorHAnsi"/>
          <w:b/>
        </w:rPr>
      </w:pPr>
      <w:r w:rsidRPr="00495B8F">
        <w:rPr>
          <w:rFonts w:cstheme="minorHAnsi"/>
          <w:b/>
        </w:rPr>
        <w:t>E</w:t>
      </w:r>
      <w:r w:rsidR="009E7E5D" w:rsidRPr="00495B8F">
        <w:rPr>
          <w:rFonts w:cstheme="minorHAnsi"/>
          <w:b/>
        </w:rPr>
        <w:t xml:space="preserve">mployment destinations </w:t>
      </w:r>
      <w:r w:rsidRPr="00495B8F">
        <w:rPr>
          <w:rFonts w:cstheme="minorHAnsi"/>
          <w:b/>
        </w:rPr>
        <w:t xml:space="preserve">remain largely unchanged since </w:t>
      </w:r>
      <w:r w:rsidR="009E7E5D" w:rsidRPr="00495B8F">
        <w:rPr>
          <w:rFonts w:cstheme="minorHAnsi"/>
          <w:b/>
        </w:rPr>
        <w:t>201</w:t>
      </w:r>
      <w:r w:rsidR="002D69E2" w:rsidRPr="00495B8F">
        <w:rPr>
          <w:rFonts w:cstheme="minorHAnsi"/>
          <w:b/>
        </w:rPr>
        <w:t>7</w:t>
      </w:r>
      <w:r w:rsidR="009E7E5D" w:rsidRPr="00495B8F">
        <w:rPr>
          <w:rFonts w:cstheme="minorHAnsi"/>
          <w:b/>
        </w:rPr>
        <w:t>.</w:t>
      </w:r>
      <w:r w:rsidRPr="00495B8F">
        <w:rPr>
          <w:rFonts w:cstheme="minorHAnsi"/>
          <w:b/>
        </w:rPr>
        <w:t xml:space="preserve"> </w:t>
      </w:r>
      <w:r w:rsidR="007509C6" w:rsidRPr="00495B8F">
        <w:rPr>
          <w:rFonts w:cstheme="minorHAnsi"/>
          <w:b/>
        </w:rPr>
        <w:t>Respondents</w:t>
      </w:r>
      <w:r>
        <w:rPr>
          <w:rFonts w:cstheme="minorHAnsi"/>
          <w:b/>
        </w:rPr>
        <w:t xml:space="preserve"> who </w:t>
      </w:r>
      <w:r w:rsidRPr="00495B8F">
        <w:rPr>
          <w:rFonts w:cstheme="minorHAnsi"/>
          <w:b/>
        </w:rPr>
        <w:t>complete</w:t>
      </w:r>
      <w:r w:rsidR="00495B8F" w:rsidRPr="00495B8F">
        <w:rPr>
          <w:rFonts w:cstheme="minorHAnsi"/>
          <w:b/>
        </w:rPr>
        <w:t>d</w:t>
      </w:r>
      <w:r>
        <w:rPr>
          <w:rFonts w:cstheme="minorHAnsi"/>
          <w:b/>
        </w:rPr>
        <w:t xml:space="preserve"> Year 12 are most likely to gain employment in the food, hospitality and tourism industry whereas non-completers are most likely to be employed in building and construction. </w:t>
      </w:r>
    </w:p>
    <w:p w14:paraId="5BDDD3F1" w14:textId="5BADBB73" w:rsidR="001B4FC9" w:rsidRPr="005750CF" w:rsidRDefault="001B4FC9" w:rsidP="00F74AAE">
      <w:pPr>
        <w:spacing w:line="240" w:lineRule="auto"/>
        <w:contextualSpacing/>
        <w:rPr>
          <w:rFonts w:cstheme="minorHAnsi"/>
        </w:rPr>
      </w:pPr>
    </w:p>
    <w:tbl>
      <w:tblPr>
        <w:tblStyle w:val="TableGrid"/>
        <w:tblW w:w="5000" w:type="pct"/>
        <w:tblLook w:val="04A0" w:firstRow="1" w:lastRow="0" w:firstColumn="1" w:lastColumn="0" w:noHBand="0" w:noVBand="1"/>
      </w:tblPr>
      <w:tblGrid>
        <w:gridCol w:w="3041"/>
        <w:gridCol w:w="1136"/>
        <w:gridCol w:w="665"/>
        <w:gridCol w:w="3040"/>
        <w:gridCol w:w="1134"/>
      </w:tblGrid>
      <w:tr w:rsidR="00253015" w14:paraId="6B99D5AF" w14:textId="4E6D52EA" w:rsidTr="007509C6">
        <w:tc>
          <w:tcPr>
            <w:tcW w:w="1686" w:type="pct"/>
          </w:tcPr>
          <w:p w14:paraId="653D2E72" w14:textId="593ED519" w:rsidR="00253015" w:rsidRPr="007509C6" w:rsidRDefault="00203175" w:rsidP="007509C6">
            <w:pPr>
              <w:contextualSpacing/>
              <w:jc w:val="center"/>
              <w:rPr>
                <w:rFonts w:cstheme="minorHAnsi"/>
                <w:b/>
              </w:rPr>
            </w:pPr>
            <w:r w:rsidRPr="007509C6">
              <w:rPr>
                <w:rFonts w:cstheme="minorHAnsi"/>
                <w:b/>
              </w:rPr>
              <w:t>Year 12 completers</w:t>
            </w:r>
          </w:p>
        </w:tc>
        <w:tc>
          <w:tcPr>
            <w:tcW w:w="630" w:type="pct"/>
          </w:tcPr>
          <w:p w14:paraId="772BA83F" w14:textId="42A9D97A" w:rsidR="00253015" w:rsidRDefault="00253015" w:rsidP="00F74AAE">
            <w:pPr>
              <w:contextualSpacing/>
              <w:rPr>
                <w:rFonts w:cstheme="minorHAnsi"/>
              </w:rPr>
            </w:pPr>
          </w:p>
        </w:tc>
        <w:tc>
          <w:tcPr>
            <w:tcW w:w="369" w:type="pct"/>
          </w:tcPr>
          <w:p w14:paraId="60E27B1C" w14:textId="0AD62285" w:rsidR="00253015" w:rsidRDefault="00253015" w:rsidP="00F74AAE">
            <w:pPr>
              <w:contextualSpacing/>
              <w:rPr>
                <w:rFonts w:cstheme="minorHAnsi"/>
              </w:rPr>
            </w:pPr>
            <w:r>
              <w:rPr>
                <w:rFonts w:cstheme="minorHAnsi"/>
              </w:rPr>
              <w:t>Rank</w:t>
            </w:r>
          </w:p>
        </w:tc>
        <w:tc>
          <w:tcPr>
            <w:tcW w:w="1686" w:type="pct"/>
          </w:tcPr>
          <w:p w14:paraId="5312B871" w14:textId="1D23B998" w:rsidR="00253015" w:rsidRPr="007509C6" w:rsidRDefault="00203175" w:rsidP="007509C6">
            <w:pPr>
              <w:contextualSpacing/>
              <w:jc w:val="center"/>
              <w:rPr>
                <w:rFonts w:cstheme="minorHAnsi"/>
                <w:b/>
              </w:rPr>
            </w:pPr>
            <w:r w:rsidRPr="007509C6">
              <w:rPr>
                <w:rFonts w:cstheme="minorHAnsi"/>
                <w:b/>
              </w:rPr>
              <w:t>Year 12 non-completers</w:t>
            </w:r>
          </w:p>
        </w:tc>
        <w:tc>
          <w:tcPr>
            <w:tcW w:w="630" w:type="pct"/>
          </w:tcPr>
          <w:p w14:paraId="37239B01" w14:textId="77777777" w:rsidR="00253015" w:rsidRDefault="00253015" w:rsidP="00F74AAE">
            <w:pPr>
              <w:contextualSpacing/>
              <w:rPr>
                <w:rFonts w:cstheme="minorHAnsi"/>
              </w:rPr>
            </w:pPr>
          </w:p>
        </w:tc>
      </w:tr>
      <w:tr w:rsidR="00253015" w14:paraId="112C844B" w14:textId="1A27497C" w:rsidTr="007509C6">
        <w:tc>
          <w:tcPr>
            <w:tcW w:w="1686" w:type="pct"/>
          </w:tcPr>
          <w:p w14:paraId="07A785BA" w14:textId="210EC801" w:rsidR="00253015" w:rsidRDefault="00253015" w:rsidP="00253015">
            <w:pPr>
              <w:contextualSpacing/>
              <w:rPr>
                <w:rFonts w:cstheme="minorHAnsi"/>
              </w:rPr>
            </w:pPr>
            <w:r w:rsidRPr="002C0513">
              <w:rPr>
                <w:rFonts w:cstheme="minorHAnsi"/>
              </w:rPr>
              <w:t>‘</w:t>
            </w:r>
            <w:r w:rsidRPr="00EA6F25">
              <w:rPr>
                <w:rFonts w:cstheme="minorHAnsi"/>
              </w:rPr>
              <w:t>Food, Hospitality and Tourism’</w:t>
            </w:r>
          </w:p>
        </w:tc>
        <w:tc>
          <w:tcPr>
            <w:tcW w:w="630" w:type="pct"/>
          </w:tcPr>
          <w:p w14:paraId="40C1DA75" w14:textId="4F1B9638" w:rsidR="00253015" w:rsidRDefault="00253015" w:rsidP="00253015">
            <w:pPr>
              <w:contextualSpacing/>
              <w:rPr>
                <w:rFonts w:cstheme="minorHAnsi"/>
              </w:rPr>
            </w:pPr>
            <w:r w:rsidRPr="005474A3">
              <w:rPr>
                <w:rFonts w:cstheme="minorHAnsi"/>
                <w:b/>
                <w:noProof/>
                <w:sz w:val="36"/>
                <w:szCs w:val="36"/>
              </w:rPr>
              <w:t>31</w:t>
            </w:r>
            <w:r>
              <w:rPr>
                <w:rFonts w:cstheme="minorHAnsi"/>
                <w:b/>
                <w:noProof/>
                <w:sz w:val="36"/>
                <w:szCs w:val="36"/>
              </w:rPr>
              <w:t>.0</w:t>
            </w:r>
            <w:r w:rsidRPr="005474A3">
              <w:rPr>
                <w:rFonts w:cstheme="minorHAnsi"/>
                <w:b/>
                <w:noProof/>
                <w:sz w:val="36"/>
                <w:szCs w:val="36"/>
              </w:rPr>
              <w:t>%</w:t>
            </w:r>
          </w:p>
        </w:tc>
        <w:tc>
          <w:tcPr>
            <w:tcW w:w="369" w:type="pct"/>
          </w:tcPr>
          <w:p w14:paraId="67E68295" w14:textId="53F6F9EB" w:rsidR="00253015" w:rsidRDefault="00253015" w:rsidP="00253015">
            <w:pPr>
              <w:contextualSpacing/>
              <w:rPr>
                <w:rFonts w:cstheme="minorHAnsi"/>
              </w:rPr>
            </w:pPr>
            <w:r>
              <w:rPr>
                <w:rFonts w:cstheme="minorHAnsi"/>
              </w:rPr>
              <w:t>1</w:t>
            </w:r>
          </w:p>
        </w:tc>
        <w:tc>
          <w:tcPr>
            <w:tcW w:w="1686" w:type="pct"/>
          </w:tcPr>
          <w:p w14:paraId="703AE8B8" w14:textId="7426F593" w:rsidR="00253015" w:rsidRDefault="00253015" w:rsidP="00253015">
            <w:pPr>
              <w:contextualSpacing/>
              <w:rPr>
                <w:rFonts w:cstheme="minorHAnsi"/>
              </w:rPr>
            </w:pPr>
            <w:r w:rsidRPr="00611AE3">
              <w:rPr>
                <w:rFonts w:cstheme="minorHAnsi"/>
              </w:rPr>
              <w:t>‘Building and Construction’</w:t>
            </w:r>
          </w:p>
        </w:tc>
        <w:tc>
          <w:tcPr>
            <w:tcW w:w="630" w:type="pct"/>
          </w:tcPr>
          <w:p w14:paraId="308DFF79" w14:textId="2D5E75FF" w:rsidR="00253015" w:rsidRDefault="00253015" w:rsidP="00253015">
            <w:pPr>
              <w:contextualSpacing/>
              <w:rPr>
                <w:rFonts w:cstheme="minorHAnsi"/>
              </w:rPr>
            </w:pPr>
            <w:r w:rsidRPr="00652570">
              <w:rPr>
                <w:rFonts w:cstheme="minorHAnsi"/>
                <w:b/>
                <w:noProof/>
                <w:sz w:val="36"/>
                <w:szCs w:val="36"/>
              </w:rPr>
              <w:t>26.7%</w:t>
            </w:r>
          </w:p>
        </w:tc>
      </w:tr>
      <w:tr w:rsidR="00253015" w14:paraId="07EAD985" w14:textId="561BD14D" w:rsidTr="007509C6">
        <w:tc>
          <w:tcPr>
            <w:tcW w:w="1686" w:type="pct"/>
          </w:tcPr>
          <w:p w14:paraId="73DBF5E1" w14:textId="705EC399" w:rsidR="00253015" w:rsidRDefault="00253015" w:rsidP="00253015">
            <w:pPr>
              <w:contextualSpacing/>
              <w:rPr>
                <w:rFonts w:cstheme="minorHAnsi"/>
              </w:rPr>
            </w:pPr>
            <w:r w:rsidRPr="00DD0588">
              <w:rPr>
                <w:rFonts w:cstheme="minorHAnsi"/>
              </w:rPr>
              <w:t>Sales/Store person’</w:t>
            </w:r>
          </w:p>
        </w:tc>
        <w:tc>
          <w:tcPr>
            <w:tcW w:w="630" w:type="pct"/>
          </w:tcPr>
          <w:p w14:paraId="5874A143" w14:textId="7E82BBF0" w:rsidR="00253015" w:rsidRDefault="00253015" w:rsidP="00253015">
            <w:pPr>
              <w:contextualSpacing/>
              <w:rPr>
                <w:rFonts w:cstheme="minorHAnsi"/>
              </w:rPr>
            </w:pPr>
            <w:r w:rsidRPr="002D5867">
              <w:rPr>
                <w:rFonts w:cstheme="minorHAnsi"/>
                <w:b/>
                <w:noProof/>
                <w:sz w:val="36"/>
                <w:szCs w:val="36"/>
              </w:rPr>
              <w:t>27.</w:t>
            </w:r>
            <w:r>
              <w:rPr>
                <w:rFonts w:cstheme="minorHAnsi"/>
                <w:b/>
                <w:noProof/>
                <w:sz w:val="36"/>
                <w:szCs w:val="36"/>
              </w:rPr>
              <w:t>8</w:t>
            </w:r>
            <w:r w:rsidRPr="002D5867">
              <w:rPr>
                <w:rFonts w:cstheme="minorHAnsi"/>
                <w:b/>
                <w:noProof/>
                <w:sz w:val="36"/>
                <w:szCs w:val="36"/>
              </w:rPr>
              <w:t>%</w:t>
            </w:r>
          </w:p>
        </w:tc>
        <w:tc>
          <w:tcPr>
            <w:tcW w:w="369" w:type="pct"/>
          </w:tcPr>
          <w:p w14:paraId="0D5B702B" w14:textId="44DE8FA7" w:rsidR="00253015" w:rsidRDefault="00253015" w:rsidP="00253015">
            <w:pPr>
              <w:contextualSpacing/>
              <w:rPr>
                <w:rFonts w:cstheme="minorHAnsi"/>
              </w:rPr>
            </w:pPr>
            <w:r>
              <w:rPr>
                <w:rFonts w:cstheme="minorHAnsi"/>
              </w:rPr>
              <w:t>2</w:t>
            </w:r>
          </w:p>
        </w:tc>
        <w:tc>
          <w:tcPr>
            <w:tcW w:w="1686" w:type="pct"/>
          </w:tcPr>
          <w:p w14:paraId="043949C6" w14:textId="4C01CD9C" w:rsidR="00253015" w:rsidRDefault="00253015" w:rsidP="00253015">
            <w:pPr>
              <w:contextualSpacing/>
              <w:rPr>
                <w:rFonts w:cstheme="minorHAnsi"/>
              </w:rPr>
            </w:pPr>
            <w:r w:rsidRPr="002C0513">
              <w:rPr>
                <w:rFonts w:cstheme="minorHAnsi"/>
              </w:rPr>
              <w:t>‘</w:t>
            </w:r>
            <w:r w:rsidRPr="00EA6F25">
              <w:rPr>
                <w:rFonts w:cstheme="minorHAnsi"/>
              </w:rPr>
              <w:t>Food, Hospitality and Tourism’</w:t>
            </w:r>
          </w:p>
        </w:tc>
        <w:tc>
          <w:tcPr>
            <w:tcW w:w="630" w:type="pct"/>
          </w:tcPr>
          <w:p w14:paraId="54D3AE77" w14:textId="780E8C32" w:rsidR="00253015" w:rsidRDefault="00253015" w:rsidP="00253015">
            <w:pPr>
              <w:contextualSpacing/>
              <w:rPr>
                <w:rFonts w:cstheme="minorHAnsi"/>
              </w:rPr>
            </w:pPr>
            <w:r w:rsidRPr="00EA6F25">
              <w:rPr>
                <w:rFonts w:cstheme="minorHAnsi"/>
                <w:b/>
                <w:noProof/>
                <w:sz w:val="36"/>
                <w:szCs w:val="36"/>
              </w:rPr>
              <w:t>17.</w:t>
            </w:r>
            <w:r>
              <w:rPr>
                <w:rFonts w:cstheme="minorHAnsi"/>
                <w:b/>
                <w:noProof/>
                <w:sz w:val="36"/>
                <w:szCs w:val="36"/>
              </w:rPr>
              <w:t>6</w:t>
            </w:r>
            <w:r w:rsidRPr="00EA6F25">
              <w:rPr>
                <w:rFonts w:cstheme="minorHAnsi"/>
                <w:b/>
                <w:noProof/>
                <w:sz w:val="36"/>
                <w:szCs w:val="36"/>
              </w:rPr>
              <w:t>%</w:t>
            </w:r>
          </w:p>
        </w:tc>
      </w:tr>
      <w:tr w:rsidR="00253015" w14:paraId="217AF9E2" w14:textId="0597F45E" w:rsidTr="007509C6">
        <w:tc>
          <w:tcPr>
            <w:tcW w:w="1686" w:type="pct"/>
          </w:tcPr>
          <w:p w14:paraId="57A78A1F" w14:textId="51689F07" w:rsidR="00253015" w:rsidRDefault="00253015" w:rsidP="00253015">
            <w:pPr>
              <w:contextualSpacing/>
              <w:rPr>
                <w:rFonts w:cstheme="minorHAnsi"/>
              </w:rPr>
            </w:pPr>
            <w:r>
              <w:rPr>
                <w:rFonts w:cstheme="minorHAnsi"/>
              </w:rPr>
              <w:t>Health, Fitness, Hair &amp; Beauty</w:t>
            </w:r>
          </w:p>
        </w:tc>
        <w:tc>
          <w:tcPr>
            <w:tcW w:w="630" w:type="pct"/>
          </w:tcPr>
          <w:p w14:paraId="516ABA0D" w14:textId="0A417948" w:rsidR="00253015" w:rsidRPr="007509C6" w:rsidRDefault="00253015" w:rsidP="00253015">
            <w:pPr>
              <w:contextualSpacing/>
              <w:rPr>
                <w:rFonts w:cstheme="minorHAnsi"/>
                <w:b/>
                <w:sz w:val="36"/>
                <w:szCs w:val="36"/>
              </w:rPr>
            </w:pPr>
            <w:r w:rsidRPr="007509C6">
              <w:rPr>
                <w:rFonts w:cstheme="minorHAnsi"/>
                <w:b/>
                <w:sz w:val="36"/>
                <w:szCs w:val="36"/>
              </w:rPr>
              <w:t>7.0%</w:t>
            </w:r>
          </w:p>
        </w:tc>
        <w:tc>
          <w:tcPr>
            <w:tcW w:w="369" w:type="pct"/>
          </w:tcPr>
          <w:p w14:paraId="0670690E" w14:textId="2939C6FF" w:rsidR="00253015" w:rsidRDefault="00253015" w:rsidP="00253015">
            <w:pPr>
              <w:contextualSpacing/>
              <w:rPr>
                <w:rFonts w:cstheme="minorHAnsi"/>
              </w:rPr>
            </w:pPr>
            <w:r>
              <w:rPr>
                <w:rFonts w:cstheme="minorHAnsi"/>
              </w:rPr>
              <w:t>3</w:t>
            </w:r>
          </w:p>
        </w:tc>
        <w:tc>
          <w:tcPr>
            <w:tcW w:w="1686" w:type="pct"/>
          </w:tcPr>
          <w:p w14:paraId="31865E0A" w14:textId="2175F235" w:rsidR="00253015" w:rsidRDefault="00253015" w:rsidP="00253015">
            <w:pPr>
              <w:contextualSpacing/>
              <w:rPr>
                <w:rFonts w:cstheme="minorHAnsi"/>
              </w:rPr>
            </w:pPr>
            <w:r w:rsidRPr="00DD0588">
              <w:rPr>
                <w:rFonts w:cstheme="minorHAnsi"/>
              </w:rPr>
              <w:t>‘Sales/Store person’</w:t>
            </w:r>
          </w:p>
        </w:tc>
        <w:tc>
          <w:tcPr>
            <w:tcW w:w="630" w:type="pct"/>
          </w:tcPr>
          <w:p w14:paraId="4879B63E" w14:textId="26B71D5F" w:rsidR="00253015" w:rsidRDefault="00253015" w:rsidP="00253015">
            <w:pPr>
              <w:contextualSpacing/>
              <w:rPr>
                <w:rFonts w:cstheme="minorHAnsi"/>
              </w:rPr>
            </w:pPr>
            <w:r w:rsidRPr="0016434D">
              <w:rPr>
                <w:rFonts w:cstheme="minorHAnsi"/>
                <w:b/>
                <w:noProof/>
                <w:sz w:val="36"/>
                <w:szCs w:val="36"/>
              </w:rPr>
              <w:t>12.</w:t>
            </w:r>
            <w:r>
              <w:rPr>
                <w:rFonts w:cstheme="minorHAnsi"/>
                <w:b/>
                <w:noProof/>
                <w:sz w:val="36"/>
                <w:szCs w:val="36"/>
              </w:rPr>
              <w:t>6</w:t>
            </w:r>
            <w:r w:rsidRPr="0016434D">
              <w:rPr>
                <w:rFonts w:cstheme="minorHAnsi"/>
                <w:b/>
                <w:noProof/>
                <w:sz w:val="36"/>
                <w:szCs w:val="36"/>
              </w:rPr>
              <w:t>%</w:t>
            </w:r>
          </w:p>
        </w:tc>
      </w:tr>
    </w:tbl>
    <w:p w14:paraId="32FD2104" w14:textId="33E8620F" w:rsidR="000C738D" w:rsidRDefault="000C738D" w:rsidP="00F74AAE">
      <w:pPr>
        <w:spacing w:line="240" w:lineRule="auto"/>
        <w:contextualSpacing/>
        <w:rPr>
          <w:rFonts w:cstheme="minorHAnsi"/>
        </w:rPr>
      </w:pPr>
    </w:p>
    <w:p w14:paraId="7506977D" w14:textId="77777777" w:rsidR="000C738D" w:rsidRPr="005750CF" w:rsidRDefault="000C738D" w:rsidP="00F74AAE">
      <w:pPr>
        <w:spacing w:line="240" w:lineRule="auto"/>
        <w:contextualSpacing/>
        <w:rPr>
          <w:rFonts w:cstheme="minorHAnsi"/>
        </w:rPr>
      </w:pPr>
    </w:p>
    <w:tbl>
      <w:tblPr>
        <w:tblStyle w:val="TableGrid"/>
        <w:tblW w:w="0" w:type="auto"/>
        <w:tblLook w:val="04A0" w:firstRow="1" w:lastRow="0" w:firstColumn="1" w:lastColumn="0" w:noHBand="0" w:noVBand="1"/>
      </w:tblPr>
      <w:tblGrid>
        <w:gridCol w:w="5993"/>
        <w:gridCol w:w="1451"/>
        <w:gridCol w:w="1572"/>
      </w:tblGrid>
      <w:tr w:rsidR="0064581C" w14:paraId="1F6217A7" w14:textId="77777777" w:rsidTr="00FF35F3">
        <w:tc>
          <w:tcPr>
            <w:tcW w:w="0" w:type="auto"/>
          </w:tcPr>
          <w:p w14:paraId="252D0987" w14:textId="77777777" w:rsidR="0064581C" w:rsidRDefault="0064581C" w:rsidP="004E0C94">
            <w:pPr>
              <w:contextualSpacing/>
              <w:rPr>
                <w:rFonts w:cstheme="minorHAnsi"/>
              </w:rPr>
            </w:pPr>
          </w:p>
        </w:tc>
        <w:tc>
          <w:tcPr>
            <w:tcW w:w="0" w:type="auto"/>
          </w:tcPr>
          <w:p w14:paraId="4BD3425B" w14:textId="61E58627" w:rsidR="0064581C" w:rsidRPr="005418A1" w:rsidRDefault="005418A1" w:rsidP="00D20ACD">
            <w:pPr>
              <w:contextualSpacing/>
              <w:jc w:val="center"/>
              <w:rPr>
                <w:rFonts w:cstheme="minorHAnsi"/>
                <w:b/>
                <w:bCs/>
              </w:rPr>
            </w:pPr>
            <w:r w:rsidRPr="005418A1">
              <w:rPr>
                <w:rFonts w:cstheme="minorHAnsi"/>
                <w:b/>
                <w:bCs/>
              </w:rPr>
              <w:t>Year 12 completers</w:t>
            </w:r>
          </w:p>
        </w:tc>
        <w:tc>
          <w:tcPr>
            <w:tcW w:w="0" w:type="auto"/>
          </w:tcPr>
          <w:p w14:paraId="02A56D63" w14:textId="0CE4C2DA" w:rsidR="0064581C" w:rsidRPr="005418A1" w:rsidRDefault="005418A1" w:rsidP="00D20ACD">
            <w:pPr>
              <w:contextualSpacing/>
              <w:jc w:val="center"/>
              <w:rPr>
                <w:rFonts w:cstheme="minorHAnsi"/>
                <w:b/>
                <w:bCs/>
              </w:rPr>
            </w:pPr>
            <w:r w:rsidRPr="005418A1">
              <w:rPr>
                <w:rFonts w:cstheme="minorHAnsi"/>
                <w:b/>
                <w:bCs/>
              </w:rPr>
              <w:t>Year 12 non-completers</w:t>
            </w:r>
          </w:p>
        </w:tc>
      </w:tr>
      <w:tr w:rsidR="00495B8F" w14:paraId="4F3B38E5" w14:textId="77777777" w:rsidTr="007509C6">
        <w:tc>
          <w:tcPr>
            <w:tcW w:w="0" w:type="auto"/>
          </w:tcPr>
          <w:p w14:paraId="27B5FC4B" w14:textId="78ABBA33" w:rsidR="007509C6" w:rsidRPr="002C0513" w:rsidRDefault="007509C6" w:rsidP="005063B4">
            <w:pPr>
              <w:rPr>
                <w:rFonts w:cstheme="minorHAnsi"/>
              </w:rPr>
            </w:pPr>
            <w:r w:rsidRPr="002C0513">
              <w:rPr>
                <w:rFonts w:cstheme="minorHAnsi"/>
              </w:rPr>
              <w:t>‘</w:t>
            </w:r>
            <w:r w:rsidRPr="00EA6F25">
              <w:rPr>
                <w:rFonts w:cstheme="minorHAnsi"/>
              </w:rPr>
              <w:t>Food, Hospitality and Tourism’ remains a popular employment field</w:t>
            </w:r>
            <w:r>
              <w:rPr>
                <w:rFonts w:cstheme="minorHAnsi"/>
              </w:rPr>
              <w:t>, regardless of school completion</w:t>
            </w:r>
            <w:r w:rsidR="00495B8F">
              <w:rPr>
                <w:rFonts w:cstheme="minorHAnsi"/>
              </w:rPr>
              <w:t xml:space="preserve"> but is the most popular type of employment for respondents who have completed year 12</w:t>
            </w:r>
            <w:r>
              <w:rPr>
                <w:rFonts w:cstheme="minorHAnsi"/>
              </w:rPr>
              <w:t>.</w:t>
            </w:r>
          </w:p>
        </w:tc>
        <w:tc>
          <w:tcPr>
            <w:tcW w:w="0" w:type="auto"/>
          </w:tcPr>
          <w:p w14:paraId="0B9CA1E4" w14:textId="77777777" w:rsidR="007509C6" w:rsidRPr="00D120EB" w:rsidRDefault="007509C6" w:rsidP="005063B4">
            <w:pPr>
              <w:contextualSpacing/>
              <w:jc w:val="center"/>
              <w:rPr>
                <w:rFonts w:cstheme="minorHAnsi"/>
                <w:b/>
                <w:noProof/>
                <w:sz w:val="36"/>
                <w:szCs w:val="36"/>
                <w:highlight w:val="yellow"/>
              </w:rPr>
            </w:pPr>
            <w:r w:rsidRPr="005474A3">
              <w:rPr>
                <w:rFonts w:cstheme="minorHAnsi"/>
                <w:b/>
                <w:noProof/>
                <w:sz w:val="36"/>
                <w:szCs w:val="36"/>
              </w:rPr>
              <w:t>31</w:t>
            </w:r>
            <w:r>
              <w:rPr>
                <w:rFonts w:cstheme="minorHAnsi"/>
                <w:b/>
                <w:noProof/>
                <w:sz w:val="36"/>
                <w:szCs w:val="36"/>
              </w:rPr>
              <w:t>.0</w:t>
            </w:r>
            <w:r w:rsidRPr="005474A3">
              <w:rPr>
                <w:rFonts w:cstheme="minorHAnsi"/>
                <w:b/>
                <w:noProof/>
                <w:sz w:val="36"/>
                <w:szCs w:val="36"/>
              </w:rPr>
              <w:t>%</w:t>
            </w:r>
          </w:p>
        </w:tc>
        <w:tc>
          <w:tcPr>
            <w:tcW w:w="0" w:type="auto"/>
          </w:tcPr>
          <w:p w14:paraId="12FB56BC" w14:textId="77777777" w:rsidR="007509C6" w:rsidRPr="00D120EB" w:rsidRDefault="007509C6" w:rsidP="005063B4">
            <w:pPr>
              <w:contextualSpacing/>
              <w:jc w:val="center"/>
              <w:rPr>
                <w:rFonts w:cstheme="minorHAnsi"/>
                <w:b/>
                <w:noProof/>
                <w:sz w:val="36"/>
                <w:szCs w:val="36"/>
                <w:highlight w:val="yellow"/>
              </w:rPr>
            </w:pPr>
            <w:r w:rsidRPr="00EA6F25">
              <w:rPr>
                <w:rFonts w:cstheme="minorHAnsi"/>
                <w:b/>
                <w:noProof/>
                <w:sz w:val="36"/>
                <w:szCs w:val="36"/>
              </w:rPr>
              <w:t>17.</w:t>
            </w:r>
            <w:r>
              <w:rPr>
                <w:rFonts w:cstheme="minorHAnsi"/>
                <w:b/>
                <w:noProof/>
                <w:sz w:val="36"/>
                <w:szCs w:val="36"/>
              </w:rPr>
              <w:t>6</w:t>
            </w:r>
            <w:r w:rsidRPr="00EA6F25">
              <w:rPr>
                <w:rFonts w:cstheme="minorHAnsi"/>
                <w:b/>
                <w:noProof/>
                <w:sz w:val="36"/>
                <w:szCs w:val="36"/>
              </w:rPr>
              <w:t>%</w:t>
            </w:r>
          </w:p>
        </w:tc>
      </w:tr>
      <w:tr w:rsidR="004B7A59" w14:paraId="514D5F7D" w14:textId="77777777" w:rsidTr="00FF35F3">
        <w:tc>
          <w:tcPr>
            <w:tcW w:w="0" w:type="auto"/>
          </w:tcPr>
          <w:p w14:paraId="4D028B58" w14:textId="018C232B" w:rsidR="004B7A59" w:rsidRPr="001E70D6" w:rsidRDefault="004B7A59" w:rsidP="00226BFE">
            <w:pPr>
              <w:rPr>
                <w:rFonts w:cstheme="minorHAnsi"/>
              </w:rPr>
            </w:pPr>
            <w:r w:rsidRPr="00DD0588">
              <w:rPr>
                <w:rFonts w:cstheme="minorHAnsi"/>
              </w:rPr>
              <w:t xml:space="preserve">‘Sales/Store person’ is the </w:t>
            </w:r>
            <w:r w:rsidR="008F5E55">
              <w:rPr>
                <w:rFonts w:cstheme="minorHAnsi"/>
              </w:rPr>
              <w:t xml:space="preserve">second </w:t>
            </w:r>
            <w:r w:rsidRPr="00DD0588">
              <w:rPr>
                <w:rFonts w:cstheme="minorHAnsi"/>
              </w:rPr>
              <w:t>most popular employment field</w:t>
            </w:r>
            <w:r>
              <w:rPr>
                <w:rFonts w:cstheme="minorHAnsi"/>
              </w:rPr>
              <w:t xml:space="preserve"> among Year 12 completers and the </w:t>
            </w:r>
            <w:r w:rsidRPr="00DD0588">
              <w:rPr>
                <w:rFonts w:cstheme="minorHAnsi"/>
              </w:rPr>
              <w:t>third highest for Year 12 non-completers</w:t>
            </w:r>
            <w:r w:rsidR="00FE5355" w:rsidRPr="00DD0588">
              <w:rPr>
                <w:rFonts w:cstheme="minorHAnsi"/>
              </w:rPr>
              <w:t>.</w:t>
            </w:r>
          </w:p>
        </w:tc>
        <w:tc>
          <w:tcPr>
            <w:tcW w:w="0" w:type="auto"/>
          </w:tcPr>
          <w:p w14:paraId="75A88AE7" w14:textId="01D9DDE8" w:rsidR="004B7A59" w:rsidRPr="00D120EB" w:rsidRDefault="002D5867" w:rsidP="005E6852">
            <w:pPr>
              <w:contextualSpacing/>
              <w:jc w:val="center"/>
              <w:rPr>
                <w:rFonts w:cstheme="minorHAnsi"/>
                <w:b/>
                <w:noProof/>
                <w:sz w:val="36"/>
                <w:szCs w:val="36"/>
                <w:highlight w:val="yellow"/>
              </w:rPr>
            </w:pPr>
            <w:r w:rsidRPr="002D5867">
              <w:rPr>
                <w:rFonts w:cstheme="minorHAnsi"/>
                <w:b/>
                <w:noProof/>
                <w:sz w:val="36"/>
                <w:szCs w:val="36"/>
              </w:rPr>
              <w:t>27.</w:t>
            </w:r>
            <w:r w:rsidR="000C738D">
              <w:rPr>
                <w:rFonts w:cstheme="minorHAnsi"/>
                <w:b/>
                <w:noProof/>
                <w:sz w:val="36"/>
                <w:szCs w:val="36"/>
              </w:rPr>
              <w:t>8</w:t>
            </w:r>
            <w:r w:rsidRPr="002D5867">
              <w:rPr>
                <w:rFonts w:cstheme="minorHAnsi"/>
                <w:b/>
                <w:noProof/>
                <w:sz w:val="36"/>
                <w:szCs w:val="36"/>
              </w:rPr>
              <w:t>%</w:t>
            </w:r>
          </w:p>
        </w:tc>
        <w:tc>
          <w:tcPr>
            <w:tcW w:w="0" w:type="auto"/>
          </w:tcPr>
          <w:p w14:paraId="5DE5BB40" w14:textId="4CBBBDDD" w:rsidR="004B7A59" w:rsidRPr="00D120EB" w:rsidRDefault="0016434D" w:rsidP="005E6852">
            <w:pPr>
              <w:contextualSpacing/>
              <w:jc w:val="center"/>
              <w:rPr>
                <w:rFonts w:cstheme="minorHAnsi"/>
                <w:b/>
                <w:noProof/>
                <w:sz w:val="36"/>
                <w:szCs w:val="36"/>
                <w:highlight w:val="yellow"/>
              </w:rPr>
            </w:pPr>
            <w:r w:rsidRPr="0016434D">
              <w:rPr>
                <w:rFonts w:cstheme="minorHAnsi"/>
                <w:b/>
                <w:noProof/>
                <w:sz w:val="36"/>
                <w:szCs w:val="36"/>
              </w:rPr>
              <w:t>12.</w:t>
            </w:r>
            <w:r w:rsidR="006C1ED5">
              <w:rPr>
                <w:rFonts w:cstheme="minorHAnsi"/>
                <w:b/>
                <w:noProof/>
                <w:sz w:val="36"/>
                <w:szCs w:val="36"/>
              </w:rPr>
              <w:t>6</w:t>
            </w:r>
            <w:r w:rsidRPr="0016434D">
              <w:rPr>
                <w:rFonts w:cstheme="minorHAnsi"/>
                <w:b/>
                <w:noProof/>
                <w:sz w:val="36"/>
                <w:szCs w:val="36"/>
              </w:rPr>
              <w:t>%</w:t>
            </w:r>
          </w:p>
        </w:tc>
      </w:tr>
      <w:tr w:rsidR="004B7A59" w14:paraId="46190110" w14:textId="77777777" w:rsidTr="00FF35F3">
        <w:tc>
          <w:tcPr>
            <w:tcW w:w="0" w:type="auto"/>
          </w:tcPr>
          <w:p w14:paraId="4BCC444F" w14:textId="37CB79A1" w:rsidR="004B7A59" w:rsidRPr="002C0513" w:rsidRDefault="004B7A59" w:rsidP="00226BFE">
            <w:pPr>
              <w:rPr>
                <w:rFonts w:cstheme="minorHAnsi"/>
              </w:rPr>
            </w:pPr>
            <w:r w:rsidRPr="00611AE3">
              <w:rPr>
                <w:rFonts w:cstheme="minorHAnsi"/>
              </w:rPr>
              <w:t>‘Building and Construction’ remains</w:t>
            </w:r>
            <w:r>
              <w:rPr>
                <w:rFonts w:cstheme="minorHAnsi"/>
              </w:rPr>
              <w:t xml:space="preserve"> the most popular employment field among Year 12 non-completers</w:t>
            </w:r>
            <w:r w:rsidR="00FE5355">
              <w:rPr>
                <w:rFonts w:cstheme="minorHAnsi"/>
              </w:rPr>
              <w:t>.</w:t>
            </w:r>
          </w:p>
        </w:tc>
        <w:tc>
          <w:tcPr>
            <w:tcW w:w="0" w:type="auto"/>
          </w:tcPr>
          <w:p w14:paraId="76655F37" w14:textId="5FFD280C" w:rsidR="004B7A59" w:rsidRPr="00D120EB" w:rsidRDefault="00587A9A" w:rsidP="005E6852">
            <w:pPr>
              <w:contextualSpacing/>
              <w:jc w:val="center"/>
              <w:rPr>
                <w:rFonts w:cstheme="minorHAnsi"/>
                <w:b/>
                <w:noProof/>
                <w:sz w:val="36"/>
                <w:szCs w:val="36"/>
                <w:highlight w:val="yellow"/>
              </w:rPr>
            </w:pPr>
            <w:r w:rsidRPr="00587A9A">
              <w:rPr>
                <w:rFonts w:cstheme="minorHAnsi"/>
                <w:b/>
                <w:noProof/>
                <w:sz w:val="36"/>
                <w:szCs w:val="36"/>
              </w:rPr>
              <w:t>4.</w:t>
            </w:r>
            <w:r w:rsidR="006C1ED5">
              <w:rPr>
                <w:rFonts w:cstheme="minorHAnsi"/>
                <w:b/>
                <w:noProof/>
                <w:sz w:val="36"/>
                <w:szCs w:val="36"/>
              </w:rPr>
              <w:t>2</w:t>
            </w:r>
            <w:r w:rsidRPr="00587A9A">
              <w:rPr>
                <w:rFonts w:cstheme="minorHAnsi"/>
                <w:b/>
                <w:noProof/>
                <w:sz w:val="36"/>
                <w:szCs w:val="36"/>
              </w:rPr>
              <w:t>%</w:t>
            </w:r>
          </w:p>
        </w:tc>
        <w:tc>
          <w:tcPr>
            <w:tcW w:w="0" w:type="auto"/>
          </w:tcPr>
          <w:p w14:paraId="2A02BCFD" w14:textId="1278C011" w:rsidR="004B7A59" w:rsidRPr="00D120EB" w:rsidRDefault="00652570" w:rsidP="005E6852">
            <w:pPr>
              <w:contextualSpacing/>
              <w:jc w:val="center"/>
              <w:rPr>
                <w:rFonts w:cstheme="minorHAnsi"/>
                <w:b/>
                <w:noProof/>
                <w:sz w:val="36"/>
                <w:szCs w:val="36"/>
                <w:highlight w:val="yellow"/>
              </w:rPr>
            </w:pPr>
            <w:r w:rsidRPr="00652570">
              <w:rPr>
                <w:rFonts w:cstheme="minorHAnsi"/>
                <w:b/>
                <w:noProof/>
                <w:sz w:val="36"/>
                <w:szCs w:val="36"/>
              </w:rPr>
              <w:t>26.7%</w:t>
            </w:r>
          </w:p>
        </w:tc>
      </w:tr>
    </w:tbl>
    <w:p w14:paraId="1D570B45" w14:textId="77777777" w:rsidR="00377F8C" w:rsidRDefault="00377F8C">
      <w:pPr>
        <w:rPr>
          <w:rFonts w:cstheme="minorHAnsi"/>
          <w:b/>
        </w:rPr>
      </w:pPr>
    </w:p>
    <w:p w14:paraId="6B87DB23" w14:textId="2CE8E492" w:rsidR="0021494E" w:rsidRDefault="009E7E5D">
      <w:pPr>
        <w:rPr>
          <w:rFonts w:cstheme="minorHAnsi"/>
          <w:b/>
        </w:rPr>
      </w:pPr>
      <w:r w:rsidRPr="00467A38">
        <w:rPr>
          <w:rFonts w:cstheme="minorHAnsi"/>
          <w:b/>
        </w:rPr>
        <w:t xml:space="preserve">General trends are continuing for post-school destinations, along with consistency in study choices for </w:t>
      </w:r>
      <w:r w:rsidR="00102D89">
        <w:rPr>
          <w:rFonts w:cstheme="minorHAnsi"/>
          <w:b/>
        </w:rPr>
        <w:t>survey respondents</w:t>
      </w:r>
      <w:r w:rsidRPr="00467A38">
        <w:rPr>
          <w:rFonts w:cstheme="minorHAnsi"/>
          <w:b/>
        </w:rPr>
        <w:t>.</w:t>
      </w:r>
    </w:p>
    <w:p w14:paraId="18367D8C" w14:textId="77777777" w:rsidR="0021494E" w:rsidRPr="005750CF" w:rsidRDefault="0021494E" w:rsidP="00F74AAE">
      <w:pPr>
        <w:spacing w:line="240" w:lineRule="auto"/>
        <w:contextualSpacing/>
        <w:rPr>
          <w:rFonts w:cstheme="minorHAnsi"/>
          <w:b/>
        </w:rPr>
      </w:pPr>
    </w:p>
    <w:tbl>
      <w:tblPr>
        <w:tblStyle w:val="TableGrid"/>
        <w:tblW w:w="5000" w:type="pct"/>
        <w:tblLook w:val="04A0" w:firstRow="1" w:lastRow="0" w:firstColumn="1" w:lastColumn="0" w:noHBand="0" w:noVBand="1"/>
      </w:tblPr>
      <w:tblGrid>
        <w:gridCol w:w="2597"/>
        <w:gridCol w:w="1122"/>
        <w:gridCol w:w="1122"/>
        <w:gridCol w:w="1122"/>
        <w:gridCol w:w="1122"/>
        <w:gridCol w:w="1931"/>
      </w:tblGrid>
      <w:tr w:rsidR="00937D33" w14:paraId="368EE814" w14:textId="445719AE" w:rsidTr="008273FB">
        <w:tc>
          <w:tcPr>
            <w:tcW w:w="1440" w:type="pct"/>
          </w:tcPr>
          <w:p w14:paraId="25B2402B" w14:textId="77777777" w:rsidR="004D3F4E" w:rsidRDefault="00495B8F" w:rsidP="00B32BF5">
            <w:pPr>
              <w:contextualSpacing/>
              <w:rPr>
                <w:rFonts w:cstheme="minorHAnsi"/>
              </w:rPr>
            </w:pPr>
            <w:r>
              <w:rPr>
                <w:rFonts w:cstheme="minorHAnsi"/>
              </w:rPr>
              <w:t>Study choice</w:t>
            </w:r>
          </w:p>
          <w:p w14:paraId="1A54494F" w14:textId="5C543641" w:rsidR="00937D33" w:rsidRPr="0070332D" w:rsidRDefault="00937D33" w:rsidP="00B32BF5">
            <w:pPr>
              <w:contextualSpacing/>
              <w:rPr>
                <w:rFonts w:cstheme="minorHAnsi"/>
              </w:rPr>
            </w:pPr>
          </w:p>
        </w:tc>
        <w:tc>
          <w:tcPr>
            <w:tcW w:w="622" w:type="pct"/>
          </w:tcPr>
          <w:p w14:paraId="2E8D09C8" w14:textId="0F2B2854" w:rsidR="00937D33" w:rsidRPr="0070332D" w:rsidRDefault="004D3F4E" w:rsidP="00D20ACD">
            <w:pPr>
              <w:contextualSpacing/>
              <w:jc w:val="center"/>
              <w:rPr>
                <w:rFonts w:cstheme="minorHAnsi"/>
                <w:b/>
                <w:bCs/>
              </w:rPr>
            </w:pPr>
            <w:r w:rsidRPr="0070332D">
              <w:rPr>
                <w:rFonts w:cstheme="minorHAnsi"/>
                <w:b/>
                <w:bCs/>
              </w:rPr>
              <w:t>2017</w:t>
            </w:r>
          </w:p>
        </w:tc>
        <w:tc>
          <w:tcPr>
            <w:tcW w:w="622" w:type="pct"/>
          </w:tcPr>
          <w:p w14:paraId="564AE6CB" w14:textId="2909C2A9" w:rsidR="004D3F4E" w:rsidRPr="0070332D" w:rsidRDefault="004D3F4E" w:rsidP="00D20ACD">
            <w:pPr>
              <w:contextualSpacing/>
              <w:jc w:val="center"/>
              <w:rPr>
                <w:rFonts w:cstheme="minorHAnsi"/>
                <w:b/>
                <w:bCs/>
              </w:rPr>
            </w:pPr>
            <w:r w:rsidRPr="0070332D">
              <w:rPr>
                <w:rFonts w:cstheme="minorHAnsi"/>
                <w:b/>
                <w:bCs/>
              </w:rPr>
              <w:t>2018</w:t>
            </w:r>
          </w:p>
        </w:tc>
        <w:tc>
          <w:tcPr>
            <w:tcW w:w="622" w:type="pct"/>
          </w:tcPr>
          <w:p w14:paraId="53AC73BE" w14:textId="098534E5" w:rsidR="004D3F4E" w:rsidRPr="004D3F4E" w:rsidRDefault="004D3F4E" w:rsidP="00D20ACD">
            <w:pPr>
              <w:contextualSpacing/>
              <w:jc w:val="center"/>
              <w:rPr>
                <w:rFonts w:cstheme="minorHAnsi"/>
                <w:b/>
                <w:bCs/>
                <w:highlight w:val="yellow"/>
              </w:rPr>
            </w:pPr>
            <w:r w:rsidRPr="0070332D">
              <w:rPr>
                <w:rFonts w:cstheme="minorHAnsi"/>
                <w:b/>
                <w:bCs/>
              </w:rPr>
              <w:t>2019</w:t>
            </w:r>
          </w:p>
        </w:tc>
        <w:tc>
          <w:tcPr>
            <w:tcW w:w="622" w:type="pct"/>
          </w:tcPr>
          <w:p w14:paraId="73BD0C54" w14:textId="002E9900" w:rsidR="00937D33" w:rsidRPr="005418A1" w:rsidRDefault="00937D33" w:rsidP="00D20ACD">
            <w:pPr>
              <w:contextualSpacing/>
              <w:jc w:val="center"/>
              <w:rPr>
                <w:rFonts w:cstheme="minorHAnsi"/>
                <w:b/>
                <w:bCs/>
              </w:rPr>
            </w:pPr>
            <w:r>
              <w:rPr>
                <w:rFonts w:cstheme="minorHAnsi"/>
                <w:b/>
                <w:bCs/>
              </w:rPr>
              <w:t>2020</w:t>
            </w:r>
          </w:p>
        </w:tc>
        <w:tc>
          <w:tcPr>
            <w:tcW w:w="1071" w:type="pct"/>
          </w:tcPr>
          <w:p w14:paraId="5C80FE14" w14:textId="5E644D88" w:rsidR="00937D33" w:rsidRDefault="00937D33" w:rsidP="00D20ACD">
            <w:pPr>
              <w:contextualSpacing/>
              <w:jc w:val="center"/>
              <w:rPr>
                <w:rFonts w:cstheme="minorHAnsi"/>
                <w:b/>
                <w:bCs/>
              </w:rPr>
            </w:pPr>
            <w:r>
              <w:rPr>
                <w:rFonts w:cstheme="minorHAnsi"/>
                <w:b/>
                <w:bCs/>
              </w:rPr>
              <w:t>2021</w:t>
            </w:r>
          </w:p>
        </w:tc>
      </w:tr>
      <w:tr w:rsidR="008273FB" w14:paraId="0D0409B6" w14:textId="77777777" w:rsidTr="008273FB">
        <w:tc>
          <w:tcPr>
            <w:tcW w:w="1440" w:type="pct"/>
          </w:tcPr>
          <w:p w14:paraId="1B83D6AA" w14:textId="77777777" w:rsidR="008273FB" w:rsidRDefault="008273FB" w:rsidP="00B32BF5">
            <w:pPr>
              <w:rPr>
                <w:rFonts w:cstheme="minorHAnsi"/>
                <w:b/>
                <w:bCs/>
              </w:rPr>
            </w:pPr>
            <w:r w:rsidRPr="008273FB">
              <w:rPr>
                <w:rFonts w:cstheme="minorHAnsi"/>
                <w:b/>
                <w:bCs/>
              </w:rPr>
              <w:t>Year 12 Completers</w:t>
            </w:r>
          </w:p>
          <w:p w14:paraId="2B110366" w14:textId="5C900104" w:rsidR="00B46907" w:rsidRPr="008273FB" w:rsidRDefault="00B46907" w:rsidP="00B32BF5">
            <w:pPr>
              <w:rPr>
                <w:rFonts w:cstheme="minorHAnsi"/>
                <w:b/>
                <w:bCs/>
              </w:rPr>
            </w:pPr>
          </w:p>
        </w:tc>
        <w:tc>
          <w:tcPr>
            <w:tcW w:w="622" w:type="pct"/>
          </w:tcPr>
          <w:p w14:paraId="46BC194D" w14:textId="77777777" w:rsidR="008273FB" w:rsidRPr="0070332D" w:rsidRDefault="008273FB" w:rsidP="00D20ACD">
            <w:pPr>
              <w:contextualSpacing/>
              <w:jc w:val="center"/>
              <w:rPr>
                <w:rFonts w:cstheme="minorHAnsi"/>
                <w:b/>
                <w:sz w:val="36"/>
                <w:szCs w:val="36"/>
              </w:rPr>
            </w:pPr>
          </w:p>
        </w:tc>
        <w:tc>
          <w:tcPr>
            <w:tcW w:w="622" w:type="pct"/>
          </w:tcPr>
          <w:p w14:paraId="3923701F" w14:textId="77777777" w:rsidR="008273FB" w:rsidRDefault="008273FB" w:rsidP="00D20ACD">
            <w:pPr>
              <w:contextualSpacing/>
              <w:jc w:val="center"/>
              <w:rPr>
                <w:rFonts w:cstheme="minorHAnsi"/>
                <w:b/>
                <w:noProof/>
                <w:sz w:val="36"/>
                <w:szCs w:val="36"/>
              </w:rPr>
            </w:pPr>
          </w:p>
        </w:tc>
        <w:tc>
          <w:tcPr>
            <w:tcW w:w="622" w:type="pct"/>
          </w:tcPr>
          <w:p w14:paraId="1F91243D" w14:textId="77777777" w:rsidR="008273FB" w:rsidRDefault="008273FB" w:rsidP="00D20ACD">
            <w:pPr>
              <w:contextualSpacing/>
              <w:jc w:val="center"/>
              <w:rPr>
                <w:rFonts w:cstheme="minorHAnsi"/>
                <w:b/>
                <w:noProof/>
                <w:sz w:val="36"/>
                <w:szCs w:val="36"/>
              </w:rPr>
            </w:pPr>
          </w:p>
        </w:tc>
        <w:tc>
          <w:tcPr>
            <w:tcW w:w="622" w:type="pct"/>
          </w:tcPr>
          <w:p w14:paraId="1E27FCDF" w14:textId="77777777" w:rsidR="008273FB" w:rsidRPr="00946B5D" w:rsidRDefault="008273FB" w:rsidP="00D20ACD">
            <w:pPr>
              <w:contextualSpacing/>
              <w:jc w:val="center"/>
              <w:rPr>
                <w:rFonts w:cstheme="minorHAnsi"/>
                <w:b/>
                <w:noProof/>
                <w:sz w:val="36"/>
                <w:szCs w:val="36"/>
              </w:rPr>
            </w:pPr>
          </w:p>
        </w:tc>
        <w:tc>
          <w:tcPr>
            <w:tcW w:w="1071" w:type="pct"/>
          </w:tcPr>
          <w:p w14:paraId="7F1CC023" w14:textId="77777777" w:rsidR="008273FB" w:rsidRPr="00467A38" w:rsidRDefault="008273FB" w:rsidP="00D20ACD">
            <w:pPr>
              <w:contextualSpacing/>
              <w:jc w:val="center"/>
              <w:rPr>
                <w:rFonts w:cstheme="minorHAnsi"/>
                <w:b/>
                <w:noProof/>
                <w:sz w:val="36"/>
                <w:szCs w:val="36"/>
              </w:rPr>
            </w:pPr>
          </w:p>
        </w:tc>
      </w:tr>
      <w:tr w:rsidR="00937D33" w14:paraId="68E98400" w14:textId="0C36D31C" w:rsidTr="008273FB">
        <w:tc>
          <w:tcPr>
            <w:tcW w:w="1440" w:type="pct"/>
          </w:tcPr>
          <w:p w14:paraId="48861EB1" w14:textId="22A7B3DD" w:rsidR="004D3F4E" w:rsidRDefault="00937D33" w:rsidP="00B32BF5">
            <w:pPr>
              <w:rPr>
                <w:rFonts w:cstheme="minorHAnsi"/>
              </w:rPr>
            </w:pPr>
            <w:r w:rsidRPr="0070332D">
              <w:rPr>
                <w:rFonts w:cstheme="minorHAnsi"/>
              </w:rPr>
              <w:t>Health remains the preferred course of study for Year 12</w:t>
            </w:r>
            <w:r w:rsidR="00220F39">
              <w:rPr>
                <w:rFonts w:cstheme="minorHAnsi"/>
              </w:rPr>
              <w:t xml:space="preserve"> completers</w:t>
            </w:r>
            <w:r w:rsidR="004D3F4E" w:rsidRPr="004E4F78">
              <w:rPr>
                <w:rFonts w:cstheme="minorHAnsi"/>
              </w:rPr>
              <w:t>.</w:t>
            </w:r>
          </w:p>
          <w:p w14:paraId="16ABEC2C" w14:textId="77777777" w:rsidR="00B46907" w:rsidRDefault="00B46907" w:rsidP="00B32BF5">
            <w:pPr>
              <w:rPr>
                <w:rFonts w:cstheme="minorHAnsi"/>
              </w:rPr>
            </w:pPr>
          </w:p>
          <w:p w14:paraId="397F1ABD" w14:textId="7AE5449C" w:rsidR="00937D33" w:rsidRPr="0070332D" w:rsidRDefault="00937D33" w:rsidP="00B32BF5">
            <w:pPr>
              <w:rPr>
                <w:rFonts w:cstheme="minorHAnsi"/>
              </w:rPr>
            </w:pPr>
          </w:p>
        </w:tc>
        <w:tc>
          <w:tcPr>
            <w:tcW w:w="622" w:type="pct"/>
          </w:tcPr>
          <w:p w14:paraId="5C31A64A" w14:textId="4A59120C" w:rsidR="00937D33" w:rsidRPr="0070332D" w:rsidRDefault="005E6852" w:rsidP="00D20ACD">
            <w:pPr>
              <w:contextualSpacing/>
              <w:jc w:val="center"/>
              <w:rPr>
                <w:rFonts w:cstheme="minorHAnsi"/>
                <w:b/>
                <w:sz w:val="36"/>
                <w:szCs w:val="36"/>
              </w:rPr>
            </w:pPr>
            <w:r w:rsidRPr="0070332D">
              <w:rPr>
                <w:rFonts w:cstheme="minorHAnsi"/>
                <w:b/>
                <w:sz w:val="36"/>
                <w:szCs w:val="36"/>
              </w:rPr>
              <w:t>1</w:t>
            </w:r>
            <w:r w:rsidR="004C559E" w:rsidRPr="0070332D">
              <w:rPr>
                <w:rFonts w:cstheme="minorHAnsi"/>
                <w:b/>
                <w:sz w:val="36"/>
                <w:szCs w:val="36"/>
              </w:rPr>
              <w:t>8.3</w:t>
            </w:r>
            <w:r w:rsidRPr="0070332D">
              <w:rPr>
                <w:rFonts w:cstheme="minorHAnsi"/>
                <w:b/>
                <w:sz w:val="36"/>
                <w:szCs w:val="36"/>
              </w:rPr>
              <w:t>%</w:t>
            </w:r>
          </w:p>
        </w:tc>
        <w:tc>
          <w:tcPr>
            <w:tcW w:w="622" w:type="pct"/>
          </w:tcPr>
          <w:p w14:paraId="04440715" w14:textId="15B6139D" w:rsidR="004D3F4E" w:rsidRPr="0070332D" w:rsidRDefault="004C559E" w:rsidP="00D20ACD">
            <w:pPr>
              <w:contextualSpacing/>
              <w:jc w:val="center"/>
              <w:rPr>
                <w:rFonts w:cstheme="minorHAnsi"/>
                <w:b/>
                <w:noProof/>
                <w:sz w:val="36"/>
                <w:szCs w:val="36"/>
              </w:rPr>
            </w:pPr>
            <w:r w:rsidRPr="0070332D">
              <w:rPr>
                <w:rFonts w:cstheme="minorHAnsi"/>
                <w:b/>
                <w:noProof/>
                <w:sz w:val="36"/>
                <w:szCs w:val="36"/>
              </w:rPr>
              <w:t>19.5%</w:t>
            </w:r>
          </w:p>
        </w:tc>
        <w:tc>
          <w:tcPr>
            <w:tcW w:w="622" w:type="pct"/>
          </w:tcPr>
          <w:p w14:paraId="392F69E5" w14:textId="00C40385" w:rsidR="004D3F4E" w:rsidRPr="00946B5D" w:rsidRDefault="004C559E" w:rsidP="00D20ACD">
            <w:pPr>
              <w:contextualSpacing/>
              <w:jc w:val="center"/>
              <w:rPr>
                <w:rFonts w:cstheme="minorHAnsi"/>
                <w:b/>
                <w:noProof/>
                <w:sz w:val="36"/>
                <w:szCs w:val="36"/>
              </w:rPr>
            </w:pPr>
            <w:r>
              <w:rPr>
                <w:rFonts w:cstheme="minorHAnsi"/>
                <w:b/>
                <w:noProof/>
                <w:sz w:val="36"/>
                <w:szCs w:val="36"/>
              </w:rPr>
              <w:t>19.4%</w:t>
            </w:r>
          </w:p>
        </w:tc>
        <w:tc>
          <w:tcPr>
            <w:tcW w:w="622" w:type="pct"/>
          </w:tcPr>
          <w:p w14:paraId="77C558B8" w14:textId="0ABB15BA" w:rsidR="00937D33" w:rsidRPr="00946B5D" w:rsidRDefault="00937D33" w:rsidP="00D20ACD">
            <w:pPr>
              <w:contextualSpacing/>
              <w:jc w:val="center"/>
              <w:rPr>
                <w:rFonts w:cstheme="minorHAnsi"/>
                <w:b/>
                <w:noProof/>
                <w:sz w:val="36"/>
                <w:szCs w:val="36"/>
              </w:rPr>
            </w:pPr>
            <w:r w:rsidRPr="00946B5D">
              <w:rPr>
                <w:rFonts w:cstheme="minorHAnsi"/>
                <w:b/>
                <w:noProof/>
                <w:sz w:val="36"/>
                <w:szCs w:val="36"/>
              </w:rPr>
              <w:t>20</w:t>
            </w:r>
            <w:r w:rsidR="004C559E">
              <w:rPr>
                <w:rFonts w:cstheme="minorHAnsi"/>
                <w:b/>
                <w:sz w:val="36"/>
                <w:szCs w:val="36"/>
              </w:rPr>
              <w:t>.7</w:t>
            </w:r>
            <w:r w:rsidRPr="00946B5D">
              <w:rPr>
                <w:rFonts w:cstheme="minorHAnsi"/>
                <w:b/>
                <w:noProof/>
                <w:sz w:val="36"/>
                <w:szCs w:val="36"/>
              </w:rPr>
              <w:t>%</w:t>
            </w:r>
          </w:p>
        </w:tc>
        <w:tc>
          <w:tcPr>
            <w:tcW w:w="1071" w:type="pct"/>
          </w:tcPr>
          <w:p w14:paraId="2E4D9FC1" w14:textId="47433E71" w:rsidR="00937D33" w:rsidRPr="00467A38" w:rsidRDefault="005E051D" w:rsidP="00D20ACD">
            <w:pPr>
              <w:contextualSpacing/>
              <w:jc w:val="center"/>
              <w:rPr>
                <w:rFonts w:cstheme="minorHAnsi"/>
                <w:b/>
                <w:sz w:val="36"/>
                <w:szCs w:val="36"/>
              </w:rPr>
            </w:pPr>
            <w:r w:rsidRPr="00467A38">
              <w:rPr>
                <w:rFonts w:cstheme="minorHAnsi"/>
                <w:b/>
                <w:noProof/>
                <w:sz w:val="36"/>
                <w:szCs w:val="36"/>
              </w:rPr>
              <w:t>21.</w:t>
            </w:r>
            <w:r w:rsidR="004C559E">
              <w:rPr>
                <w:rFonts w:cstheme="minorHAnsi"/>
                <w:b/>
                <w:noProof/>
                <w:sz w:val="36"/>
                <w:szCs w:val="36"/>
              </w:rPr>
              <w:t>8</w:t>
            </w:r>
            <w:r w:rsidRPr="00467A38">
              <w:rPr>
                <w:rFonts w:cstheme="minorHAnsi"/>
                <w:b/>
                <w:noProof/>
                <w:sz w:val="36"/>
                <w:szCs w:val="36"/>
              </w:rPr>
              <w:t>%</w:t>
            </w:r>
          </w:p>
        </w:tc>
      </w:tr>
      <w:tr w:rsidR="00937D33" w14:paraId="7EEAC546" w14:textId="459D809E" w:rsidTr="008273FB">
        <w:tc>
          <w:tcPr>
            <w:tcW w:w="1440" w:type="pct"/>
          </w:tcPr>
          <w:p w14:paraId="0FA2FD8A" w14:textId="42548252" w:rsidR="004D3F4E" w:rsidRDefault="00937D33" w:rsidP="00604DA0">
            <w:pPr>
              <w:rPr>
                <w:rFonts w:cstheme="minorHAnsi"/>
              </w:rPr>
            </w:pPr>
            <w:r w:rsidRPr="0070332D">
              <w:rPr>
                <w:rFonts w:cstheme="minorHAnsi"/>
              </w:rPr>
              <w:t>Society and Culture remains popular among Year 12</w:t>
            </w:r>
            <w:r w:rsidR="00220F39">
              <w:rPr>
                <w:rFonts w:cstheme="minorHAnsi"/>
              </w:rPr>
              <w:t xml:space="preserve"> completers</w:t>
            </w:r>
            <w:r w:rsidR="004D3F4E" w:rsidRPr="004E4F78">
              <w:rPr>
                <w:rFonts w:cstheme="minorHAnsi"/>
              </w:rPr>
              <w:t>.</w:t>
            </w:r>
          </w:p>
          <w:p w14:paraId="3F184F51" w14:textId="77777777" w:rsidR="00B46907" w:rsidRDefault="00B46907" w:rsidP="00604DA0">
            <w:pPr>
              <w:rPr>
                <w:rFonts w:cstheme="minorHAnsi"/>
              </w:rPr>
            </w:pPr>
          </w:p>
          <w:p w14:paraId="1CF69372" w14:textId="7B5F3C8E" w:rsidR="00937D33" w:rsidRPr="0070332D" w:rsidRDefault="00937D33" w:rsidP="00604DA0">
            <w:pPr>
              <w:rPr>
                <w:rFonts w:cstheme="minorHAnsi"/>
              </w:rPr>
            </w:pPr>
          </w:p>
        </w:tc>
        <w:tc>
          <w:tcPr>
            <w:tcW w:w="622" w:type="pct"/>
          </w:tcPr>
          <w:p w14:paraId="3A8349AA" w14:textId="75AB1A98" w:rsidR="00937D33" w:rsidRPr="0070332D" w:rsidRDefault="005E6852" w:rsidP="00D20ACD">
            <w:pPr>
              <w:contextualSpacing/>
              <w:jc w:val="center"/>
              <w:rPr>
                <w:rFonts w:cstheme="minorHAnsi"/>
                <w:b/>
                <w:sz w:val="36"/>
                <w:szCs w:val="36"/>
              </w:rPr>
            </w:pPr>
            <w:r w:rsidRPr="0070332D">
              <w:rPr>
                <w:rFonts w:cstheme="minorHAnsi"/>
                <w:b/>
                <w:sz w:val="36"/>
                <w:szCs w:val="36"/>
              </w:rPr>
              <w:t>1</w:t>
            </w:r>
            <w:r w:rsidR="004C559E" w:rsidRPr="0070332D">
              <w:rPr>
                <w:rFonts w:cstheme="minorHAnsi"/>
                <w:b/>
                <w:sz w:val="36"/>
                <w:szCs w:val="36"/>
              </w:rPr>
              <w:t>4.9</w:t>
            </w:r>
            <w:r w:rsidRPr="0070332D">
              <w:rPr>
                <w:rFonts w:cstheme="minorHAnsi"/>
                <w:b/>
                <w:sz w:val="36"/>
                <w:szCs w:val="36"/>
              </w:rPr>
              <w:t>%</w:t>
            </w:r>
          </w:p>
        </w:tc>
        <w:tc>
          <w:tcPr>
            <w:tcW w:w="622" w:type="pct"/>
          </w:tcPr>
          <w:p w14:paraId="25277E85" w14:textId="31FA3F60" w:rsidR="004D3F4E" w:rsidRPr="0070332D" w:rsidRDefault="004C559E" w:rsidP="00D20ACD">
            <w:pPr>
              <w:contextualSpacing/>
              <w:jc w:val="center"/>
              <w:rPr>
                <w:rFonts w:cstheme="minorHAnsi"/>
                <w:b/>
                <w:noProof/>
                <w:sz w:val="36"/>
                <w:szCs w:val="36"/>
              </w:rPr>
            </w:pPr>
            <w:r w:rsidRPr="0070332D">
              <w:rPr>
                <w:rFonts w:cstheme="minorHAnsi"/>
                <w:b/>
                <w:noProof/>
                <w:sz w:val="36"/>
                <w:szCs w:val="36"/>
              </w:rPr>
              <w:t>14.8%</w:t>
            </w:r>
          </w:p>
        </w:tc>
        <w:tc>
          <w:tcPr>
            <w:tcW w:w="622" w:type="pct"/>
          </w:tcPr>
          <w:p w14:paraId="50495F7B" w14:textId="4E9731E2" w:rsidR="004D3F4E" w:rsidRPr="00946B5D" w:rsidRDefault="004C559E" w:rsidP="00D20ACD">
            <w:pPr>
              <w:contextualSpacing/>
              <w:jc w:val="center"/>
              <w:rPr>
                <w:rFonts w:cstheme="minorHAnsi"/>
                <w:b/>
                <w:noProof/>
                <w:sz w:val="36"/>
                <w:szCs w:val="36"/>
              </w:rPr>
            </w:pPr>
            <w:r>
              <w:rPr>
                <w:rFonts w:cstheme="minorHAnsi"/>
                <w:b/>
                <w:noProof/>
                <w:sz w:val="36"/>
                <w:szCs w:val="36"/>
              </w:rPr>
              <w:t>15.3%</w:t>
            </w:r>
          </w:p>
        </w:tc>
        <w:tc>
          <w:tcPr>
            <w:tcW w:w="622" w:type="pct"/>
          </w:tcPr>
          <w:p w14:paraId="59ADE303" w14:textId="2C2300C5" w:rsidR="00937D33" w:rsidRPr="00946B5D" w:rsidRDefault="005E6852" w:rsidP="00D20ACD">
            <w:pPr>
              <w:contextualSpacing/>
              <w:jc w:val="center"/>
              <w:rPr>
                <w:rFonts w:cstheme="minorHAnsi"/>
                <w:b/>
                <w:noProof/>
                <w:sz w:val="36"/>
                <w:szCs w:val="36"/>
              </w:rPr>
            </w:pPr>
            <w:r w:rsidRPr="00946B5D">
              <w:rPr>
                <w:rFonts w:cstheme="minorHAnsi"/>
                <w:b/>
                <w:sz w:val="36"/>
                <w:szCs w:val="36"/>
              </w:rPr>
              <w:t>1</w:t>
            </w:r>
            <w:r w:rsidR="004C559E">
              <w:rPr>
                <w:rFonts w:cstheme="minorHAnsi"/>
                <w:b/>
                <w:sz w:val="36"/>
                <w:szCs w:val="36"/>
              </w:rPr>
              <w:t>6.8</w:t>
            </w:r>
            <w:r w:rsidRPr="00946B5D">
              <w:rPr>
                <w:rFonts w:cstheme="minorHAnsi"/>
                <w:b/>
                <w:sz w:val="36"/>
                <w:szCs w:val="36"/>
              </w:rPr>
              <w:t>%</w:t>
            </w:r>
          </w:p>
        </w:tc>
        <w:tc>
          <w:tcPr>
            <w:tcW w:w="1071" w:type="pct"/>
          </w:tcPr>
          <w:p w14:paraId="465C06A3" w14:textId="7E3809DA" w:rsidR="00937D33" w:rsidRPr="00FF197F" w:rsidRDefault="00FF197F" w:rsidP="00D20ACD">
            <w:pPr>
              <w:contextualSpacing/>
              <w:jc w:val="center"/>
              <w:rPr>
                <w:rFonts w:cstheme="minorHAnsi"/>
                <w:b/>
                <w:sz w:val="36"/>
                <w:szCs w:val="36"/>
              </w:rPr>
            </w:pPr>
            <w:r w:rsidRPr="00FF197F">
              <w:rPr>
                <w:rFonts w:cstheme="minorHAnsi"/>
                <w:b/>
                <w:noProof/>
                <w:sz w:val="36"/>
                <w:szCs w:val="36"/>
              </w:rPr>
              <w:t>16.</w:t>
            </w:r>
            <w:r w:rsidR="00943B57">
              <w:rPr>
                <w:rFonts w:cstheme="minorHAnsi"/>
                <w:b/>
                <w:noProof/>
                <w:sz w:val="36"/>
                <w:szCs w:val="36"/>
              </w:rPr>
              <w:t>8</w:t>
            </w:r>
            <w:r w:rsidRPr="00FF197F">
              <w:rPr>
                <w:rFonts w:cstheme="minorHAnsi"/>
                <w:b/>
                <w:noProof/>
                <w:sz w:val="36"/>
                <w:szCs w:val="36"/>
              </w:rPr>
              <w:t>%</w:t>
            </w:r>
          </w:p>
        </w:tc>
      </w:tr>
      <w:tr w:rsidR="008273FB" w14:paraId="0AE2D4C2" w14:textId="77777777" w:rsidTr="008273FB">
        <w:tc>
          <w:tcPr>
            <w:tcW w:w="1440" w:type="pct"/>
          </w:tcPr>
          <w:p w14:paraId="3D9757CB" w14:textId="77777777" w:rsidR="008273FB" w:rsidRDefault="008273FB" w:rsidP="005063B4">
            <w:pPr>
              <w:rPr>
                <w:rFonts w:cstheme="minorHAnsi"/>
              </w:rPr>
            </w:pPr>
            <w:r w:rsidRPr="00946B5D">
              <w:rPr>
                <w:rFonts w:cstheme="minorHAnsi"/>
              </w:rPr>
              <w:t xml:space="preserve">Creative Arts declined in popularity </w:t>
            </w:r>
            <w:r w:rsidRPr="0070332D">
              <w:rPr>
                <w:rFonts w:cstheme="minorHAnsi"/>
              </w:rPr>
              <w:t>in</w:t>
            </w:r>
            <w:r w:rsidRPr="00946B5D">
              <w:rPr>
                <w:rFonts w:cstheme="minorHAnsi"/>
              </w:rPr>
              <w:t xml:space="preserve"> 2020, but remain</w:t>
            </w:r>
            <w:r>
              <w:rPr>
                <w:rFonts w:cstheme="minorHAnsi"/>
              </w:rPr>
              <w:t>ed</w:t>
            </w:r>
            <w:r w:rsidRPr="00946B5D">
              <w:rPr>
                <w:rFonts w:cstheme="minorHAnsi"/>
              </w:rPr>
              <w:t xml:space="preserve"> stable in 2021 for </w:t>
            </w:r>
            <w:r>
              <w:rPr>
                <w:rFonts w:cstheme="minorHAnsi"/>
              </w:rPr>
              <w:t>respondents</w:t>
            </w:r>
            <w:r w:rsidRPr="00946B5D">
              <w:rPr>
                <w:rFonts w:cstheme="minorHAnsi"/>
              </w:rPr>
              <w:t xml:space="preserve"> who completed Year 12.</w:t>
            </w:r>
          </w:p>
          <w:p w14:paraId="66FC6298" w14:textId="77777777" w:rsidR="00B46907" w:rsidRDefault="00B46907" w:rsidP="005063B4">
            <w:pPr>
              <w:rPr>
                <w:rFonts w:cstheme="minorHAnsi"/>
              </w:rPr>
            </w:pPr>
          </w:p>
          <w:p w14:paraId="38DAD9C4" w14:textId="720FE621" w:rsidR="00B46907" w:rsidRPr="00946B5D" w:rsidRDefault="00B46907" w:rsidP="005063B4">
            <w:pPr>
              <w:rPr>
                <w:rFonts w:cstheme="minorHAnsi"/>
              </w:rPr>
            </w:pPr>
          </w:p>
        </w:tc>
        <w:tc>
          <w:tcPr>
            <w:tcW w:w="622" w:type="pct"/>
          </w:tcPr>
          <w:p w14:paraId="3EE10FFE" w14:textId="77777777" w:rsidR="008273FB" w:rsidRPr="0070332D" w:rsidRDefault="008273FB" w:rsidP="005063B4">
            <w:pPr>
              <w:contextualSpacing/>
              <w:jc w:val="center"/>
              <w:rPr>
                <w:rFonts w:cstheme="minorHAnsi"/>
                <w:b/>
                <w:sz w:val="36"/>
                <w:szCs w:val="36"/>
              </w:rPr>
            </w:pPr>
            <w:r w:rsidRPr="0070332D">
              <w:rPr>
                <w:rFonts w:cstheme="minorHAnsi"/>
                <w:b/>
                <w:sz w:val="36"/>
                <w:szCs w:val="36"/>
              </w:rPr>
              <w:t>13.0%</w:t>
            </w:r>
          </w:p>
        </w:tc>
        <w:tc>
          <w:tcPr>
            <w:tcW w:w="622" w:type="pct"/>
          </w:tcPr>
          <w:p w14:paraId="5B2F4A4E" w14:textId="77777777" w:rsidR="008273FB" w:rsidRPr="00946B5D" w:rsidRDefault="008273FB" w:rsidP="005063B4">
            <w:pPr>
              <w:contextualSpacing/>
              <w:jc w:val="center"/>
              <w:rPr>
                <w:rFonts w:cstheme="minorHAnsi"/>
                <w:b/>
                <w:noProof/>
                <w:sz w:val="36"/>
                <w:szCs w:val="36"/>
              </w:rPr>
            </w:pPr>
            <w:r>
              <w:rPr>
                <w:rFonts w:cstheme="minorHAnsi"/>
                <w:b/>
                <w:noProof/>
                <w:sz w:val="36"/>
                <w:szCs w:val="36"/>
              </w:rPr>
              <w:t>12.4%</w:t>
            </w:r>
          </w:p>
        </w:tc>
        <w:tc>
          <w:tcPr>
            <w:tcW w:w="622" w:type="pct"/>
          </w:tcPr>
          <w:p w14:paraId="404273AB" w14:textId="77777777" w:rsidR="008273FB" w:rsidRPr="00946B5D" w:rsidRDefault="008273FB" w:rsidP="005063B4">
            <w:pPr>
              <w:contextualSpacing/>
              <w:jc w:val="center"/>
              <w:rPr>
                <w:rFonts w:cstheme="minorHAnsi"/>
                <w:b/>
                <w:noProof/>
                <w:sz w:val="36"/>
                <w:szCs w:val="36"/>
              </w:rPr>
            </w:pPr>
            <w:r>
              <w:rPr>
                <w:rFonts w:cstheme="minorHAnsi"/>
                <w:b/>
                <w:noProof/>
                <w:sz w:val="36"/>
                <w:szCs w:val="36"/>
              </w:rPr>
              <w:t>12.3%</w:t>
            </w:r>
          </w:p>
        </w:tc>
        <w:tc>
          <w:tcPr>
            <w:tcW w:w="622" w:type="pct"/>
          </w:tcPr>
          <w:p w14:paraId="505C3F16" w14:textId="77777777" w:rsidR="008273FB" w:rsidRPr="00946B5D" w:rsidRDefault="008273FB" w:rsidP="005063B4">
            <w:pPr>
              <w:contextualSpacing/>
              <w:jc w:val="center"/>
              <w:rPr>
                <w:rFonts w:cstheme="minorHAnsi"/>
                <w:b/>
                <w:noProof/>
                <w:sz w:val="36"/>
                <w:szCs w:val="36"/>
              </w:rPr>
            </w:pPr>
            <w:r w:rsidRPr="00946B5D">
              <w:rPr>
                <w:rFonts w:cstheme="minorHAnsi"/>
                <w:b/>
                <w:sz w:val="36"/>
                <w:szCs w:val="36"/>
              </w:rPr>
              <w:t>1</w:t>
            </w:r>
            <w:r>
              <w:rPr>
                <w:rFonts w:cstheme="minorHAnsi"/>
                <w:b/>
                <w:sz w:val="36"/>
                <w:szCs w:val="36"/>
              </w:rPr>
              <w:t>0.8</w:t>
            </w:r>
            <w:r w:rsidRPr="00946B5D">
              <w:rPr>
                <w:rFonts w:cstheme="minorHAnsi"/>
                <w:b/>
                <w:sz w:val="36"/>
                <w:szCs w:val="36"/>
              </w:rPr>
              <w:t>%</w:t>
            </w:r>
          </w:p>
        </w:tc>
        <w:tc>
          <w:tcPr>
            <w:tcW w:w="1071" w:type="pct"/>
          </w:tcPr>
          <w:p w14:paraId="7DED1245" w14:textId="77777777" w:rsidR="008273FB" w:rsidRPr="001243F9" w:rsidRDefault="008273FB" w:rsidP="005063B4">
            <w:pPr>
              <w:contextualSpacing/>
              <w:jc w:val="center"/>
              <w:rPr>
                <w:rFonts w:cstheme="minorHAnsi"/>
                <w:b/>
                <w:sz w:val="36"/>
                <w:szCs w:val="36"/>
              </w:rPr>
            </w:pPr>
            <w:r w:rsidRPr="001243F9">
              <w:rPr>
                <w:rFonts w:cstheme="minorHAnsi"/>
                <w:b/>
                <w:noProof/>
                <w:sz w:val="36"/>
                <w:szCs w:val="36"/>
              </w:rPr>
              <w:t>10.</w:t>
            </w:r>
            <w:r>
              <w:rPr>
                <w:rFonts w:cstheme="minorHAnsi"/>
                <w:b/>
                <w:noProof/>
                <w:sz w:val="36"/>
                <w:szCs w:val="36"/>
              </w:rPr>
              <w:t>6</w:t>
            </w:r>
            <w:r w:rsidRPr="001243F9">
              <w:rPr>
                <w:rFonts w:cstheme="minorHAnsi"/>
                <w:b/>
                <w:noProof/>
                <w:sz w:val="36"/>
                <w:szCs w:val="36"/>
              </w:rPr>
              <w:t>%</w:t>
            </w:r>
          </w:p>
        </w:tc>
      </w:tr>
      <w:tr w:rsidR="008273FB" w14:paraId="3BAFFBCF" w14:textId="77777777" w:rsidTr="008273FB">
        <w:tc>
          <w:tcPr>
            <w:tcW w:w="1440" w:type="pct"/>
          </w:tcPr>
          <w:p w14:paraId="29904433" w14:textId="38F32918" w:rsidR="008273FB" w:rsidRPr="008273FB" w:rsidRDefault="008273FB" w:rsidP="00604DA0">
            <w:pPr>
              <w:rPr>
                <w:rFonts w:cstheme="minorHAnsi"/>
                <w:b/>
                <w:bCs/>
              </w:rPr>
            </w:pPr>
            <w:r w:rsidRPr="008273FB">
              <w:rPr>
                <w:rFonts w:cstheme="minorHAnsi"/>
                <w:b/>
                <w:bCs/>
              </w:rPr>
              <w:lastRenderedPageBreak/>
              <w:t>Non-completers</w:t>
            </w:r>
          </w:p>
        </w:tc>
        <w:tc>
          <w:tcPr>
            <w:tcW w:w="622" w:type="pct"/>
          </w:tcPr>
          <w:p w14:paraId="1E9520FC" w14:textId="77777777" w:rsidR="008273FB" w:rsidRDefault="008273FB" w:rsidP="00D20ACD">
            <w:pPr>
              <w:contextualSpacing/>
              <w:jc w:val="center"/>
              <w:rPr>
                <w:rFonts w:cstheme="minorHAnsi"/>
                <w:b/>
                <w:sz w:val="36"/>
                <w:szCs w:val="36"/>
              </w:rPr>
            </w:pPr>
          </w:p>
        </w:tc>
        <w:tc>
          <w:tcPr>
            <w:tcW w:w="622" w:type="pct"/>
          </w:tcPr>
          <w:p w14:paraId="5A1F2FD3" w14:textId="77777777" w:rsidR="008273FB" w:rsidRPr="0070332D" w:rsidRDefault="008273FB" w:rsidP="00D20ACD">
            <w:pPr>
              <w:contextualSpacing/>
              <w:jc w:val="center"/>
              <w:rPr>
                <w:rFonts w:cstheme="minorHAnsi"/>
                <w:b/>
                <w:noProof/>
                <w:sz w:val="36"/>
                <w:szCs w:val="36"/>
              </w:rPr>
            </w:pPr>
          </w:p>
        </w:tc>
        <w:tc>
          <w:tcPr>
            <w:tcW w:w="622" w:type="pct"/>
          </w:tcPr>
          <w:p w14:paraId="797A880B" w14:textId="77777777" w:rsidR="008273FB" w:rsidRDefault="008273FB" w:rsidP="00D20ACD">
            <w:pPr>
              <w:contextualSpacing/>
              <w:jc w:val="center"/>
              <w:rPr>
                <w:rFonts w:cstheme="minorHAnsi"/>
                <w:b/>
                <w:noProof/>
                <w:sz w:val="36"/>
                <w:szCs w:val="36"/>
              </w:rPr>
            </w:pPr>
          </w:p>
        </w:tc>
        <w:tc>
          <w:tcPr>
            <w:tcW w:w="622" w:type="pct"/>
          </w:tcPr>
          <w:p w14:paraId="6CC1F864" w14:textId="77777777" w:rsidR="008273FB" w:rsidRPr="00946B5D" w:rsidRDefault="008273FB" w:rsidP="00D20ACD">
            <w:pPr>
              <w:contextualSpacing/>
              <w:jc w:val="center"/>
              <w:rPr>
                <w:rFonts w:cstheme="minorHAnsi"/>
                <w:b/>
                <w:noProof/>
                <w:sz w:val="36"/>
                <w:szCs w:val="36"/>
              </w:rPr>
            </w:pPr>
          </w:p>
        </w:tc>
        <w:tc>
          <w:tcPr>
            <w:tcW w:w="1071" w:type="pct"/>
          </w:tcPr>
          <w:p w14:paraId="686311D5" w14:textId="77777777" w:rsidR="008273FB" w:rsidRPr="004E4F78" w:rsidRDefault="008273FB" w:rsidP="00D20ACD">
            <w:pPr>
              <w:contextualSpacing/>
              <w:jc w:val="center"/>
              <w:rPr>
                <w:rFonts w:cstheme="minorHAnsi"/>
                <w:b/>
                <w:noProof/>
                <w:sz w:val="36"/>
                <w:szCs w:val="36"/>
              </w:rPr>
            </w:pPr>
          </w:p>
        </w:tc>
      </w:tr>
      <w:tr w:rsidR="00937D33" w14:paraId="206EC55B" w14:textId="5485862B" w:rsidTr="00B46907">
        <w:trPr>
          <w:cantSplit/>
        </w:trPr>
        <w:tc>
          <w:tcPr>
            <w:tcW w:w="1440" w:type="pct"/>
          </w:tcPr>
          <w:p w14:paraId="075B69C1" w14:textId="21F0FA46" w:rsidR="00937D33" w:rsidRPr="0070332D" w:rsidRDefault="0070332D" w:rsidP="00604DA0">
            <w:pPr>
              <w:rPr>
                <w:rFonts w:cstheme="minorHAnsi"/>
              </w:rPr>
            </w:pPr>
            <w:r>
              <w:rPr>
                <w:rFonts w:cstheme="minorHAnsi"/>
              </w:rPr>
              <w:t xml:space="preserve">Management and Commerce </w:t>
            </w:r>
            <w:r w:rsidR="008273FB">
              <w:rPr>
                <w:rFonts w:cstheme="minorHAnsi"/>
              </w:rPr>
              <w:t xml:space="preserve">has </w:t>
            </w:r>
            <w:r>
              <w:rPr>
                <w:rFonts w:cstheme="minorHAnsi"/>
              </w:rPr>
              <w:t xml:space="preserve">become </w:t>
            </w:r>
            <w:r w:rsidR="00937D33" w:rsidRPr="0070332D">
              <w:rPr>
                <w:rFonts w:cstheme="minorHAnsi"/>
              </w:rPr>
              <w:t xml:space="preserve">the preferred course of study for </w:t>
            </w:r>
            <w:r w:rsidR="008273FB">
              <w:rPr>
                <w:rFonts w:cstheme="minorHAnsi"/>
              </w:rPr>
              <w:t>respondents</w:t>
            </w:r>
            <w:r w:rsidR="00937D33" w:rsidRPr="0070332D">
              <w:rPr>
                <w:rFonts w:cstheme="minorHAnsi"/>
              </w:rPr>
              <w:t xml:space="preserve"> who did not complete Year 12</w:t>
            </w:r>
            <w:r w:rsidR="00A573BE">
              <w:rPr>
                <w:rFonts w:cstheme="minorHAnsi"/>
              </w:rPr>
              <w:t xml:space="preserve"> (previously Society and Culture 2018-2020)</w:t>
            </w:r>
          </w:p>
        </w:tc>
        <w:tc>
          <w:tcPr>
            <w:tcW w:w="622" w:type="pct"/>
          </w:tcPr>
          <w:p w14:paraId="58F4C137" w14:textId="1B003214" w:rsidR="00937D33" w:rsidRPr="0070332D" w:rsidRDefault="00A573BE" w:rsidP="00D20ACD">
            <w:pPr>
              <w:contextualSpacing/>
              <w:jc w:val="center"/>
              <w:rPr>
                <w:rFonts w:cstheme="minorHAnsi"/>
                <w:b/>
                <w:sz w:val="36"/>
                <w:szCs w:val="36"/>
              </w:rPr>
            </w:pPr>
            <w:r>
              <w:rPr>
                <w:rFonts w:cstheme="minorHAnsi"/>
                <w:b/>
                <w:sz w:val="36"/>
                <w:szCs w:val="36"/>
              </w:rPr>
              <w:t>8.5</w:t>
            </w:r>
            <w:r w:rsidR="00937D33" w:rsidRPr="0070332D">
              <w:rPr>
                <w:rFonts w:cstheme="minorHAnsi"/>
                <w:b/>
                <w:sz w:val="36"/>
                <w:szCs w:val="36"/>
              </w:rPr>
              <w:t>%</w:t>
            </w:r>
          </w:p>
        </w:tc>
        <w:tc>
          <w:tcPr>
            <w:tcW w:w="622" w:type="pct"/>
          </w:tcPr>
          <w:p w14:paraId="4C437B0B" w14:textId="1436DAF3" w:rsidR="004D3F4E" w:rsidRPr="0070332D" w:rsidRDefault="00B64BA6" w:rsidP="00D20ACD">
            <w:pPr>
              <w:contextualSpacing/>
              <w:jc w:val="center"/>
              <w:rPr>
                <w:rFonts w:cstheme="minorHAnsi"/>
                <w:b/>
                <w:noProof/>
                <w:sz w:val="36"/>
                <w:szCs w:val="36"/>
              </w:rPr>
            </w:pPr>
            <w:r w:rsidRPr="0070332D">
              <w:rPr>
                <w:rFonts w:cstheme="minorHAnsi"/>
                <w:b/>
                <w:noProof/>
                <w:sz w:val="36"/>
                <w:szCs w:val="36"/>
              </w:rPr>
              <w:t>1</w:t>
            </w:r>
            <w:r w:rsidR="00A573BE">
              <w:rPr>
                <w:rFonts w:cstheme="minorHAnsi"/>
                <w:b/>
                <w:noProof/>
                <w:sz w:val="36"/>
                <w:szCs w:val="36"/>
              </w:rPr>
              <w:t>0.3</w:t>
            </w:r>
            <w:r w:rsidRPr="0070332D">
              <w:rPr>
                <w:rFonts w:cstheme="minorHAnsi"/>
                <w:b/>
                <w:noProof/>
                <w:sz w:val="36"/>
                <w:szCs w:val="36"/>
              </w:rPr>
              <w:t>%</w:t>
            </w:r>
          </w:p>
        </w:tc>
        <w:tc>
          <w:tcPr>
            <w:tcW w:w="622" w:type="pct"/>
          </w:tcPr>
          <w:p w14:paraId="6EFF073E" w14:textId="1BE8D698" w:rsidR="004D3F4E" w:rsidRPr="00946B5D" w:rsidRDefault="00A573BE" w:rsidP="00D20ACD">
            <w:pPr>
              <w:contextualSpacing/>
              <w:jc w:val="center"/>
              <w:rPr>
                <w:rFonts w:cstheme="minorHAnsi"/>
                <w:b/>
                <w:noProof/>
                <w:sz w:val="36"/>
                <w:szCs w:val="36"/>
              </w:rPr>
            </w:pPr>
            <w:r>
              <w:rPr>
                <w:rFonts w:cstheme="minorHAnsi"/>
                <w:b/>
                <w:noProof/>
                <w:sz w:val="36"/>
                <w:szCs w:val="36"/>
              </w:rPr>
              <w:t>9.2</w:t>
            </w:r>
            <w:r w:rsidR="00B64BA6">
              <w:rPr>
                <w:rFonts w:cstheme="minorHAnsi"/>
                <w:b/>
                <w:noProof/>
                <w:sz w:val="36"/>
                <w:szCs w:val="36"/>
              </w:rPr>
              <w:t>%</w:t>
            </w:r>
          </w:p>
        </w:tc>
        <w:tc>
          <w:tcPr>
            <w:tcW w:w="622" w:type="pct"/>
          </w:tcPr>
          <w:p w14:paraId="40A54C59" w14:textId="32454053" w:rsidR="00937D33" w:rsidRPr="00946B5D" w:rsidRDefault="00937D33" w:rsidP="00D20ACD">
            <w:pPr>
              <w:contextualSpacing/>
              <w:jc w:val="center"/>
              <w:rPr>
                <w:rFonts w:cstheme="minorHAnsi"/>
                <w:b/>
                <w:noProof/>
                <w:sz w:val="36"/>
                <w:szCs w:val="36"/>
              </w:rPr>
            </w:pPr>
            <w:r w:rsidRPr="00946B5D">
              <w:rPr>
                <w:rFonts w:cstheme="minorHAnsi"/>
                <w:b/>
                <w:noProof/>
                <w:sz w:val="36"/>
                <w:szCs w:val="36"/>
              </w:rPr>
              <w:t>1</w:t>
            </w:r>
            <w:r w:rsidR="00A573BE">
              <w:rPr>
                <w:rFonts w:cstheme="minorHAnsi"/>
                <w:b/>
                <w:noProof/>
                <w:sz w:val="36"/>
                <w:szCs w:val="36"/>
              </w:rPr>
              <w:t>0.8</w:t>
            </w:r>
            <w:r w:rsidRPr="00946B5D">
              <w:rPr>
                <w:rFonts w:cstheme="minorHAnsi"/>
                <w:b/>
                <w:noProof/>
                <w:sz w:val="36"/>
                <w:szCs w:val="36"/>
              </w:rPr>
              <w:t>%</w:t>
            </w:r>
          </w:p>
        </w:tc>
        <w:tc>
          <w:tcPr>
            <w:tcW w:w="1071" w:type="pct"/>
          </w:tcPr>
          <w:p w14:paraId="2179078C" w14:textId="2EE686A8" w:rsidR="00937D33" w:rsidRPr="004E4F78" w:rsidRDefault="004E4F78" w:rsidP="00D20ACD">
            <w:pPr>
              <w:contextualSpacing/>
              <w:jc w:val="center"/>
              <w:rPr>
                <w:rFonts w:cstheme="minorHAnsi"/>
                <w:b/>
                <w:sz w:val="36"/>
                <w:szCs w:val="36"/>
              </w:rPr>
            </w:pPr>
            <w:r w:rsidRPr="004E4F78">
              <w:rPr>
                <w:rFonts w:cstheme="minorHAnsi"/>
                <w:b/>
                <w:noProof/>
                <w:sz w:val="36"/>
                <w:szCs w:val="36"/>
              </w:rPr>
              <w:t>1</w:t>
            </w:r>
            <w:r w:rsidR="00A573BE">
              <w:rPr>
                <w:rFonts w:cstheme="minorHAnsi"/>
                <w:b/>
                <w:noProof/>
                <w:sz w:val="36"/>
                <w:szCs w:val="36"/>
              </w:rPr>
              <w:t>4.1</w:t>
            </w:r>
            <w:r w:rsidRPr="004E4F78">
              <w:rPr>
                <w:rFonts w:cstheme="minorHAnsi"/>
                <w:b/>
                <w:noProof/>
                <w:sz w:val="36"/>
                <w:szCs w:val="36"/>
              </w:rPr>
              <w:t>%</w:t>
            </w:r>
          </w:p>
        </w:tc>
      </w:tr>
      <w:tr w:rsidR="008273FB" w14:paraId="55805B46" w14:textId="77777777" w:rsidTr="005063B4">
        <w:tc>
          <w:tcPr>
            <w:tcW w:w="1440" w:type="pct"/>
          </w:tcPr>
          <w:p w14:paraId="52B0B04D" w14:textId="77777777" w:rsidR="008273FB" w:rsidRPr="004E4F78" w:rsidRDefault="008273FB" w:rsidP="005063B4">
            <w:pPr>
              <w:rPr>
                <w:rFonts w:cstheme="minorHAnsi"/>
              </w:rPr>
            </w:pPr>
            <w:r w:rsidRPr="004E4F78">
              <w:rPr>
                <w:rFonts w:cstheme="minorHAnsi"/>
              </w:rPr>
              <w:t>In 202</w:t>
            </w:r>
            <w:r>
              <w:rPr>
                <w:rFonts w:cstheme="minorHAnsi"/>
              </w:rPr>
              <w:t>1,</w:t>
            </w:r>
            <w:r w:rsidRPr="004E4F78">
              <w:rPr>
                <w:rFonts w:cstheme="minorHAnsi"/>
              </w:rPr>
              <w:t xml:space="preserve"> Health has </w:t>
            </w:r>
            <w:r>
              <w:rPr>
                <w:rFonts w:cstheme="minorHAnsi"/>
              </w:rPr>
              <w:t>dropped slightly</w:t>
            </w:r>
            <w:r w:rsidRPr="004E4F78">
              <w:rPr>
                <w:rFonts w:cstheme="minorHAnsi"/>
              </w:rPr>
              <w:t xml:space="preserve"> in popularity for </w:t>
            </w:r>
            <w:r>
              <w:rPr>
                <w:rFonts w:cstheme="minorHAnsi"/>
              </w:rPr>
              <w:t>those</w:t>
            </w:r>
            <w:r w:rsidRPr="004E4F78">
              <w:rPr>
                <w:rFonts w:cstheme="minorHAnsi"/>
              </w:rPr>
              <w:t xml:space="preserve"> who did not complete Year 12 in 2021</w:t>
            </w:r>
            <w:r>
              <w:rPr>
                <w:rFonts w:cstheme="minorHAnsi"/>
              </w:rPr>
              <w:t>, after previous increases</w:t>
            </w:r>
            <w:r w:rsidRPr="004E4F78">
              <w:rPr>
                <w:rFonts w:cstheme="minorHAnsi"/>
              </w:rPr>
              <w:t xml:space="preserve">.  </w:t>
            </w:r>
          </w:p>
        </w:tc>
        <w:tc>
          <w:tcPr>
            <w:tcW w:w="622" w:type="pct"/>
          </w:tcPr>
          <w:p w14:paraId="5F684F3D" w14:textId="77777777" w:rsidR="008273FB" w:rsidRPr="0070332D" w:rsidRDefault="008273FB" w:rsidP="005063B4">
            <w:pPr>
              <w:contextualSpacing/>
              <w:jc w:val="center"/>
              <w:rPr>
                <w:rFonts w:cstheme="minorHAnsi"/>
                <w:b/>
                <w:sz w:val="36"/>
                <w:szCs w:val="36"/>
              </w:rPr>
            </w:pPr>
            <w:r w:rsidRPr="0070332D">
              <w:rPr>
                <w:rFonts w:cstheme="minorHAnsi"/>
                <w:b/>
                <w:sz w:val="36"/>
                <w:szCs w:val="36"/>
              </w:rPr>
              <w:t>8.7%</w:t>
            </w:r>
          </w:p>
        </w:tc>
        <w:tc>
          <w:tcPr>
            <w:tcW w:w="622" w:type="pct"/>
          </w:tcPr>
          <w:p w14:paraId="3FB4CC20" w14:textId="77777777" w:rsidR="008273FB" w:rsidRPr="00946B5D" w:rsidRDefault="008273FB" w:rsidP="005063B4">
            <w:pPr>
              <w:contextualSpacing/>
              <w:jc w:val="center"/>
              <w:rPr>
                <w:rFonts w:cstheme="minorHAnsi"/>
                <w:b/>
                <w:noProof/>
                <w:sz w:val="36"/>
                <w:szCs w:val="36"/>
              </w:rPr>
            </w:pPr>
            <w:r>
              <w:rPr>
                <w:rFonts w:cstheme="minorHAnsi"/>
                <w:b/>
                <w:noProof/>
                <w:sz w:val="36"/>
                <w:szCs w:val="36"/>
              </w:rPr>
              <w:t>6.8%</w:t>
            </w:r>
          </w:p>
        </w:tc>
        <w:tc>
          <w:tcPr>
            <w:tcW w:w="622" w:type="pct"/>
          </w:tcPr>
          <w:p w14:paraId="1607AFDC" w14:textId="77777777" w:rsidR="008273FB" w:rsidRPr="00946B5D" w:rsidRDefault="008273FB" w:rsidP="005063B4">
            <w:pPr>
              <w:contextualSpacing/>
              <w:jc w:val="center"/>
              <w:rPr>
                <w:rFonts w:cstheme="minorHAnsi"/>
                <w:b/>
                <w:noProof/>
                <w:sz w:val="36"/>
                <w:szCs w:val="36"/>
              </w:rPr>
            </w:pPr>
            <w:r>
              <w:rPr>
                <w:rFonts w:cstheme="minorHAnsi"/>
                <w:b/>
                <w:noProof/>
                <w:sz w:val="36"/>
                <w:szCs w:val="36"/>
              </w:rPr>
              <w:t>9.8%</w:t>
            </w:r>
          </w:p>
        </w:tc>
        <w:tc>
          <w:tcPr>
            <w:tcW w:w="622" w:type="pct"/>
          </w:tcPr>
          <w:p w14:paraId="3FF2424B" w14:textId="77777777" w:rsidR="008273FB" w:rsidRPr="00946B5D" w:rsidRDefault="008273FB" w:rsidP="005063B4">
            <w:pPr>
              <w:contextualSpacing/>
              <w:jc w:val="center"/>
              <w:rPr>
                <w:rFonts w:cstheme="minorHAnsi"/>
                <w:b/>
                <w:noProof/>
                <w:sz w:val="36"/>
                <w:szCs w:val="36"/>
              </w:rPr>
            </w:pPr>
            <w:r w:rsidRPr="00946B5D">
              <w:rPr>
                <w:rFonts w:cstheme="minorHAnsi"/>
                <w:b/>
                <w:sz w:val="36"/>
                <w:szCs w:val="36"/>
              </w:rPr>
              <w:t>1</w:t>
            </w:r>
            <w:r>
              <w:rPr>
                <w:rFonts w:cstheme="minorHAnsi"/>
                <w:b/>
                <w:sz w:val="36"/>
                <w:szCs w:val="36"/>
              </w:rPr>
              <w:t>3.5</w:t>
            </w:r>
            <w:r w:rsidRPr="00946B5D">
              <w:rPr>
                <w:rFonts w:cstheme="minorHAnsi"/>
                <w:b/>
                <w:sz w:val="36"/>
                <w:szCs w:val="36"/>
              </w:rPr>
              <w:t>%</w:t>
            </w:r>
          </w:p>
        </w:tc>
        <w:tc>
          <w:tcPr>
            <w:tcW w:w="1071" w:type="pct"/>
          </w:tcPr>
          <w:p w14:paraId="4BE61A00" w14:textId="77777777" w:rsidR="008273FB" w:rsidRPr="003606C5" w:rsidRDefault="008273FB" w:rsidP="005063B4">
            <w:pPr>
              <w:contextualSpacing/>
              <w:jc w:val="center"/>
              <w:rPr>
                <w:rFonts w:cstheme="minorHAnsi"/>
                <w:b/>
                <w:sz w:val="36"/>
                <w:szCs w:val="36"/>
              </w:rPr>
            </w:pPr>
            <w:r w:rsidRPr="003606C5">
              <w:rPr>
                <w:rFonts w:cstheme="minorHAnsi"/>
                <w:b/>
                <w:noProof/>
                <w:sz w:val="36"/>
                <w:szCs w:val="36"/>
              </w:rPr>
              <w:t>12.</w:t>
            </w:r>
            <w:r>
              <w:rPr>
                <w:rFonts w:cstheme="minorHAnsi"/>
                <w:b/>
                <w:noProof/>
                <w:sz w:val="36"/>
                <w:szCs w:val="36"/>
              </w:rPr>
              <w:t>7</w:t>
            </w:r>
            <w:r w:rsidRPr="003606C5">
              <w:rPr>
                <w:rFonts w:cstheme="minorHAnsi"/>
                <w:b/>
                <w:noProof/>
                <w:sz w:val="36"/>
                <w:szCs w:val="36"/>
              </w:rPr>
              <w:t>%</w:t>
            </w:r>
          </w:p>
        </w:tc>
      </w:tr>
      <w:tr w:rsidR="00937D33" w14:paraId="15FC1858" w14:textId="2E60CB5F" w:rsidTr="008273FB">
        <w:tc>
          <w:tcPr>
            <w:tcW w:w="1440" w:type="pct"/>
          </w:tcPr>
          <w:p w14:paraId="138423A4" w14:textId="61E59A5B" w:rsidR="00937D33" w:rsidRPr="0070332D" w:rsidRDefault="00937D33" w:rsidP="00604DA0">
            <w:pPr>
              <w:rPr>
                <w:rFonts w:cstheme="minorHAnsi"/>
              </w:rPr>
            </w:pPr>
            <w:r w:rsidRPr="0070332D">
              <w:rPr>
                <w:rFonts w:cstheme="minorHAnsi"/>
              </w:rPr>
              <w:t xml:space="preserve">Food, Hospitality &amp; Personal Services </w:t>
            </w:r>
            <w:r w:rsidR="00A573BE">
              <w:rPr>
                <w:rFonts w:cstheme="minorHAnsi"/>
              </w:rPr>
              <w:t>remained stable in</w:t>
            </w:r>
            <w:r w:rsidR="000B2B71" w:rsidRPr="0070332D">
              <w:rPr>
                <w:rFonts w:cstheme="minorHAnsi"/>
              </w:rPr>
              <w:t xml:space="preserve"> 2021</w:t>
            </w:r>
            <w:r w:rsidRPr="0070332D">
              <w:rPr>
                <w:rFonts w:cstheme="minorHAnsi"/>
              </w:rPr>
              <w:t xml:space="preserve"> for </w:t>
            </w:r>
            <w:r w:rsidR="00220F39">
              <w:rPr>
                <w:rFonts w:cstheme="minorHAnsi"/>
              </w:rPr>
              <w:t>non-completers</w:t>
            </w:r>
            <w:r w:rsidRPr="0070332D">
              <w:rPr>
                <w:rFonts w:cstheme="minorHAnsi"/>
              </w:rPr>
              <w:t>.</w:t>
            </w:r>
          </w:p>
        </w:tc>
        <w:tc>
          <w:tcPr>
            <w:tcW w:w="622" w:type="pct"/>
          </w:tcPr>
          <w:p w14:paraId="4F5808B1" w14:textId="0D853B3C" w:rsidR="00937D33" w:rsidRPr="0070332D" w:rsidRDefault="00937D33" w:rsidP="00D20ACD">
            <w:pPr>
              <w:contextualSpacing/>
              <w:jc w:val="center"/>
              <w:rPr>
                <w:rFonts w:cstheme="minorHAnsi"/>
                <w:b/>
                <w:sz w:val="36"/>
                <w:szCs w:val="36"/>
              </w:rPr>
            </w:pPr>
            <w:r w:rsidRPr="0070332D">
              <w:rPr>
                <w:rFonts w:cstheme="minorHAnsi"/>
                <w:b/>
                <w:sz w:val="36"/>
                <w:szCs w:val="36"/>
              </w:rPr>
              <w:t>16</w:t>
            </w:r>
            <w:r w:rsidR="00B64BA6" w:rsidRPr="0070332D">
              <w:rPr>
                <w:rFonts w:cstheme="minorHAnsi"/>
                <w:b/>
                <w:sz w:val="36"/>
                <w:szCs w:val="36"/>
              </w:rPr>
              <w:t>.1</w:t>
            </w:r>
            <w:r w:rsidRPr="0070332D">
              <w:rPr>
                <w:rFonts w:cstheme="minorHAnsi"/>
                <w:b/>
                <w:sz w:val="36"/>
                <w:szCs w:val="36"/>
              </w:rPr>
              <w:t>%</w:t>
            </w:r>
          </w:p>
        </w:tc>
        <w:tc>
          <w:tcPr>
            <w:tcW w:w="622" w:type="pct"/>
          </w:tcPr>
          <w:p w14:paraId="29A2B795" w14:textId="36858454" w:rsidR="004D3F4E" w:rsidRPr="0070332D" w:rsidRDefault="00B64BA6" w:rsidP="00D20ACD">
            <w:pPr>
              <w:contextualSpacing/>
              <w:jc w:val="center"/>
              <w:rPr>
                <w:rFonts w:cstheme="minorHAnsi"/>
                <w:b/>
                <w:noProof/>
                <w:sz w:val="36"/>
                <w:szCs w:val="36"/>
              </w:rPr>
            </w:pPr>
            <w:r w:rsidRPr="0070332D">
              <w:rPr>
                <w:rFonts w:cstheme="minorHAnsi"/>
                <w:b/>
                <w:noProof/>
                <w:sz w:val="36"/>
                <w:szCs w:val="36"/>
              </w:rPr>
              <w:t>15.3%</w:t>
            </w:r>
          </w:p>
        </w:tc>
        <w:tc>
          <w:tcPr>
            <w:tcW w:w="622" w:type="pct"/>
          </w:tcPr>
          <w:p w14:paraId="486576C3" w14:textId="476FC0D3" w:rsidR="004D3F4E" w:rsidRPr="00946B5D" w:rsidRDefault="00B64BA6" w:rsidP="00D20ACD">
            <w:pPr>
              <w:contextualSpacing/>
              <w:jc w:val="center"/>
              <w:rPr>
                <w:rFonts w:cstheme="minorHAnsi"/>
                <w:b/>
                <w:noProof/>
                <w:sz w:val="36"/>
                <w:szCs w:val="36"/>
              </w:rPr>
            </w:pPr>
            <w:r>
              <w:rPr>
                <w:rFonts w:cstheme="minorHAnsi"/>
                <w:b/>
                <w:noProof/>
                <w:sz w:val="36"/>
                <w:szCs w:val="36"/>
              </w:rPr>
              <w:t>11.4%</w:t>
            </w:r>
          </w:p>
        </w:tc>
        <w:tc>
          <w:tcPr>
            <w:tcW w:w="622" w:type="pct"/>
          </w:tcPr>
          <w:p w14:paraId="7F525E64" w14:textId="6E8B485C" w:rsidR="00937D33" w:rsidRPr="00946B5D" w:rsidRDefault="00937D33" w:rsidP="00D20ACD">
            <w:pPr>
              <w:contextualSpacing/>
              <w:jc w:val="center"/>
              <w:rPr>
                <w:rFonts w:cstheme="minorHAnsi"/>
                <w:b/>
                <w:noProof/>
                <w:sz w:val="36"/>
                <w:szCs w:val="36"/>
              </w:rPr>
            </w:pPr>
            <w:r w:rsidRPr="00946B5D">
              <w:rPr>
                <w:rFonts w:cstheme="minorHAnsi"/>
                <w:b/>
                <w:noProof/>
                <w:sz w:val="36"/>
                <w:szCs w:val="36"/>
              </w:rPr>
              <w:t>11</w:t>
            </w:r>
            <w:r w:rsidR="00B64BA6">
              <w:rPr>
                <w:rFonts w:cstheme="minorHAnsi"/>
                <w:b/>
                <w:sz w:val="36"/>
                <w:szCs w:val="36"/>
              </w:rPr>
              <w:t>.1</w:t>
            </w:r>
            <w:r w:rsidRPr="00946B5D">
              <w:rPr>
                <w:rFonts w:cstheme="minorHAnsi"/>
                <w:b/>
                <w:noProof/>
                <w:sz w:val="36"/>
                <w:szCs w:val="36"/>
              </w:rPr>
              <w:t>%</w:t>
            </w:r>
          </w:p>
        </w:tc>
        <w:tc>
          <w:tcPr>
            <w:tcW w:w="1071" w:type="pct"/>
          </w:tcPr>
          <w:p w14:paraId="5266CD68" w14:textId="1A01BC57" w:rsidR="00937D33" w:rsidRPr="00825ACE" w:rsidRDefault="00825ACE" w:rsidP="00D20ACD">
            <w:pPr>
              <w:contextualSpacing/>
              <w:jc w:val="center"/>
              <w:rPr>
                <w:rFonts w:cstheme="minorHAnsi"/>
                <w:b/>
                <w:sz w:val="36"/>
                <w:szCs w:val="36"/>
              </w:rPr>
            </w:pPr>
            <w:r w:rsidRPr="00825ACE">
              <w:rPr>
                <w:rFonts w:cstheme="minorHAnsi"/>
                <w:b/>
                <w:noProof/>
                <w:sz w:val="36"/>
                <w:szCs w:val="36"/>
              </w:rPr>
              <w:t>11.2%</w:t>
            </w:r>
          </w:p>
        </w:tc>
      </w:tr>
    </w:tbl>
    <w:p w14:paraId="4D2637FC" w14:textId="77777777" w:rsidR="002A4104" w:rsidRPr="00D44B7E" w:rsidRDefault="002A4104" w:rsidP="002A4104">
      <w:pPr>
        <w:pStyle w:val="Heading1"/>
        <w:rPr>
          <w:rFonts w:cstheme="minorHAnsi"/>
        </w:rPr>
      </w:pPr>
      <w:r w:rsidRPr="008674D5">
        <w:t xml:space="preserve">The proportion of </w:t>
      </w:r>
      <w:r>
        <w:t>respondents</w:t>
      </w:r>
      <w:r w:rsidRPr="008674D5">
        <w:t xml:space="preserve"> completing Year 12 and </w:t>
      </w:r>
      <w:r>
        <w:t xml:space="preserve">looking for work has decreased in 2021 </w:t>
      </w:r>
    </w:p>
    <w:p w14:paraId="4E3E8FD8" w14:textId="77777777" w:rsidR="002A4104" w:rsidRDefault="002A4104" w:rsidP="002A4104">
      <w:pPr>
        <w:spacing w:after="120" w:line="240" w:lineRule="auto"/>
        <w:rPr>
          <w:rFonts w:cstheme="minorHAnsi"/>
        </w:rPr>
      </w:pPr>
    </w:p>
    <w:p w14:paraId="51212E61" w14:textId="4172A99E" w:rsidR="002A4104" w:rsidRPr="00C56023" w:rsidRDefault="002A4104" w:rsidP="002A4104">
      <w:pPr>
        <w:spacing w:after="120" w:line="240" w:lineRule="auto"/>
        <w:rPr>
          <w:rFonts w:cstheme="minorHAnsi"/>
        </w:rPr>
      </w:pPr>
      <w:r w:rsidRPr="00C56023">
        <w:rPr>
          <w:rFonts w:cstheme="minorHAnsi"/>
        </w:rPr>
        <w:t xml:space="preserve">The 2021 On Track survey results show that the proportion of Year 12 completers looking for work has decreased (3.9 per cent in 2021 compared with 6.4 per cent in 2020). The proportion of </w:t>
      </w:r>
      <w:r>
        <w:rPr>
          <w:rFonts w:cstheme="minorHAnsi"/>
        </w:rPr>
        <w:t xml:space="preserve">respondents </w:t>
      </w:r>
      <w:r w:rsidRPr="00C56023">
        <w:rPr>
          <w:rFonts w:cstheme="minorHAnsi"/>
        </w:rPr>
        <w:t xml:space="preserve">reporting that they were studying a Bachelor degree </w:t>
      </w:r>
      <w:r>
        <w:rPr>
          <w:rFonts w:cstheme="minorHAnsi"/>
        </w:rPr>
        <w:t>has</w:t>
      </w:r>
      <w:r w:rsidR="00DC5BA4">
        <w:rPr>
          <w:rFonts w:cstheme="minorHAnsi"/>
        </w:rPr>
        <w:t xml:space="preserve"> </w:t>
      </w:r>
      <w:r w:rsidRPr="00C56023">
        <w:rPr>
          <w:rFonts w:cstheme="minorHAnsi"/>
        </w:rPr>
        <w:t>increase</w:t>
      </w:r>
      <w:r>
        <w:rPr>
          <w:rFonts w:cstheme="minorHAnsi"/>
        </w:rPr>
        <w:t>d</w:t>
      </w:r>
      <w:r w:rsidRPr="00C56023">
        <w:rPr>
          <w:rFonts w:cstheme="minorHAnsi"/>
        </w:rPr>
        <w:t xml:space="preserve"> (</w:t>
      </w:r>
      <w:r>
        <w:rPr>
          <w:rFonts w:cstheme="minorHAnsi"/>
        </w:rPr>
        <w:t xml:space="preserve">56.1 per cent </w:t>
      </w:r>
      <w:r w:rsidRPr="00C56023">
        <w:rPr>
          <w:rFonts w:cstheme="minorHAnsi"/>
        </w:rPr>
        <w:t>of all Year 12 completers surveyed</w:t>
      </w:r>
      <w:r>
        <w:rPr>
          <w:rFonts w:cstheme="minorHAnsi"/>
        </w:rPr>
        <w:t xml:space="preserve"> in 2021</w:t>
      </w:r>
      <w:r w:rsidRPr="00C56023">
        <w:rPr>
          <w:rFonts w:cstheme="minorHAnsi"/>
        </w:rPr>
        <w:t xml:space="preserve">). </w:t>
      </w:r>
    </w:p>
    <w:p w14:paraId="00FD2213" w14:textId="77777777" w:rsidR="002A4104" w:rsidRPr="00C56023" w:rsidRDefault="002A4104" w:rsidP="002A4104">
      <w:pPr>
        <w:spacing w:after="120" w:line="240" w:lineRule="auto"/>
        <w:rPr>
          <w:rFonts w:cstheme="minorHAnsi"/>
        </w:rPr>
      </w:pPr>
    </w:p>
    <w:p w14:paraId="0A10D66C" w14:textId="77777777" w:rsidR="002A4104" w:rsidRDefault="002A4104" w:rsidP="002A4104">
      <w:pPr>
        <w:rPr>
          <w:b/>
          <w:bCs/>
          <w:lang w:val="en-US"/>
        </w:rPr>
      </w:pPr>
      <w:r w:rsidRPr="00C56023">
        <w:rPr>
          <w:b/>
          <w:bCs/>
          <w:lang w:val="en-US"/>
        </w:rPr>
        <w:t>Destination patterns, Year 12 completers, 2017-2021</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2733"/>
        <w:gridCol w:w="854"/>
        <w:gridCol w:w="854"/>
        <w:gridCol w:w="854"/>
        <w:gridCol w:w="854"/>
        <w:gridCol w:w="770"/>
      </w:tblGrid>
      <w:tr w:rsidR="002A4104" w:rsidRPr="005B745D" w14:paraId="4285B2F3" w14:textId="77777777" w:rsidTr="00CA1387">
        <w:trPr>
          <w:trHeight w:val="300"/>
          <w:jc w:val="center"/>
        </w:trPr>
        <w:tc>
          <w:tcPr>
            <w:tcW w:w="2290" w:type="dxa"/>
            <w:shd w:val="clear" w:color="auto" w:fill="auto"/>
            <w:noWrap/>
            <w:vAlign w:val="bottom"/>
            <w:hideMark/>
          </w:tcPr>
          <w:p w14:paraId="42FEA475" w14:textId="77777777" w:rsidR="002A4104" w:rsidRPr="005B745D" w:rsidRDefault="002A4104" w:rsidP="00CA1387">
            <w:pPr>
              <w:spacing w:after="0" w:line="240" w:lineRule="auto"/>
              <w:rPr>
                <w:rFonts w:ascii="Calibri" w:eastAsia="Times New Roman" w:hAnsi="Calibri" w:cs="Calibri"/>
                <w:b/>
                <w:bCs/>
                <w:color w:val="000000"/>
                <w:lang w:eastAsia="en-AU"/>
              </w:rPr>
            </w:pPr>
            <w:r w:rsidRPr="005B745D">
              <w:rPr>
                <w:rFonts w:ascii="Calibri" w:eastAsia="Times New Roman" w:hAnsi="Calibri" w:cs="Calibri"/>
                <w:b/>
                <w:bCs/>
                <w:color w:val="000000"/>
                <w:lang w:eastAsia="en-AU"/>
              </w:rPr>
              <w:t> </w:t>
            </w:r>
          </w:p>
        </w:tc>
        <w:tc>
          <w:tcPr>
            <w:tcW w:w="2660" w:type="dxa"/>
            <w:shd w:val="clear" w:color="auto" w:fill="auto"/>
            <w:noWrap/>
            <w:vAlign w:val="bottom"/>
            <w:hideMark/>
          </w:tcPr>
          <w:p w14:paraId="3DF7FCD3" w14:textId="77777777" w:rsidR="002A4104" w:rsidRPr="005B745D" w:rsidRDefault="002A4104" w:rsidP="00CA1387">
            <w:pPr>
              <w:spacing w:after="0" w:line="240" w:lineRule="auto"/>
              <w:jc w:val="center"/>
              <w:rPr>
                <w:rFonts w:ascii="Calibri" w:eastAsia="Times New Roman" w:hAnsi="Calibri" w:cs="Calibri"/>
                <w:b/>
                <w:bCs/>
                <w:color w:val="000000"/>
                <w:lang w:eastAsia="en-AU"/>
              </w:rPr>
            </w:pPr>
          </w:p>
        </w:tc>
        <w:tc>
          <w:tcPr>
            <w:tcW w:w="854" w:type="dxa"/>
            <w:shd w:val="clear" w:color="auto" w:fill="auto"/>
            <w:noWrap/>
            <w:vAlign w:val="bottom"/>
            <w:hideMark/>
          </w:tcPr>
          <w:p w14:paraId="6DAB046A" w14:textId="77777777" w:rsidR="002A4104" w:rsidRPr="000201BC" w:rsidRDefault="002A4104" w:rsidP="00CA1387">
            <w:pPr>
              <w:spacing w:after="0" w:line="240" w:lineRule="auto"/>
              <w:jc w:val="center"/>
              <w:rPr>
                <w:rFonts w:ascii="Calibri" w:eastAsia="Times New Roman" w:hAnsi="Calibri" w:cs="Calibri"/>
                <w:b/>
                <w:color w:val="000000"/>
                <w:lang w:eastAsia="en-AU"/>
              </w:rPr>
            </w:pPr>
            <w:r w:rsidRPr="000201BC">
              <w:rPr>
                <w:rFonts w:ascii="Calibri" w:eastAsia="Times New Roman" w:hAnsi="Calibri" w:cs="Calibri"/>
                <w:b/>
                <w:color w:val="000000"/>
                <w:lang w:eastAsia="en-AU"/>
              </w:rPr>
              <w:t>2017</w:t>
            </w:r>
          </w:p>
        </w:tc>
        <w:tc>
          <w:tcPr>
            <w:tcW w:w="854" w:type="dxa"/>
            <w:shd w:val="clear" w:color="auto" w:fill="auto"/>
            <w:noWrap/>
            <w:vAlign w:val="bottom"/>
            <w:hideMark/>
          </w:tcPr>
          <w:p w14:paraId="54D54793" w14:textId="77777777" w:rsidR="002A4104" w:rsidRPr="000201BC" w:rsidRDefault="002A4104" w:rsidP="00CA1387">
            <w:pPr>
              <w:spacing w:after="0" w:line="240" w:lineRule="auto"/>
              <w:jc w:val="center"/>
              <w:rPr>
                <w:rFonts w:ascii="Calibri" w:eastAsia="Times New Roman" w:hAnsi="Calibri" w:cs="Calibri"/>
                <w:b/>
                <w:color w:val="000000"/>
                <w:lang w:eastAsia="en-AU"/>
              </w:rPr>
            </w:pPr>
            <w:r w:rsidRPr="000201BC">
              <w:rPr>
                <w:rFonts w:ascii="Calibri" w:eastAsia="Times New Roman" w:hAnsi="Calibri" w:cs="Calibri"/>
                <w:b/>
                <w:color w:val="000000"/>
                <w:lang w:eastAsia="en-AU"/>
              </w:rPr>
              <w:t>2018</w:t>
            </w:r>
          </w:p>
        </w:tc>
        <w:tc>
          <w:tcPr>
            <w:tcW w:w="854" w:type="dxa"/>
            <w:shd w:val="clear" w:color="auto" w:fill="auto"/>
            <w:noWrap/>
            <w:vAlign w:val="bottom"/>
            <w:hideMark/>
          </w:tcPr>
          <w:p w14:paraId="1527AFFE" w14:textId="77777777" w:rsidR="002A4104" w:rsidRPr="000201BC" w:rsidRDefault="002A4104" w:rsidP="00CA1387">
            <w:pPr>
              <w:spacing w:after="0" w:line="240" w:lineRule="auto"/>
              <w:jc w:val="center"/>
              <w:rPr>
                <w:rFonts w:ascii="Calibri" w:eastAsia="Times New Roman" w:hAnsi="Calibri" w:cs="Calibri"/>
                <w:b/>
                <w:color w:val="000000"/>
                <w:lang w:eastAsia="en-AU"/>
              </w:rPr>
            </w:pPr>
            <w:r w:rsidRPr="000201BC">
              <w:rPr>
                <w:rFonts w:ascii="Calibri" w:eastAsia="Times New Roman" w:hAnsi="Calibri" w:cs="Calibri"/>
                <w:b/>
                <w:color w:val="000000"/>
                <w:lang w:eastAsia="en-AU"/>
              </w:rPr>
              <w:t>2019</w:t>
            </w:r>
          </w:p>
        </w:tc>
        <w:tc>
          <w:tcPr>
            <w:tcW w:w="854" w:type="dxa"/>
            <w:shd w:val="clear" w:color="auto" w:fill="auto"/>
            <w:noWrap/>
            <w:vAlign w:val="bottom"/>
            <w:hideMark/>
          </w:tcPr>
          <w:p w14:paraId="2E9751BB" w14:textId="77777777" w:rsidR="002A4104" w:rsidRPr="000201BC" w:rsidRDefault="002A4104" w:rsidP="00CA1387">
            <w:pPr>
              <w:spacing w:after="0" w:line="240" w:lineRule="auto"/>
              <w:jc w:val="center"/>
              <w:rPr>
                <w:rFonts w:ascii="Calibri" w:eastAsia="Times New Roman" w:hAnsi="Calibri" w:cs="Calibri"/>
                <w:b/>
                <w:color w:val="000000"/>
                <w:lang w:eastAsia="en-AU"/>
              </w:rPr>
            </w:pPr>
            <w:r w:rsidRPr="000201BC">
              <w:rPr>
                <w:rFonts w:ascii="Calibri" w:eastAsia="Times New Roman" w:hAnsi="Calibri" w:cs="Calibri"/>
                <w:b/>
                <w:color w:val="000000"/>
                <w:lang w:eastAsia="en-AU"/>
              </w:rPr>
              <w:t>2020</w:t>
            </w:r>
          </w:p>
        </w:tc>
        <w:tc>
          <w:tcPr>
            <w:tcW w:w="843" w:type="dxa"/>
          </w:tcPr>
          <w:p w14:paraId="7E273E15" w14:textId="77777777" w:rsidR="002A4104" w:rsidRPr="000201BC" w:rsidRDefault="002A4104" w:rsidP="00CA1387">
            <w:pPr>
              <w:spacing w:after="0" w:line="240" w:lineRule="auto"/>
              <w:jc w:val="center"/>
              <w:rPr>
                <w:rFonts w:ascii="Calibri" w:eastAsia="Times New Roman" w:hAnsi="Calibri" w:cs="Calibri"/>
                <w:b/>
                <w:color w:val="000000"/>
                <w:lang w:eastAsia="en-AU"/>
              </w:rPr>
            </w:pPr>
            <w:r w:rsidRPr="000201BC">
              <w:rPr>
                <w:rFonts w:ascii="Calibri" w:eastAsia="Times New Roman" w:hAnsi="Calibri" w:cs="Calibri"/>
                <w:b/>
                <w:color w:val="000000"/>
                <w:lang w:eastAsia="en-AU"/>
              </w:rPr>
              <w:t>2021</w:t>
            </w:r>
          </w:p>
        </w:tc>
      </w:tr>
      <w:tr w:rsidR="002A4104" w:rsidRPr="005B745D" w14:paraId="24CF94BC" w14:textId="77777777" w:rsidTr="00CA1387">
        <w:trPr>
          <w:trHeight w:val="300"/>
          <w:jc w:val="center"/>
        </w:trPr>
        <w:tc>
          <w:tcPr>
            <w:tcW w:w="2290" w:type="dxa"/>
            <w:vMerge w:val="restart"/>
            <w:shd w:val="clear" w:color="auto" w:fill="auto"/>
            <w:noWrap/>
            <w:vAlign w:val="bottom"/>
            <w:hideMark/>
          </w:tcPr>
          <w:p w14:paraId="1E2EEFEB" w14:textId="77777777" w:rsidR="002A4104" w:rsidRPr="005B745D" w:rsidRDefault="002A4104" w:rsidP="00CA1387">
            <w:pPr>
              <w:spacing w:after="0" w:line="240" w:lineRule="auto"/>
              <w:rPr>
                <w:rFonts w:ascii="Calibri" w:eastAsia="Times New Roman" w:hAnsi="Calibri" w:cs="Calibri"/>
                <w:b/>
                <w:bCs/>
                <w:color w:val="000000"/>
                <w:lang w:eastAsia="en-AU"/>
              </w:rPr>
            </w:pPr>
            <w:r w:rsidRPr="005B745D">
              <w:rPr>
                <w:rFonts w:ascii="Calibri" w:eastAsia="Times New Roman" w:hAnsi="Calibri" w:cs="Calibri"/>
                <w:b/>
                <w:bCs/>
                <w:color w:val="000000"/>
                <w:lang w:eastAsia="en-AU"/>
              </w:rPr>
              <w:t>In Education or Training</w:t>
            </w:r>
          </w:p>
          <w:p w14:paraId="09B6C378" w14:textId="77777777" w:rsidR="002A4104" w:rsidRPr="005B745D" w:rsidRDefault="002A4104" w:rsidP="00CA1387">
            <w:pPr>
              <w:spacing w:after="0" w:line="240" w:lineRule="auto"/>
              <w:rPr>
                <w:rFonts w:ascii="Calibri" w:eastAsia="Times New Roman" w:hAnsi="Calibri" w:cs="Calibri"/>
                <w:b/>
                <w:bCs/>
                <w:color w:val="000000"/>
                <w:lang w:eastAsia="en-AU"/>
              </w:rPr>
            </w:pPr>
            <w:r w:rsidRPr="005B745D">
              <w:rPr>
                <w:rFonts w:ascii="Calibri" w:eastAsia="Times New Roman" w:hAnsi="Calibri" w:cs="Calibri"/>
                <w:b/>
                <w:bCs/>
                <w:color w:val="000000"/>
                <w:lang w:eastAsia="en-AU"/>
              </w:rPr>
              <w:t> </w:t>
            </w:r>
          </w:p>
          <w:p w14:paraId="437595CE" w14:textId="77777777" w:rsidR="002A4104" w:rsidRPr="005B745D" w:rsidRDefault="002A4104" w:rsidP="00CA1387">
            <w:pPr>
              <w:spacing w:after="0" w:line="240" w:lineRule="auto"/>
              <w:rPr>
                <w:rFonts w:ascii="Calibri" w:eastAsia="Times New Roman" w:hAnsi="Calibri" w:cs="Calibri"/>
                <w:b/>
                <w:bCs/>
                <w:color w:val="000000"/>
                <w:lang w:eastAsia="en-AU"/>
              </w:rPr>
            </w:pPr>
            <w:r w:rsidRPr="005B745D">
              <w:rPr>
                <w:rFonts w:ascii="Calibri" w:eastAsia="Times New Roman" w:hAnsi="Calibri" w:cs="Calibri"/>
                <w:b/>
                <w:bCs/>
                <w:color w:val="000000"/>
                <w:lang w:eastAsia="en-AU"/>
              </w:rPr>
              <w:t> </w:t>
            </w:r>
          </w:p>
        </w:tc>
        <w:tc>
          <w:tcPr>
            <w:tcW w:w="2660" w:type="dxa"/>
            <w:shd w:val="clear" w:color="auto" w:fill="auto"/>
            <w:noWrap/>
            <w:vAlign w:val="bottom"/>
            <w:hideMark/>
          </w:tcPr>
          <w:p w14:paraId="1100D70E" w14:textId="77777777" w:rsidR="002A4104" w:rsidRPr="005B745D" w:rsidRDefault="002A4104" w:rsidP="00CA1387">
            <w:pPr>
              <w:spacing w:after="0" w:line="240" w:lineRule="auto"/>
              <w:jc w:val="center"/>
              <w:rPr>
                <w:rFonts w:ascii="Calibri" w:eastAsia="Times New Roman" w:hAnsi="Calibri" w:cs="Calibri"/>
                <w:b/>
                <w:bCs/>
                <w:color w:val="000000"/>
                <w:lang w:eastAsia="en-AU"/>
              </w:rPr>
            </w:pPr>
            <w:r w:rsidRPr="005B745D">
              <w:rPr>
                <w:rFonts w:ascii="Calibri" w:eastAsia="Times New Roman" w:hAnsi="Calibri" w:cs="Calibri"/>
                <w:b/>
                <w:bCs/>
                <w:color w:val="000000"/>
                <w:lang w:eastAsia="en-AU"/>
              </w:rPr>
              <w:t>Apprenticeship/traineeship</w:t>
            </w:r>
          </w:p>
        </w:tc>
        <w:tc>
          <w:tcPr>
            <w:tcW w:w="854" w:type="dxa"/>
            <w:shd w:val="clear" w:color="auto" w:fill="auto"/>
            <w:noWrap/>
            <w:vAlign w:val="bottom"/>
            <w:hideMark/>
          </w:tcPr>
          <w:p w14:paraId="6846F80B" w14:textId="77777777" w:rsidR="002A4104" w:rsidRPr="005B745D" w:rsidRDefault="002A4104" w:rsidP="00CA1387">
            <w:pPr>
              <w:spacing w:after="0" w:line="240" w:lineRule="auto"/>
              <w:jc w:val="center"/>
              <w:rPr>
                <w:rFonts w:ascii="Calibri" w:eastAsia="Times New Roman" w:hAnsi="Calibri" w:cs="Calibri"/>
                <w:color w:val="000000"/>
                <w:lang w:eastAsia="en-AU"/>
              </w:rPr>
            </w:pPr>
            <w:r w:rsidRPr="005B745D">
              <w:rPr>
                <w:rFonts w:ascii="Calibri" w:eastAsia="Times New Roman" w:hAnsi="Calibri" w:cs="Calibri"/>
                <w:color w:val="000000"/>
                <w:lang w:eastAsia="en-AU"/>
              </w:rPr>
              <w:t>8.1%</w:t>
            </w:r>
          </w:p>
        </w:tc>
        <w:tc>
          <w:tcPr>
            <w:tcW w:w="854" w:type="dxa"/>
            <w:shd w:val="clear" w:color="auto" w:fill="auto"/>
            <w:noWrap/>
            <w:vAlign w:val="bottom"/>
            <w:hideMark/>
          </w:tcPr>
          <w:p w14:paraId="05A6B489" w14:textId="77777777" w:rsidR="002A4104" w:rsidRPr="005B745D" w:rsidRDefault="002A4104" w:rsidP="00CA1387">
            <w:pPr>
              <w:spacing w:after="0" w:line="240" w:lineRule="auto"/>
              <w:jc w:val="center"/>
              <w:rPr>
                <w:rFonts w:ascii="Calibri" w:eastAsia="Times New Roman" w:hAnsi="Calibri" w:cs="Calibri"/>
                <w:color w:val="000000"/>
                <w:lang w:eastAsia="en-AU"/>
              </w:rPr>
            </w:pPr>
            <w:r w:rsidRPr="005B745D">
              <w:rPr>
                <w:rFonts w:ascii="Calibri" w:eastAsia="Times New Roman" w:hAnsi="Calibri" w:cs="Calibri"/>
                <w:color w:val="000000"/>
                <w:lang w:eastAsia="en-AU"/>
              </w:rPr>
              <w:t>8.1%</w:t>
            </w:r>
          </w:p>
        </w:tc>
        <w:tc>
          <w:tcPr>
            <w:tcW w:w="854" w:type="dxa"/>
            <w:shd w:val="clear" w:color="auto" w:fill="auto"/>
            <w:noWrap/>
            <w:vAlign w:val="bottom"/>
            <w:hideMark/>
          </w:tcPr>
          <w:p w14:paraId="6768ACE1" w14:textId="77777777" w:rsidR="002A4104" w:rsidRPr="005B745D" w:rsidRDefault="002A4104" w:rsidP="00CA1387">
            <w:pPr>
              <w:spacing w:after="0" w:line="240" w:lineRule="auto"/>
              <w:jc w:val="center"/>
              <w:rPr>
                <w:rFonts w:ascii="Calibri" w:eastAsia="Times New Roman" w:hAnsi="Calibri" w:cs="Calibri"/>
                <w:color w:val="000000"/>
                <w:lang w:eastAsia="en-AU"/>
              </w:rPr>
            </w:pPr>
            <w:r w:rsidRPr="005B745D">
              <w:rPr>
                <w:rFonts w:ascii="Calibri" w:eastAsia="Times New Roman" w:hAnsi="Calibri" w:cs="Calibri"/>
                <w:color w:val="000000"/>
                <w:lang w:eastAsia="en-AU"/>
              </w:rPr>
              <w:t>8.3%</w:t>
            </w:r>
          </w:p>
        </w:tc>
        <w:tc>
          <w:tcPr>
            <w:tcW w:w="854" w:type="dxa"/>
            <w:shd w:val="clear" w:color="auto" w:fill="auto"/>
            <w:noWrap/>
            <w:vAlign w:val="bottom"/>
            <w:hideMark/>
          </w:tcPr>
          <w:p w14:paraId="35BD2E06" w14:textId="77777777" w:rsidR="002A4104" w:rsidRPr="005B745D" w:rsidRDefault="002A4104" w:rsidP="00CA1387">
            <w:pPr>
              <w:spacing w:after="0" w:line="240" w:lineRule="auto"/>
              <w:jc w:val="center"/>
              <w:rPr>
                <w:rFonts w:ascii="Calibri" w:eastAsia="Times New Roman" w:hAnsi="Calibri" w:cs="Calibri"/>
                <w:color w:val="000000"/>
                <w:lang w:eastAsia="en-AU"/>
              </w:rPr>
            </w:pPr>
            <w:r w:rsidRPr="005B745D">
              <w:rPr>
                <w:rFonts w:ascii="Calibri" w:eastAsia="Times New Roman" w:hAnsi="Calibri" w:cs="Calibri"/>
                <w:color w:val="000000"/>
                <w:lang w:eastAsia="en-AU"/>
              </w:rPr>
              <w:t>8.2%</w:t>
            </w:r>
          </w:p>
        </w:tc>
        <w:tc>
          <w:tcPr>
            <w:tcW w:w="843" w:type="dxa"/>
            <w:vAlign w:val="bottom"/>
          </w:tcPr>
          <w:p w14:paraId="359B6071" w14:textId="77777777" w:rsidR="002A4104" w:rsidRPr="005B745D" w:rsidRDefault="002A4104" w:rsidP="00CA1387">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9.8%</w:t>
            </w:r>
          </w:p>
        </w:tc>
      </w:tr>
      <w:tr w:rsidR="002A4104" w:rsidRPr="005B745D" w14:paraId="04CAE434" w14:textId="77777777" w:rsidTr="00CA1387">
        <w:trPr>
          <w:trHeight w:val="300"/>
          <w:jc w:val="center"/>
        </w:trPr>
        <w:tc>
          <w:tcPr>
            <w:tcW w:w="2290" w:type="dxa"/>
            <w:vMerge/>
            <w:shd w:val="clear" w:color="auto" w:fill="auto"/>
            <w:noWrap/>
            <w:vAlign w:val="bottom"/>
            <w:hideMark/>
          </w:tcPr>
          <w:p w14:paraId="4A89C74A" w14:textId="77777777" w:rsidR="002A4104" w:rsidRPr="005B745D" w:rsidRDefault="002A4104" w:rsidP="00CA1387">
            <w:pPr>
              <w:spacing w:after="0" w:line="240" w:lineRule="auto"/>
              <w:rPr>
                <w:rFonts w:ascii="Calibri" w:eastAsia="Times New Roman" w:hAnsi="Calibri" w:cs="Calibri"/>
                <w:b/>
                <w:bCs/>
                <w:color w:val="000000"/>
                <w:lang w:eastAsia="en-AU"/>
              </w:rPr>
            </w:pPr>
          </w:p>
        </w:tc>
        <w:tc>
          <w:tcPr>
            <w:tcW w:w="2660" w:type="dxa"/>
            <w:shd w:val="clear" w:color="auto" w:fill="auto"/>
            <w:noWrap/>
            <w:vAlign w:val="bottom"/>
            <w:hideMark/>
          </w:tcPr>
          <w:p w14:paraId="22AF374E" w14:textId="77777777" w:rsidR="002A4104" w:rsidRPr="005B745D" w:rsidRDefault="002A4104" w:rsidP="00CA1387">
            <w:pPr>
              <w:spacing w:after="0" w:line="240" w:lineRule="auto"/>
              <w:jc w:val="center"/>
              <w:rPr>
                <w:rFonts w:ascii="Calibri" w:eastAsia="Times New Roman" w:hAnsi="Calibri" w:cs="Calibri"/>
                <w:b/>
                <w:bCs/>
                <w:color w:val="000000"/>
                <w:lang w:eastAsia="en-AU"/>
              </w:rPr>
            </w:pPr>
            <w:r w:rsidRPr="005B745D">
              <w:rPr>
                <w:rFonts w:ascii="Calibri" w:eastAsia="Times New Roman" w:hAnsi="Calibri" w:cs="Calibri"/>
                <w:b/>
                <w:bCs/>
                <w:color w:val="000000"/>
                <w:lang w:eastAsia="en-AU"/>
              </w:rPr>
              <w:t>Bachelor degree</w:t>
            </w:r>
          </w:p>
        </w:tc>
        <w:tc>
          <w:tcPr>
            <w:tcW w:w="854" w:type="dxa"/>
            <w:shd w:val="clear" w:color="auto" w:fill="auto"/>
            <w:noWrap/>
            <w:vAlign w:val="bottom"/>
            <w:hideMark/>
          </w:tcPr>
          <w:p w14:paraId="36E96183" w14:textId="77777777" w:rsidR="002A4104" w:rsidRPr="005B745D" w:rsidRDefault="002A4104" w:rsidP="00CA1387">
            <w:pPr>
              <w:spacing w:after="0" w:line="240" w:lineRule="auto"/>
              <w:jc w:val="center"/>
              <w:rPr>
                <w:rFonts w:ascii="Calibri" w:eastAsia="Times New Roman" w:hAnsi="Calibri" w:cs="Calibri"/>
                <w:color w:val="000000"/>
                <w:lang w:eastAsia="en-AU"/>
              </w:rPr>
            </w:pPr>
            <w:r w:rsidRPr="005B745D">
              <w:rPr>
                <w:rFonts w:ascii="Calibri" w:eastAsia="Times New Roman" w:hAnsi="Calibri" w:cs="Calibri"/>
                <w:color w:val="000000"/>
                <w:lang w:eastAsia="en-AU"/>
              </w:rPr>
              <w:t>53.9%</w:t>
            </w:r>
          </w:p>
        </w:tc>
        <w:tc>
          <w:tcPr>
            <w:tcW w:w="854" w:type="dxa"/>
            <w:shd w:val="clear" w:color="auto" w:fill="auto"/>
            <w:noWrap/>
            <w:vAlign w:val="bottom"/>
            <w:hideMark/>
          </w:tcPr>
          <w:p w14:paraId="324E9E94" w14:textId="77777777" w:rsidR="002A4104" w:rsidRPr="005B745D" w:rsidRDefault="002A4104" w:rsidP="00CA1387">
            <w:pPr>
              <w:spacing w:after="0" w:line="240" w:lineRule="auto"/>
              <w:jc w:val="center"/>
              <w:rPr>
                <w:rFonts w:ascii="Calibri" w:eastAsia="Times New Roman" w:hAnsi="Calibri" w:cs="Calibri"/>
                <w:color w:val="000000"/>
                <w:lang w:eastAsia="en-AU"/>
              </w:rPr>
            </w:pPr>
            <w:r w:rsidRPr="005B745D">
              <w:rPr>
                <w:rFonts w:ascii="Calibri" w:eastAsia="Times New Roman" w:hAnsi="Calibri" w:cs="Calibri"/>
                <w:color w:val="000000"/>
                <w:lang w:eastAsia="en-AU"/>
              </w:rPr>
              <w:t>54.9%</w:t>
            </w:r>
          </w:p>
        </w:tc>
        <w:tc>
          <w:tcPr>
            <w:tcW w:w="854" w:type="dxa"/>
            <w:shd w:val="clear" w:color="auto" w:fill="auto"/>
            <w:noWrap/>
            <w:vAlign w:val="bottom"/>
            <w:hideMark/>
          </w:tcPr>
          <w:p w14:paraId="0D267241" w14:textId="77777777" w:rsidR="002A4104" w:rsidRPr="005B745D" w:rsidRDefault="002A4104" w:rsidP="00CA1387">
            <w:pPr>
              <w:spacing w:after="0" w:line="240" w:lineRule="auto"/>
              <w:jc w:val="center"/>
              <w:rPr>
                <w:rFonts w:ascii="Calibri" w:eastAsia="Times New Roman" w:hAnsi="Calibri" w:cs="Calibri"/>
                <w:color w:val="000000"/>
                <w:lang w:eastAsia="en-AU"/>
              </w:rPr>
            </w:pPr>
            <w:r w:rsidRPr="005B745D">
              <w:rPr>
                <w:rFonts w:ascii="Calibri" w:eastAsia="Times New Roman" w:hAnsi="Calibri" w:cs="Calibri"/>
                <w:color w:val="000000"/>
                <w:lang w:eastAsia="en-AU"/>
              </w:rPr>
              <w:t>54.1%</w:t>
            </w:r>
          </w:p>
        </w:tc>
        <w:tc>
          <w:tcPr>
            <w:tcW w:w="854" w:type="dxa"/>
            <w:shd w:val="clear" w:color="auto" w:fill="auto"/>
            <w:noWrap/>
            <w:vAlign w:val="bottom"/>
            <w:hideMark/>
          </w:tcPr>
          <w:p w14:paraId="16F9DCF7" w14:textId="77777777" w:rsidR="002A4104" w:rsidRPr="005B745D" w:rsidRDefault="002A4104" w:rsidP="00CA1387">
            <w:pPr>
              <w:spacing w:after="0" w:line="240" w:lineRule="auto"/>
              <w:jc w:val="center"/>
              <w:rPr>
                <w:rFonts w:ascii="Calibri" w:eastAsia="Times New Roman" w:hAnsi="Calibri" w:cs="Calibri"/>
                <w:color w:val="000000"/>
                <w:lang w:eastAsia="en-AU"/>
              </w:rPr>
            </w:pPr>
            <w:r w:rsidRPr="005B745D">
              <w:rPr>
                <w:rFonts w:ascii="Calibri" w:eastAsia="Times New Roman" w:hAnsi="Calibri" w:cs="Calibri"/>
                <w:color w:val="000000"/>
                <w:lang w:eastAsia="en-AU"/>
              </w:rPr>
              <w:t>54.5%</w:t>
            </w:r>
          </w:p>
        </w:tc>
        <w:tc>
          <w:tcPr>
            <w:tcW w:w="843" w:type="dxa"/>
            <w:vAlign w:val="bottom"/>
          </w:tcPr>
          <w:p w14:paraId="0A9EAFCC" w14:textId="77777777" w:rsidR="002A4104" w:rsidRPr="005B745D" w:rsidRDefault="002A4104" w:rsidP="00CA1387">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56.1%</w:t>
            </w:r>
          </w:p>
        </w:tc>
      </w:tr>
      <w:tr w:rsidR="002A4104" w:rsidRPr="005B745D" w14:paraId="55594DD4" w14:textId="77777777" w:rsidTr="00CA1387">
        <w:trPr>
          <w:trHeight w:val="300"/>
          <w:jc w:val="center"/>
        </w:trPr>
        <w:tc>
          <w:tcPr>
            <w:tcW w:w="2290" w:type="dxa"/>
            <w:vMerge/>
            <w:shd w:val="clear" w:color="auto" w:fill="auto"/>
            <w:noWrap/>
            <w:vAlign w:val="bottom"/>
            <w:hideMark/>
          </w:tcPr>
          <w:p w14:paraId="76A1501E" w14:textId="77777777" w:rsidR="002A4104" w:rsidRPr="005B745D" w:rsidRDefault="002A4104" w:rsidP="00CA1387">
            <w:pPr>
              <w:spacing w:after="0" w:line="240" w:lineRule="auto"/>
              <w:rPr>
                <w:rFonts w:ascii="Calibri" w:eastAsia="Times New Roman" w:hAnsi="Calibri" w:cs="Calibri"/>
                <w:b/>
                <w:bCs/>
                <w:color w:val="000000"/>
                <w:lang w:eastAsia="en-AU"/>
              </w:rPr>
            </w:pPr>
          </w:p>
        </w:tc>
        <w:tc>
          <w:tcPr>
            <w:tcW w:w="2660" w:type="dxa"/>
            <w:shd w:val="clear" w:color="auto" w:fill="auto"/>
            <w:noWrap/>
            <w:vAlign w:val="bottom"/>
            <w:hideMark/>
          </w:tcPr>
          <w:p w14:paraId="258B75B4" w14:textId="77777777" w:rsidR="002A4104" w:rsidRPr="005B745D" w:rsidRDefault="002A4104" w:rsidP="00CA1387">
            <w:pPr>
              <w:spacing w:after="0" w:line="240" w:lineRule="auto"/>
              <w:jc w:val="center"/>
              <w:rPr>
                <w:rFonts w:ascii="Calibri" w:eastAsia="Times New Roman" w:hAnsi="Calibri" w:cs="Calibri"/>
                <w:b/>
                <w:bCs/>
                <w:color w:val="000000"/>
                <w:lang w:eastAsia="en-AU"/>
              </w:rPr>
            </w:pPr>
            <w:r w:rsidRPr="005B745D">
              <w:rPr>
                <w:rFonts w:ascii="Calibri" w:eastAsia="Times New Roman" w:hAnsi="Calibri" w:cs="Calibri"/>
                <w:b/>
                <w:bCs/>
                <w:color w:val="000000"/>
                <w:lang w:eastAsia="en-AU"/>
              </w:rPr>
              <w:t>Certificates/diplomas</w:t>
            </w:r>
          </w:p>
        </w:tc>
        <w:tc>
          <w:tcPr>
            <w:tcW w:w="854" w:type="dxa"/>
            <w:shd w:val="clear" w:color="auto" w:fill="auto"/>
            <w:noWrap/>
            <w:vAlign w:val="bottom"/>
            <w:hideMark/>
          </w:tcPr>
          <w:p w14:paraId="722F35F5" w14:textId="77777777" w:rsidR="002A4104" w:rsidRPr="005B745D" w:rsidRDefault="002A4104" w:rsidP="00CA1387">
            <w:pPr>
              <w:spacing w:after="0" w:line="240" w:lineRule="auto"/>
              <w:jc w:val="center"/>
              <w:rPr>
                <w:rFonts w:ascii="Calibri" w:eastAsia="Times New Roman" w:hAnsi="Calibri" w:cs="Calibri"/>
                <w:color w:val="000000"/>
                <w:lang w:eastAsia="en-AU"/>
              </w:rPr>
            </w:pPr>
            <w:r w:rsidRPr="005B745D">
              <w:rPr>
                <w:rFonts w:ascii="Calibri" w:eastAsia="Times New Roman" w:hAnsi="Calibri" w:cs="Calibri"/>
                <w:color w:val="000000"/>
                <w:lang w:eastAsia="en-AU"/>
              </w:rPr>
              <w:t>12.9%</w:t>
            </w:r>
          </w:p>
        </w:tc>
        <w:tc>
          <w:tcPr>
            <w:tcW w:w="854" w:type="dxa"/>
            <w:shd w:val="clear" w:color="auto" w:fill="auto"/>
            <w:noWrap/>
            <w:vAlign w:val="bottom"/>
            <w:hideMark/>
          </w:tcPr>
          <w:p w14:paraId="1835E15B" w14:textId="77777777" w:rsidR="002A4104" w:rsidRPr="005B745D" w:rsidRDefault="002A4104" w:rsidP="00CA1387">
            <w:pPr>
              <w:spacing w:after="0" w:line="240" w:lineRule="auto"/>
              <w:jc w:val="center"/>
              <w:rPr>
                <w:rFonts w:ascii="Calibri" w:eastAsia="Times New Roman" w:hAnsi="Calibri" w:cs="Calibri"/>
                <w:color w:val="000000"/>
                <w:lang w:eastAsia="en-AU"/>
              </w:rPr>
            </w:pPr>
            <w:r w:rsidRPr="005B745D">
              <w:rPr>
                <w:rFonts w:ascii="Calibri" w:eastAsia="Times New Roman" w:hAnsi="Calibri" w:cs="Calibri"/>
                <w:color w:val="000000"/>
                <w:lang w:eastAsia="en-AU"/>
              </w:rPr>
              <w:t>12.1%</w:t>
            </w:r>
          </w:p>
        </w:tc>
        <w:tc>
          <w:tcPr>
            <w:tcW w:w="854" w:type="dxa"/>
            <w:shd w:val="clear" w:color="auto" w:fill="auto"/>
            <w:noWrap/>
            <w:vAlign w:val="bottom"/>
            <w:hideMark/>
          </w:tcPr>
          <w:p w14:paraId="66132285" w14:textId="77777777" w:rsidR="002A4104" w:rsidRPr="005B745D" w:rsidRDefault="002A4104" w:rsidP="00CA1387">
            <w:pPr>
              <w:spacing w:after="0" w:line="240" w:lineRule="auto"/>
              <w:jc w:val="center"/>
              <w:rPr>
                <w:rFonts w:ascii="Calibri" w:eastAsia="Times New Roman" w:hAnsi="Calibri" w:cs="Calibri"/>
                <w:color w:val="000000"/>
                <w:lang w:eastAsia="en-AU"/>
              </w:rPr>
            </w:pPr>
            <w:r w:rsidRPr="005B745D">
              <w:rPr>
                <w:rFonts w:ascii="Calibri" w:eastAsia="Times New Roman" w:hAnsi="Calibri" w:cs="Calibri"/>
                <w:color w:val="000000"/>
                <w:lang w:eastAsia="en-AU"/>
              </w:rPr>
              <w:t>12.8%</w:t>
            </w:r>
          </w:p>
        </w:tc>
        <w:tc>
          <w:tcPr>
            <w:tcW w:w="854" w:type="dxa"/>
            <w:shd w:val="clear" w:color="auto" w:fill="auto"/>
            <w:noWrap/>
            <w:vAlign w:val="bottom"/>
            <w:hideMark/>
          </w:tcPr>
          <w:p w14:paraId="07202694" w14:textId="77777777" w:rsidR="002A4104" w:rsidRPr="005B745D" w:rsidRDefault="002A4104" w:rsidP="00CA1387">
            <w:pPr>
              <w:spacing w:after="0" w:line="240" w:lineRule="auto"/>
              <w:jc w:val="center"/>
              <w:rPr>
                <w:rFonts w:ascii="Calibri" w:eastAsia="Times New Roman" w:hAnsi="Calibri" w:cs="Calibri"/>
                <w:color w:val="000000"/>
                <w:lang w:eastAsia="en-AU"/>
              </w:rPr>
            </w:pPr>
            <w:r w:rsidRPr="005B745D">
              <w:rPr>
                <w:rFonts w:ascii="Calibri" w:eastAsia="Times New Roman" w:hAnsi="Calibri" w:cs="Calibri"/>
                <w:color w:val="000000"/>
                <w:lang w:eastAsia="en-AU"/>
              </w:rPr>
              <w:t>11.9%</w:t>
            </w:r>
          </w:p>
        </w:tc>
        <w:tc>
          <w:tcPr>
            <w:tcW w:w="843" w:type="dxa"/>
            <w:vAlign w:val="bottom"/>
          </w:tcPr>
          <w:p w14:paraId="7774C292" w14:textId="77777777" w:rsidR="002A4104" w:rsidRPr="005B745D" w:rsidRDefault="002A4104" w:rsidP="00CA1387">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11.3%</w:t>
            </w:r>
          </w:p>
        </w:tc>
      </w:tr>
      <w:tr w:rsidR="002A4104" w:rsidRPr="005B745D" w14:paraId="40E32C53" w14:textId="77777777" w:rsidTr="00CA1387">
        <w:trPr>
          <w:trHeight w:val="300"/>
          <w:jc w:val="center"/>
        </w:trPr>
        <w:tc>
          <w:tcPr>
            <w:tcW w:w="2290" w:type="dxa"/>
            <w:vMerge w:val="restart"/>
            <w:shd w:val="clear" w:color="auto" w:fill="auto"/>
            <w:noWrap/>
            <w:vAlign w:val="bottom"/>
            <w:hideMark/>
          </w:tcPr>
          <w:p w14:paraId="5E0BA258" w14:textId="77777777" w:rsidR="002A4104" w:rsidRPr="005B745D" w:rsidRDefault="002A4104" w:rsidP="00CA1387">
            <w:pPr>
              <w:spacing w:after="0" w:line="240" w:lineRule="auto"/>
              <w:rPr>
                <w:rFonts w:ascii="Calibri" w:eastAsia="Times New Roman" w:hAnsi="Calibri" w:cs="Calibri"/>
                <w:b/>
                <w:bCs/>
                <w:color w:val="000000"/>
                <w:lang w:eastAsia="en-AU"/>
              </w:rPr>
            </w:pPr>
            <w:r w:rsidRPr="005B745D">
              <w:rPr>
                <w:rFonts w:ascii="Calibri" w:eastAsia="Times New Roman" w:hAnsi="Calibri" w:cs="Calibri"/>
                <w:b/>
                <w:bCs/>
                <w:color w:val="000000"/>
                <w:lang w:eastAsia="en-AU"/>
              </w:rPr>
              <w:t>Not in Education or Training</w:t>
            </w:r>
          </w:p>
          <w:p w14:paraId="7F5FEC1F" w14:textId="77777777" w:rsidR="002A4104" w:rsidRPr="005B745D" w:rsidRDefault="002A4104" w:rsidP="00CA1387">
            <w:pPr>
              <w:spacing w:after="0" w:line="240" w:lineRule="auto"/>
              <w:rPr>
                <w:rFonts w:ascii="Calibri" w:eastAsia="Times New Roman" w:hAnsi="Calibri" w:cs="Calibri"/>
                <w:b/>
                <w:bCs/>
                <w:color w:val="000000"/>
                <w:lang w:eastAsia="en-AU"/>
              </w:rPr>
            </w:pPr>
            <w:r w:rsidRPr="005B745D">
              <w:rPr>
                <w:rFonts w:ascii="Calibri" w:eastAsia="Times New Roman" w:hAnsi="Calibri" w:cs="Calibri"/>
                <w:b/>
                <w:bCs/>
                <w:color w:val="000000"/>
                <w:lang w:eastAsia="en-AU"/>
              </w:rPr>
              <w:t> </w:t>
            </w:r>
          </w:p>
          <w:p w14:paraId="1DF25F85" w14:textId="77777777" w:rsidR="002A4104" w:rsidRPr="005B745D" w:rsidRDefault="002A4104" w:rsidP="00CA1387">
            <w:pPr>
              <w:spacing w:after="0" w:line="240" w:lineRule="auto"/>
              <w:rPr>
                <w:rFonts w:ascii="Calibri" w:eastAsia="Times New Roman" w:hAnsi="Calibri" w:cs="Calibri"/>
                <w:b/>
                <w:bCs/>
                <w:color w:val="000000"/>
                <w:lang w:eastAsia="en-AU"/>
              </w:rPr>
            </w:pPr>
            <w:r w:rsidRPr="005B745D">
              <w:rPr>
                <w:rFonts w:ascii="Calibri" w:eastAsia="Times New Roman" w:hAnsi="Calibri" w:cs="Calibri"/>
                <w:b/>
                <w:bCs/>
                <w:color w:val="000000"/>
                <w:lang w:eastAsia="en-AU"/>
              </w:rPr>
              <w:t> </w:t>
            </w:r>
          </w:p>
        </w:tc>
        <w:tc>
          <w:tcPr>
            <w:tcW w:w="2660" w:type="dxa"/>
            <w:shd w:val="clear" w:color="auto" w:fill="auto"/>
            <w:noWrap/>
            <w:vAlign w:val="bottom"/>
            <w:hideMark/>
          </w:tcPr>
          <w:p w14:paraId="76472756" w14:textId="77777777" w:rsidR="002A4104" w:rsidRPr="005B745D" w:rsidRDefault="002A4104" w:rsidP="00CA1387">
            <w:pPr>
              <w:spacing w:after="0" w:line="240" w:lineRule="auto"/>
              <w:jc w:val="center"/>
              <w:rPr>
                <w:rFonts w:ascii="Calibri" w:eastAsia="Times New Roman" w:hAnsi="Calibri" w:cs="Calibri"/>
                <w:b/>
                <w:bCs/>
                <w:color w:val="000000"/>
                <w:lang w:eastAsia="en-AU"/>
              </w:rPr>
            </w:pPr>
            <w:r w:rsidRPr="005B745D">
              <w:rPr>
                <w:rFonts w:ascii="Calibri" w:eastAsia="Times New Roman" w:hAnsi="Calibri" w:cs="Calibri"/>
                <w:b/>
                <w:bCs/>
                <w:color w:val="000000"/>
                <w:lang w:eastAsia="en-AU"/>
              </w:rPr>
              <w:t>Employed</w:t>
            </w:r>
          </w:p>
        </w:tc>
        <w:tc>
          <w:tcPr>
            <w:tcW w:w="854" w:type="dxa"/>
            <w:shd w:val="clear" w:color="auto" w:fill="auto"/>
            <w:noWrap/>
            <w:vAlign w:val="bottom"/>
            <w:hideMark/>
          </w:tcPr>
          <w:p w14:paraId="22BD0D06" w14:textId="77777777" w:rsidR="002A4104" w:rsidRPr="005B745D" w:rsidRDefault="002A4104" w:rsidP="00CA1387">
            <w:pPr>
              <w:spacing w:after="0" w:line="240" w:lineRule="auto"/>
              <w:jc w:val="center"/>
              <w:rPr>
                <w:rFonts w:ascii="Calibri" w:eastAsia="Times New Roman" w:hAnsi="Calibri" w:cs="Calibri"/>
                <w:color w:val="000000"/>
                <w:lang w:eastAsia="en-AU"/>
              </w:rPr>
            </w:pPr>
            <w:r w:rsidRPr="005B745D">
              <w:rPr>
                <w:rFonts w:ascii="Calibri" w:eastAsia="Times New Roman" w:hAnsi="Calibri" w:cs="Calibri"/>
                <w:color w:val="000000"/>
                <w:lang w:eastAsia="en-AU"/>
              </w:rPr>
              <w:t>19.5%</w:t>
            </w:r>
          </w:p>
        </w:tc>
        <w:tc>
          <w:tcPr>
            <w:tcW w:w="854" w:type="dxa"/>
            <w:shd w:val="clear" w:color="auto" w:fill="auto"/>
            <w:noWrap/>
            <w:vAlign w:val="bottom"/>
            <w:hideMark/>
          </w:tcPr>
          <w:p w14:paraId="49A95F8B" w14:textId="77777777" w:rsidR="002A4104" w:rsidRPr="005B745D" w:rsidRDefault="002A4104" w:rsidP="00CA1387">
            <w:pPr>
              <w:spacing w:after="0" w:line="240" w:lineRule="auto"/>
              <w:jc w:val="center"/>
              <w:rPr>
                <w:rFonts w:ascii="Calibri" w:eastAsia="Times New Roman" w:hAnsi="Calibri" w:cs="Calibri"/>
                <w:color w:val="000000"/>
                <w:lang w:eastAsia="en-AU"/>
              </w:rPr>
            </w:pPr>
            <w:r w:rsidRPr="005B745D">
              <w:rPr>
                <w:rFonts w:ascii="Calibri" w:eastAsia="Times New Roman" w:hAnsi="Calibri" w:cs="Calibri"/>
                <w:color w:val="000000"/>
                <w:lang w:eastAsia="en-AU"/>
              </w:rPr>
              <w:t>19.8%</w:t>
            </w:r>
          </w:p>
        </w:tc>
        <w:tc>
          <w:tcPr>
            <w:tcW w:w="854" w:type="dxa"/>
            <w:shd w:val="clear" w:color="auto" w:fill="auto"/>
            <w:noWrap/>
            <w:vAlign w:val="bottom"/>
            <w:hideMark/>
          </w:tcPr>
          <w:p w14:paraId="01C33277" w14:textId="77777777" w:rsidR="002A4104" w:rsidRPr="005B745D" w:rsidRDefault="002A4104" w:rsidP="00CA1387">
            <w:pPr>
              <w:spacing w:after="0" w:line="240" w:lineRule="auto"/>
              <w:jc w:val="center"/>
              <w:rPr>
                <w:rFonts w:ascii="Calibri" w:eastAsia="Times New Roman" w:hAnsi="Calibri" w:cs="Calibri"/>
                <w:color w:val="000000"/>
                <w:lang w:eastAsia="en-AU"/>
              </w:rPr>
            </w:pPr>
            <w:r w:rsidRPr="005B745D">
              <w:rPr>
                <w:rFonts w:ascii="Calibri" w:eastAsia="Times New Roman" w:hAnsi="Calibri" w:cs="Calibri"/>
                <w:color w:val="000000"/>
                <w:lang w:eastAsia="en-AU"/>
              </w:rPr>
              <w:t>19.7%</w:t>
            </w:r>
          </w:p>
        </w:tc>
        <w:tc>
          <w:tcPr>
            <w:tcW w:w="854" w:type="dxa"/>
            <w:shd w:val="clear" w:color="auto" w:fill="auto"/>
            <w:noWrap/>
            <w:vAlign w:val="bottom"/>
            <w:hideMark/>
          </w:tcPr>
          <w:p w14:paraId="38739FFA" w14:textId="77777777" w:rsidR="002A4104" w:rsidRPr="005B745D" w:rsidRDefault="002A4104" w:rsidP="00CA1387">
            <w:pPr>
              <w:spacing w:after="0" w:line="240" w:lineRule="auto"/>
              <w:jc w:val="center"/>
              <w:rPr>
                <w:rFonts w:ascii="Calibri" w:eastAsia="Times New Roman" w:hAnsi="Calibri" w:cs="Calibri"/>
                <w:color w:val="000000"/>
                <w:lang w:eastAsia="en-AU"/>
              </w:rPr>
            </w:pPr>
            <w:r w:rsidRPr="005B745D">
              <w:rPr>
                <w:rFonts w:ascii="Calibri" w:eastAsia="Times New Roman" w:hAnsi="Calibri" w:cs="Calibri"/>
                <w:color w:val="000000"/>
                <w:lang w:eastAsia="en-AU"/>
              </w:rPr>
              <w:t>17.6%</w:t>
            </w:r>
          </w:p>
        </w:tc>
        <w:tc>
          <w:tcPr>
            <w:tcW w:w="843" w:type="dxa"/>
            <w:vAlign w:val="bottom"/>
          </w:tcPr>
          <w:p w14:paraId="46CCFBC2" w14:textId="77777777" w:rsidR="002A4104" w:rsidRPr="005B745D" w:rsidRDefault="002A4104" w:rsidP="00CA1387">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18%</w:t>
            </w:r>
          </w:p>
        </w:tc>
      </w:tr>
      <w:tr w:rsidR="002A4104" w:rsidRPr="005B745D" w14:paraId="44740E79" w14:textId="77777777" w:rsidTr="00CA1387">
        <w:trPr>
          <w:trHeight w:val="300"/>
          <w:jc w:val="center"/>
        </w:trPr>
        <w:tc>
          <w:tcPr>
            <w:tcW w:w="2290" w:type="dxa"/>
            <w:vMerge/>
            <w:shd w:val="clear" w:color="auto" w:fill="auto"/>
            <w:noWrap/>
            <w:vAlign w:val="bottom"/>
            <w:hideMark/>
          </w:tcPr>
          <w:p w14:paraId="662846BD" w14:textId="77777777" w:rsidR="002A4104" w:rsidRPr="005B745D" w:rsidRDefault="002A4104" w:rsidP="00CA1387">
            <w:pPr>
              <w:spacing w:after="0" w:line="240" w:lineRule="auto"/>
              <w:rPr>
                <w:rFonts w:ascii="Calibri" w:eastAsia="Times New Roman" w:hAnsi="Calibri" w:cs="Calibri"/>
                <w:b/>
                <w:bCs/>
                <w:color w:val="000000"/>
                <w:lang w:eastAsia="en-AU"/>
              </w:rPr>
            </w:pPr>
          </w:p>
        </w:tc>
        <w:tc>
          <w:tcPr>
            <w:tcW w:w="2660" w:type="dxa"/>
            <w:shd w:val="clear" w:color="auto" w:fill="auto"/>
            <w:noWrap/>
            <w:vAlign w:val="bottom"/>
            <w:hideMark/>
          </w:tcPr>
          <w:p w14:paraId="322EB1A7" w14:textId="77777777" w:rsidR="002A4104" w:rsidRPr="005B745D" w:rsidRDefault="002A4104" w:rsidP="00CA1387">
            <w:pPr>
              <w:spacing w:after="0" w:line="240" w:lineRule="auto"/>
              <w:jc w:val="center"/>
              <w:rPr>
                <w:rFonts w:ascii="Calibri" w:eastAsia="Times New Roman" w:hAnsi="Calibri" w:cs="Calibri"/>
                <w:b/>
                <w:bCs/>
                <w:color w:val="000000"/>
                <w:lang w:eastAsia="en-AU"/>
              </w:rPr>
            </w:pPr>
            <w:r w:rsidRPr="005B745D">
              <w:rPr>
                <w:rFonts w:ascii="Calibri" w:eastAsia="Times New Roman" w:hAnsi="Calibri" w:cs="Calibri"/>
                <w:b/>
                <w:bCs/>
                <w:color w:val="000000"/>
                <w:lang w:eastAsia="en-AU"/>
              </w:rPr>
              <w:t>Looking for work</w:t>
            </w:r>
          </w:p>
        </w:tc>
        <w:tc>
          <w:tcPr>
            <w:tcW w:w="854" w:type="dxa"/>
            <w:shd w:val="clear" w:color="auto" w:fill="auto"/>
            <w:noWrap/>
            <w:vAlign w:val="bottom"/>
            <w:hideMark/>
          </w:tcPr>
          <w:p w14:paraId="44622A36" w14:textId="77777777" w:rsidR="002A4104" w:rsidRPr="005B745D" w:rsidRDefault="002A4104" w:rsidP="00CA1387">
            <w:pPr>
              <w:spacing w:after="0" w:line="240" w:lineRule="auto"/>
              <w:jc w:val="center"/>
              <w:rPr>
                <w:rFonts w:ascii="Calibri" w:eastAsia="Times New Roman" w:hAnsi="Calibri" w:cs="Calibri"/>
                <w:color w:val="000000"/>
                <w:lang w:eastAsia="en-AU"/>
              </w:rPr>
            </w:pPr>
            <w:r w:rsidRPr="005B745D">
              <w:rPr>
                <w:rFonts w:ascii="Calibri" w:eastAsia="Times New Roman" w:hAnsi="Calibri" w:cs="Calibri"/>
                <w:color w:val="000000"/>
                <w:lang w:eastAsia="en-AU"/>
              </w:rPr>
              <w:t>4.6%</w:t>
            </w:r>
          </w:p>
        </w:tc>
        <w:tc>
          <w:tcPr>
            <w:tcW w:w="854" w:type="dxa"/>
            <w:shd w:val="clear" w:color="auto" w:fill="auto"/>
            <w:noWrap/>
            <w:vAlign w:val="bottom"/>
            <w:hideMark/>
          </w:tcPr>
          <w:p w14:paraId="04FA2B98" w14:textId="77777777" w:rsidR="002A4104" w:rsidRPr="005B745D" w:rsidRDefault="002A4104" w:rsidP="00CA1387">
            <w:pPr>
              <w:spacing w:after="0" w:line="240" w:lineRule="auto"/>
              <w:jc w:val="center"/>
              <w:rPr>
                <w:rFonts w:ascii="Calibri" w:eastAsia="Times New Roman" w:hAnsi="Calibri" w:cs="Calibri"/>
                <w:color w:val="000000"/>
                <w:lang w:eastAsia="en-AU"/>
              </w:rPr>
            </w:pPr>
            <w:r w:rsidRPr="005B745D">
              <w:rPr>
                <w:rFonts w:ascii="Calibri" w:eastAsia="Times New Roman" w:hAnsi="Calibri" w:cs="Calibri"/>
                <w:color w:val="000000"/>
                <w:lang w:eastAsia="en-AU"/>
              </w:rPr>
              <w:t>4.3%</w:t>
            </w:r>
          </w:p>
        </w:tc>
        <w:tc>
          <w:tcPr>
            <w:tcW w:w="854" w:type="dxa"/>
            <w:shd w:val="clear" w:color="auto" w:fill="auto"/>
            <w:noWrap/>
            <w:vAlign w:val="bottom"/>
            <w:hideMark/>
          </w:tcPr>
          <w:p w14:paraId="0C670EC2" w14:textId="77777777" w:rsidR="002A4104" w:rsidRPr="005B745D" w:rsidRDefault="002A4104" w:rsidP="00CA1387">
            <w:pPr>
              <w:spacing w:after="0" w:line="240" w:lineRule="auto"/>
              <w:jc w:val="center"/>
              <w:rPr>
                <w:rFonts w:ascii="Calibri" w:eastAsia="Times New Roman" w:hAnsi="Calibri" w:cs="Calibri"/>
                <w:color w:val="000000"/>
                <w:lang w:eastAsia="en-AU"/>
              </w:rPr>
            </w:pPr>
            <w:r w:rsidRPr="005B745D">
              <w:rPr>
                <w:rFonts w:ascii="Calibri" w:eastAsia="Times New Roman" w:hAnsi="Calibri" w:cs="Calibri"/>
                <w:color w:val="000000"/>
                <w:lang w:eastAsia="en-AU"/>
              </w:rPr>
              <w:t>4.4%</w:t>
            </w:r>
          </w:p>
        </w:tc>
        <w:tc>
          <w:tcPr>
            <w:tcW w:w="854" w:type="dxa"/>
            <w:shd w:val="clear" w:color="auto" w:fill="auto"/>
            <w:noWrap/>
            <w:vAlign w:val="bottom"/>
            <w:hideMark/>
          </w:tcPr>
          <w:p w14:paraId="68ADE637" w14:textId="77777777" w:rsidR="002A4104" w:rsidRPr="005B745D" w:rsidRDefault="002A4104" w:rsidP="00CA1387">
            <w:pPr>
              <w:spacing w:after="0" w:line="240" w:lineRule="auto"/>
              <w:jc w:val="center"/>
              <w:rPr>
                <w:rFonts w:ascii="Calibri" w:eastAsia="Times New Roman" w:hAnsi="Calibri" w:cs="Calibri"/>
                <w:color w:val="000000"/>
                <w:lang w:eastAsia="en-AU"/>
              </w:rPr>
            </w:pPr>
            <w:r w:rsidRPr="005B745D">
              <w:rPr>
                <w:rFonts w:ascii="Calibri" w:eastAsia="Times New Roman" w:hAnsi="Calibri" w:cs="Calibri"/>
                <w:color w:val="000000"/>
                <w:lang w:eastAsia="en-AU"/>
              </w:rPr>
              <w:t>6.4%</w:t>
            </w:r>
          </w:p>
        </w:tc>
        <w:tc>
          <w:tcPr>
            <w:tcW w:w="843" w:type="dxa"/>
            <w:vAlign w:val="bottom"/>
          </w:tcPr>
          <w:p w14:paraId="7265BF98" w14:textId="77777777" w:rsidR="002A4104" w:rsidRPr="005B745D" w:rsidRDefault="002A4104" w:rsidP="00CA1387">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3.9%</w:t>
            </w:r>
          </w:p>
        </w:tc>
      </w:tr>
      <w:tr w:rsidR="002A4104" w:rsidRPr="005B745D" w14:paraId="2E46ED68" w14:textId="77777777" w:rsidTr="00CA1387">
        <w:trPr>
          <w:trHeight w:val="300"/>
          <w:jc w:val="center"/>
        </w:trPr>
        <w:tc>
          <w:tcPr>
            <w:tcW w:w="2290" w:type="dxa"/>
            <w:vMerge/>
            <w:shd w:val="clear" w:color="auto" w:fill="auto"/>
            <w:noWrap/>
            <w:vAlign w:val="bottom"/>
            <w:hideMark/>
          </w:tcPr>
          <w:p w14:paraId="335C134C" w14:textId="77777777" w:rsidR="002A4104" w:rsidRPr="005B745D" w:rsidRDefault="002A4104" w:rsidP="00CA1387">
            <w:pPr>
              <w:spacing w:after="0" w:line="240" w:lineRule="auto"/>
              <w:rPr>
                <w:rFonts w:ascii="Calibri" w:eastAsia="Times New Roman" w:hAnsi="Calibri" w:cs="Calibri"/>
                <w:b/>
                <w:bCs/>
                <w:color w:val="000000"/>
                <w:lang w:eastAsia="en-AU"/>
              </w:rPr>
            </w:pPr>
          </w:p>
        </w:tc>
        <w:tc>
          <w:tcPr>
            <w:tcW w:w="2660" w:type="dxa"/>
            <w:shd w:val="clear" w:color="auto" w:fill="auto"/>
            <w:noWrap/>
            <w:vAlign w:val="bottom"/>
            <w:hideMark/>
          </w:tcPr>
          <w:p w14:paraId="6E5D0E31" w14:textId="77777777" w:rsidR="002A4104" w:rsidRPr="005B745D" w:rsidRDefault="002A4104" w:rsidP="00CA1387">
            <w:pPr>
              <w:spacing w:after="0" w:line="240" w:lineRule="auto"/>
              <w:jc w:val="center"/>
              <w:rPr>
                <w:rFonts w:ascii="Calibri" w:eastAsia="Times New Roman" w:hAnsi="Calibri" w:cs="Calibri"/>
                <w:b/>
                <w:bCs/>
                <w:color w:val="000000"/>
                <w:lang w:eastAsia="en-AU"/>
              </w:rPr>
            </w:pPr>
            <w:r w:rsidRPr="005B745D">
              <w:rPr>
                <w:rFonts w:ascii="Calibri" w:eastAsia="Times New Roman" w:hAnsi="Calibri" w:cs="Calibri"/>
                <w:b/>
                <w:bCs/>
                <w:color w:val="000000"/>
                <w:lang w:eastAsia="en-AU"/>
              </w:rPr>
              <w:t>NILFET</w:t>
            </w:r>
          </w:p>
        </w:tc>
        <w:tc>
          <w:tcPr>
            <w:tcW w:w="854" w:type="dxa"/>
            <w:shd w:val="clear" w:color="auto" w:fill="auto"/>
            <w:noWrap/>
            <w:vAlign w:val="bottom"/>
            <w:hideMark/>
          </w:tcPr>
          <w:p w14:paraId="02F667DD" w14:textId="77777777" w:rsidR="002A4104" w:rsidRPr="005B745D" w:rsidRDefault="002A4104" w:rsidP="00CA1387">
            <w:pPr>
              <w:spacing w:after="0" w:line="240" w:lineRule="auto"/>
              <w:jc w:val="center"/>
              <w:rPr>
                <w:rFonts w:ascii="Calibri" w:eastAsia="Times New Roman" w:hAnsi="Calibri" w:cs="Calibri"/>
                <w:color w:val="000000"/>
                <w:lang w:eastAsia="en-AU"/>
              </w:rPr>
            </w:pPr>
            <w:r w:rsidRPr="005B745D">
              <w:rPr>
                <w:rFonts w:ascii="Calibri" w:eastAsia="Times New Roman" w:hAnsi="Calibri" w:cs="Calibri"/>
                <w:color w:val="000000"/>
                <w:lang w:eastAsia="en-AU"/>
              </w:rPr>
              <w:t>1.0%</w:t>
            </w:r>
          </w:p>
        </w:tc>
        <w:tc>
          <w:tcPr>
            <w:tcW w:w="854" w:type="dxa"/>
            <w:shd w:val="clear" w:color="auto" w:fill="auto"/>
            <w:noWrap/>
            <w:vAlign w:val="bottom"/>
            <w:hideMark/>
          </w:tcPr>
          <w:p w14:paraId="41FB38B7" w14:textId="77777777" w:rsidR="002A4104" w:rsidRPr="005B745D" w:rsidRDefault="002A4104" w:rsidP="00CA1387">
            <w:pPr>
              <w:spacing w:after="0" w:line="240" w:lineRule="auto"/>
              <w:jc w:val="center"/>
              <w:rPr>
                <w:rFonts w:ascii="Calibri" w:eastAsia="Times New Roman" w:hAnsi="Calibri" w:cs="Calibri"/>
                <w:color w:val="000000"/>
                <w:lang w:eastAsia="en-AU"/>
              </w:rPr>
            </w:pPr>
            <w:r w:rsidRPr="005B745D">
              <w:rPr>
                <w:rFonts w:ascii="Calibri" w:eastAsia="Times New Roman" w:hAnsi="Calibri" w:cs="Calibri"/>
                <w:color w:val="000000"/>
                <w:lang w:eastAsia="en-AU"/>
              </w:rPr>
              <w:t>0.8%</w:t>
            </w:r>
          </w:p>
        </w:tc>
        <w:tc>
          <w:tcPr>
            <w:tcW w:w="854" w:type="dxa"/>
            <w:shd w:val="clear" w:color="auto" w:fill="auto"/>
            <w:noWrap/>
            <w:vAlign w:val="bottom"/>
            <w:hideMark/>
          </w:tcPr>
          <w:p w14:paraId="5DBB9D7F" w14:textId="77777777" w:rsidR="002A4104" w:rsidRPr="005B745D" w:rsidRDefault="002A4104" w:rsidP="00CA1387">
            <w:pPr>
              <w:spacing w:after="0" w:line="240" w:lineRule="auto"/>
              <w:jc w:val="center"/>
              <w:rPr>
                <w:rFonts w:ascii="Calibri" w:eastAsia="Times New Roman" w:hAnsi="Calibri" w:cs="Calibri"/>
                <w:color w:val="000000"/>
                <w:lang w:eastAsia="en-AU"/>
              </w:rPr>
            </w:pPr>
            <w:r w:rsidRPr="005B745D">
              <w:rPr>
                <w:rFonts w:ascii="Calibri" w:eastAsia="Times New Roman" w:hAnsi="Calibri" w:cs="Calibri"/>
                <w:color w:val="000000"/>
                <w:lang w:eastAsia="en-AU"/>
              </w:rPr>
              <w:t>0.8%</w:t>
            </w:r>
          </w:p>
        </w:tc>
        <w:tc>
          <w:tcPr>
            <w:tcW w:w="854" w:type="dxa"/>
            <w:shd w:val="clear" w:color="auto" w:fill="auto"/>
            <w:noWrap/>
            <w:vAlign w:val="bottom"/>
            <w:hideMark/>
          </w:tcPr>
          <w:p w14:paraId="0195F9E4" w14:textId="77777777" w:rsidR="002A4104" w:rsidRPr="005B745D" w:rsidRDefault="002A4104" w:rsidP="00CA1387">
            <w:pPr>
              <w:spacing w:after="0" w:line="240" w:lineRule="auto"/>
              <w:jc w:val="center"/>
              <w:rPr>
                <w:rFonts w:ascii="Calibri" w:eastAsia="Times New Roman" w:hAnsi="Calibri" w:cs="Calibri"/>
                <w:color w:val="000000"/>
                <w:lang w:eastAsia="en-AU"/>
              </w:rPr>
            </w:pPr>
            <w:r w:rsidRPr="005B745D">
              <w:rPr>
                <w:rFonts w:ascii="Calibri" w:eastAsia="Times New Roman" w:hAnsi="Calibri" w:cs="Calibri"/>
                <w:color w:val="000000"/>
                <w:lang w:eastAsia="en-AU"/>
              </w:rPr>
              <w:t>1.5%</w:t>
            </w:r>
          </w:p>
        </w:tc>
        <w:tc>
          <w:tcPr>
            <w:tcW w:w="843" w:type="dxa"/>
            <w:vAlign w:val="bottom"/>
          </w:tcPr>
          <w:p w14:paraId="71A050C1" w14:textId="77777777" w:rsidR="002A4104" w:rsidRPr="005B745D" w:rsidRDefault="002A4104" w:rsidP="00CA1387">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0.9%</w:t>
            </w:r>
          </w:p>
        </w:tc>
      </w:tr>
    </w:tbl>
    <w:p w14:paraId="720E865F" w14:textId="77777777" w:rsidR="002A4104" w:rsidRDefault="002A4104" w:rsidP="002A4104">
      <w:pPr>
        <w:rPr>
          <w:b/>
          <w:bCs/>
          <w:lang w:val="en-US"/>
        </w:rPr>
      </w:pPr>
    </w:p>
    <w:p w14:paraId="3245D151" w14:textId="77777777" w:rsidR="002A4104" w:rsidRPr="006C4FB3" w:rsidRDefault="002A4104" w:rsidP="002A4104">
      <w:pPr>
        <w:pStyle w:val="Heading1"/>
      </w:pPr>
      <w:r w:rsidRPr="006C4FB3">
        <w:t xml:space="preserve">The largest proportion of </w:t>
      </w:r>
      <w:r>
        <w:t>respondents</w:t>
      </w:r>
      <w:r w:rsidRPr="006C4FB3">
        <w:t xml:space="preserve"> not completing Year 12 undertake an apprenticeship or traineeship </w:t>
      </w:r>
    </w:p>
    <w:p w14:paraId="3B7BCBFF" w14:textId="77777777" w:rsidR="002A4104" w:rsidRPr="006C4FB3" w:rsidRDefault="002A4104" w:rsidP="002A4104">
      <w:pPr>
        <w:spacing w:after="120" w:line="240" w:lineRule="auto"/>
        <w:rPr>
          <w:rFonts w:cstheme="minorHAnsi"/>
        </w:rPr>
      </w:pPr>
      <w:r w:rsidRPr="006C4FB3">
        <w:rPr>
          <w:rFonts w:cstheme="minorHAnsi"/>
        </w:rPr>
        <w:t>One-third of Year 12 non-completers undertake an apprenticeship or traineeship in the year after they leave school. This proportion has steadily increased since 2017 (3</w:t>
      </w:r>
      <w:r>
        <w:rPr>
          <w:rFonts w:cstheme="minorHAnsi"/>
        </w:rPr>
        <w:t>5.9</w:t>
      </w:r>
      <w:r w:rsidRPr="006C4FB3">
        <w:rPr>
          <w:rFonts w:cstheme="minorHAnsi"/>
        </w:rPr>
        <w:t xml:space="preserve"> per cent in 20</w:t>
      </w:r>
      <w:r>
        <w:rPr>
          <w:rFonts w:cstheme="minorHAnsi"/>
        </w:rPr>
        <w:t>21</w:t>
      </w:r>
      <w:r w:rsidRPr="006C4FB3">
        <w:rPr>
          <w:rFonts w:cstheme="minorHAnsi"/>
        </w:rPr>
        <w:t xml:space="preserve"> compared to </w:t>
      </w:r>
      <w:r>
        <w:rPr>
          <w:rFonts w:cstheme="minorHAnsi"/>
        </w:rPr>
        <w:t>31.7</w:t>
      </w:r>
      <w:r w:rsidRPr="006C4FB3">
        <w:rPr>
          <w:rFonts w:cstheme="minorHAnsi"/>
        </w:rPr>
        <w:t xml:space="preserve"> per cent in 201</w:t>
      </w:r>
      <w:r>
        <w:rPr>
          <w:rFonts w:cstheme="minorHAnsi"/>
        </w:rPr>
        <w:t>7</w:t>
      </w:r>
      <w:r w:rsidRPr="006C4FB3">
        <w:rPr>
          <w:rFonts w:cstheme="minorHAnsi"/>
        </w:rPr>
        <w:t xml:space="preserve">), driven by growth in the uptake of apprenticeships. </w:t>
      </w:r>
    </w:p>
    <w:p w14:paraId="3A917EFF" w14:textId="5399C0BF" w:rsidR="00AE2868" w:rsidRDefault="00AE2868" w:rsidP="002A4104">
      <w:pPr>
        <w:rPr>
          <w:b/>
          <w:bCs/>
          <w:lang w:val="en-US"/>
        </w:rPr>
      </w:pPr>
    </w:p>
    <w:p w14:paraId="4C843E52" w14:textId="77777777" w:rsidR="00FE1753" w:rsidRDefault="00FE1753" w:rsidP="002A4104">
      <w:pPr>
        <w:rPr>
          <w:b/>
          <w:bCs/>
          <w:lang w:val="en-US"/>
        </w:rPr>
      </w:pPr>
    </w:p>
    <w:p w14:paraId="174DB8A0" w14:textId="23D196C3" w:rsidR="002A4104" w:rsidRDefault="002A4104" w:rsidP="002A4104">
      <w:pPr>
        <w:rPr>
          <w:b/>
          <w:bCs/>
          <w:lang w:val="en-US"/>
        </w:rPr>
      </w:pPr>
      <w:r w:rsidRPr="006C4FB3">
        <w:rPr>
          <w:b/>
          <w:bCs/>
          <w:lang w:val="en-US"/>
        </w:rPr>
        <w:lastRenderedPageBreak/>
        <w:t>Destination patterns, Year 12 non-completers, 2017-2021</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733"/>
        <w:gridCol w:w="867"/>
        <w:gridCol w:w="867"/>
        <w:gridCol w:w="867"/>
        <w:gridCol w:w="867"/>
        <w:gridCol w:w="875"/>
      </w:tblGrid>
      <w:tr w:rsidR="002A4104" w:rsidRPr="0029631C" w14:paraId="1DC567D1" w14:textId="77777777" w:rsidTr="00CA1387">
        <w:trPr>
          <w:trHeight w:val="300"/>
        </w:trPr>
        <w:tc>
          <w:tcPr>
            <w:tcW w:w="4910" w:type="dxa"/>
            <w:gridSpan w:val="2"/>
            <w:shd w:val="clear" w:color="auto" w:fill="auto"/>
            <w:noWrap/>
            <w:vAlign w:val="bottom"/>
            <w:hideMark/>
          </w:tcPr>
          <w:p w14:paraId="1BB09470" w14:textId="77777777" w:rsidR="002A4104" w:rsidRPr="0029631C" w:rsidRDefault="002A4104" w:rsidP="00CA1387">
            <w:pPr>
              <w:spacing w:after="0" w:line="240" w:lineRule="auto"/>
              <w:rPr>
                <w:rFonts w:ascii="Calibri" w:eastAsia="Times New Roman" w:hAnsi="Calibri" w:cs="Calibri"/>
                <w:b/>
                <w:bCs/>
                <w:color w:val="000000"/>
                <w:lang w:eastAsia="en-AU"/>
              </w:rPr>
            </w:pPr>
            <w:r w:rsidRPr="0029631C">
              <w:rPr>
                <w:rFonts w:ascii="Calibri" w:eastAsia="Times New Roman" w:hAnsi="Calibri" w:cs="Calibri"/>
                <w:b/>
                <w:bCs/>
                <w:color w:val="000000"/>
                <w:lang w:eastAsia="en-AU"/>
              </w:rPr>
              <w:t> </w:t>
            </w:r>
          </w:p>
          <w:p w14:paraId="603B5D02" w14:textId="77777777" w:rsidR="002A4104" w:rsidRPr="0029631C" w:rsidRDefault="002A4104" w:rsidP="00CA1387">
            <w:pPr>
              <w:spacing w:after="0" w:line="240" w:lineRule="auto"/>
              <w:rPr>
                <w:rFonts w:ascii="Calibri" w:eastAsia="Times New Roman" w:hAnsi="Calibri" w:cs="Calibri"/>
                <w:b/>
                <w:bCs/>
                <w:color w:val="000000"/>
                <w:lang w:eastAsia="en-AU"/>
              </w:rPr>
            </w:pPr>
            <w:r w:rsidRPr="0029631C">
              <w:rPr>
                <w:rFonts w:ascii="Calibri" w:eastAsia="Times New Roman" w:hAnsi="Calibri" w:cs="Calibri"/>
                <w:b/>
                <w:bCs/>
                <w:color w:val="000000"/>
                <w:lang w:eastAsia="en-AU"/>
              </w:rPr>
              <w:t> </w:t>
            </w:r>
          </w:p>
        </w:tc>
        <w:tc>
          <w:tcPr>
            <w:tcW w:w="867" w:type="dxa"/>
            <w:shd w:val="clear" w:color="auto" w:fill="auto"/>
            <w:noWrap/>
            <w:vAlign w:val="bottom"/>
            <w:hideMark/>
          </w:tcPr>
          <w:p w14:paraId="606C0B23" w14:textId="77777777" w:rsidR="002A4104" w:rsidRPr="0029631C" w:rsidRDefault="002A4104" w:rsidP="00CA1387">
            <w:pPr>
              <w:spacing w:after="0" w:line="240" w:lineRule="auto"/>
              <w:jc w:val="center"/>
              <w:rPr>
                <w:rFonts w:ascii="Calibri" w:eastAsia="Times New Roman" w:hAnsi="Calibri" w:cs="Calibri"/>
                <w:b/>
                <w:bCs/>
                <w:color w:val="000000"/>
                <w:lang w:eastAsia="en-AU"/>
              </w:rPr>
            </w:pPr>
            <w:r w:rsidRPr="0029631C">
              <w:rPr>
                <w:rFonts w:ascii="Calibri" w:eastAsia="Times New Roman" w:hAnsi="Calibri" w:cs="Calibri"/>
                <w:b/>
                <w:bCs/>
                <w:color w:val="000000"/>
                <w:lang w:eastAsia="en-AU"/>
              </w:rPr>
              <w:t>2017</w:t>
            </w:r>
          </w:p>
        </w:tc>
        <w:tc>
          <w:tcPr>
            <w:tcW w:w="867" w:type="dxa"/>
            <w:shd w:val="clear" w:color="auto" w:fill="auto"/>
            <w:noWrap/>
            <w:vAlign w:val="bottom"/>
            <w:hideMark/>
          </w:tcPr>
          <w:p w14:paraId="2BF42FC2" w14:textId="77777777" w:rsidR="002A4104" w:rsidRPr="0029631C" w:rsidRDefault="002A4104" w:rsidP="00CA1387">
            <w:pPr>
              <w:spacing w:after="0" w:line="240" w:lineRule="auto"/>
              <w:jc w:val="center"/>
              <w:rPr>
                <w:rFonts w:ascii="Calibri" w:eastAsia="Times New Roman" w:hAnsi="Calibri" w:cs="Calibri"/>
                <w:b/>
                <w:bCs/>
                <w:color w:val="000000"/>
                <w:lang w:eastAsia="en-AU"/>
              </w:rPr>
            </w:pPr>
            <w:r w:rsidRPr="0029631C">
              <w:rPr>
                <w:rFonts w:ascii="Calibri" w:eastAsia="Times New Roman" w:hAnsi="Calibri" w:cs="Calibri"/>
                <w:b/>
                <w:bCs/>
                <w:color w:val="000000"/>
                <w:lang w:eastAsia="en-AU"/>
              </w:rPr>
              <w:t>2018</w:t>
            </w:r>
          </w:p>
        </w:tc>
        <w:tc>
          <w:tcPr>
            <w:tcW w:w="867" w:type="dxa"/>
            <w:shd w:val="clear" w:color="auto" w:fill="auto"/>
            <w:noWrap/>
            <w:vAlign w:val="bottom"/>
            <w:hideMark/>
          </w:tcPr>
          <w:p w14:paraId="51D8EA7C" w14:textId="77777777" w:rsidR="002A4104" w:rsidRPr="0029631C" w:rsidRDefault="002A4104" w:rsidP="00CA1387">
            <w:pPr>
              <w:spacing w:after="0" w:line="240" w:lineRule="auto"/>
              <w:jc w:val="center"/>
              <w:rPr>
                <w:rFonts w:ascii="Calibri" w:eastAsia="Times New Roman" w:hAnsi="Calibri" w:cs="Calibri"/>
                <w:b/>
                <w:bCs/>
                <w:color w:val="000000"/>
                <w:lang w:eastAsia="en-AU"/>
              </w:rPr>
            </w:pPr>
            <w:r w:rsidRPr="0029631C">
              <w:rPr>
                <w:rFonts w:ascii="Calibri" w:eastAsia="Times New Roman" w:hAnsi="Calibri" w:cs="Calibri"/>
                <w:b/>
                <w:bCs/>
                <w:color w:val="000000"/>
                <w:lang w:eastAsia="en-AU"/>
              </w:rPr>
              <w:t>2019</w:t>
            </w:r>
          </w:p>
        </w:tc>
        <w:tc>
          <w:tcPr>
            <w:tcW w:w="867" w:type="dxa"/>
            <w:shd w:val="clear" w:color="auto" w:fill="auto"/>
            <w:noWrap/>
            <w:vAlign w:val="bottom"/>
            <w:hideMark/>
          </w:tcPr>
          <w:p w14:paraId="09A87C0E" w14:textId="77777777" w:rsidR="002A4104" w:rsidRPr="0029631C" w:rsidRDefault="002A4104" w:rsidP="00CA1387">
            <w:pPr>
              <w:spacing w:after="0" w:line="240" w:lineRule="auto"/>
              <w:jc w:val="center"/>
              <w:rPr>
                <w:rFonts w:ascii="Calibri" w:eastAsia="Times New Roman" w:hAnsi="Calibri" w:cs="Calibri"/>
                <w:b/>
                <w:bCs/>
                <w:color w:val="000000"/>
                <w:lang w:eastAsia="en-AU"/>
              </w:rPr>
            </w:pPr>
            <w:r w:rsidRPr="0029631C">
              <w:rPr>
                <w:rFonts w:ascii="Calibri" w:eastAsia="Times New Roman" w:hAnsi="Calibri" w:cs="Calibri"/>
                <w:b/>
                <w:bCs/>
                <w:color w:val="000000"/>
                <w:lang w:eastAsia="en-AU"/>
              </w:rPr>
              <w:t>2020</w:t>
            </w:r>
          </w:p>
        </w:tc>
        <w:tc>
          <w:tcPr>
            <w:tcW w:w="831" w:type="dxa"/>
            <w:shd w:val="clear" w:color="auto" w:fill="auto"/>
            <w:vAlign w:val="bottom"/>
          </w:tcPr>
          <w:p w14:paraId="1FABD2DF" w14:textId="77777777" w:rsidR="002A4104" w:rsidRPr="00776097" w:rsidRDefault="002A4104" w:rsidP="00CA1387">
            <w:pPr>
              <w:spacing w:after="0" w:line="240" w:lineRule="auto"/>
              <w:jc w:val="center"/>
              <w:rPr>
                <w:rFonts w:ascii="Calibri" w:eastAsia="Times New Roman" w:hAnsi="Calibri" w:cs="Calibri"/>
                <w:b/>
                <w:bCs/>
                <w:color w:val="000000"/>
                <w:lang w:eastAsia="en-AU"/>
              </w:rPr>
            </w:pPr>
            <w:r w:rsidRPr="00776097">
              <w:rPr>
                <w:rFonts w:ascii="Calibri" w:eastAsia="Times New Roman" w:hAnsi="Calibri" w:cs="Calibri"/>
                <w:b/>
                <w:bCs/>
                <w:color w:val="000000"/>
                <w:lang w:eastAsia="en-AU"/>
              </w:rPr>
              <w:t>2021</w:t>
            </w:r>
          </w:p>
        </w:tc>
      </w:tr>
      <w:tr w:rsidR="002A4104" w:rsidRPr="0029631C" w14:paraId="55711C60" w14:textId="77777777" w:rsidTr="00CA1387">
        <w:trPr>
          <w:trHeight w:val="300"/>
        </w:trPr>
        <w:tc>
          <w:tcPr>
            <w:tcW w:w="2316" w:type="dxa"/>
            <w:vMerge w:val="restart"/>
            <w:shd w:val="clear" w:color="auto" w:fill="auto"/>
            <w:noWrap/>
            <w:vAlign w:val="bottom"/>
            <w:hideMark/>
          </w:tcPr>
          <w:p w14:paraId="392C763F" w14:textId="77777777" w:rsidR="002A4104" w:rsidRPr="0029631C" w:rsidRDefault="002A4104" w:rsidP="00CA1387">
            <w:pPr>
              <w:spacing w:after="0" w:line="240" w:lineRule="auto"/>
              <w:rPr>
                <w:rFonts w:ascii="Calibri" w:eastAsia="Times New Roman" w:hAnsi="Calibri" w:cs="Calibri"/>
                <w:b/>
                <w:bCs/>
                <w:color w:val="000000"/>
                <w:lang w:eastAsia="en-AU"/>
              </w:rPr>
            </w:pPr>
            <w:r w:rsidRPr="0029631C">
              <w:rPr>
                <w:rFonts w:ascii="Calibri" w:eastAsia="Times New Roman" w:hAnsi="Calibri" w:cs="Calibri"/>
                <w:b/>
                <w:bCs/>
                <w:color w:val="000000"/>
                <w:lang w:eastAsia="en-AU"/>
              </w:rPr>
              <w:t>In Education or Training</w:t>
            </w:r>
          </w:p>
          <w:p w14:paraId="79C12700" w14:textId="77777777" w:rsidR="002A4104" w:rsidRPr="0029631C" w:rsidRDefault="002A4104" w:rsidP="00CA1387">
            <w:pPr>
              <w:spacing w:after="0" w:line="240" w:lineRule="auto"/>
              <w:rPr>
                <w:rFonts w:ascii="Calibri" w:eastAsia="Times New Roman" w:hAnsi="Calibri" w:cs="Calibri"/>
                <w:b/>
                <w:bCs/>
                <w:color w:val="000000"/>
                <w:lang w:eastAsia="en-AU"/>
              </w:rPr>
            </w:pPr>
            <w:r w:rsidRPr="0029631C">
              <w:rPr>
                <w:rFonts w:ascii="Calibri" w:eastAsia="Times New Roman" w:hAnsi="Calibri" w:cs="Calibri"/>
                <w:b/>
                <w:bCs/>
                <w:color w:val="000000"/>
                <w:lang w:eastAsia="en-AU"/>
              </w:rPr>
              <w:t> </w:t>
            </w:r>
          </w:p>
          <w:p w14:paraId="02021C39" w14:textId="77777777" w:rsidR="002A4104" w:rsidRPr="0029631C" w:rsidRDefault="002A4104" w:rsidP="00CA1387">
            <w:pPr>
              <w:spacing w:after="0" w:line="240" w:lineRule="auto"/>
              <w:rPr>
                <w:rFonts w:ascii="Calibri" w:eastAsia="Times New Roman" w:hAnsi="Calibri" w:cs="Calibri"/>
                <w:b/>
                <w:bCs/>
                <w:color w:val="000000"/>
                <w:lang w:eastAsia="en-AU"/>
              </w:rPr>
            </w:pPr>
            <w:r w:rsidRPr="0029631C">
              <w:rPr>
                <w:rFonts w:ascii="Calibri" w:eastAsia="Times New Roman" w:hAnsi="Calibri" w:cs="Calibri"/>
                <w:b/>
                <w:bCs/>
                <w:color w:val="000000"/>
                <w:lang w:eastAsia="en-AU"/>
              </w:rPr>
              <w:t> </w:t>
            </w:r>
          </w:p>
        </w:tc>
        <w:tc>
          <w:tcPr>
            <w:tcW w:w="2594" w:type="dxa"/>
            <w:shd w:val="clear" w:color="auto" w:fill="auto"/>
            <w:noWrap/>
            <w:vAlign w:val="bottom"/>
            <w:hideMark/>
          </w:tcPr>
          <w:p w14:paraId="26015581" w14:textId="77777777" w:rsidR="002A4104" w:rsidRPr="0029631C" w:rsidRDefault="002A4104" w:rsidP="00CA1387">
            <w:pPr>
              <w:spacing w:after="0" w:line="240" w:lineRule="auto"/>
              <w:rPr>
                <w:rFonts w:ascii="Calibri" w:eastAsia="Times New Roman" w:hAnsi="Calibri" w:cs="Calibri"/>
                <w:b/>
                <w:bCs/>
                <w:color w:val="000000"/>
                <w:lang w:eastAsia="en-AU"/>
              </w:rPr>
            </w:pPr>
            <w:r w:rsidRPr="0029631C">
              <w:rPr>
                <w:rFonts w:ascii="Calibri" w:eastAsia="Times New Roman" w:hAnsi="Calibri" w:cs="Calibri"/>
                <w:b/>
                <w:bCs/>
                <w:color w:val="000000"/>
                <w:lang w:eastAsia="en-AU"/>
              </w:rPr>
              <w:t>Apprenticeship/traineeship</w:t>
            </w:r>
          </w:p>
        </w:tc>
        <w:tc>
          <w:tcPr>
            <w:tcW w:w="867" w:type="dxa"/>
            <w:shd w:val="clear" w:color="auto" w:fill="auto"/>
            <w:noWrap/>
            <w:vAlign w:val="bottom"/>
            <w:hideMark/>
          </w:tcPr>
          <w:p w14:paraId="1C3A0272" w14:textId="77777777" w:rsidR="002A4104" w:rsidRPr="0029631C" w:rsidRDefault="002A4104" w:rsidP="00CA1387">
            <w:pPr>
              <w:spacing w:after="0" w:line="240" w:lineRule="auto"/>
              <w:jc w:val="right"/>
              <w:rPr>
                <w:rFonts w:ascii="Calibri" w:eastAsia="Times New Roman" w:hAnsi="Calibri" w:cs="Calibri"/>
                <w:color w:val="000000"/>
                <w:lang w:eastAsia="en-AU"/>
              </w:rPr>
            </w:pPr>
            <w:r w:rsidRPr="0029631C">
              <w:rPr>
                <w:rFonts w:ascii="Calibri" w:eastAsia="Times New Roman" w:hAnsi="Calibri" w:cs="Calibri"/>
                <w:color w:val="000000"/>
                <w:lang w:eastAsia="en-AU"/>
              </w:rPr>
              <w:t>31.7%</w:t>
            </w:r>
          </w:p>
        </w:tc>
        <w:tc>
          <w:tcPr>
            <w:tcW w:w="867" w:type="dxa"/>
            <w:shd w:val="clear" w:color="auto" w:fill="auto"/>
            <w:noWrap/>
            <w:vAlign w:val="bottom"/>
            <w:hideMark/>
          </w:tcPr>
          <w:p w14:paraId="787C8BF4" w14:textId="77777777" w:rsidR="002A4104" w:rsidRPr="0029631C" w:rsidRDefault="002A4104" w:rsidP="00CA1387">
            <w:pPr>
              <w:spacing w:after="0" w:line="240" w:lineRule="auto"/>
              <w:jc w:val="right"/>
              <w:rPr>
                <w:rFonts w:ascii="Calibri" w:eastAsia="Times New Roman" w:hAnsi="Calibri" w:cs="Calibri"/>
                <w:color w:val="000000"/>
                <w:lang w:eastAsia="en-AU"/>
              </w:rPr>
            </w:pPr>
            <w:r w:rsidRPr="0029631C">
              <w:rPr>
                <w:rFonts w:ascii="Calibri" w:eastAsia="Times New Roman" w:hAnsi="Calibri" w:cs="Calibri"/>
                <w:color w:val="000000"/>
                <w:lang w:eastAsia="en-AU"/>
              </w:rPr>
              <w:t>32.2%</w:t>
            </w:r>
          </w:p>
        </w:tc>
        <w:tc>
          <w:tcPr>
            <w:tcW w:w="867" w:type="dxa"/>
            <w:shd w:val="clear" w:color="auto" w:fill="auto"/>
            <w:noWrap/>
            <w:vAlign w:val="bottom"/>
            <w:hideMark/>
          </w:tcPr>
          <w:p w14:paraId="5D1206DA" w14:textId="77777777" w:rsidR="002A4104" w:rsidRPr="0029631C" w:rsidRDefault="002A4104" w:rsidP="00CA1387">
            <w:pPr>
              <w:spacing w:after="0" w:line="240" w:lineRule="auto"/>
              <w:jc w:val="right"/>
              <w:rPr>
                <w:rFonts w:ascii="Calibri" w:eastAsia="Times New Roman" w:hAnsi="Calibri" w:cs="Calibri"/>
                <w:color w:val="000000"/>
                <w:lang w:eastAsia="en-AU"/>
              </w:rPr>
            </w:pPr>
            <w:r w:rsidRPr="0029631C">
              <w:rPr>
                <w:rFonts w:ascii="Calibri" w:eastAsia="Times New Roman" w:hAnsi="Calibri" w:cs="Calibri"/>
                <w:color w:val="000000"/>
                <w:lang w:eastAsia="en-AU"/>
              </w:rPr>
              <w:t>32.7%</w:t>
            </w:r>
          </w:p>
        </w:tc>
        <w:tc>
          <w:tcPr>
            <w:tcW w:w="867" w:type="dxa"/>
            <w:shd w:val="clear" w:color="auto" w:fill="auto"/>
            <w:noWrap/>
            <w:vAlign w:val="bottom"/>
            <w:hideMark/>
          </w:tcPr>
          <w:p w14:paraId="179DB2BD" w14:textId="77777777" w:rsidR="002A4104" w:rsidRPr="0029631C" w:rsidRDefault="002A4104" w:rsidP="00CA1387">
            <w:pPr>
              <w:spacing w:after="0" w:line="240" w:lineRule="auto"/>
              <w:jc w:val="right"/>
              <w:rPr>
                <w:rFonts w:ascii="Calibri" w:eastAsia="Times New Roman" w:hAnsi="Calibri" w:cs="Calibri"/>
                <w:color w:val="000000"/>
                <w:lang w:eastAsia="en-AU"/>
              </w:rPr>
            </w:pPr>
            <w:r w:rsidRPr="0029631C">
              <w:rPr>
                <w:rFonts w:ascii="Calibri" w:eastAsia="Times New Roman" w:hAnsi="Calibri" w:cs="Calibri"/>
                <w:color w:val="000000"/>
                <w:lang w:eastAsia="en-AU"/>
              </w:rPr>
              <w:t>30.1%</w:t>
            </w:r>
          </w:p>
        </w:tc>
        <w:tc>
          <w:tcPr>
            <w:tcW w:w="831" w:type="dxa"/>
            <w:vAlign w:val="bottom"/>
          </w:tcPr>
          <w:p w14:paraId="17DEB276" w14:textId="77777777" w:rsidR="002A4104" w:rsidRPr="0029631C" w:rsidRDefault="002A4104" w:rsidP="00CA1387">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35.90%</w:t>
            </w:r>
          </w:p>
        </w:tc>
      </w:tr>
      <w:tr w:rsidR="002A4104" w:rsidRPr="0029631C" w14:paraId="2BD4FAC8" w14:textId="77777777" w:rsidTr="00CA1387">
        <w:trPr>
          <w:trHeight w:val="300"/>
        </w:trPr>
        <w:tc>
          <w:tcPr>
            <w:tcW w:w="2316" w:type="dxa"/>
            <w:vMerge/>
            <w:shd w:val="clear" w:color="auto" w:fill="auto"/>
            <w:noWrap/>
            <w:vAlign w:val="bottom"/>
            <w:hideMark/>
          </w:tcPr>
          <w:p w14:paraId="6F5A81F6" w14:textId="77777777" w:rsidR="002A4104" w:rsidRPr="0029631C" w:rsidRDefault="002A4104" w:rsidP="00CA1387">
            <w:pPr>
              <w:spacing w:after="0" w:line="240" w:lineRule="auto"/>
              <w:rPr>
                <w:rFonts w:ascii="Calibri" w:eastAsia="Times New Roman" w:hAnsi="Calibri" w:cs="Calibri"/>
                <w:b/>
                <w:bCs/>
                <w:color w:val="000000"/>
                <w:lang w:eastAsia="en-AU"/>
              </w:rPr>
            </w:pPr>
          </w:p>
        </w:tc>
        <w:tc>
          <w:tcPr>
            <w:tcW w:w="2594" w:type="dxa"/>
            <w:shd w:val="clear" w:color="auto" w:fill="auto"/>
            <w:noWrap/>
            <w:vAlign w:val="bottom"/>
            <w:hideMark/>
          </w:tcPr>
          <w:p w14:paraId="7E38BA91" w14:textId="77777777" w:rsidR="002A4104" w:rsidRPr="0029631C" w:rsidRDefault="002A4104" w:rsidP="00CA1387">
            <w:pPr>
              <w:spacing w:after="0" w:line="240" w:lineRule="auto"/>
              <w:rPr>
                <w:rFonts w:ascii="Calibri" w:eastAsia="Times New Roman" w:hAnsi="Calibri" w:cs="Calibri"/>
                <w:b/>
                <w:bCs/>
                <w:color w:val="000000"/>
                <w:lang w:eastAsia="en-AU"/>
              </w:rPr>
            </w:pPr>
            <w:r w:rsidRPr="0029631C">
              <w:rPr>
                <w:rFonts w:ascii="Calibri" w:eastAsia="Times New Roman" w:hAnsi="Calibri" w:cs="Calibri"/>
                <w:b/>
                <w:bCs/>
                <w:color w:val="000000"/>
                <w:lang w:eastAsia="en-AU"/>
              </w:rPr>
              <w:t>Bachelor degree</w:t>
            </w:r>
          </w:p>
        </w:tc>
        <w:tc>
          <w:tcPr>
            <w:tcW w:w="867" w:type="dxa"/>
            <w:shd w:val="clear" w:color="auto" w:fill="auto"/>
            <w:noWrap/>
            <w:vAlign w:val="bottom"/>
            <w:hideMark/>
          </w:tcPr>
          <w:p w14:paraId="615A44C9" w14:textId="77777777" w:rsidR="002A4104" w:rsidRPr="0029631C" w:rsidRDefault="002A4104" w:rsidP="00CA1387">
            <w:pPr>
              <w:spacing w:after="0" w:line="240" w:lineRule="auto"/>
              <w:jc w:val="right"/>
              <w:rPr>
                <w:rFonts w:ascii="Calibri" w:eastAsia="Times New Roman" w:hAnsi="Calibri" w:cs="Calibri"/>
                <w:color w:val="000000"/>
                <w:lang w:eastAsia="en-AU"/>
              </w:rPr>
            </w:pPr>
            <w:r w:rsidRPr="0029631C">
              <w:rPr>
                <w:rFonts w:ascii="Calibri" w:eastAsia="Times New Roman" w:hAnsi="Calibri" w:cs="Calibri"/>
                <w:color w:val="000000"/>
                <w:lang w:eastAsia="en-AU"/>
              </w:rPr>
              <w:t>0.8%</w:t>
            </w:r>
          </w:p>
        </w:tc>
        <w:tc>
          <w:tcPr>
            <w:tcW w:w="867" w:type="dxa"/>
            <w:shd w:val="clear" w:color="auto" w:fill="auto"/>
            <w:noWrap/>
            <w:vAlign w:val="bottom"/>
            <w:hideMark/>
          </w:tcPr>
          <w:p w14:paraId="5F0DB373" w14:textId="77777777" w:rsidR="002A4104" w:rsidRPr="0029631C" w:rsidRDefault="002A4104" w:rsidP="00CA1387">
            <w:pPr>
              <w:spacing w:after="0" w:line="240" w:lineRule="auto"/>
              <w:jc w:val="right"/>
              <w:rPr>
                <w:rFonts w:ascii="Calibri" w:eastAsia="Times New Roman" w:hAnsi="Calibri" w:cs="Calibri"/>
                <w:color w:val="000000"/>
                <w:lang w:eastAsia="en-AU"/>
              </w:rPr>
            </w:pPr>
            <w:r w:rsidRPr="0029631C">
              <w:rPr>
                <w:rFonts w:ascii="Calibri" w:eastAsia="Times New Roman" w:hAnsi="Calibri" w:cs="Calibri"/>
                <w:color w:val="000000"/>
                <w:lang w:eastAsia="en-AU"/>
              </w:rPr>
              <w:t>0.9%</w:t>
            </w:r>
          </w:p>
        </w:tc>
        <w:tc>
          <w:tcPr>
            <w:tcW w:w="867" w:type="dxa"/>
            <w:shd w:val="clear" w:color="auto" w:fill="auto"/>
            <w:noWrap/>
            <w:vAlign w:val="bottom"/>
            <w:hideMark/>
          </w:tcPr>
          <w:p w14:paraId="2BAA3A37" w14:textId="77777777" w:rsidR="002A4104" w:rsidRPr="0029631C" w:rsidRDefault="002A4104" w:rsidP="00CA1387">
            <w:pPr>
              <w:spacing w:after="0" w:line="240" w:lineRule="auto"/>
              <w:jc w:val="right"/>
              <w:rPr>
                <w:rFonts w:ascii="Calibri" w:eastAsia="Times New Roman" w:hAnsi="Calibri" w:cs="Calibri"/>
                <w:color w:val="000000"/>
                <w:lang w:eastAsia="en-AU"/>
              </w:rPr>
            </w:pPr>
            <w:r w:rsidRPr="0029631C">
              <w:rPr>
                <w:rFonts w:ascii="Calibri" w:eastAsia="Times New Roman" w:hAnsi="Calibri" w:cs="Calibri"/>
                <w:color w:val="000000"/>
                <w:lang w:eastAsia="en-AU"/>
              </w:rPr>
              <w:t>1.3%</w:t>
            </w:r>
          </w:p>
        </w:tc>
        <w:tc>
          <w:tcPr>
            <w:tcW w:w="867" w:type="dxa"/>
            <w:shd w:val="clear" w:color="auto" w:fill="auto"/>
            <w:noWrap/>
            <w:vAlign w:val="bottom"/>
            <w:hideMark/>
          </w:tcPr>
          <w:p w14:paraId="3C8817FD" w14:textId="77777777" w:rsidR="002A4104" w:rsidRPr="0029631C" w:rsidRDefault="002A4104" w:rsidP="00CA1387">
            <w:pPr>
              <w:spacing w:after="0" w:line="240" w:lineRule="auto"/>
              <w:jc w:val="right"/>
              <w:rPr>
                <w:rFonts w:ascii="Calibri" w:eastAsia="Times New Roman" w:hAnsi="Calibri" w:cs="Calibri"/>
                <w:color w:val="000000"/>
                <w:lang w:eastAsia="en-AU"/>
              </w:rPr>
            </w:pPr>
            <w:r w:rsidRPr="0029631C">
              <w:rPr>
                <w:rFonts w:ascii="Calibri" w:eastAsia="Times New Roman" w:hAnsi="Calibri" w:cs="Calibri"/>
                <w:color w:val="000000"/>
                <w:lang w:eastAsia="en-AU"/>
              </w:rPr>
              <w:t>2.3%</w:t>
            </w:r>
          </w:p>
        </w:tc>
        <w:tc>
          <w:tcPr>
            <w:tcW w:w="831" w:type="dxa"/>
            <w:vAlign w:val="bottom"/>
          </w:tcPr>
          <w:p w14:paraId="4C0D0DBD" w14:textId="77777777" w:rsidR="002A4104" w:rsidRPr="0029631C" w:rsidRDefault="002A4104" w:rsidP="00CA1387">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1.8%</w:t>
            </w:r>
          </w:p>
        </w:tc>
      </w:tr>
      <w:tr w:rsidR="002A4104" w:rsidRPr="0029631C" w14:paraId="71220881" w14:textId="77777777" w:rsidTr="00CA1387">
        <w:trPr>
          <w:trHeight w:val="300"/>
        </w:trPr>
        <w:tc>
          <w:tcPr>
            <w:tcW w:w="2316" w:type="dxa"/>
            <w:vMerge/>
            <w:shd w:val="clear" w:color="auto" w:fill="auto"/>
            <w:noWrap/>
            <w:vAlign w:val="bottom"/>
            <w:hideMark/>
          </w:tcPr>
          <w:p w14:paraId="24A58C72" w14:textId="77777777" w:rsidR="002A4104" w:rsidRPr="0029631C" w:rsidRDefault="002A4104" w:rsidP="00CA1387">
            <w:pPr>
              <w:spacing w:after="0" w:line="240" w:lineRule="auto"/>
              <w:rPr>
                <w:rFonts w:ascii="Calibri" w:eastAsia="Times New Roman" w:hAnsi="Calibri" w:cs="Calibri"/>
                <w:b/>
                <w:bCs/>
                <w:color w:val="000000"/>
                <w:lang w:eastAsia="en-AU"/>
              </w:rPr>
            </w:pPr>
          </w:p>
        </w:tc>
        <w:tc>
          <w:tcPr>
            <w:tcW w:w="2594" w:type="dxa"/>
            <w:shd w:val="clear" w:color="auto" w:fill="auto"/>
            <w:noWrap/>
            <w:vAlign w:val="bottom"/>
            <w:hideMark/>
          </w:tcPr>
          <w:p w14:paraId="7E09B752" w14:textId="77777777" w:rsidR="002A4104" w:rsidRPr="0029631C" w:rsidRDefault="002A4104" w:rsidP="00CA1387">
            <w:pPr>
              <w:spacing w:after="0" w:line="240" w:lineRule="auto"/>
              <w:rPr>
                <w:rFonts w:ascii="Calibri" w:eastAsia="Times New Roman" w:hAnsi="Calibri" w:cs="Calibri"/>
                <w:b/>
                <w:bCs/>
                <w:color w:val="000000"/>
                <w:lang w:eastAsia="en-AU"/>
              </w:rPr>
            </w:pPr>
            <w:r w:rsidRPr="0029631C">
              <w:rPr>
                <w:rFonts w:ascii="Calibri" w:eastAsia="Times New Roman" w:hAnsi="Calibri" w:cs="Calibri"/>
                <w:b/>
                <w:bCs/>
                <w:color w:val="000000"/>
                <w:lang w:eastAsia="en-AU"/>
              </w:rPr>
              <w:t>Certificates/diplomas</w:t>
            </w:r>
          </w:p>
        </w:tc>
        <w:tc>
          <w:tcPr>
            <w:tcW w:w="867" w:type="dxa"/>
            <w:shd w:val="clear" w:color="auto" w:fill="auto"/>
            <w:noWrap/>
            <w:vAlign w:val="bottom"/>
            <w:hideMark/>
          </w:tcPr>
          <w:p w14:paraId="55CAB0AF" w14:textId="77777777" w:rsidR="002A4104" w:rsidRPr="0029631C" w:rsidRDefault="002A4104" w:rsidP="00CA1387">
            <w:pPr>
              <w:spacing w:after="0" w:line="240" w:lineRule="auto"/>
              <w:jc w:val="right"/>
              <w:rPr>
                <w:rFonts w:ascii="Calibri" w:eastAsia="Times New Roman" w:hAnsi="Calibri" w:cs="Calibri"/>
                <w:color w:val="000000"/>
                <w:lang w:eastAsia="en-AU"/>
              </w:rPr>
            </w:pPr>
            <w:r w:rsidRPr="0029631C">
              <w:rPr>
                <w:rFonts w:ascii="Calibri" w:eastAsia="Times New Roman" w:hAnsi="Calibri" w:cs="Calibri"/>
                <w:color w:val="000000"/>
                <w:lang w:eastAsia="en-AU"/>
              </w:rPr>
              <w:t>18.9%</w:t>
            </w:r>
          </w:p>
        </w:tc>
        <w:tc>
          <w:tcPr>
            <w:tcW w:w="867" w:type="dxa"/>
            <w:shd w:val="clear" w:color="auto" w:fill="auto"/>
            <w:noWrap/>
            <w:vAlign w:val="bottom"/>
            <w:hideMark/>
          </w:tcPr>
          <w:p w14:paraId="5BE918FE" w14:textId="77777777" w:rsidR="002A4104" w:rsidRPr="0029631C" w:rsidRDefault="002A4104" w:rsidP="00CA1387">
            <w:pPr>
              <w:spacing w:after="0" w:line="240" w:lineRule="auto"/>
              <w:jc w:val="right"/>
              <w:rPr>
                <w:rFonts w:ascii="Calibri" w:eastAsia="Times New Roman" w:hAnsi="Calibri" w:cs="Calibri"/>
                <w:color w:val="000000"/>
                <w:lang w:eastAsia="en-AU"/>
              </w:rPr>
            </w:pPr>
            <w:r w:rsidRPr="0029631C">
              <w:rPr>
                <w:rFonts w:ascii="Calibri" w:eastAsia="Times New Roman" w:hAnsi="Calibri" w:cs="Calibri"/>
                <w:color w:val="000000"/>
                <w:lang w:eastAsia="en-AU"/>
              </w:rPr>
              <w:t>19.5%</w:t>
            </w:r>
          </w:p>
        </w:tc>
        <w:tc>
          <w:tcPr>
            <w:tcW w:w="867" w:type="dxa"/>
            <w:shd w:val="clear" w:color="auto" w:fill="auto"/>
            <w:noWrap/>
            <w:vAlign w:val="bottom"/>
            <w:hideMark/>
          </w:tcPr>
          <w:p w14:paraId="1870A5F0" w14:textId="77777777" w:rsidR="002A4104" w:rsidRPr="0029631C" w:rsidRDefault="002A4104" w:rsidP="00CA1387">
            <w:pPr>
              <w:spacing w:after="0" w:line="240" w:lineRule="auto"/>
              <w:jc w:val="right"/>
              <w:rPr>
                <w:rFonts w:ascii="Calibri" w:eastAsia="Times New Roman" w:hAnsi="Calibri" w:cs="Calibri"/>
                <w:color w:val="000000"/>
                <w:lang w:eastAsia="en-AU"/>
              </w:rPr>
            </w:pPr>
            <w:r w:rsidRPr="0029631C">
              <w:rPr>
                <w:rFonts w:ascii="Calibri" w:eastAsia="Times New Roman" w:hAnsi="Calibri" w:cs="Calibri"/>
                <w:color w:val="000000"/>
                <w:lang w:eastAsia="en-AU"/>
              </w:rPr>
              <w:t>19.7%</w:t>
            </w:r>
          </w:p>
        </w:tc>
        <w:tc>
          <w:tcPr>
            <w:tcW w:w="867" w:type="dxa"/>
            <w:shd w:val="clear" w:color="auto" w:fill="auto"/>
            <w:noWrap/>
            <w:vAlign w:val="bottom"/>
            <w:hideMark/>
          </w:tcPr>
          <w:p w14:paraId="349A9D9D" w14:textId="77777777" w:rsidR="002A4104" w:rsidRPr="0029631C" w:rsidRDefault="002A4104" w:rsidP="00CA1387">
            <w:pPr>
              <w:spacing w:after="0" w:line="240" w:lineRule="auto"/>
              <w:jc w:val="right"/>
              <w:rPr>
                <w:rFonts w:ascii="Calibri" w:eastAsia="Times New Roman" w:hAnsi="Calibri" w:cs="Calibri"/>
                <w:color w:val="000000"/>
                <w:lang w:eastAsia="en-AU"/>
              </w:rPr>
            </w:pPr>
            <w:r w:rsidRPr="0029631C">
              <w:rPr>
                <w:rFonts w:ascii="Calibri" w:eastAsia="Times New Roman" w:hAnsi="Calibri" w:cs="Calibri"/>
                <w:color w:val="000000"/>
                <w:lang w:eastAsia="en-AU"/>
              </w:rPr>
              <w:t>19.4%</w:t>
            </w:r>
          </w:p>
        </w:tc>
        <w:tc>
          <w:tcPr>
            <w:tcW w:w="831" w:type="dxa"/>
            <w:vAlign w:val="bottom"/>
          </w:tcPr>
          <w:p w14:paraId="2A9D5712" w14:textId="77777777" w:rsidR="002A4104" w:rsidRPr="0029631C" w:rsidRDefault="002A4104" w:rsidP="00CA1387">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15.6%</w:t>
            </w:r>
          </w:p>
        </w:tc>
      </w:tr>
      <w:tr w:rsidR="002A4104" w:rsidRPr="0029631C" w14:paraId="4A1B5498" w14:textId="77777777" w:rsidTr="00CA1387">
        <w:trPr>
          <w:trHeight w:val="300"/>
        </w:trPr>
        <w:tc>
          <w:tcPr>
            <w:tcW w:w="2316" w:type="dxa"/>
            <w:vMerge w:val="restart"/>
            <w:shd w:val="clear" w:color="auto" w:fill="auto"/>
            <w:noWrap/>
            <w:vAlign w:val="bottom"/>
            <w:hideMark/>
          </w:tcPr>
          <w:p w14:paraId="41AD3B31" w14:textId="77777777" w:rsidR="002A4104" w:rsidRPr="0029631C" w:rsidRDefault="002A4104" w:rsidP="00CA1387">
            <w:pPr>
              <w:spacing w:after="0" w:line="240" w:lineRule="auto"/>
              <w:rPr>
                <w:rFonts w:ascii="Calibri" w:eastAsia="Times New Roman" w:hAnsi="Calibri" w:cs="Calibri"/>
                <w:b/>
                <w:bCs/>
                <w:color w:val="000000"/>
                <w:lang w:eastAsia="en-AU"/>
              </w:rPr>
            </w:pPr>
            <w:r w:rsidRPr="0029631C">
              <w:rPr>
                <w:rFonts w:ascii="Calibri" w:eastAsia="Times New Roman" w:hAnsi="Calibri" w:cs="Calibri"/>
                <w:b/>
                <w:bCs/>
                <w:color w:val="000000"/>
                <w:lang w:eastAsia="en-AU"/>
              </w:rPr>
              <w:t>Not in Education or Training</w:t>
            </w:r>
          </w:p>
          <w:p w14:paraId="2DC4AA3B" w14:textId="77777777" w:rsidR="002A4104" w:rsidRPr="0029631C" w:rsidRDefault="002A4104" w:rsidP="00CA1387">
            <w:pPr>
              <w:spacing w:after="0" w:line="240" w:lineRule="auto"/>
              <w:rPr>
                <w:rFonts w:ascii="Calibri" w:eastAsia="Times New Roman" w:hAnsi="Calibri" w:cs="Calibri"/>
                <w:b/>
                <w:bCs/>
                <w:color w:val="000000"/>
                <w:lang w:eastAsia="en-AU"/>
              </w:rPr>
            </w:pPr>
            <w:r w:rsidRPr="0029631C">
              <w:rPr>
                <w:rFonts w:ascii="Calibri" w:eastAsia="Times New Roman" w:hAnsi="Calibri" w:cs="Calibri"/>
                <w:b/>
                <w:bCs/>
                <w:color w:val="000000"/>
                <w:lang w:eastAsia="en-AU"/>
              </w:rPr>
              <w:t> </w:t>
            </w:r>
          </w:p>
          <w:p w14:paraId="6CC374B2" w14:textId="77777777" w:rsidR="002A4104" w:rsidRPr="0029631C" w:rsidRDefault="002A4104" w:rsidP="00CA1387">
            <w:pPr>
              <w:spacing w:after="0" w:line="240" w:lineRule="auto"/>
              <w:rPr>
                <w:rFonts w:ascii="Calibri" w:eastAsia="Times New Roman" w:hAnsi="Calibri" w:cs="Calibri"/>
                <w:b/>
                <w:bCs/>
                <w:color w:val="000000"/>
                <w:lang w:eastAsia="en-AU"/>
              </w:rPr>
            </w:pPr>
            <w:r w:rsidRPr="0029631C">
              <w:rPr>
                <w:rFonts w:ascii="Calibri" w:eastAsia="Times New Roman" w:hAnsi="Calibri" w:cs="Calibri"/>
                <w:b/>
                <w:bCs/>
                <w:color w:val="000000"/>
                <w:lang w:eastAsia="en-AU"/>
              </w:rPr>
              <w:t> </w:t>
            </w:r>
          </w:p>
        </w:tc>
        <w:tc>
          <w:tcPr>
            <w:tcW w:w="2594" w:type="dxa"/>
            <w:shd w:val="clear" w:color="auto" w:fill="auto"/>
            <w:noWrap/>
            <w:vAlign w:val="bottom"/>
            <w:hideMark/>
          </w:tcPr>
          <w:p w14:paraId="2160B3A6" w14:textId="77777777" w:rsidR="002A4104" w:rsidRPr="0029631C" w:rsidRDefault="002A4104" w:rsidP="00CA1387">
            <w:pPr>
              <w:spacing w:after="0" w:line="240" w:lineRule="auto"/>
              <w:rPr>
                <w:rFonts w:ascii="Calibri" w:eastAsia="Times New Roman" w:hAnsi="Calibri" w:cs="Calibri"/>
                <w:b/>
                <w:bCs/>
                <w:color w:val="000000"/>
                <w:lang w:eastAsia="en-AU"/>
              </w:rPr>
            </w:pPr>
            <w:r w:rsidRPr="0029631C">
              <w:rPr>
                <w:rFonts w:ascii="Calibri" w:eastAsia="Times New Roman" w:hAnsi="Calibri" w:cs="Calibri"/>
                <w:b/>
                <w:bCs/>
                <w:color w:val="000000"/>
                <w:lang w:eastAsia="en-AU"/>
              </w:rPr>
              <w:t>Employed</w:t>
            </w:r>
          </w:p>
        </w:tc>
        <w:tc>
          <w:tcPr>
            <w:tcW w:w="867" w:type="dxa"/>
            <w:shd w:val="clear" w:color="auto" w:fill="auto"/>
            <w:noWrap/>
            <w:vAlign w:val="bottom"/>
            <w:hideMark/>
          </w:tcPr>
          <w:p w14:paraId="15D898D6" w14:textId="77777777" w:rsidR="002A4104" w:rsidRPr="0029631C" w:rsidRDefault="002A4104" w:rsidP="00CA1387">
            <w:pPr>
              <w:spacing w:after="0" w:line="240" w:lineRule="auto"/>
              <w:jc w:val="right"/>
              <w:rPr>
                <w:rFonts w:ascii="Calibri" w:eastAsia="Times New Roman" w:hAnsi="Calibri" w:cs="Calibri"/>
                <w:color w:val="000000"/>
                <w:lang w:eastAsia="en-AU"/>
              </w:rPr>
            </w:pPr>
            <w:r w:rsidRPr="0029631C">
              <w:rPr>
                <w:rFonts w:ascii="Calibri" w:eastAsia="Times New Roman" w:hAnsi="Calibri" w:cs="Calibri"/>
                <w:color w:val="000000"/>
                <w:lang w:eastAsia="en-AU"/>
              </w:rPr>
              <w:t>25.9%</w:t>
            </w:r>
          </w:p>
        </w:tc>
        <w:tc>
          <w:tcPr>
            <w:tcW w:w="867" w:type="dxa"/>
            <w:shd w:val="clear" w:color="auto" w:fill="auto"/>
            <w:noWrap/>
            <w:vAlign w:val="bottom"/>
            <w:hideMark/>
          </w:tcPr>
          <w:p w14:paraId="316BFFB1" w14:textId="77777777" w:rsidR="002A4104" w:rsidRPr="0029631C" w:rsidRDefault="002A4104" w:rsidP="00CA1387">
            <w:pPr>
              <w:spacing w:after="0" w:line="240" w:lineRule="auto"/>
              <w:jc w:val="right"/>
              <w:rPr>
                <w:rFonts w:ascii="Calibri" w:eastAsia="Times New Roman" w:hAnsi="Calibri" w:cs="Calibri"/>
                <w:color w:val="000000"/>
                <w:lang w:eastAsia="en-AU"/>
              </w:rPr>
            </w:pPr>
            <w:r w:rsidRPr="0029631C">
              <w:rPr>
                <w:rFonts w:ascii="Calibri" w:eastAsia="Times New Roman" w:hAnsi="Calibri" w:cs="Calibri"/>
                <w:color w:val="000000"/>
                <w:lang w:eastAsia="en-AU"/>
              </w:rPr>
              <w:t>27.5%</w:t>
            </w:r>
          </w:p>
        </w:tc>
        <w:tc>
          <w:tcPr>
            <w:tcW w:w="867" w:type="dxa"/>
            <w:shd w:val="clear" w:color="auto" w:fill="auto"/>
            <w:noWrap/>
            <w:vAlign w:val="bottom"/>
            <w:hideMark/>
          </w:tcPr>
          <w:p w14:paraId="173CFAC0" w14:textId="77777777" w:rsidR="002A4104" w:rsidRPr="0029631C" w:rsidRDefault="002A4104" w:rsidP="00CA1387">
            <w:pPr>
              <w:spacing w:after="0" w:line="240" w:lineRule="auto"/>
              <w:jc w:val="right"/>
              <w:rPr>
                <w:rFonts w:ascii="Calibri" w:eastAsia="Times New Roman" w:hAnsi="Calibri" w:cs="Calibri"/>
                <w:color w:val="000000"/>
                <w:lang w:eastAsia="en-AU"/>
              </w:rPr>
            </w:pPr>
            <w:r w:rsidRPr="0029631C">
              <w:rPr>
                <w:rFonts w:ascii="Calibri" w:eastAsia="Times New Roman" w:hAnsi="Calibri" w:cs="Calibri"/>
                <w:color w:val="000000"/>
                <w:lang w:eastAsia="en-AU"/>
              </w:rPr>
              <w:t>26.8%</w:t>
            </w:r>
          </w:p>
        </w:tc>
        <w:tc>
          <w:tcPr>
            <w:tcW w:w="867" w:type="dxa"/>
            <w:shd w:val="clear" w:color="auto" w:fill="auto"/>
            <w:noWrap/>
            <w:vAlign w:val="bottom"/>
            <w:hideMark/>
          </w:tcPr>
          <w:p w14:paraId="196C5C3D" w14:textId="77777777" w:rsidR="002A4104" w:rsidRPr="0029631C" w:rsidRDefault="002A4104" w:rsidP="00CA1387">
            <w:pPr>
              <w:spacing w:after="0" w:line="240" w:lineRule="auto"/>
              <w:jc w:val="right"/>
              <w:rPr>
                <w:rFonts w:ascii="Calibri" w:eastAsia="Times New Roman" w:hAnsi="Calibri" w:cs="Calibri"/>
                <w:color w:val="000000"/>
                <w:lang w:eastAsia="en-AU"/>
              </w:rPr>
            </w:pPr>
            <w:r w:rsidRPr="0029631C">
              <w:rPr>
                <w:rFonts w:ascii="Calibri" w:eastAsia="Times New Roman" w:hAnsi="Calibri" w:cs="Calibri"/>
                <w:color w:val="000000"/>
                <w:lang w:eastAsia="en-AU"/>
              </w:rPr>
              <w:t>22.4%</w:t>
            </w:r>
          </w:p>
        </w:tc>
        <w:tc>
          <w:tcPr>
            <w:tcW w:w="831" w:type="dxa"/>
            <w:vAlign w:val="bottom"/>
          </w:tcPr>
          <w:p w14:paraId="6D1B4462" w14:textId="77777777" w:rsidR="002A4104" w:rsidRPr="0029631C" w:rsidRDefault="002A4104" w:rsidP="00CA1387">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27.2%</w:t>
            </w:r>
          </w:p>
        </w:tc>
      </w:tr>
      <w:tr w:rsidR="002A4104" w:rsidRPr="0029631C" w14:paraId="786E2004" w14:textId="77777777" w:rsidTr="00CA1387">
        <w:trPr>
          <w:trHeight w:val="300"/>
        </w:trPr>
        <w:tc>
          <w:tcPr>
            <w:tcW w:w="2316" w:type="dxa"/>
            <w:vMerge/>
            <w:shd w:val="clear" w:color="auto" w:fill="auto"/>
            <w:noWrap/>
            <w:vAlign w:val="bottom"/>
            <w:hideMark/>
          </w:tcPr>
          <w:p w14:paraId="158921C4" w14:textId="77777777" w:rsidR="002A4104" w:rsidRPr="0029631C" w:rsidRDefault="002A4104" w:rsidP="00CA1387">
            <w:pPr>
              <w:spacing w:after="0" w:line="240" w:lineRule="auto"/>
              <w:rPr>
                <w:rFonts w:ascii="Calibri" w:eastAsia="Times New Roman" w:hAnsi="Calibri" w:cs="Calibri"/>
                <w:b/>
                <w:bCs/>
                <w:color w:val="000000"/>
                <w:lang w:eastAsia="en-AU"/>
              </w:rPr>
            </w:pPr>
          </w:p>
        </w:tc>
        <w:tc>
          <w:tcPr>
            <w:tcW w:w="2594" w:type="dxa"/>
            <w:shd w:val="clear" w:color="auto" w:fill="auto"/>
            <w:noWrap/>
            <w:vAlign w:val="bottom"/>
            <w:hideMark/>
          </w:tcPr>
          <w:p w14:paraId="48E107D0" w14:textId="77777777" w:rsidR="002A4104" w:rsidRPr="0029631C" w:rsidRDefault="002A4104" w:rsidP="00CA1387">
            <w:pPr>
              <w:spacing w:after="0" w:line="240" w:lineRule="auto"/>
              <w:rPr>
                <w:rFonts w:ascii="Calibri" w:eastAsia="Times New Roman" w:hAnsi="Calibri" w:cs="Calibri"/>
                <w:b/>
                <w:bCs/>
                <w:color w:val="000000"/>
                <w:lang w:eastAsia="en-AU"/>
              </w:rPr>
            </w:pPr>
            <w:r w:rsidRPr="0029631C">
              <w:rPr>
                <w:rFonts w:ascii="Calibri" w:eastAsia="Times New Roman" w:hAnsi="Calibri" w:cs="Calibri"/>
                <w:b/>
                <w:bCs/>
                <w:color w:val="000000"/>
                <w:lang w:eastAsia="en-AU"/>
              </w:rPr>
              <w:t>Looking for work</w:t>
            </w:r>
          </w:p>
        </w:tc>
        <w:tc>
          <w:tcPr>
            <w:tcW w:w="867" w:type="dxa"/>
            <w:shd w:val="clear" w:color="auto" w:fill="auto"/>
            <w:noWrap/>
            <w:vAlign w:val="bottom"/>
            <w:hideMark/>
          </w:tcPr>
          <w:p w14:paraId="7BF58575" w14:textId="77777777" w:rsidR="002A4104" w:rsidRPr="0029631C" w:rsidRDefault="002A4104" w:rsidP="00CA1387">
            <w:pPr>
              <w:spacing w:after="0" w:line="240" w:lineRule="auto"/>
              <w:jc w:val="right"/>
              <w:rPr>
                <w:rFonts w:ascii="Calibri" w:eastAsia="Times New Roman" w:hAnsi="Calibri" w:cs="Calibri"/>
                <w:color w:val="000000"/>
                <w:lang w:eastAsia="en-AU"/>
              </w:rPr>
            </w:pPr>
            <w:r w:rsidRPr="0029631C">
              <w:rPr>
                <w:rFonts w:ascii="Calibri" w:eastAsia="Times New Roman" w:hAnsi="Calibri" w:cs="Calibri"/>
                <w:color w:val="000000"/>
                <w:lang w:eastAsia="en-AU"/>
              </w:rPr>
              <w:t>16.8%</w:t>
            </w:r>
          </w:p>
        </w:tc>
        <w:tc>
          <w:tcPr>
            <w:tcW w:w="867" w:type="dxa"/>
            <w:shd w:val="clear" w:color="auto" w:fill="auto"/>
            <w:noWrap/>
            <w:vAlign w:val="bottom"/>
            <w:hideMark/>
          </w:tcPr>
          <w:p w14:paraId="150DE3F9" w14:textId="77777777" w:rsidR="002A4104" w:rsidRPr="0029631C" w:rsidRDefault="002A4104" w:rsidP="00CA1387">
            <w:pPr>
              <w:spacing w:after="0" w:line="240" w:lineRule="auto"/>
              <w:jc w:val="right"/>
              <w:rPr>
                <w:rFonts w:ascii="Calibri" w:eastAsia="Times New Roman" w:hAnsi="Calibri" w:cs="Calibri"/>
                <w:color w:val="000000"/>
                <w:lang w:eastAsia="en-AU"/>
              </w:rPr>
            </w:pPr>
            <w:r w:rsidRPr="0029631C">
              <w:rPr>
                <w:rFonts w:ascii="Calibri" w:eastAsia="Times New Roman" w:hAnsi="Calibri" w:cs="Calibri"/>
                <w:color w:val="000000"/>
                <w:lang w:eastAsia="en-AU"/>
              </w:rPr>
              <w:t>15.0%</w:t>
            </w:r>
          </w:p>
        </w:tc>
        <w:tc>
          <w:tcPr>
            <w:tcW w:w="867" w:type="dxa"/>
            <w:shd w:val="clear" w:color="auto" w:fill="auto"/>
            <w:noWrap/>
            <w:vAlign w:val="bottom"/>
            <w:hideMark/>
          </w:tcPr>
          <w:p w14:paraId="50EF94B5" w14:textId="77777777" w:rsidR="002A4104" w:rsidRPr="0029631C" w:rsidRDefault="002A4104" w:rsidP="00CA1387">
            <w:pPr>
              <w:spacing w:after="0" w:line="240" w:lineRule="auto"/>
              <w:jc w:val="right"/>
              <w:rPr>
                <w:rFonts w:ascii="Calibri" w:eastAsia="Times New Roman" w:hAnsi="Calibri" w:cs="Calibri"/>
                <w:color w:val="000000"/>
                <w:lang w:eastAsia="en-AU"/>
              </w:rPr>
            </w:pPr>
            <w:r w:rsidRPr="0029631C">
              <w:rPr>
                <w:rFonts w:ascii="Calibri" w:eastAsia="Times New Roman" w:hAnsi="Calibri" w:cs="Calibri"/>
                <w:color w:val="000000"/>
                <w:lang w:eastAsia="en-AU"/>
              </w:rPr>
              <w:t>14.8%</w:t>
            </w:r>
          </w:p>
        </w:tc>
        <w:tc>
          <w:tcPr>
            <w:tcW w:w="867" w:type="dxa"/>
            <w:shd w:val="clear" w:color="auto" w:fill="auto"/>
            <w:noWrap/>
            <w:vAlign w:val="bottom"/>
            <w:hideMark/>
          </w:tcPr>
          <w:p w14:paraId="1228C803" w14:textId="77777777" w:rsidR="002A4104" w:rsidRPr="0029631C" w:rsidRDefault="002A4104" w:rsidP="00CA1387">
            <w:pPr>
              <w:spacing w:after="0" w:line="240" w:lineRule="auto"/>
              <w:jc w:val="right"/>
              <w:rPr>
                <w:rFonts w:ascii="Calibri" w:eastAsia="Times New Roman" w:hAnsi="Calibri" w:cs="Calibri"/>
                <w:color w:val="000000"/>
                <w:lang w:eastAsia="en-AU"/>
              </w:rPr>
            </w:pPr>
            <w:r w:rsidRPr="0029631C">
              <w:rPr>
                <w:rFonts w:ascii="Calibri" w:eastAsia="Times New Roman" w:hAnsi="Calibri" w:cs="Calibri"/>
                <w:color w:val="000000"/>
                <w:lang w:eastAsia="en-AU"/>
              </w:rPr>
              <w:t>18.8%</w:t>
            </w:r>
          </w:p>
        </w:tc>
        <w:tc>
          <w:tcPr>
            <w:tcW w:w="831" w:type="dxa"/>
            <w:vAlign w:val="bottom"/>
          </w:tcPr>
          <w:p w14:paraId="418DCFEA" w14:textId="77777777" w:rsidR="002A4104" w:rsidRPr="0029631C" w:rsidRDefault="002A4104" w:rsidP="00CA1387">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14.6%</w:t>
            </w:r>
          </w:p>
        </w:tc>
      </w:tr>
      <w:tr w:rsidR="002A4104" w:rsidRPr="0029631C" w14:paraId="79866A2F" w14:textId="77777777" w:rsidTr="00CA1387">
        <w:trPr>
          <w:trHeight w:val="300"/>
        </w:trPr>
        <w:tc>
          <w:tcPr>
            <w:tcW w:w="2316" w:type="dxa"/>
            <w:vMerge/>
            <w:shd w:val="clear" w:color="auto" w:fill="auto"/>
            <w:noWrap/>
            <w:vAlign w:val="bottom"/>
            <w:hideMark/>
          </w:tcPr>
          <w:p w14:paraId="33CF3BC1" w14:textId="77777777" w:rsidR="002A4104" w:rsidRPr="0029631C" w:rsidRDefault="002A4104" w:rsidP="00CA1387">
            <w:pPr>
              <w:spacing w:after="0" w:line="240" w:lineRule="auto"/>
              <w:rPr>
                <w:rFonts w:ascii="Calibri" w:eastAsia="Times New Roman" w:hAnsi="Calibri" w:cs="Calibri"/>
                <w:b/>
                <w:bCs/>
                <w:color w:val="000000"/>
                <w:lang w:eastAsia="en-AU"/>
              </w:rPr>
            </w:pPr>
          </w:p>
        </w:tc>
        <w:tc>
          <w:tcPr>
            <w:tcW w:w="2594" w:type="dxa"/>
            <w:shd w:val="clear" w:color="auto" w:fill="auto"/>
            <w:noWrap/>
            <w:vAlign w:val="bottom"/>
            <w:hideMark/>
          </w:tcPr>
          <w:p w14:paraId="30343028" w14:textId="77777777" w:rsidR="002A4104" w:rsidRPr="0029631C" w:rsidRDefault="002A4104" w:rsidP="00CA1387">
            <w:pPr>
              <w:spacing w:after="0" w:line="240" w:lineRule="auto"/>
              <w:rPr>
                <w:rFonts w:ascii="Calibri" w:eastAsia="Times New Roman" w:hAnsi="Calibri" w:cs="Calibri"/>
                <w:b/>
                <w:bCs/>
                <w:color w:val="000000"/>
                <w:lang w:eastAsia="en-AU"/>
              </w:rPr>
            </w:pPr>
            <w:r w:rsidRPr="0029631C">
              <w:rPr>
                <w:rFonts w:ascii="Calibri" w:eastAsia="Times New Roman" w:hAnsi="Calibri" w:cs="Calibri"/>
                <w:b/>
                <w:bCs/>
                <w:color w:val="000000"/>
                <w:lang w:eastAsia="en-AU"/>
              </w:rPr>
              <w:t>NILFET</w:t>
            </w:r>
          </w:p>
        </w:tc>
        <w:tc>
          <w:tcPr>
            <w:tcW w:w="867" w:type="dxa"/>
            <w:shd w:val="clear" w:color="auto" w:fill="auto"/>
            <w:noWrap/>
            <w:vAlign w:val="bottom"/>
            <w:hideMark/>
          </w:tcPr>
          <w:p w14:paraId="5D284E96" w14:textId="77777777" w:rsidR="002A4104" w:rsidRPr="0029631C" w:rsidRDefault="002A4104" w:rsidP="00CA1387">
            <w:pPr>
              <w:spacing w:after="0" w:line="240" w:lineRule="auto"/>
              <w:jc w:val="right"/>
              <w:rPr>
                <w:rFonts w:ascii="Calibri" w:eastAsia="Times New Roman" w:hAnsi="Calibri" w:cs="Calibri"/>
                <w:color w:val="000000"/>
                <w:lang w:eastAsia="en-AU"/>
              </w:rPr>
            </w:pPr>
            <w:r w:rsidRPr="0029631C">
              <w:rPr>
                <w:rFonts w:ascii="Calibri" w:eastAsia="Times New Roman" w:hAnsi="Calibri" w:cs="Calibri"/>
                <w:color w:val="000000"/>
                <w:lang w:eastAsia="en-AU"/>
              </w:rPr>
              <w:t>5.8%</w:t>
            </w:r>
          </w:p>
        </w:tc>
        <w:tc>
          <w:tcPr>
            <w:tcW w:w="867" w:type="dxa"/>
            <w:shd w:val="clear" w:color="auto" w:fill="auto"/>
            <w:noWrap/>
            <w:vAlign w:val="bottom"/>
            <w:hideMark/>
          </w:tcPr>
          <w:p w14:paraId="6E5BCB72" w14:textId="77777777" w:rsidR="002A4104" w:rsidRPr="0029631C" w:rsidRDefault="002A4104" w:rsidP="00CA1387">
            <w:pPr>
              <w:spacing w:after="0" w:line="240" w:lineRule="auto"/>
              <w:jc w:val="right"/>
              <w:rPr>
                <w:rFonts w:ascii="Calibri" w:eastAsia="Times New Roman" w:hAnsi="Calibri" w:cs="Calibri"/>
                <w:color w:val="000000"/>
                <w:lang w:eastAsia="en-AU"/>
              </w:rPr>
            </w:pPr>
            <w:r w:rsidRPr="0029631C">
              <w:rPr>
                <w:rFonts w:ascii="Calibri" w:eastAsia="Times New Roman" w:hAnsi="Calibri" w:cs="Calibri"/>
                <w:color w:val="000000"/>
                <w:lang w:eastAsia="en-AU"/>
              </w:rPr>
              <w:t>4.8%</w:t>
            </w:r>
          </w:p>
        </w:tc>
        <w:tc>
          <w:tcPr>
            <w:tcW w:w="867" w:type="dxa"/>
            <w:shd w:val="clear" w:color="auto" w:fill="auto"/>
            <w:noWrap/>
            <w:vAlign w:val="bottom"/>
            <w:hideMark/>
          </w:tcPr>
          <w:p w14:paraId="5298D763" w14:textId="77777777" w:rsidR="002A4104" w:rsidRPr="0029631C" w:rsidRDefault="002A4104" w:rsidP="00CA1387">
            <w:pPr>
              <w:spacing w:after="0" w:line="240" w:lineRule="auto"/>
              <w:jc w:val="right"/>
              <w:rPr>
                <w:rFonts w:ascii="Calibri" w:eastAsia="Times New Roman" w:hAnsi="Calibri" w:cs="Calibri"/>
                <w:color w:val="000000"/>
                <w:lang w:eastAsia="en-AU"/>
              </w:rPr>
            </w:pPr>
            <w:r w:rsidRPr="0029631C">
              <w:rPr>
                <w:rFonts w:ascii="Calibri" w:eastAsia="Times New Roman" w:hAnsi="Calibri" w:cs="Calibri"/>
                <w:color w:val="000000"/>
                <w:lang w:eastAsia="en-AU"/>
              </w:rPr>
              <w:t>4.7%</w:t>
            </w:r>
          </w:p>
        </w:tc>
        <w:tc>
          <w:tcPr>
            <w:tcW w:w="867" w:type="dxa"/>
            <w:shd w:val="clear" w:color="auto" w:fill="auto"/>
            <w:noWrap/>
            <w:vAlign w:val="bottom"/>
            <w:hideMark/>
          </w:tcPr>
          <w:p w14:paraId="4C8BDE49" w14:textId="77777777" w:rsidR="002A4104" w:rsidRPr="0029631C" w:rsidRDefault="002A4104" w:rsidP="00CA1387">
            <w:pPr>
              <w:spacing w:after="0" w:line="240" w:lineRule="auto"/>
              <w:jc w:val="right"/>
              <w:rPr>
                <w:rFonts w:ascii="Calibri" w:eastAsia="Times New Roman" w:hAnsi="Calibri" w:cs="Calibri"/>
                <w:color w:val="000000"/>
                <w:lang w:eastAsia="en-AU"/>
              </w:rPr>
            </w:pPr>
            <w:r w:rsidRPr="0029631C">
              <w:rPr>
                <w:rFonts w:ascii="Calibri" w:eastAsia="Times New Roman" w:hAnsi="Calibri" w:cs="Calibri"/>
                <w:color w:val="000000"/>
                <w:lang w:eastAsia="en-AU"/>
              </w:rPr>
              <w:t>7.0%</w:t>
            </w:r>
          </w:p>
        </w:tc>
        <w:tc>
          <w:tcPr>
            <w:tcW w:w="831" w:type="dxa"/>
            <w:vAlign w:val="bottom"/>
          </w:tcPr>
          <w:p w14:paraId="2CDB70E2" w14:textId="77777777" w:rsidR="002A4104" w:rsidRPr="0029631C" w:rsidRDefault="002A4104" w:rsidP="00CA1387">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4.9%</w:t>
            </w:r>
          </w:p>
        </w:tc>
      </w:tr>
    </w:tbl>
    <w:p w14:paraId="34A49658" w14:textId="77777777" w:rsidR="002A4104" w:rsidRDefault="002A4104" w:rsidP="002A4104">
      <w:pPr>
        <w:pStyle w:val="Heading2"/>
      </w:pPr>
    </w:p>
    <w:p w14:paraId="29287ED1" w14:textId="77777777" w:rsidR="002A4104" w:rsidRPr="008674D5" w:rsidRDefault="002A4104" w:rsidP="002A4104">
      <w:pPr>
        <w:pStyle w:val="Heading2"/>
      </w:pPr>
      <w:r w:rsidRPr="008674D5">
        <w:t>Why do students leave school early?</w:t>
      </w:r>
    </w:p>
    <w:p w14:paraId="1195F165" w14:textId="77777777" w:rsidR="002A4104" w:rsidRPr="0008339F" w:rsidRDefault="002A4104" w:rsidP="002A4104">
      <w:pPr>
        <w:pStyle w:val="NoSpacing"/>
        <w:jc w:val="both"/>
        <w:rPr>
          <w:rFonts w:asciiTheme="minorHAnsi" w:hAnsiTheme="minorHAnsi" w:cstheme="minorHAnsi"/>
          <w:sz w:val="22"/>
        </w:rPr>
      </w:pPr>
      <w:r w:rsidRPr="0008339F">
        <w:rPr>
          <w:rFonts w:asciiTheme="minorHAnsi" w:hAnsiTheme="minorHAnsi" w:cstheme="minorHAnsi"/>
          <w:sz w:val="22"/>
        </w:rPr>
        <w:t>Reasons for leaving school are categorised as either ‘push’ factors (negative/adverse experiences of school) or ‘pull’ factors (positive alternatives to pursue).</w:t>
      </w:r>
    </w:p>
    <w:p w14:paraId="405A5E86" w14:textId="77777777" w:rsidR="002A4104" w:rsidRPr="0008339F" w:rsidRDefault="002A4104" w:rsidP="002A4104">
      <w:pPr>
        <w:pStyle w:val="NoSpacing"/>
        <w:jc w:val="both"/>
        <w:rPr>
          <w:rFonts w:asciiTheme="minorHAnsi" w:hAnsiTheme="minorHAnsi" w:cstheme="minorHAnsi"/>
          <w:sz w:val="22"/>
        </w:rPr>
      </w:pPr>
    </w:p>
    <w:p w14:paraId="65E9024F" w14:textId="77777777" w:rsidR="002A4104" w:rsidRDefault="002A4104" w:rsidP="002A4104">
      <w:pPr>
        <w:pStyle w:val="NoSpacing"/>
        <w:jc w:val="both"/>
        <w:rPr>
          <w:rFonts w:asciiTheme="minorHAnsi" w:hAnsiTheme="minorHAnsi" w:cstheme="minorHAnsi"/>
          <w:sz w:val="22"/>
        </w:rPr>
      </w:pPr>
      <w:r w:rsidRPr="0008339F">
        <w:rPr>
          <w:rFonts w:asciiTheme="minorHAnsi" w:hAnsiTheme="minorHAnsi" w:cstheme="minorHAnsi"/>
          <w:sz w:val="22"/>
        </w:rPr>
        <w:t xml:space="preserve">Commonly cited ‘push’ factor reasons for students leaving school early include ‘a feeling that school wasn’t good for them’, ‘they didn’t like school’ or that ‘they found it too hard’. Results for the 2021 cohort show slight differences in the most common ‘push’ factors for students leaving school early when compared to 2020. </w:t>
      </w:r>
    </w:p>
    <w:p w14:paraId="370A836A" w14:textId="77777777" w:rsidR="002A4104" w:rsidRPr="001777C3" w:rsidRDefault="002A4104" w:rsidP="002A4104">
      <w:pPr>
        <w:pStyle w:val="NoSpacing"/>
        <w:rPr>
          <w:rFonts w:asciiTheme="minorHAnsi" w:hAnsiTheme="minorHAnsi" w:cstheme="minorHAnsi"/>
          <w:sz w:val="22"/>
        </w:rPr>
      </w:pPr>
      <w:r w:rsidRPr="0008339F">
        <w:rPr>
          <w:rFonts w:asciiTheme="minorHAnsi" w:hAnsiTheme="minorHAnsi" w:cstheme="minorHAnsi"/>
          <w:sz w:val="22"/>
        </w:rPr>
        <w:t>The most commonly reported ‘pu</w:t>
      </w:r>
      <w:r>
        <w:rPr>
          <w:rFonts w:asciiTheme="minorHAnsi" w:hAnsiTheme="minorHAnsi" w:cstheme="minorHAnsi"/>
          <w:sz w:val="22"/>
        </w:rPr>
        <w:t>sh</w:t>
      </w:r>
      <w:r w:rsidRPr="0008339F">
        <w:rPr>
          <w:rFonts w:asciiTheme="minorHAnsi" w:hAnsiTheme="minorHAnsi" w:cstheme="minorHAnsi"/>
          <w:sz w:val="22"/>
        </w:rPr>
        <w:t xml:space="preserve">’ factor </w:t>
      </w:r>
      <w:r>
        <w:rPr>
          <w:rFonts w:asciiTheme="minorHAnsi" w:hAnsiTheme="minorHAnsi" w:cstheme="minorHAnsi"/>
          <w:sz w:val="22"/>
        </w:rPr>
        <w:t>remains:</w:t>
      </w:r>
      <w:r w:rsidRPr="0008339F">
        <w:rPr>
          <w:rFonts w:asciiTheme="minorHAnsi" w:hAnsiTheme="minorHAnsi" w:cstheme="minorHAnsi"/>
          <w:sz w:val="22"/>
        </w:rPr>
        <w:t xml:space="preserve"> </w:t>
      </w:r>
      <w:r>
        <w:rPr>
          <w:rFonts w:asciiTheme="minorHAnsi" w:hAnsiTheme="minorHAnsi" w:cstheme="minorHAnsi"/>
          <w:sz w:val="22"/>
        </w:rPr>
        <w:t>‘</w:t>
      </w:r>
      <w:r w:rsidRPr="0008339F">
        <w:rPr>
          <w:rFonts w:asciiTheme="minorHAnsi" w:hAnsiTheme="minorHAnsi" w:cstheme="minorHAnsi"/>
          <w:sz w:val="22"/>
        </w:rPr>
        <w:t>Did not like school/ teachers/was not interested in going</w:t>
      </w:r>
      <w:r>
        <w:rPr>
          <w:rFonts w:asciiTheme="minorHAnsi" w:hAnsiTheme="minorHAnsi" w:cstheme="minorHAnsi"/>
          <w:sz w:val="22"/>
        </w:rPr>
        <w:t>’</w:t>
      </w:r>
      <w:r w:rsidRPr="0008339F">
        <w:rPr>
          <w:rFonts w:asciiTheme="minorHAnsi" w:hAnsiTheme="minorHAnsi" w:cstheme="minorHAnsi"/>
          <w:sz w:val="22"/>
        </w:rPr>
        <w:t xml:space="preserve"> (</w:t>
      </w:r>
      <w:r>
        <w:rPr>
          <w:rFonts w:asciiTheme="minorHAnsi" w:hAnsiTheme="minorHAnsi" w:cstheme="minorHAnsi"/>
          <w:sz w:val="22"/>
        </w:rPr>
        <w:t>14.6</w:t>
      </w:r>
      <w:r w:rsidRPr="0008339F">
        <w:rPr>
          <w:rFonts w:asciiTheme="minorHAnsi" w:hAnsiTheme="minorHAnsi" w:cstheme="minorHAnsi"/>
          <w:sz w:val="22"/>
        </w:rPr>
        <w:t xml:space="preserve"> </w:t>
      </w:r>
      <w:r>
        <w:rPr>
          <w:rFonts w:asciiTheme="minorHAnsi" w:hAnsiTheme="minorHAnsi" w:cstheme="minorHAnsi"/>
          <w:sz w:val="22"/>
        </w:rPr>
        <w:t>per cent in 2021 compared to 12.4 per cent in 2020)</w:t>
      </w:r>
      <w:r w:rsidRPr="0008339F">
        <w:rPr>
          <w:rFonts w:asciiTheme="minorHAnsi" w:hAnsiTheme="minorHAnsi" w:cstheme="minorHAnsi"/>
          <w:sz w:val="22"/>
        </w:rPr>
        <w:t>.</w:t>
      </w:r>
    </w:p>
    <w:p w14:paraId="296056DF" w14:textId="77777777" w:rsidR="002A4104" w:rsidRPr="0008339F" w:rsidRDefault="002A4104" w:rsidP="002A4104">
      <w:pPr>
        <w:pStyle w:val="NoSpacing"/>
        <w:jc w:val="both"/>
        <w:rPr>
          <w:rFonts w:asciiTheme="minorHAnsi" w:hAnsiTheme="minorHAnsi" w:cstheme="minorHAnsi"/>
          <w:sz w:val="22"/>
        </w:rPr>
      </w:pPr>
    </w:p>
    <w:p w14:paraId="6FF168EC" w14:textId="77777777" w:rsidR="002A4104" w:rsidRPr="001777C3" w:rsidRDefault="002A4104" w:rsidP="002A4104">
      <w:pPr>
        <w:pStyle w:val="NoSpacing"/>
        <w:rPr>
          <w:rFonts w:asciiTheme="minorHAnsi" w:hAnsiTheme="minorHAnsi" w:cstheme="minorHAnsi"/>
          <w:sz w:val="22"/>
        </w:rPr>
      </w:pPr>
      <w:r w:rsidRPr="0008339F">
        <w:rPr>
          <w:rFonts w:asciiTheme="minorHAnsi" w:hAnsiTheme="minorHAnsi" w:cstheme="minorHAnsi"/>
          <w:sz w:val="22"/>
        </w:rPr>
        <w:t>‘Work or career reasons’ remain the most common ‘pull’ factor for leaving school without completing Year 12, with 23.3 per cent of non-completers reporting this as the reason they left school (stable when compared to 2</w:t>
      </w:r>
      <w:r>
        <w:rPr>
          <w:rFonts w:asciiTheme="minorHAnsi" w:hAnsiTheme="minorHAnsi" w:cstheme="minorHAnsi"/>
          <w:sz w:val="22"/>
        </w:rPr>
        <w:t>2.8</w:t>
      </w:r>
      <w:r w:rsidRPr="0008339F">
        <w:rPr>
          <w:rFonts w:asciiTheme="minorHAnsi" w:hAnsiTheme="minorHAnsi" w:cstheme="minorHAnsi"/>
          <w:sz w:val="22"/>
        </w:rPr>
        <w:t xml:space="preserve"> per cent in 2020). </w:t>
      </w:r>
    </w:p>
    <w:p w14:paraId="1B53239E" w14:textId="77777777" w:rsidR="002A4104" w:rsidRDefault="002A4104" w:rsidP="002A4104">
      <w:pPr>
        <w:pStyle w:val="NoSpacing"/>
        <w:jc w:val="both"/>
        <w:rPr>
          <w:rFonts w:asciiTheme="minorHAnsi" w:hAnsiTheme="minorHAnsi" w:cstheme="minorHAnsi"/>
          <w:sz w:val="22"/>
        </w:rPr>
      </w:pPr>
    </w:p>
    <w:p w14:paraId="5F8A1DDE" w14:textId="77777777" w:rsidR="002A4104" w:rsidRDefault="002A4104" w:rsidP="002A4104">
      <w:pPr>
        <w:pStyle w:val="NoSpacing"/>
        <w:jc w:val="both"/>
        <w:rPr>
          <w:rFonts w:asciiTheme="minorHAnsi" w:hAnsiTheme="minorHAnsi" w:cstheme="minorHAnsi"/>
          <w:sz w:val="22"/>
        </w:rPr>
      </w:pPr>
    </w:p>
    <w:p w14:paraId="50A8B3B3" w14:textId="77777777" w:rsidR="002A4104" w:rsidRPr="00B87CFF" w:rsidRDefault="002A4104" w:rsidP="002A4104">
      <w:pPr>
        <w:pStyle w:val="Heading3"/>
      </w:pPr>
      <w:r w:rsidRPr="001777C3">
        <w:t>Reason for leaving school early</w:t>
      </w:r>
    </w:p>
    <w:p w14:paraId="7302C300" w14:textId="77777777" w:rsidR="002A4104" w:rsidRPr="005750CF" w:rsidRDefault="002A4104" w:rsidP="002A4104">
      <w:pPr>
        <w:pStyle w:val="NoSpacing"/>
        <w:rPr>
          <w:rFonts w:asciiTheme="minorHAnsi" w:hAnsiTheme="minorHAnsi" w:cstheme="minorHAnsi"/>
          <w:sz w:val="22"/>
        </w:rPr>
      </w:pPr>
    </w:p>
    <w:tbl>
      <w:tblPr>
        <w:tblStyle w:val="TableGrid"/>
        <w:tblW w:w="0" w:type="auto"/>
        <w:tblInd w:w="-5" w:type="dxa"/>
        <w:tblLook w:val="04A0" w:firstRow="1" w:lastRow="0" w:firstColumn="1" w:lastColumn="0" w:noHBand="0" w:noVBand="1"/>
        <w:tblDescription w:val="This table shows the most common push and pull factors for students leaving school early, 2018 and 2019"/>
      </w:tblPr>
      <w:tblGrid>
        <w:gridCol w:w="4772"/>
        <w:gridCol w:w="1430"/>
        <w:gridCol w:w="1430"/>
        <w:gridCol w:w="1389"/>
      </w:tblGrid>
      <w:tr w:rsidR="002A4104" w:rsidRPr="001777C3" w14:paraId="12884CB5" w14:textId="77777777" w:rsidTr="00CA1387">
        <w:trPr>
          <w:trHeight w:val="529"/>
        </w:trPr>
        <w:tc>
          <w:tcPr>
            <w:tcW w:w="4772" w:type="dxa"/>
            <w:shd w:val="clear" w:color="auto" w:fill="auto"/>
          </w:tcPr>
          <w:p w14:paraId="4BFFC332" w14:textId="77777777" w:rsidR="002A4104" w:rsidRPr="001777C3" w:rsidRDefault="002A4104" w:rsidP="00CA1387">
            <w:pPr>
              <w:pStyle w:val="NoSpacing"/>
              <w:rPr>
                <w:rFonts w:asciiTheme="minorHAnsi" w:hAnsiTheme="minorHAnsi" w:cstheme="minorHAnsi"/>
                <w:b/>
                <w:sz w:val="22"/>
              </w:rPr>
            </w:pPr>
          </w:p>
        </w:tc>
        <w:tc>
          <w:tcPr>
            <w:tcW w:w="1430" w:type="dxa"/>
            <w:shd w:val="clear" w:color="auto" w:fill="auto"/>
          </w:tcPr>
          <w:p w14:paraId="2DF03A18" w14:textId="77777777" w:rsidR="002A4104" w:rsidRPr="001777C3" w:rsidRDefault="002A4104" w:rsidP="00CA1387">
            <w:pPr>
              <w:pStyle w:val="NoSpacing"/>
              <w:jc w:val="center"/>
              <w:rPr>
                <w:rFonts w:asciiTheme="minorHAnsi" w:hAnsiTheme="minorHAnsi" w:cstheme="minorHAnsi"/>
                <w:b/>
                <w:sz w:val="22"/>
              </w:rPr>
            </w:pPr>
            <w:r w:rsidRPr="001777C3">
              <w:rPr>
                <w:rFonts w:asciiTheme="minorHAnsi" w:hAnsiTheme="minorHAnsi" w:cstheme="minorHAnsi"/>
                <w:b/>
                <w:sz w:val="22"/>
              </w:rPr>
              <w:t>2019</w:t>
            </w:r>
          </w:p>
        </w:tc>
        <w:tc>
          <w:tcPr>
            <w:tcW w:w="1430" w:type="dxa"/>
            <w:shd w:val="clear" w:color="auto" w:fill="auto"/>
          </w:tcPr>
          <w:p w14:paraId="73F177E4" w14:textId="77777777" w:rsidR="002A4104" w:rsidRPr="001777C3" w:rsidRDefault="002A4104" w:rsidP="00CA1387">
            <w:pPr>
              <w:pStyle w:val="NoSpacing"/>
              <w:jc w:val="center"/>
              <w:rPr>
                <w:rFonts w:asciiTheme="minorHAnsi" w:hAnsiTheme="minorHAnsi" w:cstheme="minorHAnsi"/>
                <w:b/>
                <w:sz w:val="22"/>
              </w:rPr>
            </w:pPr>
            <w:r>
              <w:rPr>
                <w:rFonts w:asciiTheme="minorHAnsi" w:hAnsiTheme="minorHAnsi" w:cstheme="minorHAnsi"/>
                <w:b/>
                <w:sz w:val="22"/>
              </w:rPr>
              <w:t>2020</w:t>
            </w:r>
          </w:p>
        </w:tc>
        <w:tc>
          <w:tcPr>
            <w:tcW w:w="1389" w:type="dxa"/>
          </w:tcPr>
          <w:p w14:paraId="1191697B" w14:textId="77777777" w:rsidR="002A4104" w:rsidRDefault="002A4104" w:rsidP="00CA1387">
            <w:pPr>
              <w:pStyle w:val="NoSpacing"/>
              <w:jc w:val="center"/>
              <w:rPr>
                <w:rFonts w:asciiTheme="minorHAnsi" w:hAnsiTheme="minorHAnsi" w:cstheme="minorHAnsi"/>
                <w:b/>
                <w:sz w:val="22"/>
              </w:rPr>
            </w:pPr>
            <w:r w:rsidRPr="004D1FA7">
              <w:rPr>
                <w:rFonts w:asciiTheme="minorHAnsi" w:hAnsiTheme="minorHAnsi" w:cstheme="minorHAnsi"/>
                <w:b/>
                <w:sz w:val="22"/>
              </w:rPr>
              <w:t>2021</w:t>
            </w:r>
          </w:p>
        </w:tc>
      </w:tr>
      <w:tr w:rsidR="002A4104" w:rsidRPr="001777C3" w14:paraId="4E35490A" w14:textId="77777777" w:rsidTr="00CA1387">
        <w:tc>
          <w:tcPr>
            <w:tcW w:w="4772" w:type="dxa"/>
            <w:shd w:val="clear" w:color="auto" w:fill="auto"/>
          </w:tcPr>
          <w:p w14:paraId="11F37800" w14:textId="77777777" w:rsidR="002A4104" w:rsidRPr="00D71BE1" w:rsidRDefault="002A4104" w:rsidP="00CA1387">
            <w:pPr>
              <w:pStyle w:val="NoSpacing"/>
              <w:rPr>
                <w:rFonts w:asciiTheme="minorHAnsi" w:hAnsiTheme="minorHAnsi" w:cstheme="minorHAnsi"/>
                <w:b/>
                <w:bCs/>
                <w:sz w:val="22"/>
              </w:rPr>
            </w:pPr>
            <w:r w:rsidRPr="00D71BE1">
              <w:rPr>
                <w:rFonts w:asciiTheme="minorHAnsi" w:hAnsiTheme="minorHAnsi" w:cstheme="minorHAnsi"/>
                <w:b/>
                <w:bCs/>
                <w:sz w:val="22"/>
              </w:rPr>
              <w:t>Push factors</w:t>
            </w:r>
          </w:p>
        </w:tc>
        <w:tc>
          <w:tcPr>
            <w:tcW w:w="1430" w:type="dxa"/>
            <w:shd w:val="clear" w:color="auto" w:fill="auto"/>
          </w:tcPr>
          <w:p w14:paraId="444F4CF9" w14:textId="77777777" w:rsidR="002A4104" w:rsidRPr="00BA6A75" w:rsidRDefault="002A4104" w:rsidP="00CA1387">
            <w:pPr>
              <w:pStyle w:val="NoSpacing"/>
              <w:jc w:val="center"/>
              <w:rPr>
                <w:rFonts w:asciiTheme="minorHAnsi" w:hAnsiTheme="minorHAnsi" w:cstheme="minorHAnsi"/>
                <w:b/>
                <w:bCs/>
                <w:sz w:val="22"/>
              </w:rPr>
            </w:pPr>
          </w:p>
        </w:tc>
        <w:tc>
          <w:tcPr>
            <w:tcW w:w="1430" w:type="dxa"/>
            <w:shd w:val="clear" w:color="auto" w:fill="auto"/>
          </w:tcPr>
          <w:p w14:paraId="3148D668" w14:textId="77777777" w:rsidR="002A4104" w:rsidRDefault="002A4104" w:rsidP="00CA1387">
            <w:pPr>
              <w:pStyle w:val="NoSpacing"/>
              <w:jc w:val="center"/>
              <w:rPr>
                <w:rFonts w:asciiTheme="minorHAnsi" w:hAnsiTheme="minorHAnsi" w:cstheme="minorHAnsi"/>
                <w:b/>
                <w:bCs/>
                <w:sz w:val="22"/>
              </w:rPr>
            </w:pPr>
          </w:p>
        </w:tc>
        <w:tc>
          <w:tcPr>
            <w:tcW w:w="1389" w:type="dxa"/>
          </w:tcPr>
          <w:p w14:paraId="5256277A" w14:textId="77777777" w:rsidR="002A4104" w:rsidRDefault="002A4104" w:rsidP="00CA1387">
            <w:pPr>
              <w:pStyle w:val="NoSpacing"/>
              <w:jc w:val="center"/>
              <w:rPr>
                <w:rFonts w:asciiTheme="minorHAnsi" w:hAnsiTheme="minorHAnsi" w:cstheme="minorHAnsi"/>
                <w:b/>
                <w:bCs/>
                <w:sz w:val="22"/>
              </w:rPr>
            </w:pPr>
          </w:p>
        </w:tc>
      </w:tr>
      <w:tr w:rsidR="002A4104" w:rsidRPr="001777C3" w14:paraId="4073800D" w14:textId="77777777" w:rsidTr="00CA1387">
        <w:tc>
          <w:tcPr>
            <w:tcW w:w="4772" w:type="dxa"/>
            <w:shd w:val="clear" w:color="auto" w:fill="auto"/>
          </w:tcPr>
          <w:p w14:paraId="6D3FD6AD" w14:textId="77777777" w:rsidR="002A4104" w:rsidRPr="001777C3" w:rsidRDefault="002A4104" w:rsidP="00CA1387">
            <w:pPr>
              <w:pStyle w:val="NoSpacing"/>
              <w:rPr>
                <w:rFonts w:asciiTheme="minorHAnsi" w:hAnsiTheme="minorHAnsi" w:cstheme="minorHAnsi"/>
                <w:sz w:val="22"/>
              </w:rPr>
            </w:pPr>
          </w:p>
          <w:p w14:paraId="451BA714" w14:textId="77777777" w:rsidR="002A4104" w:rsidRPr="001777C3" w:rsidRDefault="002A4104" w:rsidP="00CA1387">
            <w:pPr>
              <w:pStyle w:val="NoSpacing"/>
              <w:rPr>
                <w:rFonts w:asciiTheme="minorHAnsi" w:hAnsiTheme="minorHAnsi" w:cstheme="minorHAnsi"/>
                <w:sz w:val="22"/>
              </w:rPr>
            </w:pPr>
            <w:r w:rsidRPr="001777C3">
              <w:rPr>
                <w:rFonts w:asciiTheme="minorHAnsi" w:hAnsiTheme="minorHAnsi" w:cstheme="minorHAnsi"/>
                <w:sz w:val="22"/>
              </w:rPr>
              <w:t>Did not like school/ teachers/was not interested in going</w:t>
            </w:r>
          </w:p>
          <w:p w14:paraId="50E58A66" w14:textId="77777777" w:rsidR="002A4104" w:rsidRPr="001777C3" w:rsidRDefault="002A4104" w:rsidP="00CA1387">
            <w:pPr>
              <w:pStyle w:val="NoSpacing"/>
              <w:rPr>
                <w:rFonts w:asciiTheme="minorHAnsi" w:hAnsiTheme="minorHAnsi" w:cstheme="minorHAnsi"/>
                <w:sz w:val="22"/>
              </w:rPr>
            </w:pPr>
          </w:p>
        </w:tc>
        <w:tc>
          <w:tcPr>
            <w:tcW w:w="1430" w:type="dxa"/>
            <w:shd w:val="clear" w:color="auto" w:fill="auto"/>
          </w:tcPr>
          <w:p w14:paraId="10FB469F" w14:textId="77777777" w:rsidR="002A4104" w:rsidRPr="00BA6A75" w:rsidRDefault="002A4104" w:rsidP="00CA1387">
            <w:pPr>
              <w:pStyle w:val="NoSpacing"/>
              <w:jc w:val="center"/>
              <w:rPr>
                <w:rFonts w:asciiTheme="minorHAnsi" w:hAnsiTheme="minorHAnsi" w:cstheme="minorHAnsi"/>
                <w:b/>
                <w:bCs/>
                <w:sz w:val="22"/>
              </w:rPr>
            </w:pPr>
          </w:p>
          <w:p w14:paraId="12D0F3E4" w14:textId="77777777" w:rsidR="002A4104" w:rsidRPr="00BA6A75" w:rsidRDefault="002A4104" w:rsidP="00CA1387">
            <w:pPr>
              <w:pStyle w:val="NoSpacing"/>
              <w:jc w:val="center"/>
              <w:rPr>
                <w:rFonts w:asciiTheme="minorHAnsi" w:hAnsiTheme="minorHAnsi" w:cstheme="minorHAnsi"/>
                <w:b/>
                <w:bCs/>
                <w:sz w:val="22"/>
              </w:rPr>
            </w:pPr>
            <w:r w:rsidRPr="00BA6A75">
              <w:rPr>
                <w:rFonts w:asciiTheme="minorHAnsi" w:hAnsiTheme="minorHAnsi" w:cstheme="minorHAnsi"/>
                <w:b/>
                <w:bCs/>
                <w:sz w:val="22"/>
              </w:rPr>
              <w:t>1</w:t>
            </w:r>
            <w:r>
              <w:rPr>
                <w:rFonts w:asciiTheme="minorHAnsi" w:hAnsiTheme="minorHAnsi" w:cstheme="minorHAnsi"/>
                <w:b/>
                <w:bCs/>
                <w:sz w:val="22"/>
              </w:rPr>
              <w:t>5.8</w:t>
            </w:r>
            <w:r w:rsidRPr="00BA6A75">
              <w:rPr>
                <w:rFonts w:asciiTheme="minorHAnsi" w:hAnsiTheme="minorHAnsi" w:cstheme="minorHAnsi"/>
                <w:b/>
                <w:bCs/>
                <w:sz w:val="22"/>
              </w:rPr>
              <w:t>%</w:t>
            </w:r>
          </w:p>
        </w:tc>
        <w:tc>
          <w:tcPr>
            <w:tcW w:w="1430" w:type="dxa"/>
            <w:shd w:val="clear" w:color="auto" w:fill="auto"/>
          </w:tcPr>
          <w:p w14:paraId="75293928" w14:textId="77777777" w:rsidR="002A4104" w:rsidRDefault="002A4104" w:rsidP="00CA1387">
            <w:pPr>
              <w:pStyle w:val="NoSpacing"/>
              <w:jc w:val="center"/>
              <w:rPr>
                <w:rFonts w:asciiTheme="minorHAnsi" w:hAnsiTheme="minorHAnsi" w:cstheme="minorHAnsi"/>
                <w:b/>
                <w:bCs/>
                <w:sz w:val="22"/>
              </w:rPr>
            </w:pPr>
          </w:p>
          <w:p w14:paraId="4982B0BC" w14:textId="77777777" w:rsidR="002A4104" w:rsidRPr="00BA6A75" w:rsidRDefault="002A4104" w:rsidP="00CA1387">
            <w:pPr>
              <w:pStyle w:val="NoSpacing"/>
              <w:jc w:val="center"/>
              <w:rPr>
                <w:rFonts w:asciiTheme="minorHAnsi" w:hAnsiTheme="minorHAnsi" w:cstheme="minorHAnsi"/>
                <w:b/>
                <w:bCs/>
                <w:sz w:val="22"/>
              </w:rPr>
            </w:pPr>
            <w:r w:rsidRPr="00BA6A75">
              <w:rPr>
                <w:rFonts w:asciiTheme="minorHAnsi" w:hAnsiTheme="minorHAnsi" w:cstheme="minorHAnsi"/>
                <w:b/>
                <w:bCs/>
                <w:sz w:val="22"/>
              </w:rPr>
              <w:t>12</w:t>
            </w:r>
            <w:r>
              <w:rPr>
                <w:rFonts w:asciiTheme="minorHAnsi" w:hAnsiTheme="minorHAnsi" w:cstheme="minorHAnsi"/>
                <w:b/>
                <w:bCs/>
                <w:sz w:val="22"/>
              </w:rPr>
              <w:t>.4</w:t>
            </w:r>
            <w:r w:rsidRPr="00BA6A75">
              <w:rPr>
                <w:rFonts w:asciiTheme="minorHAnsi" w:hAnsiTheme="minorHAnsi" w:cstheme="minorHAnsi"/>
                <w:b/>
                <w:bCs/>
                <w:sz w:val="22"/>
              </w:rPr>
              <w:t>%</w:t>
            </w:r>
          </w:p>
        </w:tc>
        <w:tc>
          <w:tcPr>
            <w:tcW w:w="1389" w:type="dxa"/>
          </w:tcPr>
          <w:p w14:paraId="35C30A38" w14:textId="77777777" w:rsidR="002A4104" w:rsidRDefault="002A4104" w:rsidP="00CA1387">
            <w:pPr>
              <w:pStyle w:val="NoSpacing"/>
              <w:jc w:val="center"/>
              <w:rPr>
                <w:rFonts w:asciiTheme="minorHAnsi" w:hAnsiTheme="minorHAnsi" w:cstheme="minorHAnsi"/>
                <w:b/>
                <w:bCs/>
                <w:sz w:val="22"/>
              </w:rPr>
            </w:pPr>
          </w:p>
          <w:p w14:paraId="166BCBBB" w14:textId="77777777" w:rsidR="002A4104" w:rsidRDefault="002A4104" w:rsidP="00CA1387">
            <w:pPr>
              <w:pStyle w:val="NoSpacing"/>
              <w:jc w:val="center"/>
              <w:rPr>
                <w:rFonts w:asciiTheme="minorHAnsi" w:hAnsiTheme="minorHAnsi" w:cstheme="minorHAnsi"/>
                <w:b/>
                <w:bCs/>
                <w:sz w:val="22"/>
              </w:rPr>
            </w:pPr>
            <w:r>
              <w:rPr>
                <w:rFonts w:asciiTheme="minorHAnsi" w:hAnsiTheme="minorHAnsi" w:cstheme="minorHAnsi"/>
                <w:b/>
                <w:bCs/>
                <w:sz w:val="22"/>
              </w:rPr>
              <w:t>14.6%</w:t>
            </w:r>
          </w:p>
        </w:tc>
      </w:tr>
      <w:tr w:rsidR="002A4104" w:rsidRPr="001777C3" w14:paraId="1318CF88" w14:textId="77777777" w:rsidTr="00CA1387">
        <w:tc>
          <w:tcPr>
            <w:tcW w:w="4772" w:type="dxa"/>
            <w:shd w:val="clear" w:color="auto" w:fill="auto"/>
          </w:tcPr>
          <w:p w14:paraId="2A0458A0" w14:textId="77777777" w:rsidR="002A4104" w:rsidRPr="001777C3" w:rsidRDefault="002A4104" w:rsidP="00CA1387">
            <w:pPr>
              <w:pStyle w:val="NoSpacing"/>
              <w:rPr>
                <w:rFonts w:asciiTheme="minorHAnsi" w:hAnsiTheme="minorHAnsi" w:cstheme="minorHAnsi"/>
                <w:sz w:val="22"/>
              </w:rPr>
            </w:pPr>
          </w:p>
          <w:p w14:paraId="03C8CD2B" w14:textId="77777777" w:rsidR="002A4104" w:rsidRPr="001777C3" w:rsidRDefault="002A4104" w:rsidP="00CA1387">
            <w:pPr>
              <w:pStyle w:val="NoSpacing"/>
              <w:rPr>
                <w:rFonts w:asciiTheme="minorHAnsi" w:hAnsiTheme="minorHAnsi" w:cstheme="minorHAnsi"/>
                <w:sz w:val="22"/>
              </w:rPr>
            </w:pPr>
            <w:r w:rsidRPr="001777C3">
              <w:rPr>
                <w:rFonts w:asciiTheme="minorHAnsi" w:hAnsiTheme="minorHAnsi" w:cstheme="minorHAnsi"/>
                <w:sz w:val="22"/>
              </w:rPr>
              <w:t>School was not for me/school was not a good environment/I was not learning</w:t>
            </w:r>
          </w:p>
          <w:p w14:paraId="49739255" w14:textId="77777777" w:rsidR="002A4104" w:rsidRPr="001777C3" w:rsidRDefault="002A4104" w:rsidP="00CA1387">
            <w:pPr>
              <w:pStyle w:val="NoSpacing"/>
              <w:rPr>
                <w:rFonts w:asciiTheme="minorHAnsi" w:hAnsiTheme="minorHAnsi" w:cstheme="minorHAnsi"/>
                <w:sz w:val="22"/>
              </w:rPr>
            </w:pPr>
          </w:p>
        </w:tc>
        <w:tc>
          <w:tcPr>
            <w:tcW w:w="1430" w:type="dxa"/>
            <w:shd w:val="clear" w:color="auto" w:fill="auto"/>
          </w:tcPr>
          <w:p w14:paraId="71C1AB0E" w14:textId="77777777" w:rsidR="002A4104" w:rsidRPr="00BA6A75" w:rsidRDefault="002A4104" w:rsidP="00CA1387">
            <w:pPr>
              <w:pStyle w:val="NoSpacing"/>
              <w:jc w:val="center"/>
              <w:rPr>
                <w:rFonts w:asciiTheme="minorHAnsi" w:hAnsiTheme="minorHAnsi" w:cstheme="minorHAnsi"/>
                <w:b/>
                <w:bCs/>
                <w:sz w:val="22"/>
              </w:rPr>
            </w:pPr>
          </w:p>
          <w:p w14:paraId="2DCC32AC" w14:textId="77777777" w:rsidR="002A4104" w:rsidRPr="00BA6A75" w:rsidRDefault="002A4104" w:rsidP="00CA1387">
            <w:pPr>
              <w:pStyle w:val="NoSpacing"/>
              <w:jc w:val="center"/>
              <w:rPr>
                <w:rFonts w:asciiTheme="minorHAnsi" w:hAnsiTheme="minorHAnsi" w:cstheme="minorHAnsi"/>
                <w:b/>
                <w:bCs/>
                <w:sz w:val="22"/>
              </w:rPr>
            </w:pPr>
            <w:r>
              <w:rPr>
                <w:rFonts w:asciiTheme="minorHAnsi" w:hAnsiTheme="minorHAnsi" w:cstheme="minorHAnsi"/>
                <w:b/>
                <w:bCs/>
                <w:sz w:val="22"/>
              </w:rPr>
              <w:t>8.7</w:t>
            </w:r>
            <w:r w:rsidRPr="00BA6A75">
              <w:rPr>
                <w:rFonts w:asciiTheme="minorHAnsi" w:hAnsiTheme="minorHAnsi" w:cstheme="minorHAnsi"/>
                <w:b/>
                <w:bCs/>
                <w:sz w:val="22"/>
              </w:rPr>
              <w:t>%</w:t>
            </w:r>
          </w:p>
        </w:tc>
        <w:tc>
          <w:tcPr>
            <w:tcW w:w="1430" w:type="dxa"/>
            <w:shd w:val="clear" w:color="auto" w:fill="auto"/>
          </w:tcPr>
          <w:p w14:paraId="0DC0AA42" w14:textId="77777777" w:rsidR="002A4104" w:rsidRDefault="002A4104" w:rsidP="00CA1387">
            <w:pPr>
              <w:pStyle w:val="NoSpacing"/>
              <w:jc w:val="center"/>
              <w:rPr>
                <w:rFonts w:asciiTheme="minorHAnsi" w:hAnsiTheme="minorHAnsi" w:cstheme="minorHAnsi"/>
                <w:b/>
                <w:bCs/>
                <w:sz w:val="22"/>
              </w:rPr>
            </w:pPr>
          </w:p>
          <w:p w14:paraId="33505B2D" w14:textId="77777777" w:rsidR="002A4104" w:rsidRPr="00BA6A75" w:rsidRDefault="002A4104" w:rsidP="00CA1387">
            <w:pPr>
              <w:pStyle w:val="NoSpacing"/>
              <w:jc w:val="center"/>
              <w:rPr>
                <w:rFonts w:asciiTheme="minorHAnsi" w:hAnsiTheme="minorHAnsi" w:cstheme="minorHAnsi"/>
                <w:b/>
                <w:bCs/>
                <w:sz w:val="22"/>
              </w:rPr>
            </w:pPr>
            <w:r>
              <w:rPr>
                <w:rFonts w:asciiTheme="minorHAnsi" w:hAnsiTheme="minorHAnsi" w:cstheme="minorHAnsi"/>
                <w:b/>
                <w:bCs/>
                <w:sz w:val="22"/>
              </w:rPr>
              <w:t>9.6</w:t>
            </w:r>
            <w:r w:rsidRPr="00BA6A75">
              <w:rPr>
                <w:rFonts w:asciiTheme="minorHAnsi" w:hAnsiTheme="minorHAnsi" w:cstheme="minorHAnsi"/>
                <w:b/>
                <w:bCs/>
                <w:sz w:val="22"/>
              </w:rPr>
              <w:t>%</w:t>
            </w:r>
          </w:p>
        </w:tc>
        <w:tc>
          <w:tcPr>
            <w:tcW w:w="1389" w:type="dxa"/>
          </w:tcPr>
          <w:p w14:paraId="2CC6A5D7" w14:textId="77777777" w:rsidR="002A4104" w:rsidRDefault="002A4104" w:rsidP="00CA1387">
            <w:pPr>
              <w:pStyle w:val="NoSpacing"/>
              <w:jc w:val="center"/>
              <w:rPr>
                <w:rFonts w:asciiTheme="minorHAnsi" w:hAnsiTheme="minorHAnsi" w:cstheme="minorHAnsi"/>
                <w:b/>
                <w:bCs/>
                <w:sz w:val="22"/>
              </w:rPr>
            </w:pPr>
          </w:p>
          <w:p w14:paraId="5BD4F070" w14:textId="77777777" w:rsidR="002A4104" w:rsidRDefault="002A4104" w:rsidP="00CA1387">
            <w:pPr>
              <w:pStyle w:val="NoSpacing"/>
              <w:jc w:val="center"/>
              <w:rPr>
                <w:rFonts w:asciiTheme="minorHAnsi" w:hAnsiTheme="minorHAnsi" w:cstheme="minorHAnsi"/>
                <w:b/>
                <w:bCs/>
                <w:sz w:val="22"/>
              </w:rPr>
            </w:pPr>
            <w:r>
              <w:rPr>
                <w:rFonts w:asciiTheme="minorHAnsi" w:hAnsiTheme="minorHAnsi" w:cstheme="minorHAnsi"/>
                <w:b/>
                <w:bCs/>
                <w:sz w:val="22"/>
              </w:rPr>
              <w:t>10.9%</w:t>
            </w:r>
          </w:p>
        </w:tc>
      </w:tr>
      <w:tr w:rsidR="002A4104" w:rsidRPr="001777C3" w14:paraId="2A960CD2" w14:textId="77777777" w:rsidTr="00CA1387">
        <w:tc>
          <w:tcPr>
            <w:tcW w:w="4772" w:type="dxa"/>
            <w:shd w:val="clear" w:color="auto" w:fill="auto"/>
          </w:tcPr>
          <w:p w14:paraId="39DE5BE3" w14:textId="77777777" w:rsidR="002A4104" w:rsidRPr="001777C3" w:rsidRDefault="002A4104" w:rsidP="00CA1387">
            <w:pPr>
              <w:pStyle w:val="NoSpacing"/>
              <w:rPr>
                <w:rFonts w:asciiTheme="minorHAnsi" w:hAnsiTheme="minorHAnsi" w:cstheme="minorHAnsi"/>
                <w:sz w:val="22"/>
              </w:rPr>
            </w:pPr>
          </w:p>
          <w:p w14:paraId="2277F83F" w14:textId="77777777" w:rsidR="002A4104" w:rsidRPr="001777C3" w:rsidRDefault="002A4104" w:rsidP="00CA1387">
            <w:pPr>
              <w:pStyle w:val="NoSpacing"/>
              <w:rPr>
                <w:rFonts w:asciiTheme="minorHAnsi" w:hAnsiTheme="minorHAnsi" w:cstheme="minorHAnsi"/>
                <w:sz w:val="22"/>
              </w:rPr>
            </w:pPr>
            <w:r w:rsidRPr="001777C3">
              <w:rPr>
                <w:rFonts w:asciiTheme="minorHAnsi" w:hAnsiTheme="minorHAnsi" w:cstheme="minorHAnsi"/>
                <w:sz w:val="22"/>
              </w:rPr>
              <w:t>Ill health</w:t>
            </w:r>
          </w:p>
        </w:tc>
        <w:tc>
          <w:tcPr>
            <w:tcW w:w="1430" w:type="dxa"/>
            <w:shd w:val="clear" w:color="auto" w:fill="auto"/>
          </w:tcPr>
          <w:p w14:paraId="6F7B4820" w14:textId="77777777" w:rsidR="002A4104" w:rsidRDefault="002A4104" w:rsidP="00CA1387">
            <w:pPr>
              <w:pStyle w:val="NoSpacing"/>
              <w:jc w:val="center"/>
              <w:rPr>
                <w:rFonts w:asciiTheme="minorHAnsi" w:hAnsiTheme="minorHAnsi" w:cstheme="minorHAnsi"/>
                <w:b/>
                <w:bCs/>
                <w:sz w:val="22"/>
              </w:rPr>
            </w:pPr>
          </w:p>
          <w:p w14:paraId="678AD927" w14:textId="77777777" w:rsidR="002A4104" w:rsidRPr="00BA6A75" w:rsidRDefault="002A4104" w:rsidP="00CA1387">
            <w:pPr>
              <w:pStyle w:val="NoSpacing"/>
              <w:jc w:val="center"/>
              <w:rPr>
                <w:rFonts w:asciiTheme="minorHAnsi" w:hAnsiTheme="minorHAnsi" w:cstheme="minorHAnsi"/>
                <w:b/>
                <w:bCs/>
                <w:sz w:val="22"/>
              </w:rPr>
            </w:pPr>
            <w:r w:rsidRPr="00BA6A75">
              <w:rPr>
                <w:rFonts w:asciiTheme="minorHAnsi" w:hAnsiTheme="minorHAnsi" w:cstheme="minorHAnsi"/>
                <w:b/>
                <w:bCs/>
                <w:sz w:val="22"/>
              </w:rPr>
              <w:t>1</w:t>
            </w:r>
            <w:r>
              <w:rPr>
                <w:rFonts w:asciiTheme="minorHAnsi" w:hAnsiTheme="minorHAnsi" w:cstheme="minorHAnsi"/>
                <w:b/>
                <w:bCs/>
                <w:sz w:val="22"/>
              </w:rPr>
              <w:t>0.7</w:t>
            </w:r>
            <w:r w:rsidRPr="00BA6A75">
              <w:rPr>
                <w:rFonts w:asciiTheme="minorHAnsi" w:hAnsiTheme="minorHAnsi" w:cstheme="minorHAnsi"/>
                <w:b/>
                <w:bCs/>
                <w:sz w:val="22"/>
              </w:rPr>
              <w:t>%</w:t>
            </w:r>
          </w:p>
        </w:tc>
        <w:tc>
          <w:tcPr>
            <w:tcW w:w="1430" w:type="dxa"/>
            <w:shd w:val="clear" w:color="auto" w:fill="auto"/>
          </w:tcPr>
          <w:p w14:paraId="54B98BCD" w14:textId="77777777" w:rsidR="002A4104" w:rsidRDefault="002A4104" w:rsidP="00CA1387">
            <w:pPr>
              <w:pStyle w:val="NoSpacing"/>
              <w:jc w:val="center"/>
              <w:rPr>
                <w:rFonts w:asciiTheme="minorHAnsi" w:hAnsiTheme="minorHAnsi" w:cstheme="minorHAnsi"/>
                <w:b/>
                <w:bCs/>
                <w:sz w:val="22"/>
              </w:rPr>
            </w:pPr>
          </w:p>
          <w:p w14:paraId="6D35211E" w14:textId="77777777" w:rsidR="002A4104" w:rsidRPr="00BA6A75" w:rsidRDefault="002A4104" w:rsidP="00CA1387">
            <w:pPr>
              <w:pStyle w:val="NoSpacing"/>
              <w:jc w:val="center"/>
              <w:rPr>
                <w:rFonts w:asciiTheme="minorHAnsi" w:hAnsiTheme="minorHAnsi" w:cstheme="minorHAnsi"/>
                <w:b/>
                <w:bCs/>
                <w:sz w:val="22"/>
              </w:rPr>
            </w:pPr>
            <w:r w:rsidRPr="00BA6A75">
              <w:rPr>
                <w:rFonts w:asciiTheme="minorHAnsi" w:hAnsiTheme="minorHAnsi" w:cstheme="minorHAnsi"/>
                <w:b/>
                <w:bCs/>
                <w:sz w:val="22"/>
              </w:rPr>
              <w:t>10</w:t>
            </w:r>
            <w:r>
              <w:rPr>
                <w:rFonts w:asciiTheme="minorHAnsi" w:hAnsiTheme="minorHAnsi" w:cstheme="minorHAnsi"/>
                <w:b/>
                <w:bCs/>
                <w:sz w:val="22"/>
              </w:rPr>
              <w:t>.4</w:t>
            </w:r>
            <w:r w:rsidRPr="00BA6A75">
              <w:rPr>
                <w:rFonts w:asciiTheme="minorHAnsi" w:hAnsiTheme="minorHAnsi" w:cstheme="minorHAnsi"/>
                <w:b/>
                <w:bCs/>
                <w:sz w:val="22"/>
              </w:rPr>
              <w:t>%</w:t>
            </w:r>
          </w:p>
        </w:tc>
        <w:tc>
          <w:tcPr>
            <w:tcW w:w="1389" w:type="dxa"/>
          </w:tcPr>
          <w:p w14:paraId="2A448073" w14:textId="77777777" w:rsidR="002A4104" w:rsidRDefault="002A4104" w:rsidP="00CA1387">
            <w:pPr>
              <w:pStyle w:val="NoSpacing"/>
              <w:jc w:val="center"/>
              <w:rPr>
                <w:rFonts w:asciiTheme="minorHAnsi" w:hAnsiTheme="minorHAnsi" w:cstheme="minorHAnsi"/>
                <w:b/>
                <w:bCs/>
                <w:sz w:val="22"/>
              </w:rPr>
            </w:pPr>
          </w:p>
          <w:p w14:paraId="21007BB2" w14:textId="77777777" w:rsidR="002A4104" w:rsidRDefault="002A4104" w:rsidP="00CA1387">
            <w:pPr>
              <w:pStyle w:val="NoSpacing"/>
              <w:jc w:val="center"/>
              <w:rPr>
                <w:rFonts w:asciiTheme="minorHAnsi" w:hAnsiTheme="minorHAnsi" w:cstheme="minorHAnsi"/>
                <w:b/>
                <w:bCs/>
                <w:sz w:val="22"/>
              </w:rPr>
            </w:pPr>
            <w:r>
              <w:rPr>
                <w:rFonts w:asciiTheme="minorHAnsi" w:hAnsiTheme="minorHAnsi" w:cstheme="minorHAnsi"/>
                <w:b/>
                <w:bCs/>
                <w:sz w:val="22"/>
              </w:rPr>
              <w:t>10.3%</w:t>
            </w:r>
          </w:p>
        </w:tc>
      </w:tr>
      <w:tr w:rsidR="002A4104" w:rsidRPr="001777C3" w14:paraId="66F87DF9" w14:textId="77777777" w:rsidTr="00CA1387">
        <w:tc>
          <w:tcPr>
            <w:tcW w:w="4772" w:type="dxa"/>
            <w:shd w:val="clear" w:color="auto" w:fill="auto"/>
          </w:tcPr>
          <w:p w14:paraId="59768DC2" w14:textId="77777777" w:rsidR="002A4104" w:rsidRPr="000245C5" w:rsidRDefault="002A4104" w:rsidP="00CA1387">
            <w:pPr>
              <w:pStyle w:val="NoSpacing"/>
              <w:rPr>
                <w:rFonts w:asciiTheme="minorHAnsi" w:hAnsiTheme="minorHAnsi" w:cstheme="minorHAnsi"/>
                <w:b/>
                <w:bCs/>
                <w:sz w:val="22"/>
              </w:rPr>
            </w:pPr>
            <w:r w:rsidRPr="000245C5">
              <w:rPr>
                <w:rFonts w:asciiTheme="minorHAnsi" w:hAnsiTheme="minorHAnsi" w:cstheme="minorHAnsi"/>
                <w:b/>
                <w:bCs/>
                <w:sz w:val="22"/>
              </w:rPr>
              <w:t>Pull factors</w:t>
            </w:r>
          </w:p>
          <w:p w14:paraId="34293188" w14:textId="77777777" w:rsidR="002A4104" w:rsidRPr="001777C3" w:rsidRDefault="002A4104" w:rsidP="00CA1387">
            <w:pPr>
              <w:pStyle w:val="NoSpacing"/>
              <w:rPr>
                <w:rFonts w:asciiTheme="minorHAnsi" w:hAnsiTheme="minorHAnsi" w:cstheme="minorHAnsi"/>
                <w:sz w:val="22"/>
              </w:rPr>
            </w:pPr>
          </w:p>
        </w:tc>
        <w:tc>
          <w:tcPr>
            <w:tcW w:w="1430" w:type="dxa"/>
            <w:shd w:val="clear" w:color="auto" w:fill="auto"/>
          </w:tcPr>
          <w:p w14:paraId="2B5DF105" w14:textId="77777777" w:rsidR="002A4104" w:rsidRPr="00BA6A75" w:rsidRDefault="002A4104" w:rsidP="00CA1387">
            <w:pPr>
              <w:pStyle w:val="NoSpacing"/>
              <w:jc w:val="center"/>
              <w:rPr>
                <w:rFonts w:asciiTheme="minorHAnsi" w:hAnsiTheme="minorHAnsi" w:cstheme="minorHAnsi"/>
                <w:b/>
                <w:bCs/>
                <w:sz w:val="22"/>
              </w:rPr>
            </w:pPr>
          </w:p>
        </w:tc>
        <w:tc>
          <w:tcPr>
            <w:tcW w:w="1430" w:type="dxa"/>
            <w:shd w:val="clear" w:color="auto" w:fill="auto"/>
          </w:tcPr>
          <w:p w14:paraId="4DF412A6" w14:textId="77777777" w:rsidR="002A4104" w:rsidRDefault="002A4104" w:rsidP="00CA1387">
            <w:pPr>
              <w:pStyle w:val="NoSpacing"/>
              <w:jc w:val="center"/>
              <w:rPr>
                <w:rFonts w:asciiTheme="minorHAnsi" w:hAnsiTheme="minorHAnsi" w:cstheme="minorHAnsi"/>
                <w:b/>
                <w:bCs/>
                <w:sz w:val="22"/>
              </w:rPr>
            </w:pPr>
          </w:p>
        </w:tc>
        <w:tc>
          <w:tcPr>
            <w:tcW w:w="1389" w:type="dxa"/>
          </w:tcPr>
          <w:p w14:paraId="277C4F3C" w14:textId="77777777" w:rsidR="002A4104" w:rsidRDefault="002A4104" w:rsidP="00CA1387">
            <w:pPr>
              <w:pStyle w:val="NoSpacing"/>
              <w:jc w:val="center"/>
              <w:rPr>
                <w:rFonts w:asciiTheme="minorHAnsi" w:hAnsiTheme="minorHAnsi" w:cstheme="minorHAnsi"/>
                <w:b/>
                <w:bCs/>
                <w:sz w:val="22"/>
              </w:rPr>
            </w:pPr>
          </w:p>
        </w:tc>
      </w:tr>
      <w:tr w:rsidR="002A4104" w:rsidRPr="001777C3" w14:paraId="7423DECE" w14:textId="77777777" w:rsidTr="00CA1387">
        <w:tc>
          <w:tcPr>
            <w:tcW w:w="4772" w:type="dxa"/>
            <w:shd w:val="clear" w:color="auto" w:fill="auto"/>
          </w:tcPr>
          <w:p w14:paraId="660596BE" w14:textId="77777777" w:rsidR="002A4104" w:rsidRPr="001777C3" w:rsidRDefault="002A4104" w:rsidP="00CA1387">
            <w:pPr>
              <w:pStyle w:val="NoSpacing"/>
              <w:rPr>
                <w:rFonts w:asciiTheme="minorHAnsi" w:hAnsiTheme="minorHAnsi" w:cstheme="minorHAnsi"/>
                <w:sz w:val="22"/>
              </w:rPr>
            </w:pPr>
          </w:p>
          <w:p w14:paraId="7F74D654" w14:textId="77777777" w:rsidR="002A4104" w:rsidRPr="001777C3" w:rsidRDefault="002A4104" w:rsidP="00CA1387">
            <w:pPr>
              <w:pStyle w:val="NoSpacing"/>
              <w:rPr>
                <w:rFonts w:asciiTheme="minorHAnsi" w:hAnsiTheme="minorHAnsi" w:cstheme="minorHAnsi"/>
                <w:sz w:val="22"/>
              </w:rPr>
            </w:pPr>
            <w:r w:rsidRPr="001777C3">
              <w:rPr>
                <w:rFonts w:asciiTheme="minorHAnsi" w:hAnsiTheme="minorHAnsi" w:cstheme="minorHAnsi"/>
                <w:sz w:val="22"/>
              </w:rPr>
              <w:t>Work or career reasons</w:t>
            </w:r>
          </w:p>
          <w:p w14:paraId="404F5684" w14:textId="77777777" w:rsidR="002A4104" w:rsidRPr="001777C3" w:rsidRDefault="002A4104" w:rsidP="00CA1387">
            <w:pPr>
              <w:pStyle w:val="NoSpacing"/>
              <w:rPr>
                <w:rFonts w:asciiTheme="minorHAnsi" w:hAnsiTheme="minorHAnsi" w:cstheme="minorHAnsi"/>
                <w:sz w:val="22"/>
              </w:rPr>
            </w:pPr>
          </w:p>
        </w:tc>
        <w:tc>
          <w:tcPr>
            <w:tcW w:w="1430" w:type="dxa"/>
            <w:shd w:val="clear" w:color="auto" w:fill="auto"/>
          </w:tcPr>
          <w:p w14:paraId="3EB6E57D" w14:textId="77777777" w:rsidR="002A4104" w:rsidRPr="00BA6A75" w:rsidRDefault="002A4104" w:rsidP="00CA1387">
            <w:pPr>
              <w:pStyle w:val="NoSpacing"/>
              <w:jc w:val="center"/>
              <w:rPr>
                <w:rFonts w:asciiTheme="minorHAnsi" w:hAnsiTheme="minorHAnsi" w:cstheme="minorHAnsi"/>
                <w:b/>
                <w:bCs/>
                <w:sz w:val="22"/>
              </w:rPr>
            </w:pPr>
          </w:p>
          <w:p w14:paraId="098EB698" w14:textId="77777777" w:rsidR="002A4104" w:rsidRPr="00BA6A75" w:rsidRDefault="002A4104" w:rsidP="00CA1387">
            <w:pPr>
              <w:pStyle w:val="NoSpacing"/>
              <w:jc w:val="center"/>
              <w:rPr>
                <w:rFonts w:asciiTheme="minorHAnsi" w:hAnsiTheme="minorHAnsi" w:cstheme="minorHAnsi"/>
                <w:b/>
                <w:bCs/>
                <w:sz w:val="22"/>
              </w:rPr>
            </w:pPr>
            <w:r w:rsidRPr="00BA6A75">
              <w:rPr>
                <w:rFonts w:asciiTheme="minorHAnsi" w:hAnsiTheme="minorHAnsi" w:cstheme="minorHAnsi"/>
                <w:b/>
                <w:bCs/>
                <w:sz w:val="22"/>
              </w:rPr>
              <w:t>2</w:t>
            </w:r>
            <w:r>
              <w:rPr>
                <w:rFonts w:asciiTheme="minorHAnsi" w:hAnsiTheme="minorHAnsi" w:cstheme="minorHAnsi"/>
                <w:b/>
                <w:bCs/>
                <w:sz w:val="22"/>
              </w:rPr>
              <w:t>2.6</w:t>
            </w:r>
            <w:r w:rsidRPr="00BA6A75">
              <w:rPr>
                <w:rFonts w:asciiTheme="minorHAnsi" w:hAnsiTheme="minorHAnsi" w:cstheme="minorHAnsi"/>
                <w:b/>
                <w:bCs/>
                <w:sz w:val="22"/>
              </w:rPr>
              <w:t>%</w:t>
            </w:r>
          </w:p>
        </w:tc>
        <w:tc>
          <w:tcPr>
            <w:tcW w:w="1430" w:type="dxa"/>
            <w:shd w:val="clear" w:color="auto" w:fill="auto"/>
          </w:tcPr>
          <w:p w14:paraId="42FF91F3" w14:textId="77777777" w:rsidR="002A4104" w:rsidRDefault="002A4104" w:rsidP="00CA1387">
            <w:pPr>
              <w:pStyle w:val="NoSpacing"/>
              <w:jc w:val="center"/>
              <w:rPr>
                <w:rFonts w:asciiTheme="minorHAnsi" w:hAnsiTheme="minorHAnsi" w:cstheme="minorHAnsi"/>
                <w:b/>
                <w:bCs/>
                <w:sz w:val="22"/>
              </w:rPr>
            </w:pPr>
          </w:p>
          <w:p w14:paraId="618F01F9" w14:textId="77777777" w:rsidR="002A4104" w:rsidRPr="00BA6A75" w:rsidRDefault="002A4104" w:rsidP="00CA1387">
            <w:pPr>
              <w:pStyle w:val="NoSpacing"/>
              <w:jc w:val="center"/>
              <w:rPr>
                <w:rFonts w:asciiTheme="minorHAnsi" w:hAnsiTheme="minorHAnsi" w:cstheme="minorHAnsi"/>
                <w:b/>
                <w:bCs/>
                <w:sz w:val="22"/>
              </w:rPr>
            </w:pPr>
            <w:r w:rsidRPr="00BA6A75">
              <w:rPr>
                <w:rFonts w:asciiTheme="minorHAnsi" w:hAnsiTheme="minorHAnsi" w:cstheme="minorHAnsi"/>
                <w:b/>
                <w:bCs/>
                <w:sz w:val="22"/>
              </w:rPr>
              <w:t>2</w:t>
            </w:r>
            <w:r>
              <w:rPr>
                <w:rFonts w:asciiTheme="minorHAnsi" w:hAnsiTheme="minorHAnsi" w:cstheme="minorHAnsi"/>
                <w:b/>
                <w:bCs/>
                <w:sz w:val="22"/>
              </w:rPr>
              <w:t>2.8</w:t>
            </w:r>
            <w:r w:rsidRPr="00BA6A75">
              <w:rPr>
                <w:rFonts w:asciiTheme="minorHAnsi" w:hAnsiTheme="minorHAnsi" w:cstheme="minorHAnsi"/>
                <w:b/>
                <w:bCs/>
                <w:sz w:val="22"/>
              </w:rPr>
              <w:t>%</w:t>
            </w:r>
          </w:p>
        </w:tc>
        <w:tc>
          <w:tcPr>
            <w:tcW w:w="1389" w:type="dxa"/>
          </w:tcPr>
          <w:p w14:paraId="464BA079" w14:textId="77777777" w:rsidR="002A4104" w:rsidRDefault="002A4104" w:rsidP="00CA1387">
            <w:pPr>
              <w:pStyle w:val="NoSpacing"/>
              <w:jc w:val="center"/>
              <w:rPr>
                <w:rFonts w:asciiTheme="minorHAnsi" w:hAnsiTheme="minorHAnsi" w:cstheme="minorHAnsi"/>
                <w:b/>
                <w:bCs/>
                <w:sz w:val="22"/>
              </w:rPr>
            </w:pPr>
          </w:p>
          <w:p w14:paraId="5E5814D4" w14:textId="77777777" w:rsidR="002A4104" w:rsidRDefault="002A4104" w:rsidP="00CA1387">
            <w:pPr>
              <w:pStyle w:val="NoSpacing"/>
              <w:jc w:val="center"/>
              <w:rPr>
                <w:rFonts w:asciiTheme="minorHAnsi" w:hAnsiTheme="minorHAnsi" w:cstheme="minorHAnsi"/>
                <w:b/>
                <w:bCs/>
                <w:sz w:val="22"/>
              </w:rPr>
            </w:pPr>
            <w:r>
              <w:rPr>
                <w:rFonts w:asciiTheme="minorHAnsi" w:hAnsiTheme="minorHAnsi" w:cstheme="minorHAnsi"/>
                <w:b/>
                <w:bCs/>
                <w:sz w:val="22"/>
              </w:rPr>
              <w:t>23.3%</w:t>
            </w:r>
          </w:p>
        </w:tc>
      </w:tr>
      <w:tr w:rsidR="002A4104" w:rsidRPr="001777C3" w14:paraId="09E47155" w14:textId="77777777" w:rsidTr="00CA1387">
        <w:tc>
          <w:tcPr>
            <w:tcW w:w="4772" w:type="dxa"/>
            <w:shd w:val="clear" w:color="auto" w:fill="auto"/>
          </w:tcPr>
          <w:p w14:paraId="1F278437" w14:textId="77777777" w:rsidR="002A4104" w:rsidRPr="001777C3" w:rsidRDefault="002A4104" w:rsidP="00CA1387">
            <w:pPr>
              <w:pStyle w:val="NoSpacing"/>
              <w:rPr>
                <w:rFonts w:asciiTheme="minorHAnsi" w:hAnsiTheme="minorHAnsi" w:cstheme="minorHAnsi"/>
                <w:sz w:val="22"/>
              </w:rPr>
            </w:pPr>
          </w:p>
          <w:p w14:paraId="4A0803BA" w14:textId="77777777" w:rsidR="002A4104" w:rsidRPr="001777C3" w:rsidRDefault="002A4104" w:rsidP="00CA1387">
            <w:pPr>
              <w:pStyle w:val="NoSpacing"/>
              <w:rPr>
                <w:rFonts w:asciiTheme="minorHAnsi" w:hAnsiTheme="minorHAnsi" w:cstheme="minorHAnsi"/>
                <w:sz w:val="22"/>
              </w:rPr>
            </w:pPr>
            <w:r w:rsidRPr="001777C3">
              <w:rPr>
                <w:rFonts w:asciiTheme="minorHAnsi" w:hAnsiTheme="minorHAnsi" w:cstheme="minorHAnsi"/>
                <w:sz w:val="22"/>
              </w:rPr>
              <w:t>Study elsewhere/TAFE/different course</w:t>
            </w:r>
          </w:p>
          <w:p w14:paraId="3083D6EE" w14:textId="77777777" w:rsidR="002A4104" w:rsidRPr="001777C3" w:rsidRDefault="002A4104" w:rsidP="00CA1387">
            <w:pPr>
              <w:pStyle w:val="NoSpacing"/>
              <w:rPr>
                <w:rFonts w:asciiTheme="minorHAnsi" w:hAnsiTheme="minorHAnsi" w:cstheme="minorHAnsi"/>
                <w:sz w:val="22"/>
              </w:rPr>
            </w:pPr>
          </w:p>
        </w:tc>
        <w:tc>
          <w:tcPr>
            <w:tcW w:w="1430" w:type="dxa"/>
            <w:shd w:val="clear" w:color="auto" w:fill="auto"/>
          </w:tcPr>
          <w:p w14:paraId="4CD93291" w14:textId="77777777" w:rsidR="002A4104" w:rsidRPr="00BA6A75" w:rsidRDefault="002A4104" w:rsidP="00CA1387">
            <w:pPr>
              <w:pStyle w:val="NoSpacing"/>
              <w:jc w:val="center"/>
              <w:rPr>
                <w:rFonts w:asciiTheme="minorHAnsi" w:hAnsiTheme="minorHAnsi" w:cstheme="minorHAnsi"/>
                <w:b/>
                <w:bCs/>
                <w:sz w:val="22"/>
              </w:rPr>
            </w:pPr>
          </w:p>
          <w:p w14:paraId="4375B0CE" w14:textId="77777777" w:rsidR="002A4104" w:rsidRPr="00BA6A75" w:rsidRDefault="002A4104" w:rsidP="00CA1387">
            <w:pPr>
              <w:pStyle w:val="NoSpacing"/>
              <w:jc w:val="center"/>
              <w:rPr>
                <w:rFonts w:asciiTheme="minorHAnsi" w:hAnsiTheme="minorHAnsi" w:cstheme="minorHAnsi"/>
                <w:b/>
                <w:bCs/>
                <w:sz w:val="22"/>
              </w:rPr>
            </w:pPr>
            <w:r w:rsidRPr="00BA6A75">
              <w:rPr>
                <w:rFonts w:asciiTheme="minorHAnsi" w:hAnsiTheme="minorHAnsi" w:cstheme="minorHAnsi"/>
                <w:b/>
                <w:bCs/>
                <w:sz w:val="22"/>
              </w:rPr>
              <w:t>5</w:t>
            </w:r>
            <w:r>
              <w:rPr>
                <w:rFonts w:asciiTheme="minorHAnsi" w:hAnsiTheme="minorHAnsi" w:cstheme="minorHAnsi"/>
                <w:b/>
                <w:bCs/>
                <w:sz w:val="22"/>
              </w:rPr>
              <w:t>.3</w:t>
            </w:r>
            <w:r w:rsidRPr="00BA6A75">
              <w:rPr>
                <w:rFonts w:asciiTheme="minorHAnsi" w:hAnsiTheme="minorHAnsi" w:cstheme="minorHAnsi"/>
                <w:b/>
                <w:bCs/>
                <w:sz w:val="22"/>
              </w:rPr>
              <w:t>%</w:t>
            </w:r>
          </w:p>
        </w:tc>
        <w:tc>
          <w:tcPr>
            <w:tcW w:w="1430" w:type="dxa"/>
            <w:shd w:val="clear" w:color="auto" w:fill="auto"/>
          </w:tcPr>
          <w:p w14:paraId="150C974B" w14:textId="77777777" w:rsidR="002A4104" w:rsidRDefault="002A4104" w:rsidP="00CA1387">
            <w:pPr>
              <w:pStyle w:val="NoSpacing"/>
              <w:jc w:val="center"/>
              <w:rPr>
                <w:rFonts w:asciiTheme="minorHAnsi" w:hAnsiTheme="minorHAnsi" w:cstheme="minorHAnsi"/>
                <w:b/>
                <w:bCs/>
                <w:sz w:val="22"/>
              </w:rPr>
            </w:pPr>
          </w:p>
          <w:p w14:paraId="1F14E487" w14:textId="77777777" w:rsidR="002A4104" w:rsidRPr="00BA6A75" w:rsidRDefault="002A4104" w:rsidP="00CA1387">
            <w:pPr>
              <w:pStyle w:val="NoSpacing"/>
              <w:jc w:val="center"/>
              <w:rPr>
                <w:rFonts w:asciiTheme="minorHAnsi" w:hAnsiTheme="minorHAnsi" w:cstheme="minorHAnsi"/>
                <w:b/>
                <w:bCs/>
                <w:sz w:val="22"/>
              </w:rPr>
            </w:pPr>
            <w:r>
              <w:rPr>
                <w:rFonts w:asciiTheme="minorHAnsi" w:hAnsiTheme="minorHAnsi" w:cstheme="minorHAnsi"/>
                <w:b/>
                <w:bCs/>
                <w:sz w:val="22"/>
              </w:rPr>
              <w:t>6.6</w:t>
            </w:r>
            <w:r w:rsidRPr="00BA6A75">
              <w:rPr>
                <w:rFonts w:asciiTheme="minorHAnsi" w:hAnsiTheme="minorHAnsi" w:cstheme="minorHAnsi"/>
                <w:b/>
                <w:bCs/>
                <w:sz w:val="22"/>
              </w:rPr>
              <w:t>%</w:t>
            </w:r>
          </w:p>
        </w:tc>
        <w:tc>
          <w:tcPr>
            <w:tcW w:w="1389" w:type="dxa"/>
          </w:tcPr>
          <w:p w14:paraId="7F8FBF12" w14:textId="77777777" w:rsidR="002A4104" w:rsidRDefault="002A4104" w:rsidP="00CA1387">
            <w:pPr>
              <w:pStyle w:val="NoSpacing"/>
              <w:jc w:val="center"/>
              <w:rPr>
                <w:rFonts w:asciiTheme="minorHAnsi" w:hAnsiTheme="minorHAnsi" w:cstheme="minorHAnsi"/>
                <w:b/>
                <w:bCs/>
                <w:sz w:val="22"/>
              </w:rPr>
            </w:pPr>
          </w:p>
          <w:p w14:paraId="48A1FFF0" w14:textId="77777777" w:rsidR="002A4104" w:rsidRDefault="002A4104" w:rsidP="00CA1387">
            <w:pPr>
              <w:pStyle w:val="NoSpacing"/>
              <w:jc w:val="center"/>
              <w:rPr>
                <w:rFonts w:asciiTheme="minorHAnsi" w:hAnsiTheme="minorHAnsi" w:cstheme="minorHAnsi"/>
                <w:b/>
                <w:bCs/>
                <w:sz w:val="22"/>
              </w:rPr>
            </w:pPr>
            <w:r>
              <w:rPr>
                <w:rFonts w:asciiTheme="minorHAnsi" w:hAnsiTheme="minorHAnsi" w:cstheme="minorHAnsi"/>
                <w:b/>
                <w:bCs/>
                <w:sz w:val="22"/>
              </w:rPr>
              <w:t>3.7%</w:t>
            </w:r>
          </w:p>
        </w:tc>
      </w:tr>
    </w:tbl>
    <w:p w14:paraId="6245E142" w14:textId="1B7CB5BC" w:rsidR="0001526E" w:rsidRDefault="00344560" w:rsidP="00A87B17">
      <w:pPr>
        <w:pStyle w:val="Heading1"/>
      </w:pPr>
      <w:r>
        <w:lastRenderedPageBreak/>
        <w:t>D</w:t>
      </w:r>
      <w:r w:rsidR="005750CF">
        <w:t xml:space="preserve">estination </w:t>
      </w:r>
      <w:r w:rsidR="005750CF" w:rsidRPr="00C04C02">
        <w:t>patterns</w:t>
      </w:r>
      <w:r w:rsidR="001E354C" w:rsidRPr="005750CF">
        <w:t xml:space="preserve"> of Year 12 completers and </w:t>
      </w:r>
      <w:r w:rsidR="002C4CE7">
        <w:t>non-completers</w:t>
      </w:r>
      <w:r w:rsidR="001E354C" w:rsidRPr="005750CF">
        <w:t xml:space="preserve"> </w:t>
      </w:r>
      <w:r w:rsidR="002C4CE7">
        <w:t>differ</w:t>
      </w:r>
    </w:p>
    <w:p w14:paraId="75524716" w14:textId="03FF7967" w:rsidR="00C7348B" w:rsidRDefault="00C7348B" w:rsidP="00B87CFF">
      <w:pPr>
        <w:spacing w:after="120" w:line="240" w:lineRule="auto"/>
        <w:rPr>
          <w:rFonts w:cstheme="minorHAnsi"/>
        </w:rPr>
      </w:pPr>
    </w:p>
    <w:tbl>
      <w:tblPr>
        <w:tblStyle w:val="TableGrid"/>
        <w:tblW w:w="0" w:type="auto"/>
        <w:tblLook w:val="04A0" w:firstRow="1" w:lastRow="0" w:firstColumn="1" w:lastColumn="0" w:noHBand="0" w:noVBand="1"/>
      </w:tblPr>
      <w:tblGrid>
        <w:gridCol w:w="3919"/>
        <w:gridCol w:w="4865"/>
      </w:tblGrid>
      <w:tr w:rsidR="0038193E" w14:paraId="4664AB68" w14:textId="77777777" w:rsidTr="0019515C">
        <w:tc>
          <w:tcPr>
            <w:tcW w:w="3919" w:type="dxa"/>
          </w:tcPr>
          <w:p w14:paraId="7411E4D6" w14:textId="77777777" w:rsidR="00BF4133" w:rsidRPr="00DD66BE" w:rsidRDefault="00BF4133" w:rsidP="00B027E3">
            <w:pPr>
              <w:pStyle w:val="Heading3"/>
              <w:outlineLvl w:val="2"/>
            </w:pPr>
            <w:r w:rsidRPr="00DD66BE">
              <w:t>Of 27,085 Year 12 completers surveyed there were:</w:t>
            </w:r>
          </w:p>
          <w:p w14:paraId="6D84DCBA" w14:textId="77777777" w:rsidR="00BF4133" w:rsidRPr="00DD66BE" w:rsidRDefault="00BF4133" w:rsidP="00B027E3">
            <w:pPr>
              <w:pStyle w:val="ListParagraph"/>
              <w:numPr>
                <w:ilvl w:val="0"/>
                <w:numId w:val="18"/>
              </w:numPr>
              <w:spacing w:after="120"/>
              <w:rPr>
                <w:rFonts w:cstheme="minorHAnsi"/>
              </w:rPr>
            </w:pPr>
            <w:r w:rsidRPr="00DD66BE">
              <w:rPr>
                <w:rFonts w:cstheme="minorHAnsi"/>
              </w:rPr>
              <w:t>77.2% in education and training</w:t>
            </w:r>
          </w:p>
          <w:p w14:paraId="1D14B67F" w14:textId="77777777" w:rsidR="00BF4133" w:rsidRPr="00DD66BE" w:rsidRDefault="00BF4133" w:rsidP="00495B8F">
            <w:pPr>
              <w:pStyle w:val="ListParagraph"/>
              <w:numPr>
                <w:ilvl w:val="1"/>
                <w:numId w:val="18"/>
              </w:numPr>
              <w:autoSpaceDE w:val="0"/>
              <w:autoSpaceDN w:val="0"/>
              <w:adjustRightInd w:val="0"/>
              <w:rPr>
                <w:rFonts w:cstheme="minorHAnsi"/>
              </w:rPr>
            </w:pPr>
            <w:r w:rsidRPr="00DD66BE">
              <w:rPr>
                <w:rFonts w:cstheme="minorHAnsi"/>
              </w:rPr>
              <w:t xml:space="preserve">56.1% Bachelor degree </w:t>
            </w:r>
          </w:p>
          <w:p w14:paraId="3EA9E168" w14:textId="045E8DE3" w:rsidR="00BF4133" w:rsidRPr="00DD66BE" w:rsidRDefault="00BF4133" w:rsidP="00495B8F">
            <w:pPr>
              <w:pStyle w:val="ListParagraph"/>
              <w:numPr>
                <w:ilvl w:val="1"/>
                <w:numId w:val="18"/>
              </w:numPr>
              <w:autoSpaceDE w:val="0"/>
              <w:autoSpaceDN w:val="0"/>
              <w:adjustRightInd w:val="0"/>
              <w:rPr>
                <w:rFonts w:cstheme="minorHAnsi"/>
              </w:rPr>
            </w:pPr>
            <w:r>
              <w:rPr>
                <w:rFonts w:cstheme="minorHAnsi"/>
              </w:rPr>
              <w:t>11.3</w:t>
            </w:r>
            <w:r w:rsidRPr="00DD66BE">
              <w:rPr>
                <w:rFonts w:cstheme="minorHAnsi"/>
              </w:rPr>
              <w:t>%</w:t>
            </w:r>
            <w:r>
              <w:rPr>
                <w:rFonts w:cstheme="minorHAnsi"/>
              </w:rPr>
              <w:t xml:space="preserve"> </w:t>
            </w:r>
            <w:r w:rsidRPr="00DD66BE">
              <w:rPr>
                <w:rFonts w:cstheme="minorHAnsi"/>
              </w:rPr>
              <w:t>Certificate / Diploma</w:t>
            </w:r>
          </w:p>
          <w:p w14:paraId="16392043" w14:textId="77777777" w:rsidR="00BF4133" w:rsidRPr="00DD66BE" w:rsidRDefault="00BF4133" w:rsidP="00612747">
            <w:pPr>
              <w:pStyle w:val="ListParagraph"/>
              <w:numPr>
                <w:ilvl w:val="1"/>
                <w:numId w:val="18"/>
              </w:numPr>
              <w:autoSpaceDE w:val="0"/>
              <w:autoSpaceDN w:val="0"/>
              <w:adjustRightInd w:val="0"/>
              <w:rPr>
                <w:rFonts w:cstheme="minorHAnsi"/>
              </w:rPr>
            </w:pPr>
            <w:r w:rsidRPr="00DD66BE">
              <w:rPr>
                <w:rFonts w:cstheme="minorHAnsi"/>
              </w:rPr>
              <w:t>9.8% Apprenticeship / Traineeship</w:t>
            </w:r>
          </w:p>
          <w:p w14:paraId="289756C6" w14:textId="77777777" w:rsidR="00BF4133" w:rsidRDefault="00BF4133" w:rsidP="00495B8F">
            <w:pPr>
              <w:pStyle w:val="ListParagraph"/>
              <w:autoSpaceDE w:val="0"/>
              <w:autoSpaceDN w:val="0"/>
              <w:adjustRightInd w:val="0"/>
              <w:rPr>
                <w:rFonts w:cstheme="minorHAnsi"/>
              </w:rPr>
            </w:pPr>
          </w:p>
          <w:p w14:paraId="50E8B8C1" w14:textId="77777777" w:rsidR="00BF4133" w:rsidRPr="00DD66BE" w:rsidRDefault="00BF4133" w:rsidP="00612747">
            <w:pPr>
              <w:pStyle w:val="ListParagraph"/>
              <w:numPr>
                <w:ilvl w:val="0"/>
                <w:numId w:val="18"/>
              </w:numPr>
              <w:autoSpaceDE w:val="0"/>
              <w:autoSpaceDN w:val="0"/>
              <w:adjustRightInd w:val="0"/>
              <w:rPr>
                <w:rFonts w:cstheme="minorHAnsi"/>
              </w:rPr>
            </w:pPr>
            <w:r>
              <w:rPr>
                <w:rFonts w:cstheme="minorHAnsi"/>
              </w:rPr>
              <w:t>30.3% not in education and training</w:t>
            </w:r>
          </w:p>
          <w:p w14:paraId="0B04A141" w14:textId="77777777" w:rsidR="00BF4133" w:rsidRPr="00DD66BE" w:rsidRDefault="00BF4133" w:rsidP="00495B8F">
            <w:pPr>
              <w:pStyle w:val="ListParagraph"/>
              <w:numPr>
                <w:ilvl w:val="1"/>
                <w:numId w:val="18"/>
              </w:numPr>
              <w:autoSpaceDE w:val="0"/>
              <w:autoSpaceDN w:val="0"/>
              <w:adjustRightInd w:val="0"/>
              <w:rPr>
                <w:rFonts w:cstheme="minorHAnsi"/>
              </w:rPr>
            </w:pPr>
            <w:r w:rsidRPr="00DD66BE">
              <w:rPr>
                <w:rFonts w:cstheme="minorHAnsi"/>
              </w:rPr>
              <w:t>6% Employed full-time</w:t>
            </w:r>
          </w:p>
          <w:p w14:paraId="4BAAE59F" w14:textId="77777777" w:rsidR="00BF4133" w:rsidRPr="00DD66BE" w:rsidRDefault="00BF4133" w:rsidP="00495B8F">
            <w:pPr>
              <w:pStyle w:val="ListParagraph"/>
              <w:numPr>
                <w:ilvl w:val="1"/>
                <w:numId w:val="18"/>
              </w:numPr>
              <w:autoSpaceDE w:val="0"/>
              <w:autoSpaceDN w:val="0"/>
              <w:adjustRightInd w:val="0"/>
              <w:rPr>
                <w:rFonts w:cstheme="minorHAnsi"/>
              </w:rPr>
            </w:pPr>
            <w:r w:rsidRPr="00DD66BE">
              <w:rPr>
                <w:rFonts w:cstheme="minorHAnsi"/>
              </w:rPr>
              <w:t>12% Employed part-time</w:t>
            </w:r>
          </w:p>
          <w:p w14:paraId="7637E8A3" w14:textId="77777777" w:rsidR="00BF4133" w:rsidRPr="00DD66BE" w:rsidRDefault="00BF4133" w:rsidP="00495B8F">
            <w:pPr>
              <w:pStyle w:val="ListParagraph"/>
              <w:numPr>
                <w:ilvl w:val="1"/>
                <w:numId w:val="18"/>
              </w:numPr>
              <w:autoSpaceDE w:val="0"/>
              <w:autoSpaceDN w:val="0"/>
              <w:adjustRightInd w:val="0"/>
              <w:rPr>
                <w:rFonts w:cstheme="minorHAnsi"/>
              </w:rPr>
            </w:pPr>
            <w:r w:rsidRPr="00DD66BE">
              <w:rPr>
                <w:rFonts w:cstheme="minorHAnsi"/>
              </w:rPr>
              <w:t>3.9% Looking for work</w:t>
            </w:r>
          </w:p>
          <w:p w14:paraId="6D6A0CF4" w14:textId="77777777" w:rsidR="0019515C" w:rsidRDefault="00BF4133" w:rsidP="00495B8F">
            <w:pPr>
              <w:pStyle w:val="ListParagraph"/>
              <w:numPr>
                <w:ilvl w:val="1"/>
                <w:numId w:val="18"/>
              </w:numPr>
              <w:autoSpaceDE w:val="0"/>
              <w:autoSpaceDN w:val="0"/>
              <w:adjustRightInd w:val="0"/>
              <w:rPr>
                <w:rFonts w:cstheme="minorHAnsi"/>
              </w:rPr>
            </w:pPr>
            <w:r w:rsidRPr="00DD66BE">
              <w:rPr>
                <w:rFonts w:cstheme="minorHAnsi"/>
              </w:rPr>
              <w:t>0.9% Not in the Labour Force, Education or Training</w:t>
            </w:r>
          </w:p>
          <w:p w14:paraId="207EC99E" w14:textId="77777777" w:rsidR="00BF4133" w:rsidRDefault="00BF4133" w:rsidP="00B027E3">
            <w:pPr>
              <w:pStyle w:val="ListParagraph"/>
              <w:numPr>
                <w:ilvl w:val="1"/>
                <w:numId w:val="18"/>
              </w:numPr>
              <w:autoSpaceDE w:val="0"/>
              <w:autoSpaceDN w:val="0"/>
              <w:adjustRightInd w:val="0"/>
              <w:rPr>
                <w:rFonts w:cstheme="minorHAnsi"/>
              </w:rPr>
            </w:pPr>
            <w:r w:rsidRPr="00DD66BE">
              <w:rPr>
                <w:rFonts w:cstheme="minorHAnsi"/>
              </w:rPr>
              <w:t>7.5% deferred tertiary study</w:t>
            </w:r>
          </w:p>
          <w:p w14:paraId="1397C2FF" w14:textId="066309E2" w:rsidR="00BF4133" w:rsidRPr="00DD66BE" w:rsidRDefault="00BF4133" w:rsidP="00B027E3">
            <w:pPr>
              <w:pStyle w:val="Heading3"/>
              <w:outlineLvl w:val="2"/>
            </w:pPr>
          </w:p>
        </w:tc>
        <w:tc>
          <w:tcPr>
            <w:tcW w:w="4865" w:type="dxa"/>
          </w:tcPr>
          <w:p w14:paraId="72E34460" w14:textId="5F2FE31C" w:rsidR="00772349" w:rsidRPr="00DD66BE" w:rsidRDefault="00772349" w:rsidP="00772349">
            <w:pPr>
              <w:pStyle w:val="Heading3"/>
              <w:outlineLvl w:val="2"/>
            </w:pPr>
            <w:r w:rsidRPr="00DD66BE">
              <w:t xml:space="preserve">Of </w:t>
            </w:r>
            <w:r w:rsidR="00EE3ED2" w:rsidRPr="00DD66BE">
              <w:t>1,678</w:t>
            </w:r>
            <w:r w:rsidRPr="00DD66BE">
              <w:t xml:space="preserve"> Year 12 </w:t>
            </w:r>
            <w:r w:rsidR="007A3135" w:rsidRPr="00DD66BE">
              <w:t>non-</w:t>
            </w:r>
            <w:r w:rsidRPr="00DD66BE">
              <w:t>completers surveyed there were:</w:t>
            </w:r>
          </w:p>
          <w:p w14:paraId="5876D07F" w14:textId="014786BB" w:rsidR="0038193E" w:rsidRPr="00DD66BE" w:rsidRDefault="005716EA" w:rsidP="000D3FD4">
            <w:pPr>
              <w:pStyle w:val="ListParagraph"/>
              <w:numPr>
                <w:ilvl w:val="0"/>
                <w:numId w:val="19"/>
              </w:numPr>
              <w:spacing w:after="120"/>
              <w:rPr>
                <w:rFonts w:cstheme="minorHAnsi"/>
              </w:rPr>
            </w:pPr>
            <w:r w:rsidRPr="00DD66BE">
              <w:rPr>
                <w:rFonts w:cstheme="minorHAnsi"/>
              </w:rPr>
              <w:t>5</w:t>
            </w:r>
            <w:r w:rsidR="006E7362" w:rsidRPr="00DD66BE">
              <w:rPr>
                <w:rFonts w:cstheme="minorHAnsi"/>
              </w:rPr>
              <w:t>3.3</w:t>
            </w:r>
            <w:r w:rsidR="007A3135" w:rsidRPr="00DD66BE">
              <w:rPr>
                <w:rFonts w:cstheme="minorHAnsi"/>
              </w:rPr>
              <w:t>%</w:t>
            </w:r>
            <w:r w:rsidR="000D3FD4" w:rsidRPr="00DD66BE">
              <w:rPr>
                <w:rFonts w:cstheme="minorHAnsi"/>
              </w:rPr>
              <w:t xml:space="preserve"> </w:t>
            </w:r>
            <w:r w:rsidR="007A3135" w:rsidRPr="00DD66BE">
              <w:rPr>
                <w:rFonts w:cstheme="minorHAnsi"/>
              </w:rPr>
              <w:t>in Education and Training</w:t>
            </w:r>
          </w:p>
          <w:p w14:paraId="15348640" w14:textId="5D9C0D7F" w:rsidR="00C535F4" w:rsidRPr="00DD66BE" w:rsidRDefault="000A7A6A" w:rsidP="00495B8F">
            <w:pPr>
              <w:pStyle w:val="ListParagraph"/>
              <w:numPr>
                <w:ilvl w:val="1"/>
                <w:numId w:val="19"/>
              </w:numPr>
              <w:spacing w:after="120"/>
              <w:rPr>
                <w:rFonts w:cstheme="minorHAnsi"/>
              </w:rPr>
            </w:pPr>
            <w:r w:rsidRPr="00DD66BE">
              <w:rPr>
                <w:rFonts w:cstheme="minorHAnsi"/>
              </w:rPr>
              <w:t>1.</w:t>
            </w:r>
            <w:r w:rsidR="00F001C5" w:rsidRPr="00DD66BE">
              <w:rPr>
                <w:rFonts w:cstheme="minorHAnsi"/>
              </w:rPr>
              <w:t>8</w:t>
            </w:r>
            <w:r w:rsidRPr="00DD66BE">
              <w:rPr>
                <w:rFonts w:cstheme="minorHAnsi"/>
              </w:rPr>
              <w:t>%</w:t>
            </w:r>
            <w:r w:rsidR="000D3FD4" w:rsidRPr="00DD66BE">
              <w:rPr>
                <w:rFonts w:cstheme="minorHAnsi"/>
              </w:rPr>
              <w:t xml:space="preserve"> </w:t>
            </w:r>
            <w:r w:rsidR="00C535F4" w:rsidRPr="00DD66BE">
              <w:rPr>
                <w:rFonts w:cstheme="minorHAnsi"/>
              </w:rPr>
              <w:t>Bachelor</w:t>
            </w:r>
            <w:r w:rsidR="000D3FD4" w:rsidRPr="00DD66BE">
              <w:rPr>
                <w:rFonts w:cstheme="minorHAnsi"/>
              </w:rPr>
              <w:t xml:space="preserve"> </w:t>
            </w:r>
            <w:r w:rsidR="00C535F4" w:rsidRPr="00DD66BE">
              <w:rPr>
                <w:rFonts w:cstheme="minorHAnsi"/>
              </w:rPr>
              <w:t>Degree</w:t>
            </w:r>
          </w:p>
          <w:p w14:paraId="193E4E3E" w14:textId="4859619D" w:rsidR="00C535F4" w:rsidRPr="00DD66BE" w:rsidRDefault="00DC5640" w:rsidP="00495B8F">
            <w:pPr>
              <w:pStyle w:val="ListParagraph"/>
              <w:numPr>
                <w:ilvl w:val="1"/>
                <w:numId w:val="19"/>
              </w:numPr>
              <w:spacing w:after="120"/>
              <w:rPr>
                <w:rFonts w:cstheme="minorHAnsi"/>
              </w:rPr>
            </w:pPr>
            <w:r w:rsidRPr="00DD66BE">
              <w:rPr>
                <w:rFonts w:cstheme="minorHAnsi"/>
              </w:rPr>
              <w:t>15.6</w:t>
            </w:r>
            <w:r w:rsidR="006D5EDD" w:rsidRPr="00DD66BE">
              <w:rPr>
                <w:rFonts w:cstheme="minorHAnsi"/>
              </w:rPr>
              <w:t>%</w:t>
            </w:r>
            <w:r w:rsidR="00BF4133">
              <w:rPr>
                <w:rFonts w:cstheme="minorHAnsi"/>
              </w:rPr>
              <w:t xml:space="preserve"> </w:t>
            </w:r>
            <w:r w:rsidR="00C535F4" w:rsidRPr="00DD66BE">
              <w:rPr>
                <w:rFonts w:cstheme="minorHAnsi"/>
              </w:rPr>
              <w:t>Certificate /</w:t>
            </w:r>
            <w:r w:rsidR="000D3FD4" w:rsidRPr="00DD66BE">
              <w:rPr>
                <w:rFonts w:cstheme="minorHAnsi"/>
              </w:rPr>
              <w:t xml:space="preserve"> </w:t>
            </w:r>
            <w:r w:rsidR="00C535F4" w:rsidRPr="00DD66BE">
              <w:rPr>
                <w:rFonts w:cstheme="minorHAnsi"/>
              </w:rPr>
              <w:t>Diploma</w:t>
            </w:r>
          </w:p>
          <w:p w14:paraId="5A19DF0D" w14:textId="0FE5F38C" w:rsidR="00C535F4" w:rsidRPr="00DD66BE" w:rsidRDefault="00BF4133" w:rsidP="00DC71E9">
            <w:pPr>
              <w:pStyle w:val="ListParagraph"/>
              <w:numPr>
                <w:ilvl w:val="1"/>
                <w:numId w:val="19"/>
              </w:numPr>
              <w:spacing w:after="120"/>
              <w:rPr>
                <w:rFonts w:cstheme="minorHAnsi"/>
              </w:rPr>
            </w:pPr>
            <w:r w:rsidRPr="00DD66BE">
              <w:rPr>
                <w:rFonts w:cstheme="minorHAnsi"/>
              </w:rPr>
              <w:t>3</w:t>
            </w:r>
            <w:r>
              <w:rPr>
                <w:rFonts w:cstheme="minorHAnsi"/>
              </w:rPr>
              <w:t>5</w:t>
            </w:r>
            <w:r w:rsidR="00A573BE">
              <w:rPr>
                <w:rFonts w:cstheme="minorHAnsi"/>
              </w:rPr>
              <w:t>.9</w:t>
            </w:r>
            <w:r w:rsidR="002B6B6E" w:rsidRPr="00DD66BE">
              <w:rPr>
                <w:rFonts w:cstheme="minorHAnsi"/>
              </w:rPr>
              <w:t xml:space="preserve">% </w:t>
            </w:r>
            <w:r w:rsidR="00C535F4" w:rsidRPr="00DD66BE">
              <w:rPr>
                <w:rFonts w:cstheme="minorHAnsi"/>
              </w:rPr>
              <w:t>Apprenticeship /</w:t>
            </w:r>
            <w:r w:rsidR="000D3FD4" w:rsidRPr="00DD66BE">
              <w:rPr>
                <w:rFonts w:cstheme="minorHAnsi"/>
              </w:rPr>
              <w:t xml:space="preserve"> </w:t>
            </w:r>
            <w:r w:rsidR="00C535F4" w:rsidRPr="00DD66BE">
              <w:rPr>
                <w:rFonts w:cstheme="minorHAnsi"/>
              </w:rPr>
              <w:t>Traineeship</w:t>
            </w:r>
          </w:p>
          <w:p w14:paraId="5142F3AD" w14:textId="54A33BF0" w:rsidR="00DC71E9" w:rsidRPr="00DD66BE" w:rsidRDefault="00DC71E9" w:rsidP="00DC71E9">
            <w:pPr>
              <w:pStyle w:val="ListParagraph"/>
              <w:numPr>
                <w:ilvl w:val="0"/>
                <w:numId w:val="19"/>
              </w:numPr>
              <w:spacing w:after="120"/>
              <w:rPr>
                <w:rFonts w:cstheme="minorHAnsi"/>
              </w:rPr>
            </w:pPr>
            <w:r>
              <w:rPr>
                <w:rFonts w:cstheme="minorHAnsi"/>
              </w:rPr>
              <w:t>46.7% not in education and training</w:t>
            </w:r>
          </w:p>
          <w:p w14:paraId="5C3E3916" w14:textId="42DE78AC" w:rsidR="00C535F4" w:rsidRPr="00DD66BE" w:rsidRDefault="00160466" w:rsidP="00495B8F">
            <w:pPr>
              <w:pStyle w:val="ListParagraph"/>
              <w:numPr>
                <w:ilvl w:val="1"/>
                <w:numId w:val="19"/>
              </w:numPr>
              <w:spacing w:after="120"/>
              <w:rPr>
                <w:rFonts w:cstheme="minorHAnsi"/>
              </w:rPr>
            </w:pPr>
            <w:r w:rsidRPr="00DD66BE">
              <w:rPr>
                <w:rFonts w:cstheme="minorHAnsi"/>
              </w:rPr>
              <w:t>11.</w:t>
            </w:r>
            <w:r w:rsidR="00F06EB5" w:rsidRPr="00DD66BE">
              <w:rPr>
                <w:rFonts w:cstheme="minorHAnsi"/>
              </w:rPr>
              <w:t>3</w:t>
            </w:r>
            <w:r w:rsidRPr="00DD66BE">
              <w:rPr>
                <w:rFonts w:cstheme="minorHAnsi"/>
              </w:rPr>
              <w:t xml:space="preserve">% </w:t>
            </w:r>
            <w:r w:rsidR="00C535F4" w:rsidRPr="00DD66BE">
              <w:rPr>
                <w:rFonts w:cstheme="minorHAnsi"/>
              </w:rPr>
              <w:t>Employed full-time</w:t>
            </w:r>
          </w:p>
          <w:p w14:paraId="1CCA8327" w14:textId="6BC841D6" w:rsidR="000A15BD" w:rsidRPr="00DD66BE" w:rsidRDefault="000D3FD4" w:rsidP="00495B8F">
            <w:pPr>
              <w:pStyle w:val="ListParagraph"/>
              <w:numPr>
                <w:ilvl w:val="1"/>
                <w:numId w:val="19"/>
              </w:numPr>
              <w:spacing w:after="120"/>
              <w:rPr>
                <w:rFonts w:cstheme="minorHAnsi"/>
              </w:rPr>
            </w:pPr>
            <w:r w:rsidRPr="00DD66BE">
              <w:rPr>
                <w:rFonts w:cstheme="minorHAnsi"/>
              </w:rPr>
              <w:t>15</w:t>
            </w:r>
            <w:r w:rsidR="00B912BA" w:rsidRPr="00DD66BE">
              <w:rPr>
                <w:rFonts w:cstheme="minorHAnsi"/>
              </w:rPr>
              <w:t xml:space="preserve">.9 % </w:t>
            </w:r>
            <w:r w:rsidR="000A15BD" w:rsidRPr="00DD66BE">
              <w:rPr>
                <w:rFonts w:cstheme="minorHAnsi"/>
              </w:rPr>
              <w:t>Employed part-time</w:t>
            </w:r>
          </w:p>
          <w:p w14:paraId="47023CA6" w14:textId="19BD056F" w:rsidR="000A15BD" w:rsidRPr="00DD66BE" w:rsidRDefault="002C221A" w:rsidP="00495B8F">
            <w:pPr>
              <w:pStyle w:val="ListParagraph"/>
              <w:numPr>
                <w:ilvl w:val="1"/>
                <w:numId w:val="19"/>
              </w:numPr>
              <w:spacing w:after="120"/>
              <w:rPr>
                <w:rFonts w:cstheme="minorHAnsi"/>
              </w:rPr>
            </w:pPr>
            <w:r w:rsidRPr="00DD66BE">
              <w:rPr>
                <w:rFonts w:cstheme="minorHAnsi"/>
              </w:rPr>
              <w:t>14.</w:t>
            </w:r>
            <w:r w:rsidR="00595EAC" w:rsidRPr="00DD66BE">
              <w:rPr>
                <w:rFonts w:cstheme="minorHAnsi"/>
              </w:rPr>
              <w:t>6</w:t>
            </w:r>
            <w:r w:rsidRPr="00DD66BE">
              <w:rPr>
                <w:rFonts w:cstheme="minorHAnsi"/>
              </w:rPr>
              <w:t xml:space="preserve">% </w:t>
            </w:r>
            <w:r w:rsidR="000A15BD" w:rsidRPr="00DD66BE">
              <w:rPr>
                <w:rFonts w:cstheme="minorHAnsi"/>
              </w:rPr>
              <w:t>Looking</w:t>
            </w:r>
            <w:r w:rsidR="000D3FD4" w:rsidRPr="00DD66BE">
              <w:rPr>
                <w:rFonts w:cstheme="minorHAnsi"/>
              </w:rPr>
              <w:t xml:space="preserve"> </w:t>
            </w:r>
            <w:r w:rsidR="000A15BD" w:rsidRPr="00DD66BE">
              <w:rPr>
                <w:rFonts w:cstheme="minorHAnsi"/>
              </w:rPr>
              <w:t>for work</w:t>
            </w:r>
          </w:p>
          <w:p w14:paraId="571471F5" w14:textId="17CB8A85" w:rsidR="000A15BD" w:rsidRPr="00DD66BE" w:rsidRDefault="007831C3" w:rsidP="00495B8F">
            <w:pPr>
              <w:pStyle w:val="ListParagraph"/>
              <w:numPr>
                <w:ilvl w:val="1"/>
                <w:numId w:val="19"/>
              </w:numPr>
              <w:spacing w:after="120"/>
              <w:rPr>
                <w:rFonts w:cstheme="minorHAnsi"/>
              </w:rPr>
            </w:pPr>
            <w:r w:rsidRPr="00DD66BE">
              <w:rPr>
                <w:rFonts w:cstheme="minorHAnsi"/>
              </w:rPr>
              <w:t>4.</w:t>
            </w:r>
            <w:r w:rsidR="00A2389B" w:rsidRPr="00DD66BE">
              <w:rPr>
                <w:rFonts w:cstheme="minorHAnsi"/>
              </w:rPr>
              <w:t>9</w:t>
            </w:r>
            <w:r w:rsidRPr="00DD66BE">
              <w:rPr>
                <w:rFonts w:cstheme="minorHAnsi"/>
              </w:rPr>
              <w:t xml:space="preserve">% </w:t>
            </w:r>
            <w:r w:rsidR="000A15BD" w:rsidRPr="00DD66BE">
              <w:rPr>
                <w:rFonts w:cstheme="minorHAnsi"/>
              </w:rPr>
              <w:t>Not in the</w:t>
            </w:r>
            <w:r w:rsidR="000D3FD4" w:rsidRPr="00DD66BE">
              <w:rPr>
                <w:rFonts w:cstheme="minorHAnsi"/>
              </w:rPr>
              <w:t xml:space="preserve"> </w:t>
            </w:r>
            <w:r w:rsidR="000A15BD" w:rsidRPr="00DD66BE">
              <w:rPr>
                <w:rFonts w:cstheme="minorHAnsi"/>
              </w:rPr>
              <w:t>Labour Force,</w:t>
            </w:r>
            <w:r w:rsidR="000D3FD4" w:rsidRPr="00DD66BE">
              <w:rPr>
                <w:rFonts w:cstheme="minorHAnsi"/>
              </w:rPr>
              <w:t xml:space="preserve"> </w:t>
            </w:r>
            <w:r w:rsidR="000A15BD" w:rsidRPr="00DD66BE">
              <w:rPr>
                <w:rFonts w:cstheme="minorHAnsi"/>
              </w:rPr>
              <w:t>Education or</w:t>
            </w:r>
            <w:r w:rsidR="000D3FD4" w:rsidRPr="00DD66BE">
              <w:rPr>
                <w:rFonts w:cstheme="minorHAnsi"/>
              </w:rPr>
              <w:t xml:space="preserve"> </w:t>
            </w:r>
            <w:r w:rsidR="000A15BD" w:rsidRPr="00DD66BE">
              <w:rPr>
                <w:rFonts w:cstheme="minorHAnsi"/>
              </w:rPr>
              <w:t>Training</w:t>
            </w:r>
          </w:p>
        </w:tc>
      </w:tr>
    </w:tbl>
    <w:p w14:paraId="30EDA3AB" w14:textId="1D40B046" w:rsidR="00C7348B" w:rsidRPr="005B1721" w:rsidRDefault="00911818" w:rsidP="005B1721">
      <w:pPr>
        <w:autoSpaceDE w:val="0"/>
        <w:autoSpaceDN w:val="0"/>
        <w:adjustRightInd w:val="0"/>
        <w:rPr>
          <w:rFonts w:ascii="VIC-Light" w:hAnsi="VIC-Light" w:cs="VIC-Light"/>
          <w:sz w:val="20"/>
          <w:szCs w:val="20"/>
        </w:rPr>
      </w:pPr>
      <w:r w:rsidRPr="00DD66BE">
        <w:rPr>
          <w:rFonts w:ascii="VIC-Light" w:hAnsi="VIC-Light" w:cs="VIC-Light"/>
          <w:sz w:val="20"/>
          <w:szCs w:val="20"/>
        </w:rPr>
        <w:t xml:space="preserve">Note: Figures may not add up to 100% due to rounding. </w:t>
      </w:r>
    </w:p>
    <w:p w14:paraId="5DC1F759" w14:textId="49325038" w:rsidR="00C81609" w:rsidRPr="005750CF" w:rsidRDefault="00C77A63" w:rsidP="00B87CFF">
      <w:pPr>
        <w:spacing w:after="120" w:line="240" w:lineRule="auto"/>
        <w:rPr>
          <w:rFonts w:cstheme="minorHAnsi"/>
        </w:rPr>
      </w:pPr>
      <w:r w:rsidRPr="0086433C">
        <w:rPr>
          <w:rFonts w:cstheme="minorHAnsi"/>
        </w:rPr>
        <w:t xml:space="preserve">Despite minor fluctuations across years, </w:t>
      </w:r>
      <w:r w:rsidR="00B17FA1">
        <w:rPr>
          <w:rFonts w:cstheme="minorHAnsi"/>
        </w:rPr>
        <w:t>respondents</w:t>
      </w:r>
      <w:r w:rsidR="00C81609" w:rsidRPr="0086433C">
        <w:rPr>
          <w:rFonts w:cstheme="minorHAnsi"/>
        </w:rPr>
        <w:t xml:space="preserve"> who complete Year 12 </w:t>
      </w:r>
      <w:r w:rsidRPr="0086433C">
        <w:rPr>
          <w:rFonts w:cstheme="minorHAnsi"/>
        </w:rPr>
        <w:t xml:space="preserve">continue to </w:t>
      </w:r>
      <w:r w:rsidR="00C81609" w:rsidRPr="0086433C">
        <w:rPr>
          <w:rFonts w:cstheme="minorHAnsi"/>
        </w:rPr>
        <w:t>pursue further education or training opportunities</w:t>
      </w:r>
      <w:r w:rsidRPr="0086433C">
        <w:rPr>
          <w:rFonts w:cstheme="minorHAnsi"/>
        </w:rPr>
        <w:t xml:space="preserve"> </w:t>
      </w:r>
      <w:r w:rsidR="009B5DE9">
        <w:rPr>
          <w:rFonts w:cstheme="minorHAnsi"/>
        </w:rPr>
        <w:t>in</w:t>
      </w:r>
      <w:r w:rsidRPr="0086433C">
        <w:rPr>
          <w:rFonts w:cstheme="minorHAnsi"/>
        </w:rPr>
        <w:t xml:space="preserve"> greater </w:t>
      </w:r>
      <w:r w:rsidR="00404CE5" w:rsidRPr="0086433C">
        <w:rPr>
          <w:rFonts w:cstheme="minorHAnsi"/>
        </w:rPr>
        <w:t>proportions</w:t>
      </w:r>
      <w:r w:rsidRPr="0086433C">
        <w:rPr>
          <w:rFonts w:cstheme="minorHAnsi"/>
        </w:rPr>
        <w:t xml:space="preserve"> than those students who leave school prior to Year 12 completion</w:t>
      </w:r>
      <w:r w:rsidR="00C81609" w:rsidRPr="0086433C">
        <w:rPr>
          <w:rFonts w:cstheme="minorHAnsi"/>
        </w:rPr>
        <w:t xml:space="preserve">. In </w:t>
      </w:r>
      <w:r w:rsidR="009D64BE" w:rsidRPr="0086433C">
        <w:rPr>
          <w:rFonts w:cstheme="minorHAnsi"/>
        </w:rPr>
        <w:t>202</w:t>
      </w:r>
      <w:r w:rsidR="00D120EB" w:rsidRPr="0086433C">
        <w:rPr>
          <w:rFonts w:cstheme="minorHAnsi"/>
        </w:rPr>
        <w:t>1</w:t>
      </w:r>
      <w:r w:rsidR="00C81609" w:rsidRPr="0086433C">
        <w:rPr>
          <w:rFonts w:cstheme="minorHAnsi"/>
        </w:rPr>
        <w:t>,</w:t>
      </w:r>
      <w:r w:rsidR="00A573BE">
        <w:rPr>
          <w:rFonts w:cstheme="minorHAnsi"/>
        </w:rPr>
        <w:t xml:space="preserve"> just over</w:t>
      </w:r>
      <w:r w:rsidR="00C81609" w:rsidRPr="0086433C">
        <w:rPr>
          <w:rFonts w:cstheme="minorHAnsi"/>
        </w:rPr>
        <w:t xml:space="preserve"> three quarters of Year 12 completers were enrolled in education or training six months after finishing school, compared with </w:t>
      </w:r>
      <w:r w:rsidR="0024721E" w:rsidRPr="0086433C">
        <w:rPr>
          <w:rFonts w:cstheme="minorHAnsi"/>
        </w:rPr>
        <w:t xml:space="preserve">just over </w:t>
      </w:r>
      <w:r w:rsidR="00C81609" w:rsidRPr="0086433C">
        <w:rPr>
          <w:rFonts w:cstheme="minorHAnsi"/>
        </w:rPr>
        <w:t>half of those who left school early.</w:t>
      </w:r>
      <w:r w:rsidR="00C81609" w:rsidRPr="005750CF">
        <w:rPr>
          <w:rFonts w:cstheme="minorHAnsi"/>
        </w:rPr>
        <w:t xml:space="preserve"> </w:t>
      </w:r>
    </w:p>
    <w:p w14:paraId="2C76494F" w14:textId="31887FA2" w:rsidR="00A01ACB" w:rsidRPr="005750CF" w:rsidRDefault="00A01ACB" w:rsidP="00B87CFF">
      <w:pPr>
        <w:spacing w:after="120" w:line="240" w:lineRule="auto"/>
        <w:rPr>
          <w:rFonts w:cstheme="minorHAnsi"/>
        </w:rPr>
      </w:pPr>
      <w:r w:rsidRPr="00D4608C">
        <w:rPr>
          <w:rFonts w:cstheme="minorHAnsi"/>
        </w:rPr>
        <w:t xml:space="preserve">A significantly greater number of </w:t>
      </w:r>
      <w:r w:rsidR="00B17FA1">
        <w:rPr>
          <w:rFonts w:cstheme="minorHAnsi"/>
        </w:rPr>
        <w:t>respondents</w:t>
      </w:r>
      <w:r w:rsidR="00B17FA1" w:rsidRPr="00D4608C">
        <w:rPr>
          <w:rFonts w:cstheme="minorHAnsi"/>
        </w:rPr>
        <w:t xml:space="preserve"> </w:t>
      </w:r>
      <w:r w:rsidRPr="00D4608C">
        <w:rPr>
          <w:rFonts w:cstheme="minorHAnsi"/>
        </w:rPr>
        <w:t xml:space="preserve">who complete Year 12 continue their studies through a </w:t>
      </w:r>
      <w:r w:rsidR="00726B2E" w:rsidRPr="00D4608C">
        <w:rPr>
          <w:rFonts w:cstheme="minorHAnsi"/>
        </w:rPr>
        <w:t>Bachelor d</w:t>
      </w:r>
      <w:r w:rsidR="00C81609" w:rsidRPr="00D4608C">
        <w:rPr>
          <w:rFonts w:cstheme="minorHAnsi"/>
        </w:rPr>
        <w:t>egree</w:t>
      </w:r>
      <w:r w:rsidRPr="00D4608C">
        <w:rPr>
          <w:rFonts w:cstheme="minorHAnsi"/>
        </w:rPr>
        <w:t xml:space="preserve"> than any other education or training pathway. At </w:t>
      </w:r>
      <w:r w:rsidR="001B4DEA" w:rsidRPr="00D4608C">
        <w:rPr>
          <w:rFonts w:cstheme="minorHAnsi"/>
        </w:rPr>
        <w:t xml:space="preserve">just over </w:t>
      </w:r>
      <w:r w:rsidR="00A573BE">
        <w:rPr>
          <w:rFonts w:cstheme="minorHAnsi"/>
        </w:rPr>
        <w:t>56</w:t>
      </w:r>
      <w:r w:rsidR="00054991">
        <w:rPr>
          <w:rFonts w:cstheme="minorHAnsi"/>
        </w:rPr>
        <w:t xml:space="preserve"> </w:t>
      </w:r>
      <w:r w:rsidRPr="00D4608C">
        <w:rPr>
          <w:rFonts w:cstheme="minorHAnsi"/>
        </w:rPr>
        <w:t>per cent</w:t>
      </w:r>
      <w:r w:rsidR="00404CE5" w:rsidRPr="00D4608C">
        <w:rPr>
          <w:rFonts w:cstheme="minorHAnsi"/>
        </w:rPr>
        <w:t xml:space="preserve"> in </w:t>
      </w:r>
      <w:r w:rsidR="009153BE" w:rsidRPr="00D4608C">
        <w:rPr>
          <w:rFonts w:cstheme="minorHAnsi"/>
        </w:rPr>
        <w:t>202</w:t>
      </w:r>
      <w:r w:rsidR="00D120EB" w:rsidRPr="00D4608C">
        <w:rPr>
          <w:rFonts w:cstheme="minorHAnsi"/>
        </w:rPr>
        <w:t>1</w:t>
      </w:r>
      <w:r w:rsidRPr="00D4608C">
        <w:rPr>
          <w:rFonts w:cstheme="minorHAnsi"/>
        </w:rPr>
        <w:t xml:space="preserve">, this figure </w:t>
      </w:r>
      <w:r w:rsidR="00A573BE">
        <w:rPr>
          <w:rFonts w:cstheme="minorHAnsi"/>
        </w:rPr>
        <w:t>has trended upwards</w:t>
      </w:r>
      <w:r w:rsidR="00516319" w:rsidRPr="00D4608C">
        <w:rPr>
          <w:rFonts w:cstheme="minorHAnsi"/>
        </w:rPr>
        <w:t xml:space="preserve"> </w:t>
      </w:r>
      <w:r w:rsidR="00A573BE">
        <w:rPr>
          <w:rFonts w:cstheme="minorHAnsi"/>
        </w:rPr>
        <w:t>over</w:t>
      </w:r>
      <w:r w:rsidRPr="00D4608C">
        <w:rPr>
          <w:rFonts w:cstheme="minorHAnsi"/>
        </w:rPr>
        <w:t xml:space="preserve"> the last five years.</w:t>
      </w:r>
      <w:r w:rsidRPr="005750CF">
        <w:rPr>
          <w:rFonts w:cstheme="minorHAnsi"/>
        </w:rPr>
        <w:t xml:space="preserve"> </w:t>
      </w:r>
    </w:p>
    <w:p w14:paraId="73F2A748" w14:textId="2FA707B3" w:rsidR="001166D9" w:rsidRDefault="001406B7" w:rsidP="00B87CFF">
      <w:pPr>
        <w:spacing w:after="120" w:line="240" w:lineRule="auto"/>
        <w:rPr>
          <w:rFonts w:cstheme="minorHAnsi"/>
        </w:rPr>
      </w:pPr>
      <w:r>
        <w:rPr>
          <w:rFonts w:cstheme="minorHAnsi"/>
        </w:rPr>
        <w:t>T</w:t>
      </w:r>
      <w:r w:rsidR="009320C8">
        <w:rPr>
          <w:rFonts w:cstheme="minorHAnsi"/>
        </w:rPr>
        <w:t xml:space="preserve">he proportion of students who </w:t>
      </w:r>
      <w:r w:rsidR="00480FAA">
        <w:rPr>
          <w:rFonts w:cstheme="minorHAnsi"/>
        </w:rPr>
        <w:t>undertake apprenticeship</w:t>
      </w:r>
      <w:r w:rsidR="00A573BE">
        <w:rPr>
          <w:rFonts w:cstheme="minorHAnsi"/>
        </w:rPr>
        <w:t>s</w:t>
      </w:r>
      <w:r w:rsidR="00D41B33">
        <w:rPr>
          <w:rFonts w:cstheme="minorHAnsi"/>
        </w:rPr>
        <w:t xml:space="preserve"> or </w:t>
      </w:r>
      <w:r w:rsidR="00480FAA">
        <w:rPr>
          <w:rFonts w:cstheme="minorHAnsi"/>
        </w:rPr>
        <w:t>traineeship</w:t>
      </w:r>
      <w:r w:rsidR="00A573BE">
        <w:rPr>
          <w:rFonts w:cstheme="minorHAnsi"/>
        </w:rPr>
        <w:t>s</w:t>
      </w:r>
      <w:r w:rsidR="008750E1">
        <w:rPr>
          <w:rFonts w:cstheme="minorHAnsi"/>
        </w:rPr>
        <w:t xml:space="preserve"> has signific</w:t>
      </w:r>
      <w:r w:rsidR="001F133C">
        <w:rPr>
          <w:rFonts w:cstheme="minorHAnsi"/>
        </w:rPr>
        <w:t>antly increased. In 2021 it is</w:t>
      </w:r>
      <w:r w:rsidR="00480FAA">
        <w:rPr>
          <w:rFonts w:cstheme="minorHAnsi"/>
        </w:rPr>
        <w:t xml:space="preserve"> </w:t>
      </w:r>
      <w:r w:rsidR="00753922">
        <w:rPr>
          <w:rFonts w:cstheme="minorHAnsi"/>
        </w:rPr>
        <w:t xml:space="preserve">the highest </w:t>
      </w:r>
      <w:r w:rsidR="00D41B33">
        <w:rPr>
          <w:rFonts w:cstheme="minorHAnsi"/>
        </w:rPr>
        <w:t xml:space="preserve">it has been </w:t>
      </w:r>
      <w:r w:rsidR="00753922">
        <w:rPr>
          <w:rFonts w:cstheme="minorHAnsi"/>
        </w:rPr>
        <w:t>over the last five year</w:t>
      </w:r>
      <w:r w:rsidR="004A2CB0">
        <w:rPr>
          <w:rFonts w:cstheme="minorHAnsi"/>
        </w:rPr>
        <w:t>s</w:t>
      </w:r>
      <w:r w:rsidR="005C0BF3">
        <w:rPr>
          <w:rFonts w:cstheme="minorHAnsi"/>
        </w:rPr>
        <w:t xml:space="preserve"> with </w:t>
      </w:r>
      <w:r w:rsidR="00237EC4">
        <w:rPr>
          <w:rFonts w:cstheme="minorHAnsi"/>
        </w:rPr>
        <w:t>3</w:t>
      </w:r>
      <w:r w:rsidR="000201BC">
        <w:rPr>
          <w:rFonts w:cstheme="minorHAnsi"/>
        </w:rPr>
        <w:t>5.9</w:t>
      </w:r>
      <w:r w:rsidR="00237EC4">
        <w:rPr>
          <w:rFonts w:cstheme="minorHAnsi"/>
        </w:rPr>
        <w:t xml:space="preserve"> per cent of early leavers and 9.8 per cent of </w:t>
      </w:r>
      <w:r w:rsidR="00B26D5C">
        <w:rPr>
          <w:rFonts w:cstheme="minorHAnsi"/>
        </w:rPr>
        <w:t>Year 12 completers undertak</w:t>
      </w:r>
      <w:r w:rsidR="00D41B33">
        <w:rPr>
          <w:rFonts w:cstheme="minorHAnsi"/>
        </w:rPr>
        <w:t>ing</w:t>
      </w:r>
      <w:r w:rsidR="00B26D5C">
        <w:rPr>
          <w:rFonts w:cstheme="minorHAnsi"/>
        </w:rPr>
        <w:t xml:space="preserve"> </w:t>
      </w:r>
      <w:r w:rsidR="000201BC">
        <w:rPr>
          <w:rFonts w:cstheme="minorHAnsi"/>
        </w:rPr>
        <w:t>an</w:t>
      </w:r>
      <w:r w:rsidR="00B26D5C">
        <w:rPr>
          <w:rFonts w:cstheme="minorHAnsi"/>
        </w:rPr>
        <w:t xml:space="preserve"> apprent</w:t>
      </w:r>
      <w:r w:rsidR="00984A65">
        <w:rPr>
          <w:rFonts w:cstheme="minorHAnsi"/>
        </w:rPr>
        <w:t>iceship</w:t>
      </w:r>
      <w:r w:rsidR="00D41B33">
        <w:rPr>
          <w:rFonts w:cstheme="minorHAnsi"/>
        </w:rPr>
        <w:t xml:space="preserve"> or </w:t>
      </w:r>
      <w:r w:rsidR="00331A93">
        <w:rPr>
          <w:rFonts w:cstheme="minorHAnsi"/>
        </w:rPr>
        <w:t>traineeship</w:t>
      </w:r>
      <w:r w:rsidR="00212D70">
        <w:rPr>
          <w:rFonts w:cstheme="minorHAnsi"/>
        </w:rPr>
        <w:t xml:space="preserve"> in 2021</w:t>
      </w:r>
      <w:r w:rsidR="00753922">
        <w:rPr>
          <w:rFonts w:cstheme="minorHAnsi"/>
        </w:rPr>
        <w:t xml:space="preserve">. </w:t>
      </w:r>
      <w:r>
        <w:rPr>
          <w:rFonts w:cstheme="minorHAnsi"/>
        </w:rPr>
        <w:t xml:space="preserve"> </w:t>
      </w:r>
    </w:p>
    <w:p w14:paraId="70BC69D4" w14:textId="748F45A3" w:rsidR="00316337" w:rsidRPr="00CD5390" w:rsidRDefault="00860588" w:rsidP="00CD5390">
      <w:pPr>
        <w:spacing w:after="120" w:line="240" w:lineRule="auto"/>
        <w:rPr>
          <w:rFonts w:cstheme="minorHAnsi"/>
        </w:rPr>
      </w:pPr>
      <w:r>
        <w:rPr>
          <w:rFonts w:cstheme="minorHAnsi"/>
        </w:rPr>
        <w:t>T</w:t>
      </w:r>
      <w:r w:rsidRPr="005750CF">
        <w:rPr>
          <w:rFonts w:cstheme="minorHAnsi"/>
        </w:rPr>
        <w:t>here has been a</w:t>
      </w:r>
      <w:r w:rsidR="007822B8">
        <w:rPr>
          <w:rFonts w:cstheme="minorHAnsi"/>
        </w:rPr>
        <w:t xml:space="preserve"> </w:t>
      </w:r>
      <w:r w:rsidR="00205BF1">
        <w:rPr>
          <w:rFonts w:cstheme="minorHAnsi"/>
        </w:rPr>
        <w:t xml:space="preserve">slight </w:t>
      </w:r>
      <w:r w:rsidR="00205BF1" w:rsidRPr="00F51A29">
        <w:rPr>
          <w:rFonts w:cstheme="minorHAnsi"/>
        </w:rPr>
        <w:t>increase</w:t>
      </w:r>
      <w:r w:rsidRPr="00F51A29">
        <w:rPr>
          <w:rFonts w:cstheme="minorHAnsi"/>
        </w:rPr>
        <w:t xml:space="preserve"> in those </w:t>
      </w:r>
      <w:r w:rsidR="000201BC">
        <w:rPr>
          <w:rFonts w:cstheme="minorHAnsi"/>
        </w:rPr>
        <w:t>entering</w:t>
      </w:r>
      <w:r w:rsidRPr="00F51A29">
        <w:rPr>
          <w:rFonts w:cstheme="minorHAnsi"/>
        </w:rPr>
        <w:t xml:space="preserve"> employment</w:t>
      </w:r>
      <w:r>
        <w:rPr>
          <w:rFonts w:cstheme="minorHAnsi"/>
        </w:rPr>
        <w:t xml:space="preserve"> in 202</w:t>
      </w:r>
      <w:r w:rsidR="00D120EB">
        <w:rPr>
          <w:rFonts w:cstheme="minorHAnsi"/>
        </w:rPr>
        <w:t>1</w:t>
      </w:r>
      <w:r>
        <w:rPr>
          <w:rFonts w:cstheme="minorHAnsi"/>
        </w:rPr>
        <w:t xml:space="preserve"> compared to </w:t>
      </w:r>
      <w:r w:rsidR="000201BC">
        <w:rPr>
          <w:rFonts w:cstheme="minorHAnsi"/>
        </w:rPr>
        <w:t>2020</w:t>
      </w:r>
      <w:r>
        <w:rPr>
          <w:rFonts w:cstheme="minorHAnsi"/>
        </w:rPr>
        <w:t xml:space="preserve">. </w:t>
      </w:r>
      <w:r w:rsidR="00743802">
        <w:rPr>
          <w:rFonts w:cstheme="minorHAnsi"/>
        </w:rPr>
        <w:t>T</w:t>
      </w:r>
      <w:r>
        <w:rPr>
          <w:rFonts w:cstheme="minorHAnsi"/>
        </w:rPr>
        <w:t xml:space="preserve">he proportion of </w:t>
      </w:r>
      <w:r w:rsidR="00743802">
        <w:rPr>
          <w:rFonts w:cstheme="minorHAnsi"/>
        </w:rPr>
        <w:t>Year 12 completers</w:t>
      </w:r>
      <w:r>
        <w:rPr>
          <w:rFonts w:cstheme="minorHAnsi"/>
        </w:rPr>
        <w:t xml:space="preserve"> not in the labour force, </w:t>
      </w:r>
      <w:r w:rsidR="00F51A29">
        <w:rPr>
          <w:rFonts w:cstheme="minorHAnsi"/>
        </w:rPr>
        <w:t>education,</w:t>
      </w:r>
      <w:r>
        <w:rPr>
          <w:rFonts w:cstheme="minorHAnsi"/>
        </w:rPr>
        <w:t xml:space="preserve"> or training (NILFET)</w:t>
      </w:r>
      <w:r w:rsidR="00104619">
        <w:rPr>
          <w:rFonts w:cstheme="minorHAnsi"/>
        </w:rPr>
        <w:t xml:space="preserve"> decreased</w:t>
      </w:r>
      <w:r w:rsidR="00AA6A82">
        <w:rPr>
          <w:rFonts w:cstheme="minorHAnsi"/>
        </w:rPr>
        <w:t xml:space="preserve"> from 1.</w:t>
      </w:r>
      <w:r w:rsidR="00D41B33">
        <w:rPr>
          <w:rFonts w:cstheme="minorHAnsi"/>
        </w:rPr>
        <w:t>5</w:t>
      </w:r>
      <w:r w:rsidR="00AA6A82">
        <w:rPr>
          <w:rFonts w:cstheme="minorHAnsi"/>
        </w:rPr>
        <w:t xml:space="preserve"> </w:t>
      </w:r>
      <w:r w:rsidR="00054991">
        <w:rPr>
          <w:rFonts w:cstheme="minorHAnsi"/>
        </w:rPr>
        <w:t>per cent</w:t>
      </w:r>
      <w:r w:rsidR="00AA6A82">
        <w:rPr>
          <w:rFonts w:cstheme="minorHAnsi"/>
        </w:rPr>
        <w:t xml:space="preserve"> in 2020 to 0.</w:t>
      </w:r>
      <w:r w:rsidR="007C543E">
        <w:rPr>
          <w:rFonts w:cstheme="minorHAnsi"/>
        </w:rPr>
        <w:t>9</w:t>
      </w:r>
      <w:r w:rsidR="00054991">
        <w:rPr>
          <w:rFonts w:cstheme="minorHAnsi"/>
        </w:rPr>
        <w:t xml:space="preserve"> per cent in 2021</w:t>
      </w:r>
      <w:r w:rsidR="00AA6A82">
        <w:rPr>
          <w:rFonts w:cstheme="minorHAnsi"/>
        </w:rPr>
        <w:t xml:space="preserve">. </w:t>
      </w:r>
      <w:r w:rsidR="00D41B33">
        <w:rPr>
          <w:rFonts w:cstheme="minorHAnsi"/>
        </w:rPr>
        <w:t>Similarly</w:t>
      </w:r>
      <w:r w:rsidR="00743802">
        <w:rPr>
          <w:rFonts w:cstheme="minorHAnsi"/>
        </w:rPr>
        <w:t xml:space="preserve">, the proportion of Year 12 non-completers </w:t>
      </w:r>
      <w:r w:rsidR="00A573BE">
        <w:rPr>
          <w:rFonts w:cstheme="minorHAnsi"/>
        </w:rPr>
        <w:t xml:space="preserve">who categorised themselves as </w:t>
      </w:r>
      <w:r w:rsidR="00743802">
        <w:rPr>
          <w:rFonts w:cstheme="minorHAnsi"/>
        </w:rPr>
        <w:t>NILFET</w:t>
      </w:r>
      <w:r w:rsidR="00A573BE">
        <w:rPr>
          <w:rFonts w:cstheme="minorHAnsi"/>
        </w:rPr>
        <w:t>,</w:t>
      </w:r>
      <w:r w:rsidR="00525420">
        <w:rPr>
          <w:rFonts w:cstheme="minorHAnsi"/>
        </w:rPr>
        <w:t xml:space="preserve"> </w:t>
      </w:r>
      <w:r w:rsidR="00C04C35">
        <w:rPr>
          <w:rFonts w:cstheme="minorHAnsi"/>
        </w:rPr>
        <w:t>declined from</w:t>
      </w:r>
      <w:r w:rsidR="003670E7">
        <w:rPr>
          <w:rFonts w:cstheme="minorHAnsi"/>
        </w:rPr>
        <w:t xml:space="preserve"> </w:t>
      </w:r>
      <w:r w:rsidR="008032B2">
        <w:rPr>
          <w:rFonts w:cstheme="minorHAnsi"/>
        </w:rPr>
        <w:t>7.0</w:t>
      </w:r>
      <w:r w:rsidR="003670E7">
        <w:rPr>
          <w:rFonts w:cstheme="minorHAnsi"/>
        </w:rPr>
        <w:t xml:space="preserve"> per cent in 2020 to 4.</w:t>
      </w:r>
      <w:r w:rsidR="008032B2">
        <w:rPr>
          <w:rFonts w:cstheme="minorHAnsi"/>
        </w:rPr>
        <w:t>9</w:t>
      </w:r>
      <w:r w:rsidR="003670E7">
        <w:rPr>
          <w:rFonts w:cstheme="minorHAnsi"/>
        </w:rPr>
        <w:t xml:space="preserve"> per cent in 2021. </w:t>
      </w:r>
    </w:p>
    <w:p w14:paraId="3A6C9A64" w14:textId="79C01CC7" w:rsidR="00FB5960" w:rsidRDefault="00FB5960" w:rsidP="00BE4C3C"/>
    <w:p w14:paraId="5A1CEAB7" w14:textId="77777777" w:rsidR="00FE1753" w:rsidRPr="00BE4C3C" w:rsidRDefault="00FE1753" w:rsidP="00BE4C3C"/>
    <w:p w14:paraId="27E5B780" w14:textId="67CFB036" w:rsidR="00CB4D55" w:rsidRDefault="00BD4469" w:rsidP="001777C3">
      <w:pPr>
        <w:pStyle w:val="Heading1"/>
      </w:pPr>
      <w:r w:rsidRPr="002D030C">
        <w:lastRenderedPageBreak/>
        <w:t>Employment preferences have</w:t>
      </w:r>
      <w:r w:rsidR="00B26281" w:rsidRPr="002D030C">
        <w:t xml:space="preserve"> remained relatively consistent</w:t>
      </w:r>
      <w:r w:rsidR="006F147C">
        <w:t>,</w:t>
      </w:r>
      <w:r w:rsidR="00B26281" w:rsidRPr="002D030C">
        <w:t xml:space="preserve"> while there has been some variation in chosen fields of study</w:t>
      </w:r>
    </w:p>
    <w:p w14:paraId="6EB53DFC" w14:textId="77777777" w:rsidR="00430D0A" w:rsidRPr="00430D0A" w:rsidRDefault="00430D0A" w:rsidP="00430D0A"/>
    <w:p w14:paraId="0A9EE6AB" w14:textId="3143B797" w:rsidR="008916A2" w:rsidRPr="005750CF" w:rsidRDefault="00A6137F" w:rsidP="001777C3">
      <w:pPr>
        <w:pStyle w:val="Heading2"/>
      </w:pPr>
      <w:r w:rsidRPr="005750CF">
        <w:t xml:space="preserve">What are Victorian young people choosing to </w:t>
      </w:r>
      <w:r w:rsidR="00B21C5E" w:rsidRPr="005750CF">
        <w:t>study?</w:t>
      </w:r>
    </w:p>
    <w:p w14:paraId="3E27E477" w14:textId="527E7E9F" w:rsidR="00051515" w:rsidRPr="00B36BE6" w:rsidRDefault="00823D6D" w:rsidP="008842F5">
      <w:pPr>
        <w:spacing w:line="240" w:lineRule="auto"/>
        <w:jc w:val="both"/>
        <w:rPr>
          <w:rFonts w:cstheme="minorHAnsi"/>
        </w:rPr>
      </w:pPr>
      <w:r w:rsidRPr="00B36BE6">
        <w:rPr>
          <w:rFonts w:cstheme="minorHAnsi"/>
        </w:rPr>
        <w:t xml:space="preserve">Health remains the most popular field of study for Victorian Year 12 completers, with </w:t>
      </w:r>
      <w:r w:rsidR="00EF3371" w:rsidRPr="00B36BE6">
        <w:rPr>
          <w:rFonts w:cstheme="minorHAnsi"/>
        </w:rPr>
        <w:t>2</w:t>
      </w:r>
      <w:r w:rsidR="006E3EE7" w:rsidRPr="00B36BE6">
        <w:rPr>
          <w:rFonts w:cstheme="minorHAnsi"/>
        </w:rPr>
        <w:t>1.8</w:t>
      </w:r>
      <w:r w:rsidR="00CF31D5" w:rsidRPr="00B36BE6">
        <w:rPr>
          <w:rFonts w:cstheme="minorHAnsi"/>
        </w:rPr>
        <w:t xml:space="preserve"> per cent </w:t>
      </w:r>
      <w:r w:rsidRPr="00B36BE6">
        <w:rPr>
          <w:rFonts w:cstheme="minorHAnsi"/>
        </w:rPr>
        <w:t>undertaking health related</w:t>
      </w:r>
      <w:r w:rsidR="0044545E" w:rsidRPr="00B36BE6">
        <w:rPr>
          <w:rFonts w:cstheme="minorHAnsi"/>
        </w:rPr>
        <w:t xml:space="preserve"> studies as part of a Bachelor d</w:t>
      </w:r>
      <w:r w:rsidRPr="00B36BE6">
        <w:rPr>
          <w:rFonts w:cstheme="minorHAnsi"/>
        </w:rPr>
        <w:t>egree, Certificate or Diploma course at a University or TAFE.</w:t>
      </w:r>
      <w:r w:rsidR="00407951" w:rsidRPr="00B36BE6">
        <w:rPr>
          <w:rFonts w:cstheme="minorHAnsi"/>
        </w:rPr>
        <w:t xml:space="preserve"> </w:t>
      </w:r>
      <w:r w:rsidR="00DE5225" w:rsidRPr="00B36BE6">
        <w:rPr>
          <w:rFonts w:cstheme="minorHAnsi"/>
        </w:rPr>
        <w:t xml:space="preserve">Society and Culture </w:t>
      </w:r>
      <w:r w:rsidR="00036898" w:rsidRPr="00B36BE6">
        <w:rPr>
          <w:rFonts w:cstheme="minorHAnsi"/>
        </w:rPr>
        <w:t xml:space="preserve">is the second most popular field of study for Year 12 completers, increasing to </w:t>
      </w:r>
      <w:r w:rsidR="00DB0F7A" w:rsidRPr="00B36BE6">
        <w:rPr>
          <w:rFonts w:cstheme="minorHAnsi"/>
        </w:rPr>
        <w:t>1</w:t>
      </w:r>
      <w:r w:rsidR="009778D9" w:rsidRPr="00B36BE6">
        <w:rPr>
          <w:rFonts w:cstheme="minorHAnsi"/>
        </w:rPr>
        <w:t>6.7</w:t>
      </w:r>
      <w:r w:rsidR="00DB0F7A" w:rsidRPr="00B36BE6">
        <w:rPr>
          <w:rFonts w:cstheme="minorHAnsi"/>
        </w:rPr>
        <w:t xml:space="preserve"> per cent in 202</w:t>
      </w:r>
      <w:r w:rsidR="00B36BE6">
        <w:rPr>
          <w:rFonts w:cstheme="minorHAnsi"/>
        </w:rPr>
        <w:t>1</w:t>
      </w:r>
      <w:r w:rsidR="00DB0F7A" w:rsidRPr="00B36BE6">
        <w:rPr>
          <w:rFonts w:cstheme="minorHAnsi"/>
        </w:rPr>
        <w:t xml:space="preserve"> from </w:t>
      </w:r>
      <w:r w:rsidR="00C928B3">
        <w:rPr>
          <w:rFonts w:cstheme="minorHAnsi"/>
        </w:rPr>
        <w:t>14.8</w:t>
      </w:r>
      <w:r w:rsidR="00C928B3" w:rsidRPr="00B36BE6">
        <w:rPr>
          <w:rFonts w:cstheme="minorHAnsi"/>
        </w:rPr>
        <w:t xml:space="preserve"> </w:t>
      </w:r>
      <w:r w:rsidR="00DB0F7A" w:rsidRPr="00B36BE6">
        <w:rPr>
          <w:rFonts w:cstheme="minorHAnsi"/>
        </w:rPr>
        <w:t xml:space="preserve">per cent in </w:t>
      </w:r>
      <w:r w:rsidR="00C928B3">
        <w:rPr>
          <w:rFonts w:cstheme="minorHAnsi"/>
        </w:rPr>
        <w:t>2017</w:t>
      </w:r>
      <w:r w:rsidR="00DB0F7A" w:rsidRPr="00B36BE6">
        <w:rPr>
          <w:rFonts w:cstheme="minorHAnsi"/>
        </w:rPr>
        <w:t xml:space="preserve">. </w:t>
      </w:r>
      <w:r w:rsidR="00407951" w:rsidRPr="00B36BE6">
        <w:rPr>
          <w:rFonts w:cstheme="minorHAnsi"/>
        </w:rPr>
        <w:t xml:space="preserve">There </w:t>
      </w:r>
      <w:r w:rsidR="00DB0F7A" w:rsidRPr="00B36BE6">
        <w:rPr>
          <w:rFonts w:cstheme="minorHAnsi"/>
        </w:rPr>
        <w:t xml:space="preserve">has </w:t>
      </w:r>
      <w:r w:rsidR="00407951" w:rsidRPr="00B36BE6">
        <w:rPr>
          <w:rFonts w:cstheme="minorHAnsi"/>
        </w:rPr>
        <w:t xml:space="preserve">been </w:t>
      </w:r>
      <w:r w:rsidR="00712FA5" w:rsidRPr="00B36BE6">
        <w:rPr>
          <w:rFonts w:cstheme="minorHAnsi"/>
        </w:rPr>
        <w:t>a trending decline</w:t>
      </w:r>
      <w:r w:rsidR="00407951" w:rsidRPr="00B36BE6">
        <w:rPr>
          <w:rFonts w:cstheme="minorHAnsi"/>
        </w:rPr>
        <w:t xml:space="preserve"> in the proportion of Year 12 completers studying Management and Commerce or the Creative Arts when compared to figures for </w:t>
      </w:r>
      <w:r w:rsidR="00C928B3">
        <w:rPr>
          <w:rFonts w:cstheme="minorHAnsi"/>
        </w:rPr>
        <w:t>2017</w:t>
      </w:r>
      <w:r w:rsidR="00407951" w:rsidRPr="00B36BE6">
        <w:rPr>
          <w:rFonts w:cstheme="minorHAnsi"/>
        </w:rPr>
        <w:t>.</w:t>
      </w:r>
    </w:p>
    <w:p w14:paraId="2FE32ADB" w14:textId="65523B33" w:rsidR="00D474BB" w:rsidRDefault="00483FFC" w:rsidP="00D474BB">
      <w:pPr>
        <w:spacing w:line="240" w:lineRule="auto"/>
        <w:jc w:val="both"/>
        <w:rPr>
          <w:rFonts w:cstheme="minorHAnsi"/>
        </w:rPr>
      </w:pPr>
      <w:r w:rsidRPr="00B36BE6">
        <w:rPr>
          <w:rFonts w:cstheme="minorHAnsi"/>
        </w:rPr>
        <w:t>Management and Commerce</w:t>
      </w:r>
      <w:r w:rsidR="00495650" w:rsidRPr="00B36BE6">
        <w:rPr>
          <w:rFonts w:cstheme="minorHAnsi"/>
        </w:rPr>
        <w:t xml:space="preserve"> has experienced a surge in popularity </w:t>
      </w:r>
      <w:r w:rsidR="0067278C" w:rsidRPr="00B36BE6">
        <w:rPr>
          <w:rFonts w:cstheme="minorHAnsi"/>
        </w:rPr>
        <w:t>for Year 12 non-completers</w:t>
      </w:r>
      <w:r w:rsidR="00021397" w:rsidRPr="00B36BE6">
        <w:rPr>
          <w:rFonts w:cstheme="minorHAnsi"/>
        </w:rPr>
        <w:t xml:space="preserve"> </w:t>
      </w:r>
      <w:r w:rsidRPr="00B36BE6">
        <w:rPr>
          <w:rFonts w:cstheme="minorHAnsi"/>
        </w:rPr>
        <w:t>in 2021</w:t>
      </w:r>
      <w:r w:rsidR="00603AB3" w:rsidRPr="00B36BE6">
        <w:rPr>
          <w:rFonts w:cstheme="minorHAnsi"/>
        </w:rPr>
        <w:t xml:space="preserve">, </w:t>
      </w:r>
      <w:r w:rsidR="008A24A2" w:rsidRPr="00B36BE6">
        <w:rPr>
          <w:rFonts w:cstheme="minorHAnsi"/>
        </w:rPr>
        <w:t xml:space="preserve">reaching </w:t>
      </w:r>
      <w:r w:rsidR="00C928B3">
        <w:rPr>
          <w:rFonts w:cstheme="minorHAnsi"/>
        </w:rPr>
        <w:t>14.1</w:t>
      </w:r>
      <w:r w:rsidR="008A24A2" w:rsidRPr="00B36BE6">
        <w:rPr>
          <w:rFonts w:cstheme="minorHAnsi"/>
        </w:rPr>
        <w:t xml:space="preserve"> per cen</w:t>
      </w:r>
      <w:r w:rsidR="00792C57" w:rsidRPr="00B36BE6">
        <w:rPr>
          <w:rFonts w:cstheme="minorHAnsi"/>
        </w:rPr>
        <w:t>t</w:t>
      </w:r>
      <w:r w:rsidR="0026140C" w:rsidRPr="00B36BE6">
        <w:rPr>
          <w:rFonts w:cstheme="minorHAnsi"/>
        </w:rPr>
        <w:t xml:space="preserve">, the highest proportion </w:t>
      </w:r>
      <w:r w:rsidR="00C928B3">
        <w:rPr>
          <w:rFonts w:cstheme="minorHAnsi"/>
        </w:rPr>
        <w:t>in the last</w:t>
      </w:r>
      <w:r w:rsidR="00C928B3" w:rsidRPr="00B36BE6">
        <w:rPr>
          <w:rFonts w:cstheme="minorHAnsi"/>
        </w:rPr>
        <w:t xml:space="preserve"> </w:t>
      </w:r>
      <w:r w:rsidR="00B36BE6" w:rsidRPr="00B36BE6">
        <w:rPr>
          <w:rFonts w:cstheme="minorHAnsi"/>
        </w:rPr>
        <w:t>5 years</w:t>
      </w:r>
      <w:r w:rsidR="00792C57" w:rsidRPr="00B36BE6">
        <w:rPr>
          <w:rFonts w:cstheme="minorHAnsi"/>
        </w:rPr>
        <w:t xml:space="preserve">. </w:t>
      </w:r>
      <w:r w:rsidR="000821EE" w:rsidRPr="00B36BE6">
        <w:rPr>
          <w:rFonts w:cstheme="minorHAnsi"/>
        </w:rPr>
        <w:t xml:space="preserve">Society and </w:t>
      </w:r>
      <w:r w:rsidR="00BE7B9A" w:rsidRPr="00B36BE6">
        <w:rPr>
          <w:rFonts w:cstheme="minorHAnsi"/>
        </w:rPr>
        <w:t xml:space="preserve">Culture </w:t>
      </w:r>
      <w:r w:rsidR="00021397" w:rsidRPr="00B36BE6">
        <w:rPr>
          <w:rFonts w:cstheme="minorHAnsi"/>
        </w:rPr>
        <w:t>is now the second most popular</w:t>
      </w:r>
      <w:r w:rsidR="006B7FF8" w:rsidRPr="00B36BE6">
        <w:rPr>
          <w:rFonts w:cstheme="minorHAnsi"/>
        </w:rPr>
        <w:t xml:space="preserve"> </w:t>
      </w:r>
      <w:r w:rsidR="00D17213" w:rsidRPr="00B36BE6">
        <w:rPr>
          <w:rFonts w:cstheme="minorHAnsi"/>
        </w:rPr>
        <w:t xml:space="preserve">field of study </w:t>
      </w:r>
      <w:r w:rsidR="00BA04E1" w:rsidRPr="00B36BE6">
        <w:rPr>
          <w:rFonts w:cstheme="minorHAnsi"/>
        </w:rPr>
        <w:t>for Year 12 non-completers</w:t>
      </w:r>
      <w:r w:rsidR="009B5DE9">
        <w:rPr>
          <w:rFonts w:cstheme="minorHAnsi"/>
        </w:rPr>
        <w:t>,</w:t>
      </w:r>
      <w:r w:rsidR="00BA04E1" w:rsidRPr="00B36BE6">
        <w:rPr>
          <w:rFonts w:cstheme="minorHAnsi"/>
        </w:rPr>
        <w:t xml:space="preserve"> </w:t>
      </w:r>
      <w:r w:rsidR="009B5DE9">
        <w:rPr>
          <w:rFonts w:cstheme="minorHAnsi"/>
        </w:rPr>
        <w:t>declining to</w:t>
      </w:r>
      <w:r w:rsidR="00B36BE6" w:rsidRPr="00B36BE6">
        <w:rPr>
          <w:rFonts w:cstheme="minorHAnsi"/>
        </w:rPr>
        <w:t xml:space="preserve"> </w:t>
      </w:r>
      <w:r w:rsidR="0026140C" w:rsidRPr="00B36BE6">
        <w:rPr>
          <w:rFonts w:cstheme="minorHAnsi"/>
        </w:rPr>
        <w:t>13.4 per cent</w:t>
      </w:r>
      <w:r w:rsidR="00717253">
        <w:rPr>
          <w:rFonts w:cstheme="minorHAnsi"/>
        </w:rPr>
        <w:t xml:space="preserve"> in 2021</w:t>
      </w:r>
      <w:r w:rsidR="00BA04E1" w:rsidRPr="00B36BE6">
        <w:rPr>
          <w:rFonts w:cstheme="minorHAnsi"/>
        </w:rPr>
        <w:t>.</w:t>
      </w:r>
      <w:r w:rsidR="006D2930">
        <w:rPr>
          <w:rFonts w:cstheme="minorHAnsi"/>
        </w:rPr>
        <w:t xml:space="preserve"> </w:t>
      </w:r>
    </w:p>
    <w:p w14:paraId="14681127" w14:textId="5C0AFF12" w:rsidR="001777C3" w:rsidRPr="006E3EE7" w:rsidRDefault="001777C3" w:rsidP="008842F5">
      <w:pPr>
        <w:spacing w:line="240" w:lineRule="auto"/>
        <w:jc w:val="both"/>
        <w:rPr>
          <w:rFonts w:cstheme="minorHAnsi"/>
          <w:b/>
          <w:bCs/>
        </w:rPr>
      </w:pPr>
      <w:r w:rsidRPr="00BE73A9">
        <w:rPr>
          <w:rFonts w:cstheme="minorHAnsi"/>
          <w:b/>
          <w:bCs/>
        </w:rPr>
        <w:t>Top primary fields of study</w:t>
      </w:r>
      <w:r w:rsidR="00BE73A9" w:rsidRPr="00BE73A9">
        <w:rPr>
          <w:rFonts w:cstheme="minorHAnsi"/>
          <w:b/>
          <w:bCs/>
        </w:rPr>
        <w:t xml:space="preserve">, </w:t>
      </w:r>
      <w:r w:rsidR="00BE73A9" w:rsidRPr="006E3EE7">
        <w:rPr>
          <w:rFonts w:cstheme="minorHAnsi"/>
          <w:b/>
          <w:bCs/>
        </w:rPr>
        <w:t>201</w:t>
      </w:r>
      <w:r w:rsidR="00D120EB" w:rsidRPr="006E3EE7">
        <w:rPr>
          <w:rFonts w:cstheme="minorHAnsi"/>
          <w:b/>
          <w:bCs/>
        </w:rPr>
        <w:t>7</w:t>
      </w:r>
      <w:r w:rsidR="00BE73A9" w:rsidRPr="006E3EE7">
        <w:rPr>
          <w:rFonts w:cstheme="minorHAnsi"/>
          <w:b/>
          <w:bCs/>
        </w:rPr>
        <w:t>-20</w:t>
      </w:r>
      <w:r w:rsidR="00DB63E9" w:rsidRPr="006E3EE7">
        <w:rPr>
          <w:rFonts w:cstheme="minorHAnsi"/>
          <w:b/>
          <w:bCs/>
        </w:rPr>
        <w:t>2</w:t>
      </w:r>
      <w:r w:rsidR="00D120EB" w:rsidRPr="006E3EE7">
        <w:rPr>
          <w:rFonts w:cstheme="minorHAnsi"/>
          <w:b/>
          <w:bCs/>
        </w:rPr>
        <w:t>1</w:t>
      </w:r>
    </w:p>
    <w:tbl>
      <w:tblPr>
        <w:tblStyle w:val="TableGrid"/>
        <w:tblpPr w:leftFromText="180" w:rightFromText="180" w:vertAnchor="text" w:tblpY="1"/>
        <w:tblOverlap w:val="never"/>
        <w:tblW w:w="5000" w:type="pct"/>
        <w:tblLook w:val="04A0" w:firstRow="1" w:lastRow="0" w:firstColumn="1" w:lastColumn="0" w:noHBand="0" w:noVBand="1"/>
        <w:tblCaption w:val="Top primary fields of study. 2015-2019"/>
        <w:tblDescription w:val="This table shows the top primary fields of study (and proportions of students studying them) for both Year 12 completers and Year 12 non-completers for 2015, 2017 and 2019"/>
      </w:tblPr>
      <w:tblGrid>
        <w:gridCol w:w="2088"/>
        <w:gridCol w:w="2088"/>
        <w:gridCol w:w="2088"/>
        <w:gridCol w:w="2752"/>
      </w:tblGrid>
      <w:tr w:rsidR="00104C20" w:rsidRPr="006E3EE7" w14:paraId="4932AD29" w14:textId="2906791D" w:rsidTr="00FF35F3">
        <w:trPr>
          <w:cantSplit/>
          <w:tblHeader/>
        </w:trPr>
        <w:tc>
          <w:tcPr>
            <w:tcW w:w="1158" w:type="pct"/>
          </w:tcPr>
          <w:p w14:paraId="236B103B" w14:textId="10DAF40A" w:rsidR="00104C20" w:rsidRPr="006E3EE7" w:rsidRDefault="00104C20" w:rsidP="008C0A95">
            <w:pPr>
              <w:jc w:val="both"/>
              <w:rPr>
                <w:rFonts w:cstheme="minorHAnsi"/>
                <w:b/>
                <w:bCs/>
              </w:rPr>
            </w:pPr>
            <w:r w:rsidRPr="006E3EE7">
              <w:rPr>
                <w:rFonts w:cstheme="minorHAnsi"/>
                <w:b/>
                <w:bCs/>
              </w:rPr>
              <w:t>Cohort</w:t>
            </w:r>
          </w:p>
        </w:tc>
        <w:tc>
          <w:tcPr>
            <w:tcW w:w="1158" w:type="pct"/>
          </w:tcPr>
          <w:p w14:paraId="5CB7ABC7" w14:textId="35E9351A" w:rsidR="00104C20" w:rsidRPr="006E3EE7" w:rsidRDefault="00104C20" w:rsidP="008C0A95">
            <w:pPr>
              <w:jc w:val="center"/>
              <w:rPr>
                <w:rFonts w:cstheme="minorHAnsi"/>
                <w:b/>
                <w:bCs/>
              </w:rPr>
            </w:pPr>
            <w:r w:rsidRPr="006E3EE7">
              <w:rPr>
                <w:rFonts w:cstheme="minorHAnsi"/>
                <w:b/>
                <w:bCs/>
              </w:rPr>
              <w:t>2017</w:t>
            </w:r>
          </w:p>
        </w:tc>
        <w:tc>
          <w:tcPr>
            <w:tcW w:w="1158" w:type="pct"/>
          </w:tcPr>
          <w:p w14:paraId="0D45C8BD" w14:textId="53D868A9" w:rsidR="00104C20" w:rsidRPr="006E3EE7" w:rsidRDefault="00104C20" w:rsidP="008C0A95">
            <w:pPr>
              <w:jc w:val="center"/>
              <w:rPr>
                <w:rFonts w:cstheme="minorHAnsi"/>
                <w:b/>
                <w:bCs/>
              </w:rPr>
            </w:pPr>
            <w:r w:rsidRPr="006E3EE7">
              <w:rPr>
                <w:rFonts w:cstheme="minorHAnsi"/>
                <w:b/>
                <w:bCs/>
              </w:rPr>
              <w:t>2019</w:t>
            </w:r>
          </w:p>
        </w:tc>
        <w:tc>
          <w:tcPr>
            <w:tcW w:w="1526" w:type="pct"/>
          </w:tcPr>
          <w:p w14:paraId="7861080D" w14:textId="7094B15B" w:rsidR="00104C20" w:rsidRPr="006E3EE7" w:rsidRDefault="00104C20" w:rsidP="008C0A95">
            <w:pPr>
              <w:jc w:val="center"/>
              <w:rPr>
                <w:rFonts w:cstheme="minorHAnsi"/>
                <w:b/>
                <w:bCs/>
              </w:rPr>
            </w:pPr>
            <w:r w:rsidRPr="006E3EE7">
              <w:rPr>
                <w:rFonts w:cstheme="minorHAnsi"/>
                <w:b/>
                <w:bCs/>
              </w:rPr>
              <w:t>2021</w:t>
            </w:r>
          </w:p>
        </w:tc>
      </w:tr>
      <w:tr w:rsidR="00104C20" w:rsidRPr="006E3EE7" w14:paraId="1B63B7A8" w14:textId="285B0BB8" w:rsidTr="00FF35F3">
        <w:tc>
          <w:tcPr>
            <w:tcW w:w="1158" w:type="pct"/>
          </w:tcPr>
          <w:p w14:paraId="3829E812" w14:textId="163E32A7" w:rsidR="00104C20" w:rsidRPr="006E3EE7" w:rsidRDefault="00104C20" w:rsidP="008C0A95">
            <w:pPr>
              <w:rPr>
                <w:rFonts w:cstheme="minorHAnsi"/>
                <w:b/>
                <w:bCs/>
              </w:rPr>
            </w:pPr>
            <w:r w:rsidRPr="006E3EE7">
              <w:rPr>
                <w:rFonts w:cstheme="minorHAnsi"/>
                <w:b/>
                <w:bCs/>
              </w:rPr>
              <w:t>Year 12 completers</w:t>
            </w:r>
          </w:p>
        </w:tc>
        <w:tc>
          <w:tcPr>
            <w:tcW w:w="1158" w:type="pct"/>
          </w:tcPr>
          <w:p w14:paraId="0E799E7A" w14:textId="251239CA" w:rsidR="00104C20" w:rsidRPr="006E3EE7" w:rsidRDefault="00104C20" w:rsidP="00FF35F3">
            <w:pPr>
              <w:jc w:val="center"/>
              <w:rPr>
                <w:rFonts w:cstheme="minorHAnsi"/>
              </w:rPr>
            </w:pPr>
            <w:r w:rsidRPr="006E3EE7">
              <w:rPr>
                <w:rFonts w:cstheme="minorHAnsi"/>
              </w:rPr>
              <w:t xml:space="preserve">Health: </w:t>
            </w:r>
            <w:r w:rsidR="00C928B3">
              <w:rPr>
                <w:rFonts w:cstheme="minorHAnsi"/>
              </w:rPr>
              <w:t>18.3%</w:t>
            </w:r>
          </w:p>
        </w:tc>
        <w:tc>
          <w:tcPr>
            <w:tcW w:w="1158" w:type="pct"/>
          </w:tcPr>
          <w:p w14:paraId="6AC1799F" w14:textId="5515871A" w:rsidR="00104C20" w:rsidRPr="006E3EE7" w:rsidRDefault="00104C20" w:rsidP="00FF35F3">
            <w:pPr>
              <w:jc w:val="center"/>
              <w:rPr>
                <w:rFonts w:cstheme="minorHAnsi"/>
              </w:rPr>
            </w:pPr>
            <w:r w:rsidRPr="006E3EE7">
              <w:rPr>
                <w:rFonts w:cstheme="minorHAnsi"/>
              </w:rPr>
              <w:t xml:space="preserve">Health: </w:t>
            </w:r>
            <w:r w:rsidR="00C928B3">
              <w:rPr>
                <w:rFonts w:cstheme="minorHAnsi"/>
              </w:rPr>
              <w:t>19.4%</w:t>
            </w:r>
          </w:p>
        </w:tc>
        <w:tc>
          <w:tcPr>
            <w:tcW w:w="1526" w:type="pct"/>
          </w:tcPr>
          <w:p w14:paraId="47DD6BD5" w14:textId="1B81295E" w:rsidR="00104C20" w:rsidRPr="006E3EE7" w:rsidRDefault="005D5850" w:rsidP="00FF35F3">
            <w:pPr>
              <w:jc w:val="center"/>
              <w:rPr>
                <w:rFonts w:cstheme="minorHAnsi"/>
              </w:rPr>
            </w:pPr>
            <w:r w:rsidRPr="006E3EE7">
              <w:rPr>
                <w:rFonts w:cstheme="minorHAnsi"/>
              </w:rPr>
              <w:t>Health: 21.8%</w:t>
            </w:r>
          </w:p>
        </w:tc>
      </w:tr>
      <w:tr w:rsidR="00104C20" w14:paraId="1873F4B1" w14:textId="3576AE6D" w:rsidTr="00FF35F3">
        <w:tc>
          <w:tcPr>
            <w:tcW w:w="1158" w:type="pct"/>
          </w:tcPr>
          <w:p w14:paraId="5B897B46" w14:textId="60BC0393" w:rsidR="00104C20" w:rsidRPr="006E3EE7" w:rsidRDefault="00104C20" w:rsidP="008C0A95">
            <w:pPr>
              <w:rPr>
                <w:rFonts w:cstheme="minorHAnsi"/>
                <w:b/>
                <w:bCs/>
              </w:rPr>
            </w:pPr>
            <w:r w:rsidRPr="006E3EE7">
              <w:rPr>
                <w:rFonts w:cstheme="minorHAnsi"/>
                <w:b/>
                <w:bCs/>
              </w:rPr>
              <w:t>Year 12 non- completers</w:t>
            </w:r>
          </w:p>
        </w:tc>
        <w:tc>
          <w:tcPr>
            <w:tcW w:w="1158" w:type="pct"/>
          </w:tcPr>
          <w:p w14:paraId="69E46B1C" w14:textId="12EC6F61" w:rsidR="00104C20" w:rsidRPr="006E3EE7" w:rsidRDefault="00104C20" w:rsidP="00FF35F3">
            <w:pPr>
              <w:jc w:val="center"/>
              <w:rPr>
                <w:rFonts w:cstheme="minorHAnsi"/>
              </w:rPr>
            </w:pPr>
            <w:r w:rsidRPr="006E3EE7">
              <w:rPr>
                <w:rFonts w:cstheme="minorHAnsi"/>
              </w:rPr>
              <w:t xml:space="preserve">Society and Culture: </w:t>
            </w:r>
            <w:r w:rsidR="00C928B3">
              <w:rPr>
                <w:rFonts w:cstheme="minorHAnsi"/>
              </w:rPr>
              <w:t>12.5</w:t>
            </w:r>
            <w:r w:rsidRPr="006E3EE7">
              <w:rPr>
                <w:rFonts w:cstheme="minorHAnsi"/>
              </w:rPr>
              <w:t>%</w:t>
            </w:r>
          </w:p>
        </w:tc>
        <w:tc>
          <w:tcPr>
            <w:tcW w:w="1158" w:type="pct"/>
          </w:tcPr>
          <w:p w14:paraId="7AEE0648" w14:textId="1F1AF60D" w:rsidR="00104C20" w:rsidRPr="006E3EE7" w:rsidRDefault="00104C20" w:rsidP="00FF35F3">
            <w:pPr>
              <w:jc w:val="center"/>
              <w:rPr>
                <w:rFonts w:cstheme="minorHAnsi"/>
              </w:rPr>
            </w:pPr>
            <w:r w:rsidRPr="006E3EE7">
              <w:rPr>
                <w:rFonts w:cstheme="minorHAnsi"/>
              </w:rPr>
              <w:t>Society and Culture: 16.5%</w:t>
            </w:r>
          </w:p>
        </w:tc>
        <w:tc>
          <w:tcPr>
            <w:tcW w:w="1526" w:type="pct"/>
          </w:tcPr>
          <w:p w14:paraId="250E504F" w14:textId="2AC534F2" w:rsidR="00104C20" w:rsidRDefault="000A3A29" w:rsidP="00FF35F3">
            <w:pPr>
              <w:jc w:val="center"/>
              <w:rPr>
                <w:rFonts w:cstheme="minorHAnsi"/>
              </w:rPr>
            </w:pPr>
            <w:r w:rsidRPr="006E3EE7">
              <w:rPr>
                <w:rFonts w:cstheme="minorHAnsi"/>
              </w:rPr>
              <w:t>Management and Commerce: 14</w:t>
            </w:r>
            <w:r w:rsidR="00C928B3">
              <w:rPr>
                <w:rFonts w:cstheme="minorHAnsi"/>
              </w:rPr>
              <w:t>.1</w:t>
            </w:r>
            <w:r w:rsidRPr="006E3EE7">
              <w:rPr>
                <w:rFonts w:cstheme="minorHAnsi"/>
              </w:rPr>
              <w:t>%</w:t>
            </w:r>
          </w:p>
        </w:tc>
      </w:tr>
    </w:tbl>
    <w:p w14:paraId="6457CAB3" w14:textId="3CA4154A" w:rsidR="00FB5960" w:rsidRDefault="008C0A95" w:rsidP="008842F5">
      <w:pPr>
        <w:spacing w:after="120" w:line="240" w:lineRule="auto"/>
        <w:jc w:val="both"/>
        <w:rPr>
          <w:rFonts w:cstheme="minorHAnsi"/>
        </w:rPr>
      </w:pPr>
      <w:r>
        <w:rPr>
          <w:rFonts w:cstheme="minorHAnsi"/>
        </w:rPr>
        <w:br w:type="textWrapping" w:clear="all"/>
      </w:r>
    </w:p>
    <w:p w14:paraId="6DE8A5BD" w14:textId="77777777" w:rsidR="0044545E" w:rsidRPr="005750CF" w:rsidRDefault="0044545E" w:rsidP="00D44B7E">
      <w:pPr>
        <w:pStyle w:val="Heading2"/>
      </w:pPr>
      <w:r w:rsidRPr="005750CF">
        <w:t>Where are Victorian young people seeking employment?</w:t>
      </w:r>
    </w:p>
    <w:p w14:paraId="29ED6B8F" w14:textId="77777777" w:rsidR="0095118D" w:rsidRDefault="0095118D" w:rsidP="00CA4C8B">
      <w:pPr>
        <w:pStyle w:val="NoSpacing"/>
        <w:rPr>
          <w:rFonts w:asciiTheme="minorHAnsi" w:hAnsiTheme="minorHAnsi" w:cstheme="minorHAnsi"/>
          <w:b/>
          <w:sz w:val="22"/>
        </w:rPr>
      </w:pPr>
    </w:p>
    <w:p w14:paraId="1905EE04" w14:textId="16AF0968" w:rsidR="0095118D" w:rsidRPr="0095118D" w:rsidRDefault="0095118D" w:rsidP="0095118D">
      <w:pPr>
        <w:pStyle w:val="NoSpacing"/>
        <w:rPr>
          <w:rFonts w:asciiTheme="minorHAnsi" w:hAnsiTheme="minorHAnsi" w:cstheme="minorHAnsi"/>
          <w:sz w:val="22"/>
        </w:rPr>
      </w:pPr>
      <w:r w:rsidRPr="0095118D">
        <w:rPr>
          <w:rFonts w:asciiTheme="minorHAnsi" w:hAnsiTheme="minorHAnsi" w:cstheme="minorHAnsi"/>
          <w:sz w:val="22"/>
        </w:rPr>
        <w:t xml:space="preserve">Eighteen per cent of Year 12 completers who responded to </w:t>
      </w:r>
      <w:r w:rsidR="00370B0F">
        <w:rPr>
          <w:rFonts w:asciiTheme="minorHAnsi" w:hAnsiTheme="minorHAnsi" w:cstheme="minorHAnsi"/>
          <w:sz w:val="22"/>
        </w:rPr>
        <w:t xml:space="preserve">the </w:t>
      </w:r>
      <w:r w:rsidRPr="0095118D">
        <w:rPr>
          <w:rFonts w:asciiTheme="minorHAnsi" w:hAnsiTheme="minorHAnsi" w:cstheme="minorHAnsi"/>
          <w:sz w:val="22"/>
        </w:rPr>
        <w:t>2021 On Track survey were employed, either part-time (12</w:t>
      </w:r>
      <w:r w:rsidR="00324FA8">
        <w:rPr>
          <w:rFonts w:asciiTheme="minorHAnsi" w:hAnsiTheme="minorHAnsi" w:cstheme="minorHAnsi"/>
          <w:sz w:val="22"/>
        </w:rPr>
        <w:t>.0</w:t>
      </w:r>
      <w:r w:rsidR="00FB5960">
        <w:rPr>
          <w:rFonts w:asciiTheme="minorHAnsi" w:hAnsiTheme="minorHAnsi" w:cstheme="minorHAnsi"/>
          <w:sz w:val="22"/>
        </w:rPr>
        <w:t>%</w:t>
      </w:r>
      <w:r w:rsidRPr="0095118D">
        <w:rPr>
          <w:rFonts w:asciiTheme="minorHAnsi" w:hAnsiTheme="minorHAnsi" w:cstheme="minorHAnsi"/>
          <w:sz w:val="22"/>
        </w:rPr>
        <w:t>) or full-time (6</w:t>
      </w:r>
      <w:r w:rsidR="00324FA8">
        <w:rPr>
          <w:rFonts w:asciiTheme="minorHAnsi" w:hAnsiTheme="minorHAnsi" w:cstheme="minorHAnsi"/>
          <w:sz w:val="22"/>
        </w:rPr>
        <w:t>.0</w:t>
      </w:r>
      <w:r w:rsidR="00FB5960">
        <w:rPr>
          <w:rFonts w:asciiTheme="minorHAnsi" w:hAnsiTheme="minorHAnsi" w:cstheme="minorHAnsi"/>
          <w:sz w:val="22"/>
        </w:rPr>
        <w:t>%</w:t>
      </w:r>
      <w:r w:rsidRPr="0095118D">
        <w:rPr>
          <w:rFonts w:asciiTheme="minorHAnsi" w:hAnsiTheme="minorHAnsi" w:cstheme="minorHAnsi"/>
          <w:sz w:val="22"/>
        </w:rPr>
        <w:t xml:space="preserve">). </w:t>
      </w:r>
      <w:r w:rsidR="00370B0F">
        <w:rPr>
          <w:rFonts w:asciiTheme="minorHAnsi" w:hAnsiTheme="minorHAnsi" w:cstheme="minorHAnsi"/>
          <w:sz w:val="22"/>
        </w:rPr>
        <w:t>Just under four</w:t>
      </w:r>
      <w:r w:rsidRPr="0095118D">
        <w:rPr>
          <w:rFonts w:asciiTheme="minorHAnsi" w:hAnsiTheme="minorHAnsi" w:cstheme="minorHAnsi"/>
          <w:sz w:val="22"/>
        </w:rPr>
        <w:t xml:space="preserve"> per</w:t>
      </w:r>
      <w:r w:rsidRPr="0095118D" w:rsidDel="00FB5960">
        <w:rPr>
          <w:rFonts w:asciiTheme="minorHAnsi" w:hAnsiTheme="minorHAnsi" w:cstheme="minorHAnsi"/>
          <w:sz w:val="22"/>
        </w:rPr>
        <w:t xml:space="preserve"> </w:t>
      </w:r>
      <w:r w:rsidRPr="0095118D">
        <w:rPr>
          <w:rFonts w:asciiTheme="minorHAnsi" w:hAnsiTheme="minorHAnsi" w:cstheme="minorHAnsi"/>
          <w:sz w:val="22"/>
        </w:rPr>
        <w:t xml:space="preserve">cent were looking for work and </w:t>
      </w:r>
      <w:r w:rsidR="00324FA8">
        <w:rPr>
          <w:rFonts w:asciiTheme="minorHAnsi" w:hAnsiTheme="minorHAnsi" w:cstheme="minorHAnsi"/>
          <w:sz w:val="22"/>
        </w:rPr>
        <w:t>0.9</w:t>
      </w:r>
      <w:r w:rsidR="00324FA8" w:rsidRPr="0095118D">
        <w:rPr>
          <w:rFonts w:asciiTheme="minorHAnsi" w:hAnsiTheme="minorHAnsi" w:cstheme="minorHAnsi"/>
          <w:sz w:val="22"/>
        </w:rPr>
        <w:t xml:space="preserve"> </w:t>
      </w:r>
      <w:r w:rsidRPr="0095118D">
        <w:rPr>
          <w:rFonts w:asciiTheme="minorHAnsi" w:hAnsiTheme="minorHAnsi" w:cstheme="minorHAnsi"/>
          <w:sz w:val="22"/>
        </w:rPr>
        <w:t>per</w:t>
      </w:r>
      <w:r w:rsidR="00324FA8">
        <w:rPr>
          <w:rFonts w:asciiTheme="minorHAnsi" w:hAnsiTheme="minorHAnsi" w:cstheme="minorHAnsi"/>
          <w:sz w:val="22"/>
        </w:rPr>
        <w:t xml:space="preserve"> </w:t>
      </w:r>
      <w:r w:rsidRPr="0095118D">
        <w:rPr>
          <w:rFonts w:asciiTheme="minorHAnsi" w:hAnsiTheme="minorHAnsi" w:cstheme="minorHAnsi"/>
          <w:sz w:val="22"/>
        </w:rPr>
        <w:t xml:space="preserve">cent </w:t>
      </w:r>
      <w:r w:rsidR="00370B0F">
        <w:rPr>
          <w:rFonts w:asciiTheme="minorHAnsi" w:hAnsiTheme="minorHAnsi" w:cstheme="minorHAnsi"/>
          <w:sz w:val="22"/>
        </w:rPr>
        <w:t xml:space="preserve">reported they </w:t>
      </w:r>
      <w:r w:rsidRPr="0095118D" w:rsidDel="00FB5960">
        <w:rPr>
          <w:rFonts w:asciiTheme="minorHAnsi" w:hAnsiTheme="minorHAnsi" w:cstheme="minorHAnsi"/>
          <w:sz w:val="22"/>
        </w:rPr>
        <w:t>were not in the Labour Force, Education or Training</w:t>
      </w:r>
      <w:r w:rsidR="00370B0F">
        <w:rPr>
          <w:rFonts w:asciiTheme="minorHAnsi" w:hAnsiTheme="minorHAnsi" w:cstheme="minorHAnsi"/>
          <w:sz w:val="22"/>
        </w:rPr>
        <w:t xml:space="preserve"> (NILFET)</w:t>
      </w:r>
      <w:r w:rsidRPr="0095118D">
        <w:rPr>
          <w:rFonts w:asciiTheme="minorHAnsi" w:hAnsiTheme="minorHAnsi" w:cstheme="minorHAnsi"/>
          <w:sz w:val="22"/>
        </w:rPr>
        <w:t xml:space="preserve">. </w:t>
      </w:r>
      <w:r w:rsidR="00370B0F">
        <w:rPr>
          <w:rFonts w:asciiTheme="minorHAnsi" w:hAnsiTheme="minorHAnsi" w:cstheme="minorHAnsi"/>
          <w:sz w:val="22"/>
        </w:rPr>
        <w:t>The p</w:t>
      </w:r>
      <w:r w:rsidR="00324FA8">
        <w:rPr>
          <w:rFonts w:asciiTheme="minorHAnsi" w:hAnsiTheme="minorHAnsi" w:cstheme="minorHAnsi"/>
          <w:sz w:val="22"/>
        </w:rPr>
        <w:t xml:space="preserve">roportions of </w:t>
      </w:r>
      <w:r w:rsidR="00D474BB">
        <w:rPr>
          <w:rFonts w:asciiTheme="minorHAnsi" w:hAnsiTheme="minorHAnsi" w:cstheme="minorHAnsi"/>
          <w:sz w:val="22"/>
        </w:rPr>
        <w:t>respondents</w:t>
      </w:r>
      <w:r w:rsidR="00324FA8">
        <w:rPr>
          <w:rFonts w:asciiTheme="minorHAnsi" w:hAnsiTheme="minorHAnsi" w:cstheme="minorHAnsi"/>
          <w:sz w:val="22"/>
        </w:rPr>
        <w:t xml:space="preserve"> looking for work and NILFET have decreased back to pre-2020 levels and </w:t>
      </w:r>
      <w:r w:rsidR="00370B0F">
        <w:rPr>
          <w:rFonts w:asciiTheme="minorHAnsi" w:hAnsiTheme="minorHAnsi" w:cstheme="minorHAnsi"/>
          <w:sz w:val="22"/>
        </w:rPr>
        <w:t xml:space="preserve">the </w:t>
      </w:r>
      <w:r w:rsidR="00324FA8">
        <w:rPr>
          <w:rFonts w:asciiTheme="minorHAnsi" w:hAnsiTheme="minorHAnsi" w:cstheme="minorHAnsi"/>
          <w:sz w:val="22"/>
        </w:rPr>
        <w:t xml:space="preserve">proportion of those </w:t>
      </w:r>
      <w:r w:rsidR="00370B0F">
        <w:rPr>
          <w:rFonts w:asciiTheme="minorHAnsi" w:hAnsiTheme="minorHAnsi" w:cstheme="minorHAnsi"/>
          <w:sz w:val="22"/>
        </w:rPr>
        <w:t>reporting</w:t>
      </w:r>
      <w:r w:rsidR="00324FA8">
        <w:rPr>
          <w:rFonts w:asciiTheme="minorHAnsi" w:hAnsiTheme="minorHAnsi" w:cstheme="minorHAnsi"/>
          <w:sz w:val="22"/>
        </w:rPr>
        <w:t xml:space="preserve"> that they are in full-time employment has risen back to pre-2020 levels.</w:t>
      </w:r>
      <w:r w:rsidR="00324FA8" w:rsidRPr="0095118D" w:rsidDel="00324FA8">
        <w:rPr>
          <w:rFonts w:asciiTheme="minorHAnsi" w:hAnsiTheme="minorHAnsi" w:cstheme="minorHAnsi"/>
          <w:sz w:val="22"/>
        </w:rPr>
        <w:t xml:space="preserve"> </w:t>
      </w:r>
    </w:p>
    <w:p w14:paraId="53F1C13C" w14:textId="77777777" w:rsidR="00677F31" w:rsidRPr="005750CF" w:rsidRDefault="00677F31" w:rsidP="00D44B7E">
      <w:pPr>
        <w:pStyle w:val="NoSpacing"/>
        <w:rPr>
          <w:rFonts w:asciiTheme="minorHAnsi" w:hAnsiTheme="minorHAnsi" w:cstheme="minorHAnsi"/>
          <w:sz w:val="22"/>
        </w:rPr>
      </w:pPr>
    </w:p>
    <w:p w14:paraId="5204CF55" w14:textId="2A7E29BD" w:rsidR="00AB0737" w:rsidRDefault="00AB0737" w:rsidP="00AB0737">
      <w:pPr>
        <w:pStyle w:val="NoSpacing"/>
        <w:rPr>
          <w:rFonts w:asciiTheme="minorHAnsi" w:hAnsiTheme="minorHAnsi" w:cstheme="minorHAnsi"/>
          <w:sz w:val="22"/>
        </w:rPr>
      </w:pPr>
      <w:r w:rsidRPr="00AB0737">
        <w:rPr>
          <w:rFonts w:asciiTheme="minorHAnsi" w:hAnsiTheme="minorHAnsi" w:cstheme="minorHAnsi"/>
          <w:sz w:val="22"/>
        </w:rPr>
        <w:t>Among non-completers in 2021, 11</w:t>
      </w:r>
      <w:r w:rsidR="00324FA8">
        <w:rPr>
          <w:rFonts w:asciiTheme="minorHAnsi" w:hAnsiTheme="minorHAnsi" w:cstheme="minorHAnsi"/>
          <w:sz w:val="22"/>
        </w:rPr>
        <w:t>.3</w:t>
      </w:r>
      <w:r w:rsidRPr="00AB0737">
        <w:rPr>
          <w:rFonts w:asciiTheme="minorHAnsi" w:hAnsiTheme="minorHAnsi" w:cstheme="minorHAnsi"/>
          <w:sz w:val="22"/>
        </w:rPr>
        <w:t xml:space="preserve"> per cent were employed full time and 1</w:t>
      </w:r>
      <w:r w:rsidR="005268F7">
        <w:rPr>
          <w:rFonts w:asciiTheme="minorHAnsi" w:hAnsiTheme="minorHAnsi" w:cstheme="minorHAnsi"/>
          <w:sz w:val="22"/>
        </w:rPr>
        <w:t>5.9</w:t>
      </w:r>
      <w:r w:rsidRPr="00AB0737">
        <w:rPr>
          <w:rFonts w:asciiTheme="minorHAnsi" w:hAnsiTheme="minorHAnsi" w:cstheme="minorHAnsi"/>
          <w:sz w:val="22"/>
        </w:rPr>
        <w:t xml:space="preserve"> per cent part-time. </w:t>
      </w:r>
      <w:r w:rsidR="00370B0F">
        <w:rPr>
          <w:rFonts w:asciiTheme="minorHAnsi" w:hAnsiTheme="minorHAnsi" w:cstheme="minorHAnsi"/>
          <w:sz w:val="22"/>
        </w:rPr>
        <w:t>Slightly less than fifteen</w:t>
      </w:r>
      <w:r w:rsidRPr="00AB0737">
        <w:rPr>
          <w:rFonts w:asciiTheme="minorHAnsi" w:hAnsiTheme="minorHAnsi" w:cstheme="minorHAnsi"/>
          <w:sz w:val="22"/>
        </w:rPr>
        <w:t xml:space="preserve"> per cent were looking for work </w:t>
      </w:r>
      <w:r w:rsidR="00370B0F">
        <w:rPr>
          <w:rFonts w:asciiTheme="minorHAnsi" w:hAnsiTheme="minorHAnsi" w:cstheme="minorHAnsi"/>
          <w:sz w:val="22"/>
        </w:rPr>
        <w:t xml:space="preserve">(14.6%) </w:t>
      </w:r>
      <w:r w:rsidRPr="00AB0737">
        <w:rPr>
          <w:rFonts w:asciiTheme="minorHAnsi" w:hAnsiTheme="minorHAnsi" w:cstheme="minorHAnsi"/>
          <w:sz w:val="22"/>
        </w:rPr>
        <w:t xml:space="preserve">and </w:t>
      </w:r>
      <w:r w:rsidR="005268F7">
        <w:rPr>
          <w:rFonts w:asciiTheme="minorHAnsi" w:hAnsiTheme="minorHAnsi" w:cstheme="minorHAnsi"/>
          <w:sz w:val="22"/>
        </w:rPr>
        <w:t>4.9</w:t>
      </w:r>
      <w:r w:rsidRPr="00AB0737">
        <w:rPr>
          <w:rFonts w:asciiTheme="minorHAnsi" w:hAnsiTheme="minorHAnsi" w:cstheme="minorHAnsi"/>
          <w:sz w:val="22"/>
        </w:rPr>
        <w:t xml:space="preserve"> per cent were </w:t>
      </w:r>
      <w:r w:rsidR="00FB5960">
        <w:rPr>
          <w:rFonts w:asciiTheme="minorHAnsi" w:hAnsiTheme="minorHAnsi" w:cstheme="minorHAnsi"/>
          <w:sz w:val="22"/>
        </w:rPr>
        <w:t xml:space="preserve">NILFET. </w:t>
      </w:r>
      <w:r w:rsidRPr="00AB0737">
        <w:rPr>
          <w:rFonts w:asciiTheme="minorHAnsi" w:hAnsiTheme="minorHAnsi" w:cstheme="minorHAnsi"/>
          <w:sz w:val="22"/>
        </w:rPr>
        <w:t xml:space="preserve">While the proportion of part-timers is very similar to 2020, the proportion of full timers increased substantially from </w:t>
      </w:r>
      <w:r w:rsidR="005268F7">
        <w:rPr>
          <w:rFonts w:asciiTheme="minorHAnsi" w:hAnsiTheme="minorHAnsi" w:cstheme="minorHAnsi"/>
          <w:sz w:val="22"/>
        </w:rPr>
        <w:t>7.5</w:t>
      </w:r>
      <w:r w:rsidRPr="00AB0737">
        <w:rPr>
          <w:rFonts w:asciiTheme="minorHAnsi" w:hAnsiTheme="minorHAnsi" w:cstheme="minorHAnsi"/>
          <w:sz w:val="22"/>
        </w:rPr>
        <w:t xml:space="preserve"> per cent in 2020. Substantial decreases occurred in the proportions looking for work (</w:t>
      </w:r>
      <w:r w:rsidR="005268F7">
        <w:rPr>
          <w:rFonts w:asciiTheme="minorHAnsi" w:hAnsiTheme="minorHAnsi" w:cstheme="minorHAnsi"/>
          <w:sz w:val="22"/>
        </w:rPr>
        <w:t>18.8</w:t>
      </w:r>
      <w:r w:rsidRPr="00AB0737">
        <w:rPr>
          <w:rFonts w:asciiTheme="minorHAnsi" w:hAnsiTheme="minorHAnsi" w:cstheme="minorHAnsi"/>
          <w:sz w:val="22"/>
        </w:rPr>
        <w:t xml:space="preserve"> per cent in 2020</w:t>
      </w:r>
      <w:r w:rsidR="005268F7">
        <w:rPr>
          <w:rFonts w:asciiTheme="minorHAnsi" w:hAnsiTheme="minorHAnsi" w:cstheme="minorHAnsi"/>
          <w:sz w:val="22"/>
        </w:rPr>
        <w:t xml:space="preserve"> compared to 14.6% in 2021</w:t>
      </w:r>
      <w:r w:rsidRPr="00AB0737">
        <w:rPr>
          <w:rFonts w:asciiTheme="minorHAnsi" w:hAnsiTheme="minorHAnsi" w:cstheme="minorHAnsi"/>
          <w:sz w:val="22"/>
        </w:rPr>
        <w:t xml:space="preserve">), and </w:t>
      </w:r>
      <w:r w:rsidR="00FB5960">
        <w:rPr>
          <w:rFonts w:asciiTheme="minorHAnsi" w:hAnsiTheme="minorHAnsi" w:cstheme="minorHAnsi"/>
          <w:sz w:val="22"/>
        </w:rPr>
        <w:t>NILFET</w:t>
      </w:r>
      <w:r w:rsidRPr="00AB0737">
        <w:rPr>
          <w:rFonts w:asciiTheme="minorHAnsi" w:hAnsiTheme="minorHAnsi" w:cstheme="minorHAnsi"/>
          <w:sz w:val="22"/>
        </w:rPr>
        <w:t xml:space="preserve"> (7</w:t>
      </w:r>
      <w:r w:rsidR="005268F7">
        <w:rPr>
          <w:rFonts w:asciiTheme="minorHAnsi" w:hAnsiTheme="minorHAnsi" w:cstheme="minorHAnsi"/>
          <w:sz w:val="22"/>
        </w:rPr>
        <w:t>.0</w:t>
      </w:r>
      <w:r w:rsidRPr="00AB0737">
        <w:rPr>
          <w:rFonts w:asciiTheme="minorHAnsi" w:hAnsiTheme="minorHAnsi" w:cstheme="minorHAnsi"/>
          <w:sz w:val="22"/>
        </w:rPr>
        <w:t xml:space="preserve"> percent in 2020</w:t>
      </w:r>
      <w:r w:rsidR="005268F7">
        <w:rPr>
          <w:rFonts w:asciiTheme="minorHAnsi" w:hAnsiTheme="minorHAnsi" w:cstheme="minorHAnsi"/>
          <w:sz w:val="22"/>
        </w:rPr>
        <w:t xml:space="preserve"> compared to 4.9% in 2021</w:t>
      </w:r>
      <w:r w:rsidRPr="00AB0737">
        <w:rPr>
          <w:rFonts w:asciiTheme="minorHAnsi" w:hAnsiTheme="minorHAnsi" w:cstheme="minorHAnsi"/>
          <w:sz w:val="22"/>
        </w:rPr>
        <w:t>).</w:t>
      </w:r>
    </w:p>
    <w:p w14:paraId="71A02FCE" w14:textId="77777777" w:rsidR="00AB0737" w:rsidRDefault="00AB0737" w:rsidP="00D44B7E">
      <w:pPr>
        <w:pStyle w:val="NoSpacing"/>
        <w:rPr>
          <w:rFonts w:asciiTheme="minorHAnsi" w:hAnsiTheme="minorHAnsi" w:cstheme="minorHAnsi"/>
          <w:sz w:val="22"/>
        </w:rPr>
      </w:pPr>
    </w:p>
    <w:p w14:paraId="25724FA3" w14:textId="22654207" w:rsidR="00D474BB" w:rsidRPr="00733848" w:rsidRDefault="00FB2A70" w:rsidP="00D44B7E">
      <w:pPr>
        <w:pStyle w:val="NoSpacing"/>
        <w:rPr>
          <w:rFonts w:asciiTheme="minorHAnsi" w:hAnsiTheme="minorHAnsi" w:cstheme="minorHAnsi"/>
          <w:sz w:val="22"/>
        </w:rPr>
      </w:pPr>
      <w:r w:rsidRPr="00733848">
        <w:rPr>
          <w:rFonts w:asciiTheme="minorHAnsi" w:hAnsiTheme="minorHAnsi" w:cstheme="minorHAnsi"/>
          <w:sz w:val="22"/>
        </w:rPr>
        <w:t>For those in employment, the p</w:t>
      </w:r>
      <w:r w:rsidR="00811438" w:rsidRPr="00733848">
        <w:rPr>
          <w:rFonts w:asciiTheme="minorHAnsi" w:hAnsiTheme="minorHAnsi" w:cstheme="minorHAnsi"/>
          <w:sz w:val="22"/>
        </w:rPr>
        <w:t xml:space="preserve">referred </w:t>
      </w:r>
      <w:r w:rsidRPr="00733848">
        <w:rPr>
          <w:rFonts w:asciiTheme="minorHAnsi" w:hAnsiTheme="minorHAnsi" w:cstheme="minorHAnsi"/>
          <w:sz w:val="22"/>
        </w:rPr>
        <w:t>workforces</w:t>
      </w:r>
      <w:r w:rsidR="00811438" w:rsidRPr="00733848">
        <w:rPr>
          <w:rFonts w:asciiTheme="minorHAnsi" w:hAnsiTheme="minorHAnsi" w:cstheme="minorHAnsi"/>
          <w:sz w:val="22"/>
        </w:rPr>
        <w:t xml:space="preserve"> have remained largely </w:t>
      </w:r>
      <w:r w:rsidRPr="00733848">
        <w:rPr>
          <w:rFonts w:asciiTheme="minorHAnsi" w:hAnsiTheme="minorHAnsi" w:cstheme="minorHAnsi"/>
          <w:sz w:val="22"/>
        </w:rPr>
        <w:t>unchanged</w:t>
      </w:r>
      <w:r w:rsidR="00B34FA3" w:rsidRPr="00733848">
        <w:rPr>
          <w:rFonts w:asciiTheme="minorHAnsi" w:hAnsiTheme="minorHAnsi" w:cstheme="minorHAnsi"/>
          <w:sz w:val="22"/>
        </w:rPr>
        <w:t xml:space="preserve"> </w:t>
      </w:r>
      <w:r w:rsidR="00FB5960">
        <w:rPr>
          <w:rFonts w:asciiTheme="minorHAnsi" w:hAnsiTheme="minorHAnsi" w:cstheme="minorHAnsi"/>
          <w:sz w:val="22"/>
        </w:rPr>
        <w:t>in comparison to</w:t>
      </w:r>
      <w:r w:rsidR="00B34FA3" w:rsidRPr="00733848">
        <w:rPr>
          <w:rFonts w:asciiTheme="minorHAnsi" w:hAnsiTheme="minorHAnsi" w:cstheme="minorHAnsi"/>
          <w:sz w:val="22"/>
        </w:rPr>
        <w:t xml:space="preserve"> previous years</w:t>
      </w:r>
      <w:r w:rsidRPr="00733848">
        <w:rPr>
          <w:rFonts w:asciiTheme="minorHAnsi" w:hAnsiTheme="minorHAnsi" w:cstheme="minorHAnsi"/>
          <w:sz w:val="22"/>
        </w:rPr>
        <w:t xml:space="preserve">. In </w:t>
      </w:r>
      <w:r w:rsidR="00CC1FEB" w:rsidRPr="00733848">
        <w:rPr>
          <w:rFonts w:asciiTheme="minorHAnsi" w:hAnsiTheme="minorHAnsi" w:cstheme="minorHAnsi"/>
          <w:sz w:val="22"/>
        </w:rPr>
        <w:t>202</w:t>
      </w:r>
      <w:r w:rsidR="00D120EB" w:rsidRPr="00733848">
        <w:rPr>
          <w:rFonts w:asciiTheme="minorHAnsi" w:hAnsiTheme="minorHAnsi" w:cstheme="minorHAnsi"/>
          <w:sz w:val="22"/>
        </w:rPr>
        <w:t>1</w:t>
      </w:r>
      <w:r w:rsidRPr="00733848">
        <w:rPr>
          <w:rFonts w:asciiTheme="minorHAnsi" w:hAnsiTheme="minorHAnsi" w:cstheme="minorHAnsi"/>
          <w:sz w:val="22"/>
        </w:rPr>
        <w:t xml:space="preserve">, the </w:t>
      </w:r>
      <w:r w:rsidR="00D4325B" w:rsidRPr="00733848">
        <w:rPr>
          <w:rFonts w:asciiTheme="minorHAnsi" w:hAnsiTheme="minorHAnsi" w:cstheme="minorHAnsi"/>
          <w:sz w:val="22"/>
        </w:rPr>
        <w:t>three</w:t>
      </w:r>
      <w:r w:rsidR="00811438" w:rsidRPr="00733848">
        <w:rPr>
          <w:rFonts w:asciiTheme="minorHAnsi" w:hAnsiTheme="minorHAnsi" w:cstheme="minorHAnsi"/>
          <w:sz w:val="22"/>
        </w:rPr>
        <w:t xml:space="preserve"> most popular employment destinations</w:t>
      </w:r>
      <w:r w:rsidRPr="00733848">
        <w:rPr>
          <w:rFonts w:asciiTheme="minorHAnsi" w:hAnsiTheme="minorHAnsi" w:cstheme="minorHAnsi"/>
          <w:sz w:val="22"/>
        </w:rPr>
        <w:t xml:space="preserve"> </w:t>
      </w:r>
      <w:r w:rsidR="00FB5960">
        <w:rPr>
          <w:rFonts w:asciiTheme="minorHAnsi" w:hAnsiTheme="minorHAnsi" w:cstheme="minorHAnsi"/>
          <w:sz w:val="22"/>
        </w:rPr>
        <w:t xml:space="preserve">were the same </w:t>
      </w:r>
      <w:r w:rsidRPr="00733848">
        <w:rPr>
          <w:rFonts w:asciiTheme="minorHAnsi" w:hAnsiTheme="minorHAnsi" w:cstheme="minorHAnsi"/>
          <w:sz w:val="22"/>
        </w:rPr>
        <w:t>in 201</w:t>
      </w:r>
      <w:r w:rsidR="00FB5960">
        <w:rPr>
          <w:rFonts w:asciiTheme="minorHAnsi" w:hAnsiTheme="minorHAnsi" w:cstheme="minorHAnsi"/>
          <w:sz w:val="22"/>
        </w:rPr>
        <w:t>7</w:t>
      </w:r>
      <w:r w:rsidRPr="00733848">
        <w:rPr>
          <w:rFonts w:asciiTheme="minorHAnsi" w:hAnsiTheme="minorHAnsi" w:cstheme="minorHAnsi"/>
          <w:sz w:val="22"/>
        </w:rPr>
        <w:t xml:space="preserve"> </w:t>
      </w:r>
      <w:r w:rsidR="00811438" w:rsidRPr="00733848">
        <w:rPr>
          <w:rFonts w:asciiTheme="minorHAnsi" w:hAnsiTheme="minorHAnsi" w:cstheme="minorHAnsi"/>
          <w:sz w:val="22"/>
        </w:rPr>
        <w:t xml:space="preserve">for both </w:t>
      </w:r>
      <w:r w:rsidR="00370B0F">
        <w:rPr>
          <w:rFonts w:asciiTheme="minorHAnsi" w:hAnsiTheme="minorHAnsi" w:cstheme="minorHAnsi"/>
          <w:sz w:val="22"/>
        </w:rPr>
        <w:t>completers and non-completers</w:t>
      </w:r>
      <w:r w:rsidR="00E60EB5">
        <w:rPr>
          <w:rFonts w:asciiTheme="minorHAnsi" w:hAnsiTheme="minorHAnsi" w:cstheme="minorHAnsi"/>
          <w:sz w:val="22"/>
        </w:rPr>
        <w:t>, although the proportion of Year 12 completers employed in sales assistance or as store persons declined</w:t>
      </w:r>
      <w:r w:rsidR="00D474BB">
        <w:rPr>
          <w:rFonts w:asciiTheme="minorHAnsi" w:hAnsiTheme="minorHAnsi" w:cstheme="minorHAnsi"/>
          <w:sz w:val="22"/>
        </w:rPr>
        <w:t>. F</w:t>
      </w:r>
      <w:r w:rsidR="00E569AB">
        <w:rPr>
          <w:rFonts w:asciiTheme="minorHAnsi" w:hAnsiTheme="minorHAnsi" w:cstheme="minorHAnsi"/>
          <w:sz w:val="22"/>
        </w:rPr>
        <w:t>ood, hospitality and tourism replaced this as the top employment destination for these respondents</w:t>
      </w:r>
      <w:r w:rsidR="00811438" w:rsidRPr="00733848">
        <w:rPr>
          <w:rFonts w:asciiTheme="minorHAnsi" w:hAnsiTheme="minorHAnsi" w:cstheme="minorHAnsi"/>
          <w:sz w:val="22"/>
        </w:rPr>
        <w:t xml:space="preserve">. </w:t>
      </w:r>
      <w:r w:rsidR="00E569AB">
        <w:rPr>
          <w:rFonts w:asciiTheme="minorHAnsi" w:hAnsiTheme="minorHAnsi" w:cstheme="minorHAnsi"/>
          <w:sz w:val="22"/>
        </w:rPr>
        <w:t>Building and construction remains the top employment destination for Year 12 non-completers.</w:t>
      </w:r>
    </w:p>
    <w:p w14:paraId="21A2CE54" w14:textId="7DD22070" w:rsidR="00FE1753" w:rsidRDefault="00FE1753" w:rsidP="00D44B7E">
      <w:pPr>
        <w:pStyle w:val="NoSpacing"/>
        <w:rPr>
          <w:rFonts w:asciiTheme="minorHAnsi" w:hAnsiTheme="minorHAnsi" w:cstheme="minorHAnsi"/>
          <w:sz w:val="22"/>
        </w:rPr>
      </w:pPr>
    </w:p>
    <w:p w14:paraId="0133642C" w14:textId="2B96ACA6" w:rsidR="00677F31" w:rsidRPr="00733848" w:rsidRDefault="00677F31" w:rsidP="00D44B7E">
      <w:pPr>
        <w:pStyle w:val="NoSpacing"/>
        <w:rPr>
          <w:rFonts w:asciiTheme="minorHAnsi" w:hAnsiTheme="minorHAnsi" w:cstheme="minorHAnsi"/>
          <w:sz w:val="22"/>
        </w:rPr>
      </w:pPr>
    </w:p>
    <w:p w14:paraId="4E6A2CC7" w14:textId="5A44B6C7" w:rsidR="00747B58" w:rsidRDefault="00747B58" w:rsidP="00D44B7E">
      <w:pPr>
        <w:pStyle w:val="NoSpacing"/>
        <w:rPr>
          <w:rFonts w:asciiTheme="minorHAnsi" w:hAnsiTheme="minorHAnsi" w:cstheme="minorHAnsi"/>
          <w:sz w:val="22"/>
        </w:rPr>
      </w:pPr>
    </w:p>
    <w:p w14:paraId="1924E8C8" w14:textId="77777777" w:rsidR="00B46907" w:rsidRDefault="00B46907" w:rsidP="00D44B7E">
      <w:pPr>
        <w:pStyle w:val="NoSpacing"/>
        <w:rPr>
          <w:rFonts w:asciiTheme="minorHAnsi" w:hAnsiTheme="minorHAnsi" w:cstheme="minorHAnsi"/>
          <w:sz w:val="22"/>
        </w:rPr>
      </w:pPr>
    </w:p>
    <w:p w14:paraId="03801553" w14:textId="63BECF91" w:rsidR="00B46907" w:rsidRDefault="00B46907" w:rsidP="00D44B7E">
      <w:pPr>
        <w:pStyle w:val="NoSpacing"/>
        <w:rPr>
          <w:rFonts w:asciiTheme="minorHAnsi" w:hAnsiTheme="minorHAnsi" w:cstheme="minorHAnsi"/>
          <w:sz w:val="22"/>
        </w:rPr>
      </w:pPr>
    </w:p>
    <w:p w14:paraId="2A2DD348" w14:textId="77777777" w:rsidR="00677F31" w:rsidRPr="00733848" w:rsidRDefault="00677F31" w:rsidP="00D44B7E">
      <w:pPr>
        <w:pStyle w:val="NoSpacing"/>
        <w:rPr>
          <w:rFonts w:asciiTheme="minorHAnsi" w:hAnsiTheme="minorHAnsi" w:cstheme="minorHAnsi"/>
          <w:sz w:val="22"/>
        </w:rPr>
      </w:pPr>
    </w:p>
    <w:p w14:paraId="46751B4C" w14:textId="25E80CAB" w:rsidR="00D46833" w:rsidRDefault="001F370A" w:rsidP="00CA4C8B">
      <w:pPr>
        <w:pStyle w:val="NoSpacing"/>
        <w:rPr>
          <w:rFonts w:asciiTheme="minorHAnsi" w:hAnsiTheme="minorHAnsi" w:cstheme="minorHAnsi"/>
          <w:b/>
          <w:sz w:val="22"/>
        </w:rPr>
      </w:pPr>
      <w:r w:rsidRPr="00733848">
        <w:rPr>
          <w:rFonts w:asciiTheme="minorHAnsi" w:hAnsiTheme="minorHAnsi" w:cstheme="minorHAnsi"/>
          <w:b/>
          <w:sz w:val="22"/>
        </w:rPr>
        <w:t xml:space="preserve">Top </w:t>
      </w:r>
      <w:r w:rsidR="00933D19" w:rsidRPr="00733848">
        <w:rPr>
          <w:rFonts w:asciiTheme="minorHAnsi" w:hAnsiTheme="minorHAnsi" w:cstheme="minorHAnsi"/>
          <w:b/>
          <w:sz w:val="22"/>
        </w:rPr>
        <w:t>5 employment destinations, On Track 201</w:t>
      </w:r>
      <w:r w:rsidR="00D120EB" w:rsidRPr="00733848">
        <w:rPr>
          <w:rFonts w:asciiTheme="minorHAnsi" w:hAnsiTheme="minorHAnsi" w:cstheme="minorHAnsi"/>
          <w:b/>
          <w:sz w:val="22"/>
        </w:rPr>
        <w:t>7</w:t>
      </w:r>
      <w:r w:rsidR="00933D19" w:rsidRPr="00733848">
        <w:rPr>
          <w:rFonts w:asciiTheme="minorHAnsi" w:hAnsiTheme="minorHAnsi" w:cstheme="minorHAnsi"/>
          <w:b/>
          <w:sz w:val="22"/>
        </w:rPr>
        <w:t xml:space="preserve"> and 202</w:t>
      </w:r>
      <w:r w:rsidR="00D120EB" w:rsidRPr="00733848">
        <w:rPr>
          <w:rFonts w:asciiTheme="minorHAnsi" w:hAnsiTheme="minorHAnsi" w:cstheme="minorHAnsi"/>
          <w:b/>
          <w:sz w:val="22"/>
        </w:rPr>
        <w:t>1</w:t>
      </w:r>
    </w:p>
    <w:p w14:paraId="75ECFFB1" w14:textId="77777777" w:rsidR="00D46833" w:rsidRDefault="00D46833" w:rsidP="00CA4C8B">
      <w:pPr>
        <w:pStyle w:val="NoSpacing"/>
        <w:rPr>
          <w:rFonts w:asciiTheme="minorHAnsi" w:hAnsiTheme="minorHAnsi" w:cstheme="minorHAnsi"/>
          <w:b/>
          <w:sz w:val="22"/>
        </w:rPr>
      </w:pPr>
    </w:p>
    <w:p w14:paraId="7638B5B2" w14:textId="15A4FF90" w:rsidR="00A36D51" w:rsidRPr="005750CF" w:rsidRDefault="004B0027" w:rsidP="00CA4C8B">
      <w:pPr>
        <w:pStyle w:val="NoSpacing"/>
        <w:rPr>
          <w:rFonts w:asciiTheme="minorHAnsi" w:hAnsiTheme="minorHAnsi" w:cstheme="minorHAnsi"/>
          <w:b/>
          <w:sz w:val="22"/>
        </w:rPr>
      </w:pPr>
      <w:r w:rsidRPr="005750CF">
        <w:rPr>
          <w:rFonts w:asciiTheme="minorHAnsi" w:hAnsiTheme="minorHAnsi" w:cstheme="minorHAnsi"/>
          <w:b/>
          <w:sz w:val="22"/>
        </w:rPr>
        <w:t>Year 12 completers</w:t>
      </w:r>
    </w:p>
    <w:p w14:paraId="144A11CD" w14:textId="7E22CDF7" w:rsidR="00A36D51" w:rsidRDefault="00A36D51" w:rsidP="00CA4C8B">
      <w:pPr>
        <w:pStyle w:val="NoSpacing"/>
        <w:rPr>
          <w:rFonts w:asciiTheme="minorHAnsi" w:hAnsiTheme="minorHAnsi" w:cstheme="minorHAnsi"/>
          <w:sz w:val="22"/>
          <w:highlight w:val="yellow"/>
        </w:rPr>
      </w:pPr>
    </w:p>
    <w:tbl>
      <w:tblPr>
        <w:tblStyle w:val="TableGrid"/>
        <w:tblW w:w="5000" w:type="pct"/>
        <w:tblLook w:val="04A0" w:firstRow="1" w:lastRow="0" w:firstColumn="1" w:lastColumn="0" w:noHBand="0" w:noVBand="1"/>
        <w:tblDescription w:val="This table shows the top five employment destinations (and proportion of students employed) for Year 12 completers, 2015 and 2019"/>
      </w:tblPr>
      <w:tblGrid>
        <w:gridCol w:w="800"/>
        <w:gridCol w:w="4025"/>
        <w:gridCol w:w="4191"/>
      </w:tblGrid>
      <w:tr w:rsidR="00D32B5C" w:rsidRPr="005750CF" w14:paraId="19AB3470" w14:textId="77777777" w:rsidTr="00FF35F3">
        <w:trPr>
          <w:cantSplit/>
          <w:tblHeader/>
        </w:trPr>
        <w:tc>
          <w:tcPr>
            <w:tcW w:w="444" w:type="pct"/>
            <w:shd w:val="clear" w:color="auto" w:fill="auto"/>
          </w:tcPr>
          <w:p w14:paraId="69B5B5DD" w14:textId="77777777" w:rsidR="00D32B5C" w:rsidRPr="00D44B7E" w:rsidRDefault="00D32B5C" w:rsidP="002C3DD2">
            <w:pPr>
              <w:pStyle w:val="NoSpacing"/>
              <w:jc w:val="center"/>
              <w:rPr>
                <w:rFonts w:asciiTheme="minorHAnsi" w:hAnsiTheme="minorHAnsi" w:cstheme="minorHAnsi"/>
                <w:b/>
                <w:sz w:val="22"/>
              </w:rPr>
            </w:pPr>
            <w:r w:rsidRPr="00D44B7E">
              <w:rPr>
                <w:rFonts w:asciiTheme="minorHAnsi" w:hAnsiTheme="minorHAnsi" w:cstheme="minorHAnsi"/>
                <w:b/>
                <w:sz w:val="22"/>
              </w:rPr>
              <w:t>Rank</w:t>
            </w:r>
          </w:p>
        </w:tc>
        <w:tc>
          <w:tcPr>
            <w:tcW w:w="2232" w:type="pct"/>
            <w:shd w:val="clear" w:color="auto" w:fill="auto"/>
          </w:tcPr>
          <w:p w14:paraId="7B0EBF0A" w14:textId="3338322F" w:rsidR="00D32B5C" w:rsidRPr="00A42BF7" w:rsidRDefault="00D32B5C" w:rsidP="002C3DD2">
            <w:pPr>
              <w:pStyle w:val="NoSpacing"/>
              <w:jc w:val="center"/>
              <w:rPr>
                <w:rFonts w:asciiTheme="minorHAnsi" w:hAnsiTheme="minorHAnsi" w:cstheme="minorHAnsi"/>
                <w:b/>
                <w:sz w:val="22"/>
              </w:rPr>
            </w:pPr>
            <w:r w:rsidRPr="00A42BF7">
              <w:rPr>
                <w:rFonts w:asciiTheme="minorHAnsi" w:hAnsiTheme="minorHAnsi" w:cstheme="minorHAnsi"/>
                <w:b/>
                <w:sz w:val="22"/>
              </w:rPr>
              <w:t>201</w:t>
            </w:r>
            <w:r w:rsidR="00D120EB" w:rsidRPr="00A42BF7">
              <w:rPr>
                <w:rFonts w:asciiTheme="minorHAnsi" w:hAnsiTheme="minorHAnsi" w:cstheme="minorHAnsi"/>
                <w:b/>
                <w:sz w:val="22"/>
              </w:rPr>
              <w:t>7</w:t>
            </w:r>
          </w:p>
        </w:tc>
        <w:tc>
          <w:tcPr>
            <w:tcW w:w="2324" w:type="pct"/>
            <w:shd w:val="clear" w:color="auto" w:fill="auto"/>
          </w:tcPr>
          <w:p w14:paraId="7FC3E814" w14:textId="638AE3DF" w:rsidR="00D32B5C" w:rsidRPr="00D120EB" w:rsidRDefault="00D32B5C" w:rsidP="002C3DD2">
            <w:pPr>
              <w:pStyle w:val="NoSpacing"/>
              <w:jc w:val="center"/>
              <w:rPr>
                <w:rFonts w:asciiTheme="minorHAnsi" w:hAnsiTheme="minorHAnsi" w:cstheme="minorHAnsi"/>
                <w:b/>
                <w:sz w:val="22"/>
                <w:highlight w:val="yellow"/>
              </w:rPr>
            </w:pPr>
            <w:r w:rsidRPr="00A42BF7">
              <w:rPr>
                <w:rFonts w:asciiTheme="minorHAnsi" w:hAnsiTheme="minorHAnsi" w:cstheme="minorHAnsi"/>
                <w:b/>
                <w:sz w:val="22"/>
              </w:rPr>
              <w:t>202</w:t>
            </w:r>
            <w:r w:rsidR="00D120EB" w:rsidRPr="00A42BF7">
              <w:rPr>
                <w:rFonts w:asciiTheme="minorHAnsi" w:hAnsiTheme="minorHAnsi" w:cstheme="minorHAnsi"/>
                <w:b/>
                <w:sz w:val="22"/>
              </w:rPr>
              <w:t>1</w:t>
            </w:r>
          </w:p>
        </w:tc>
      </w:tr>
      <w:tr w:rsidR="00D32B5C" w:rsidRPr="005750CF" w14:paraId="59A19025" w14:textId="77777777" w:rsidTr="00FF35F3">
        <w:trPr>
          <w:cantSplit/>
          <w:tblHeader/>
        </w:trPr>
        <w:tc>
          <w:tcPr>
            <w:tcW w:w="444" w:type="pct"/>
          </w:tcPr>
          <w:p w14:paraId="58077930" w14:textId="77777777" w:rsidR="00D32B5C" w:rsidRPr="005750CF" w:rsidRDefault="00D32B5C" w:rsidP="002C3DD2">
            <w:pPr>
              <w:pStyle w:val="NoSpacing"/>
              <w:jc w:val="center"/>
              <w:rPr>
                <w:rFonts w:asciiTheme="minorHAnsi" w:hAnsiTheme="minorHAnsi" w:cstheme="minorHAnsi"/>
                <w:sz w:val="22"/>
              </w:rPr>
            </w:pPr>
            <w:r w:rsidRPr="005750CF">
              <w:rPr>
                <w:rFonts w:asciiTheme="minorHAnsi" w:hAnsiTheme="minorHAnsi" w:cstheme="minorHAnsi"/>
                <w:sz w:val="22"/>
              </w:rPr>
              <w:t>1</w:t>
            </w:r>
          </w:p>
        </w:tc>
        <w:tc>
          <w:tcPr>
            <w:tcW w:w="2232" w:type="pct"/>
          </w:tcPr>
          <w:p w14:paraId="31C111BC" w14:textId="3E8FC300" w:rsidR="00D32B5C" w:rsidRPr="00A42BF7" w:rsidRDefault="00DA21FF" w:rsidP="002C3DD2">
            <w:pPr>
              <w:pStyle w:val="NoSpacing"/>
              <w:rPr>
                <w:rFonts w:asciiTheme="minorHAnsi" w:hAnsiTheme="minorHAnsi" w:cstheme="minorHAnsi"/>
                <w:sz w:val="22"/>
              </w:rPr>
            </w:pPr>
            <w:r w:rsidRPr="00A42BF7">
              <w:rPr>
                <w:rFonts w:asciiTheme="minorHAnsi" w:hAnsiTheme="minorHAnsi" w:cstheme="minorHAnsi"/>
                <w:sz w:val="22"/>
              </w:rPr>
              <w:t xml:space="preserve">Sales Assistants &amp; </w:t>
            </w:r>
            <w:r w:rsidR="00187637" w:rsidRPr="00A42BF7">
              <w:rPr>
                <w:rFonts w:asciiTheme="minorHAnsi" w:hAnsiTheme="minorHAnsi" w:cstheme="minorHAnsi"/>
                <w:sz w:val="22"/>
              </w:rPr>
              <w:t>Store persons</w:t>
            </w:r>
            <w:r w:rsidRPr="00A42BF7">
              <w:rPr>
                <w:rFonts w:asciiTheme="minorHAnsi" w:hAnsiTheme="minorHAnsi" w:cstheme="minorHAnsi"/>
                <w:sz w:val="22"/>
              </w:rPr>
              <w:t xml:space="preserve"> (</w:t>
            </w:r>
            <w:r w:rsidR="00235932">
              <w:rPr>
                <w:rFonts w:asciiTheme="minorHAnsi" w:hAnsiTheme="minorHAnsi" w:cstheme="minorHAnsi"/>
                <w:sz w:val="22"/>
              </w:rPr>
              <w:t>30.2</w:t>
            </w:r>
            <w:r w:rsidRPr="00A42BF7">
              <w:rPr>
                <w:rFonts w:asciiTheme="minorHAnsi" w:hAnsiTheme="minorHAnsi" w:cstheme="minorHAnsi"/>
                <w:sz w:val="22"/>
              </w:rPr>
              <w:t>%)</w:t>
            </w:r>
          </w:p>
        </w:tc>
        <w:tc>
          <w:tcPr>
            <w:tcW w:w="2324" w:type="pct"/>
          </w:tcPr>
          <w:p w14:paraId="56D23755" w14:textId="3ED269AE" w:rsidR="00D32B5C" w:rsidRPr="00D120EB" w:rsidRDefault="00AC3D5D" w:rsidP="002C3DD2">
            <w:pPr>
              <w:pStyle w:val="NoSpacing"/>
              <w:rPr>
                <w:rFonts w:asciiTheme="minorHAnsi" w:hAnsiTheme="minorHAnsi" w:cstheme="minorHAnsi"/>
                <w:sz w:val="22"/>
                <w:highlight w:val="yellow"/>
              </w:rPr>
            </w:pPr>
            <w:r w:rsidRPr="00884E0A">
              <w:rPr>
                <w:rFonts w:asciiTheme="minorHAnsi" w:hAnsiTheme="minorHAnsi" w:cstheme="minorHAnsi"/>
                <w:sz w:val="22"/>
              </w:rPr>
              <w:t>Food, Hospitality &amp; Tourism</w:t>
            </w:r>
            <w:r w:rsidR="002C2931" w:rsidRPr="00884E0A">
              <w:rPr>
                <w:rFonts w:asciiTheme="minorHAnsi" w:hAnsiTheme="minorHAnsi" w:cstheme="minorHAnsi"/>
                <w:sz w:val="22"/>
              </w:rPr>
              <w:t xml:space="preserve"> (</w:t>
            </w:r>
            <w:r w:rsidR="00AC7085" w:rsidRPr="00884E0A">
              <w:rPr>
                <w:rFonts w:asciiTheme="minorHAnsi" w:hAnsiTheme="minorHAnsi" w:cstheme="minorHAnsi"/>
                <w:sz w:val="22"/>
              </w:rPr>
              <w:t>31</w:t>
            </w:r>
            <w:r w:rsidR="0027624A">
              <w:rPr>
                <w:rFonts w:asciiTheme="minorHAnsi" w:hAnsiTheme="minorHAnsi" w:cstheme="minorHAnsi"/>
                <w:sz w:val="22"/>
              </w:rPr>
              <w:t>.0</w:t>
            </w:r>
            <w:r w:rsidR="002C2931" w:rsidRPr="00884E0A">
              <w:rPr>
                <w:rFonts w:asciiTheme="minorHAnsi" w:hAnsiTheme="minorHAnsi" w:cstheme="minorHAnsi"/>
                <w:sz w:val="22"/>
              </w:rPr>
              <w:t>%)</w:t>
            </w:r>
          </w:p>
        </w:tc>
      </w:tr>
      <w:tr w:rsidR="00D32B5C" w:rsidRPr="005750CF" w14:paraId="16ABA32C" w14:textId="77777777" w:rsidTr="00FF35F3">
        <w:trPr>
          <w:cantSplit/>
          <w:tblHeader/>
        </w:trPr>
        <w:tc>
          <w:tcPr>
            <w:tcW w:w="444" w:type="pct"/>
          </w:tcPr>
          <w:p w14:paraId="2623B43C" w14:textId="77777777" w:rsidR="00D32B5C" w:rsidRPr="005750CF" w:rsidRDefault="00D32B5C" w:rsidP="002C3DD2">
            <w:pPr>
              <w:pStyle w:val="NoSpacing"/>
              <w:jc w:val="center"/>
              <w:rPr>
                <w:rFonts w:asciiTheme="minorHAnsi" w:hAnsiTheme="minorHAnsi" w:cstheme="minorHAnsi"/>
                <w:sz w:val="22"/>
              </w:rPr>
            </w:pPr>
            <w:r w:rsidRPr="005750CF">
              <w:rPr>
                <w:rFonts w:asciiTheme="minorHAnsi" w:hAnsiTheme="minorHAnsi" w:cstheme="minorHAnsi"/>
                <w:sz w:val="22"/>
              </w:rPr>
              <w:t>2</w:t>
            </w:r>
          </w:p>
        </w:tc>
        <w:tc>
          <w:tcPr>
            <w:tcW w:w="2232" w:type="pct"/>
          </w:tcPr>
          <w:p w14:paraId="42C61EA4" w14:textId="6AAA2956" w:rsidR="00D32B5C" w:rsidRPr="00A42BF7" w:rsidRDefault="00DA21FF" w:rsidP="002C3DD2">
            <w:pPr>
              <w:pStyle w:val="NoSpacing"/>
              <w:rPr>
                <w:rFonts w:asciiTheme="minorHAnsi" w:hAnsiTheme="minorHAnsi" w:cstheme="minorHAnsi"/>
                <w:sz w:val="22"/>
              </w:rPr>
            </w:pPr>
            <w:r w:rsidRPr="00A42BF7">
              <w:rPr>
                <w:rFonts w:asciiTheme="minorHAnsi" w:hAnsiTheme="minorHAnsi" w:cstheme="minorHAnsi"/>
                <w:sz w:val="22"/>
              </w:rPr>
              <w:t>Food, Hospitality &amp; Tourism (</w:t>
            </w:r>
            <w:r w:rsidR="00235932">
              <w:rPr>
                <w:rFonts w:asciiTheme="minorHAnsi" w:hAnsiTheme="minorHAnsi" w:cstheme="minorHAnsi"/>
                <w:sz w:val="22"/>
              </w:rPr>
              <w:t>30.2</w:t>
            </w:r>
            <w:r w:rsidRPr="00A42BF7">
              <w:rPr>
                <w:rFonts w:asciiTheme="minorHAnsi" w:hAnsiTheme="minorHAnsi" w:cstheme="minorHAnsi"/>
                <w:sz w:val="22"/>
              </w:rPr>
              <w:t>%)</w:t>
            </w:r>
          </w:p>
        </w:tc>
        <w:tc>
          <w:tcPr>
            <w:tcW w:w="2324" w:type="pct"/>
          </w:tcPr>
          <w:p w14:paraId="45923FF0" w14:textId="5BF9A483" w:rsidR="00D32B5C" w:rsidRPr="00D120EB" w:rsidRDefault="00884E0A" w:rsidP="002C3DD2">
            <w:pPr>
              <w:pStyle w:val="NoSpacing"/>
              <w:rPr>
                <w:rFonts w:asciiTheme="minorHAnsi" w:hAnsiTheme="minorHAnsi" w:cstheme="minorHAnsi"/>
                <w:sz w:val="22"/>
                <w:highlight w:val="yellow"/>
              </w:rPr>
            </w:pPr>
            <w:r w:rsidRPr="00A42BF7">
              <w:rPr>
                <w:rFonts w:asciiTheme="minorHAnsi" w:hAnsiTheme="minorHAnsi" w:cstheme="minorHAnsi"/>
                <w:sz w:val="22"/>
              </w:rPr>
              <w:t xml:space="preserve">Sales Assistance and </w:t>
            </w:r>
            <w:r w:rsidR="00A42BF7" w:rsidRPr="00A42BF7">
              <w:rPr>
                <w:rFonts w:asciiTheme="minorHAnsi" w:hAnsiTheme="minorHAnsi" w:cstheme="minorHAnsi"/>
                <w:sz w:val="22"/>
              </w:rPr>
              <w:t>Store persons</w:t>
            </w:r>
            <w:r w:rsidR="002C2931" w:rsidRPr="00A42BF7">
              <w:rPr>
                <w:rFonts w:asciiTheme="minorHAnsi" w:hAnsiTheme="minorHAnsi" w:cstheme="minorHAnsi"/>
                <w:sz w:val="22"/>
              </w:rPr>
              <w:t xml:space="preserve"> (</w:t>
            </w:r>
            <w:r w:rsidR="001E025D" w:rsidRPr="00A42BF7">
              <w:rPr>
                <w:rFonts w:asciiTheme="minorHAnsi" w:hAnsiTheme="minorHAnsi" w:cstheme="minorHAnsi"/>
                <w:sz w:val="22"/>
              </w:rPr>
              <w:t>27.</w:t>
            </w:r>
            <w:r w:rsidR="007C238A">
              <w:rPr>
                <w:rFonts w:asciiTheme="minorHAnsi" w:hAnsiTheme="minorHAnsi" w:cstheme="minorHAnsi"/>
                <w:sz w:val="22"/>
              </w:rPr>
              <w:t>8</w:t>
            </w:r>
            <w:r w:rsidR="001E025D" w:rsidRPr="00A42BF7">
              <w:rPr>
                <w:rFonts w:asciiTheme="minorHAnsi" w:hAnsiTheme="minorHAnsi" w:cstheme="minorHAnsi"/>
                <w:sz w:val="22"/>
              </w:rPr>
              <w:t>%)</w:t>
            </w:r>
          </w:p>
        </w:tc>
      </w:tr>
      <w:tr w:rsidR="00D32B5C" w:rsidRPr="005750CF" w14:paraId="10F3CF77" w14:textId="77777777" w:rsidTr="00FF35F3">
        <w:trPr>
          <w:cantSplit/>
          <w:tblHeader/>
        </w:trPr>
        <w:tc>
          <w:tcPr>
            <w:tcW w:w="444" w:type="pct"/>
          </w:tcPr>
          <w:p w14:paraId="519F7F50" w14:textId="77777777" w:rsidR="00D32B5C" w:rsidRPr="005750CF" w:rsidRDefault="00D32B5C" w:rsidP="002C3DD2">
            <w:pPr>
              <w:pStyle w:val="NoSpacing"/>
              <w:jc w:val="center"/>
              <w:rPr>
                <w:rFonts w:asciiTheme="minorHAnsi" w:hAnsiTheme="minorHAnsi" w:cstheme="minorHAnsi"/>
                <w:sz w:val="22"/>
              </w:rPr>
            </w:pPr>
            <w:r w:rsidRPr="005750CF">
              <w:rPr>
                <w:rFonts w:asciiTheme="minorHAnsi" w:hAnsiTheme="minorHAnsi" w:cstheme="minorHAnsi"/>
                <w:sz w:val="22"/>
              </w:rPr>
              <w:t>3</w:t>
            </w:r>
          </w:p>
        </w:tc>
        <w:tc>
          <w:tcPr>
            <w:tcW w:w="2232" w:type="pct"/>
          </w:tcPr>
          <w:p w14:paraId="6EE3FFF8" w14:textId="3B094CCF" w:rsidR="00D32B5C" w:rsidRPr="00A42BF7" w:rsidRDefault="00B7160F" w:rsidP="002C3DD2">
            <w:pPr>
              <w:pStyle w:val="NoSpacing"/>
              <w:rPr>
                <w:rFonts w:asciiTheme="minorHAnsi" w:hAnsiTheme="minorHAnsi" w:cstheme="minorHAnsi"/>
                <w:sz w:val="22"/>
              </w:rPr>
            </w:pPr>
            <w:r w:rsidRPr="00A42BF7">
              <w:rPr>
                <w:rFonts w:asciiTheme="minorHAnsi" w:hAnsiTheme="minorHAnsi" w:cstheme="minorHAnsi"/>
                <w:sz w:val="22"/>
              </w:rPr>
              <w:t>Teaching, Childcare &amp; Library (6.</w:t>
            </w:r>
            <w:r w:rsidR="00235932">
              <w:rPr>
                <w:rFonts w:asciiTheme="minorHAnsi" w:hAnsiTheme="minorHAnsi" w:cstheme="minorHAnsi"/>
                <w:sz w:val="22"/>
              </w:rPr>
              <w:t>8</w:t>
            </w:r>
            <w:r w:rsidRPr="00A42BF7">
              <w:rPr>
                <w:rFonts w:asciiTheme="minorHAnsi" w:hAnsiTheme="minorHAnsi" w:cstheme="minorHAnsi"/>
                <w:sz w:val="22"/>
              </w:rPr>
              <w:t>%)</w:t>
            </w:r>
          </w:p>
        </w:tc>
        <w:tc>
          <w:tcPr>
            <w:tcW w:w="2324" w:type="pct"/>
          </w:tcPr>
          <w:p w14:paraId="3BDFBA1D" w14:textId="316691AB" w:rsidR="00D32B5C" w:rsidRPr="00D120EB" w:rsidRDefault="00B1657F" w:rsidP="002C3DD2">
            <w:pPr>
              <w:pStyle w:val="NoSpacing"/>
              <w:rPr>
                <w:rFonts w:asciiTheme="minorHAnsi" w:hAnsiTheme="minorHAnsi" w:cstheme="minorHAnsi"/>
                <w:sz w:val="22"/>
                <w:highlight w:val="yellow"/>
              </w:rPr>
            </w:pPr>
            <w:r w:rsidRPr="00DB54A2">
              <w:rPr>
                <w:rFonts w:asciiTheme="minorHAnsi" w:hAnsiTheme="minorHAnsi" w:cstheme="minorHAnsi"/>
                <w:sz w:val="22"/>
              </w:rPr>
              <w:t>Teaching, Childcare &amp; Library (</w:t>
            </w:r>
            <w:r w:rsidR="00DB54A2" w:rsidRPr="00DB54A2">
              <w:rPr>
                <w:rFonts w:asciiTheme="minorHAnsi" w:hAnsiTheme="minorHAnsi" w:cstheme="minorHAnsi"/>
                <w:sz w:val="22"/>
              </w:rPr>
              <w:t>7</w:t>
            </w:r>
            <w:r w:rsidR="00EC3C28">
              <w:rPr>
                <w:rFonts w:asciiTheme="minorHAnsi" w:hAnsiTheme="minorHAnsi" w:cstheme="minorHAnsi"/>
                <w:sz w:val="22"/>
              </w:rPr>
              <w:t>.0</w:t>
            </w:r>
            <w:r w:rsidR="00DB54A2" w:rsidRPr="00DB54A2">
              <w:rPr>
                <w:rFonts w:asciiTheme="minorHAnsi" w:hAnsiTheme="minorHAnsi" w:cstheme="minorHAnsi"/>
                <w:sz w:val="22"/>
              </w:rPr>
              <w:t>%</w:t>
            </w:r>
            <w:r w:rsidRPr="00DB54A2">
              <w:rPr>
                <w:rFonts w:asciiTheme="minorHAnsi" w:hAnsiTheme="minorHAnsi" w:cstheme="minorHAnsi"/>
                <w:sz w:val="22"/>
              </w:rPr>
              <w:t>)</w:t>
            </w:r>
          </w:p>
        </w:tc>
      </w:tr>
      <w:tr w:rsidR="00D32B5C" w:rsidRPr="005750CF" w14:paraId="1C59A38F" w14:textId="77777777" w:rsidTr="00FF35F3">
        <w:trPr>
          <w:cantSplit/>
          <w:tblHeader/>
        </w:trPr>
        <w:tc>
          <w:tcPr>
            <w:tcW w:w="444" w:type="pct"/>
          </w:tcPr>
          <w:p w14:paraId="746AD567" w14:textId="77777777" w:rsidR="00D32B5C" w:rsidRPr="005750CF" w:rsidRDefault="00D32B5C" w:rsidP="002C3DD2">
            <w:pPr>
              <w:pStyle w:val="NoSpacing"/>
              <w:jc w:val="center"/>
              <w:rPr>
                <w:rFonts w:asciiTheme="minorHAnsi" w:hAnsiTheme="minorHAnsi" w:cstheme="minorHAnsi"/>
                <w:sz w:val="22"/>
              </w:rPr>
            </w:pPr>
            <w:r w:rsidRPr="005750CF">
              <w:rPr>
                <w:rFonts w:asciiTheme="minorHAnsi" w:hAnsiTheme="minorHAnsi" w:cstheme="minorHAnsi"/>
                <w:sz w:val="22"/>
              </w:rPr>
              <w:t>4</w:t>
            </w:r>
          </w:p>
        </w:tc>
        <w:tc>
          <w:tcPr>
            <w:tcW w:w="2232" w:type="pct"/>
          </w:tcPr>
          <w:p w14:paraId="4189D411" w14:textId="03824131" w:rsidR="00D32B5C" w:rsidRPr="00A42BF7" w:rsidRDefault="008E3E2E" w:rsidP="002C3DD2">
            <w:pPr>
              <w:pStyle w:val="NoSpacing"/>
              <w:rPr>
                <w:rFonts w:asciiTheme="minorHAnsi" w:hAnsiTheme="minorHAnsi" w:cstheme="minorHAnsi"/>
                <w:sz w:val="22"/>
              </w:rPr>
            </w:pPr>
            <w:r w:rsidRPr="00A42BF7">
              <w:rPr>
                <w:rFonts w:asciiTheme="minorHAnsi" w:hAnsiTheme="minorHAnsi" w:cstheme="minorHAnsi"/>
                <w:sz w:val="22"/>
              </w:rPr>
              <w:t>Health, Fitness, Hair &amp; Beauty (6.</w:t>
            </w:r>
            <w:r w:rsidR="00235932">
              <w:rPr>
                <w:rFonts w:asciiTheme="minorHAnsi" w:hAnsiTheme="minorHAnsi" w:cstheme="minorHAnsi"/>
                <w:sz w:val="22"/>
              </w:rPr>
              <w:t>4</w:t>
            </w:r>
            <w:r w:rsidRPr="00A42BF7">
              <w:rPr>
                <w:rFonts w:asciiTheme="minorHAnsi" w:hAnsiTheme="minorHAnsi" w:cstheme="minorHAnsi"/>
                <w:sz w:val="22"/>
              </w:rPr>
              <w:t>%)</w:t>
            </w:r>
          </w:p>
        </w:tc>
        <w:tc>
          <w:tcPr>
            <w:tcW w:w="2324" w:type="pct"/>
          </w:tcPr>
          <w:p w14:paraId="5F996F8F" w14:textId="364381A7" w:rsidR="00D32B5C" w:rsidRPr="00187637" w:rsidRDefault="0037672D" w:rsidP="002C3DD2">
            <w:pPr>
              <w:pStyle w:val="NoSpacing"/>
              <w:rPr>
                <w:rFonts w:asciiTheme="minorHAnsi" w:hAnsiTheme="minorHAnsi" w:cstheme="minorHAnsi"/>
                <w:sz w:val="22"/>
              </w:rPr>
            </w:pPr>
            <w:r w:rsidRPr="00187637">
              <w:rPr>
                <w:rFonts w:asciiTheme="minorHAnsi" w:hAnsiTheme="minorHAnsi" w:cstheme="minorHAnsi"/>
                <w:sz w:val="22"/>
              </w:rPr>
              <w:t>Health, Fitness, Hair &amp; Beauty (</w:t>
            </w:r>
            <w:r w:rsidR="00DB54A2" w:rsidRPr="00187637">
              <w:rPr>
                <w:rFonts w:asciiTheme="minorHAnsi" w:hAnsiTheme="minorHAnsi" w:cstheme="minorHAnsi"/>
                <w:sz w:val="22"/>
              </w:rPr>
              <w:t>6.9%</w:t>
            </w:r>
            <w:r w:rsidRPr="00187637">
              <w:rPr>
                <w:rFonts w:asciiTheme="minorHAnsi" w:hAnsiTheme="minorHAnsi" w:cstheme="minorHAnsi"/>
                <w:sz w:val="22"/>
              </w:rPr>
              <w:t>)</w:t>
            </w:r>
          </w:p>
        </w:tc>
      </w:tr>
      <w:tr w:rsidR="00D32B5C" w:rsidRPr="005750CF" w14:paraId="088561CA" w14:textId="77777777" w:rsidTr="00FF35F3">
        <w:trPr>
          <w:cantSplit/>
          <w:tblHeader/>
        </w:trPr>
        <w:tc>
          <w:tcPr>
            <w:tcW w:w="444" w:type="pct"/>
          </w:tcPr>
          <w:p w14:paraId="35E459ED" w14:textId="77777777" w:rsidR="00D32B5C" w:rsidRPr="005750CF" w:rsidRDefault="00D32B5C" w:rsidP="002C3DD2">
            <w:pPr>
              <w:pStyle w:val="NoSpacing"/>
              <w:jc w:val="center"/>
              <w:rPr>
                <w:rFonts w:asciiTheme="minorHAnsi" w:hAnsiTheme="minorHAnsi" w:cstheme="minorHAnsi"/>
                <w:sz w:val="22"/>
              </w:rPr>
            </w:pPr>
            <w:r w:rsidRPr="005750CF">
              <w:rPr>
                <w:rFonts w:asciiTheme="minorHAnsi" w:hAnsiTheme="minorHAnsi" w:cstheme="minorHAnsi"/>
                <w:sz w:val="22"/>
              </w:rPr>
              <w:t>5</w:t>
            </w:r>
          </w:p>
        </w:tc>
        <w:tc>
          <w:tcPr>
            <w:tcW w:w="2232" w:type="pct"/>
          </w:tcPr>
          <w:p w14:paraId="145A9CB0" w14:textId="00FC4922" w:rsidR="00D32B5C" w:rsidRPr="00A42BF7" w:rsidRDefault="00C672AD" w:rsidP="002C3DD2">
            <w:pPr>
              <w:pStyle w:val="NoSpacing"/>
              <w:rPr>
                <w:rFonts w:asciiTheme="minorHAnsi" w:hAnsiTheme="minorHAnsi" w:cstheme="minorHAnsi"/>
                <w:sz w:val="22"/>
              </w:rPr>
            </w:pPr>
            <w:r w:rsidRPr="00A42BF7">
              <w:rPr>
                <w:rFonts w:asciiTheme="minorHAnsi" w:hAnsiTheme="minorHAnsi" w:cstheme="minorHAnsi"/>
                <w:sz w:val="22"/>
              </w:rPr>
              <w:t>Building &amp; Construction (4.</w:t>
            </w:r>
            <w:r w:rsidR="00235932">
              <w:rPr>
                <w:rFonts w:asciiTheme="minorHAnsi" w:hAnsiTheme="minorHAnsi" w:cstheme="minorHAnsi"/>
                <w:sz w:val="22"/>
              </w:rPr>
              <w:t>5</w:t>
            </w:r>
            <w:r w:rsidRPr="00A42BF7">
              <w:rPr>
                <w:rFonts w:asciiTheme="minorHAnsi" w:hAnsiTheme="minorHAnsi" w:cstheme="minorHAnsi"/>
                <w:sz w:val="22"/>
              </w:rPr>
              <w:t>%)</w:t>
            </w:r>
          </w:p>
        </w:tc>
        <w:tc>
          <w:tcPr>
            <w:tcW w:w="2324" w:type="pct"/>
          </w:tcPr>
          <w:p w14:paraId="7339B944" w14:textId="72F9034E" w:rsidR="00D32B5C" w:rsidRPr="00187637" w:rsidRDefault="00BD2C27" w:rsidP="002C3DD2">
            <w:pPr>
              <w:pStyle w:val="NoSpacing"/>
              <w:rPr>
                <w:rFonts w:asciiTheme="minorHAnsi" w:hAnsiTheme="minorHAnsi" w:cstheme="minorHAnsi"/>
                <w:sz w:val="22"/>
              </w:rPr>
            </w:pPr>
            <w:r w:rsidRPr="00187637">
              <w:rPr>
                <w:rFonts w:asciiTheme="minorHAnsi" w:hAnsiTheme="minorHAnsi" w:cstheme="minorHAnsi"/>
                <w:sz w:val="22"/>
              </w:rPr>
              <w:t>Building &amp; Construction (4.</w:t>
            </w:r>
            <w:r w:rsidR="00235932">
              <w:rPr>
                <w:rFonts w:asciiTheme="minorHAnsi" w:hAnsiTheme="minorHAnsi" w:cstheme="minorHAnsi"/>
                <w:sz w:val="22"/>
              </w:rPr>
              <w:t>2</w:t>
            </w:r>
            <w:r w:rsidRPr="00187637">
              <w:rPr>
                <w:rFonts w:asciiTheme="minorHAnsi" w:hAnsiTheme="minorHAnsi" w:cstheme="minorHAnsi"/>
                <w:sz w:val="22"/>
              </w:rPr>
              <w:t>%)</w:t>
            </w:r>
          </w:p>
        </w:tc>
      </w:tr>
    </w:tbl>
    <w:p w14:paraId="18447FC8" w14:textId="77777777" w:rsidR="00D32B5C" w:rsidRDefault="00D32B5C" w:rsidP="00CA4C8B">
      <w:pPr>
        <w:pStyle w:val="NoSpacing"/>
        <w:rPr>
          <w:rFonts w:asciiTheme="minorHAnsi" w:hAnsiTheme="minorHAnsi" w:cstheme="minorHAnsi"/>
          <w:sz w:val="22"/>
          <w:highlight w:val="yellow"/>
        </w:rPr>
      </w:pPr>
    </w:p>
    <w:p w14:paraId="7597DF4A" w14:textId="41CF214D" w:rsidR="00E37832" w:rsidRPr="005750CF" w:rsidRDefault="00D44B7E" w:rsidP="00CA4C8B">
      <w:pPr>
        <w:pStyle w:val="NoSpacing"/>
        <w:rPr>
          <w:rFonts w:asciiTheme="minorHAnsi" w:hAnsiTheme="minorHAnsi" w:cstheme="minorHAnsi"/>
          <w:b/>
          <w:sz w:val="22"/>
        </w:rPr>
      </w:pPr>
      <w:r>
        <w:rPr>
          <w:rFonts w:asciiTheme="minorHAnsi" w:hAnsiTheme="minorHAnsi" w:cstheme="minorHAnsi"/>
          <w:b/>
          <w:sz w:val="22"/>
        </w:rPr>
        <w:t>Year 12 n</w:t>
      </w:r>
      <w:r w:rsidR="00E37832" w:rsidRPr="005750CF">
        <w:rPr>
          <w:rFonts w:asciiTheme="minorHAnsi" w:hAnsiTheme="minorHAnsi" w:cstheme="minorHAnsi"/>
          <w:b/>
          <w:sz w:val="22"/>
        </w:rPr>
        <w:t>on-completers</w:t>
      </w:r>
    </w:p>
    <w:p w14:paraId="5ACB135C" w14:textId="77777777" w:rsidR="00E37832" w:rsidRPr="005750CF" w:rsidRDefault="00E37832" w:rsidP="00CA4C8B">
      <w:pPr>
        <w:pStyle w:val="NoSpacing"/>
        <w:rPr>
          <w:rFonts w:asciiTheme="minorHAnsi" w:hAnsiTheme="minorHAnsi" w:cstheme="minorHAnsi"/>
          <w:sz w:val="22"/>
          <w:highlight w:val="yellow"/>
        </w:rPr>
      </w:pPr>
    </w:p>
    <w:tbl>
      <w:tblPr>
        <w:tblStyle w:val="TableGrid"/>
        <w:tblW w:w="5000" w:type="pct"/>
        <w:tblLook w:val="04A0" w:firstRow="1" w:lastRow="0" w:firstColumn="1" w:lastColumn="0" w:noHBand="0" w:noVBand="1"/>
        <w:tblDescription w:val="This table shows the top five employment destinations (and proportion of students employed) for Year 12 non-completers, 2015 and 2019"/>
      </w:tblPr>
      <w:tblGrid>
        <w:gridCol w:w="817"/>
        <w:gridCol w:w="4111"/>
        <w:gridCol w:w="4088"/>
      </w:tblGrid>
      <w:tr w:rsidR="00D32B5C" w:rsidRPr="005750CF" w14:paraId="1DBF21D0" w14:textId="77777777" w:rsidTr="00FF35F3">
        <w:trPr>
          <w:cantSplit/>
          <w:tblHeader/>
        </w:trPr>
        <w:tc>
          <w:tcPr>
            <w:tcW w:w="453" w:type="pct"/>
            <w:shd w:val="clear" w:color="auto" w:fill="auto"/>
          </w:tcPr>
          <w:p w14:paraId="50E1E629" w14:textId="77777777" w:rsidR="00D32B5C" w:rsidRPr="00D44B7E" w:rsidRDefault="00D32B5C" w:rsidP="002C3DD2">
            <w:pPr>
              <w:pStyle w:val="NoSpacing"/>
              <w:jc w:val="center"/>
              <w:rPr>
                <w:rFonts w:asciiTheme="minorHAnsi" w:hAnsiTheme="minorHAnsi" w:cstheme="minorHAnsi"/>
                <w:b/>
                <w:sz w:val="22"/>
              </w:rPr>
            </w:pPr>
            <w:r w:rsidRPr="00D44B7E">
              <w:rPr>
                <w:rFonts w:asciiTheme="minorHAnsi" w:hAnsiTheme="minorHAnsi" w:cstheme="minorHAnsi"/>
                <w:b/>
                <w:sz w:val="22"/>
              </w:rPr>
              <w:t>Rank</w:t>
            </w:r>
          </w:p>
        </w:tc>
        <w:tc>
          <w:tcPr>
            <w:tcW w:w="2280" w:type="pct"/>
            <w:shd w:val="clear" w:color="auto" w:fill="auto"/>
          </w:tcPr>
          <w:p w14:paraId="054787B8" w14:textId="2B3B37C7" w:rsidR="00D32B5C" w:rsidRPr="009111CA" w:rsidRDefault="00D32B5C" w:rsidP="002C3DD2">
            <w:pPr>
              <w:pStyle w:val="NoSpacing"/>
              <w:jc w:val="center"/>
              <w:rPr>
                <w:rFonts w:asciiTheme="minorHAnsi" w:hAnsiTheme="minorHAnsi" w:cstheme="minorHAnsi"/>
                <w:b/>
                <w:sz w:val="22"/>
              </w:rPr>
            </w:pPr>
            <w:r w:rsidRPr="009111CA">
              <w:rPr>
                <w:rFonts w:asciiTheme="minorHAnsi" w:hAnsiTheme="minorHAnsi" w:cstheme="minorHAnsi"/>
                <w:b/>
                <w:sz w:val="22"/>
              </w:rPr>
              <w:t>201</w:t>
            </w:r>
            <w:r w:rsidR="00D120EB" w:rsidRPr="009111CA">
              <w:rPr>
                <w:rFonts w:asciiTheme="minorHAnsi" w:hAnsiTheme="minorHAnsi" w:cstheme="minorHAnsi"/>
                <w:b/>
                <w:sz w:val="22"/>
              </w:rPr>
              <w:t>7</w:t>
            </w:r>
          </w:p>
        </w:tc>
        <w:tc>
          <w:tcPr>
            <w:tcW w:w="2267" w:type="pct"/>
            <w:shd w:val="clear" w:color="auto" w:fill="auto"/>
          </w:tcPr>
          <w:p w14:paraId="242E42A3" w14:textId="7E08F97D" w:rsidR="00D32B5C" w:rsidRPr="00160328" w:rsidRDefault="00D32B5C" w:rsidP="002C3DD2">
            <w:pPr>
              <w:pStyle w:val="NoSpacing"/>
              <w:jc w:val="center"/>
              <w:rPr>
                <w:rFonts w:asciiTheme="minorHAnsi" w:hAnsiTheme="minorHAnsi" w:cstheme="minorHAnsi"/>
                <w:b/>
                <w:sz w:val="22"/>
              </w:rPr>
            </w:pPr>
            <w:r w:rsidRPr="00160328">
              <w:rPr>
                <w:rFonts w:asciiTheme="minorHAnsi" w:hAnsiTheme="minorHAnsi" w:cstheme="minorHAnsi"/>
                <w:b/>
                <w:sz w:val="22"/>
              </w:rPr>
              <w:t>202</w:t>
            </w:r>
            <w:r w:rsidR="00D120EB" w:rsidRPr="00160328">
              <w:rPr>
                <w:rFonts w:asciiTheme="minorHAnsi" w:hAnsiTheme="minorHAnsi" w:cstheme="minorHAnsi"/>
                <w:b/>
                <w:sz w:val="22"/>
              </w:rPr>
              <w:t>1</w:t>
            </w:r>
          </w:p>
        </w:tc>
      </w:tr>
      <w:tr w:rsidR="00D32B5C" w:rsidRPr="005750CF" w14:paraId="09663C43" w14:textId="77777777" w:rsidTr="00FF35F3">
        <w:trPr>
          <w:cantSplit/>
          <w:tblHeader/>
        </w:trPr>
        <w:tc>
          <w:tcPr>
            <w:tcW w:w="453" w:type="pct"/>
          </w:tcPr>
          <w:p w14:paraId="4880DDB0" w14:textId="77777777" w:rsidR="00D32B5C" w:rsidRPr="005750CF" w:rsidRDefault="00D32B5C" w:rsidP="002C3DD2">
            <w:pPr>
              <w:pStyle w:val="NoSpacing"/>
              <w:jc w:val="center"/>
              <w:rPr>
                <w:rFonts w:asciiTheme="minorHAnsi" w:hAnsiTheme="minorHAnsi" w:cstheme="minorHAnsi"/>
                <w:sz w:val="22"/>
              </w:rPr>
            </w:pPr>
            <w:r w:rsidRPr="005750CF">
              <w:rPr>
                <w:rFonts w:asciiTheme="minorHAnsi" w:hAnsiTheme="minorHAnsi" w:cstheme="minorHAnsi"/>
                <w:sz w:val="22"/>
              </w:rPr>
              <w:t>1</w:t>
            </w:r>
          </w:p>
        </w:tc>
        <w:tc>
          <w:tcPr>
            <w:tcW w:w="2280" w:type="pct"/>
          </w:tcPr>
          <w:p w14:paraId="12C57A76" w14:textId="05B3764A" w:rsidR="00D32B5C" w:rsidRPr="009111CA" w:rsidRDefault="002105D6" w:rsidP="002C3DD2">
            <w:pPr>
              <w:pStyle w:val="NoSpacing"/>
              <w:rPr>
                <w:rFonts w:asciiTheme="minorHAnsi" w:hAnsiTheme="minorHAnsi" w:cstheme="minorHAnsi"/>
                <w:sz w:val="22"/>
              </w:rPr>
            </w:pPr>
            <w:r w:rsidRPr="009111CA">
              <w:rPr>
                <w:rFonts w:asciiTheme="minorHAnsi" w:hAnsiTheme="minorHAnsi" w:cstheme="minorHAnsi"/>
                <w:sz w:val="22"/>
              </w:rPr>
              <w:t>Building &amp; Construction (</w:t>
            </w:r>
            <w:r w:rsidR="00235932">
              <w:rPr>
                <w:rFonts w:asciiTheme="minorHAnsi" w:hAnsiTheme="minorHAnsi" w:cstheme="minorHAnsi"/>
                <w:sz w:val="22"/>
              </w:rPr>
              <w:t>24.8</w:t>
            </w:r>
            <w:r w:rsidRPr="009111CA">
              <w:rPr>
                <w:rFonts w:asciiTheme="minorHAnsi" w:hAnsiTheme="minorHAnsi" w:cstheme="minorHAnsi"/>
                <w:sz w:val="22"/>
              </w:rPr>
              <w:t>%)</w:t>
            </w:r>
          </w:p>
        </w:tc>
        <w:tc>
          <w:tcPr>
            <w:tcW w:w="2267" w:type="pct"/>
          </w:tcPr>
          <w:p w14:paraId="3CF7CC52" w14:textId="467CE01D" w:rsidR="00D32B5C" w:rsidRPr="00160328" w:rsidRDefault="00F41C16" w:rsidP="002C3DD2">
            <w:pPr>
              <w:pStyle w:val="NoSpacing"/>
              <w:rPr>
                <w:rFonts w:asciiTheme="minorHAnsi" w:hAnsiTheme="minorHAnsi" w:cstheme="minorHAnsi"/>
                <w:sz w:val="22"/>
              </w:rPr>
            </w:pPr>
            <w:r w:rsidRPr="00160328">
              <w:rPr>
                <w:rFonts w:asciiTheme="minorHAnsi" w:hAnsiTheme="minorHAnsi" w:cstheme="minorHAnsi"/>
                <w:sz w:val="22"/>
              </w:rPr>
              <w:t>Building &amp; Construction (</w:t>
            </w:r>
            <w:r w:rsidR="009111CA" w:rsidRPr="00160328">
              <w:rPr>
                <w:rFonts w:asciiTheme="minorHAnsi" w:hAnsiTheme="minorHAnsi" w:cstheme="minorHAnsi"/>
                <w:sz w:val="22"/>
              </w:rPr>
              <w:t>26.7</w:t>
            </w:r>
            <w:r w:rsidRPr="00160328">
              <w:rPr>
                <w:rFonts w:asciiTheme="minorHAnsi" w:hAnsiTheme="minorHAnsi" w:cstheme="minorHAnsi"/>
                <w:sz w:val="22"/>
              </w:rPr>
              <w:t>%)</w:t>
            </w:r>
          </w:p>
        </w:tc>
      </w:tr>
      <w:tr w:rsidR="00D32B5C" w:rsidRPr="005750CF" w14:paraId="22C22C9D" w14:textId="77777777" w:rsidTr="00FF35F3">
        <w:trPr>
          <w:cantSplit/>
          <w:tblHeader/>
        </w:trPr>
        <w:tc>
          <w:tcPr>
            <w:tcW w:w="453" w:type="pct"/>
          </w:tcPr>
          <w:p w14:paraId="32227AFB" w14:textId="77777777" w:rsidR="00D32B5C" w:rsidRPr="005750CF" w:rsidRDefault="00D32B5C" w:rsidP="002C3DD2">
            <w:pPr>
              <w:pStyle w:val="NoSpacing"/>
              <w:jc w:val="center"/>
              <w:rPr>
                <w:rFonts w:asciiTheme="minorHAnsi" w:hAnsiTheme="minorHAnsi" w:cstheme="minorHAnsi"/>
                <w:sz w:val="22"/>
              </w:rPr>
            </w:pPr>
            <w:r w:rsidRPr="005750CF">
              <w:rPr>
                <w:rFonts w:asciiTheme="minorHAnsi" w:hAnsiTheme="minorHAnsi" w:cstheme="minorHAnsi"/>
                <w:sz w:val="22"/>
              </w:rPr>
              <w:t>2</w:t>
            </w:r>
          </w:p>
        </w:tc>
        <w:tc>
          <w:tcPr>
            <w:tcW w:w="2280" w:type="pct"/>
          </w:tcPr>
          <w:p w14:paraId="6FD4C234" w14:textId="53CDCFE9" w:rsidR="00D32B5C" w:rsidRPr="009111CA" w:rsidRDefault="002105D6" w:rsidP="002C3DD2">
            <w:pPr>
              <w:pStyle w:val="NoSpacing"/>
              <w:rPr>
                <w:rFonts w:asciiTheme="minorHAnsi" w:hAnsiTheme="minorHAnsi" w:cstheme="minorHAnsi"/>
                <w:sz w:val="22"/>
              </w:rPr>
            </w:pPr>
            <w:r w:rsidRPr="009111CA">
              <w:rPr>
                <w:rFonts w:asciiTheme="minorHAnsi" w:hAnsiTheme="minorHAnsi" w:cstheme="minorHAnsi"/>
                <w:sz w:val="22"/>
              </w:rPr>
              <w:t>Food, Hospitality &amp; Tourism (</w:t>
            </w:r>
            <w:r w:rsidR="00235932">
              <w:rPr>
                <w:rFonts w:asciiTheme="minorHAnsi" w:hAnsiTheme="minorHAnsi" w:cstheme="minorHAnsi"/>
                <w:sz w:val="22"/>
              </w:rPr>
              <w:t>17.6</w:t>
            </w:r>
            <w:r w:rsidRPr="009111CA">
              <w:rPr>
                <w:rFonts w:asciiTheme="minorHAnsi" w:hAnsiTheme="minorHAnsi" w:cstheme="minorHAnsi"/>
                <w:sz w:val="22"/>
              </w:rPr>
              <w:t>%)</w:t>
            </w:r>
          </w:p>
        </w:tc>
        <w:tc>
          <w:tcPr>
            <w:tcW w:w="2267" w:type="pct"/>
          </w:tcPr>
          <w:p w14:paraId="502B289F" w14:textId="4C5A3493" w:rsidR="00D32B5C" w:rsidRPr="004477B3" w:rsidRDefault="007E120E" w:rsidP="002C3DD2">
            <w:pPr>
              <w:pStyle w:val="NoSpacing"/>
              <w:rPr>
                <w:rFonts w:asciiTheme="minorHAnsi" w:hAnsiTheme="minorHAnsi" w:cstheme="minorHAnsi"/>
                <w:sz w:val="22"/>
              </w:rPr>
            </w:pPr>
            <w:r w:rsidRPr="004477B3">
              <w:rPr>
                <w:rFonts w:asciiTheme="minorHAnsi" w:hAnsiTheme="minorHAnsi" w:cstheme="minorHAnsi"/>
                <w:sz w:val="22"/>
              </w:rPr>
              <w:t>Food, Hospitality &amp; Tourism (</w:t>
            </w:r>
            <w:r w:rsidR="009111CA" w:rsidRPr="004477B3">
              <w:rPr>
                <w:rFonts w:asciiTheme="minorHAnsi" w:hAnsiTheme="minorHAnsi" w:cstheme="minorHAnsi"/>
                <w:sz w:val="22"/>
              </w:rPr>
              <w:t>17.</w:t>
            </w:r>
            <w:r w:rsidR="00802DD4">
              <w:rPr>
                <w:rFonts w:asciiTheme="minorHAnsi" w:hAnsiTheme="minorHAnsi" w:cstheme="minorHAnsi"/>
                <w:sz w:val="22"/>
              </w:rPr>
              <w:t>6</w:t>
            </w:r>
            <w:r w:rsidRPr="004477B3">
              <w:rPr>
                <w:rFonts w:asciiTheme="minorHAnsi" w:hAnsiTheme="minorHAnsi" w:cstheme="minorHAnsi"/>
                <w:sz w:val="22"/>
              </w:rPr>
              <w:t>%)</w:t>
            </w:r>
          </w:p>
        </w:tc>
      </w:tr>
      <w:tr w:rsidR="00D32B5C" w:rsidRPr="005750CF" w14:paraId="794E1324" w14:textId="77777777" w:rsidTr="00FF35F3">
        <w:trPr>
          <w:cantSplit/>
          <w:tblHeader/>
        </w:trPr>
        <w:tc>
          <w:tcPr>
            <w:tcW w:w="453" w:type="pct"/>
          </w:tcPr>
          <w:p w14:paraId="0E363624" w14:textId="77777777" w:rsidR="00D32B5C" w:rsidRPr="005750CF" w:rsidRDefault="00D32B5C" w:rsidP="002C3DD2">
            <w:pPr>
              <w:pStyle w:val="NoSpacing"/>
              <w:jc w:val="center"/>
              <w:rPr>
                <w:rFonts w:asciiTheme="minorHAnsi" w:hAnsiTheme="minorHAnsi" w:cstheme="minorHAnsi"/>
                <w:sz w:val="22"/>
              </w:rPr>
            </w:pPr>
            <w:r w:rsidRPr="005750CF">
              <w:rPr>
                <w:rFonts w:asciiTheme="minorHAnsi" w:hAnsiTheme="minorHAnsi" w:cstheme="minorHAnsi"/>
                <w:sz w:val="22"/>
              </w:rPr>
              <w:t>3</w:t>
            </w:r>
          </w:p>
        </w:tc>
        <w:tc>
          <w:tcPr>
            <w:tcW w:w="2280" w:type="pct"/>
          </w:tcPr>
          <w:p w14:paraId="50C7B1E8" w14:textId="45FD92BC" w:rsidR="00D32B5C" w:rsidRPr="009111CA" w:rsidRDefault="00697B57" w:rsidP="002C3DD2">
            <w:pPr>
              <w:pStyle w:val="NoSpacing"/>
              <w:rPr>
                <w:rFonts w:asciiTheme="minorHAnsi" w:hAnsiTheme="minorHAnsi" w:cstheme="minorHAnsi"/>
                <w:sz w:val="22"/>
              </w:rPr>
            </w:pPr>
            <w:r w:rsidRPr="009111CA">
              <w:rPr>
                <w:rFonts w:asciiTheme="minorHAnsi" w:hAnsiTheme="minorHAnsi" w:cstheme="minorHAnsi"/>
                <w:sz w:val="22"/>
              </w:rPr>
              <w:t>Sales Assistants &amp; Storepersons (</w:t>
            </w:r>
            <w:r w:rsidR="00802DD4">
              <w:rPr>
                <w:rFonts w:asciiTheme="minorHAnsi" w:hAnsiTheme="minorHAnsi" w:cstheme="minorHAnsi"/>
                <w:sz w:val="22"/>
              </w:rPr>
              <w:t>15.5</w:t>
            </w:r>
            <w:r w:rsidRPr="009111CA">
              <w:rPr>
                <w:rFonts w:asciiTheme="minorHAnsi" w:hAnsiTheme="minorHAnsi" w:cstheme="minorHAnsi"/>
                <w:sz w:val="22"/>
              </w:rPr>
              <w:t>%)</w:t>
            </w:r>
          </w:p>
        </w:tc>
        <w:tc>
          <w:tcPr>
            <w:tcW w:w="2267" w:type="pct"/>
          </w:tcPr>
          <w:p w14:paraId="1800FF47" w14:textId="5F47B35A" w:rsidR="00D32B5C" w:rsidRPr="004477B3" w:rsidRDefault="007E120E" w:rsidP="002C3DD2">
            <w:pPr>
              <w:pStyle w:val="NoSpacing"/>
              <w:rPr>
                <w:rFonts w:asciiTheme="minorHAnsi" w:hAnsiTheme="minorHAnsi" w:cstheme="minorHAnsi"/>
                <w:sz w:val="22"/>
              </w:rPr>
            </w:pPr>
            <w:r w:rsidRPr="004477B3">
              <w:rPr>
                <w:rFonts w:asciiTheme="minorHAnsi" w:hAnsiTheme="minorHAnsi" w:cstheme="minorHAnsi"/>
                <w:sz w:val="22"/>
              </w:rPr>
              <w:t>Sales Assistants &amp; Storepersons (</w:t>
            </w:r>
            <w:r w:rsidR="004477B3" w:rsidRPr="004477B3">
              <w:rPr>
                <w:rFonts w:asciiTheme="minorHAnsi" w:hAnsiTheme="minorHAnsi" w:cstheme="minorHAnsi"/>
                <w:sz w:val="22"/>
              </w:rPr>
              <w:t>12.</w:t>
            </w:r>
            <w:r w:rsidR="00802DD4">
              <w:rPr>
                <w:rFonts w:asciiTheme="minorHAnsi" w:hAnsiTheme="minorHAnsi" w:cstheme="minorHAnsi"/>
                <w:sz w:val="22"/>
              </w:rPr>
              <w:t>6</w:t>
            </w:r>
            <w:r w:rsidR="00941638" w:rsidRPr="004477B3">
              <w:rPr>
                <w:rFonts w:asciiTheme="minorHAnsi" w:hAnsiTheme="minorHAnsi" w:cstheme="minorHAnsi"/>
                <w:sz w:val="22"/>
              </w:rPr>
              <w:t>%)</w:t>
            </w:r>
          </w:p>
        </w:tc>
      </w:tr>
      <w:tr w:rsidR="00D32B5C" w:rsidRPr="005750CF" w14:paraId="60F38651" w14:textId="77777777" w:rsidTr="00FF35F3">
        <w:trPr>
          <w:cantSplit/>
          <w:tblHeader/>
        </w:trPr>
        <w:tc>
          <w:tcPr>
            <w:tcW w:w="453" w:type="pct"/>
          </w:tcPr>
          <w:p w14:paraId="43414FCD" w14:textId="77777777" w:rsidR="00D32B5C" w:rsidRPr="005750CF" w:rsidRDefault="00D32B5C" w:rsidP="002C3DD2">
            <w:pPr>
              <w:pStyle w:val="NoSpacing"/>
              <w:jc w:val="center"/>
              <w:rPr>
                <w:rFonts w:asciiTheme="minorHAnsi" w:hAnsiTheme="minorHAnsi" w:cstheme="minorHAnsi"/>
                <w:sz w:val="22"/>
              </w:rPr>
            </w:pPr>
            <w:r w:rsidRPr="005750CF">
              <w:rPr>
                <w:rFonts w:asciiTheme="minorHAnsi" w:hAnsiTheme="minorHAnsi" w:cstheme="minorHAnsi"/>
                <w:sz w:val="22"/>
              </w:rPr>
              <w:t>4</w:t>
            </w:r>
          </w:p>
        </w:tc>
        <w:tc>
          <w:tcPr>
            <w:tcW w:w="2280" w:type="pct"/>
          </w:tcPr>
          <w:p w14:paraId="3B9F51E6" w14:textId="1A39E1DB" w:rsidR="00D32B5C" w:rsidRPr="009111CA" w:rsidRDefault="00702BD0" w:rsidP="002C3DD2">
            <w:pPr>
              <w:pStyle w:val="NoSpacing"/>
              <w:rPr>
                <w:rFonts w:asciiTheme="minorHAnsi" w:hAnsiTheme="minorHAnsi" w:cstheme="minorHAnsi"/>
                <w:sz w:val="22"/>
              </w:rPr>
            </w:pPr>
            <w:r w:rsidRPr="009111CA">
              <w:rPr>
                <w:rFonts w:asciiTheme="minorHAnsi" w:hAnsiTheme="minorHAnsi" w:cstheme="minorHAnsi"/>
                <w:sz w:val="22"/>
              </w:rPr>
              <w:t>Labourers, Factory &amp; Machine Workers (6.</w:t>
            </w:r>
            <w:r w:rsidR="00802DD4">
              <w:rPr>
                <w:rFonts w:asciiTheme="minorHAnsi" w:hAnsiTheme="minorHAnsi" w:cstheme="minorHAnsi"/>
                <w:sz w:val="22"/>
              </w:rPr>
              <w:t>1</w:t>
            </w:r>
            <w:r w:rsidRPr="009111CA">
              <w:rPr>
                <w:rFonts w:asciiTheme="minorHAnsi" w:hAnsiTheme="minorHAnsi" w:cstheme="minorHAnsi"/>
                <w:sz w:val="22"/>
              </w:rPr>
              <w:t>%)</w:t>
            </w:r>
          </w:p>
        </w:tc>
        <w:tc>
          <w:tcPr>
            <w:tcW w:w="2267" w:type="pct"/>
          </w:tcPr>
          <w:p w14:paraId="6A15CA01" w14:textId="70E4F41C" w:rsidR="00D32B5C" w:rsidRPr="00D120EB" w:rsidRDefault="00C55FDA" w:rsidP="002C3DD2">
            <w:pPr>
              <w:pStyle w:val="NoSpacing"/>
              <w:rPr>
                <w:rFonts w:asciiTheme="minorHAnsi" w:hAnsiTheme="minorHAnsi" w:cstheme="minorHAnsi"/>
                <w:sz w:val="22"/>
                <w:highlight w:val="yellow"/>
              </w:rPr>
            </w:pPr>
            <w:r w:rsidRPr="004C6C93">
              <w:rPr>
                <w:rFonts w:asciiTheme="minorHAnsi" w:hAnsiTheme="minorHAnsi" w:cstheme="minorHAnsi"/>
                <w:sz w:val="22"/>
              </w:rPr>
              <w:t>Labourers, Factory &amp; Machine Workers (</w:t>
            </w:r>
            <w:r w:rsidR="004C6C93" w:rsidRPr="004C6C93">
              <w:rPr>
                <w:rFonts w:asciiTheme="minorHAnsi" w:hAnsiTheme="minorHAnsi" w:cstheme="minorHAnsi"/>
                <w:sz w:val="22"/>
              </w:rPr>
              <w:t>6.</w:t>
            </w:r>
            <w:r w:rsidR="00802DD4">
              <w:rPr>
                <w:rFonts w:asciiTheme="minorHAnsi" w:hAnsiTheme="minorHAnsi" w:cstheme="minorHAnsi"/>
                <w:sz w:val="22"/>
              </w:rPr>
              <w:t>9</w:t>
            </w:r>
            <w:r w:rsidR="004C6C93" w:rsidRPr="004C6C93">
              <w:rPr>
                <w:rFonts w:asciiTheme="minorHAnsi" w:hAnsiTheme="minorHAnsi" w:cstheme="minorHAnsi"/>
                <w:sz w:val="22"/>
              </w:rPr>
              <w:t>%)</w:t>
            </w:r>
          </w:p>
        </w:tc>
      </w:tr>
      <w:tr w:rsidR="00D32B5C" w:rsidRPr="005750CF" w14:paraId="6EE2C6E0" w14:textId="77777777" w:rsidTr="00FF35F3">
        <w:trPr>
          <w:cantSplit/>
          <w:tblHeader/>
        </w:trPr>
        <w:tc>
          <w:tcPr>
            <w:tcW w:w="453" w:type="pct"/>
          </w:tcPr>
          <w:p w14:paraId="7974B839" w14:textId="77777777" w:rsidR="00D32B5C" w:rsidRPr="005750CF" w:rsidRDefault="00D32B5C" w:rsidP="002C3DD2">
            <w:pPr>
              <w:pStyle w:val="NoSpacing"/>
              <w:jc w:val="center"/>
              <w:rPr>
                <w:rFonts w:asciiTheme="minorHAnsi" w:hAnsiTheme="minorHAnsi" w:cstheme="minorHAnsi"/>
                <w:sz w:val="22"/>
              </w:rPr>
            </w:pPr>
            <w:r w:rsidRPr="005750CF">
              <w:rPr>
                <w:rFonts w:asciiTheme="minorHAnsi" w:hAnsiTheme="minorHAnsi" w:cstheme="minorHAnsi"/>
                <w:sz w:val="22"/>
              </w:rPr>
              <w:t>5</w:t>
            </w:r>
          </w:p>
        </w:tc>
        <w:tc>
          <w:tcPr>
            <w:tcW w:w="2280" w:type="pct"/>
          </w:tcPr>
          <w:p w14:paraId="0DCC6B01" w14:textId="34D6DE22" w:rsidR="00D32B5C" w:rsidRPr="009111CA" w:rsidRDefault="00156B73" w:rsidP="002C3DD2">
            <w:pPr>
              <w:pStyle w:val="NoSpacing"/>
              <w:rPr>
                <w:rFonts w:asciiTheme="minorHAnsi" w:hAnsiTheme="minorHAnsi" w:cstheme="minorHAnsi"/>
                <w:sz w:val="22"/>
              </w:rPr>
            </w:pPr>
            <w:r w:rsidRPr="009111CA">
              <w:rPr>
                <w:rFonts w:asciiTheme="minorHAnsi" w:hAnsiTheme="minorHAnsi" w:cstheme="minorHAnsi"/>
                <w:sz w:val="22"/>
              </w:rPr>
              <w:t>Motor Vehicle Service &amp; Repair (6.</w:t>
            </w:r>
            <w:r w:rsidR="00802DD4">
              <w:rPr>
                <w:rFonts w:asciiTheme="minorHAnsi" w:hAnsiTheme="minorHAnsi" w:cstheme="minorHAnsi"/>
                <w:sz w:val="22"/>
              </w:rPr>
              <w:t>0</w:t>
            </w:r>
            <w:r w:rsidRPr="009111CA">
              <w:rPr>
                <w:rFonts w:asciiTheme="minorHAnsi" w:hAnsiTheme="minorHAnsi" w:cstheme="minorHAnsi"/>
                <w:sz w:val="22"/>
              </w:rPr>
              <w:t>%)</w:t>
            </w:r>
          </w:p>
        </w:tc>
        <w:tc>
          <w:tcPr>
            <w:tcW w:w="2267" w:type="pct"/>
          </w:tcPr>
          <w:p w14:paraId="7631C86C" w14:textId="3C628536" w:rsidR="00D32B5C" w:rsidRPr="00D120EB" w:rsidRDefault="00160328" w:rsidP="002C3DD2">
            <w:pPr>
              <w:pStyle w:val="NoSpacing"/>
              <w:rPr>
                <w:rFonts w:asciiTheme="minorHAnsi" w:hAnsiTheme="minorHAnsi" w:cstheme="minorHAnsi"/>
                <w:sz w:val="22"/>
                <w:highlight w:val="yellow"/>
              </w:rPr>
            </w:pPr>
            <w:r w:rsidRPr="009111CA">
              <w:rPr>
                <w:rFonts w:asciiTheme="minorHAnsi" w:hAnsiTheme="minorHAnsi" w:cstheme="minorHAnsi"/>
                <w:sz w:val="22"/>
              </w:rPr>
              <w:t>Motor Vehicle Service &amp; Repair</w:t>
            </w:r>
            <w:r>
              <w:rPr>
                <w:rFonts w:asciiTheme="minorHAnsi" w:hAnsiTheme="minorHAnsi" w:cstheme="minorHAnsi"/>
                <w:sz w:val="22"/>
              </w:rPr>
              <w:t xml:space="preserve"> (5.</w:t>
            </w:r>
            <w:r w:rsidR="00802DD4">
              <w:rPr>
                <w:rFonts w:asciiTheme="minorHAnsi" w:hAnsiTheme="minorHAnsi" w:cstheme="minorHAnsi"/>
                <w:sz w:val="22"/>
              </w:rPr>
              <w:t>3</w:t>
            </w:r>
            <w:r>
              <w:rPr>
                <w:rFonts w:asciiTheme="minorHAnsi" w:hAnsiTheme="minorHAnsi" w:cstheme="minorHAnsi"/>
                <w:sz w:val="22"/>
              </w:rPr>
              <w:t>%)</w:t>
            </w:r>
          </w:p>
        </w:tc>
      </w:tr>
    </w:tbl>
    <w:p w14:paraId="3EE8AB1E" w14:textId="7B11098A" w:rsidR="00D139C6" w:rsidRDefault="00D139C6" w:rsidP="00F74AAE">
      <w:pPr>
        <w:spacing w:line="240" w:lineRule="auto"/>
        <w:contextualSpacing/>
        <w:rPr>
          <w:rStyle w:val="Heading3Char"/>
          <w:rFonts w:asciiTheme="minorHAnsi" w:hAnsiTheme="minorHAnsi" w:cstheme="minorHAnsi"/>
          <w:sz w:val="22"/>
          <w:szCs w:val="22"/>
        </w:rPr>
      </w:pPr>
    </w:p>
    <w:p w14:paraId="235761B9" w14:textId="5C1CF981" w:rsidR="00D354FE" w:rsidRPr="008674D5" w:rsidRDefault="00AC2B62" w:rsidP="000B72FA">
      <w:pPr>
        <w:pStyle w:val="Heading1"/>
      </w:pPr>
      <w:r w:rsidRPr="008674D5">
        <w:t>Post-</w:t>
      </w:r>
      <w:r w:rsidR="00893C3F" w:rsidRPr="008674D5">
        <w:t xml:space="preserve">school destinations </w:t>
      </w:r>
      <w:r w:rsidR="006016D9" w:rsidRPr="008674D5">
        <w:t>change according to different</w:t>
      </w:r>
      <w:r w:rsidR="00B87858" w:rsidRPr="008674D5">
        <w:t xml:space="preserve"> </w:t>
      </w:r>
      <w:r w:rsidR="00102D89">
        <w:t>respondent</w:t>
      </w:r>
      <w:r w:rsidR="00102D89" w:rsidRPr="008674D5">
        <w:t xml:space="preserve"> </w:t>
      </w:r>
      <w:r w:rsidR="00B87858" w:rsidRPr="008674D5">
        <w:t>characteristics</w:t>
      </w:r>
    </w:p>
    <w:p w14:paraId="064D1FEE" w14:textId="77777777" w:rsidR="008916A2" w:rsidRPr="005750CF" w:rsidRDefault="008916A2" w:rsidP="00F74AAE">
      <w:pPr>
        <w:spacing w:line="240" w:lineRule="auto"/>
        <w:contextualSpacing/>
        <w:rPr>
          <w:rFonts w:cstheme="minorHAnsi"/>
        </w:rPr>
      </w:pPr>
    </w:p>
    <w:p w14:paraId="792F9694" w14:textId="539A2A88" w:rsidR="00B87858" w:rsidRPr="005750CF" w:rsidRDefault="00B87858" w:rsidP="00D44B7E">
      <w:pPr>
        <w:spacing w:after="120" w:line="240" w:lineRule="auto"/>
        <w:rPr>
          <w:rFonts w:cstheme="minorHAnsi"/>
        </w:rPr>
      </w:pPr>
      <w:r w:rsidRPr="005750CF">
        <w:rPr>
          <w:rFonts w:cstheme="minorHAnsi"/>
        </w:rPr>
        <w:t xml:space="preserve">The On Track survey </w:t>
      </w:r>
      <w:r w:rsidR="00CF58EA" w:rsidRPr="005750CF">
        <w:rPr>
          <w:rFonts w:cstheme="minorHAnsi"/>
        </w:rPr>
        <w:t>provides information on</w:t>
      </w:r>
      <w:r w:rsidRPr="005750CF">
        <w:rPr>
          <w:rFonts w:cstheme="minorHAnsi"/>
        </w:rPr>
        <w:t xml:space="preserve"> post-school pathways by selected student characteristics, including gender, location and </w:t>
      </w:r>
      <w:r w:rsidR="00801822" w:rsidRPr="005750CF">
        <w:rPr>
          <w:rFonts w:cstheme="minorHAnsi"/>
        </w:rPr>
        <w:t>English-speaking</w:t>
      </w:r>
      <w:r w:rsidRPr="005750CF">
        <w:rPr>
          <w:rFonts w:cstheme="minorHAnsi"/>
        </w:rPr>
        <w:t xml:space="preserve"> background. </w:t>
      </w:r>
      <w:r w:rsidR="0021465D" w:rsidRPr="005750CF">
        <w:rPr>
          <w:rFonts w:cstheme="minorHAnsi"/>
        </w:rPr>
        <w:t>For both cohorts of students (those who complete Year 12 and those who do</w:t>
      </w:r>
      <w:r w:rsidR="00C433DF">
        <w:rPr>
          <w:rFonts w:cstheme="minorHAnsi"/>
        </w:rPr>
        <w:t xml:space="preserve"> no</w:t>
      </w:r>
      <w:r w:rsidR="0021465D" w:rsidRPr="005750CF">
        <w:rPr>
          <w:rFonts w:cstheme="minorHAnsi"/>
        </w:rPr>
        <w:t>t) the following trends can be seen:</w:t>
      </w:r>
    </w:p>
    <w:p w14:paraId="3241933F" w14:textId="6BCE6DF9" w:rsidR="004B664D" w:rsidRPr="008B42E3" w:rsidRDefault="00CF7605" w:rsidP="00B46907">
      <w:pPr>
        <w:pStyle w:val="ListParagraph"/>
        <w:numPr>
          <w:ilvl w:val="0"/>
          <w:numId w:val="6"/>
        </w:numPr>
        <w:spacing w:after="120" w:line="240" w:lineRule="auto"/>
        <w:ind w:left="426"/>
        <w:rPr>
          <w:rFonts w:cstheme="minorHAnsi"/>
        </w:rPr>
      </w:pPr>
      <w:r w:rsidRPr="008B42E3">
        <w:rPr>
          <w:rFonts w:cstheme="minorHAnsi"/>
        </w:rPr>
        <w:t xml:space="preserve">males </w:t>
      </w:r>
      <w:r w:rsidR="0021465D" w:rsidRPr="008B42E3">
        <w:rPr>
          <w:rFonts w:cstheme="minorHAnsi"/>
        </w:rPr>
        <w:t>are</w:t>
      </w:r>
      <w:r w:rsidRPr="008B42E3">
        <w:rPr>
          <w:rFonts w:cstheme="minorHAnsi"/>
        </w:rPr>
        <w:t xml:space="preserve"> more likely to commence an apprenticeship or traineeship</w:t>
      </w:r>
      <w:r w:rsidR="00893C3F" w:rsidRPr="008B42E3">
        <w:rPr>
          <w:rFonts w:cstheme="minorHAnsi"/>
        </w:rPr>
        <w:t>, while females are more likely to pursue further education</w:t>
      </w:r>
      <w:r w:rsidR="0021465D" w:rsidRPr="008B42E3">
        <w:rPr>
          <w:rFonts w:cstheme="minorHAnsi"/>
        </w:rPr>
        <w:t>*</w:t>
      </w:r>
    </w:p>
    <w:p w14:paraId="406AC74B" w14:textId="1CE89AFE" w:rsidR="0021465D" w:rsidRPr="008B42E3" w:rsidRDefault="0021465D" w:rsidP="00B46907">
      <w:pPr>
        <w:pStyle w:val="ListParagraph"/>
        <w:numPr>
          <w:ilvl w:val="0"/>
          <w:numId w:val="6"/>
        </w:numPr>
        <w:spacing w:after="120" w:line="240" w:lineRule="auto"/>
        <w:ind w:left="426"/>
        <w:rPr>
          <w:rFonts w:cstheme="minorHAnsi"/>
        </w:rPr>
      </w:pPr>
      <w:r w:rsidRPr="008B42E3">
        <w:rPr>
          <w:rFonts w:cstheme="minorHAnsi"/>
        </w:rPr>
        <w:t>higher proportions of students with a language background other than</w:t>
      </w:r>
      <w:r w:rsidR="006016D9" w:rsidRPr="008B42E3">
        <w:rPr>
          <w:rFonts w:cstheme="minorHAnsi"/>
        </w:rPr>
        <w:t xml:space="preserve"> English enrol in a Bachelor d</w:t>
      </w:r>
      <w:r w:rsidR="00370D0A" w:rsidRPr="008B42E3">
        <w:rPr>
          <w:rFonts w:cstheme="minorHAnsi"/>
        </w:rPr>
        <w:t>egree or Certificate /</w:t>
      </w:r>
      <w:r w:rsidRPr="008B42E3">
        <w:rPr>
          <w:rFonts w:cstheme="minorHAnsi"/>
        </w:rPr>
        <w:t>Diploma than those of English</w:t>
      </w:r>
      <w:r w:rsidR="007739EF" w:rsidRPr="008B42E3">
        <w:rPr>
          <w:rFonts w:cstheme="minorHAnsi"/>
        </w:rPr>
        <w:t>-</w:t>
      </w:r>
      <w:r w:rsidRPr="008B42E3">
        <w:rPr>
          <w:rFonts w:cstheme="minorHAnsi"/>
        </w:rPr>
        <w:t>speaking backgrounds</w:t>
      </w:r>
    </w:p>
    <w:p w14:paraId="6408ADC9" w14:textId="0B76876A" w:rsidR="00B87858" w:rsidRPr="008B42E3" w:rsidRDefault="0021465D" w:rsidP="00B46907">
      <w:pPr>
        <w:pStyle w:val="ListParagraph"/>
        <w:numPr>
          <w:ilvl w:val="0"/>
          <w:numId w:val="6"/>
        </w:numPr>
        <w:spacing w:after="120" w:line="240" w:lineRule="auto"/>
        <w:ind w:left="426"/>
        <w:rPr>
          <w:rFonts w:cstheme="minorHAnsi"/>
        </w:rPr>
      </w:pPr>
      <w:r w:rsidRPr="008B42E3">
        <w:rPr>
          <w:rFonts w:cstheme="minorHAnsi"/>
        </w:rPr>
        <w:t>young people in non-metropolitan Victoria are more likely to undertake an apprenticeship or traineeship than their metropolitan counterparts</w:t>
      </w:r>
      <w:r w:rsidR="006F147C" w:rsidRPr="008B42E3">
        <w:rPr>
          <w:rFonts w:cstheme="minorHAnsi"/>
        </w:rPr>
        <w:t>.</w:t>
      </w:r>
      <w:r w:rsidRPr="008B42E3">
        <w:rPr>
          <w:rFonts w:cstheme="minorHAnsi"/>
        </w:rPr>
        <w:t xml:space="preserve"> </w:t>
      </w:r>
    </w:p>
    <w:p w14:paraId="62DA574C" w14:textId="75B29791" w:rsidR="00B87858" w:rsidRDefault="00A63860" w:rsidP="00D44B7E">
      <w:pPr>
        <w:spacing w:after="0" w:line="240" w:lineRule="auto"/>
        <w:rPr>
          <w:rFonts w:eastAsia="Times New Roman" w:cstheme="minorHAnsi"/>
          <w:i/>
        </w:rPr>
      </w:pPr>
      <w:r w:rsidRPr="008B42E3">
        <w:rPr>
          <w:rFonts w:eastAsia="Times New Roman" w:cstheme="minorHAnsi"/>
          <w:i/>
        </w:rPr>
        <w:t>*</w:t>
      </w:r>
      <w:r w:rsidR="0021465D" w:rsidRPr="008B42E3">
        <w:rPr>
          <w:rFonts w:eastAsia="Times New Roman" w:cstheme="minorHAnsi"/>
          <w:i/>
        </w:rPr>
        <w:t>Please note that d</w:t>
      </w:r>
      <w:r w:rsidR="00B87858" w:rsidRPr="008B42E3">
        <w:rPr>
          <w:rFonts w:eastAsia="Times New Roman" w:cstheme="minorHAnsi"/>
          <w:i/>
        </w:rPr>
        <w:t>ata represented by gender is described as male and female. This analysis does not include respondents who identified as undefined gender or incomplete responses. Statewide results include all respondents (male, female, undefined, self</w:t>
      </w:r>
      <w:r w:rsidR="00B53226" w:rsidRPr="008B42E3">
        <w:rPr>
          <w:rFonts w:eastAsia="Times New Roman" w:cstheme="minorHAnsi"/>
          <w:i/>
        </w:rPr>
        <w:t>-</w:t>
      </w:r>
      <w:r w:rsidR="00B87858" w:rsidRPr="008B42E3">
        <w:rPr>
          <w:rFonts w:eastAsia="Times New Roman" w:cstheme="minorHAnsi"/>
          <w:i/>
        </w:rPr>
        <w:t>described and incomplete responses)</w:t>
      </w:r>
    </w:p>
    <w:p w14:paraId="5F6D889D" w14:textId="081EE174" w:rsidR="000F0982" w:rsidRDefault="000F0982" w:rsidP="00D44B7E">
      <w:pPr>
        <w:spacing w:after="0" w:line="240" w:lineRule="auto"/>
        <w:rPr>
          <w:rFonts w:eastAsia="Times New Roman" w:cstheme="minorHAnsi"/>
          <w:i/>
        </w:rPr>
      </w:pPr>
    </w:p>
    <w:p w14:paraId="79A550E2" w14:textId="77777777" w:rsidR="000F0982" w:rsidRPr="006E6688" w:rsidRDefault="000F0982" w:rsidP="000F0982">
      <w:pPr>
        <w:pStyle w:val="Heading1"/>
      </w:pPr>
      <w:r w:rsidRPr="006E6688">
        <w:t xml:space="preserve">Nearly one third of Aboriginal </w:t>
      </w:r>
      <w:r>
        <w:t>respondents went</w:t>
      </w:r>
      <w:r w:rsidRPr="006E6688">
        <w:t xml:space="preserve"> on to study a bachelor’s degree at university or TAFE</w:t>
      </w:r>
    </w:p>
    <w:p w14:paraId="561CEA7B" w14:textId="301363C0" w:rsidR="000F0982" w:rsidRDefault="000F0982" w:rsidP="000F0982">
      <w:pPr>
        <w:spacing w:after="120" w:line="240" w:lineRule="auto"/>
        <w:rPr>
          <w:rFonts w:cstheme="minorHAnsi"/>
        </w:rPr>
      </w:pPr>
      <w:r w:rsidRPr="006E6688">
        <w:rPr>
          <w:rFonts w:cstheme="minorHAnsi"/>
        </w:rPr>
        <w:t>In 2021</w:t>
      </w:r>
      <w:r>
        <w:rPr>
          <w:rFonts w:cstheme="minorHAnsi"/>
        </w:rPr>
        <w:t>,</w:t>
      </w:r>
      <w:r w:rsidRPr="006E6688">
        <w:rPr>
          <w:rFonts w:cstheme="minorHAnsi"/>
        </w:rPr>
        <w:t xml:space="preserve"> 3</w:t>
      </w:r>
      <w:r>
        <w:rPr>
          <w:rFonts w:cstheme="minorHAnsi"/>
        </w:rPr>
        <w:t>1.8</w:t>
      </w:r>
      <w:r w:rsidRPr="006E6688">
        <w:rPr>
          <w:rFonts w:cstheme="minorHAnsi"/>
        </w:rPr>
        <w:t xml:space="preserve"> per cent of Aboriginal </w:t>
      </w:r>
      <w:r>
        <w:rPr>
          <w:rFonts w:cstheme="minorHAnsi"/>
        </w:rPr>
        <w:t>respondents</w:t>
      </w:r>
      <w:r w:rsidRPr="006E6688">
        <w:rPr>
          <w:rFonts w:cstheme="minorHAnsi"/>
        </w:rPr>
        <w:t xml:space="preserve"> who completed Year 12 in 2020 were enrolled in a Bachelor degree at either university or TAFE six months later. Whilst this is low compared to non-Aboriginal Year 12 completers (</w:t>
      </w:r>
      <w:r>
        <w:rPr>
          <w:rFonts w:cstheme="minorHAnsi"/>
        </w:rPr>
        <w:t>56.5%</w:t>
      </w:r>
      <w:r w:rsidRPr="006E6688">
        <w:rPr>
          <w:rFonts w:cstheme="minorHAnsi"/>
        </w:rPr>
        <w:t xml:space="preserve">), </w:t>
      </w:r>
      <w:r>
        <w:rPr>
          <w:rFonts w:cstheme="minorHAnsi"/>
        </w:rPr>
        <w:t>the</w:t>
      </w:r>
      <w:r w:rsidRPr="006E6688">
        <w:rPr>
          <w:rFonts w:cstheme="minorHAnsi"/>
        </w:rPr>
        <w:t xml:space="preserve"> significantly lower numbers of Aboriginal young people surveyed makes it difficult to draw strong conclusions about what this data is telling us, given that small movements in such small numbers would lead to large fluctuations in proportions of the population (in 2021, the number of young people surveyed who identified as Aboriginal was around one per cent of the total survey sample). </w:t>
      </w:r>
    </w:p>
    <w:p w14:paraId="72E69A7C" w14:textId="13C169CE" w:rsidR="00747B58" w:rsidRDefault="00747B58" w:rsidP="000F0982">
      <w:pPr>
        <w:spacing w:after="120" w:line="240" w:lineRule="auto"/>
        <w:rPr>
          <w:rFonts w:cstheme="minorHAnsi"/>
        </w:rPr>
      </w:pPr>
    </w:p>
    <w:p w14:paraId="7E04C6E5" w14:textId="77777777" w:rsidR="00747B58" w:rsidRPr="006E6688" w:rsidRDefault="00747B58" w:rsidP="000F0982">
      <w:pPr>
        <w:spacing w:after="120" w:line="240" w:lineRule="auto"/>
        <w:rPr>
          <w:rFonts w:cstheme="minorHAnsi"/>
        </w:rPr>
      </w:pPr>
    </w:p>
    <w:p w14:paraId="2E5C5E9B" w14:textId="77777777" w:rsidR="000F0982" w:rsidRPr="006E6688" w:rsidRDefault="000F0982" w:rsidP="000F0982">
      <w:pPr>
        <w:spacing w:after="120" w:line="240" w:lineRule="auto"/>
        <w:rPr>
          <w:rFonts w:cstheme="minorHAnsi"/>
        </w:rPr>
      </w:pPr>
      <w:r w:rsidRPr="006E6688">
        <w:rPr>
          <w:rFonts w:cstheme="minorHAnsi"/>
          <w:b/>
          <w:bCs/>
          <w:lang w:val="en-US"/>
        </w:rPr>
        <w:t>Year 12 completers enrolled in a Bachelor degree at a university or TAFE by Aboriginal status,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1400"/>
        <w:gridCol w:w="1400"/>
        <w:gridCol w:w="1400"/>
        <w:gridCol w:w="1400"/>
        <w:gridCol w:w="1399"/>
      </w:tblGrid>
      <w:tr w:rsidR="000F0982" w:rsidRPr="006E6688" w14:paraId="71A3E7EF" w14:textId="77777777" w:rsidTr="005063B4">
        <w:trPr>
          <w:trHeight w:val="300"/>
        </w:trPr>
        <w:tc>
          <w:tcPr>
            <w:tcW w:w="1118" w:type="pct"/>
            <w:shd w:val="clear" w:color="auto" w:fill="auto"/>
            <w:noWrap/>
            <w:vAlign w:val="bottom"/>
            <w:hideMark/>
          </w:tcPr>
          <w:p w14:paraId="28A625B2" w14:textId="77777777" w:rsidR="000F0982" w:rsidRPr="006E6688" w:rsidRDefault="000F0982" w:rsidP="005063B4">
            <w:pPr>
              <w:spacing w:after="0" w:line="240" w:lineRule="auto"/>
              <w:rPr>
                <w:rFonts w:ascii="Times New Roman" w:eastAsia="Times New Roman" w:hAnsi="Times New Roman" w:cs="Times New Roman"/>
                <w:b/>
                <w:bCs/>
                <w:sz w:val="24"/>
                <w:szCs w:val="24"/>
                <w:lang w:eastAsia="en-AU"/>
              </w:rPr>
            </w:pPr>
          </w:p>
        </w:tc>
        <w:tc>
          <w:tcPr>
            <w:tcW w:w="776" w:type="pct"/>
            <w:shd w:val="clear" w:color="auto" w:fill="auto"/>
            <w:noWrap/>
            <w:vAlign w:val="bottom"/>
            <w:hideMark/>
          </w:tcPr>
          <w:p w14:paraId="0900D8C9" w14:textId="77777777" w:rsidR="000F0982" w:rsidRPr="006E6688" w:rsidRDefault="000F0982" w:rsidP="005063B4">
            <w:pPr>
              <w:spacing w:after="0" w:line="240" w:lineRule="auto"/>
              <w:jc w:val="center"/>
              <w:rPr>
                <w:rFonts w:ascii="Calibri" w:eastAsia="Times New Roman" w:hAnsi="Calibri" w:cs="Calibri"/>
                <w:b/>
                <w:bCs/>
                <w:lang w:eastAsia="en-AU"/>
              </w:rPr>
            </w:pPr>
            <w:r w:rsidRPr="006E6688">
              <w:rPr>
                <w:rFonts w:ascii="Calibri" w:eastAsia="Times New Roman" w:hAnsi="Calibri" w:cs="Calibri"/>
                <w:b/>
                <w:bCs/>
                <w:lang w:eastAsia="en-AU"/>
              </w:rPr>
              <w:t>2017</w:t>
            </w:r>
          </w:p>
        </w:tc>
        <w:tc>
          <w:tcPr>
            <w:tcW w:w="776" w:type="pct"/>
            <w:shd w:val="clear" w:color="auto" w:fill="auto"/>
            <w:noWrap/>
            <w:vAlign w:val="bottom"/>
            <w:hideMark/>
          </w:tcPr>
          <w:p w14:paraId="00895690" w14:textId="77777777" w:rsidR="000F0982" w:rsidRPr="006E6688" w:rsidRDefault="000F0982" w:rsidP="005063B4">
            <w:pPr>
              <w:spacing w:after="0" w:line="240" w:lineRule="auto"/>
              <w:jc w:val="center"/>
              <w:rPr>
                <w:rFonts w:ascii="Calibri" w:eastAsia="Times New Roman" w:hAnsi="Calibri" w:cs="Calibri"/>
                <w:b/>
                <w:bCs/>
                <w:lang w:eastAsia="en-AU"/>
              </w:rPr>
            </w:pPr>
            <w:r w:rsidRPr="006E6688">
              <w:rPr>
                <w:rFonts w:ascii="Calibri" w:eastAsia="Times New Roman" w:hAnsi="Calibri" w:cs="Calibri"/>
                <w:b/>
                <w:bCs/>
                <w:lang w:eastAsia="en-AU"/>
              </w:rPr>
              <w:t>2018</w:t>
            </w:r>
          </w:p>
        </w:tc>
        <w:tc>
          <w:tcPr>
            <w:tcW w:w="776" w:type="pct"/>
            <w:shd w:val="clear" w:color="auto" w:fill="auto"/>
            <w:noWrap/>
            <w:vAlign w:val="bottom"/>
            <w:hideMark/>
          </w:tcPr>
          <w:p w14:paraId="2FCA86FD" w14:textId="77777777" w:rsidR="000F0982" w:rsidRPr="006E6688" w:rsidRDefault="000F0982" w:rsidP="005063B4">
            <w:pPr>
              <w:spacing w:after="0" w:line="240" w:lineRule="auto"/>
              <w:jc w:val="center"/>
              <w:rPr>
                <w:rFonts w:ascii="Calibri" w:eastAsia="Times New Roman" w:hAnsi="Calibri" w:cs="Calibri"/>
                <w:b/>
                <w:bCs/>
                <w:lang w:eastAsia="en-AU"/>
              </w:rPr>
            </w:pPr>
            <w:r w:rsidRPr="006E6688">
              <w:rPr>
                <w:rFonts w:ascii="Calibri" w:eastAsia="Times New Roman" w:hAnsi="Calibri" w:cs="Calibri"/>
                <w:b/>
                <w:bCs/>
                <w:lang w:eastAsia="en-AU"/>
              </w:rPr>
              <w:t>2019</w:t>
            </w:r>
          </w:p>
        </w:tc>
        <w:tc>
          <w:tcPr>
            <w:tcW w:w="776" w:type="pct"/>
            <w:shd w:val="clear" w:color="auto" w:fill="auto"/>
            <w:noWrap/>
            <w:vAlign w:val="bottom"/>
            <w:hideMark/>
          </w:tcPr>
          <w:p w14:paraId="07A965FE" w14:textId="77777777" w:rsidR="000F0982" w:rsidRPr="006E6688" w:rsidRDefault="000F0982" w:rsidP="005063B4">
            <w:pPr>
              <w:spacing w:after="0" w:line="240" w:lineRule="auto"/>
              <w:jc w:val="center"/>
              <w:rPr>
                <w:rFonts w:ascii="Calibri" w:eastAsia="Times New Roman" w:hAnsi="Calibri" w:cs="Calibri"/>
                <w:b/>
                <w:bCs/>
                <w:lang w:eastAsia="en-AU"/>
              </w:rPr>
            </w:pPr>
            <w:r w:rsidRPr="006E6688">
              <w:rPr>
                <w:rFonts w:ascii="Calibri" w:eastAsia="Times New Roman" w:hAnsi="Calibri" w:cs="Calibri"/>
                <w:b/>
                <w:bCs/>
                <w:lang w:eastAsia="en-AU"/>
              </w:rPr>
              <w:t>2020</w:t>
            </w:r>
          </w:p>
        </w:tc>
        <w:tc>
          <w:tcPr>
            <w:tcW w:w="776" w:type="pct"/>
            <w:vAlign w:val="bottom"/>
          </w:tcPr>
          <w:p w14:paraId="08BA643B" w14:textId="77777777" w:rsidR="000F0982" w:rsidRPr="006E6688" w:rsidRDefault="000F0982" w:rsidP="005063B4">
            <w:pPr>
              <w:spacing w:after="0" w:line="240" w:lineRule="auto"/>
              <w:jc w:val="center"/>
              <w:rPr>
                <w:rFonts w:ascii="Calibri" w:eastAsia="Times New Roman" w:hAnsi="Calibri" w:cs="Calibri"/>
                <w:b/>
                <w:bCs/>
                <w:lang w:eastAsia="en-AU"/>
              </w:rPr>
            </w:pPr>
            <w:r w:rsidRPr="006E6688">
              <w:rPr>
                <w:rFonts w:ascii="Calibri" w:eastAsia="Times New Roman" w:hAnsi="Calibri" w:cs="Calibri"/>
                <w:b/>
                <w:bCs/>
                <w:lang w:eastAsia="en-AU"/>
              </w:rPr>
              <w:t>2021</w:t>
            </w:r>
          </w:p>
        </w:tc>
      </w:tr>
      <w:tr w:rsidR="000F0982" w:rsidRPr="006E6688" w14:paraId="0525A731" w14:textId="77777777" w:rsidTr="005063B4">
        <w:trPr>
          <w:trHeight w:val="300"/>
        </w:trPr>
        <w:tc>
          <w:tcPr>
            <w:tcW w:w="1118" w:type="pct"/>
            <w:shd w:val="clear" w:color="auto" w:fill="auto"/>
            <w:noWrap/>
            <w:vAlign w:val="bottom"/>
            <w:hideMark/>
          </w:tcPr>
          <w:p w14:paraId="3805C2BC" w14:textId="77777777" w:rsidR="000F0982" w:rsidRPr="006E6688" w:rsidRDefault="000F0982" w:rsidP="005063B4">
            <w:pPr>
              <w:spacing w:after="0" w:line="240" w:lineRule="auto"/>
              <w:rPr>
                <w:rFonts w:ascii="Calibri" w:eastAsia="Times New Roman" w:hAnsi="Calibri" w:cs="Calibri"/>
                <w:b/>
                <w:bCs/>
                <w:lang w:eastAsia="en-AU"/>
              </w:rPr>
            </w:pPr>
            <w:r w:rsidRPr="006E6688">
              <w:rPr>
                <w:rFonts w:ascii="Calibri" w:eastAsia="Times New Roman" w:hAnsi="Calibri" w:cs="Calibri"/>
                <w:b/>
                <w:bCs/>
                <w:lang w:eastAsia="en-AU"/>
              </w:rPr>
              <w:t>Aboriginal</w:t>
            </w:r>
          </w:p>
        </w:tc>
        <w:tc>
          <w:tcPr>
            <w:tcW w:w="776" w:type="pct"/>
            <w:shd w:val="clear" w:color="auto" w:fill="auto"/>
            <w:noWrap/>
            <w:vAlign w:val="bottom"/>
            <w:hideMark/>
          </w:tcPr>
          <w:p w14:paraId="500C6EC0" w14:textId="77777777" w:rsidR="000F0982" w:rsidRPr="006E6688" w:rsidRDefault="000F0982" w:rsidP="005063B4">
            <w:pPr>
              <w:spacing w:after="0" w:line="240" w:lineRule="auto"/>
              <w:jc w:val="center"/>
              <w:rPr>
                <w:rFonts w:ascii="Calibri" w:eastAsia="Times New Roman" w:hAnsi="Calibri" w:cs="Calibri"/>
                <w:lang w:eastAsia="en-AU"/>
              </w:rPr>
            </w:pPr>
            <w:r w:rsidRPr="006E6688">
              <w:rPr>
                <w:rFonts w:ascii="Calibri" w:eastAsia="Times New Roman" w:hAnsi="Calibri" w:cs="Calibri"/>
                <w:lang w:eastAsia="en-AU"/>
              </w:rPr>
              <w:t>27.7%</w:t>
            </w:r>
          </w:p>
        </w:tc>
        <w:tc>
          <w:tcPr>
            <w:tcW w:w="776" w:type="pct"/>
            <w:shd w:val="clear" w:color="auto" w:fill="auto"/>
            <w:noWrap/>
            <w:vAlign w:val="bottom"/>
            <w:hideMark/>
          </w:tcPr>
          <w:p w14:paraId="0801AE65" w14:textId="77777777" w:rsidR="000F0982" w:rsidRPr="006E6688" w:rsidRDefault="000F0982" w:rsidP="005063B4">
            <w:pPr>
              <w:spacing w:after="0" w:line="240" w:lineRule="auto"/>
              <w:jc w:val="center"/>
              <w:rPr>
                <w:rFonts w:ascii="Calibri" w:eastAsia="Times New Roman" w:hAnsi="Calibri" w:cs="Calibri"/>
                <w:lang w:eastAsia="en-AU"/>
              </w:rPr>
            </w:pPr>
            <w:r w:rsidRPr="006E6688">
              <w:rPr>
                <w:rFonts w:ascii="Calibri" w:eastAsia="Times New Roman" w:hAnsi="Calibri" w:cs="Calibri"/>
                <w:lang w:eastAsia="en-AU"/>
              </w:rPr>
              <w:t>32.9%</w:t>
            </w:r>
          </w:p>
        </w:tc>
        <w:tc>
          <w:tcPr>
            <w:tcW w:w="776" w:type="pct"/>
            <w:shd w:val="clear" w:color="auto" w:fill="auto"/>
            <w:noWrap/>
            <w:vAlign w:val="bottom"/>
            <w:hideMark/>
          </w:tcPr>
          <w:p w14:paraId="438C08B8" w14:textId="77777777" w:rsidR="000F0982" w:rsidRPr="006E6688" w:rsidRDefault="000F0982" w:rsidP="005063B4">
            <w:pPr>
              <w:spacing w:after="0" w:line="240" w:lineRule="auto"/>
              <w:jc w:val="center"/>
              <w:rPr>
                <w:rFonts w:ascii="Calibri" w:eastAsia="Times New Roman" w:hAnsi="Calibri" w:cs="Calibri"/>
                <w:lang w:eastAsia="en-AU"/>
              </w:rPr>
            </w:pPr>
            <w:r w:rsidRPr="006E6688">
              <w:rPr>
                <w:rFonts w:ascii="Calibri" w:eastAsia="Times New Roman" w:hAnsi="Calibri" w:cs="Calibri"/>
                <w:lang w:eastAsia="en-AU"/>
              </w:rPr>
              <w:t>29.8%</w:t>
            </w:r>
          </w:p>
        </w:tc>
        <w:tc>
          <w:tcPr>
            <w:tcW w:w="776" w:type="pct"/>
            <w:shd w:val="clear" w:color="auto" w:fill="auto"/>
            <w:noWrap/>
            <w:vAlign w:val="bottom"/>
            <w:hideMark/>
          </w:tcPr>
          <w:p w14:paraId="6E37653D" w14:textId="77777777" w:rsidR="000F0982" w:rsidRPr="006E6688" w:rsidRDefault="000F0982" w:rsidP="005063B4">
            <w:pPr>
              <w:spacing w:after="0" w:line="240" w:lineRule="auto"/>
              <w:jc w:val="center"/>
              <w:rPr>
                <w:rFonts w:ascii="Calibri" w:eastAsia="Times New Roman" w:hAnsi="Calibri" w:cs="Calibri"/>
                <w:lang w:eastAsia="en-AU"/>
              </w:rPr>
            </w:pPr>
            <w:r w:rsidRPr="006E6688">
              <w:rPr>
                <w:rFonts w:ascii="Calibri" w:eastAsia="Times New Roman" w:hAnsi="Calibri" w:cs="Calibri"/>
                <w:lang w:eastAsia="en-AU"/>
              </w:rPr>
              <w:t>32.5%</w:t>
            </w:r>
          </w:p>
        </w:tc>
        <w:tc>
          <w:tcPr>
            <w:tcW w:w="776" w:type="pct"/>
            <w:vAlign w:val="bottom"/>
          </w:tcPr>
          <w:p w14:paraId="5E33D2AA" w14:textId="77777777" w:rsidR="000F0982" w:rsidRPr="006E6688" w:rsidRDefault="000F0982" w:rsidP="005063B4">
            <w:pPr>
              <w:spacing w:after="0" w:line="240" w:lineRule="auto"/>
              <w:jc w:val="center"/>
              <w:rPr>
                <w:rFonts w:ascii="Calibri" w:eastAsia="Times New Roman" w:hAnsi="Calibri" w:cs="Calibri"/>
                <w:lang w:eastAsia="en-AU"/>
              </w:rPr>
            </w:pPr>
            <w:r w:rsidRPr="006E6688">
              <w:rPr>
                <w:rFonts w:ascii="Calibri" w:eastAsia="Times New Roman" w:hAnsi="Calibri" w:cs="Calibri"/>
                <w:lang w:eastAsia="en-AU"/>
              </w:rPr>
              <w:t>31.8%</w:t>
            </w:r>
          </w:p>
        </w:tc>
      </w:tr>
      <w:tr w:rsidR="000F0982" w:rsidRPr="002E2E51" w14:paraId="36FEC831" w14:textId="77777777" w:rsidTr="005063B4">
        <w:trPr>
          <w:trHeight w:val="300"/>
        </w:trPr>
        <w:tc>
          <w:tcPr>
            <w:tcW w:w="1118" w:type="pct"/>
            <w:shd w:val="clear" w:color="auto" w:fill="auto"/>
            <w:noWrap/>
            <w:vAlign w:val="bottom"/>
            <w:hideMark/>
          </w:tcPr>
          <w:p w14:paraId="108BB7B4" w14:textId="77777777" w:rsidR="000F0982" w:rsidRPr="006E6688" w:rsidRDefault="000F0982" w:rsidP="005063B4">
            <w:pPr>
              <w:spacing w:after="0" w:line="240" w:lineRule="auto"/>
              <w:rPr>
                <w:rFonts w:ascii="Calibri" w:eastAsia="Times New Roman" w:hAnsi="Calibri" w:cs="Calibri"/>
                <w:b/>
                <w:bCs/>
                <w:lang w:eastAsia="en-AU"/>
              </w:rPr>
            </w:pPr>
            <w:r w:rsidRPr="006E6688">
              <w:rPr>
                <w:rFonts w:ascii="Calibri" w:eastAsia="Times New Roman" w:hAnsi="Calibri" w:cs="Calibri"/>
                <w:b/>
                <w:bCs/>
                <w:lang w:eastAsia="en-AU"/>
              </w:rPr>
              <w:t>Non-Aboriginal</w:t>
            </w:r>
          </w:p>
        </w:tc>
        <w:tc>
          <w:tcPr>
            <w:tcW w:w="776" w:type="pct"/>
            <w:shd w:val="clear" w:color="auto" w:fill="auto"/>
            <w:noWrap/>
            <w:vAlign w:val="bottom"/>
            <w:hideMark/>
          </w:tcPr>
          <w:p w14:paraId="5B133102" w14:textId="77777777" w:rsidR="000F0982" w:rsidRPr="006E6688" w:rsidRDefault="000F0982" w:rsidP="005063B4">
            <w:pPr>
              <w:spacing w:after="0" w:line="240" w:lineRule="auto"/>
              <w:jc w:val="center"/>
              <w:rPr>
                <w:rFonts w:ascii="Calibri" w:eastAsia="Times New Roman" w:hAnsi="Calibri" w:cs="Calibri"/>
                <w:lang w:eastAsia="en-AU"/>
              </w:rPr>
            </w:pPr>
            <w:r w:rsidRPr="006E6688">
              <w:rPr>
                <w:rFonts w:ascii="Calibri" w:eastAsia="Times New Roman" w:hAnsi="Calibri" w:cs="Calibri"/>
                <w:lang w:eastAsia="en-AU"/>
              </w:rPr>
              <w:t>54.6%</w:t>
            </w:r>
          </w:p>
        </w:tc>
        <w:tc>
          <w:tcPr>
            <w:tcW w:w="776" w:type="pct"/>
            <w:shd w:val="clear" w:color="auto" w:fill="auto"/>
            <w:noWrap/>
            <w:vAlign w:val="bottom"/>
            <w:hideMark/>
          </w:tcPr>
          <w:p w14:paraId="0A4BF18C" w14:textId="77777777" w:rsidR="000F0982" w:rsidRPr="006E6688" w:rsidRDefault="000F0982" w:rsidP="005063B4">
            <w:pPr>
              <w:spacing w:after="0" w:line="240" w:lineRule="auto"/>
              <w:jc w:val="center"/>
              <w:rPr>
                <w:rFonts w:ascii="Calibri" w:eastAsia="Times New Roman" w:hAnsi="Calibri" w:cs="Calibri"/>
                <w:lang w:eastAsia="en-AU"/>
              </w:rPr>
            </w:pPr>
            <w:r w:rsidRPr="006E6688">
              <w:rPr>
                <w:rFonts w:ascii="Calibri" w:eastAsia="Times New Roman" w:hAnsi="Calibri" w:cs="Calibri"/>
                <w:lang w:eastAsia="en-AU"/>
              </w:rPr>
              <w:t>55.6%</w:t>
            </w:r>
          </w:p>
        </w:tc>
        <w:tc>
          <w:tcPr>
            <w:tcW w:w="776" w:type="pct"/>
            <w:shd w:val="clear" w:color="auto" w:fill="auto"/>
            <w:noWrap/>
            <w:vAlign w:val="bottom"/>
            <w:hideMark/>
          </w:tcPr>
          <w:p w14:paraId="1E7E36D7" w14:textId="77777777" w:rsidR="000F0982" w:rsidRPr="006E6688" w:rsidRDefault="000F0982" w:rsidP="005063B4">
            <w:pPr>
              <w:spacing w:after="0" w:line="240" w:lineRule="auto"/>
              <w:jc w:val="center"/>
              <w:rPr>
                <w:rFonts w:ascii="Calibri" w:eastAsia="Times New Roman" w:hAnsi="Calibri" w:cs="Calibri"/>
                <w:lang w:eastAsia="en-AU"/>
              </w:rPr>
            </w:pPr>
            <w:r w:rsidRPr="006E6688">
              <w:rPr>
                <w:rFonts w:ascii="Calibri" w:eastAsia="Times New Roman" w:hAnsi="Calibri" w:cs="Calibri"/>
                <w:lang w:eastAsia="en-AU"/>
              </w:rPr>
              <w:t>54.9%</w:t>
            </w:r>
          </w:p>
        </w:tc>
        <w:tc>
          <w:tcPr>
            <w:tcW w:w="776" w:type="pct"/>
            <w:shd w:val="clear" w:color="auto" w:fill="auto"/>
            <w:noWrap/>
            <w:vAlign w:val="bottom"/>
            <w:hideMark/>
          </w:tcPr>
          <w:p w14:paraId="6B0AABAC" w14:textId="77777777" w:rsidR="000F0982" w:rsidRPr="006E6688" w:rsidRDefault="000F0982" w:rsidP="005063B4">
            <w:pPr>
              <w:spacing w:after="0" w:line="240" w:lineRule="auto"/>
              <w:jc w:val="center"/>
              <w:rPr>
                <w:rFonts w:ascii="Calibri" w:eastAsia="Times New Roman" w:hAnsi="Calibri" w:cs="Calibri"/>
                <w:lang w:eastAsia="en-AU"/>
              </w:rPr>
            </w:pPr>
            <w:r w:rsidRPr="006E6688">
              <w:rPr>
                <w:rFonts w:ascii="Calibri" w:eastAsia="Times New Roman" w:hAnsi="Calibri" w:cs="Calibri"/>
                <w:lang w:eastAsia="en-AU"/>
              </w:rPr>
              <w:t>54.9%</w:t>
            </w:r>
          </w:p>
        </w:tc>
        <w:tc>
          <w:tcPr>
            <w:tcW w:w="776" w:type="pct"/>
            <w:vAlign w:val="bottom"/>
          </w:tcPr>
          <w:p w14:paraId="1368CFF6" w14:textId="77777777" w:rsidR="000F0982" w:rsidRPr="005D0B77" w:rsidRDefault="000F0982" w:rsidP="005063B4">
            <w:pPr>
              <w:spacing w:after="0" w:line="240" w:lineRule="auto"/>
              <w:jc w:val="center"/>
              <w:rPr>
                <w:rFonts w:ascii="Calibri" w:eastAsia="Times New Roman" w:hAnsi="Calibri" w:cs="Calibri"/>
                <w:lang w:eastAsia="en-AU"/>
              </w:rPr>
            </w:pPr>
            <w:r w:rsidRPr="006E6688">
              <w:rPr>
                <w:rFonts w:ascii="Calibri" w:eastAsia="Times New Roman" w:hAnsi="Calibri" w:cs="Calibri"/>
                <w:lang w:eastAsia="en-AU"/>
              </w:rPr>
              <w:t>56.5%</w:t>
            </w:r>
          </w:p>
        </w:tc>
      </w:tr>
    </w:tbl>
    <w:p w14:paraId="6752BFA3" w14:textId="77777777" w:rsidR="000F0982" w:rsidRPr="00316337" w:rsidRDefault="000F0982" w:rsidP="000F0982">
      <w:pPr>
        <w:spacing w:after="120" w:line="240" w:lineRule="auto"/>
        <w:rPr>
          <w:rFonts w:cstheme="minorHAnsi"/>
          <w:b/>
          <w:bCs/>
        </w:rPr>
      </w:pPr>
    </w:p>
    <w:p w14:paraId="6C8EC720" w14:textId="77777777" w:rsidR="000F0982" w:rsidRDefault="000F0982" w:rsidP="000F0982">
      <w:pPr>
        <w:rPr>
          <w:noProof/>
          <w:lang w:eastAsia="en-AU"/>
        </w:rPr>
      </w:pPr>
      <w:r w:rsidRPr="006E0466">
        <w:rPr>
          <w:noProof/>
          <w:lang w:eastAsia="en-AU"/>
        </w:rPr>
        <w:t xml:space="preserve">Despite fluctuations between years, some general trends have emerged over the past five years in the destinations of Aboriginal </w:t>
      </w:r>
      <w:r>
        <w:rPr>
          <w:noProof/>
          <w:lang w:eastAsia="en-AU"/>
        </w:rPr>
        <w:t>respondents</w:t>
      </w:r>
      <w:r w:rsidRPr="006E0466">
        <w:rPr>
          <w:noProof/>
          <w:lang w:eastAsia="en-AU"/>
        </w:rPr>
        <w:t xml:space="preserve"> who go on to complete Year 12. Each year since 2017, between 50</w:t>
      </w:r>
      <w:r>
        <w:rPr>
          <w:noProof/>
          <w:lang w:eastAsia="en-AU"/>
        </w:rPr>
        <w:t xml:space="preserve"> </w:t>
      </w:r>
      <w:r w:rsidRPr="006E0466">
        <w:rPr>
          <w:noProof/>
          <w:lang w:eastAsia="en-AU"/>
        </w:rPr>
        <w:t>to</w:t>
      </w:r>
      <w:r>
        <w:rPr>
          <w:noProof/>
          <w:lang w:eastAsia="en-AU"/>
        </w:rPr>
        <w:t xml:space="preserve"> </w:t>
      </w:r>
      <w:r w:rsidRPr="006E0466">
        <w:rPr>
          <w:noProof/>
          <w:lang w:eastAsia="en-AU"/>
        </w:rPr>
        <w:t xml:space="preserve">60 per cent have gone on to either employment or study at the Bachelor degree level. </w:t>
      </w:r>
      <w:r>
        <w:rPr>
          <w:noProof/>
          <w:lang w:eastAsia="en-AU"/>
        </w:rPr>
        <w:t>M</w:t>
      </w:r>
      <w:r w:rsidRPr="006E0466">
        <w:rPr>
          <w:noProof/>
          <w:lang w:eastAsia="en-AU"/>
        </w:rPr>
        <w:t xml:space="preserve">ore Aboriginal Year 12 completers </w:t>
      </w:r>
      <w:r>
        <w:rPr>
          <w:noProof/>
          <w:lang w:eastAsia="en-AU"/>
        </w:rPr>
        <w:t xml:space="preserve">are </w:t>
      </w:r>
      <w:r w:rsidRPr="006E0466">
        <w:rPr>
          <w:noProof/>
          <w:lang w:eastAsia="en-AU"/>
        </w:rPr>
        <w:t>pursuing an apprenticeship</w:t>
      </w:r>
      <w:r>
        <w:rPr>
          <w:noProof/>
          <w:lang w:eastAsia="en-AU"/>
        </w:rPr>
        <w:t xml:space="preserve"> or </w:t>
      </w:r>
      <w:r w:rsidRPr="006E0466">
        <w:rPr>
          <w:noProof/>
          <w:lang w:eastAsia="en-AU"/>
        </w:rPr>
        <w:t>traineeship (</w:t>
      </w:r>
      <w:r>
        <w:rPr>
          <w:noProof/>
          <w:lang w:eastAsia="en-AU"/>
        </w:rPr>
        <w:t>19.7 per cent</w:t>
      </w:r>
      <w:r w:rsidRPr="006E0466">
        <w:rPr>
          <w:noProof/>
          <w:lang w:eastAsia="en-AU"/>
        </w:rPr>
        <w:t xml:space="preserve"> in 2021, up from 16</w:t>
      </w:r>
      <w:r>
        <w:rPr>
          <w:noProof/>
          <w:lang w:eastAsia="en-AU"/>
        </w:rPr>
        <w:t>.4 per cent</w:t>
      </w:r>
      <w:r w:rsidRPr="006E0466">
        <w:rPr>
          <w:noProof/>
          <w:lang w:eastAsia="en-AU"/>
        </w:rPr>
        <w:t xml:space="preserve"> in 2020).</w:t>
      </w:r>
      <w:r>
        <w:rPr>
          <w:noProof/>
          <w:lang w:eastAsia="en-AU"/>
        </w:rPr>
        <w:t xml:space="preserve"> </w:t>
      </w:r>
    </w:p>
    <w:p w14:paraId="3B0ACC4A" w14:textId="77777777" w:rsidR="000F0982" w:rsidRDefault="000F0982" w:rsidP="000F0982">
      <w:pPr>
        <w:rPr>
          <w:b/>
          <w:bCs/>
          <w:noProof/>
          <w:lang w:val="en-US" w:eastAsia="en-AU"/>
        </w:rPr>
      </w:pPr>
      <w:r w:rsidRPr="002E4322">
        <w:rPr>
          <w:b/>
          <w:bCs/>
          <w:noProof/>
          <w:lang w:val="en-US" w:eastAsia="en-AU"/>
        </w:rPr>
        <w:t xml:space="preserve">Destination patterns, Year 12 completers, by Aboriginal status, </w:t>
      </w:r>
      <w:r w:rsidRPr="00B8154C">
        <w:rPr>
          <w:b/>
          <w:bCs/>
          <w:noProof/>
          <w:lang w:val="en-US" w:eastAsia="en-AU"/>
        </w:rPr>
        <w:t>2017-2021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3296"/>
        <w:gridCol w:w="854"/>
        <w:gridCol w:w="854"/>
        <w:gridCol w:w="854"/>
        <w:gridCol w:w="854"/>
        <w:gridCol w:w="985"/>
      </w:tblGrid>
      <w:tr w:rsidR="000F0982" w:rsidRPr="00141C59" w14:paraId="355B696D" w14:textId="77777777" w:rsidTr="005063B4">
        <w:trPr>
          <w:trHeight w:val="300"/>
        </w:trPr>
        <w:tc>
          <w:tcPr>
            <w:tcW w:w="1654" w:type="dxa"/>
            <w:shd w:val="clear" w:color="auto" w:fill="auto"/>
            <w:noWrap/>
            <w:vAlign w:val="bottom"/>
            <w:hideMark/>
          </w:tcPr>
          <w:p w14:paraId="284C0515" w14:textId="77777777" w:rsidR="000F0982" w:rsidRPr="00141C59" w:rsidRDefault="000F0982" w:rsidP="005063B4">
            <w:pPr>
              <w:spacing w:after="0" w:line="240" w:lineRule="auto"/>
              <w:rPr>
                <w:rFonts w:ascii="Calibri" w:eastAsia="Times New Roman" w:hAnsi="Calibri" w:cs="Calibri"/>
                <w:b/>
                <w:bCs/>
                <w:color w:val="000000"/>
                <w:lang w:eastAsia="en-AU"/>
              </w:rPr>
            </w:pPr>
            <w:r w:rsidRPr="00141C59">
              <w:rPr>
                <w:rFonts w:ascii="Calibri" w:eastAsia="Times New Roman" w:hAnsi="Calibri" w:cs="Calibri"/>
                <w:b/>
                <w:bCs/>
                <w:color w:val="000000"/>
                <w:lang w:eastAsia="en-AU"/>
              </w:rPr>
              <w:t> </w:t>
            </w:r>
          </w:p>
        </w:tc>
        <w:tc>
          <w:tcPr>
            <w:tcW w:w="3296" w:type="dxa"/>
            <w:shd w:val="clear" w:color="auto" w:fill="auto"/>
            <w:noWrap/>
            <w:vAlign w:val="bottom"/>
            <w:hideMark/>
          </w:tcPr>
          <w:p w14:paraId="076BB413" w14:textId="77777777" w:rsidR="000F0982" w:rsidRPr="00141C59" w:rsidRDefault="000F0982" w:rsidP="005063B4">
            <w:pPr>
              <w:spacing w:after="0" w:line="240" w:lineRule="auto"/>
              <w:rPr>
                <w:rFonts w:ascii="Calibri" w:eastAsia="Times New Roman" w:hAnsi="Calibri" w:cs="Calibri"/>
                <w:b/>
                <w:bCs/>
                <w:color w:val="000000"/>
                <w:lang w:eastAsia="en-AU"/>
              </w:rPr>
            </w:pPr>
            <w:r w:rsidRPr="00141C59">
              <w:rPr>
                <w:rFonts w:ascii="Calibri" w:eastAsia="Times New Roman" w:hAnsi="Calibri" w:cs="Calibri"/>
                <w:b/>
                <w:bCs/>
                <w:color w:val="000000"/>
                <w:lang w:eastAsia="en-AU"/>
              </w:rPr>
              <w:t> </w:t>
            </w:r>
          </w:p>
        </w:tc>
        <w:tc>
          <w:tcPr>
            <w:tcW w:w="854" w:type="dxa"/>
            <w:shd w:val="clear" w:color="auto" w:fill="auto"/>
            <w:noWrap/>
            <w:vAlign w:val="bottom"/>
            <w:hideMark/>
          </w:tcPr>
          <w:p w14:paraId="49E7EE48" w14:textId="77777777" w:rsidR="000F0982" w:rsidRPr="00141C59" w:rsidRDefault="000F0982" w:rsidP="005063B4">
            <w:pPr>
              <w:spacing w:after="0" w:line="240" w:lineRule="auto"/>
              <w:rPr>
                <w:rFonts w:ascii="Calibri" w:eastAsia="Times New Roman" w:hAnsi="Calibri" w:cs="Calibri"/>
                <w:b/>
                <w:bCs/>
                <w:color w:val="000000"/>
                <w:lang w:eastAsia="en-AU"/>
              </w:rPr>
            </w:pPr>
            <w:r w:rsidRPr="00141C59">
              <w:rPr>
                <w:rFonts w:ascii="Calibri" w:eastAsia="Times New Roman" w:hAnsi="Calibri" w:cs="Calibri"/>
                <w:b/>
                <w:bCs/>
                <w:color w:val="000000"/>
                <w:lang w:eastAsia="en-AU"/>
              </w:rPr>
              <w:t>2017</w:t>
            </w:r>
          </w:p>
        </w:tc>
        <w:tc>
          <w:tcPr>
            <w:tcW w:w="854" w:type="dxa"/>
            <w:shd w:val="clear" w:color="auto" w:fill="auto"/>
            <w:noWrap/>
            <w:vAlign w:val="bottom"/>
            <w:hideMark/>
          </w:tcPr>
          <w:p w14:paraId="61AD0E88" w14:textId="77777777" w:rsidR="000F0982" w:rsidRPr="00141C59" w:rsidRDefault="000F0982" w:rsidP="005063B4">
            <w:pPr>
              <w:spacing w:after="0" w:line="240" w:lineRule="auto"/>
              <w:rPr>
                <w:rFonts w:ascii="Calibri" w:eastAsia="Times New Roman" w:hAnsi="Calibri" w:cs="Calibri"/>
                <w:b/>
                <w:bCs/>
                <w:color w:val="000000"/>
                <w:lang w:eastAsia="en-AU"/>
              </w:rPr>
            </w:pPr>
            <w:r w:rsidRPr="00141C59">
              <w:rPr>
                <w:rFonts w:ascii="Calibri" w:eastAsia="Times New Roman" w:hAnsi="Calibri" w:cs="Calibri"/>
                <w:b/>
                <w:bCs/>
                <w:color w:val="000000"/>
                <w:lang w:eastAsia="en-AU"/>
              </w:rPr>
              <w:t>2018</w:t>
            </w:r>
          </w:p>
        </w:tc>
        <w:tc>
          <w:tcPr>
            <w:tcW w:w="854" w:type="dxa"/>
            <w:shd w:val="clear" w:color="auto" w:fill="auto"/>
            <w:noWrap/>
            <w:vAlign w:val="bottom"/>
            <w:hideMark/>
          </w:tcPr>
          <w:p w14:paraId="47135118" w14:textId="77777777" w:rsidR="000F0982" w:rsidRPr="00141C59" w:rsidRDefault="000F0982" w:rsidP="005063B4">
            <w:pPr>
              <w:spacing w:after="0" w:line="240" w:lineRule="auto"/>
              <w:rPr>
                <w:rFonts w:ascii="Calibri" w:eastAsia="Times New Roman" w:hAnsi="Calibri" w:cs="Calibri"/>
                <w:b/>
                <w:bCs/>
                <w:color w:val="000000"/>
                <w:lang w:eastAsia="en-AU"/>
              </w:rPr>
            </w:pPr>
            <w:r w:rsidRPr="00141C59">
              <w:rPr>
                <w:rFonts w:ascii="Calibri" w:eastAsia="Times New Roman" w:hAnsi="Calibri" w:cs="Calibri"/>
                <w:b/>
                <w:bCs/>
                <w:color w:val="000000"/>
                <w:lang w:eastAsia="en-AU"/>
              </w:rPr>
              <w:t>2019</w:t>
            </w:r>
          </w:p>
        </w:tc>
        <w:tc>
          <w:tcPr>
            <w:tcW w:w="854" w:type="dxa"/>
            <w:shd w:val="clear" w:color="auto" w:fill="auto"/>
            <w:noWrap/>
            <w:vAlign w:val="bottom"/>
            <w:hideMark/>
          </w:tcPr>
          <w:p w14:paraId="4B1AEFD1" w14:textId="77777777" w:rsidR="000F0982" w:rsidRPr="00141C59" w:rsidRDefault="000F0982" w:rsidP="005063B4">
            <w:pPr>
              <w:spacing w:after="0" w:line="240" w:lineRule="auto"/>
              <w:rPr>
                <w:rFonts w:ascii="Calibri" w:eastAsia="Times New Roman" w:hAnsi="Calibri" w:cs="Calibri"/>
                <w:b/>
                <w:bCs/>
                <w:color w:val="000000"/>
                <w:lang w:eastAsia="en-AU"/>
              </w:rPr>
            </w:pPr>
            <w:r w:rsidRPr="00141C59">
              <w:rPr>
                <w:rFonts w:ascii="Calibri" w:eastAsia="Times New Roman" w:hAnsi="Calibri" w:cs="Calibri"/>
                <w:b/>
                <w:bCs/>
                <w:color w:val="000000"/>
                <w:lang w:eastAsia="en-AU"/>
              </w:rPr>
              <w:t>2020</w:t>
            </w:r>
          </w:p>
        </w:tc>
        <w:tc>
          <w:tcPr>
            <w:tcW w:w="985" w:type="dxa"/>
            <w:vAlign w:val="bottom"/>
          </w:tcPr>
          <w:p w14:paraId="636F068E" w14:textId="77777777" w:rsidR="000F0982" w:rsidRPr="00B8154C" w:rsidRDefault="000F0982" w:rsidP="005063B4">
            <w:pPr>
              <w:spacing w:after="0" w:line="240" w:lineRule="auto"/>
              <w:rPr>
                <w:rFonts w:ascii="Calibri" w:eastAsia="Times New Roman" w:hAnsi="Calibri" w:cs="Calibri"/>
                <w:b/>
                <w:bCs/>
                <w:color w:val="000000"/>
                <w:lang w:eastAsia="en-AU"/>
              </w:rPr>
            </w:pPr>
            <w:r w:rsidRPr="00B8154C">
              <w:rPr>
                <w:rFonts w:ascii="Calibri" w:eastAsia="Times New Roman" w:hAnsi="Calibri" w:cs="Calibri"/>
                <w:b/>
                <w:bCs/>
                <w:color w:val="000000"/>
                <w:lang w:eastAsia="en-AU"/>
              </w:rPr>
              <w:t>2021</w:t>
            </w:r>
          </w:p>
        </w:tc>
      </w:tr>
      <w:tr w:rsidR="000F0982" w:rsidRPr="00141C59" w14:paraId="66EAF75C" w14:textId="77777777" w:rsidTr="005063B4">
        <w:trPr>
          <w:trHeight w:val="300"/>
        </w:trPr>
        <w:tc>
          <w:tcPr>
            <w:tcW w:w="1654" w:type="dxa"/>
            <w:vMerge w:val="restart"/>
            <w:shd w:val="clear" w:color="auto" w:fill="auto"/>
            <w:noWrap/>
            <w:vAlign w:val="bottom"/>
            <w:hideMark/>
          </w:tcPr>
          <w:p w14:paraId="0EE84D66" w14:textId="77777777" w:rsidR="000F0982" w:rsidRPr="00141C59" w:rsidRDefault="000F0982" w:rsidP="005063B4">
            <w:pPr>
              <w:spacing w:after="0" w:line="240" w:lineRule="auto"/>
              <w:rPr>
                <w:rFonts w:ascii="Calibri" w:eastAsia="Times New Roman" w:hAnsi="Calibri" w:cs="Calibri"/>
                <w:b/>
                <w:bCs/>
                <w:color w:val="000000"/>
                <w:lang w:eastAsia="en-AU"/>
              </w:rPr>
            </w:pPr>
            <w:r w:rsidRPr="00141C59">
              <w:rPr>
                <w:rFonts w:ascii="Calibri" w:eastAsia="Times New Roman" w:hAnsi="Calibri" w:cs="Calibri"/>
                <w:b/>
                <w:bCs/>
                <w:color w:val="000000"/>
                <w:lang w:eastAsia="en-AU"/>
              </w:rPr>
              <w:t>In Education or Training</w:t>
            </w:r>
          </w:p>
          <w:p w14:paraId="00EDEA85" w14:textId="77777777" w:rsidR="000F0982" w:rsidRPr="00141C59" w:rsidRDefault="000F0982" w:rsidP="005063B4">
            <w:pPr>
              <w:spacing w:after="0" w:line="240" w:lineRule="auto"/>
              <w:rPr>
                <w:rFonts w:ascii="Calibri" w:eastAsia="Times New Roman" w:hAnsi="Calibri" w:cs="Calibri"/>
                <w:b/>
                <w:bCs/>
                <w:color w:val="000000"/>
                <w:lang w:eastAsia="en-AU"/>
              </w:rPr>
            </w:pPr>
            <w:r w:rsidRPr="00141C59">
              <w:rPr>
                <w:rFonts w:ascii="Calibri" w:eastAsia="Times New Roman" w:hAnsi="Calibri" w:cs="Calibri"/>
                <w:b/>
                <w:bCs/>
                <w:color w:val="000000"/>
                <w:lang w:eastAsia="en-AU"/>
              </w:rPr>
              <w:t> </w:t>
            </w:r>
          </w:p>
          <w:p w14:paraId="424AA717" w14:textId="77777777" w:rsidR="000F0982" w:rsidRPr="00141C59" w:rsidRDefault="000F0982" w:rsidP="005063B4">
            <w:pPr>
              <w:spacing w:after="0" w:line="240" w:lineRule="auto"/>
              <w:rPr>
                <w:rFonts w:ascii="Calibri" w:eastAsia="Times New Roman" w:hAnsi="Calibri" w:cs="Calibri"/>
                <w:b/>
                <w:bCs/>
                <w:color w:val="000000"/>
                <w:lang w:eastAsia="en-AU"/>
              </w:rPr>
            </w:pPr>
            <w:r w:rsidRPr="00141C59">
              <w:rPr>
                <w:rFonts w:ascii="Calibri" w:eastAsia="Times New Roman" w:hAnsi="Calibri" w:cs="Calibri"/>
                <w:b/>
                <w:bCs/>
                <w:color w:val="000000"/>
                <w:lang w:eastAsia="en-AU"/>
              </w:rPr>
              <w:t> </w:t>
            </w:r>
          </w:p>
        </w:tc>
        <w:tc>
          <w:tcPr>
            <w:tcW w:w="3296" w:type="dxa"/>
            <w:shd w:val="clear" w:color="auto" w:fill="auto"/>
            <w:noWrap/>
            <w:vAlign w:val="bottom"/>
            <w:hideMark/>
          </w:tcPr>
          <w:p w14:paraId="44F8EEBB" w14:textId="77777777" w:rsidR="000F0982" w:rsidRPr="00141C59" w:rsidRDefault="000F0982" w:rsidP="005063B4">
            <w:pPr>
              <w:spacing w:after="0" w:line="240" w:lineRule="auto"/>
              <w:rPr>
                <w:rFonts w:ascii="Calibri" w:eastAsia="Times New Roman" w:hAnsi="Calibri" w:cs="Calibri"/>
                <w:b/>
                <w:bCs/>
                <w:color w:val="000000"/>
                <w:lang w:eastAsia="en-AU"/>
              </w:rPr>
            </w:pPr>
            <w:r w:rsidRPr="00141C59">
              <w:rPr>
                <w:rFonts w:ascii="Calibri" w:eastAsia="Times New Roman" w:hAnsi="Calibri" w:cs="Calibri"/>
                <w:b/>
                <w:bCs/>
                <w:color w:val="000000"/>
                <w:lang w:eastAsia="en-AU"/>
              </w:rPr>
              <w:t>Apprenticeship/traineeship</w:t>
            </w:r>
          </w:p>
        </w:tc>
        <w:tc>
          <w:tcPr>
            <w:tcW w:w="854" w:type="dxa"/>
            <w:shd w:val="clear" w:color="auto" w:fill="auto"/>
            <w:noWrap/>
            <w:vAlign w:val="bottom"/>
            <w:hideMark/>
          </w:tcPr>
          <w:p w14:paraId="1CEB44EB" w14:textId="77777777" w:rsidR="000F0982" w:rsidRPr="00141C59" w:rsidRDefault="000F0982" w:rsidP="005063B4">
            <w:pPr>
              <w:spacing w:after="0" w:line="240" w:lineRule="auto"/>
              <w:jc w:val="right"/>
              <w:rPr>
                <w:rFonts w:ascii="Calibri" w:eastAsia="Times New Roman" w:hAnsi="Calibri" w:cs="Calibri"/>
                <w:color w:val="000000"/>
                <w:lang w:eastAsia="en-AU"/>
              </w:rPr>
            </w:pPr>
            <w:r w:rsidRPr="00141C59">
              <w:rPr>
                <w:rFonts w:ascii="Calibri" w:eastAsia="Times New Roman" w:hAnsi="Calibri" w:cs="Calibri"/>
                <w:color w:val="000000"/>
                <w:lang w:eastAsia="en-AU"/>
              </w:rPr>
              <w:t>17.4%</w:t>
            </w:r>
          </w:p>
        </w:tc>
        <w:tc>
          <w:tcPr>
            <w:tcW w:w="854" w:type="dxa"/>
            <w:shd w:val="clear" w:color="auto" w:fill="auto"/>
            <w:noWrap/>
            <w:vAlign w:val="bottom"/>
            <w:hideMark/>
          </w:tcPr>
          <w:p w14:paraId="08BF9BB4" w14:textId="77777777" w:rsidR="000F0982" w:rsidRPr="00141C59" w:rsidRDefault="000F0982" w:rsidP="005063B4">
            <w:pPr>
              <w:spacing w:after="0" w:line="240" w:lineRule="auto"/>
              <w:jc w:val="right"/>
              <w:rPr>
                <w:rFonts w:ascii="Calibri" w:eastAsia="Times New Roman" w:hAnsi="Calibri" w:cs="Calibri"/>
                <w:color w:val="000000"/>
                <w:lang w:eastAsia="en-AU"/>
              </w:rPr>
            </w:pPr>
            <w:r w:rsidRPr="00141C59">
              <w:rPr>
                <w:rFonts w:ascii="Calibri" w:eastAsia="Times New Roman" w:hAnsi="Calibri" w:cs="Calibri"/>
                <w:color w:val="000000"/>
                <w:lang w:eastAsia="en-AU"/>
              </w:rPr>
              <w:t>15.5%</w:t>
            </w:r>
          </w:p>
        </w:tc>
        <w:tc>
          <w:tcPr>
            <w:tcW w:w="854" w:type="dxa"/>
            <w:shd w:val="clear" w:color="auto" w:fill="auto"/>
            <w:noWrap/>
            <w:vAlign w:val="bottom"/>
            <w:hideMark/>
          </w:tcPr>
          <w:p w14:paraId="39C501F0" w14:textId="77777777" w:rsidR="000F0982" w:rsidRPr="00141C59" w:rsidRDefault="000F0982" w:rsidP="005063B4">
            <w:pPr>
              <w:spacing w:after="0" w:line="240" w:lineRule="auto"/>
              <w:jc w:val="right"/>
              <w:rPr>
                <w:rFonts w:ascii="Calibri" w:eastAsia="Times New Roman" w:hAnsi="Calibri" w:cs="Calibri"/>
                <w:color w:val="000000"/>
                <w:lang w:eastAsia="en-AU"/>
              </w:rPr>
            </w:pPr>
            <w:r w:rsidRPr="00141C59">
              <w:rPr>
                <w:rFonts w:ascii="Calibri" w:eastAsia="Times New Roman" w:hAnsi="Calibri" w:cs="Calibri"/>
                <w:color w:val="000000"/>
                <w:lang w:eastAsia="en-AU"/>
              </w:rPr>
              <w:t>17.3%</w:t>
            </w:r>
          </w:p>
        </w:tc>
        <w:tc>
          <w:tcPr>
            <w:tcW w:w="854" w:type="dxa"/>
            <w:shd w:val="clear" w:color="auto" w:fill="auto"/>
            <w:noWrap/>
            <w:vAlign w:val="bottom"/>
            <w:hideMark/>
          </w:tcPr>
          <w:p w14:paraId="55E81AD8" w14:textId="77777777" w:rsidR="000F0982" w:rsidRPr="00141C59" w:rsidRDefault="000F0982" w:rsidP="005063B4">
            <w:pPr>
              <w:spacing w:after="0" w:line="240" w:lineRule="auto"/>
              <w:jc w:val="right"/>
              <w:rPr>
                <w:rFonts w:ascii="Calibri" w:eastAsia="Times New Roman" w:hAnsi="Calibri" w:cs="Calibri"/>
                <w:color w:val="000000"/>
                <w:lang w:eastAsia="en-AU"/>
              </w:rPr>
            </w:pPr>
            <w:r w:rsidRPr="00141C59">
              <w:rPr>
                <w:rFonts w:ascii="Calibri" w:eastAsia="Times New Roman" w:hAnsi="Calibri" w:cs="Calibri"/>
                <w:color w:val="000000"/>
                <w:lang w:eastAsia="en-AU"/>
              </w:rPr>
              <w:t>16.4%</w:t>
            </w:r>
          </w:p>
        </w:tc>
        <w:tc>
          <w:tcPr>
            <w:tcW w:w="985" w:type="dxa"/>
            <w:vAlign w:val="bottom"/>
          </w:tcPr>
          <w:p w14:paraId="445AB553" w14:textId="77777777" w:rsidR="000F0982" w:rsidRPr="00B8154C" w:rsidRDefault="000F0982" w:rsidP="005063B4">
            <w:pPr>
              <w:spacing w:after="0" w:line="240" w:lineRule="auto"/>
              <w:jc w:val="right"/>
              <w:rPr>
                <w:rFonts w:ascii="Calibri" w:eastAsia="Times New Roman" w:hAnsi="Calibri" w:cs="Calibri"/>
                <w:color w:val="000000"/>
                <w:lang w:eastAsia="en-AU"/>
              </w:rPr>
            </w:pPr>
            <w:r w:rsidRPr="00B8154C">
              <w:rPr>
                <w:rFonts w:ascii="Calibri" w:eastAsia="Times New Roman" w:hAnsi="Calibri" w:cs="Calibri"/>
                <w:color w:val="000000"/>
                <w:lang w:eastAsia="en-AU"/>
              </w:rPr>
              <w:t>19.7%</w:t>
            </w:r>
          </w:p>
        </w:tc>
      </w:tr>
      <w:tr w:rsidR="000F0982" w:rsidRPr="00141C59" w14:paraId="2B9F7DE0" w14:textId="77777777" w:rsidTr="005063B4">
        <w:trPr>
          <w:trHeight w:val="300"/>
        </w:trPr>
        <w:tc>
          <w:tcPr>
            <w:tcW w:w="1654" w:type="dxa"/>
            <w:vMerge/>
            <w:shd w:val="clear" w:color="auto" w:fill="auto"/>
            <w:noWrap/>
            <w:vAlign w:val="bottom"/>
            <w:hideMark/>
          </w:tcPr>
          <w:p w14:paraId="5F2065D4" w14:textId="77777777" w:rsidR="000F0982" w:rsidRPr="00141C59" w:rsidRDefault="000F0982" w:rsidP="005063B4">
            <w:pPr>
              <w:spacing w:after="0" w:line="240" w:lineRule="auto"/>
              <w:rPr>
                <w:rFonts w:ascii="Calibri" w:eastAsia="Times New Roman" w:hAnsi="Calibri" w:cs="Calibri"/>
                <w:b/>
                <w:bCs/>
                <w:color w:val="000000"/>
                <w:lang w:eastAsia="en-AU"/>
              </w:rPr>
            </w:pPr>
          </w:p>
        </w:tc>
        <w:tc>
          <w:tcPr>
            <w:tcW w:w="3296" w:type="dxa"/>
            <w:shd w:val="clear" w:color="auto" w:fill="auto"/>
            <w:noWrap/>
            <w:vAlign w:val="bottom"/>
            <w:hideMark/>
          </w:tcPr>
          <w:p w14:paraId="78EF54F2" w14:textId="77777777" w:rsidR="000F0982" w:rsidRPr="00141C59" w:rsidRDefault="000F0982" w:rsidP="005063B4">
            <w:pPr>
              <w:spacing w:after="0" w:line="240" w:lineRule="auto"/>
              <w:rPr>
                <w:rFonts w:ascii="Calibri" w:eastAsia="Times New Roman" w:hAnsi="Calibri" w:cs="Calibri"/>
                <w:b/>
                <w:bCs/>
                <w:color w:val="000000"/>
                <w:lang w:eastAsia="en-AU"/>
              </w:rPr>
            </w:pPr>
            <w:r w:rsidRPr="00141C59">
              <w:rPr>
                <w:rFonts w:ascii="Calibri" w:eastAsia="Times New Roman" w:hAnsi="Calibri" w:cs="Calibri"/>
                <w:b/>
                <w:bCs/>
                <w:color w:val="000000"/>
                <w:lang w:eastAsia="en-AU"/>
              </w:rPr>
              <w:t>Bachelor degree</w:t>
            </w:r>
          </w:p>
        </w:tc>
        <w:tc>
          <w:tcPr>
            <w:tcW w:w="854" w:type="dxa"/>
            <w:shd w:val="clear" w:color="auto" w:fill="auto"/>
            <w:noWrap/>
            <w:vAlign w:val="bottom"/>
            <w:hideMark/>
          </w:tcPr>
          <w:p w14:paraId="109ACD71" w14:textId="77777777" w:rsidR="000F0982" w:rsidRPr="00141C59" w:rsidRDefault="000F0982" w:rsidP="005063B4">
            <w:pPr>
              <w:spacing w:after="0" w:line="240" w:lineRule="auto"/>
              <w:jc w:val="right"/>
              <w:rPr>
                <w:rFonts w:ascii="Calibri" w:eastAsia="Times New Roman" w:hAnsi="Calibri" w:cs="Calibri"/>
                <w:color w:val="000000"/>
                <w:lang w:eastAsia="en-AU"/>
              </w:rPr>
            </w:pPr>
            <w:r w:rsidRPr="00141C59">
              <w:rPr>
                <w:rFonts w:ascii="Calibri" w:eastAsia="Times New Roman" w:hAnsi="Calibri" w:cs="Calibri"/>
                <w:color w:val="000000"/>
                <w:lang w:eastAsia="en-AU"/>
              </w:rPr>
              <w:t>27.7%</w:t>
            </w:r>
          </w:p>
        </w:tc>
        <w:tc>
          <w:tcPr>
            <w:tcW w:w="854" w:type="dxa"/>
            <w:shd w:val="clear" w:color="auto" w:fill="auto"/>
            <w:noWrap/>
            <w:vAlign w:val="bottom"/>
            <w:hideMark/>
          </w:tcPr>
          <w:p w14:paraId="1DC80F8A" w14:textId="77777777" w:rsidR="000F0982" w:rsidRPr="00141C59" w:rsidRDefault="000F0982" w:rsidP="005063B4">
            <w:pPr>
              <w:spacing w:after="0" w:line="240" w:lineRule="auto"/>
              <w:jc w:val="right"/>
              <w:rPr>
                <w:rFonts w:ascii="Calibri" w:eastAsia="Times New Roman" w:hAnsi="Calibri" w:cs="Calibri"/>
                <w:color w:val="000000"/>
                <w:lang w:eastAsia="en-AU"/>
              </w:rPr>
            </w:pPr>
            <w:r w:rsidRPr="00141C59">
              <w:rPr>
                <w:rFonts w:ascii="Calibri" w:eastAsia="Times New Roman" w:hAnsi="Calibri" w:cs="Calibri"/>
                <w:color w:val="000000"/>
                <w:lang w:eastAsia="en-AU"/>
              </w:rPr>
              <w:t>32.9%</w:t>
            </w:r>
          </w:p>
        </w:tc>
        <w:tc>
          <w:tcPr>
            <w:tcW w:w="854" w:type="dxa"/>
            <w:shd w:val="clear" w:color="auto" w:fill="auto"/>
            <w:noWrap/>
            <w:vAlign w:val="bottom"/>
            <w:hideMark/>
          </w:tcPr>
          <w:p w14:paraId="1F08F069" w14:textId="77777777" w:rsidR="000F0982" w:rsidRPr="00141C59" w:rsidRDefault="000F0982" w:rsidP="005063B4">
            <w:pPr>
              <w:spacing w:after="0" w:line="240" w:lineRule="auto"/>
              <w:jc w:val="right"/>
              <w:rPr>
                <w:rFonts w:ascii="Calibri" w:eastAsia="Times New Roman" w:hAnsi="Calibri" w:cs="Calibri"/>
                <w:color w:val="000000"/>
                <w:lang w:eastAsia="en-AU"/>
              </w:rPr>
            </w:pPr>
            <w:r w:rsidRPr="00141C59">
              <w:rPr>
                <w:rFonts w:ascii="Calibri" w:eastAsia="Times New Roman" w:hAnsi="Calibri" w:cs="Calibri"/>
                <w:color w:val="000000"/>
                <w:lang w:eastAsia="en-AU"/>
              </w:rPr>
              <w:t>29.8%</w:t>
            </w:r>
          </w:p>
        </w:tc>
        <w:tc>
          <w:tcPr>
            <w:tcW w:w="854" w:type="dxa"/>
            <w:shd w:val="clear" w:color="auto" w:fill="auto"/>
            <w:noWrap/>
            <w:vAlign w:val="bottom"/>
            <w:hideMark/>
          </w:tcPr>
          <w:p w14:paraId="34FBA65D" w14:textId="77777777" w:rsidR="000F0982" w:rsidRPr="00141C59" w:rsidRDefault="000F0982" w:rsidP="005063B4">
            <w:pPr>
              <w:spacing w:after="0" w:line="240" w:lineRule="auto"/>
              <w:jc w:val="right"/>
              <w:rPr>
                <w:rFonts w:ascii="Calibri" w:eastAsia="Times New Roman" w:hAnsi="Calibri" w:cs="Calibri"/>
                <w:color w:val="000000"/>
                <w:lang w:eastAsia="en-AU"/>
              </w:rPr>
            </w:pPr>
            <w:r w:rsidRPr="00141C59">
              <w:rPr>
                <w:rFonts w:ascii="Calibri" w:eastAsia="Times New Roman" w:hAnsi="Calibri" w:cs="Calibri"/>
                <w:color w:val="000000"/>
                <w:lang w:eastAsia="en-AU"/>
              </w:rPr>
              <w:t>32.5%</w:t>
            </w:r>
          </w:p>
        </w:tc>
        <w:tc>
          <w:tcPr>
            <w:tcW w:w="985" w:type="dxa"/>
            <w:vAlign w:val="bottom"/>
          </w:tcPr>
          <w:p w14:paraId="352A1CCC" w14:textId="77777777" w:rsidR="000F0982" w:rsidRPr="00B8154C" w:rsidRDefault="000F0982" w:rsidP="005063B4">
            <w:pPr>
              <w:spacing w:after="0" w:line="240" w:lineRule="auto"/>
              <w:jc w:val="right"/>
              <w:rPr>
                <w:rFonts w:ascii="Calibri" w:eastAsia="Times New Roman" w:hAnsi="Calibri" w:cs="Calibri"/>
                <w:color w:val="000000"/>
                <w:lang w:eastAsia="en-AU"/>
              </w:rPr>
            </w:pPr>
            <w:r w:rsidRPr="00B8154C">
              <w:rPr>
                <w:rFonts w:ascii="Calibri" w:eastAsia="Times New Roman" w:hAnsi="Calibri" w:cs="Calibri"/>
                <w:color w:val="000000"/>
                <w:lang w:eastAsia="en-AU"/>
              </w:rPr>
              <w:t>31.8%</w:t>
            </w:r>
          </w:p>
        </w:tc>
      </w:tr>
      <w:tr w:rsidR="000F0982" w:rsidRPr="00141C59" w14:paraId="27D1119C" w14:textId="77777777" w:rsidTr="005063B4">
        <w:trPr>
          <w:trHeight w:val="300"/>
        </w:trPr>
        <w:tc>
          <w:tcPr>
            <w:tcW w:w="1654" w:type="dxa"/>
            <w:vMerge/>
            <w:shd w:val="clear" w:color="auto" w:fill="auto"/>
            <w:noWrap/>
            <w:vAlign w:val="bottom"/>
            <w:hideMark/>
          </w:tcPr>
          <w:p w14:paraId="20ACC3F5" w14:textId="77777777" w:rsidR="000F0982" w:rsidRPr="00141C59" w:rsidRDefault="000F0982" w:rsidP="005063B4">
            <w:pPr>
              <w:spacing w:after="0" w:line="240" w:lineRule="auto"/>
              <w:rPr>
                <w:rFonts w:ascii="Calibri" w:eastAsia="Times New Roman" w:hAnsi="Calibri" w:cs="Calibri"/>
                <w:b/>
                <w:bCs/>
                <w:color w:val="000000"/>
                <w:lang w:eastAsia="en-AU"/>
              </w:rPr>
            </w:pPr>
          </w:p>
        </w:tc>
        <w:tc>
          <w:tcPr>
            <w:tcW w:w="3296" w:type="dxa"/>
            <w:shd w:val="clear" w:color="auto" w:fill="auto"/>
            <w:noWrap/>
            <w:vAlign w:val="bottom"/>
            <w:hideMark/>
          </w:tcPr>
          <w:p w14:paraId="1EE64FB8" w14:textId="77777777" w:rsidR="000F0982" w:rsidRPr="00141C59" w:rsidRDefault="000F0982" w:rsidP="005063B4">
            <w:pPr>
              <w:spacing w:after="0" w:line="240" w:lineRule="auto"/>
              <w:rPr>
                <w:rFonts w:ascii="Calibri" w:eastAsia="Times New Roman" w:hAnsi="Calibri" w:cs="Calibri"/>
                <w:b/>
                <w:bCs/>
                <w:color w:val="000000"/>
                <w:lang w:eastAsia="en-AU"/>
              </w:rPr>
            </w:pPr>
            <w:r w:rsidRPr="00141C59">
              <w:rPr>
                <w:rFonts w:ascii="Calibri" w:eastAsia="Times New Roman" w:hAnsi="Calibri" w:cs="Calibri"/>
                <w:b/>
                <w:bCs/>
                <w:color w:val="000000"/>
                <w:lang w:eastAsia="en-AU"/>
              </w:rPr>
              <w:t>Certificates/diplomas</w:t>
            </w:r>
          </w:p>
        </w:tc>
        <w:tc>
          <w:tcPr>
            <w:tcW w:w="854" w:type="dxa"/>
            <w:shd w:val="clear" w:color="auto" w:fill="auto"/>
            <w:noWrap/>
            <w:vAlign w:val="bottom"/>
            <w:hideMark/>
          </w:tcPr>
          <w:p w14:paraId="048D04CA" w14:textId="77777777" w:rsidR="000F0982" w:rsidRPr="00141C59" w:rsidRDefault="000F0982" w:rsidP="005063B4">
            <w:pPr>
              <w:spacing w:after="0" w:line="240" w:lineRule="auto"/>
              <w:jc w:val="right"/>
              <w:rPr>
                <w:rFonts w:ascii="Calibri" w:eastAsia="Times New Roman" w:hAnsi="Calibri" w:cs="Calibri"/>
                <w:color w:val="000000"/>
                <w:lang w:eastAsia="en-AU"/>
              </w:rPr>
            </w:pPr>
            <w:r w:rsidRPr="00141C59">
              <w:rPr>
                <w:rFonts w:ascii="Calibri" w:eastAsia="Times New Roman" w:hAnsi="Calibri" w:cs="Calibri"/>
                <w:color w:val="000000"/>
                <w:lang w:eastAsia="en-AU"/>
              </w:rPr>
              <w:t>12.9%</w:t>
            </w:r>
          </w:p>
        </w:tc>
        <w:tc>
          <w:tcPr>
            <w:tcW w:w="854" w:type="dxa"/>
            <w:shd w:val="clear" w:color="auto" w:fill="auto"/>
            <w:noWrap/>
            <w:vAlign w:val="bottom"/>
            <w:hideMark/>
          </w:tcPr>
          <w:p w14:paraId="30FD5CAD" w14:textId="77777777" w:rsidR="000F0982" w:rsidRPr="00141C59" w:rsidRDefault="000F0982" w:rsidP="005063B4">
            <w:pPr>
              <w:spacing w:after="0" w:line="240" w:lineRule="auto"/>
              <w:jc w:val="right"/>
              <w:rPr>
                <w:rFonts w:ascii="Calibri" w:eastAsia="Times New Roman" w:hAnsi="Calibri" w:cs="Calibri"/>
                <w:color w:val="000000"/>
                <w:lang w:eastAsia="en-AU"/>
              </w:rPr>
            </w:pPr>
            <w:r w:rsidRPr="00141C59">
              <w:rPr>
                <w:rFonts w:ascii="Calibri" w:eastAsia="Times New Roman" w:hAnsi="Calibri" w:cs="Calibri"/>
                <w:color w:val="000000"/>
                <w:lang w:eastAsia="en-AU"/>
              </w:rPr>
              <w:t>16.8%</w:t>
            </w:r>
          </w:p>
        </w:tc>
        <w:tc>
          <w:tcPr>
            <w:tcW w:w="854" w:type="dxa"/>
            <w:shd w:val="clear" w:color="auto" w:fill="auto"/>
            <w:noWrap/>
            <w:vAlign w:val="bottom"/>
            <w:hideMark/>
          </w:tcPr>
          <w:p w14:paraId="02D92188" w14:textId="77777777" w:rsidR="000F0982" w:rsidRPr="00141C59" w:rsidRDefault="000F0982" w:rsidP="005063B4">
            <w:pPr>
              <w:spacing w:after="0" w:line="240" w:lineRule="auto"/>
              <w:jc w:val="right"/>
              <w:rPr>
                <w:rFonts w:ascii="Calibri" w:eastAsia="Times New Roman" w:hAnsi="Calibri" w:cs="Calibri"/>
                <w:color w:val="000000"/>
                <w:lang w:eastAsia="en-AU"/>
              </w:rPr>
            </w:pPr>
            <w:r w:rsidRPr="00141C59">
              <w:rPr>
                <w:rFonts w:ascii="Calibri" w:eastAsia="Times New Roman" w:hAnsi="Calibri" w:cs="Calibri"/>
                <w:color w:val="000000"/>
                <w:lang w:eastAsia="en-AU"/>
              </w:rPr>
              <w:t>15.7%</w:t>
            </w:r>
          </w:p>
        </w:tc>
        <w:tc>
          <w:tcPr>
            <w:tcW w:w="854" w:type="dxa"/>
            <w:shd w:val="clear" w:color="auto" w:fill="auto"/>
            <w:noWrap/>
            <w:vAlign w:val="bottom"/>
            <w:hideMark/>
          </w:tcPr>
          <w:p w14:paraId="5EE81939" w14:textId="77777777" w:rsidR="000F0982" w:rsidRPr="00141C59" w:rsidRDefault="000F0982" w:rsidP="005063B4">
            <w:pPr>
              <w:spacing w:after="0" w:line="240" w:lineRule="auto"/>
              <w:jc w:val="right"/>
              <w:rPr>
                <w:rFonts w:ascii="Calibri" w:eastAsia="Times New Roman" w:hAnsi="Calibri" w:cs="Calibri"/>
                <w:color w:val="000000"/>
                <w:lang w:eastAsia="en-AU"/>
              </w:rPr>
            </w:pPr>
            <w:r w:rsidRPr="00141C59">
              <w:rPr>
                <w:rFonts w:ascii="Calibri" w:eastAsia="Times New Roman" w:hAnsi="Calibri" w:cs="Calibri"/>
                <w:color w:val="000000"/>
                <w:lang w:eastAsia="en-AU"/>
              </w:rPr>
              <w:t>13.9%</w:t>
            </w:r>
          </w:p>
        </w:tc>
        <w:tc>
          <w:tcPr>
            <w:tcW w:w="985" w:type="dxa"/>
            <w:vAlign w:val="bottom"/>
          </w:tcPr>
          <w:p w14:paraId="091C901B" w14:textId="77777777" w:rsidR="000F0982" w:rsidRPr="00B8154C" w:rsidRDefault="000F0982" w:rsidP="005063B4">
            <w:pPr>
              <w:spacing w:after="0" w:line="240" w:lineRule="auto"/>
              <w:jc w:val="right"/>
              <w:rPr>
                <w:rFonts w:ascii="Calibri" w:eastAsia="Times New Roman" w:hAnsi="Calibri" w:cs="Calibri"/>
                <w:color w:val="000000"/>
                <w:lang w:eastAsia="en-AU"/>
              </w:rPr>
            </w:pPr>
            <w:r w:rsidRPr="00B8154C">
              <w:rPr>
                <w:rFonts w:ascii="Calibri" w:eastAsia="Times New Roman" w:hAnsi="Calibri" w:cs="Calibri"/>
                <w:color w:val="000000"/>
                <w:lang w:eastAsia="en-AU"/>
              </w:rPr>
              <w:t>12.4%</w:t>
            </w:r>
          </w:p>
        </w:tc>
      </w:tr>
      <w:tr w:rsidR="000F0982" w:rsidRPr="00141C59" w14:paraId="1CA8336F" w14:textId="77777777" w:rsidTr="005063B4">
        <w:trPr>
          <w:trHeight w:val="300"/>
        </w:trPr>
        <w:tc>
          <w:tcPr>
            <w:tcW w:w="1654" w:type="dxa"/>
            <w:vMerge w:val="restart"/>
            <w:shd w:val="clear" w:color="auto" w:fill="auto"/>
            <w:noWrap/>
            <w:vAlign w:val="bottom"/>
            <w:hideMark/>
          </w:tcPr>
          <w:p w14:paraId="1A9D512F" w14:textId="77777777" w:rsidR="000F0982" w:rsidRPr="00141C59" w:rsidRDefault="000F0982" w:rsidP="005063B4">
            <w:pPr>
              <w:spacing w:after="0" w:line="240" w:lineRule="auto"/>
              <w:rPr>
                <w:rFonts w:ascii="Calibri" w:eastAsia="Times New Roman" w:hAnsi="Calibri" w:cs="Calibri"/>
                <w:b/>
                <w:bCs/>
                <w:color w:val="000000"/>
                <w:lang w:eastAsia="en-AU"/>
              </w:rPr>
            </w:pPr>
            <w:r w:rsidRPr="00141C59">
              <w:rPr>
                <w:rFonts w:ascii="Calibri" w:eastAsia="Times New Roman" w:hAnsi="Calibri" w:cs="Calibri"/>
                <w:b/>
                <w:bCs/>
                <w:color w:val="000000"/>
                <w:lang w:eastAsia="en-AU"/>
              </w:rPr>
              <w:t>Not in Education or Training</w:t>
            </w:r>
          </w:p>
          <w:p w14:paraId="204044CE" w14:textId="77777777" w:rsidR="000F0982" w:rsidRPr="00141C59" w:rsidRDefault="000F0982" w:rsidP="005063B4">
            <w:pPr>
              <w:spacing w:after="0" w:line="240" w:lineRule="auto"/>
              <w:rPr>
                <w:rFonts w:ascii="Calibri" w:eastAsia="Times New Roman" w:hAnsi="Calibri" w:cs="Calibri"/>
                <w:b/>
                <w:bCs/>
                <w:color w:val="000000"/>
                <w:lang w:eastAsia="en-AU"/>
              </w:rPr>
            </w:pPr>
            <w:r w:rsidRPr="00141C59">
              <w:rPr>
                <w:rFonts w:ascii="Calibri" w:eastAsia="Times New Roman" w:hAnsi="Calibri" w:cs="Calibri"/>
                <w:b/>
                <w:bCs/>
                <w:color w:val="000000"/>
                <w:lang w:eastAsia="en-AU"/>
              </w:rPr>
              <w:t> </w:t>
            </w:r>
          </w:p>
          <w:p w14:paraId="5C9C464F" w14:textId="77777777" w:rsidR="000F0982" w:rsidRPr="00141C59" w:rsidRDefault="000F0982" w:rsidP="005063B4">
            <w:pPr>
              <w:spacing w:after="0" w:line="240" w:lineRule="auto"/>
              <w:rPr>
                <w:rFonts w:ascii="Calibri" w:eastAsia="Times New Roman" w:hAnsi="Calibri" w:cs="Calibri"/>
                <w:b/>
                <w:bCs/>
                <w:color w:val="000000"/>
                <w:lang w:eastAsia="en-AU"/>
              </w:rPr>
            </w:pPr>
            <w:r w:rsidRPr="00141C59">
              <w:rPr>
                <w:rFonts w:ascii="Calibri" w:eastAsia="Times New Roman" w:hAnsi="Calibri" w:cs="Calibri"/>
                <w:b/>
                <w:bCs/>
                <w:color w:val="000000"/>
                <w:lang w:eastAsia="en-AU"/>
              </w:rPr>
              <w:t> </w:t>
            </w:r>
          </w:p>
        </w:tc>
        <w:tc>
          <w:tcPr>
            <w:tcW w:w="3296" w:type="dxa"/>
            <w:shd w:val="clear" w:color="auto" w:fill="auto"/>
            <w:noWrap/>
            <w:vAlign w:val="bottom"/>
            <w:hideMark/>
          </w:tcPr>
          <w:p w14:paraId="72423CBB" w14:textId="77777777" w:rsidR="000F0982" w:rsidRPr="00141C59" w:rsidRDefault="000F0982" w:rsidP="005063B4">
            <w:pPr>
              <w:spacing w:after="0" w:line="240" w:lineRule="auto"/>
              <w:rPr>
                <w:rFonts w:ascii="Calibri" w:eastAsia="Times New Roman" w:hAnsi="Calibri" w:cs="Calibri"/>
                <w:b/>
                <w:bCs/>
                <w:color w:val="000000"/>
                <w:lang w:eastAsia="en-AU"/>
              </w:rPr>
            </w:pPr>
            <w:r w:rsidRPr="00141C59">
              <w:rPr>
                <w:rFonts w:ascii="Calibri" w:eastAsia="Times New Roman" w:hAnsi="Calibri" w:cs="Calibri"/>
                <w:b/>
                <w:bCs/>
                <w:color w:val="000000"/>
                <w:lang w:eastAsia="en-AU"/>
              </w:rPr>
              <w:t>Employed</w:t>
            </w:r>
          </w:p>
        </w:tc>
        <w:tc>
          <w:tcPr>
            <w:tcW w:w="854" w:type="dxa"/>
            <w:shd w:val="clear" w:color="auto" w:fill="auto"/>
            <w:noWrap/>
            <w:vAlign w:val="bottom"/>
            <w:hideMark/>
          </w:tcPr>
          <w:p w14:paraId="7220D1AF" w14:textId="77777777" w:rsidR="000F0982" w:rsidRPr="00141C59" w:rsidRDefault="000F0982" w:rsidP="005063B4">
            <w:pPr>
              <w:spacing w:after="0" w:line="240" w:lineRule="auto"/>
              <w:jc w:val="right"/>
              <w:rPr>
                <w:rFonts w:ascii="Calibri" w:eastAsia="Times New Roman" w:hAnsi="Calibri" w:cs="Calibri"/>
                <w:color w:val="000000"/>
                <w:lang w:eastAsia="en-AU"/>
              </w:rPr>
            </w:pPr>
            <w:r w:rsidRPr="00141C59">
              <w:rPr>
                <w:rFonts w:ascii="Calibri" w:eastAsia="Times New Roman" w:hAnsi="Calibri" w:cs="Calibri"/>
                <w:color w:val="000000"/>
                <w:lang w:eastAsia="en-AU"/>
              </w:rPr>
              <w:t>27.7%</w:t>
            </w:r>
          </w:p>
        </w:tc>
        <w:tc>
          <w:tcPr>
            <w:tcW w:w="854" w:type="dxa"/>
            <w:shd w:val="clear" w:color="auto" w:fill="auto"/>
            <w:noWrap/>
            <w:vAlign w:val="bottom"/>
            <w:hideMark/>
          </w:tcPr>
          <w:p w14:paraId="70191B3C" w14:textId="77777777" w:rsidR="000F0982" w:rsidRPr="00141C59" w:rsidRDefault="000F0982" w:rsidP="005063B4">
            <w:pPr>
              <w:spacing w:after="0" w:line="240" w:lineRule="auto"/>
              <w:jc w:val="right"/>
              <w:rPr>
                <w:rFonts w:ascii="Calibri" w:eastAsia="Times New Roman" w:hAnsi="Calibri" w:cs="Calibri"/>
                <w:color w:val="000000"/>
                <w:lang w:eastAsia="en-AU"/>
              </w:rPr>
            </w:pPr>
            <w:r w:rsidRPr="00141C59">
              <w:rPr>
                <w:rFonts w:ascii="Calibri" w:eastAsia="Times New Roman" w:hAnsi="Calibri" w:cs="Calibri"/>
                <w:color w:val="000000"/>
                <w:lang w:eastAsia="en-AU"/>
              </w:rPr>
              <w:t>24.7%</w:t>
            </w:r>
          </w:p>
        </w:tc>
        <w:tc>
          <w:tcPr>
            <w:tcW w:w="854" w:type="dxa"/>
            <w:shd w:val="clear" w:color="auto" w:fill="auto"/>
            <w:noWrap/>
            <w:vAlign w:val="bottom"/>
            <w:hideMark/>
          </w:tcPr>
          <w:p w14:paraId="0E36C5F6" w14:textId="77777777" w:rsidR="000F0982" w:rsidRPr="00141C59" w:rsidRDefault="000F0982" w:rsidP="005063B4">
            <w:pPr>
              <w:spacing w:after="0" w:line="240" w:lineRule="auto"/>
              <w:jc w:val="right"/>
              <w:rPr>
                <w:rFonts w:ascii="Calibri" w:eastAsia="Times New Roman" w:hAnsi="Calibri" w:cs="Calibri"/>
                <w:color w:val="000000"/>
                <w:lang w:eastAsia="en-AU"/>
              </w:rPr>
            </w:pPr>
            <w:r w:rsidRPr="00141C59">
              <w:rPr>
                <w:rFonts w:ascii="Calibri" w:eastAsia="Times New Roman" w:hAnsi="Calibri" w:cs="Calibri"/>
                <w:color w:val="000000"/>
                <w:lang w:eastAsia="en-AU"/>
              </w:rPr>
              <w:t>29.2%</w:t>
            </w:r>
          </w:p>
        </w:tc>
        <w:tc>
          <w:tcPr>
            <w:tcW w:w="854" w:type="dxa"/>
            <w:shd w:val="clear" w:color="auto" w:fill="auto"/>
            <w:noWrap/>
            <w:vAlign w:val="bottom"/>
            <w:hideMark/>
          </w:tcPr>
          <w:p w14:paraId="665516E7" w14:textId="77777777" w:rsidR="000F0982" w:rsidRPr="00141C59" w:rsidRDefault="000F0982" w:rsidP="005063B4">
            <w:pPr>
              <w:spacing w:after="0" w:line="240" w:lineRule="auto"/>
              <w:jc w:val="right"/>
              <w:rPr>
                <w:rFonts w:ascii="Calibri" w:eastAsia="Times New Roman" w:hAnsi="Calibri" w:cs="Calibri"/>
                <w:color w:val="000000"/>
                <w:lang w:eastAsia="en-AU"/>
              </w:rPr>
            </w:pPr>
            <w:r w:rsidRPr="00141C59">
              <w:rPr>
                <w:rFonts w:ascii="Calibri" w:eastAsia="Times New Roman" w:hAnsi="Calibri" w:cs="Calibri"/>
                <w:color w:val="000000"/>
                <w:lang w:eastAsia="en-AU"/>
              </w:rPr>
              <w:t>23.2%</w:t>
            </w:r>
          </w:p>
        </w:tc>
        <w:tc>
          <w:tcPr>
            <w:tcW w:w="985" w:type="dxa"/>
            <w:vAlign w:val="bottom"/>
          </w:tcPr>
          <w:p w14:paraId="695C8005" w14:textId="77777777" w:rsidR="000F0982" w:rsidRPr="00B8154C" w:rsidRDefault="000F0982" w:rsidP="005063B4">
            <w:pPr>
              <w:spacing w:after="0" w:line="240" w:lineRule="auto"/>
              <w:jc w:val="right"/>
              <w:rPr>
                <w:rFonts w:ascii="Calibri" w:eastAsia="Times New Roman" w:hAnsi="Calibri" w:cs="Calibri"/>
                <w:color w:val="000000"/>
                <w:lang w:eastAsia="en-AU"/>
              </w:rPr>
            </w:pPr>
            <w:r w:rsidRPr="00B8154C">
              <w:rPr>
                <w:rFonts w:ascii="Calibri" w:eastAsia="Times New Roman" w:hAnsi="Calibri" w:cs="Calibri"/>
                <w:color w:val="000000"/>
                <w:lang w:eastAsia="en-AU"/>
              </w:rPr>
              <w:t>23.1%</w:t>
            </w:r>
          </w:p>
        </w:tc>
      </w:tr>
      <w:tr w:rsidR="000F0982" w:rsidRPr="00141C59" w14:paraId="120BB471" w14:textId="77777777" w:rsidTr="005063B4">
        <w:trPr>
          <w:trHeight w:val="300"/>
        </w:trPr>
        <w:tc>
          <w:tcPr>
            <w:tcW w:w="1654" w:type="dxa"/>
            <w:vMerge/>
            <w:shd w:val="clear" w:color="auto" w:fill="auto"/>
            <w:noWrap/>
            <w:vAlign w:val="bottom"/>
            <w:hideMark/>
          </w:tcPr>
          <w:p w14:paraId="7BC9E736" w14:textId="77777777" w:rsidR="000F0982" w:rsidRPr="00141C59" w:rsidRDefault="000F0982" w:rsidP="005063B4">
            <w:pPr>
              <w:spacing w:after="0" w:line="240" w:lineRule="auto"/>
              <w:rPr>
                <w:rFonts w:ascii="Calibri" w:eastAsia="Times New Roman" w:hAnsi="Calibri" w:cs="Calibri"/>
                <w:b/>
                <w:bCs/>
                <w:color w:val="000000"/>
                <w:lang w:eastAsia="en-AU"/>
              </w:rPr>
            </w:pPr>
          </w:p>
        </w:tc>
        <w:tc>
          <w:tcPr>
            <w:tcW w:w="3296" w:type="dxa"/>
            <w:shd w:val="clear" w:color="auto" w:fill="auto"/>
            <w:noWrap/>
            <w:vAlign w:val="bottom"/>
            <w:hideMark/>
          </w:tcPr>
          <w:p w14:paraId="0BB8042C" w14:textId="77777777" w:rsidR="000F0982" w:rsidRPr="00141C59" w:rsidRDefault="000F0982" w:rsidP="005063B4">
            <w:pPr>
              <w:spacing w:after="0" w:line="240" w:lineRule="auto"/>
              <w:rPr>
                <w:rFonts w:ascii="Calibri" w:eastAsia="Times New Roman" w:hAnsi="Calibri" w:cs="Calibri"/>
                <w:b/>
                <w:bCs/>
                <w:color w:val="000000"/>
                <w:lang w:eastAsia="en-AU"/>
              </w:rPr>
            </w:pPr>
            <w:r w:rsidRPr="00141C59">
              <w:rPr>
                <w:rFonts w:ascii="Calibri" w:eastAsia="Times New Roman" w:hAnsi="Calibri" w:cs="Calibri"/>
                <w:b/>
                <w:bCs/>
                <w:color w:val="000000"/>
                <w:lang w:eastAsia="en-AU"/>
              </w:rPr>
              <w:t>Looking for work</w:t>
            </w:r>
          </w:p>
        </w:tc>
        <w:tc>
          <w:tcPr>
            <w:tcW w:w="854" w:type="dxa"/>
            <w:shd w:val="clear" w:color="auto" w:fill="auto"/>
            <w:noWrap/>
            <w:vAlign w:val="bottom"/>
            <w:hideMark/>
          </w:tcPr>
          <w:p w14:paraId="2D84C1B6" w14:textId="77777777" w:rsidR="000F0982" w:rsidRPr="00141C59" w:rsidRDefault="000F0982" w:rsidP="005063B4">
            <w:pPr>
              <w:spacing w:after="0" w:line="240" w:lineRule="auto"/>
              <w:jc w:val="right"/>
              <w:rPr>
                <w:rFonts w:ascii="Calibri" w:eastAsia="Times New Roman" w:hAnsi="Calibri" w:cs="Calibri"/>
                <w:color w:val="000000"/>
                <w:lang w:eastAsia="en-AU"/>
              </w:rPr>
            </w:pPr>
            <w:r w:rsidRPr="00141C59">
              <w:rPr>
                <w:rFonts w:ascii="Calibri" w:eastAsia="Times New Roman" w:hAnsi="Calibri" w:cs="Calibri"/>
                <w:color w:val="000000"/>
                <w:lang w:eastAsia="en-AU"/>
              </w:rPr>
              <w:t>11.6%</w:t>
            </w:r>
          </w:p>
        </w:tc>
        <w:tc>
          <w:tcPr>
            <w:tcW w:w="854" w:type="dxa"/>
            <w:shd w:val="clear" w:color="auto" w:fill="auto"/>
            <w:noWrap/>
            <w:vAlign w:val="bottom"/>
            <w:hideMark/>
          </w:tcPr>
          <w:p w14:paraId="59081FA8" w14:textId="77777777" w:rsidR="000F0982" w:rsidRPr="00141C59" w:rsidRDefault="000F0982" w:rsidP="005063B4">
            <w:pPr>
              <w:spacing w:after="0" w:line="240" w:lineRule="auto"/>
              <w:jc w:val="right"/>
              <w:rPr>
                <w:rFonts w:ascii="Calibri" w:eastAsia="Times New Roman" w:hAnsi="Calibri" w:cs="Calibri"/>
                <w:color w:val="000000"/>
                <w:lang w:eastAsia="en-AU"/>
              </w:rPr>
            </w:pPr>
            <w:r w:rsidRPr="00141C59">
              <w:rPr>
                <w:rFonts w:ascii="Calibri" w:eastAsia="Times New Roman" w:hAnsi="Calibri" w:cs="Calibri"/>
                <w:color w:val="000000"/>
                <w:lang w:eastAsia="en-AU"/>
              </w:rPr>
              <w:t>9.2%</w:t>
            </w:r>
          </w:p>
        </w:tc>
        <w:tc>
          <w:tcPr>
            <w:tcW w:w="854" w:type="dxa"/>
            <w:shd w:val="clear" w:color="auto" w:fill="auto"/>
            <w:noWrap/>
            <w:vAlign w:val="bottom"/>
            <w:hideMark/>
          </w:tcPr>
          <w:p w14:paraId="27B3673E" w14:textId="77777777" w:rsidR="000F0982" w:rsidRPr="00141C59" w:rsidRDefault="000F0982" w:rsidP="005063B4">
            <w:pPr>
              <w:spacing w:after="0" w:line="240" w:lineRule="auto"/>
              <w:jc w:val="right"/>
              <w:rPr>
                <w:rFonts w:ascii="Calibri" w:eastAsia="Times New Roman" w:hAnsi="Calibri" w:cs="Calibri"/>
                <w:color w:val="000000"/>
                <w:lang w:eastAsia="en-AU"/>
              </w:rPr>
            </w:pPr>
            <w:r w:rsidRPr="00141C59">
              <w:rPr>
                <w:rFonts w:ascii="Calibri" w:eastAsia="Times New Roman" w:hAnsi="Calibri" w:cs="Calibri"/>
                <w:color w:val="000000"/>
                <w:lang w:eastAsia="en-AU"/>
              </w:rPr>
              <w:t>7.4%</w:t>
            </w:r>
          </w:p>
        </w:tc>
        <w:tc>
          <w:tcPr>
            <w:tcW w:w="854" w:type="dxa"/>
            <w:shd w:val="clear" w:color="auto" w:fill="auto"/>
            <w:noWrap/>
            <w:vAlign w:val="bottom"/>
            <w:hideMark/>
          </w:tcPr>
          <w:p w14:paraId="288C8EFD" w14:textId="77777777" w:rsidR="000F0982" w:rsidRPr="00141C59" w:rsidRDefault="000F0982" w:rsidP="005063B4">
            <w:pPr>
              <w:spacing w:after="0" w:line="240" w:lineRule="auto"/>
              <w:jc w:val="right"/>
              <w:rPr>
                <w:rFonts w:ascii="Calibri" w:eastAsia="Times New Roman" w:hAnsi="Calibri" w:cs="Calibri"/>
                <w:color w:val="000000"/>
                <w:lang w:eastAsia="en-AU"/>
              </w:rPr>
            </w:pPr>
            <w:r w:rsidRPr="00141C59">
              <w:rPr>
                <w:rFonts w:ascii="Calibri" w:eastAsia="Times New Roman" w:hAnsi="Calibri" w:cs="Calibri"/>
                <w:color w:val="000000"/>
                <w:lang w:eastAsia="en-AU"/>
              </w:rPr>
              <w:t>12.1%</w:t>
            </w:r>
          </w:p>
        </w:tc>
        <w:tc>
          <w:tcPr>
            <w:tcW w:w="985" w:type="dxa"/>
            <w:vAlign w:val="bottom"/>
          </w:tcPr>
          <w:p w14:paraId="3356551B" w14:textId="77777777" w:rsidR="000F0982" w:rsidRPr="00B8154C" w:rsidRDefault="000F0982" w:rsidP="005063B4">
            <w:pPr>
              <w:spacing w:after="0" w:line="240" w:lineRule="auto"/>
              <w:jc w:val="right"/>
              <w:rPr>
                <w:rFonts w:ascii="Calibri" w:eastAsia="Times New Roman" w:hAnsi="Calibri" w:cs="Calibri"/>
                <w:color w:val="000000"/>
                <w:lang w:eastAsia="en-AU"/>
              </w:rPr>
            </w:pPr>
            <w:r w:rsidRPr="00B8154C">
              <w:rPr>
                <w:rFonts w:ascii="Calibri" w:eastAsia="Times New Roman" w:hAnsi="Calibri" w:cs="Calibri"/>
                <w:color w:val="000000"/>
                <w:lang w:eastAsia="en-AU"/>
              </w:rPr>
              <w:t>10.4%</w:t>
            </w:r>
          </w:p>
        </w:tc>
      </w:tr>
      <w:tr w:rsidR="000F0982" w:rsidRPr="00141C59" w14:paraId="47377952" w14:textId="77777777" w:rsidTr="005063B4">
        <w:trPr>
          <w:trHeight w:val="300"/>
        </w:trPr>
        <w:tc>
          <w:tcPr>
            <w:tcW w:w="1654" w:type="dxa"/>
            <w:vMerge/>
            <w:shd w:val="clear" w:color="auto" w:fill="auto"/>
            <w:noWrap/>
            <w:vAlign w:val="bottom"/>
            <w:hideMark/>
          </w:tcPr>
          <w:p w14:paraId="66161F67" w14:textId="77777777" w:rsidR="000F0982" w:rsidRPr="00141C59" w:rsidRDefault="000F0982" w:rsidP="005063B4">
            <w:pPr>
              <w:spacing w:after="0" w:line="240" w:lineRule="auto"/>
              <w:rPr>
                <w:rFonts w:ascii="Calibri" w:eastAsia="Times New Roman" w:hAnsi="Calibri" w:cs="Calibri"/>
                <w:b/>
                <w:bCs/>
                <w:color w:val="000000"/>
                <w:lang w:eastAsia="en-AU"/>
              </w:rPr>
            </w:pPr>
          </w:p>
        </w:tc>
        <w:tc>
          <w:tcPr>
            <w:tcW w:w="3296" w:type="dxa"/>
            <w:shd w:val="clear" w:color="auto" w:fill="auto"/>
            <w:noWrap/>
            <w:vAlign w:val="bottom"/>
            <w:hideMark/>
          </w:tcPr>
          <w:p w14:paraId="79BF8FC7" w14:textId="77777777" w:rsidR="000F0982" w:rsidRPr="00141C59" w:rsidRDefault="000F0982" w:rsidP="005063B4">
            <w:pPr>
              <w:spacing w:after="0" w:line="240" w:lineRule="auto"/>
              <w:rPr>
                <w:rFonts w:ascii="Calibri" w:eastAsia="Times New Roman" w:hAnsi="Calibri" w:cs="Calibri"/>
                <w:b/>
                <w:bCs/>
                <w:color w:val="000000"/>
                <w:lang w:eastAsia="en-AU"/>
              </w:rPr>
            </w:pPr>
            <w:r w:rsidRPr="00141C59">
              <w:rPr>
                <w:rFonts w:ascii="Calibri" w:eastAsia="Times New Roman" w:hAnsi="Calibri" w:cs="Calibri"/>
                <w:b/>
                <w:bCs/>
                <w:color w:val="000000"/>
                <w:lang w:eastAsia="en-AU"/>
              </w:rPr>
              <w:t>NILFET</w:t>
            </w:r>
          </w:p>
        </w:tc>
        <w:tc>
          <w:tcPr>
            <w:tcW w:w="854" w:type="dxa"/>
            <w:shd w:val="clear" w:color="auto" w:fill="auto"/>
            <w:noWrap/>
            <w:vAlign w:val="bottom"/>
            <w:hideMark/>
          </w:tcPr>
          <w:p w14:paraId="44FBAB92" w14:textId="77777777" w:rsidR="000F0982" w:rsidRPr="00141C59" w:rsidRDefault="000F0982" w:rsidP="005063B4">
            <w:pPr>
              <w:spacing w:after="0" w:line="240" w:lineRule="auto"/>
              <w:jc w:val="right"/>
              <w:rPr>
                <w:rFonts w:ascii="Calibri" w:eastAsia="Times New Roman" w:hAnsi="Calibri" w:cs="Calibri"/>
                <w:color w:val="000000"/>
                <w:lang w:eastAsia="en-AU"/>
              </w:rPr>
            </w:pPr>
            <w:r w:rsidRPr="00141C59">
              <w:rPr>
                <w:rFonts w:ascii="Calibri" w:eastAsia="Times New Roman" w:hAnsi="Calibri" w:cs="Calibri"/>
                <w:color w:val="000000"/>
                <w:lang w:eastAsia="en-AU"/>
              </w:rPr>
              <w:t>2.6%</w:t>
            </w:r>
          </w:p>
        </w:tc>
        <w:tc>
          <w:tcPr>
            <w:tcW w:w="854" w:type="dxa"/>
            <w:shd w:val="clear" w:color="auto" w:fill="auto"/>
            <w:noWrap/>
            <w:vAlign w:val="bottom"/>
            <w:hideMark/>
          </w:tcPr>
          <w:p w14:paraId="05F1D7A2" w14:textId="77777777" w:rsidR="000F0982" w:rsidRPr="00141C59" w:rsidRDefault="000F0982" w:rsidP="005063B4">
            <w:pPr>
              <w:spacing w:after="0" w:line="240" w:lineRule="auto"/>
              <w:jc w:val="right"/>
              <w:rPr>
                <w:rFonts w:ascii="Calibri" w:eastAsia="Times New Roman" w:hAnsi="Calibri" w:cs="Calibri"/>
                <w:color w:val="000000"/>
                <w:lang w:eastAsia="en-AU"/>
              </w:rPr>
            </w:pPr>
            <w:r w:rsidRPr="00141C59">
              <w:rPr>
                <w:rFonts w:ascii="Calibri" w:eastAsia="Times New Roman" w:hAnsi="Calibri" w:cs="Calibri"/>
                <w:color w:val="000000"/>
                <w:lang w:eastAsia="en-AU"/>
              </w:rPr>
              <w:t>0.9%</w:t>
            </w:r>
          </w:p>
        </w:tc>
        <w:tc>
          <w:tcPr>
            <w:tcW w:w="854" w:type="dxa"/>
            <w:shd w:val="clear" w:color="auto" w:fill="auto"/>
            <w:noWrap/>
            <w:vAlign w:val="bottom"/>
            <w:hideMark/>
          </w:tcPr>
          <w:p w14:paraId="29EA224B" w14:textId="77777777" w:rsidR="000F0982" w:rsidRPr="00141C59" w:rsidRDefault="000F0982" w:rsidP="005063B4">
            <w:pPr>
              <w:spacing w:after="0" w:line="240" w:lineRule="auto"/>
              <w:jc w:val="right"/>
              <w:rPr>
                <w:rFonts w:ascii="Calibri" w:eastAsia="Times New Roman" w:hAnsi="Calibri" w:cs="Calibri"/>
                <w:color w:val="000000"/>
                <w:lang w:eastAsia="en-AU"/>
              </w:rPr>
            </w:pPr>
            <w:r w:rsidRPr="00141C59">
              <w:rPr>
                <w:rFonts w:ascii="Calibri" w:eastAsia="Times New Roman" w:hAnsi="Calibri" w:cs="Calibri"/>
                <w:color w:val="000000"/>
                <w:lang w:eastAsia="en-AU"/>
              </w:rPr>
              <w:t>0.6%</w:t>
            </w:r>
          </w:p>
        </w:tc>
        <w:tc>
          <w:tcPr>
            <w:tcW w:w="854" w:type="dxa"/>
            <w:shd w:val="clear" w:color="auto" w:fill="auto"/>
            <w:noWrap/>
            <w:vAlign w:val="bottom"/>
            <w:hideMark/>
          </w:tcPr>
          <w:p w14:paraId="163252D1" w14:textId="77777777" w:rsidR="000F0982" w:rsidRPr="00141C59" w:rsidRDefault="000F0982" w:rsidP="005063B4">
            <w:pPr>
              <w:spacing w:after="0" w:line="240" w:lineRule="auto"/>
              <w:jc w:val="right"/>
              <w:rPr>
                <w:rFonts w:ascii="Calibri" w:eastAsia="Times New Roman" w:hAnsi="Calibri" w:cs="Calibri"/>
                <w:color w:val="000000"/>
                <w:lang w:eastAsia="en-AU"/>
              </w:rPr>
            </w:pPr>
            <w:r w:rsidRPr="00141C59">
              <w:rPr>
                <w:rFonts w:ascii="Calibri" w:eastAsia="Times New Roman" w:hAnsi="Calibri" w:cs="Calibri"/>
                <w:color w:val="000000"/>
                <w:lang w:eastAsia="en-AU"/>
              </w:rPr>
              <w:t>1.9%</w:t>
            </w:r>
          </w:p>
        </w:tc>
        <w:tc>
          <w:tcPr>
            <w:tcW w:w="985" w:type="dxa"/>
            <w:vAlign w:val="bottom"/>
          </w:tcPr>
          <w:p w14:paraId="239FDEEA" w14:textId="77777777" w:rsidR="000F0982" w:rsidRPr="00B8154C" w:rsidRDefault="000F0982" w:rsidP="005063B4">
            <w:pPr>
              <w:spacing w:after="0" w:line="240" w:lineRule="auto"/>
              <w:jc w:val="right"/>
              <w:rPr>
                <w:rFonts w:ascii="Calibri" w:eastAsia="Times New Roman" w:hAnsi="Calibri" w:cs="Calibri"/>
                <w:color w:val="000000"/>
                <w:lang w:eastAsia="en-AU"/>
              </w:rPr>
            </w:pPr>
            <w:r w:rsidRPr="00B8154C">
              <w:rPr>
                <w:rFonts w:ascii="Calibri" w:eastAsia="Times New Roman" w:hAnsi="Calibri" w:cs="Calibri"/>
                <w:color w:val="000000"/>
                <w:lang w:eastAsia="en-AU"/>
              </w:rPr>
              <w:t>2.5%</w:t>
            </w:r>
          </w:p>
        </w:tc>
      </w:tr>
    </w:tbl>
    <w:p w14:paraId="23BBE0A1" w14:textId="77777777" w:rsidR="000F0982" w:rsidRDefault="000F0982" w:rsidP="00D44B7E">
      <w:pPr>
        <w:spacing w:after="0" w:line="240" w:lineRule="auto"/>
        <w:rPr>
          <w:rFonts w:eastAsia="Times New Roman" w:cstheme="minorHAnsi"/>
          <w:i/>
        </w:rPr>
      </w:pPr>
    </w:p>
    <w:p w14:paraId="41FF0597" w14:textId="0251402C" w:rsidR="00F74AAE" w:rsidRPr="008674D5" w:rsidRDefault="0047253E" w:rsidP="000B72FA">
      <w:pPr>
        <w:pStyle w:val="Heading1"/>
      </w:pPr>
      <w:r w:rsidRPr="008674D5">
        <w:t>P</w:t>
      </w:r>
      <w:r w:rsidR="007C2837" w:rsidRPr="008674D5">
        <w:t xml:space="preserve">erceptions of careers </w:t>
      </w:r>
      <w:r w:rsidRPr="008674D5">
        <w:t xml:space="preserve">advice and </w:t>
      </w:r>
      <w:r w:rsidR="007C2837" w:rsidRPr="008674D5">
        <w:t xml:space="preserve">education </w:t>
      </w:r>
      <w:r w:rsidRPr="008674D5">
        <w:t>vary for Year 12 completers and non-completers</w:t>
      </w:r>
    </w:p>
    <w:p w14:paraId="7B5D9FEF" w14:textId="79A474A0" w:rsidR="00E20E51" w:rsidRDefault="005E028E" w:rsidP="000B72FA">
      <w:pPr>
        <w:spacing w:after="120" w:line="240" w:lineRule="auto"/>
        <w:rPr>
          <w:rFonts w:cstheme="minorHAnsi"/>
        </w:rPr>
      </w:pPr>
      <w:r>
        <w:rPr>
          <w:rFonts w:cstheme="minorHAnsi"/>
        </w:rPr>
        <w:t>Y</w:t>
      </w:r>
      <w:r w:rsidR="005E6ADC" w:rsidRPr="005E6ADC">
        <w:rPr>
          <w:rFonts w:cstheme="minorHAnsi"/>
        </w:rPr>
        <w:t xml:space="preserve">oung people who completed Year 12 </w:t>
      </w:r>
      <w:r>
        <w:rPr>
          <w:rFonts w:cstheme="minorHAnsi"/>
        </w:rPr>
        <w:t>in 20</w:t>
      </w:r>
      <w:r w:rsidR="00A6088F">
        <w:rPr>
          <w:rFonts w:cstheme="minorHAnsi"/>
        </w:rPr>
        <w:t>20</w:t>
      </w:r>
      <w:r>
        <w:rPr>
          <w:rFonts w:cstheme="minorHAnsi"/>
        </w:rPr>
        <w:t xml:space="preserve"> </w:t>
      </w:r>
      <w:r w:rsidR="005E6ADC" w:rsidRPr="005E6ADC">
        <w:rPr>
          <w:rFonts w:cstheme="minorHAnsi"/>
        </w:rPr>
        <w:t xml:space="preserve">found careers advice more useful </w:t>
      </w:r>
      <w:r w:rsidR="00370D0A">
        <w:rPr>
          <w:rFonts w:cstheme="minorHAnsi"/>
        </w:rPr>
        <w:t xml:space="preserve">than non-completers overall </w:t>
      </w:r>
      <w:r w:rsidR="00370D0A" w:rsidRPr="00355D4C">
        <w:rPr>
          <w:rFonts w:cstheme="minorHAnsi"/>
        </w:rPr>
        <w:t>(</w:t>
      </w:r>
      <w:r w:rsidR="00355D4C" w:rsidRPr="00355D4C">
        <w:rPr>
          <w:rFonts w:cstheme="minorHAnsi"/>
        </w:rPr>
        <w:t>73</w:t>
      </w:r>
      <w:r w:rsidR="009369C2" w:rsidRPr="00355D4C">
        <w:rPr>
          <w:rFonts w:cstheme="minorHAnsi"/>
        </w:rPr>
        <w:t xml:space="preserve"> </w:t>
      </w:r>
      <w:r w:rsidR="005E6ADC" w:rsidRPr="00355D4C">
        <w:rPr>
          <w:rFonts w:cstheme="minorHAnsi"/>
        </w:rPr>
        <w:t>per cent of completers reporting somewha</w:t>
      </w:r>
      <w:r w:rsidR="00370D0A" w:rsidRPr="00355D4C">
        <w:rPr>
          <w:rFonts w:cstheme="minorHAnsi"/>
        </w:rPr>
        <w:t xml:space="preserve">t/very useful compared with </w:t>
      </w:r>
      <w:r w:rsidR="00355D4C" w:rsidRPr="00355D4C">
        <w:rPr>
          <w:rFonts w:cstheme="minorHAnsi"/>
        </w:rPr>
        <w:t>56</w:t>
      </w:r>
      <w:r w:rsidR="00467AE8" w:rsidRPr="00355D4C">
        <w:rPr>
          <w:rFonts w:cstheme="minorHAnsi"/>
        </w:rPr>
        <w:t xml:space="preserve"> </w:t>
      </w:r>
      <w:r w:rsidR="005E6ADC" w:rsidRPr="00355D4C">
        <w:rPr>
          <w:rFonts w:cstheme="minorHAnsi"/>
        </w:rPr>
        <w:t>per cent of non-completers).</w:t>
      </w:r>
      <w:r w:rsidR="005E6ADC" w:rsidRPr="005E6ADC">
        <w:rPr>
          <w:rFonts w:cstheme="minorHAnsi"/>
        </w:rPr>
        <w:t xml:space="preserve"> </w:t>
      </w:r>
    </w:p>
    <w:p w14:paraId="1B5135B9" w14:textId="43293114" w:rsidR="000B44B6" w:rsidRPr="002C23AA" w:rsidRDefault="00CE3252" w:rsidP="000B72FA">
      <w:pPr>
        <w:spacing w:line="240" w:lineRule="auto"/>
        <w:rPr>
          <w:rFonts w:cstheme="minorHAnsi"/>
        </w:rPr>
      </w:pPr>
      <w:r w:rsidRPr="002C23AA">
        <w:rPr>
          <w:rFonts w:cstheme="minorHAnsi"/>
        </w:rPr>
        <w:t>Attendance or participation in career activities is mixed across the two groups. Generally speaking, higher proportions of Year 12 completers engaged with career activities</w:t>
      </w:r>
      <w:r w:rsidR="001B0BDF" w:rsidRPr="002C23AA">
        <w:rPr>
          <w:rFonts w:cstheme="minorHAnsi"/>
        </w:rPr>
        <w:t xml:space="preserve">. </w:t>
      </w:r>
    </w:p>
    <w:p w14:paraId="7C69DF40" w14:textId="2B538004" w:rsidR="005A4186" w:rsidRPr="002C23AA" w:rsidRDefault="005A4186" w:rsidP="000B72FA">
      <w:pPr>
        <w:spacing w:line="240" w:lineRule="auto"/>
        <w:rPr>
          <w:rFonts w:cstheme="minorHAnsi"/>
        </w:rPr>
      </w:pPr>
      <w:r w:rsidRPr="002C23AA">
        <w:rPr>
          <w:rFonts w:cstheme="minorHAnsi"/>
        </w:rPr>
        <w:t>The top three activities of choice for each group of students ha</w:t>
      </w:r>
      <w:r w:rsidR="00C359B2" w:rsidRPr="002C23AA">
        <w:rPr>
          <w:rFonts w:cstheme="minorHAnsi"/>
        </w:rPr>
        <w:t>ve</w:t>
      </w:r>
      <w:r w:rsidRPr="002C23AA">
        <w:rPr>
          <w:rFonts w:cstheme="minorHAnsi"/>
        </w:rPr>
        <w:t xml:space="preserve"> remained the same (albeit with some movement in ranking) over the last five years.</w:t>
      </w:r>
    </w:p>
    <w:p w14:paraId="3D62E2A9" w14:textId="77B453DD" w:rsidR="000B72FA" w:rsidRPr="002C23AA" w:rsidRDefault="000B72FA" w:rsidP="000B72FA">
      <w:pPr>
        <w:spacing w:line="240" w:lineRule="auto"/>
        <w:rPr>
          <w:rFonts w:cstheme="minorHAnsi"/>
          <w:b/>
          <w:bCs/>
        </w:rPr>
      </w:pPr>
      <w:r w:rsidRPr="002C23AA">
        <w:rPr>
          <w:rFonts w:cstheme="minorHAnsi"/>
          <w:b/>
          <w:bCs/>
        </w:rPr>
        <w:t xml:space="preserve">Year 12 completers, </w:t>
      </w:r>
      <w:r w:rsidR="00942DCB" w:rsidRPr="002C23AA">
        <w:rPr>
          <w:rFonts w:cstheme="minorHAnsi"/>
          <w:b/>
          <w:bCs/>
        </w:rPr>
        <w:t>202</w:t>
      </w:r>
      <w:r w:rsidR="00255B94" w:rsidRPr="002C23AA">
        <w:rPr>
          <w:rFonts w:cstheme="minorHAnsi"/>
          <w:b/>
          <w:bCs/>
        </w:rPr>
        <w:t>1</w:t>
      </w:r>
    </w:p>
    <w:p w14:paraId="2FBEB82A" w14:textId="45D32AF5" w:rsidR="000B72FA" w:rsidRPr="002C23AA" w:rsidRDefault="000B72FA" w:rsidP="000B72FA">
      <w:pPr>
        <w:pStyle w:val="ListParagraph"/>
        <w:numPr>
          <w:ilvl w:val="0"/>
          <w:numId w:val="15"/>
        </w:numPr>
        <w:spacing w:line="240" w:lineRule="auto"/>
        <w:rPr>
          <w:rFonts w:cstheme="minorHAnsi"/>
          <w:b/>
          <w:bCs/>
        </w:rPr>
      </w:pPr>
      <w:r w:rsidRPr="002C23AA">
        <w:rPr>
          <w:rFonts w:cstheme="minorHAnsi"/>
        </w:rPr>
        <w:t xml:space="preserve">Have a one-on-one talk with the school’s career advisor: </w:t>
      </w:r>
      <w:r w:rsidR="00157946" w:rsidRPr="002C23AA">
        <w:rPr>
          <w:rFonts w:cstheme="minorHAnsi"/>
        </w:rPr>
        <w:t>8</w:t>
      </w:r>
      <w:r w:rsidR="00B72B24" w:rsidRPr="002C23AA">
        <w:rPr>
          <w:rFonts w:cstheme="minorHAnsi"/>
        </w:rPr>
        <w:t>2</w:t>
      </w:r>
      <w:r w:rsidR="00C433DF">
        <w:rPr>
          <w:rFonts w:cstheme="minorHAnsi"/>
        </w:rPr>
        <w:t>%</w:t>
      </w:r>
    </w:p>
    <w:p w14:paraId="62F47D1E" w14:textId="6A6DCC79" w:rsidR="00B22D9D" w:rsidRPr="002C23AA" w:rsidRDefault="00B22D9D" w:rsidP="00B22D9D">
      <w:pPr>
        <w:pStyle w:val="ListParagraph"/>
        <w:numPr>
          <w:ilvl w:val="0"/>
          <w:numId w:val="15"/>
        </w:numPr>
        <w:spacing w:line="240" w:lineRule="auto"/>
        <w:rPr>
          <w:rFonts w:cstheme="minorHAnsi"/>
        </w:rPr>
      </w:pPr>
      <w:r w:rsidRPr="002C23AA">
        <w:rPr>
          <w:rFonts w:cstheme="minorHAnsi"/>
        </w:rPr>
        <w:t xml:space="preserve">Search on-line for career options at school: </w:t>
      </w:r>
      <w:r w:rsidR="002C23AA" w:rsidRPr="002C23AA">
        <w:rPr>
          <w:rFonts w:cstheme="minorHAnsi"/>
        </w:rPr>
        <w:t>78</w:t>
      </w:r>
      <w:r w:rsidR="00C433DF">
        <w:rPr>
          <w:rFonts w:cstheme="minorHAnsi"/>
        </w:rPr>
        <w:t>%</w:t>
      </w:r>
    </w:p>
    <w:p w14:paraId="0968C254" w14:textId="63EE6EE9" w:rsidR="00B22D9D" w:rsidRPr="002C23AA" w:rsidRDefault="00235932" w:rsidP="00B22D9D">
      <w:pPr>
        <w:pStyle w:val="ListParagraph"/>
        <w:numPr>
          <w:ilvl w:val="0"/>
          <w:numId w:val="15"/>
        </w:numPr>
        <w:spacing w:line="240" w:lineRule="auto"/>
        <w:rPr>
          <w:rFonts w:cstheme="minorHAnsi"/>
        </w:rPr>
      </w:pPr>
      <w:r>
        <w:rPr>
          <w:rFonts w:cstheme="minorHAnsi"/>
        </w:rPr>
        <w:t xml:space="preserve">Identify careers that match your interests / </w:t>
      </w:r>
      <w:r w:rsidR="00B22D9D" w:rsidRPr="002C23AA">
        <w:rPr>
          <w:rFonts w:cstheme="minorHAnsi"/>
        </w:rPr>
        <w:t>Receive written material about career and study options: 7</w:t>
      </w:r>
      <w:r w:rsidR="002C23AA" w:rsidRPr="002C23AA">
        <w:rPr>
          <w:rFonts w:cstheme="minorHAnsi"/>
        </w:rPr>
        <w:t>4</w:t>
      </w:r>
      <w:r w:rsidR="00C433DF">
        <w:rPr>
          <w:rFonts w:cstheme="minorHAnsi"/>
        </w:rPr>
        <w:t>%</w:t>
      </w:r>
    </w:p>
    <w:p w14:paraId="5710DA61" w14:textId="15C12443" w:rsidR="000B72FA" w:rsidRPr="008C005E" w:rsidRDefault="000B72FA" w:rsidP="000B72FA">
      <w:pPr>
        <w:spacing w:line="240" w:lineRule="auto"/>
        <w:rPr>
          <w:rFonts w:cstheme="minorHAnsi"/>
          <w:b/>
          <w:bCs/>
          <w:lang w:val="en-US"/>
        </w:rPr>
      </w:pPr>
      <w:r w:rsidRPr="008C005E">
        <w:rPr>
          <w:rFonts w:cstheme="minorHAnsi"/>
          <w:b/>
          <w:bCs/>
        </w:rPr>
        <w:t xml:space="preserve">Year 12 non-completers, </w:t>
      </w:r>
      <w:r w:rsidR="00942DCB" w:rsidRPr="008C005E">
        <w:rPr>
          <w:rFonts w:cstheme="minorHAnsi"/>
          <w:b/>
          <w:bCs/>
        </w:rPr>
        <w:t>202</w:t>
      </w:r>
      <w:r w:rsidR="00255B94" w:rsidRPr="008C005E">
        <w:rPr>
          <w:rFonts w:cstheme="minorHAnsi"/>
          <w:b/>
          <w:bCs/>
        </w:rPr>
        <w:t>1</w:t>
      </w:r>
    </w:p>
    <w:p w14:paraId="73B5C848" w14:textId="51F07886" w:rsidR="00DE0C40" w:rsidRPr="008C005E" w:rsidRDefault="00DE0C40" w:rsidP="00DE0C40">
      <w:pPr>
        <w:pStyle w:val="ListParagraph"/>
        <w:numPr>
          <w:ilvl w:val="0"/>
          <w:numId w:val="15"/>
        </w:numPr>
        <w:spacing w:line="240" w:lineRule="auto"/>
        <w:rPr>
          <w:rFonts w:cstheme="minorHAnsi"/>
          <w:b/>
          <w:bCs/>
        </w:rPr>
      </w:pPr>
      <w:r w:rsidRPr="008C005E">
        <w:rPr>
          <w:rFonts w:cstheme="minorHAnsi"/>
        </w:rPr>
        <w:t>Have a one-on-one talk with the school’s career advisor: 6</w:t>
      </w:r>
      <w:r w:rsidR="00F34A99" w:rsidRPr="008C005E">
        <w:rPr>
          <w:rFonts w:cstheme="minorHAnsi"/>
        </w:rPr>
        <w:t>7</w:t>
      </w:r>
      <w:r w:rsidR="00C433DF">
        <w:rPr>
          <w:rFonts w:cstheme="minorHAnsi"/>
        </w:rPr>
        <w:t>%</w:t>
      </w:r>
    </w:p>
    <w:p w14:paraId="7A2452E0" w14:textId="05C174A6" w:rsidR="00DE0C40" w:rsidRPr="008C005E" w:rsidRDefault="00DE0C40" w:rsidP="00DE0C40">
      <w:pPr>
        <w:pStyle w:val="ListParagraph"/>
        <w:numPr>
          <w:ilvl w:val="0"/>
          <w:numId w:val="15"/>
        </w:numPr>
        <w:spacing w:line="240" w:lineRule="auto"/>
        <w:rPr>
          <w:rFonts w:cstheme="minorHAnsi"/>
        </w:rPr>
      </w:pPr>
      <w:r w:rsidRPr="008C005E">
        <w:rPr>
          <w:rFonts w:cstheme="minorHAnsi"/>
        </w:rPr>
        <w:t xml:space="preserve">Search on-line for career options at school: </w:t>
      </w:r>
      <w:r w:rsidR="008C005E" w:rsidRPr="008C005E">
        <w:rPr>
          <w:rFonts w:cstheme="minorHAnsi"/>
        </w:rPr>
        <w:t>58</w:t>
      </w:r>
      <w:r w:rsidR="00C433DF">
        <w:rPr>
          <w:rFonts w:cstheme="minorHAnsi"/>
        </w:rPr>
        <w:t>%</w:t>
      </w:r>
    </w:p>
    <w:p w14:paraId="76D0DE38" w14:textId="222DCB08" w:rsidR="000B72FA" w:rsidRPr="008C005E" w:rsidRDefault="000B72FA" w:rsidP="000B72FA">
      <w:pPr>
        <w:pStyle w:val="ListParagraph"/>
        <w:numPr>
          <w:ilvl w:val="0"/>
          <w:numId w:val="15"/>
        </w:numPr>
        <w:spacing w:line="240" w:lineRule="auto"/>
        <w:rPr>
          <w:rFonts w:cstheme="minorHAnsi"/>
        </w:rPr>
      </w:pPr>
      <w:r w:rsidRPr="008C005E">
        <w:rPr>
          <w:rFonts w:cstheme="minorHAnsi"/>
        </w:rPr>
        <w:t>Receive written material about career and study options</w:t>
      </w:r>
      <w:r w:rsidR="00235932">
        <w:rPr>
          <w:rFonts w:cstheme="minorHAnsi"/>
        </w:rPr>
        <w:t xml:space="preserve"> / Identify careers that match your interests</w:t>
      </w:r>
      <w:r w:rsidRPr="008C005E">
        <w:rPr>
          <w:rFonts w:cstheme="minorHAnsi"/>
        </w:rPr>
        <w:t xml:space="preserve">: </w:t>
      </w:r>
      <w:r w:rsidR="00FC0F53" w:rsidRPr="008C005E">
        <w:rPr>
          <w:rFonts w:cstheme="minorHAnsi"/>
        </w:rPr>
        <w:t>5</w:t>
      </w:r>
      <w:r w:rsidR="008C005E" w:rsidRPr="008C005E">
        <w:rPr>
          <w:rFonts w:cstheme="minorHAnsi"/>
        </w:rPr>
        <w:t>6</w:t>
      </w:r>
      <w:r w:rsidR="00C433DF">
        <w:rPr>
          <w:rFonts w:cstheme="minorHAnsi"/>
        </w:rPr>
        <w:t>%</w:t>
      </w:r>
    </w:p>
    <w:p w14:paraId="07E0D325" w14:textId="2AB3B7D8" w:rsidR="000B72FA" w:rsidRDefault="000B72FA" w:rsidP="000B72FA">
      <w:pPr>
        <w:pStyle w:val="ListParagraph"/>
        <w:spacing w:line="240" w:lineRule="auto"/>
        <w:rPr>
          <w:rFonts w:cstheme="minorHAnsi"/>
          <w:b/>
          <w:bCs/>
        </w:rPr>
      </w:pPr>
    </w:p>
    <w:p w14:paraId="26611CEA" w14:textId="1DF87362" w:rsidR="00165FE0" w:rsidRDefault="002D4046" w:rsidP="000B72FA">
      <w:pPr>
        <w:spacing w:line="240" w:lineRule="auto"/>
        <w:rPr>
          <w:rFonts w:cstheme="minorHAnsi"/>
        </w:rPr>
      </w:pPr>
      <w:r w:rsidRPr="00BC3D4F">
        <w:rPr>
          <w:rFonts w:cstheme="minorHAnsi"/>
        </w:rPr>
        <w:t xml:space="preserve">Of those students who answered questions relating to Career Action Plans, </w:t>
      </w:r>
      <w:r w:rsidR="007F7804" w:rsidRPr="00BC3D4F">
        <w:rPr>
          <w:rFonts w:cstheme="minorHAnsi"/>
        </w:rPr>
        <w:t>49</w:t>
      </w:r>
      <w:r w:rsidR="009F26A5" w:rsidRPr="00BC3D4F" w:rsidDel="00C433DF">
        <w:rPr>
          <w:rFonts w:cstheme="minorHAnsi"/>
        </w:rPr>
        <w:t xml:space="preserve"> per cent </w:t>
      </w:r>
      <w:r w:rsidR="009F26A5" w:rsidRPr="00BC3D4F">
        <w:rPr>
          <w:rFonts w:cstheme="minorHAnsi"/>
        </w:rPr>
        <w:t>of</w:t>
      </w:r>
      <w:r w:rsidR="00165FE0" w:rsidRPr="00BC3D4F">
        <w:rPr>
          <w:rFonts w:cstheme="minorHAnsi"/>
        </w:rPr>
        <w:t xml:space="preserve"> Year 12 </w:t>
      </w:r>
      <w:r w:rsidR="007A0701" w:rsidRPr="00BC3D4F">
        <w:rPr>
          <w:rFonts w:cstheme="minorHAnsi"/>
        </w:rPr>
        <w:t>completer</w:t>
      </w:r>
      <w:r w:rsidR="00394D31" w:rsidRPr="00BC3D4F">
        <w:rPr>
          <w:rFonts w:cstheme="minorHAnsi"/>
        </w:rPr>
        <w:t>s</w:t>
      </w:r>
      <w:r w:rsidR="007A0701" w:rsidRPr="00BC3D4F">
        <w:rPr>
          <w:rFonts w:cstheme="minorHAnsi"/>
        </w:rPr>
        <w:t xml:space="preserve"> </w:t>
      </w:r>
      <w:r w:rsidR="00165FE0" w:rsidRPr="00BC3D4F">
        <w:rPr>
          <w:rFonts w:cstheme="minorHAnsi"/>
        </w:rPr>
        <w:t xml:space="preserve">and </w:t>
      </w:r>
      <w:r w:rsidR="009F26A5" w:rsidRPr="00BC3D4F">
        <w:rPr>
          <w:rFonts w:cstheme="minorHAnsi"/>
        </w:rPr>
        <w:t>43</w:t>
      </w:r>
      <w:r w:rsidR="009F26A5" w:rsidRPr="00BC3D4F" w:rsidDel="00C433DF">
        <w:rPr>
          <w:rFonts w:cstheme="minorHAnsi"/>
        </w:rPr>
        <w:t xml:space="preserve"> per cent</w:t>
      </w:r>
      <w:r w:rsidR="00394D31" w:rsidRPr="00BC3D4F" w:rsidDel="00C433DF">
        <w:rPr>
          <w:rFonts w:cstheme="minorHAnsi"/>
        </w:rPr>
        <w:t xml:space="preserve"> </w:t>
      </w:r>
      <w:r w:rsidR="00165FE0" w:rsidRPr="00BC3D4F">
        <w:rPr>
          <w:rFonts w:cstheme="minorHAnsi"/>
        </w:rPr>
        <w:t xml:space="preserve">of those students who did not complete Year 12 completed a Career Action Plan prior to the end of </w:t>
      </w:r>
      <w:r w:rsidR="00FF1B86" w:rsidRPr="00BC3D4F">
        <w:rPr>
          <w:rFonts w:cstheme="minorHAnsi"/>
        </w:rPr>
        <w:t>20</w:t>
      </w:r>
      <w:r w:rsidR="00255B94" w:rsidRPr="00BC3D4F">
        <w:rPr>
          <w:rFonts w:cstheme="minorHAnsi"/>
        </w:rPr>
        <w:t>20</w:t>
      </w:r>
      <w:r w:rsidR="00165FE0" w:rsidRPr="00BC3D4F">
        <w:rPr>
          <w:rFonts w:cstheme="minorHAnsi"/>
        </w:rPr>
        <w:t xml:space="preserve">. </w:t>
      </w:r>
      <w:r w:rsidR="006D206E" w:rsidRPr="00BC3D4F">
        <w:rPr>
          <w:rFonts w:cstheme="minorHAnsi"/>
        </w:rPr>
        <w:t>Not</w:t>
      </w:r>
      <w:r w:rsidR="00F701C1" w:rsidRPr="00BC3D4F">
        <w:rPr>
          <w:rFonts w:cstheme="minorHAnsi"/>
        </w:rPr>
        <w:t xml:space="preserve"> all students</w:t>
      </w:r>
      <w:r w:rsidR="009C548A" w:rsidRPr="00BC3D4F">
        <w:rPr>
          <w:rFonts w:cstheme="minorHAnsi"/>
        </w:rPr>
        <w:t xml:space="preserve"> </w:t>
      </w:r>
      <w:r w:rsidR="006D206E" w:rsidRPr="00BC3D4F">
        <w:rPr>
          <w:rFonts w:cstheme="minorHAnsi"/>
        </w:rPr>
        <w:t xml:space="preserve">who completed a career plan </w:t>
      </w:r>
      <w:r w:rsidR="009C548A" w:rsidRPr="00BC3D4F">
        <w:rPr>
          <w:rFonts w:cstheme="minorHAnsi"/>
        </w:rPr>
        <w:t xml:space="preserve">took a copy with them when they left school. </w:t>
      </w:r>
      <w:r w:rsidR="00A12EBD" w:rsidRPr="00BC3D4F">
        <w:rPr>
          <w:rFonts w:cstheme="minorHAnsi"/>
        </w:rPr>
        <w:t xml:space="preserve">However, </w:t>
      </w:r>
      <w:r w:rsidR="000B6E8D" w:rsidRPr="00BC3D4F">
        <w:rPr>
          <w:rFonts w:cstheme="minorHAnsi"/>
        </w:rPr>
        <w:t>over 50</w:t>
      </w:r>
      <w:r w:rsidR="000B6E8D" w:rsidRPr="00BC3D4F" w:rsidDel="00C433DF">
        <w:rPr>
          <w:rFonts w:cstheme="minorHAnsi"/>
        </w:rPr>
        <w:t xml:space="preserve"> per cent</w:t>
      </w:r>
      <w:r w:rsidR="00A12EBD" w:rsidRPr="00BC3D4F" w:rsidDel="00C433DF">
        <w:rPr>
          <w:rFonts w:cstheme="minorHAnsi"/>
        </w:rPr>
        <w:t xml:space="preserve"> </w:t>
      </w:r>
      <w:r w:rsidR="00A12EBD" w:rsidRPr="00BC3D4F">
        <w:rPr>
          <w:rFonts w:cstheme="minorHAnsi"/>
        </w:rPr>
        <w:t xml:space="preserve">of both Year 12 completers and non-completers </w:t>
      </w:r>
      <w:r w:rsidR="00700D68" w:rsidRPr="00BC3D4F">
        <w:rPr>
          <w:rFonts w:cstheme="minorHAnsi"/>
        </w:rPr>
        <w:t>who prepared a career action plan</w:t>
      </w:r>
      <w:r w:rsidR="00C433DF">
        <w:rPr>
          <w:rFonts w:cstheme="minorHAnsi"/>
        </w:rPr>
        <w:t>,</w:t>
      </w:r>
      <w:r w:rsidR="00700D68" w:rsidRPr="00BC3D4F">
        <w:rPr>
          <w:rFonts w:cstheme="minorHAnsi"/>
        </w:rPr>
        <w:t xml:space="preserve"> </w:t>
      </w:r>
      <w:r w:rsidR="00A12EBD" w:rsidRPr="00BC3D4F">
        <w:rPr>
          <w:rFonts w:cstheme="minorHAnsi"/>
        </w:rPr>
        <w:t>followed up on actions in their career plan</w:t>
      </w:r>
      <w:r w:rsidR="00700D68" w:rsidRPr="00BC3D4F">
        <w:rPr>
          <w:rFonts w:cstheme="minorHAnsi"/>
        </w:rPr>
        <w:t xml:space="preserve"> after school</w:t>
      </w:r>
      <w:r w:rsidR="00A12EBD" w:rsidRPr="00BC3D4F">
        <w:rPr>
          <w:rFonts w:cstheme="minorHAnsi"/>
        </w:rPr>
        <w:t>.</w:t>
      </w:r>
      <w:r w:rsidR="00A12EBD">
        <w:rPr>
          <w:rFonts w:cstheme="minorHAnsi"/>
        </w:rPr>
        <w:t xml:space="preserve"> </w:t>
      </w:r>
    </w:p>
    <w:p w14:paraId="2BC398C8" w14:textId="0B99D772" w:rsidR="000B72FA" w:rsidRDefault="000B72FA" w:rsidP="000B72FA">
      <w:pPr>
        <w:spacing w:line="240" w:lineRule="auto"/>
        <w:rPr>
          <w:rFonts w:cstheme="minorHAnsi"/>
          <w:b/>
          <w:bCs/>
        </w:rPr>
      </w:pPr>
      <w:r w:rsidRPr="000B72FA">
        <w:rPr>
          <w:rFonts w:cstheme="minorHAnsi"/>
          <w:b/>
          <w:bCs/>
        </w:rPr>
        <w:t xml:space="preserve">Proportion of students with a Career Action Plan by completion status, </w:t>
      </w:r>
      <w:r w:rsidR="0025587B">
        <w:rPr>
          <w:rFonts w:cstheme="minorHAnsi"/>
          <w:b/>
          <w:bCs/>
        </w:rPr>
        <w:t>202</w:t>
      </w:r>
      <w:r w:rsidR="00255B94">
        <w:rPr>
          <w:rFonts w:cstheme="minorHAnsi"/>
          <w:b/>
          <w:bCs/>
        </w:rPr>
        <w:t>1</w:t>
      </w:r>
    </w:p>
    <w:tbl>
      <w:tblPr>
        <w:tblW w:w="508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0" w:author="Daniel Rogers" w:date="2021-10-18T15:16:00Z">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394"/>
        <w:gridCol w:w="1976"/>
        <w:gridCol w:w="2398"/>
        <w:tblGridChange w:id="1">
          <w:tblGrid>
            <w:gridCol w:w="4967"/>
            <w:gridCol w:w="1831"/>
            <w:gridCol w:w="2218"/>
          </w:tblGrid>
        </w:tblGridChange>
      </w:tblGrid>
      <w:tr w:rsidR="007A6928" w:rsidRPr="007A6928" w14:paraId="28FA9B79" w14:textId="77777777" w:rsidTr="005E3CCA">
        <w:trPr>
          <w:trHeight w:val="300"/>
          <w:trPrChange w:id="2" w:author="Daniel Rogers" w:date="2021-10-18T15:16:00Z">
            <w:trPr>
              <w:trHeight w:val="300"/>
            </w:trPr>
          </w:trPrChange>
        </w:trPr>
        <w:tc>
          <w:tcPr>
            <w:tcW w:w="2791" w:type="pct"/>
            <w:shd w:val="clear" w:color="auto" w:fill="auto"/>
            <w:noWrap/>
            <w:vAlign w:val="bottom"/>
            <w:hideMark/>
            <w:tcPrChange w:id="3" w:author="Daniel Rogers" w:date="2021-10-18T15:16:00Z">
              <w:tcPr>
                <w:tcW w:w="1630" w:type="pct"/>
                <w:shd w:val="clear" w:color="auto" w:fill="auto"/>
                <w:noWrap/>
                <w:vAlign w:val="bottom"/>
                <w:hideMark/>
              </w:tcPr>
            </w:tcPrChange>
          </w:tcPr>
          <w:p w14:paraId="643564F4" w14:textId="5F05E665" w:rsidR="007A6928" w:rsidRPr="006B1229" w:rsidRDefault="006B1229" w:rsidP="007A6928">
            <w:pPr>
              <w:spacing w:after="0" w:line="240" w:lineRule="auto"/>
              <w:rPr>
                <w:rFonts w:eastAsia="Times New Roman" w:cstheme="minorHAnsi"/>
                <w:b/>
                <w:sz w:val="24"/>
                <w:szCs w:val="24"/>
                <w:lang w:eastAsia="en-AU"/>
              </w:rPr>
            </w:pPr>
            <w:r w:rsidRPr="006B1229">
              <w:rPr>
                <w:rFonts w:eastAsia="Times New Roman" w:cstheme="minorHAnsi"/>
                <w:b/>
                <w:bCs/>
                <w:lang w:eastAsia="en-AU"/>
              </w:rPr>
              <w:t>Respondents who said yes to the following:</w:t>
            </w:r>
          </w:p>
        </w:tc>
        <w:tc>
          <w:tcPr>
            <w:tcW w:w="999" w:type="pct"/>
            <w:shd w:val="clear" w:color="auto" w:fill="auto"/>
            <w:noWrap/>
            <w:vAlign w:val="bottom"/>
            <w:hideMark/>
            <w:tcPrChange w:id="4" w:author="Daniel Rogers" w:date="2021-10-18T15:16:00Z">
              <w:tcPr>
                <w:tcW w:w="1633" w:type="pct"/>
                <w:shd w:val="clear" w:color="auto" w:fill="auto"/>
                <w:noWrap/>
                <w:vAlign w:val="bottom"/>
                <w:hideMark/>
              </w:tcPr>
            </w:tcPrChange>
          </w:tcPr>
          <w:p w14:paraId="6F6EBDE1" w14:textId="404DF501" w:rsidR="007A6928" w:rsidRPr="007A6928" w:rsidRDefault="007A6928" w:rsidP="003A63B5">
            <w:pPr>
              <w:spacing w:after="0" w:line="240" w:lineRule="auto"/>
              <w:jc w:val="center"/>
              <w:rPr>
                <w:rFonts w:ascii="Calibri" w:eastAsia="Times New Roman" w:hAnsi="Calibri" w:cs="Calibri"/>
                <w:b/>
                <w:bCs/>
                <w:color w:val="000000"/>
                <w:lang w:eastAsia="en-AU"/>
              </w:rPr>
            </w:pPr>
            <w:r w:rsidRPr="007A6928">
              <w:rPr>
                <w:rFonts w:ascii="Calibri" w:eastAsia="Times New Roman" w:hAnsi="Calibri" w:cs="Calibri"/>
                <w:b/>
                <w:bCs/>
                <w:color w:val="000000"/>
                <w:lang w:eastAsia="en-AU"/>
              </w:rPr>
              <w:t>Year 12 completers</w:t>
            </w:r>
          </w:p>
        </w:tc>
        <w:tc>
          <w:tcPr>
            <w:tcW w:w="1210" w:type="pct"/>
            <w:shd w:val="clear" w:color="auto" w:fill="auto"/>
            <w:noWrap/>
            <w:vAlign w:val="bottom"/>
            <w:hideMark/>
            <w:tcPrChange w:id="5" w:author="Daniel Rogers" w:date="2021-10-18T15:16:00Z">
              <w:tcPr>
                <w:tcW w:w="1737" w:type="pct"/>
                <w:shd w:val="clear" w:color="auto" w:fill="auto"/>
                <w:noWrap/>
                <w:vAlign w:val="bottom"/>
                <w:hideMark/>
              </w:tcPr>
            </w:tcPrChange>
          </w:tcPr>
          <w:p w14:paraId="06774765" w14:textId="77777777" w:rsidR="007A6928" w:rsidRPr="007A6928" w:rsidRDefault="007A6928" w:rsidP="003A63B5">
            <w:pPr>
              <w:spacing w:after="0" w:line="240" w:lineRule="auto"/>
              <w:jc w:val="center"/>
              <w:rPr>
                <w:rFonts w:ascii="Calibri" w:eastAsia="Times New Roman" w:hAnsi="Calibri" w:cs="Calibri"/>
                <w:b/>
                <w:bCs/>
                <w:color w:val="000000"/>
                <w:lang w:eastAsia="en-AU"/>
              </w:rPr>
            </w:pPr>
            <w:r w:rsidRPr="007A6928">
              <w:rPr>
                <w:rFonts w:ascii="Calibri" w:eastAsia="Times New Roman" w:hAnsi="Calibri" w:cs="Calibri"/>
                <w:b/>
                <w:bCs/>
                <w:color w:val="000000"/>
                <w:lang w:eastAsia="en-AU"/>
              </w:rPr>
              <w:t>Year 12 non-completers</w:t>
            </w:r>
          </w:p>
        </w:tc>
      </w:tr>
      <w:tr w:rsidR="007A6928" w:rsidRPr="007A6928" w14:paraId="36EA3FC3" w14:textId="77777777" w:rsidTr="005E3CCA">
        <w:trPr>
          <w:trHeight w:val="300"/>
          <w:trPrChange w:id="6" w:author="Daniel Rogers" w:date="2021-10-18T15:16:00Z">
            <w:trPr>
              <w:trHeight w:val="300"/>
            </w:trPr>
          </w:trPrChange>
        </w:trPr>
        <w:tc>
          <w:tcPr>
            <w:tcW w:w="2791" w:type="pct"/>
            <w:shd w:val="clear" w:color="auto" w:fill="auto"/>
            <w:noWrap/>
            <w:vAlign w:val="bottom"/>
            <w:hideMark/>
            <w:tcPrChange w:id="7" w:author="Daniel Rogers" w:date="2021-10-18T15:16:00Z">
              <w:tcPr>
                <w:tcW w:w="1630" w:type="pct"/>
                <w:shd w:val="clear" w:color="auto" w:fill="auto"/>
                <w:noWrap/>
                <w:vAlign w:val="bottom"/>
                <w:hideMark/>
              </w:tcPr>
            </w:tcPrChange>
          </w:tcPr>
          <w:p w14:paraId="312B4A1F" w14:textId="77777777" w:rsidR="007A6928" w:rsidRPr="007A6928" w:rsidRDefault="007A6928" w:rsidP="007A6928">
            <w:pPr>
              <w:spacing w:after="0" w:line="240" w:lineRule="auto"/>
              <w:ind w:firstLineChars="100" w:firstLine="221"/>
              <w:rPr>
                <w:rFonts w:ascii="Calibri" w:eastAsia="Times New Roman" w:hAnsi="Calibri" w:cs="Calibri"/>
                <w:b/>
                <w:bCs/>
                <w:color w:val="000000"/>
                <w:lang w:eastAsia="en-AU"/>
              </w:rPr>
            </w:pPr>
            <w:r w:rsidRPr="007A6928">
              <w:rPr>
                <w:rFonts w:ascii="Calibri" w:eastAsia="Times New Roman" w:hAnsi="Calibri" w:cs="Calibri"/>
                <w:b/>
                <w:bCs/>
                <w:color w:val="000000"/>
                <w:lang w:eastAsia="en-AU"/>
              </w:rPr>
              <w:t>Did you prepare a career action plan?</w:t>
            </w:r>
          </w:p>
        </w:tc>
        <w:tc>
          <w:tcPr>
            <w:tcW w:w="999" w:type="pct"/>
            <w:shd w:val="clear" w:color="auto" w:fill="auto"/>
            <w:noWrap/>
            <w:vAlign w:val="bottom"/>
            <w:hideMark/>
            <w:tcPrChange w:id="8" w:author="Daniel Rogers" w:date="2021-10-18T15:16:00Z">
              <w:tcPr>
                <w:tcW w:w="1633" w:type="pct"/>
                <w:shd w:val="clear" w:color="auto" w:fill="auto"/>
                <w:noWrap/>
                <w:vAlign w:val="bottom"/>
                <w:hideMark/>
              </w:tcPr>
            </w:tcPrChange>
          </w:tcPr>
          <w:p w14:paraId="64C766F1" w14:textId="30FFFA94" w:rsidR="007A6928" w:rsidRPr="00BD572B" w:rsidRDefault="00C71031" w:rsidP="005F1684">
            <w:pPr>
              <w:spacing w:after="0" w:line="240" w:lineRule="auto"/>
              <w:jc w:val="center"/>
              <w:rPr>
                <w:rFonts w:ascii="Calibri" w:eastAsia="Times New Roman" w:hAnsi="Calibri" w:cs="Calibri"/>
                <w:color w:val="000000"/>
                <w:sz w:val="28"/>
                <w:szCs w:val="28"/>
                <w:lang w:eastAsia="en-AU"/>
              </w:rPr>
            </w:pPr>
            <w:r w:rsidRPr="00BD572B">
              <w:rPr>
                <w:rFonts w:ascii="Calibri" w:eastAsia="Times New Roman" w:hAnsi="Calibri" w:cs="Calibri"/>
                <w:color w:val="000000"/>
                <w:sz w:val="28"/>
                <w:szCs w:val="28"/>
                <w:lang w:eastAsia="en-AU"/>
              </w:rPr>
              <w:t>48.9%</w:t>
            </w:r>
          </w:p>
        </w:tc>
        <w:tc>
          <w:tcPr>
            <w:tcW w:w="1210" w:type="pct"/>
            <w:shd w:val="clear" w:color="auto" w:fill="auto"/>
            <w:noWrap/>
            <w:vAlign w:val="bottom"/>
            <w:hideMark/>
            <w:tcPrChange w:id="9" w:author="Daniel Rogers" w:date="2021-10-18T15:16:00Z">
              <w:tcPr>
                <w:tcW w:w="1737" w:type="pct"/>
                <w:shd w:val="clear" w:color="auto" w:fill="auto"/>
                <w:noWrap/>
                <w:vAlign w:val="bottom"/>
                <w:hideMark/>
              </w:tcPr>
            </w:tcPrChange>
          </w:tcPr>
          <w:p w14:paraId="50C52A07" w14:textId="1281481D" w:rsidR="007A6928" w:rsidRPr="0071431E" w:rsidRDefault="008D6986" w:rsidP="005F1684">
            <w:pPr>
              <w:spacing w:after="0" w:line="240" w:lineRule="auto"/>
              <w:jc w:val="center"/>
              <w:rPr>
                <w:rFonts w:ascii="Calibri" w:eastAsia="Times New Roman" w:hAnsi="Calibri" w:cs="Calibri"/>
                <w:color w:val="000000"/>
                <w:sz w:val="28"/>
                <w:szCs w:val="28"/>
                <w:lang w:eastAsia="en-AU"/>
              </w:rPr>
            </w:pPr>
            <w:r w:rsidRPr="0071431E">
              <w:rPr>
                <w:rFonts w:ascii="Calibri" w:eastAsia="Times New Roman" w:hAnsi="Calibri" w:cs="Calibri"/>
                <w:color w:val="000000"/>
                <w:sz w:val="28"/>
                <w:szCs w:val="28"/>
                <w:lang w:eastAsia="en-AU"/>
              </w:rPr>
              <w:t>43.5%</w:t>
            </w:r>
          </w:p>
        </w:tc>
      </w:tr>
      <w:tr w:rsidR="007A6928" w:rsidRPr="007A6928" w14:paraId="2D052FD5" w14:textId="77777777" w:rsidTr="005E3CCA">
        <w:trPr>
          <w:trHeight w:val="300"/>
          <w:trPrChange w:id="10" w:author="Daniel Rogers" w:date="2021-10-18T15:16:00Z">
            <w:trPr>
              <w:trHeight w:val="300"/>
            </w:trPr>
          </w:trPrChange>
        </w:trPr>
        <w:tc>
          <w:tcPr>
            <w:tcW w:w="2791" w:type="pct"/>
            <w:shd w:val="clear" w:color="auto" w:fill="auto"/>
            <w:noWrap/>
            <w:vAlign w:val="bottom"/>
            <w:hideMark/>
            <w:tcPrChange w:id="11" w:author="Daniel Rogers" w:date="2021-10-18T15:16:00Z">
              <w:tcPr>
                <w:tcW w:w="1630" w:type="pct"/>
                <w:shd w:val="clear" w:color="auto" w:fill="auto"/>
                <w:noWrap/>
                <w:vAlign w:val="bottom"/>
                <w:hideMark/>
              </w:tcPr>
            </w:tcPrChange>
          </w:tcPr>
          <w:p w14:paraId="539CE0EC" w14:textId="77777777" w:rsidR="007A6928" w:rsidRPr="007A6928" w:rsidRDefault="007A6928" w:rsidP="007A6928">
            <w:pPr>
              <w:spacing w:after="0" w:line="240" w:lineRule="auto"/>
              <w:ind w:firstLineChars="100" w:firstLine="221"/>
              <w:rPr>
                <w:rFonts w:ascii="Calibri" w:eastAsia="Times New Roman" w:hAnsi="Calibri" w:cs="Calibri"/>
                <w:b/>
                <w:bCs/>
                <w:color w:val="000000"/>
                <w:lang w:eastAsia="en-AU"/>
              </w:rPr>
            </w:pPr>
            <w:r w:rsidRPr="007A6928">
              <w:rPr>
                <w:rFonts w:ascii="Calibri" w:eastAsia="Times New Roman" w:hAnsi="Calibri" w:cs="Calibri"/>
                <w:b/>
                <w:bCs/>
                <w:color w:val="000000"/>
                <w:lang w:eastAsia="en-AU"/>
              </w:rPr>
              <w:t>Did you have a copy of this plan when you left school?</w:t>
            </w:r>
          </w:p>
        </w:tc>
        <w:tc>
          <w:tcPr>
            <w:tcW w:w="999" w:type="pct"/>
            <w:shd w:val="clear" w:color="auto" w:fill="auto"/>
            <w:noWrap/>
            <w:vAlign w:val="bottom"/>
            <w:hideMark/>
            <w:tcPrChange w:id="12" w:author="Daniel Rogers" w:date="2021-10-18T15:16:00Z">
              <w:tcPr>
                <w:tcW w:w="1633" w:type="pct"/>
                <w:shd w:val="clear" w:color="auto" w:fill="auto"/>
                <w:noWrap/>
                <w:vAlign w:val="bottom"/>
                <w:hideMark/>
              </w:tcPr>
            </w:tcPrChange>
          </w:tcPr>
          <w:p w14:paraId="446DA9B5" w14:textId="65AD6375" w:rsidR="007A6928" w:rsidRPr="00BD572B" w:rsidRDefault="00C71031" w:rsidP="005F1684">
            <w:pPr>
              <w:spacing w:after="0" w:line="240" w:lineRule="auto"/>
              <w:jc w:val="center"/>
              <w:rPr>
                <w:rFonts w:ascii="Calibri" w:eastAsia="Times New Roman" w:hAnsi="Calibri" w:cs="Calibri"/>
                <w:color w:val="000000"/>
                <w:sz w:val="28"/>
                <w:szCs w:val="28"/>
                <w:lang w:eastAsia="en-AU"/>
              </w:rPr>
            </w:pPr>
            <w:r w:rsidRPr="00BD572B">
              <w:rPr>
                <w:rFonts w:ascii="Calibri" w:eastAsia="Times New Roman" w:hAnsi="Calibri" w:cs="Calibri"/>
                <w:color w:val="000000"/>
                <w:sz w:val="28"/>
                <w:szCs w:val="28"/>
                <w:lang w:eastAsia="en-AU"/>
              </w:rPr>
              <w:t>45.5%</w:t>
            </w:r>
          </w:p>
        </w:tc>
        <w:tc>
          <w:tcPr>
            <w:tcW w:w="1210" w:type="pct"/>
            <w:shd w:val="clear" w:color="auto" w:fill="auto"/>
            <w:noWrap/>
            <w:vAlign w:val="bottom"/>
            <w:hideMark/>
            <w:tcPrChange w:id="13" w:author="Daniel Rogers" w:date="2021-10-18T15:16:00Z">
              <w:tcPr>
                <w:tcW w:w="1737" w:type="pct"/>
                <w:shd w:val="clear" w:color="auto" w:fill="auto"/>
                <w:noWrap/>
                <w:vAlign w:val="bottom"/>
                <w:hideMark/>
              </w:tcPr>
            </w:tcPrChange>
          </w:tcPr>
          <w:p w14:paraId="3E1454C7" w14:textId="70180B16" w:rsidR="007A6928" w:rsidRPr="0071431E" w:rsidRDefault="008D6986" w:rsidP="005F1684">
            <w:pPr>
              <w:spacing w:after="0" w:line="240" w:lineRule="auto"/>
              <w:jc w:val="center"/>
              <w:rPr>
                <w:rFonts w:ascii="Calibri" w:eastAsia="Times New Roman" w:hAnsi="Calibri" w:cs="Calibri"/>
                <w:color w:val="000000"/>
                <w:sz w:val="28"/>
                <w:szCs w:val="28"/>
                <w:lang w:eastAsia="en-AU"/>
              </w:rPr>
            </w:pPr>
            <w:r w:rsidRPr="0071431E">
              <w:rPr>
                <w:rFonts w:ascii="Calibri" w:eastAsia="Times New Roman" w:hAnsi="Calibri" w:cs="Calibri"/>
                <w:color w:val="000000"/>
                <w:sz w:val="28"/>
                <w:szCs w:val="28"/>
                <w:lang w:eastAsia="en-AU"/>
              </w:rPr>
              <w:t>33.2%</w:t>
            </w:r>
          </w:p>
        </w:tc>
      </w:tr>
      <w:tr w:rsidR="007A6928" w:rsidRPr="007A6928" w14:paraId="22AAEAFB" w14:textId="77777777" w:rsidTr="005E3CCA">
        <w:trPr>
          <w:trHeight w:val="300"/>
          <w:trPrChange w:id="14" w:author="Daniel Rogers" w:date="2021-10-18T15:16:00Z">
            <w:trPr>
              <w:trHeight w:val="300"/>
            </w:trPr>
          </w:trPrChange>
        </w:trPr>
        <w:tc>
          <w:tcPr>
            <w:tcW w:w="2791" w:type="pct"/>
            <w:shd w:val="clear" w:color="auto" w:fill="auto"/>
            <w:noWrap/>
            <w:vAlign w:val="bottom"/>
            <w:hideMark/>
            <w:tcPrChange w:id="15" w:author="Daniel Rogers" w:date="2021-10-18T15:16:00Z">
              <w:tcPr>
                <w:tcW w:w="1630" w:type="pct"/>
                <w:shd w:val="clear" w:color="auto" w:fill="auto"/>
                <w:noWrap/>
                <w:vAlign w:val="bottom"/>
                <w:hideMark/>
              </w:tcPr>
            </w:tcPrChange>
          </w:tcPr>
          <w:p w14:paraId="3B08DA8B" w14:textId="77777777" w:rsidR="007A6928" w:rsidRPr="007A6928" w:rsidRDefault="007A6928" w:rsidP="007A6928">
            <w:pPr>
              <w:spacing w:after="0" w:line="240" w:lineRule="auto"/>
              <w:ind w:firstLineChars="100" w:firstLine="221"/>
              <w:rPr>
                <w:rFonts w:ascii="Calibri" w:eastAsia="Times New Roman" w:hAnsi="Calibri" w:cs="Calibri"/>
                <w:b/>
                <w:bCs/>
                <w:color w:val="000000"/>
                <w:lang w:eastAsia="en-AU"/>
              </w:rPr>
            </w:pPr>
            <w:r w:rsidRPr="007A6928">
              <w:rPr>
                <w:rFonts w:ascii="Calibri" w:eastAsia="Times New Roman" w:hAnsi="Calibri" w:cs="Calibri"/>
                <w:b/>
                <w:bCs/>
                <w:color w:val="000000"/>
                <w:lang w:eastAsia="en-AU"/>
              </w:rPr>
              <w:t>Have you followed up on actions in your plan?</w:t>
            </w:r>
          </w:p>
        </w:tc>
        <w:tc>
          <w:tcPr>
            <w:tcW w:w="999" w:type="pct"/>
            <w:shd w:val="clear" w:color="auto" w:fill="auto"/>
            <w:noWrap/>
            <w:vAlign w:val="bottom"/>
            <w:tcPrChange w:id="16" w:author="Daniel Rogers" w:date="2021-10-18T15:16:00Z">
              <w:tcPr>
                <w:tcW w:w="1633" w:type="pct"/>
                <w:shd w:val="clear" w:color="auto" w:fill="auto"/>
                <w:noWrap/>
                <w:vAlign w:val="bottom"/>
              </w:tcPr>
            </w:tcPrChange>
          </w:tcPr>
          <w:p w14:paraId="5DB4CA01" w14:textId="4B559D7A" w:rsidR="007A6928" w:rsidRPr="00BD572B" w:rsidRDefault="00BD572B" w:rsidP="005F1684">
            <w:pPr>
              <w:spacing w:after="0" w:line="240" w:lineRule="auto"/>
              <w:jc w:val="center"/>
              <w:rPr>
                <w:rFonts w:ascii="Calibri" w:eastAsia="Times New Roman" w:hAnsi="Calibri" w:cs="Calibri"/>
                <w:color w:val="000000"/>
                <w:sz w:val="28"/>
                <w:szCs w:val="28"/>
                <w:lang w:eastAsia="en-AU"/>
              </w:rPr>
            </w:pPr>
            <w:r w:rsidRPr="00BD572B">
              <w:rPr>
                <w:rFonts w:ascii="Calibri" w:eastAsia="Times New Roman" w:hAnsi="Calibri" w:cs="Calibri"/>
                <w:color w:val="000000"/>
                <w:sz w:val="28"/>
                <w:szCs w:val="28"/>
                <w:lang w:eastAsia="en-AU"/>
              </w:rPr>
              <w:t>52.8%</w:t>
            </w:r>
          </w:p>
        </w:tc>
        <w:tc>
          <w:tcPr>
            <w:tcW w:w="1210" w:type="pct"/>
            <w:shd w:val="clear" w:color="auto" w:fill="auto"/>
            <w:noWrap/>
            <w:vAlign w:val="bottom"/>
            <w:tcPrChange w:id="17" w:author="Daniel Rogers" w:date="2021-10-18T15:16:00Z">
              <w:tcPr>
                <w:tcW w:w="1737" w:type="pct"/>
                <w:shd w:val="clear" w:color="auto" w:fill="auto"/>
                <w:noWrap/>
                <w:vAlign w:val="bottom"/>
              </w:tcPr>
            </w:tcPrChange>
          </w:tcPr>
          <w:p w14:paraId="7BB67B73" w14:textId="166F3E61" w:rsidR="007A6928" w:rsidRPr="0071431E" w:rsidRDefault="0071431E" w:rsidP="005F1684">
            <w:pPr>
              <w:spacing w:after="0" w:line="240" w:lineRule="auto"/>
              <w:jc w:val="center"/>
              <w:rPr>
                <w:rFonts w:ascii="Calibri" w:eastAsia="Times New Roman" w:hAnsi="Calibri" w:cs="Calibri"/>
                <w:color w:val="000000"/>
                <w:sz w:val="28"/>
                <w:szCs w:val="28"/>
                <w:lang w:eastAsia="en-AU"/>
              </w:rPr>
            </w:pPr>
            <w:r w:rsidRPr="0071431E">
              <w:rPr>
                <w:rFonts w:ascii="Calibri" w:eastAsia="Times New Roman" w:hAnsi="Calibri" w:cs="Calibri"/>
                <w:color w:val="000000"/>
                <w:sz w:val="28"/>
                <w:szCs w:val="28"/>
                <w:lang w:eastAsia="en-AU"/>
              </w:rPr>
              <w:t>54.5%</w:t>
            </w:r>
          </w:p>
        </w:tc>
      </w:tr>
    </w:tbl>
    <w:p w14:paraId="4E9D25F8" w14:textId="77777777" w:rsidR="007A6928" w:rsidRPr="000B72FA" w:rsidRDefault="007A6928" w:rsidP="000B72FA">
      <w:pPr>
        <w:spacing w:line="240" w:lineRule="auto"/>
        <w:rPr>
          <w:rFonts w:cstheme="minorHAnsi"/>
        </w:rPr>
      </w:pPr>
    </w:p>
    <w:p w14:paraId="43E4CE17" w14:textId="51617ED6" w:rsidR="007C2837" w:rsidRPr="008674D5" w:rsidRDefault="00165FE0" w:rsidP="000B72FA">
      <w:pPr>
        <w:pStyle w:val="Heading1"/>
      </w:pPr>
      <w:r w:rsidRPr="008674D5">
        <w:t>D</w:t>
      </w:r>
      <w:r w:rsidR="003550CE" w:rsidRPr="008674D5">
        <w:t xml:space="preserve">ifferences </w:t>
      </w:r>
      <w:r w:rsidR="00405C88" w:rsidRPr="008674D5">
        <w:t>in</w:t>
      </w:r>
      <w:r w:rsidR="003550CE" w:rsidRPr="008674D5">
        <w:t xml:space="preserve"> student pathways </w:t>
      </w:r>
      <w:r w:rsidR="00405C88" w:rsidRPr="008674D5">
        <w:t>between</w:t>
      </w:r>
      <w:r w:rsidR="003550CE" w:rsidRPr="008674D5">
        <w:t xml:space="preserve"> </w:t>
      </w:r>
      <w:r w:rsidR="007C2837" w:rsidRPr="008674D5">
        <w:t>school sectors</w:t>
      </w:r>
      <w:r w:rsidR="003550CE" w:rsidRPr="008674D5">
        <w:t xml:space="preserve"> remain evident</w:t>
      </w:r>
    </w:p>
    <w:p w14:paraId="0979FBC6" w14:textId="51280F83" w:rsidR="00E84C67" w:rsidRPr="002C2762" w:rsidRDefault="00F653F0" w:rsidP="000B72FA">
      <w:pPr>
        <w:spacing w:line="240" w:lineRule="auto"/>
        <w:contextualSpacing/>
        <w:rPr>
          <w:rFonts w:cstheme="minorHAnsi"/>
        </w:rPr>
      </w:pPr>
      <w:r>
        <w:rPr>
          <w:rFonts w:cstheme="minorHAnsi"/>
        </w:rPr>
        <w:t>Survey respondents</w:t>
      </w:r>
      <w:r w:rsidR="00E84C67" w:rsidRPr="002C2762">
        <w:rPr>
          <w:rFonts w:cstheme="minorHAnsi"/>
        </w:rPr>
        <w:t xml:space="preserve"> from the non-government sector continue to complete their </w:t>
      </w:r>
      <w:r w:rsidR="003423FC" w:rsidRPr="002C2762">
        <w:rPr>
          <w:rFonts w:cstheme="minorHAnsi"/>
        </w:rPr>
        <w:t xml:space="preserve">schooling and pursue a Bachelor degree </w:t>
      </w:r>
      <w:r w:rsidR="00235932">
        <w:rPr>
          <w:rFonts w:cstheme="minorHAnsi"/>
        </w:rPr>
        <w:t>in</w:t>
      </w:r>
      <w:r w:rsidR="00235932" w:rsidRPr="002C2762">
        <w:rPr>
          <w:rFonts w:cstheme="minorHAnsi"/>
        </w:rPr>
        <w:t xml:space="preserve"> </w:t>
      </w:r>
      <w:r w:rsidR="003423FC" w:rsidRPr="002C2762">
        <w:rPr>
          <w:rFonts w:cstheme="minorHAnsi"/>
        </w:rPr>
        <w:t>greater</w:t>
      </w:r>
      <w:r w:rsidR="00E84C67" w:rsidRPr="002C2762">
        <w:rPr>
          <w:rFonts w:cstheme="minorHAnsi"/>
        </w:rPr>
        <w:t xml:space="preserve"> proportions tha</w:t>
      </w:r>
      <w:r w:rsidR="00226BFE" w:rsidRPr="002C2762">
        <w:rPr>
          <w:rFonts w:cstheme="minorHAnsi"/>
        </w:rPr>
        <w:t>n</w:t>
      </w:r>
      <w:r w:rsidR="00E84C67" w:rsidRPr="002C2762">
        <w:rPr>
          <w:rFonts w:cstheme="minorHAnsi"/>
        </w:rPr>
        <w:t xml:space="preserve"> </w:t>
      </w:r>
      <w:r>
        <w:rPr>
          <w:rFonts w:cstheme="minorHAnsi"/>
        </w:rPr>
        <w:t>respondents</w:t>
      </w:r>
      <w:r w:rsidRPr="002C2762">
        <w:rPr>
          <w:rFonts w:cstheme="minorHAnsi"/>
        </w:rPr>
        <w:t xml:space="preserve"> </w:t>
      </w:r>
      <w:r w:rsidR="00E84C67" w:rsidRPr="002C2762">
        <w:rPr>
          <w:rFonts w:cstheme="minorHAnsi"/>
        </w:rPr>
        <w:t xml:space="preserve">from Victoria’s government schools. Subsequently, </w:t>
      </w:r>
      <w:r>
        <w:rPr>
          <w:rFonts w:cstheme="minorHAnsi"/>
        </w:rPr>
        <w:t>respondents</w:t>
      </w:r>
      <w:r w:rsidRPr="002C2762">
        <w:rPr>
          <w:rFonts w:cstheme="minorHAnsi"/>
        </w:rPr>
        <w:t xml:space="preserve"> </w:t>
      </w:r>
      <w:r w:rsidR="00E84C67" w:rsidRPr="002C2762">
        <w:rPr>
          <w:rFonts w:cstheme="minorHAnsi"/>
        </w:rPr>
        <w:t>from the government sector are more likely to undertake a Certificate/Diploma, apprenticeship or traineeship, or be employed six months after leaving school.</w:t>
      </w:r>
    </w:p>
    <w:p w14:paraId="63CD7A50" w14:textId="77777777" w:rsidR="00450E15" w:rsidRPr="002C2762" w:rsidRDefault="00450E15" w:rsidP="000B72FA">
      <w:pPr>
        <w:spacing w:line="240" w:lineRule="auto"/>
        <w:contextualSpacing/>
        <w:rPr>
          <w:rFonts w:cstheme="minorHAnsi"/>
        </w:rPr>
      </w:pPr>
    </w:p>
    <w:p w14:paraId="64FAED99" w14:textId="266EDBEE" w:rsidR="00E84C67" w:rsidRDefault="00BB32AB" w:rsidP="000B72FA">
      <w:pPr>
        <w:spacing w:line="240" w:lineRule="auto"/>
        <w:contextualSpacing/>
        <w:rPr>
          <w:rFonts w:cstheme="minorHAnsi"/>
        </w:rPr>
      </w:pPr>
      <w:r w:rsidRPr="002C2762">
        <w:rPr>
          <w:rFonts w:cstheme="minorHAnsi"/>
        </w:rPr>
        <w:t>202</w:t>
      </w:r>
      <w:r w:rsidR="00255B94" w:rsidRPr="002C2762">
        <w:rPr>
          <w:rFonts w:cstheme="minorHAnsi"/>
        </w:rPr>
        <w:t>1</w:t>
      </w:r>
      <w:r w:rsidRPr="002C2762">
        <w:rPr>
          <w:rFonts w:cstheme="minorHAnsi"/>
        </w:rPr>
        <w:t xml:space="preserve"> </w:t>
      </w:r>
      <w:r w:rsidR="003443C3" w:rsidRPr="002C2762">
        <w:rPr>
          <w:rFonts w:cstheme="minorHAnsi"/>
        </w:rPr>
        <w:t xml:space="preserve">On Track results show that close to two-thirds of </w:t>
      </w:r>
      <w:r w:rsidR="00F653F0">
        <w:rPr>
          <w:rFonts w:cstheme="minorHAnsi"/>
        </w:rPr>
        <w:t>respondents</w:t>
      </w:r>
      <w:r w:rsidR="00F653F0" w:rsidRPr="002C2762">
        <w:rPr>
          <w:rFonts w:cstheme="minorHAnsi"/>
        </w:rPr>
        <w:t xml:space="preserve"> </w:t>
      </w:r>
      <w:r w:rsidR="003443C3" w:rsidRPr="002C2762">
        <w:rPr>
          <w:rFonts w:cstheme="minorHAnsi"/>
        </w:rPr>
        <w:t>who left a non-government school after completing Year 12</w:t>
      </w:r>
      <w:r w:rsidR="003423FC" w:rsidRPr="002C2762">
        <w:rPr>
          <w:rFonts w:cstheme="minorHAnsi"/>
        </w:rPr>
        <w:t xml:space="preserve"> went on to study a Bachelor d</w:t>
      </w:r>
      <w:r w:rsidR="003443C3" w:rsidRPr="002C2762">
        <w:rPr>
          <w:rFonts w:cstheme="minorHAnsi"/>
        </w:rPr>
        <w:t xml:space="preserve">egree, compared to just under one-half of </w:t>
      </w:r>
      <w:r w:rsidR="00F653F0">
        <w:rPr>
          <w:rFonts w:cstheme="minorHAnsi"/>
        </w:rPr>
        <w:t>respondents</w:t>
      </w:r>
      <w:r w:rsidR="00F653F0" w:rsidRPr="002C2762">
        <w:rPr>
          <w:rFonts w:cstheme="minorHAnsi"/>
        </w:rPr>
        <w:t xml:space="preserve"> </w:t>
      </w:r>
      <w:r w:rsidR="003443C3" w:rsidRPr="002C2762">
        <w:rPr>
          <w:rFonts w:cstheme="minorHAnsi"/>
        </w:rPr>
        <w:t xml:space="preserve">from the government sector. The proportion for </w:t>
      </w:r>
      <w:r w:rsidR="00F653F0">
        <w:rPr>
          <w:rFonts w:cstheme="minorHAnsi"/>
        </w:rPr>
        <w:t>respondents</w:t>
      </w:r>
      <w:r w:rsidR="00F653F0" w:rsidRPr="002C2762">
        <w:rPr>
          <w:rFonts w:cstheme="minorHAnsi"/>
        </w:rPr>
        <w:t xml:space="preserve"> </w:t>
      </w:r>
      <w:r w:rsidR="003443C3" w:rsidRPr="002C2762">
        <w:rPr>
          <w:rFonts w:cstheme="minorHAnsi"/>
        </w:rPr>
        <w:t>from government school</w:t>
      </w:r>
      <w:r w:rsidR="003423FC" w:rsidRPr="002C2762">
        <w:rPr>
          <w:rFonts w:cstheme="minorHAnsi"/>
        </w:rPr>
        <w:t>s</w:t>
      </w:r>
      <w:r w:rsidR="00CF58EA" w:rsidRPr="002C2762">
        <w:rPr>
          <w:rFonts w:cstheme="minorHAnsi"/>
        </w:rPr>
        <w:t xml:space="preserve"> in a Bachelor degree six months after school’s end</w:t>
      </w:r>
      <w:r w:rsidR="003443C3" w:rsidRPr="002C2762">
        <w:rPr>
          <w:rFonts w:cstheme="minorHAnsi"/>
        </w:rPr>
        <w:t xml:space="preserve"> is also under the </w:t>
      </w:r>
      <w:r w:rsidR="00F653F0">
        <w:rPr>
          <w:rFonts w:cstheme="minorHAnsi"/>
        </w:rPr>
        <w:t>Year 12 completer respondent</w:t>
      </w:r>
      <w:r w:rsidR="00F653F0" w:rsidRPr="002C2762">
        <w:rPr>
          <w:rFonts w:cstheme="minorHAnsi"/>
        </w:rPr>
        <w:t xml:space="preserve"> </w:t>
      </w:r>
      <w:r w:rsidR="003443C3" w:rsidRPr="002C2762">
        <w:rPr>
          <w:rFonts w:cstheme="minorHAnsi"/>
        </w:rPr>
        <w:t>average (</w:t>
      </w:r>
      <w:r w:rsidR="008108A7" w:rsidRPr="002C2762">
        <w:rPr>
          <w:rFonts w:cstheme="minorHAnsi"/>
        </w:rPr>
        <w:t>48</w:t>
      </w:r>
      <w:r w:rsidR="003443C3" w:rsidRPr="002C2762">
        <w:rPr>
          <w:rFonts w:cstheme="minorHAnsi"/>
        </w:rPr>
        <w:t xml:space="preserve"> per cent).</w:t>
      </w:r>
    </w:p>
    <w:p w14:paraId="09A43C18" w14:textId="77777777" w:rsidR="006F4B1A" w:rsidRDefault="006F4B1A" w:rsidP="000B72FA">
      <w:pPr>
        <w:spacing w:line="240" w:lineRule="auto"/>
        <w:contextualSpacing/>
        <w:rPr>
          <w:rFonts w:cstheme="minorHAnsi"/>
        </w:rPr>
      </w:pPr>
    </w:p>
    <w:p w14:paraId="7A14668B" w14:textId="3923E854" w:rsidR="000342C7" w:rsidRDefault="000342C7" w:rsidP="000342C7">
      <w:pPr>
        <w:rPr>
          <w:rFonts w:cstheme="minorHAnsi"/>
          <w:b/>
          <w:bCs/>
        </w:rPr>
      </w:pPr>
      <w:r w:rsidRPr="005A0426">
        <w:rPr>
          <w:rFonts w:cstheme="minorHAnsi"/>
          <w:b/>
          <w:bCs/>
        </w:rPr>
        <w:t xml:space="preserve">Destination profile, Year 12 completers by school sector, </w:t>
      </w:r>
      <w:r>
        <w:rPr>
          <w:rFonts w:cstheme="minorHAnsi"/>
          <w:b/>
          <w:bCs/>
        </w:rPr>
        <w:t>202</w:t>
      </w:r>
      <w:r w:rsidR="00255B94">
        <w:rPr>
          <w:rFonts w:cstheme="minorHAnsi"/>
          <w:b/>
          <w:bCs/>
        </w:rPr>
        <w:t>1</w:t>
      </w:r>
    </w:p>
    <w:tbl>
      <w:tblPr>
        <w:tblW w:w="901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1173"/>
        <w:gridCol w:w="1651"/>
        <w:gridCol w:w="1697"/>
        <w:gridCol w:w="1149"/>
        <w:gridCol w:w="1004"/>
        <w:gridCol w:w="940"/>
      </w:tblGrid>
      <w:tr w:rsidR="00950006" w:rsidRPr="0099577F" w14:paraId="13D294F3" w14:textId="77777777" w:rsidTr="00950006">
        <w:trPr>
          <w:trHeight w:val="522"/>
          <w:jc w:val="right"/>
        </w:trPr>
        <w:tc>
          <w:tcPr>
            <w:tcW w:w="1402" w:type="dxa"/>
            <w:shd w:val="clear" w:color="auto" w:fill="auto"/>
            <w:noWrap/>
            <w:vAlign w:val="bottom"/>
            <w:hideMark/>
          </w:tcPr>
          <w:p w14:paraId="22B9D4F2" w14:textId="77777777" w:rsidR="0099577F" w:rsidRPr="0099577F" w:rsidRDefault="0099577F" w:rsidP="0099577F">
            <w:pPr>
              <w:spacing w:after="0" w:line="240" w:lineRule="auto"/>
              <w:rPr>
                <w:rFonts w:ascii="Calibri" w:eastAsia="Times New Roman" w:hAnsi="Calibri" w:cs="Calibri"/>
                <w:b/>
                <w:bCs/>
                <w:color w:val="000000"/>
                <w:lang w:eastAsia="en-AU"/>
              </w:rPr>
            </w:pPr>
            <w:r w:rsidRPr="0099577F">
              <w:rPr>
                <w:rFonts w:ascii="Calibri" w:eastAsia="Times New Roman" w:hAnsi="Calibri" w:cs="Calibri"/>
                <w:b/>
                <w:bCs/>
                <w:color w:val="000000"/>
                <w:lang w:eastAsia="en-AU"/>
              </w:rPr>
              <w:t> </w:t>
            </w:r>
          </w:p>
        </w:tc>
        <w:tc>
          <w:tcPr>
            <w:tcW w:w="4518" w:type="dxa"/>
            <w:gridSpan w:val="3"/>
            <w:shd w:val="clear" w:color="auto" w:fill="auto"/>
            <w:noWrap/>
            <w:vAlign w:val="bottom"/>
            <w:hideMark/>
          </w:tcPr>
          <w:p w14:paraId="4E2B0E32" w14:textId="77777777" w:rsidR="0099577F" w:rsidRPr="0099577F" w:rsidRDefault="0099577F" w:rsidP="0099577F">
            <w:pPr>
              <w:spacing w:after="0" w:line="240" w:lineRule="auto"/>
              <w:rPr>
                <w:rFonts w:ascii="Calibri" w:eastAsia="Times New Roman" w:hAnsi="Calibri" w:cs="Calibri"/>
                <w:b/>
                <w:bCs/>
                <w:color w:val="000000"/>
                <w:lang w:eastAsia="en-AU"/>
              </w:rPr>
            </w:pPr>
            <w:r w:rsidRPr="0099577F">
              <w:rPr>
                <w:rFonts w:ascii="Calibri" w:eastAsia="Times New Roman" w:hAnsi="Calibri" w:cs="Calibri"/>
                <w:b/>
                <w:bCs/>
                <w:color w:val="000000"/>
                <w:lang w:eastAsia="en-AU"/>
              </w:rPr>
              <w:t>In Education or Training</w:t>
            </w:r>
          </w:p>
        </w:tc>
        <w:tc>
          <w:tcPr>
            <w:tcW w:w="3096" w:type="dxa"/>
            <w:gridSpan w:val="3"/>
            <w:shd w:val="clear" w:color="auto" w:fill="auto"/>
            <w:noWrap/>
            <w:vAlign w:val="bottom"/>
            <w:hideMark/>
          </w:tcPr>
          <w:p w14:paraId="64CC7C8A" w14:textId="77777777" w:rsidR="0099577F" w:rsidRPr="0099577F" w:rsidRDefault="0099577F" w:rsidP="0099577F">
            <w:pPr>
              <w:spacing w:after="0" w:line="240" w:lineRule="auto"/>
              <w:rPr>
                <w:rFonts w:ascii="Calibri" w:eastAsia="Times New Roman" w:hAnsi="Calibri" w:cs="Calibri"/>
                <w:b/>
                <w:bCs/>
                <w:color w:val="000000"/>
                <w:lang w:eastAsia="en-AU"/>
              </w:rPr>
            </w:pPr>
            <w:r w:rsidRPr="0099577F">
              <w:rPr>
                <w:rFonts w:ascii="Calibri" w:eastAsia="Times New Roman" w:hAnsi="Calibri" w:cs="Calibri"/>
                <w:b/>
                <w:bCs/>
                <w:color w:val="000000"/>
                <w:lang w:eastAsia="en-AU"/>
              </w:rPr>
              <w:t>Not in Education or Training</w:t>
            </w:r>
          </w:p>
        </w:tc>
      </w:tr>
      <w:tr w:rsidR="00950006" w:rsidRPr="0099577F" w14:paraId="679C9764" w14:textId="77777777" w:rsidTr="00950006">
        <w:trPr>
          <w:trHeight w:val="522"/>
          <w:jc w:val="right"/>
        </w:trPr>
        <w:tc>
          <w:tcPr>
            <w:tcW w:w="1402" w:type="dxa"/>
            <w:shd w:val="clear" w:color="auto" w:fill="auto"/>
            <w:noWrap/>
            <w:vAlign w:val="bottom"/>
            <w:hideMark/>
          </w:tcPr>
          <w:p w14:paraId="10A8E773" w14:textId="5D7C98D4" w:rsidR="0099577F" w:rsidRPr="0099577F" w:rsidRDefault="0099577F" w:rsidP="0099577F">
            <w:pPr>
              <w:spacing w:after="0" w:line="240" w:lineRule="auto"/>
              <w:rPr>
                <w:rFonts w:ascii="Calibri" w:eastAsia="Times New Roman" w:hAnsi="Calibri" w:cs="Calibri"/>
                <w:b/>
                <w:bCs/>
                <w:color w:val="000000"/>
                <w:lang w:eastAsia="en-AU"/>
              </w:rPr>
            </w:pPr>
          </w:p>
        </w:tc>
        <w:tc>
          <w:tcPr>
            <w:tcW w:w="1174" w:type="dxa"/>
            <w:shd w:val="clear" w:color="auto" w:fill="auto"/>
            <w:noWrap/>
            <w:vAlign w:val="bottom"/>
            <w:hideMark/>
          </w:tcPr>
          <w:p w14:paraId="3AC3F0F5" w14:textId="77777777" w:rsidR="0099577F" w:rsidRPr="0099577F" w:rsidRDefault="0099577F" w:rsidP="003D21FF">
            <w:pPr>
              <w:spacing w:after="0" w:line="240" w:lineRule="auto"/>
              <w:jc w:val="center"/>
              <w:rPr>
                <w:rFonts w:ascii="Calibri" w:eastAsia="Times New Roman" w:hAnsi="Calibri" w:cs="Calibri"/>
                <w:b/>
                <w:bCs/>
                <w:color w:val="000000"/>
                <w:lang w:eastAsia="en-AU"/>
              </w:rPr>
            </w:pPr>
            <w:r w:rsidRPr="0099577F">
              <w:rPr>
                <w:rFonts w:ascii="Calibri" w:eastAsia="Times New Roman" w:hAnsi="Calibri" w:cs="Calibri"/>
                <w:b/>
                <w:bCs/>
                <w:color w:val="000000"/>
                <w:lang w:eastAsia="en-AU"/>
              </w:rPr>
              <w:t>Bachelor degree</w:t>
            </w:r>
          </w:p>
        </w:tc>
        <w:tc>
          <w:tcPr>
            <w:tcW w:w="1652" w:type="dxa"/>
            <w:shd w:val="clear" w:color="auto" w:fill="auto"/>
            <w:noWrap/>
            <w:vAlign w:val="bottom"/>
            <w:hideMark/>
          </w:tcPr>
          <w:p w14:paraId="68365D6F" w14:textId="77777777" w:rsidR="00950006" w:rsidRDefault="0099577F" w:rsidP="003D21FF">
            <w:pPr>
              <w:spacing w:after="0" w:line="240" w:lineRule="auto"/>
              <w:jc w:val="center"/>
              <w:rPr>
                <w:rFonts w:ascii="Calibri" w:eastAsia="Times New Roman" w:hAnsi="Calibri" w:cs="Calibri"/>
                <w:b/>
                <w:bCs/>
                <w:color w:val="000000"/>
                <w:lang w:eastAsia="en-AU"/>
              </w:rPr>
            </w:pPr>
            <w:r w:rsidRPr="0099577F">
              <w:rPr>
                <w:rFonts w:ascii="Calibri" w:eastAsia="Times New Roman" w:hAnsi="Calibri" w:cs="Calibri"/>
                <w:b/>
                <w:bCs/>
                <w:color w:val="000000"/>
                <w:lang w:eastAsia="en-AU"/>
              </w:rPr>
              <w:t>Certificates/</w:t>
            </w:r>
          </w:p>
          <w:p w14:paraId="09FFBA1A" w14:textId="631643DD" w:rsidR="0099577F" w:rsidRPr="0099577F" w:rsidRDefault="0099577F" w:rsidP="003D21FF">
            <w:pPr>
              <w:spacing w:after="0" w:line="240" w:lineRule="auto"/>
              <w:jc w:val="center"/>
              <w:rPr>
                <w:rFonts w:ascii="Calibri" w:eastAsia="Times New Roman" w:hAnsi="Calibri" w:cs="Calibri"/>
                <w:b/>
                <w:bCs/>
                <w:color w:val="000000"/>
                <w:lang w:eastAsia="en-AU"/>
              </w:rPr>
            </w:pPr>
            <w:r w:rsidRPr="0099577F">
              <w:rPr>
                <w:rFonts w:ascii="Calibri" w:eastAsia="Times New Roman" w:hAnsi="Calibri" w:cs="Calibri"/>
                <w:b/>
                <w:bCs/>
                <w:color w:val="000000"/>
                <w:lang w:eastAsia="en-AU"/>
              </w:rPr>
              <w:t>diplomas</w:t>
            </w:r>
          </w:p>
        </w:tc>
        <w:tc>
          <w:tcPr>
            <w:tcW w:w="1692" w:type="dxa"/>
            <w:shd w:val="clear" w:color="auto" w:fill="auto"/>
            <w:noWrap/>
            <w:vAlign w:val="bottom"/>
            <w:hideMark/>
          </w:tcPr>
          <w:p w14:paraId="67F5FDCB" w14:textId="77777777" w:rsidR="00950006" w:rsidRDefault="0099577F" w:rsidP="003D21FF">
            <w:pPr>
              <w:spacing w:after="0" w:line="240" w:lineRule="auto"/>
              <w:jc w:val="center"/>
              <w:rPr>
                <w:rFonts w:ascii="Calibri" w:eastAsia="Times New Roman" w:hAnsi="Calibri" w:cs="Calibri"/>
                <w:b/>
                <w:bCs/>
                <w:color w:val="000000"/>
                <w:lang w:eastAsia="en-AU"/>
              </w:rPr>
            </w:pPr>
            <w:r w:rsidRPr="0099577F">
              <w:rPr>
                <w:rFonts w:ascii="Calibri" w:eastAsia="Times New Roman" w:hAnsi="Calibri" w:cs="Calibri"/>
                <w:b/>
                <w:bCs/>
                <w:color w:val="000000"/>
                <w:lang w:eastAsia="en-AU"/>
              </w:rPr>
              <w:t>Apprenticeship/</w:t>
            </w:r>
          </w:p>
          <w:p w14:paraId="32933BC8" w14:textId="0FFFEB63" w:rsidR="0099577F" w:rsidRPr="0099577F" w:rsidRDefault="0099577F" w:rsidP="003D21FF">
            <w:pPr>
              <w:spacing w:after="0" w:line="240" w:lineRule="auto"/>
              <w:jc w:val="center"/>
              <w:rPr>
                <w:rFonts w:ascii="Calibri" w:eastAsia="Times New Roman" w:hAnsi="Calibri" w:cs="Calibri"/>
                <w:b/>
                <w:bCs/>
                <w:color w:val="000000"/>
                <w:lang w:eastAsia="en-AU"/>
              </w:rPr>
            </w:pPr>
            <w:r w:rsidRPr="0099577F">
              <w:rPr>
                <w:rFonts w:ascii="Calibri" w:eastAsia="Times New Roman" w:hAnsi="Calibri" w:cs="Calibri"/>
                <w:b/>
                <w:bCs/>
                <w:color w:val="000000"/>
                <w:lang w:eastAsia="en-AU"/>
              </w:rPr>
              <w:t>traineeship</w:t>
            </w:r>
          </w:p>
        </w:tc>
        <w:tc>
          <w:tcPr>
            <w:tcW w:w="1150" w:type="dxa"/>
            <w:shd w:val="clear" w:color="auto" w:fill="auto"/>
            <w:noWrap/>
            <w:vAlign w:val="bottom"/>
            <w:hideMark/>
          </w:tcPr>
          <w:p w14:paraId="5569344F" w14:textId="77777777" w:rsidR="0099577F" w:rsidRPr="00DA053F" w:rsidRDefault="0099577F" w:rsidP="003D21FF">
            <w:pPr>
              <w:spacing w:after="0" w:line="240" w:lineRule="auto"/>
              <w:jc w:val="center"/>
              <w:rPr>
                <w:rFonts w:ascii="Calibri" w:eastAsia="Times New Roman" w:hAnsi="Calibri" w:cs="Calibri"/>
                <w:b/>
                <w:bCs/>
                <w:color w:val="000000"/>
                <w:lang w:eastAsia="en-AU"/>
              </w:rPr>
            </w:pPr>
            <w:r w:rsidRPr="00DA053F">
              <w:rPr>
                <w:rFonts w:ascii="Calibri" w:eastAsia="Times New Roman" w:hAnsi="Calibri" w:cs="Calibri"/>
                <w:b/>
                <w:bCs/>
                <w:color w:val="000000"/>
                <w:lang w:eastAsia="en-AU"/>
              </w:rPr>
              <w:t>Employed</w:t>
            </w:r>
          </w:p>
        </w:tc>
        <w:tc>
          <w:tcPr>
            <w:tcW w:w="1005" w:type="dxa"/>
            <w:shd w:val="clear" w:color="auto" w:fill="auto"/>
            <w:noWrap/>
            <w:vAlign w:val="bottom"/>
            <w:hideMark/>
          </w:tcPr>
          <w:p w14:paraId="40088D92" w14:textId="77777777" w:rsidR="0099577F" w:rsidRPr="0099577F" w:rsidRDefault="0099577F" w:rsidP="003D21FF">
            <w:pPr>
              <w:spacing w:after="0" w:line="240" w:lineRule="auto"/>
              <w:jc w:val="center"/>
              <w:rPr>
                <w:rFonts w:ascii="Calibri" w:eastAsia="Times New Roman" w:hAnsi="Calibri" w:cs="Calibri"/>
                <w:b/>
                <w:bCs/>
                <w:color w:val="000000"/>
                <w:lang w:eastAsia="en-AU"/>
              </w:rPr>
            </w:pPr>
            <w:r w:rsidRPr="0099577F">
              <w:rPr>
                <w:rFonts w:ascii="Calibri" w:eastAsia="Times New Roman" w:hAnsi="Calibri" w:cs="Calibri"/>
                <w:b/>
                <w:bCs/>
                <w:color w:val="000000"/>
                <w:lang w:eastAsia="en-AU"/>
              </w:rPr>
              <w:t>Looking for work</w:t>
            </w:r>
          </w:p>
        </w:tc>
        <w:tc>
          <w:tcPr>
            <w:tcW w:w="941" w:type="dxa"/>
            <w:shd w:val="clear" w:color="auto" w:fill="auto"/>
            <w:noWrap/>
            <w:vAlign w:val="bottom"/>
            <w:hideMark/>
          </w:tcPr>
          <w:p w14:paraId="232BEFD6" w14:textId="77777777" w:rsidR="0099577F" w:rsidRPr="0099577F" w:rsidRDefault="0099577F" w:rsidP="003D21FF">
            <w:pPr>
              <w:spacing w:after="0" w:line="240" w:lineRule="auto"/>
              <w:jc w:val="center"/>
              <w:rPr>
                <w:rFonts w:ascii="Calibri" w:eastAsia="Times New Roman" w:hAnsi="Calibri" w:cs="Calibri"/>
                <w:b/>
                <w:bCs/>
                <w:color w:val="000000"/>
                <w:lang w:eastAsia="en-AU"/>
              </w:rPr>
            </w:pPr>
            <w:r w:rsidRPr="0099577F">
              <w:rPr>
                <w:rFonts w:ascii="Calibri" w:eastAsia="Times New Roman" w:hAnsi="Calibri" w:cs="Calibri"/>
                <w:b/>
                <w:bCs/>
                <w:color w:val="000000"/>
                <w:lang w:eastAsia="en-AU"/>
              </w:rPr>
              <w:t>NILFET</w:t>
            </w:r>
          </w:p>
        </w:tc>
      </w:tr>
      <w:tr w:rsidR="00950006" w:rsidRPr="001675CD" w14:paraId="703C65C1" w14:textId="77777777" w:rsidTr="00407307">
        <w:trPr>
          <w:trHeight w:val="522"/>
          <w:jc w:val="right"/>
        </w:trPr>
        <w:tc>
          <w:tcPr>
            <w:tcW w:w="1402" w:type="dxa"/>
            <w:shd w:val="clear" w:color="auto" w:fill="auto"/>
            <w:noWrap/>
            <w:vAlign w:val="bottom"/>
            <w:hideMark/>
          </w:tcPr>
          <w:p w14:paraId="7D68CF6F" w14:textId="77777777" w:rsidR="0099577F" w:rsidRPr="0099577F" w:rsidRDefault="0099577F" w:rsidP="0099577F">
            <w:pPr>
              <w:spacing w:after="0" w:line="240" w:lineRule="auto"/>
              <w:rPr>
                <w:rFonts w:ascii="Calibri" w:eastAsia="Times New Roman" w:hAnsi="Calibri" w:cs="Calibri"/>
                <w:color w:val="000000"/>
                <w:lang w:eastAsia="en-AU"/>
              </w:rPr>
            </w:pPr>
            <w:r w:rsidRPr="0099577F">
              <w:rPr>
                <w:rFonts w:ascii="Calibri" w:eastAsia="Times New Roman" w:hAnsi="Calibri" w:cs="Calibri"/>
                <w:color w:val="000000"/>
                <w:lang w:eastAsia="en-AU"/>
              </w:rPr>
              <w:t>Government</w:t>
            </w:r>
          </w:p>
        </w:tc>
        <w:tc>
          <w:tcPr>
            <w:tcW w:w="1174" w:type="dxa"/>
            <w:shd w:val="clear" w:color="auto" w:fill="auto"/>
            <w:noWrap/>
            <w:vAlign w:val="bottom"/>
          </w:tcPr>
          <w:p w14:paraId="38EADC0C" w14:textId="402A2FE2" w:rsidR="0099577F" w:rsidRPr="001A2009" w:rsidRDefault="00C1441B" w:rsidP="003D21FF">
            <w:pPr>
              <w:spacing w:after="0" w:line="240" w:lineRule="auto"/>
              <w:jc w:val="center"/>
              <w:rPr>
                <w:rFonts w:ascii="Calibri" w:eastAsia="Times New Roman" w:hAnsi="Calibri" w:cs="Calibri"/>
                <w:color w:val="000000"/>
                <w:lang w:eastAsia="en-AU"/>
              </w:rPr>
            </w:pPr>
            <w:r w:rsidRPr="001A2009">
              <w:rPr>
                <w:rFonts w:ascii="Calibri" w:eastAsia="Times New Roman" w:hAnsi="Calibri" w:cs="Calibri"/>
                <w:color w:val="000000"/>
                <w:lang w:eastAsia="en-AU"/>
              </w:rPr>
              <w:t>48.8%</w:t>
            </w:r>
          </w:p>
        </w:tc>
        <w:tc>
          <w:tcPr>
            <w:tcW w:w="1652" w:type="dxa"/>
            <w:shd w:val="clear" w:color="auto" w:fill="auto"/>
            <w:noWrap/>
            <w:vAlign w:val="bottom"/>
          </w:tcPr>
          <w:p w14:paraId="2508829E" w14:textId="378EA289" w:rsidR="0099577F" w:rsidRPr="00EB62CB" w:rsidRDefault="00EB62CB" w:rsidP="003D21FF">
            <w:pPr>
              <w:spacing w:after="0" w:line="240" w:lineRule="auto"/>
              <w:jc w:val="center"/>
              <w:rPr>
                <w:rFonts w:ascii="Calibri" w:eastAsia="Times New Roman" w:hAnsi="Calibri" w:cs="Calibri"/>
                <w:color w:val="000000"/>
                <w:lang w:eastAsia="en-AU"/>
              </w:rPr>
            </w:pPr>
            <w:r w:rsidRPr="00EB62CB">
              <w:rPr>
                <w:rFonts w:ascii="Calibri" w:eastAsia="Times New Roman" w:hAnsi="Calibri" w:cs="Calibri"/>
                <w:color w:val="000000"/>
                <w:lang w:eastAsia="en-AU"/>
              </w:rPr>
              <w:t>13.0 %</w:t>
            </w:r>
          </w:p>
        </w:tc>
        <w:tc>
          <w:tcPr>
            <w:tcW w:w="1692" w:type="dxa"/>
            <w:shd w:val="clear" w:color="auto" w:fill="auto"/>
            <w:noWrap/>
            <w:vAlign w:val="bottom"/>
          </w:tcPr>
          <w:p w14:paraId="52879B19" w14:textId="08C34D92" w:rsidR="0099577F" w:rsidRPr="00C64705" w:rsidRDefault="007C6E27" w:rsidP="003D21FF">
            <w:pPr>
              <w:spacing w:after="0" w:line="240" w:lineRule="auto"/>
              <w:jc w:val="center"/>
              <w:rPr>
                <w:rFonts w:ascii="Calibri" w:eastAsia="Times New Roman" w:hAnsi="Calibri" w:cs="Calibri"/>
                <w:color w:val="000000"/>
                <w:lang w:eastAsia="en-AU"/>
              </w:rPr>
            </w:pPr>
            <w:r w:rsidRPr="00C64705">
              <w:rPr>
                <w:rFonts w:ascii="Calibri" w:eastAsia="Times New Roman" w:hAnsi="Calibri" w:cs="Calibri"/>
                <w:color w:val="000000"/>
                <w:lang w:eastAsia="en-AU"/>
              </w:rPr>
              <w:t>10.7%</w:t>
            </w:r>
          </w:p>
        </w:tc>
        <w:tc>
          <w:tcPr>
            <w:tcW w:w="1150" w:type="dxa"/>
            <w:shd w:val="clear" w:color="auto" w:fill="auto"/>
            <w:noWrap/>
            <w:vAlign w:val="bottom"/>
          </w:tcPr>
          <w:p w14:paraId="3755F4A9" w14:textId="0ABD20EB" w:rsidR="0099577F" w:rsidRPr="00DA053F" w:rsidRDefault="007005D5" w:rsidP="003D21FF">
            <w:pPr>
              <w:spacing w:after="0" w:line="240" w:lineRule="auto"/>
              <w:jc w:val="center"/>
              <w:rPr>
                <w:rFonts w:ascii="Calibri" w:eastAsia="Times New Roman" w:hAnsi="Calibri" w:cs="Calibri"/>
                <w:color w:val="000000"/>
                <w:lang w:eastAsia="en-AU"/>
              </w:rPr>
            </w:pPr>
            <w:r w:rsidRPr="00DA053F">
              <w:rPr>
                <w:rFonts w:ascii="Calibri" w:eastAsia="Times New Roman" w:hAnsi="Calibri" w:cs="Calibri"/>
                <w:color w:val="000000"/>
                <w:lang w:eastAsia="en-AU"/>
              </w:rPr>
              <w:t>21.2%</w:t>
            </w:r>
          </w:p>
        </w:tc>
        <w:tc>
          <w:tcPr>
            <w:tcW w:w="1005" w:type="dxa"/>
            <w:shd w:val="clear" w:color="auto" w:fill="auto"/>
            <w:noWrap/>
            <w:vAlign w:val="bottom"/>
          </w:tcPr>
          <w:p w14:paraId="7797C46B" w14:textId="79507119" w:rsidR="0099577F" w:rsidRPr="00DA053F" w:rsidRDefault="00DA053F" w:rsidP="003D21FF">
            <w:pPr>
              <w:spacing w:after="0" w:line="240" w:lineRule="auto"/>
              <w:jc w:val="center"/>
              <w:rPr>
                <w:rFonts w:ascii="Calibri" w:eastAsia="Times New Roman" w:hAnsi="Calibri" w:cs="Calibri"/>
                <w:color w:val="000000"/>
                <w:lang w:eastAsia="en-AU"/>
              </w:rPr>
            </w:pPr>
            <w:r w:rsidRPr="00DA053F">
              <w:rPr>
                <w:rFonts w:ascii="Calibri" w:eastAsia="Times New Roman" w:hAnsi="Calibri" w:cs="Calibri"/>
                <w:color w:val="000000"/>
                <w:lang w:eastAsia="en-AU"/>
              </w:rPr>
              <w:t>5.2%</w:t>
            </w:r>
          </w:p>
        </w:tc>
        <w:tc>
          <w:tcPr>
            <w:tcW w:w="941" w:type="dxa"/>
            <w:shd w:val="clear" w:color="auto" w:fill="auto"/>
            <w:noWrap/>
            <w:vAlign w:val="bottom"/>
          </w:tcPr>
          <w:p w14:paraId="14573296" w14:textId="3709B441" w:rsidR="0099577F" w:rsidRPr="001675CD" w:rsidRDefault="00DA053F" w:rsidP="003D21FF">
            <w:pPr>
              <w:spacing w:after="0" w:line="240" w:lineRule="auto"/>
              <w:jc w:val="center"/>
              <w:rPr>
                <w:rFonts w:ascii="Calibri" w:eastAsia="Times New Roman" w:hAnsi="Calibri" w:cs="Calibri"/>
                <w:color w:val="000000"/>
                <w:lang w:eastAsia="en-AU"/>
              </w:rPr>
            </w:pPr>
            <w:r w:rsidRPr="001675CD">
              <w:rPr>
                <w:rFonts w:ascii="Calibri" w:eastAsia="Times New Roman" w:hAnsi="Calibri" w:cs="Calibri"/>
                <w:color w:val="000000"/>
                <w:lang w:eastAsia="en-AU"/>
              </w:rPr>
              <w:t>1.1%</w:t>
            </w:r>
          </w:p>
        </w:tc>
      </w:tr>
      <w:tr w:rsidR="00950006" w:rsidRPr="001675CD" w14:paraId="045E0282" w14:textId="77777777" w:rsidTr="00407307">
        <w:trPr>
          <w:trHeight w:val="522"/>
          <w:jc w:val="right"/>
        </w:trPr>
        <w:tc>
          <w:tcPr>
            <w:tcW w:w="1402" w:type="dxa"/>
            <w:shd w:val="clear" w:color="auto" w:fill="auto"/>
            <w:noWrap/>
            <w:vAlign w:val="bottom"/>
            <w:hideMark/>
          </w:tcPr>
          <w:p w14:paraId="58187EF8" w14:textId="77777777" w:rsidR="0099577F" w:rsidRPr="0099577F" w:rsidRDefault="0099577F" w:rsidP="0099577F">
            <w:pPr>
              <w:spacing w:after="0" w:line="240" w:lineRule="auto"/>
              <w:rPr>
                <w:rFonts w:ascii="Calibri" w:eastAsia="Times New Roman" w:hAnsi="Calibri" w:cs="Calibri"/>
                <w:color w:val="000000"/>
                <w:lang w:eastAsia="en-AU"/>
              </w:rPr>
            </w:pPr>
            <w:r w:rsidRPr="0099577F">
              <w:rPr>
                <w:rFonts w:ascii="Calibri" w:eastAsia="Times New Roman" w:hAnsi="Calibri" w:cs="Calibri"/>
                <w:color w:val="000000"/>
                <w:lang w:eastAsia="en-AU"/>
              </w:rPr>
              <w:t>Non-Government</w:t>
            </w:r>
          </w:p>
        </w:tc>
        <w:tc>
          <w:tcPr>
            <w:tcW w:w="1174" w:type="dxa"/>
            <w:shd w:val="clear" w:color="auto" w:fill="auto"/>
            <w:noWrap/>
            <w:vAlign w:val="bottom"/>
          </w:tcPr>
          <w:p w14:paraId="3ECBD2A0" w14:textId="45A3A917" w:rsidR="0099577F" w:rsidRPr="001A2009" w:rsidRDefault="00C1441B" w:rsidP="003D21FF">
            <w:pPr>
              <w:spacing w:after="0" w:line="240" w:lineRule="auto"/>
              <w:jc w:val="center"/>
              <w:rPr>
                <w:rFonts w:ascii="Calibri" w:eastAsia="Times New Roman" w:hAnsi="Calibri" w:cs="Calibri"/>
                <w:color w:val="000000"/>
                <w:lang w:eastAsia="en-AU"/>
              </w:rPr>
            </w:pPr>
            <w:r w:rsidRPr="001A2009">
              <w:rPr>
                <w:rFonts w:ascii="Calibri" w:eastAsia="Times New Roman" w:hAnsi="Calibri" w:cs="Calibri"/>
                <w:color w:val="000000"/>
                <w:lang w:eastAsia="en-AU"/>
              </w:rPr>
              <w:t>64.2%</w:t>
            </w:r>
          </w:p>
        </w:tc>
        <w:tc>
          <w:tcPr>
            <w:tcW w:w="1652" w:type="dxa"/>
            <w:shd w:val="clear" w:color="auto" w:fill="auto"/>
            <w:noWrap/>
            <w:vAlign w:val="bottom"/>
          </w:tcPr>
          <w:p w14:paraId="2C5C187F" w14:textId="13801C07" w:rsidR="0099577F" w:rsidRPr="00EB62CB" w:rsidRDefault="00EB62CB" w:rsidP="003D21FF">
            <w:pPr>
              <w:spacing w:after="0" w:line="240" w:lineRule="auto"/>
              <w:jc w:val="center"/>
              <w:rPr>
                <w:rFonts w:ascii="Calibri" w:eastAsia="Times New Roman" w:hAnsi="Calibri" w:cs="Calibri"/>
                <w:color w:val="000000"/>
                <w:lang w:eastAsia="en-AU"/>
              </w:rPr>
            </w:pPr>
            <w:r w:rsidRPr="00EB62CB">
              <w:rPr>
                <w:rFonts w:ascii="Calibri" w:eastAsia="Times New Roman" w:hAnsi="Calibri" w:cs="Calibri"/>
                <w:color w:val="000000"/>
                <w:lang w:eastAsia="en-AU"/>
              </w:rPr>
              <w:t>9.4%</w:t>
            </w:r>
          </w:p>
        </w:tc>
        <w:tc>
          <w:tcPr>
            <w:tcW w:w="1692" w:type="dxa"/>
            <w:shd w:val="clear" w:color="auto" w:fill="auto"/>
            <w:noWrap/>
            <w:vAlign w:val="bottom"/>
          </w:tcPr>
          <w:p w14:paraId="642487D7" w14:textId="464C2A30" w:rsidR="0099577F" w:rsidRPr="00C64705" w:rsidRDefault="00C64705" w:rsidP="003D21FF">
            <w:pPr>
              <w:spacing w:after="0" w:line="240" w:lineRule="auto"/>
              <w:jc w:val="center"/>
              <w:rPr>
                <w:rFonts w:ascii="Calibri" w:eastAsia="Times New Roman" w:hAnsi="Calibri" w:cs="Calibri"/>
                <w:color w:val="000000"/>
                <w:lang w:eastAsia="en-AU"/>
              </w:rPr>
            </w:pPr>
            <w:r w:rsidRPr="00C64705">
              <w:rPr>
                <w:rFonts w:ascii="Calibri" w:eastAsia="Times New Roman" w:hAnsi="Calibri" w:cs="Calibri"/>
                <w:color w:val="000000"/>
                <w:lang w:eastAsia="en-AU"/>
              </w:rPr>
              <w:t>8.8%</w:t>
            </w:r>
          </w:p>
        </w:tc>
        <w:tc>
          <w:tcPr>
            <w:tcW w:w="1150" w:type="dxa"/>
            <w:shd w:val="clear" w:color="auto" w:fill="auto"/>
            <w:noWrap/>
            <w:vAlign w:val="bottom"/>
          </w:tcPr>
          <w:p w14:paraId="687C3CC9" w14:textId="7218D379" w:rsidR="0099577F" w:rsidRPr="00DA053F" w:rsidRDefault="007005D5" w:rsidP="003D21FF">
            <w:pPr>
              <w:spacing w:after="0" w:line="240" w:lineRule="auto"/>
              <w:jc w:val="center"/>
              <w:rPr>
                <w:rFonts w:ascii="Calibri" w:eastAsia="Times New Roman" w:hAnsi="Calibri" w:cs="Calibri"/>
                <w:color w:val="000000"/>
                <w:lang w:eastAsia="en-AU"/>
              </w:rPr>
            </w:pPr>
            <w:r w:rsidRPr="00DA053F">
              <w:rPr>
                <w:rFonts w:ascii="Calibri" w:eastAsia="Times New Roman" w:hAnsi="Calibri" w:cs="Calibri"/>
                <w:color w:val="000000"/>
                <w:lang w:eastAsia="en-AU"/>
              </w:rPr>
              <w:t>14.5%</w:t>
            </w:r>
          </w:p>
        </w:tc>
        <w:tc>
          <w:tcPr>
            <w:tcW w:w="1005" w:type="dxa"/>
            <w:shd w:val="clear" w:color="auto" w:fill="auto"/>
            <w:noWrap/>
            <w:vAlign w:val="bottom"/>
          </w:tcPr>
          <w:p w14:paraId="0134EAA0" w14:textId="054EEEB6" w:rsidR="0099577F" w:rsidRPr="00DA053F" w:rsidRDefault="00DA053F" w:rsidP="003D21FF">
            <w:pPr>
              <w:spacing w:after="0" w:line="240" w:lineRule="auto"/>
              <w:jc w:val="center"/>
              <w:rPr>
                <w:rFonts w:ascii="Calibri" w:eastAsia="Times New Roman" w:hAnsi="Calibri" w:cs="Calibri"/>
                <w:color w:val="000000"/>
                <w:lang w:eastAsia="en-AU"/>
              </w:rPr>
            </w:pPr>
            <w:r w:rsidRPr="00DA053F">
              <w:rPr>
                <w:rFonts w:ascii="Calibri" w:eastAsia="Times New Roman" w:hAnsi="Calibri" w:cs="Calibri"/>
                <w:color w:val="000000"/>
                <w:lang w:eastAsia="en-AU"/>
              </w:rPr>
              <w:t>2.4%</w:t>
            </w:r>
          </w:p>
        </w:tc>
        <w:tc>
          <w:tcPr>
            <w:tcW w:w="941" w:type="dxa"/>
            <w:shd w:val="clear" w:color="auto" w:fill="auto"/>
            <w:noWrap/>
            <w:vAlign w:val="bottom"/>
          </w:tcPr>
          <w:p w14:paraId="6619BC69" w14:textId="24A53C5F" w:rsidR="0099577F" w:rsidRPr="001675CD" w:rsidRDefault="00DA053F" w:rsidP="003D21FF">
            <w:pPr>
              <w:spacing w:after="0" w:line="240" w:lineRule="auto"/>
              <w:jc w:val="center"/>
              <w:rPr>
                <w:rFonts w:ascii="Calibri" w:eastAsia="Times New Roman" w:hAnsi="Calibri" w:cs="Calibri"/>
                <w:color w:val="000000"/>
                <w:lang w:eastAsia="en-AU"/>
              </w:rPr>
            </w:pPr>
            <w:r w:rsidRPr="001675CD">
              <w:rPr>
                <w:rFonts w:ascii="Calibri" w:eastAsia="Times New Roman" w:hAnsi="Calibri" w:cs="Calibri"/>
                <w:color w:val="000000"/>
                <w:lang w:eastAsia="en-AU"/>
              </w:rPr>
              <w:t>0.7%</w:t>
            </w:r>
          </w:p>
        </w:tc>
      </w:tr>
      <w:tr w:rsidR="00950006" w:rsidRPr="001675CD" w14:paraId="223A7167" w14:textId="77777777" w:rsidTr="00407307">
        <w:trPr>
          <w:trHeight w:val="522"/>
          <w:jc w:val="right"/>
        </w:trPr>
        <w:tc>
          <w:tcPr>
            <w:tcW w:w="1402" w:type="dxa"/>
            <w:shd w:val="clear" w:color="auto" w:fill="auto"/>
            <w:noWrap/>
            <w:vAlign w:val="bottom"/>
            <w:hideMark/>
          </w:tcPr>
          <w:p w14:paraId="2592E58F" w14:textId="63FAD23A" w:rsidR="0099577F" w:rsidRPr="0099577F" w:rsidRDefault="00F653F0" w:rsidP="0099577F">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All Year 12 completer respondents</w:t>
            </w:r>
          </w:p>
        </w:tc>
        <w:tc>
          <w:tcPr>
            <w:tcW w:w="1174" w:type="dxa"/>
            <w:shd w:val="clear" w:color="auto" w:fill="auto"/>
            <w:noWrap/>
            <w:vAlign w:val="bottom"/>
          </w:tcPr>
          <w:p w14:paraId="0F7D587F" w14:textId="1789FF6C" w:rsidR="0099577F" w:rsidRPr="001A2009" w:rsidRDefault="001A2009" w:rsidP="003D21FF">
            <w:pPr>
              <w:spacing w:after="0" w:line="240" w:lineRule="auto"/>
              <w:jc w:val="center"/>
              <w:rPr>
                <w:rFonts w:ascii="Calibri" w:eastAsia="Times New Roman" w:hAnsi="Calibri" w:cs="Calibri"/>
                <w:color w:val="000000"/>
                <w:lang w:eastAsia="en-AU"/>
              </w:rPr>
            </w:pPr>
            <w:r w:rsidRPr="001A2009">
              <w:rPr>
                <w:rFonts w:ascii="Calibri" w:eastAsia="Times New Roman" w:hAnsi="Calibri" w:cs="Calibri"/>
                <w:color w:val="000000"/>
                <w:lang w:eastAsia="en-AU"/>
              </w:rPr>
              <w:t>56.1%</w:t>
            </w:r>
          </w:p>
        </w:tc>
        <w:tc>
          <w:tcPr>
            <w:tcW w:w="1652" w:type="dxa"/>
            <w:shd w:val="clear" w:color="auto" w:fill="auto"/>
            <w:noWrap/>
            <w:vAlign w:val="bottom"/>
          </w:tcPr>
          <w:p w14:paraId="56B8C6CB" w14:textId="4E984316" w:rsidR="0099577F" w:rsidRPr="00EB62CB" w:rsidRDefault="00EB62CB" w:rsidP="003D21FF">
            <w:pPr>
              <w:spacing w:after="0" w:line="240" w:lineRule="auto"/>
              <w:jc w:val="center"/>
              <w:rPr>
                <w:rFonts w:ascii="Calibri" w:eastAsia="Times New Roman" w:hAnsi="Calibri" w:cs="Calibri"/>
                <w:color w:val="000000"/>
                <w:lang w:eastAsia="en-AU"/>
              </w:rPr>
            </w:pPr>
            <w:r w:rsidRPr="00EB62CB">
              <w:rPr>
                <w:rFonts w:ascii="Calibri" w:eastAsia="Times New Roman" w:hAnsi="Calibri" w:cs="Calibri"/>
                <w:color w:val="000000"/>
                <w:lang w:eastAsia="en-AU"/>
              </w:rPr>
              <w:t>11.3%</w:t>
            </w:r>
          </w:p>
        </w:tc>
        <w:tc>
          <w:tcPr>
            <w:tcW w:w="1692" w:type="dxa"/>
            <w:shd w:val="clear" w:color="auto" w:fill="auto"/>
            <w:noWrap/>
            <w:vAlign w:val="bottom"/>
          </w:tcPr>
          <w:p w14:paraId="09AF3E9A" w14:textId="2530A174" w:rsidR="0099577F" w:rsidRPr="00C64705" w:rsidRDefault="00C64705" w:rsidP="003D21FF">
            <w:pPr>
              <w:spacing w:after="0" w:line="240" w:lineRule="auto"/>
              <w:jc w:val="center"/>
              <w:rPr>
                <w:rFonts w:ascii="Calibri" w:eastAsia="Times New Roman" w:hAnsi="Calibri" w:cs="Calibri"/>
                <w:color w:val="000000"/>
                <w:lang w:eastAsia="en-AU"/>
              </w:rPr>
            </w:pPr>
            <w:r w:rsidRPr="00C64705">
              <w:rPr>
                <w:rFonts w:ascii="Calibri" w:eastAsia="Times New Roman" w:hAnsi="Calibri" w:cs="Calibri"/>
                <w:color w:val="000000"/>
                <w:lang w:eastAsia="en-AU"/>
              </w:rPr>
              <w:t>9.8%</w:t>
            </w:r>
          </w:p>
        </w:tc>
        <w:tc>
          <w:tcPr>
            <w:tcW w:w="1150" w:type="dxa"/>
            <w:shd w:val="clear" w:color="auto" w:fill="auto"/>
            <w:noWrap/>
            <w:vAlign w:val="bottom"/>
          </w:tcPr>
          <w:p w14:paraId="23016028" w14:textId="58299D77" w:rsidR="0099577F" w:rsidRPr="00DA053F" w:rsidRDefault="00DA053F" w:rsidP="003D21FF">
            <w:pPr>
              <w:spacing w:after="0" w:line="240" w:lineRule="auto"/>
              <w:jc w:val="center"/>
              <w:rPr>
                <w:rFonts w:ascii="Calibri" w:eastAsia="Times New Roman" w:hAnsi="Calibri" w:cs="Calibri"/>
                <w:color w:val="000000"/>
                <w:lang w:eastAsia="en-AU"/>
              </w:rPr>
            </w:pPr>
            <w:r w:rsidRPr="00DA053F">
              <w:rPr>
                <w:rFonts w:ascii="Calibri" w:eastAsia="Times New Roman" w:hAnsi="Calibri" w:cs="Calibri"/>
                <w:color w:val="000000"/>
                <w:lang w:eastAsia="en-AU"/>
              </w:rPr>
              <w:t>18.0%</w:t>
            </w:r>
          </w:p>
        </w:tc>
        <w:tc>
          <w:tcPr>
            <w:tcW w:w="1005" w:type="dxa"/>
            <w:shd w:val="clear" w:color="auto" w:fill="auto"/>
            <w:noWrap/>
            <w:vAlign w:val="bottom"/>
          </w:tcPr>
          <w:p w14:paraId="06D29994" w14:textId="0A8FA64B" w:rsidR="0099577F" w:rsidRPr="00DA053F" w:rsidRDefault="00DA053F" w:rsidP="003D21FF">
            <w:pPr>
              <w:spacing w:after="0" w:line="240" w:lineRule="auto"/>
              <w:jc w:val="center"/>
              <w:rPr>
                <w:rFonts w:ascii="Calibri" w:eastAsia="Times New Roman" w:hAnsi="Calibri" w:cs="Calibri"/>
                <w:color w:val="000000"/>
                <w:lang w:eastAsia="en-AU"/>
              </w:rPr>
            </w:pPr>
            <w:r w:rsidRPr="00DA053F">
              <w:rPr>
                <w:rFonts w:ascii="Calibri" w:eastAsia="Times New Roman" w:hAnsi="Calibri" w:cs="Calibri"/>
                <w:color w:val="000000"/>
                <w:lang w:eastAsia="en-AU"/>
              </w:rPr>
              <w:t>3.9%</w:t>
            </w:r>
          </w:p>
        </w:tc>
        <w:tc>
          <w:tcPr>
            <w:tcW w:w="941" w:type="dxa"/>
            <w:shd w:val="clear" w:color="auto" w:fill="auto"/>
            <w:noWrap/>
            <w:vAlign w:val="bottom"/>
          </w:tcPr>
          <w:p w14:paraId="585A7B56" w14:textId="13277E0C" w:rsidR="0099577F" w:rsidRPr="001675CD" w:rsidRDefault="001675CD" w:rsidP="003D21FF">
            <w:pPr>
              <w:spacing w:after="0" w:line="240" w:lineRule="auto"/>
              <w:jc w:val="center"/>
              <w:rPr>
                <w:rFonts w:ascii="Calibri" w:eastAsia="Times New Roman" w:hAnsi="Calibri" w:cs="Calibri"/>
                <w:color w:val="000000"/>
                <w:lang w:eastAsia="en-AU"/>
              </w:rPr>
            </w:pPr>
            <w:r w:rsidRPr="001675CD">
              <w:rPr>
                <w:rFonts w:ascii="Calibri" w:eastAsia="Times New Roman" w:hAnsi="Calibri" w:cs="Calibri"/>
                <w:color w:val="000000"/>
                <w:lang w:eastAsia="en-AU"/>
              </w:rPr>
              <w:t>0.9%</w:t>
            </w:r>
          </w:p>
        </w:tc>
      </w:tr>
    </w:tbl>
    <w:p w14:paraId="012636EF" w14:textId="77777777" w:rsidR="0099577F" w:rsidRDefault="0099577F" w:rsidP="000342C7">
      <w:pPr>
        <w:rPr>
          <w:rFonts w:cstheme="minorHAnsi"/>
          <w:b/>
          <w:bCs/>
        </w:rPr>
      </w:pPr>
    </w:p>
    <w:p w14:paraId="44A49B65" w14:textId="578CC6AE" w:rsidR="00B11050" w:rsidRPr="000B72FA" w:rsidRDefault="008842F5" w:rsidP="000B72FA">
      <w:pPr>
        <w:spacing w:line="240" w:lineRule="auto"/>
        <w:contextualSpacing/>
        <w:rPr>
          <w:rFonts w:cstheme="minorHAnsi"/>
          <w:b/>
        </w:rPr>
      </w:pPr>
      <w:r w:rsidRPr="000B72FA">
        <w:rPr>
          <w:rFonts w:cstheme="minorHAnsi"/>
          <w:b/>
        </w:rPr>
        <w:t xml:space="preserve">Key findings </w:t>
      </w:r>
      <w:r w:rsidR="000342C7">
        <w:rPr>
          <w:rFonts w:cstheme="minorHAnsi"/>
          <w:b/>
        </w:rPr>
        <w:t xml:space="preserve">across sectors </w:t>
      </w:r>
      <w:r w:rsidRPr="000B72FA">
        <w:rPr>
          <w:rFonts w:cstheme="minorHAnsi"/>
          <w:b/>
        </w:rPr>
        <w:t>over time</w:t>
      </w:r>
    </w:p>
    <w:p w14:paraId="091B3FA4" w14:textId="4A43B41F" w:rsidR="00B647AE" w:rsidRDefault="00FF067B" w:rsidP="000B72FA">
      <w:pPr>
        <w:pStyle w:val="ListParagraph"/>
        <w:numPr>
          <w:ilvl w:val="0"/>
          <w:numId w:val="10"/>
        </w:numPr>
        <w:spacing w:line="240" w:lineRule="auto"/>
        <w:rPr>
          <w:rFonts w:cstheme="minorHAnsi"/>
        </w:rPr>
      </w:pPr>
      <w:r>
        <w:rPr>
          <w:rFonts w:cstheme="minorHAnsi"/>
        </w:rPr>
        <w:t>In 2021, t</w:t>
      </w:r>
      <w:r w:rsidR="000B74C6" w:rsidRPr="00451766">
        <w:rPr>
          <w:rFonts w:cstheme="minorHAnsi"/>
        </w:rPr>
        <w:t>here has been a</w:t>
      </w:r>
      <w:r>
        <w:rPr>
          <w:rFonts w:cstheme="minorHAnsi"/>
        </w:rPr>
        <w:t>n increase</w:t>
      </w:r>
      <w:r w:rsidR="00F30CF1" w:rsidRPr="00451766">
        <w:rPr>
          <w:rFonts w:cstheme="minorHAnsi"/>
        </w:rPr>
        <w:t xml:space="preserve"> in government school students continuing on into education and training after completing Year 12 (</w:t>
      </w:r>
      <w:r>
        <w:rPr>
          <w:rFonts w:cstheme="minorHAnsi"/>
        </w:rPr>
        <w:t xml:space="preserve">increasing </w:t>
      </w:r>
      <w:r w:rsidR="00F30CF1" w:rsidRPr="00451766">
        <w:rPr>
          <w:rFonts w:cstheme="minorHAnsi"/>
        </w:rPr>
        <w:t xml:space="preserve">from </w:t>
      </w:r>
      <w:r w:rsidR="00497AC3" w:rsidRPr="00451766">
        <w:rPr>
          <w:rFonts w:cstheme="minorHAnsi"/>
        </w:rPr>
        <w:t>7</w:t>
      </w:r>
      <w:r>
        <w:rPr>
          <w:rFonts w:cstheme="minorHAnsi"/>
        </w:rPr>
        <w:t>0.0</w:t>
      </w:r>
      <w:r w:rsidR="00497AC3" w:rsidRPr="00451766">
        <w:rPr>
          <w:rFonts w:cstheme="minorHAnsi"/>
        </w:rPr>
        <w:t xml:space="preserve"> </w:t>
      </w:r>
      <w:r w:rsidR="00F30CF1" w:rsidRPr="00451766">
        <w:rPr>
          <w:rFonts w:cstheme="minorHAnsi"/>
        </w:rPr>
        <w:t xml:space="preserve">per cent in </w:t>
      </w:r>
      <w:r w:rsidR="00497AC3" w:rsidRPr="00451766">
        <w:rPr>
          <w:rFonts w:cstheme="minorHAnsi"/>
        </w:rPr>
        <w:t>201</w:t>
      </w:r>
      <w:r>
        <w:rPr>
          <w:rFonts w:cstheme="minorHAnsi"/>
        </w:rPr>
        <w:t>7</w:t>
      </w:r>
      <w:r w:rsidR="00497AC3" w:rsidRPr="00451766">
        <w:rPr>
          <w:rFonts w:cstheme="minorHAnsi"/>
        </w:rPr>
        <w:t xml:space="preserve"> </w:t>
      </w:r>
      <w:r w:rsidR="00F30CF1" w:rsidRPr="00451766">
        <w:rPr>
          <w:rFonts w:cstheme="minorHAnsi"/>
        </w:rPr>
        <w:t xml:space="preserve">to </w:t>
      </w:r>
      <w:r>
        <w:rPr>
          <w:rFonts w:cstheme="minorHAnsi"/>
        </w:rPr>
        <w:t>72.5</w:t>
      </w:r>
      <w:r w:rsidR="00497AC3" w:rsidRPr="00451766">
        <w:rPr>
          <w:rFonts w:cstheme="minorHAnsi"/>
        </w:rPr>
        <w:t xml:space="preserve"> </w:t>
      </w:r>
      <w:r w:rsidR="00F30CF1" w:rsidRPr="00451766">
        <w:rPr>
          <w:rFonts w:cstheme="minorHAnsi"/>
        </w:rPr>
        <w:t xml:space="preserve">per cent in </w:t>
      </w:r>
      <w:r w:rsidR="00497AC3" w:rsidRPr="00451766">
        <w:rPr>
          <w:rFonts w:cstheme="minorHAnsi"/>
        </w:rPr>
        <w:t>202</w:t>
      </w:r>
      <w:r w:rsidR="00B51BF1" w:rsidRPr="00451766">
        <w:rPr>
          <w:rFonts w:cstheme="minorHAnsi"/>
        </w:rPr>
        <w:t>1</w:t>
      </w:r>
      <w:r w:rsidR="00F30CF1" w:rsidRPr="00451766">
        <w:rPr>
          <w:rFonts w:cstheme="minorHAnsi"/>
        </w:rPr>
        <w:t>)</w:t>
      </w:r>
      <w:r>
        <w:rPr>
          <w:rFonts w:cstheme="minorHAnsi"/>
        </w:rPr>
        <w:t>. This is mainly due</w:t>
      </w:r>
      <w:r w:rsidR="00F30CF1" w:rsidRPr="00451766">
        <w:rPr>
          <w:rFonts w:cstheme="minorHAnsi"/>
        </w:rPr>
        <w:t xml:space="preserve"> to </w:t>
      </w:r>
      <w:r>
        <w:rPr>
          <w:rFonts w:cstheme="minorHAnsi"/>
        </w:rPr>
        <w:t xml:space="preserve">rises in </w:t>
      </w:r>
      <w:r w:rsidR="003A63B5">
        <w:rPr>
          <w:rFonts w:cstheme="minorHAnsi"/>
        </w:rPr>
        <w:t xml:space="preserve">respondents commencing </w:t>
      </w:r>
      <w:r>
        <w:rPr>
          <w:rFonts w:cstheme="minorHAnsi"/>
        </w:rPr>
        <w:t>apprenticeships</w:t>
      </w:r>
      <w:r w:rsidR="00F97440">
        <w:rPr>
          <w:rFonts w:cstheme="minorHAnsi"/>
        </w:rPr>
        <w:t xml:space="preserve"> or</w:t>
      </w:r>
      <w:r>
        <w:rPr>
          <w:rFonts w:cstheme="minorHAnsi"/>
        </w:rPr>
        <w:t xml:space="preserve"> traineeships and pursuing degrees which both had been stable prior to 2020. </w:t>
      </w:r>
    </w:p>
    <w:p w14:paraId="24D771AC" w14:textId="4065FA96" w:rsidR="00F30CF1" w:rsidRPr="00451766" w:rsidRDefault="00FF067B" w:rsidP="000B72FA">
      <w:pPr>
        <w:pStyle w:val="ListParagraph"/>
        <w:numPr>
          <w:ilvl w:val="0"/>
          <w:numId w:val="10"/>
        </w:numPr>
        <w:spacing w:line="240" w:lineRule="auto"/>
        <w:rPr>
          <w:rFonts w:cstheme="minorHAnsi"/>
        </w:rPr>
      </w:pPr>
      <w:r>
        <w:rPr>
          <w:rFonts w:cstheme="minorHAnsi"/>
        </w:rPr>
        <w:lastRenderedPageBreak/>
        <w:t>In</w:t>
      </w:r>
      <w:r w:rsidR="00F30CF1" w:rsidRPr="00451766">
        <w:rPr>
          <w:rFonts w:cstheme="minorHAnsi"/>
        </w:rPr>
        <w:t xml:space="preserve"> non-government school</w:t>
      </w:r>
      <w:r>
        <w:rPr>
          <w:rFonts w:cstheme="minorHAnsi"/>
        </w:rPr>
        <w:t xml:space="preserve">s in 2021, </w:t>
      </w:r>
      <w:r w:rsidR="00B647AE">
        <w:rPr>
          <w:rFonts w:cstheme="minorHAnsi"/>
        </w:rPr>
        <w:t>82.4</w:t>
      </w:r>
      <w:r w:rsidR="00F30CF1" w:rsidRPr="00451766">
        <w:rPr>
          <w:rFonts w:cstheme="minorHAnsi"/>
        </w:rPr>
        <w:t xml:space="preserve"> per cent </w:t>
      </w:r>
      <w:r w:rsidR="00B647AE">
        <w:rPr>
          <w:rFonts w:cstheme="minorHAnsi"/>
        </w:rPr>
        <w:t>of</w:t>
      </w:r>
      <w:r>
        <w:rPr>
          <w:rFonts w:cstheme="minorHAnsi"/>
        </w:rPr>
        <w:t xml:space="preserve"> </w:t>
      </w:r>
      <w:r w:rsidR="003A63B5">
        <w:rPr>
          <w:rFonts w:cstheme="minorHAnsi"/>
        </w:rPr>
        <w:t>respondents report</w:t>
      </w:r>
      <w:r w:rsidR="006B1229">
        <w:rPr>
          <w:rFonts w:cstheme="minorHAnsi"/>
        </w:rPr>
        <w:t>ed</w:t>
      </w:r>
      <w:r w:rsidR="003A63B5">
        <w:rPr>
          <w:rFonts w:cstheme="minorHAnsi"/>
        </w:rPr>
        <w:t xml:space="preserve"> continuing </w:t>
      </w:r>
      <w:r>
        <w:rPr>
          <w:rFonts w:cstheme="minorHAnsi"/>
        </w:rPr>
        <w:t>on into education or training</w:t>
      </w:r>
      <w:r w:rsidR="00B647AE">
        <w:rPr>
          <w:rFonts w:cstheme="minorHAnsi"/>
        </w:rPr>
        <w:t>. This figure had been relatively stable prior to 2021 and up from</w:t>
      </w:r>
      <w:r>
        <w:rPr>
          <w:rFonts w:cstheme="minorHAnsi"/>
        </w:rPr>
        <w:t xml:space="preserve"> </w:t>
      </w:r>
      <w:r w:rsidR="00B647AE">
        <w:rPr>
          <w:rFonts w:cstheme="minorHAnsi"/>
        </w:rPr>
        <w:t>80.9</w:t>
      </w:r>
      <w:r w:rsidR="003A63B5">
        <w:rPr>
          <w:rFonts w:cstheme="minorHAnsi"/>
        </w:rPr>
        <w:t xml:space="preserve"> per cent</w:t>
      </w:r>
      <w:r w:rsidR="00B647AE">
        <w:rPr>
          <w:rFonts w:cstheme="minorHAnsi"/>
        </w:rPr>
        <w:t xml:space="preserve"> in 2017.</w:t>
      </w:r>
    </w:p>
    <w:p w14:paraId="7CCF8DD5" w14:textId="6F946D29" w:rsidR="00F30CF1" w:rsidRPr="00453D0B" w:rsidRDefault="00834571" w:rsidP="000B72FA">
      <w:pPr>
        <w:pStyle w:val="ListParagraph"/>
        <w:numPr>
          <w:ilvl w:val="0"/>
          <w:numId w:val="10"/>
        </w:numPr>
        <w:spacing w:line="240" w:lineRule="auto"/>
        <w:rPr>
          <w:rFonts w:cstheme="minorHAnsi"/>
        </w:rPr>
      </w:pPr>
      <w:r w:rsidRPr="00453D0B">
        <w:rPr>
          <w:rFonts w:cstheme="minorHAnsi"/>
        </w:rPr>
        <w:t xml:space="preserve">There has been </w:t>
      </w:r>
      <w:r w:rsidR="00B647AE">
        <w:rPr>
          <w:rFonts w:cstheme="minorHAnsi"/>
        </w:rPr>
        <w:t>an</w:t>
      </w:r>
      <w:r w:rsidRPr="00453D0B">
        <w:rPr>
          <w:rFonts w:cstheme="minorHAnsi"/>
        </w:rPr>
        <w:t xml:space="preserve"> increase in the proportion of</w:t>
      </w:r>
      <w:r w:rsidR="003E6D9A" w:rsidRPr="00453D0B">
        <w:rPr>
          <w:rFonts w:cstheme="minorHAnsi"/>
        </w:rPr>
        <w:t xml:space="preserve"> Year 12 completers from government schools proceeding to </w:t>
      </w:r>
      <w:r w:rsidR="00E94B80" w:rsidRPr="00453D0B">
        <w:rPr>
          <w:rFonts w:cstheme="minorHAnsi"/>
        </w:rPr>
        <w:t>B</w:t>
      </w:r>
      <w:r w:rsidR="003E6D9A" w:rsidRPr="00453D0B">
        <w:rPr>
          <w:rFonts w:cstheme="minorHAnsi"/>
        </w:rPr>
        <w:t>achelor degree studies (</w:t>
      </w:r>
      <w:r w:rsidR="00775563" w:rsidRPr="00453D0B">
        <w:rPr>
          <w:rFonts w:cstheme="minorHAnsi"/>
        </w:rPr>
        <w:t>4</w:t>
      </w:r>
      <w:r w:rsidR="00B647AE">
        <w:rPr>
          <w:rFonts w:cstheme="minorHAnsi"/>
        </w:rPr>
        <w:t>8.8</w:t>
      </w:r>
      <w:r w:rsidR="00775563" w:rsidRPr="00453D0B">
        <w:rPr>
          <w:rFonts w:cstheme="minorHAnsi"/>
        </w:rPr>
        <w:t xml:space="preserve"> per cent in 202</w:t>
      </w:r>
      <w:r w:rsidR="00453D0B" w:rsidRPr="00453D0B">
        <w:rPr>
          <w:rFonts w:cstheme="minorHAnsi"/>
        </w:rPr>
        <w:t>1</w:t>
      </w:r>
      <w:r w:rsidR="00775563" w:rsidRPr="00453D0B">
        <w:rPr>
          <w:rFonts w:cstheme="minorHAnsi"/>
        </w:rPr>
        <w:t xml:space="preserve">, up from </w:t>
      </w:r>
      <w:r w:rsidR="00335A9E" w:rsidRPr="00453D0B">
        <w:rPr>
          <w:rFonts w:cstheme="minorHAnsi"/>
        </w:rPr>
        <w:t>4</w:t>
      </w:r>
      <w:r w:rsidR="00B647AE">
        <w:rPr>
          <w:rFonts w:cstheme="minorHAnsi"/>
        </w:rPr>
        <w:t>5.</w:t>
      </w:r>
      <w:r w:rsidR="00335A9E" w:rsidRPr="00453D0B">
        <w:rPr>
          <w:rFonts w:cstheme="minorHAnsi"/>
        </w:rPr>
        <w:t>4 per cent in 201</w:t>
      </w:r>
      <w:r w:rsidR="00B647AE">
        <w:rPr>
          <w:rFonts w:cstheme="minorHAnsi"/>
        </w:rPr>
        <w:t>7</w:t>
      </w:r>
      <w:r w:rsidR="00335A9E" w:rsidRPr="00453D0B">
        <w:rPr>
          <w:rFonts w:cstheme="minorHAnsi"/>
        </w:rPr>
        <w:t>).</w:t>
      </w:r>
    </w:p>
    <w:p w14:paraId="7109390D" w14:textId="3F2A826C" w:rsidR="00F30CF1" w:rsidRPr="0014709A" w:rsidRDefault="00735953" w:rsidP="000B72FA">
      <w:pPr>
        <w:pStyle w:val="ListParagraph"/>
        <w:numPr>
          <w:ilvl w:val="0"/>
          <w:numId w:val="10"/>
        </w:numPr>
        <w:spacing w:line="240" w:lineRule="auto"/>
        <w:rPr>
          <w:rFonts w:cstheme="minorHAnsi"/>
        </w:rPr>
      </w:pPr>
      <w:r w:rsidRPr="0014709A">
        <w:rPr>
          <w:rFonts w:cstheme="minorHAnsi"/>
        </w:rPr>
        <w:t xml:space="preserve">While the employment opportunities for both government and non-government school </w:t>
      </w:r>
      <w:r w:rsidR="001F3376" w:rsidRPr="0014709A">
        <w:rPr>
          <w:rFonts w:cstheme="minorHAnsi"/>
        </w:rPr>
        <w:t xml:space="preserve">leavers were disrupted by COVID-19, </w:t>
      </w:r>
      <w:r w:rsidR="00E85C5F" w:rsidRPr="0014709A">
        <w:rPr>
          <w:rFonts w:cstheme="minorHAnsi"/>
        </w:rPr>
        <w:t xml:space="preserve">students leaving a government school after completing Year 12 </w:t>
      </w:r>
      <w:r w:rsidR="002A2B87" w:rsidRPr="0014709A">
        <w:rPr>
          <w:rFonts w:cstheme="minorHAnsi"/>
        </w:rPr>
        <w:t>were</w:t>
      </w:r>
      <w:r w:rsidR="00E85C5F" w:rsidRPr="0014709A">
        <w:rPr>
          <w:rFonts w:cstheme="minorHAnsi"/>
        </w:rPr>
        <w:t xml:space="preserve"> employed </w:t>
      </w:r>
      <w:r w:rsidR="0040208E" w:rsidRPr="0014709A">
        <w:rPr>
          <w:rFonts w:cstheme="minorHAnsi"/>
        </w:rPr>
        <w:t xml:space="preserve">in higher proportions </w:t>
      </w:r>
      <w:r w:rsidR="00AD2092" w:rsidRPr="0014709A">
        <w:rPr>
          <w:rFonts w:cstheme="minorHAnsi"/>
        </w:rPr>
        <w:t>(</w:t>
      </w:r>
      <w:r w:rsidR="0040208E" w:rsidRPr="0014709A">
        <w:rPr>
          <w:rFonts w:cstheme="minorHAnsi"/>
        </w:rPr>
        <w:t>2</w:t>
      </w:r>
      <w:r w:rsidR="0014709A" w:rsidRPr="0014709A">
        <w:rPr>
          <w:rFonts w:cstheme="minorHAnsi"/>
        </w:rPr>
        <w:t>1</w:t>
      </w:r>
      <w:r w:rsidR="00B647AE">
        <w:rPr>
          <w:rFonts w:cstheme="minorHAnsi"/>
        </w:rPr>
        <w:t>.2</w:t>
      </w:r>
      <w:r w:rsidR="0040208E" w:rsidRPr="0014709A">
        <w:rPr>
          <w:rFonts w:cstheme="minorHAnsi"/>
        </w:rPr>
        <w:t xml:space="preserve"> </w:t>
      </w:r>
      <w:r w:rsidR="00AD2092" w:rsidRPr="0014709A">
        <w:rPr>
          <w:rFonts w:cstheme="minorHAnsi"/>
        </w:rPr>
        <w:t xml:space="preserve">per cent) </w:t>
      </w:r>
      <w:r w:rsidR="00E85C5F" w:rsidRPr="0014709A">
        <w:rPr>
          <w:rFonts w:cstheme="minorHAnsi"/>
        </w:rPr>
        <w:t>than</w:t>
      </w:r>
      <w:r w:rsidR="0005219C" w:rsidRPr="0014709A">
        <w:rPr>
          <w:rFonts w:cstheme="minorHAnsi"/>
        </w:rPr>
        <w:t xml:space="preserve"> their counterparts </w:t>
      </w:r>
      <w:r w:rsidR="005B45C4" w:rsidRPr="0014709A">
        <w:rPr>
          <w:rFonts w:cstheme="minorHAnsi"/>
        </w:rPr>
        <w:t xml:space="preserve">from </w:t>
      </w:r>
      <w:r w:rsidR="0005219C" w:rsidRPr="0014709A">
        <w:rPr>
          <w:rFonts w:cstheme="minorHAnsi"/>
        </w:rPr>
        <w:t>non-government school</w:t>
      </w:r>
      <w:r w:rsidR="005B45C4" w:rsidRPr="0014709A">
        <w:rPr>
          <w:rFonts w:cstheme="minorHAnsi"/>
        </w:rPr>
        <w:t>s</w:t>
      </w:r>
      <w:r w:rsidR="0005219C" w:rsidRPr="0014709A">
        <w:rPr>
          <w:rFonts w:cstheme="minorHAnsi"/>
        </w:rPr>
        <w:t xml:space="preserve"> (</w:t>
      </w:r>
      <w:r w:rsidR="0040208E" w:rsidRPr="0014709A">
        <w:rPr>
          <w:rFonts w:cstheme="minorHAnsi"/>
        </w:rPr>
        <w:t>14</w:t>
      </w:r>
      <w:r w:rsidR="00B647AE">
        <w:rPr>
          <w:rFonts w:cstheme="minorHAnsi"/>
        </w:rPr>
        <w:t>.5</w:t>
      </w:r>
      <w:r w:rsidR="0040208E" w:rsidRPr="0014709A">
        <w:rPr>
          <w:rFonts w:cstheme="minorHAnsi"/>
        </w:rPr>
        <w:t xml:space="preserve"> </w:t>
      </w:r>
      <w:r w:rsidR="0005219C" w:rsidRPr="0014709A">
        <w:rPr>
          <w:rFonts w:cstheme="minorHAnsi"/>
        </w:rPr>
        <w:t>per cent)</w:t>
      </w:r>
      <w:r w:rsidR="00AD2092" w:rsidRPr="0014709A">
        <w:rPr>
          <w:rFonts w:cstheme="minorHAnsi"/>
        </w:rPr>
        <w:t>.</w:t>
      </w:r>
    </w:p>
    <w:p w14:paraId="1B0E087C" w14:textId="2649B2B7" w:rsidR="00506B03" w:rsidRDefault="00B647AE" w:rsidP="003B7B38">
      <w:pPr>
        <w:pStyle w:val="ListParagraph"/>
        <w:numPr>
          <w:ilvl w:val="0"/>
          <w:numId w:val="10"/>
        </w:numPr>
        <w:spacing w:line="240" w:lineRule="auto"/>
      </w:pPr>
      <w:r w:rsidRPr="000F0982">
        <w:rPr>
          <w:rFonts w:cstheme="minorHAnsi"/>
        </w:rPr>
        <w:t xml:space="preserve">Numbers of </w:t>
      </w:r>
      <w:r w:rsidR="0027624A" w:rsidRPr="000F0982">
        <w:rPr>
          <w:rFonts w:cstheme="minorHAnsi"/>
        </w:rPr>
        <w:t>those</w:t>
      </w:r>
      <w:r w:rsidRPr="000F0982">
        <w:rPr>
          <w:rFonts w:cstheme="minorHAnsi"/>
        </w:rPr>
        <w:t xml:space="preserve"> looking for work has dropped back to lower tha</w:t>
      </w:r>
      <w:r w:rsidR="003A63B5" w:rsidRPr="000F0982">
        <w:rPr>
          <w:rFonts w:cstheme="minorHAnsi"/>
        </w:rPr>
        <w:t xml:space="preserve">n </w:t>
      </w:r>
      <w:r w:rsidRPr="000F0982">
        <w:rPr>
          <w:rFonts w:cstheme="minorHAnsi"/>
        </w:rPr>
        <w:t xml:space="preserve">pre-2020 levels for </w:t>
      </w:r>
      <w:r w:rsidR="00F30CF1" w:rsidRPr="000F0982">
        <w:rPr>
          <w:rFonts w:cstheme="minorHAnsi"/>
        </w:rPr>
        <w:t xml:space="preserve">both government and non-government school </w:t>
      </w:r>
      <w:r w:rsidR="0027624A" w:rsidRPr="000F0982">
        <w:rPr>
          <w:rFonts w:cstheme="minorHAnsi"/>
        </w:rPr>
        <w:t>respondents</w:t>
      </w:r>
      <w:r w:rsidR="00F30CF1" w:rsidRPr="000F0982">
        <w:rPr>
          <w:rFonts w:cstheme="minorHAnsi"/>
        </w:rPr>
        <w:t xml:space="preserve"> </w:t>
      </w:r>
      <w:r w:rsidRPr="000F0982">
        <w:rPr>
          <w:rFonts w:cstheme="minorHAnsi"/>
        </w:rPr>
        <w:t>(5.2</w:t>
      </w:r>
      <w:r w:rsidR="003A63B5" w:rsidRPr="000F0982">
        <w:rPr>
          <w:rFonts w:cstheme="minorHAnsi"/>
        </w:rPr>
        <w:t xml:space="preserve"> per cent</w:t>
      </w:r>
      <w:r w:rsidRPr="000F0982">
        <w:rPr>
          <w:rFonts w:cstheme="minorHAnsi"/>
        </w:rPr>
        <w:t xml:space="preserve"> and 2.4</w:t>
      </w:r>
      <w:r w:rsidR="003A63B5" w:rsidRPr="000F0982">
        <w:rPr>
          <w:rFonts w:cstheme="minorHAnsi"/>
        </w:rPr>
        <w:t xml:space="preserve"> per cent</w:t>
      </w:r>
      <w:r w:rsidRPr="000F0982">
        <w:rPr>
          <w:rFonts w:cstheme="minorHAnsi"/>
        </w:rPr>
        <w:t xml:space="preserve"> respectively).</w:t>
      </w:r>
    </w:p>
    <w:p w14:paraId="2ADEBB78" w14:textId="77777777" w:rsidR="00C340D5" w:rsidRDefault="00C340D5" w:rsidP="00C340D5">
      <w:pPr>
        <w:spacing w:line="240" w:lineRule="auto"/>
        <w:contextualSpacing/>
        <w:rPr>
          <w:rFonts w:cstheme="minorHAnsi"/>
        </w:rPr>
      </w:pPr>
    </w:p>
    <w:p w14:paraId="25F8B258" w14:textId="33E872A2" w:rsidR="00C340D5" w:rsidRPr="00C340D5" w:rsidRDefault="00C340D5" w:rsidP="00C340D5">
      <w:pPr>
        <w:spacing w:line="240" w:lineRule="auto"/>
        <w:contextualSpacing/>
        <w:rPr>
          <w:rFonts w:ascii="Arial" w:hAnsi="Arial" w:cs="Arial"/>
          <w:b/>
          <w:bCs/>
          <w:sz w:val="32"/>
          <w:szCs w:val="32"/>
        </w:rPr>
      </w:pPr>
      <w:r w:rsidRPr="00C340D5">
        <w:rPr>
          <w:rFonts w:ascii="Arial" w:hAnsi="Arial" w:cs="Arial"/>
          <w:b/>
          <w:bCs/>
          <w:sz w:val="32"/>
          <w:szCs w:val="32"/>
        </w:rPr>
        <w:t>Proportion of completers and non-completers responding to On Track</w:t>
      </w:r>
    </w:p>
    <w:p w14:paraId="083DB98D" w14:textId="77777777" w:rsidR="00C340D5" w:rsidRDefault="00C340D5" w:rsidP="00C340D5">
      <w:pPr>
        <w:spacing w:line="240" w:lineRule="auto"/>
        <w:contextualSpacing/>
        <w:rPr>
          <w:rFonts w:cstheme="minorHAnsi"/>
        </w:rPr>
      </w:pPr>
    </w:p>
    <w:p w14:paraId="6D0E830A" w14:textId="2279A749" w:rsidR="00C340D5" w:rsidRPr="005750CF" w:rsidRDefault="00C340D5" w:rsidP="00C340D5">
      <w:pPr>
        <w:spacing w:line="240" w:lineRule="auto"/>
        <w:contextualSpacing/>
        <w:rPr>
          <w:rFonts w:cstheme="minorHAnsi"/>
        </w:rPr>
      </w:pPr>
      <w:r>
        <w:rPr>
          <w:rFonts w:cstheme="minorHAnsi"/>
        </w:rPr>
        <w:t>The proportions of Year 12 completers responding to the survey ha</w:t>
      </w:r>
      <w:r w:rsidR="009126CF">
        <w:rPr>
          <w:rFonts w:cstheme="minorHAnsi"/>
        </w:rPr>
        <w:t>s</w:t>
      </w:r>
      <w:r>
        <w:rPr>
          <w:rFonts w:cstheme="minorHAnsi"/>
        </w:rPr>
        <w:t xml:space="preserve"> declined from 49.8 per cent in 2017, to 46.6 per in 2021. </w:t>
      </w:r>
      <w:r w:rsidR="009126CF">
        <w:rPr>
          <w:rFonts w:cstheme="minorHAnsi"/>
        </w:rPr>
        <w:t>The proportions of Year 12 non-completers responding to the survey has declined from 15.4 per cent in 2017, to 11.1 percent in 2021. It is not possible to accurately assess t</w:t>
      </w:r>
      <w:r>
        <w:rPr>
          <w:rFonts w:cstheme="minorHAnsi"/>
        </w:rPr>
        <w:t xml:space="preserve">he representativeness of the </w:t>
      </w:r>
      <w:r w:rsidR="00747B58">
        <w:rPr>
          <w:rFonts w:cstheme="minorHAnsi"/>
        </w:rPr>
        <w:t>responses</w:t>
      </w:r>
      <w:r w:rsidR="009126CF">
        <w:rPr>
          <w:rFonts w:cstheme="minorHAnsi"/>
        </w:rPr>
        <w:t xml:space="preserve"> to the </w:t>
      </w:r>
      <w:r w:rsidR="00747B58">
        <w:rPr>
          <w:rFonts w:cstheme="minorHAnsi"/>
        </w:rPr>
        <w:t xml:space="preserve">2021 </w:t>
      </w:r>
      <w:r w:rsidR="009126CF">
        <w:rPr>
          <w:rFonts w:cstheme="minorHAnsi"/>
        </w:rPr>
        <w:t>survey</w:t>
      </w:r>
      <w:r w:rsidR="00747B58">
        <w:rPr>
          <w:rFonts w:cstheme="minorHAnsi"/>
        </w:rPr>
        <w:t xml:space="preserve">. The representativeness is, however,  </w:t>
      </w:r>
      <w:r>
        <w:rPr>
          <w:rFonts w:cstheme="minorHAnsi"/>
        </w:rPr>
        <w:t xml:space="preserve">likely to be different </w:t>
      </w:r>
      <w:r w:rsidR="009126CF">
        <w:rPr>
          <w:rFonts w:cstheme="minorHAnsi"/>
        </w:rPr>
        <w:t>to</w:t>
      </w:r>
      <w:r>
        <w:rPr>
          <w:rFonts w:cstheme="minorHAnsi"/>
        </w:rPr>
        <w:t xml:space="preserve"> that of earlier collections of the survey.</w:t>
      </w:r>
    </w:p>
    <w:p w14:paraId="60C5F9FC" w14:textId="77777777" w:rsidR="00C340D5" w:rsidRDefault="00C340D5" w:rsidP="00C340D5">
      <w:pPr>
        <w:spacing w:line="240" w:lineRule="auto"/>
        <w:contextualSpacing/>
        <w:rPr>
          <w:rFonts w:cstheme="minorHAnsi"/>
        </w:rPr>
      </w:pPr>
    </w:p>
    <w:p w14:paraId="2614335B" w14:textId="4383CEC3" w:rsidR="00C340D5" w:rsidRDefault="00C340D5" w:rsidP="00C340D5">
      <w:pPr>
        <w:spacing w:line="240" w:lineRule="auto"/>
        <w:contextualSpacing/>
        <w:rPr>
          <w:rFonts w:cstheme="minorHAnsi"/>
          <w:b/>
          <w:bCs/>
        </w:rPr>
      </w:pPr>
      <w:r w:rsidRPr="00C97C6F">
        <w:rPr>
          <w:rFonts w:cstheme="minorHAnsi"/>
          <w:b/>
          <w:bCs/>
        </w:rPr>
        <w:t xml:space="preserve">Figure </w:t>
      </w:r>
      <w:r w:rsidR="003B0F9D">
        <w:rPr>
          <w:rFonts w:cstheme="minorHAnsi"/>
          <w:b/>
          <w:bCs/>
        </w:rPr>
        <w:t>3</w:t>
      </w:r>
      <w:r w:rsidRPr="00C97C6F">
        <w:rPr>
          <w:rFonts w:cstheme="minorHAnsi"/>
          <w:b/>
          <w:bCs/>
        </w:rPr>
        <w:t xml:space="preserve">. </w:t>
      </w:r>
      <w:r>
        <w:rPr>
          <w:rFonts w:cstheme="minorHAnsi"/>
          <w:b/>
          <w:bCs/>
        </w:rPr>
        <w:t xml:space="preserve">Proportions of all Victorian Year 12 completers and non-completers (EL) who responded to On Track surveys between 2017 and 2021 </w:t>
      </w:r>
    </w:p>
    <w:p w14:paraId="7002F8BB" w14:textId="77777777" w:rsidR="00C340D5" w:rsidRDefault="00C340D5" w:rsidP="00C340D5">
      <w:pPr>
        <w:spacing w:line="240" w:lineRule="auto"/>
        <w:contextualSpacing/>
        <w:rPr>
          <w:rFonts w:cstheme="minorHAnsi"/>
          <w:b/>
          <w:bCs/>
        </w:rPr>
      </w:pPr>
    </w:p>
    <w:p w14:paraId="3D0D137F" w14:textId="77777777" w:rsidR="00C340D5" w:rsidRPr="00C97C6F" w:rsidRDefault="00C340D5" w:rsidP="00C340D5">
      <w:pPr>
        <w:spacing w:line="240" w:lineRule="auto"/>
        <w:contextualSpacing/>
        <w:rPr>
          <w:rFonts w:cstheme="minorHAnsi"/>
          <w:b/>
          <w:bCs/>
        </w:rPr>
      </w:pPr>
      <w:r>
        <w:rPr>
          <w:noProof/>
        </w:rPr>
        <w:drawing>
          <wp:anchor distT="0" distB="0" distL="114300" distR="114300" simplePos="0" relativeHeight="251658242" behindDoc="0" locked="0" layoutInCell="1" allowOverlap="1" wp14:anchorId="4E836D49" wp14:editId="23046EAD">
            <wp:simplePos x="0" y="0"/>
            <wp:positionH relativeFrom="margin">
              <wp:align>center</wp:align>
            </wp:positionH>
            <wp:positionV relativeFrom="paragraph">
              <wp:posOffset>10721</wp:posOffset>
            </wp:positionV>
            <wp:extent cx="5347308" cy="3035193"/>
            <wp:effectExtent l="0" t="0" r="6350" b="13335"/>
            <wp:wrapNone/>
            <wp:docPr id="4" name="Chart 4">
              <a:extLst xmlns:a="http://schemas.openxmlformats.org/drawingml/2006/main">
                <a:ext uri="{FF2B5EF4-FFF2-40B4-BE49-F238E27FC236}">
                  <a16:creationId xmlns:a16="http://schemas.microsoft.com/office/drawing/2014/main" id="{D84721A9-6155-46FD-96BE-DA041A69B2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39B1C8D4" w14:textId="77777777" w:rsidR="00C340D5" w:rsidRDefault="00C340D5" w:rsidP="00C340D5">
      <w:pPr>
        <w:spacing w:line="240" w:lineRule="auto"/>
        <w:contextualSpacing/>
        <w:rPr>
          <w:rFonts w:cstheme="minorHAnsi"/>
        </w:rPr>
      </w:pPr>
    </w:p>
    <w:p w14:paraId="747230BF" w14:textId="77777777" w:rsidR="00C340D5" w:rsidRDefault="00C340D5" w:rsidP="00C340D5">
      <w:pPr>
        <w:spacing w:line="240" w:lineRule="auto"/>
        <w:contextualSpacing/>
        <w:rPr>
          <w:rFonts w:cstheme="minorHAnsi"/>
        </w:rPr>
      </w:pPr>
    </w:p>
    <w:p w14:paraId="5BC51761" w14:textId="77777777" w:rsidR="00C340D5" w:rsidRDefault="00C340D5" w:rsidP="00C340D5">
      <w:pPr>
        <w:spacing w:line="240" w:lineRule="auto"/>
        <w:contextualSpacing/>
        <w:rPr>
          <w:rFonts w:cstheme="minorHAnsi"/>
        </w:rPr>
      </w:pPr>
    </w:p>
    <w:p w14:paraId="331ED827" w14:textId="77777777" w:rsidR="00C340D5" w:rsidRDefault="00C340D5" w:rsidP="00C340D5">
      <w:pPr>
        <w:spacing w:line="240" w:lineRule="auto"/>
        <w:contextualSpacing/>
        <w:rPr>
          <w:rFonts w:cstheme="minorHAnsi"/>
        </w:rPr>
      </w:pPr>
    </w:p>
    <w:p w14:paraId="415729EF" w14:textId="77777777" w:rsidR="00C340D5" w:rsidRDefault="00C340D5" w:rsidP="00C340D5">
      <w:pPr>
        <w:spacing w:line="240" w:lineRule="auto"/>
        <w:contextualSpacing/>
        <w:rPr>
          <w:rFonts w:cstheme="minorHAnsi"/>
        </w:rPr>
      </w:pPr>
    </w:p>
    <w:p w14:paraId="47F08087" w14:textId="77777777" w:rsidR="00C340D5" w:rsidRDefault="00C340D5" w:rsidP="00C340D5">
      <w:pPr>
        <w:spacing w:line="240" w:lineRule="auto"/>
        <w:contextualSpacing/>
        <w:rPr>
          <w:rFonts w:cstheme="minorHAnsi"/>
        </w:rPr>
      </w:pPr>
    </w:p>
    <w:p w14:paraId="707F988D" w14:textId="77777777" w:rsidR="00C340D5" w:rsidRDefault="00C340D5" w:rsidP="00C340D5">
      <w:pPr>
        <w:spacing w:line="240" w:lineRule="auto"/>
        <w:contextualSpacing/>
        <w:rPr>
          <w:rFonts w:cstheme="minorHAnsi"/>
        </w:rPr>
      </w:pPr>
    </w:p>
    <w:p w14:paraId="6A0C4D6F" w14:textId="77777777" w:rsidR="00C340D5" w:rsidRDefault="00C340D5" w:rsidP="00C340D5">
      <w:pPr>
        <w:spacing w:line="240" w:lineRule="auto"/>
        <w:contextualSpacing/>
        <w:rPr>
          <w:rFonts w:cstheme="minorHAnsi"/>
        </w:rPr>
      </w:pPr>
    </w:p>
    <w:p w14:paraId="75039109" w14:textId="77777777" w:rsidR="00C340D5" w:rsidRDefault="00C340D5" w:rsidP="00C340D5">
      <w:pPr>
        <w:spacing w:line="240" w:lineRule="auto"/>
        <w:contextualSpacing/>
        <w:rPr>
          <w:rFonts w:cstheme="minorHAnsi"/>
        </w:rPr>
      </w:pPr>
    </w:p>
    <w:p w14:paraId="24DFEDD3" w14:textId="77777777" w:rsidR="00C340D5" w:rsidRDefault="00C340D5" w:rsidP="00C340D5">
      <w:pPr>
        <w:spacing w:line="240" w:lineRule="auto"/>
        <w:contextualSpacing/>
        <w:rPr>
          <w:rFonts w:cstheme="minorHAnsi"/>
        </w:rPr>
      </w:pPr>
    </w:p>
    <w:p w14:paraId="3DB36C54" w14:textId="77777777" w:rsidR="00C340D5" w:rsidRDefault="00C340D5" w:rsidP="00C340D5">
      <w:pPr>
        <w:spacing w:line="240" w:lineRule="auto"/>
        <w:contextualSpacing/>
        <w:rPr>
          <w:rFonts w:cstheme="minorHAnsi"/>
        </w:rPr>
      </w:pPr>
    </w:p>
    <w:p w14:paraId="274FA098" w14:textId="77777777" w:rsidR="00C340D5" w:rsidRDefault="00C340D5" w:rsidP="00C340D5">
      <w:pPr>
        <w:spacing w:line="240" w:lineRule="auto"/>
        <w:contextualSpacing/>
        <w:rPr>
          <w:rFonts w:cstheme="minorHAnsi"/>
        </w:rPr>
      </w:pPr>
    </w:p>
    <w:p w14:paraId="34D0A509" w14:textId="77777777" w:rsidR="00C340D5" w:rsidRDefault="00C340D5" w:rsidP="00C340D5">
      <w:pPr>
        <w:spacing w:line="240" w:lineRule="auto"/>
        <w:contextualSpacing/>
        <w:rPr>
          <w:rFonts w:cstheme="minorHAnsi"/>
        </w:rPr>
      </w:pPr>
    </w:p>
    <w:p w14:paraId="43581E7D" w14:textId="77777777" w:rsidR="00C340D5" w:rsidRDefault="00C340D5" w:rsidP="00C340D5">
      <w:pPr>
        <w:spacing w:line="240" w:lineRule="auto"/>
        <w:contextualSpacing/>
        <w:rPr>
          <w:rFonts w:cstheme="minorHAnsi"/>
        </w:rPr>
      </w:pPr>
    </w:p>
    <w:p w14:paraId="2696818C" w14:textId="77777777" w:rsidR="00C340D5" w:rsidRDefault="00C340D5" w:rsidP="00C340D5">
      <w:pPr>
        <w:spacing w:line="240" w:lineRule="auto"/>
        <w:contextualSpacing/>
        <w:rPr>
          <w:rFonts w:cstheme="minorHAnsi"/>
        </w:rPr>
      </w:pPr>
    </w:p>
    <w:p w14:paraId="76F48D0E" w14:textId="77777777" w:rsidR="00C340D5" w:rsidRDefault="00C340D5" w:rsidP="00C340D5">
      <w:pPr>
        <w:spacing w:line="240" w:lineRule="auto"/>
        <w:contextualSpacing/>
        <w:rPr>
          <w:rFonts w:cstheme="minorHAnsi"/>
        </w:rPr>
      </w:pPr>
    </w:p>
    <w:p w14:paraId="1ED450F1" w14:textId="77777777" w:rsidR="00C340D5" w:rsidRDefault="00C340D5" w:rsidP="00C340D5">
      <w:pPr>
        <w:spacing w:line="240" w:lineRule="auto"/>
        <w:contextualSpacing/>
        <w:rPr>
          <w:rFonts w:cstheme="minorHAnsi"/>
        </w:rPr>
      </w:pPr>
    </w:p>
    <w:p w14:paraId="5231F4F5" w14:textId="77777777" w:rsidR="00C340D5" w:rsidRDefault="00C340D5" w:rsidP="00C340D5">
      <w:pPr>
        <w:spacing w:line="240" w:lineRule="auto"/>
        <w:contextualSpacing/>
        <w:rPr>
          <w:rFonts w:cstheme="minorHAnsi"/>
        </w:rPr>
      </w:pPr>
    </w:p>
    <w:p w14:paraId="25ADEF11" w14:textId="77777777" w:rsidR="00C340D5" w:rsidRDefault="00C340D5" w:rsidP="00C340D5">
      <w:pPr>
        <w:spacing w:line="240" w:lineRule="auto"/>
      </w:pPr>
    </w:p>
    <w:p w14:paraId="133C2E4E" w14:textId="4994EDA3" w:rsidR="0092709C" w:rsidRPr="003B7AEF" w:rsidRDefault="0092709C" w:rsidP="00FF35F3">
      <w:pPr>
        <w:pStyle w:val="Heading1"/>
        <w:rPr>
          <w:rFonts w:cstheme="minorHAnsi"/>
          <w:color w:val="000000"/>
        </w:rPr>
      </w:pPr>
      <w:r w:rsidRPr="003B7AEF">
        <w:t>Find out more</w:t>
      </w:r>
    </w:p>
    <w:p w14:paraId="079797B2" w14:textId="789516A8" w:rsidR="0092709C" w:rsidRDefault="0092709C" w:rsidP="003B7AEF">
      <w:pPr>
        <w:rPr>
          <w:rFonts w:cstheme="minorHAnsi"/>
          <w:color w:val="215E9F"/>
        </w:rPr>
      </w:pPr>
      <w:r w:rsidRPr="003B7AEF">
        <w:rPr>
          <w:rFonts w:cstheme="minorHAnsi"/>
          <w:color w:val="000000"/>
        </w:rPr>
        <w:t xml:space="preserve">Contact the Performance Insights Team: </w:t>
      </w:r>
      <w:hyperlink r:id="rId14" w:history="1">
        <w:r w:rsidR="005E3CCA" w:rsidRPr="006D6AD8">
          <w:rPr>
            <w:rStyle w:val="Hyperlink"/>
            <w:rFonts w:cstheme="minorHAnsi"/>
          </w:rPr>
          <w:t>insights.and.evidence@education.vic.gov.au</w:t>
        </w:r>
      </w:hyperlink>
    </w:p>
    <w:p w14:paraId="14409AEA" w14:textId="08C1E133" w:rsidR="00FE1753" w:rsidRDefault="00B069EA">
      <w:pPr>
        <w:rPr>
          <w:rFonts w:ascii="Arial" w:eastAsiaTheme="majorEastAsia" w:hAnsi="Arial" w:cstheme="majorBidi"/>
          <w:b/>
          <w:color w:val="FF0000"/>
          <w:sz w:val="40"/>
          <w:szCs w:val="40"/>
        </w:rPr>
      </w:pPr>
      <w:r>
        <w:rPr>
          <w:rFonts w:cstheme="minorHAnsi"/>
        </w:rPr>
        <w:t>**********************************************************************************</w:t>
      </w:r>
      <w:r w:rsidR="00FE1753">
        <w:rPr>
          <w:rFonts w:ascii="Arial" w:eastAsiaTheme="majorEastAsia" w:hAnsi="Arial" w:cstheme="majorBidi"/>
          <w:b/>
          <w:color w:val="FF0000"/>
          <w:sz w:val="40"/>
          <w:szCs w:val="40"/>
        </w:rPr>
        <w:br w:type="page"/>
      </w:r>
    </w:p>
    <w:p w14:paraId="326DD9C1" w14:textId="36FFF401" w:rsidR="005268F7" w:rsidRPr="003A63B5" w:rsidRDefault="005268F7" w:rsidP="00BB2DAC">
      <w:pPr>
        <w:rPr>
          <w:rFonts w:ascii="Arial" w:eastAsiaTheme="majorEastAsia" w:hAnsi="Arial" w:cstheme="majorBidi"/>
          <w:b/>
          <w:color w:val="FF0000"/>
          <w:sz w:val="40"/>
          <w:szCs w:val="40"/>
        </w:rPr>
      </w:pPr>
      <w:r w:rsidRPr="003A63B5">
        <w:rPr>
          <w:rFonts w:ascii="Arial" w:eastAsiaTheme="majorEastAsia" w:hAnsi="Arial" w:cstheme="majorBidi"/>
          <w:b/>
          <w:color w:val="FF0000"/>
          <w:sz w:val="40"/>
          <w:szCs w:val="40"/>
        </w:rPr>
        <w:lastRenderedPageBreak/>
        <w:t xml:space="preserve">NOT PROPOSED FOR </w:t>
      </w:r>
      <w:r>
        <w:rPr>
          <w:rFonts w:ascii="Arial" w:eastAsiaTheme="majorEastAsia" w:hAnsi="Arial" w:cstheme="majorBidi"/>
          <w:b/>
          <w:color w:val="FF0000"/>
          <w:sz w:val="40"/>
          <w:szCs w:val="40"/>
        </w:rPr>
        <w:t xml:space="preserve">PUBLIC </w:t>
      </w:r>
      <w:r w:rsidRPr="003A63B5">
        <w:rPr>
          <w:rFonts w:ascii="Arial" w:eastAsiaTheme="majorEastAsia" w:hAnsi="Arial" w:cstheme="majorBidi"/>
          <w:b/>
          <w:color w:val="FF0000"/>
          <w:sz w:val="40"/>
          <w:szCs w:val="40"/>
        </w:rPr>
        <w:t>RELEASE</w:t>
      </w:r>
    </w:p>
    <w:p w14:paraId="2A12BC8C" w14:textId="4F93559F" w:rsidR="00BB2DAC" w:rsidRPr="00A51D0A" w:rsidRDefault="00A51D0A" w:rsidP="00BB2DAC">
      <w:pPr>
        <w:rPr>
          <w:rFonts w:ascii="Arial" w:eastAsiaTheme="majorEastAsia" w:hAnsi="Arial" w:cstheme="majorBidi"/>
          <w:b/>
          <w:sz w:val="32"/>
          <w:szCs w:val="32"/>
        </w:rPr>
      </w:pPr>
      <w:r w:rsidRPr="00A51D0A">
        <w:rPr>
          <w:rFonts w:ascii="Arial" w:eastAsiaTheme="majorEastAsia" w:hAnsi="Arial" w:cstheme="majorBidi"/>
          <w:b/>
          <w:sz w:val="32"/>
          <w:szCs w:val="32"/>
        </w:rPr>
        <w:t>The impact of COVID-19 on Victorian school leavers</w:t>
      </w:r>
    </w:p>
    <w:p w14:paraId="62489019" w14:textId="4C089C09" w:rsidR="00A51D0A" w:rsidRPr="00A51D0A" w:rsidRDefault="00A51D0A" w:rsidP="00BB2DAC">
      <w:pPr>
        <w:rPr>
          <w:rFonts w:cstheme="minorHAnsi"/>
        </w:rPr>
      </w:pPr>
      <w:r w:rsidRPr="00A51D0A">
        <w:rPr>
          <w:rFonts w:cstheme="minorHAnsi"/>
        </w:rPr>
        <w:t>Questions specifically relating to COVID-19 were introduced in the 2020 version of the On Track survey to understand how COVID-19 impacted Victorian school leavers. Some</w:t>
      </w:r>
      <w:r w:rsidR="003A63B5">
        <w:rPr>
          <w:rFonts w:cstheme="minorHAnsi"/>
        </w:rPr>
        <w:t>,</w:t>
      </w:r>
      <w:r w:rsidRPr="00A51D0A">
        <w:rPr>
          <w:rFonts w:cstheme="minorHAnsi"/>
        </w:rPr>
        <w:t xml:space="preserve"> but not all</w:t>
      </w:r>
      <w:r w:rsidR="003A63B5">
        <w:rPr>
          <w:rFonts w:cstheme="minorHAnsi"/>
        </w:rPr>
        <w:t>,</w:t>
      </w:r>
      <w:r w:rsidRPr="00A51D0A">
        <w:rPr>
          <w:rFonts w:cstheme="minorHAnsi"/>
        </w:rPr>
        <w:t xml:space="preserve"> were asked again in 2021. Some new questions were </w:t>
      </w:r>
      <w:r>
        <w:rPr>
          <w:rFonts w:cstheme="minorHAnsi"/>
        </w:rPr>
        <w:t xml:space="preserve">introduced </w:t>
      </w:r>
      <w:r w:rsidRPr="00A51D0A">
        <w:rPr>
          <w:rFonts w:cstheme="minorHAnsi"/>
        </w:rPr>
        <w:t>in 2021 as well.</w:t>
      </w:r>
      <w:r w:rsidR="003A63B5">
        <w:rPr>
          <w:rFonts w:cstheme="minorHAnsi"/>
        </w:rPr>
        <w:t xml:space="preserve"> The results of the COVID-related questions were not included in the publicly released report last year and it is proposed that they not be included in the public report this year.</w:t>
      </w:r>
    </w:p>
    <w:p w14:paraId="49CF6F7C" w14:textId="6303077A" w:rsidR="00A51D0A" w:rsidRPr="00D2399A" w:rsidRDefault="00A51D0A" w:rsidP="00A51D0A">
      <w:pPr>
        <w:rPr>
          <w:rFonts w:cstheme="minorHAnsi"/>
          <w:b/>
          <w:bCs/>
          <w:sz w:val="24"/>
          <w:szCs w:val="24"/>
        </w:rPr>
      </w:pPr>
      <w:r w:rsidRPr="00D2399A">
        <w:rPr>
          <w:rFonts w:cstheme="minorHAnsi"/>
          <w:b/>
          <w:bCs/>
          <w:sz w:val="24"/>
          <w:szCs w:val="24"/>
        </w:rPr>
        <w:t>Impact on health and wellbeing</w:t>
      </w:r>
    </w:p>
    <w:p w14:paraId="39AECF58" w14:textId="66A411D3" w:rsidR="00A51D0A" w:rsidRPr="00A51D0A" w:rsidRDefault="00A51D0A" w:rsidP="00A51D0A">
      <w:pPr>
        <w:rPr>
          <w:rFonts w:cstheme="minorHAnsi"/>
        </w:rPr>
      </w:pPr>
      <w:r w:rsidRPr="00A51D0A">
        <w:rPr>
          <w:rFonts w:cstheme="minorHAnsi"/>
        </w:rPr>
        <w:t xml:space="preserve">Nearly half of the 2019 school leaver cohort </w:t>
      </w:r>
      <w:r w:rsidR="00B17FA1">
        <w:rPr>
          <w:rFonts w:cstheme="minorHAnsi"/>
        </w:rPr>
        <w:t xml:space="preserve">who responded to the survey </w:t>
      </w:r>
      <w:r w:rsidRPr="00A51D0A">
        <w:rPr>
          <w:rFonts w:cstheme="minorHAnsi"/>
        </w:rPr>
        <w:t>felt their health and wellbeing was worse since the COVID-19 restrictions. Year 12 completers were more likely to feel their health and wellbeing was worse (53</w:t>
      </w:r>
      <w:r w:rsidR="003A63B5">
        <w:rPr>
          <w:rFonts w:cstheme="minorHAnsi"/>
        </w:rPr>
        <w:t>%</w:t>
      </w:r>
      <w:r w:rsidRPr="00A51D0A">
        <w:rPr>
          <w:rFonts w:cstheme="minorHAnsi"/>
        </w:rPr>
        <w:t>) than Year 12 non-completers (45</w:t>
      </w:r>
      <w:r w:rsidR="000E2333">
        <w:rPr>
          <w:rFonts w:cstheme="minorHAnsi"/>
        </w:rPr>
        <w:t>%</w:t>
      </w:r>
      <w:r w:rsidRPr="00A51D0A">
        <w:rPr>
          <w:rFonts w:cstheme="minorHAnsi"/>
        </w:rPr>
        <w:t>).</w:t>
      </w:r>
    </w:p>
    <w:tbl>
      <w:tblPr>
        <w:tblStyle w:val="TableGrid"/>
        <w:tblW w:w="0" w:type="auto"/>
        <w:tblLook w:val="04A0" w:firstRow="1" w:lastRow="0" w:firstColumn="1" w:lastColumn="0" w:noHBand="0" w:noVBand="1"/>
      </w:tblPr>
      <w:tblGrid>
        <w:gridCol w:w="4415"/>
        <w:gridCol w:w="1595"/>
        <w:gridCol w:w="663"/>
        <w:gridCol w:w="222"/>
        <w:gridCol w:w="1458"/>
        <w:gridCol w:w="663"/>
      </w:tblGrid>
      <w:tr w:rsidR="00B069EA" w:rsidRPr="00BB2DAC" w14:paraId="6E93ADBC" w14:textId="77777777" w:rsidTr="00B069EA">
        <w:tc>
          <w:tcPr>
            <w:tcW w:w="0" w:type="auto"/>
          </w:tcPr>
          <w:p w14:paraId="35F4C8A1" w14:textId="77777777" w:rsidR="00B069EA" w:rsidRPr="00BB2DAC" w:rsidRDefault="00B069EA" w:rsidP="00250473">
            <w:pPr>
              <w:rPr>
                <w:rFonts w:cstheme="minorHAnsi"/>
                <w:noProof/>
                <w:lang w:eastAsia="en-AU"/>
              </w:rPr>
            </w:pPr>
          </w:p>
        </w:tc>
        <w:tc>
          <w:tcPr>
            <w:tcW w:w="0" w:type="auto"/>
          </w:tcPr>
          <w:p w14:paraId="0AC1A780" w14:textId="77777777" w:rsidR="00B069EA" w:rsidRPr="00CD769D" w:rsidRDefault="00B069EA" w:rsidP="00820B71">
            <w:pPr>
              <w:jc w:val="center"/>
              <w:rPr>
                <w:rFonts w:cstheme="minorHAnsi"/>
                <w:b/>
                <w:bCs/>
                <w:noProof/>
                <w:lang w:eastAsia="en-AU"/>
              </w:rPr>
            </w:pPr>
            <w:r w:rsidRPr="00CD769D">
              <w:rPr>
                <w:rFonts w:cstheme="minorHAnsi"/>
                <w:b/>
                <w:bCs/>
              </w:rPr>
              <w:t>Year 12 completers</w:t>
            </w:r>
          </w:p>
        </w:tc>
        <w:tc>
          <w:tcPr>
            <w:tcW w:w="0" w:type="auto"/>
          </w:tcPr>
          <w:p w14:paraId="42439944" w14:textId="77777777" w:rsidR="00B069EA" w:rsidRPr="00CD769D" w:rsidRDefault="00B069EA" w:rsidP="00820B71">
            <w:pPr>
              <w:jc w:val="center"/>
              <w:rPr>
                <w:rFonts w:cstheme="minorHAnsi"/>
                <w:b/>
                <w:bCs/>
                <w:noProof/>
                <w:lang w:eastAsia="en-AU"/>
              </w:rPr>
            </w:pPr>
          </w:p>
        </w:tc>
        <w:tc>
          <w:tcPr>
            <w:tcW w:w="0" w:type="auto"/>
          </w:tcPr>
          <w:p w14:paraId="638C65DE" w14:textId="77777777" w:rsidR="00B069EA" w:rsidRPr="00CD769D" w:rsidRDefault="00B069EA" w:rsidP="00820B71">
            <w:pPr>
              <w:jc w:val="center"/>
              <w:rPr>
                <w:rFonts w:cstheme="minorHAnsi"/>
                <w:b/>
                <w:bCs/>
              </w:rPr>
            </w:pPr>
          </w:p>
        </w:tc>
        <w:tc>
          <w:tcPr>
            <w:tcW w:w="0" w:type="auto"/>
          </w:tcPr>
          <w:p w14:paraId="365B8F49" w14:textId="4DC6ED5A" w:rsidR="00B069EA" w:rsidRPr="00CD769D" w:rsidRDefault="00B069EA" w:rsidP="00820B71">
            <w:pPr>
              <w:jc w:val="center"/>
              <w:rPr>
                <w:rFonts w:cstheme="minorHAnsi"/>
                <w:b/>
                <w:bCs/>
                <w:noProof/>
                <w:lang w:eastAsia="en-AU"/>
              </w:rPr>
            </w:pPr>
            <w:r w:rsidRPr="00CD769D">
              <w:rPr>
                <w:rFonts w:cstheme="minorHAnsi"/>
                <w:b/>
                <w:bCs/>
              </w:rPr>
              <w:t>Non-completers</w:t>
            </w:r>
          </w:p>
        </w:tc>
        <w:tc>
          <w:tcPr>
            <w:tcW w:w="0" w:type="auto"/>
          </w:tcPr>
          <w:p w14:paraId="7194A53B" w14:textId="77777777" w:rsidR="00B069EA" w:rsidRPr="00CD769D" w:rsidRDefault="00B069EA" w:rsidP="00820B71">
            <w:pPr>
              <w:jc w:val="center"/>
              <w:rPr>
                <w:rFonts w:cstheme="minorHAnsi"/>
                <w:b/>
                <w:bCs/>
                <w:noProof/>
                <w:lang w:eastAsia="en-AU"/>
              </w:rPr>
            </w:pPr>
          </w:p>
        </w:tc>
      </w:tr>
      <w:tr w:rsidR="00B069EA" w:rsidRPr="00BB2DAC" w14:paraId="750943DC" w14:textId="77777777" w:rsidTr="00B069EA">
        <w:tc>
          <w:tcPr>
            <w:tcW w:w="0" w:type="auto"/>
          </w:tcPr>
          <w:p w14:paraId="327CF551" w14:textId="77777777" w:rsidR="00B069EA" w:rsidRPr="00BB2DAC" w:rsidRDefault="00B069EA" w:rsidP="00250473">
            <w:pPr>
              <w:rPr>
                <w:rFonts w:cstheme="minorHAnsi"/>
                <w:noProof/>
                <w:lang w:eastAsia="en-AU"/>
              </w:rPr>
            </w:pPr>
          </w:p>
        </w:tc>
        <w:tc>
          <w:tcPr>
            <w:tcW w:w="0" w:type="auto"/>
          </w:tcPr>
          <w:p w14:paraId="7EDBED2D" w14:textId="77777777" w:rsidR="00B069EA" w:rsidRPr="00CD769D" w:rsidRDefault="00B069EA" w:rsidP="00820B71">
            <w:pPr>
              <w:jc w:val="center"/>
              <w:rPr>
                <w:rFonts w:cstheme="minorHAnsi"/>
                <w:b/>
                <w:bCs/>
                <w:noProof/>
                <w:lang w:eastAsia="en-AU"/>
              </w:rPr>
            </w:pPr>
            <w:r w:rsidRPr="00CD769D">
              <w:rPr>
                <w:rFonts w:cstheme="minorHAnsi"/>
                <w:b/>
                <w:bCs/>
              </w:rPr>
              <w:t>2020</w:t>
            </w:r>
          </w:p>
        </w:tc>
        <w:tc>
          <w:tcPr>
            <w:tcW w:w="0" w:type="auto"/>
          </w:tcPr>
          <w:p w14:paraId="5626E5DC" w14:textId="77777777" w:rsidR="00B069EA" w:rsidRPr="00CD769D" w:rsidRDefault="00B069EA" w:rsidP="00820B71">
            <w:pPr>
              <w:jc w:val="center"/>
              <w:rPr>
                <w:rFonts w:cstheme="minorHAnsi"/>
                <w:b/>
                <w:bCs/>
                <w:noProof/>
                <w:lang w:eastAsia="en-AU"/>
              </w:rPr>
            </w:pPr>
            <w:r w:rsidRPr="00CD769D">
              <w:rPr>
                <w:rFonts w:cstheme="minorHAnsi"/>
                <w:b/>
                <w:bCs/>
              </w:rPr>
              <w:t>2021</w:t>
            </w:r>
          </w:p>
        </w:tc>
        <w:tc>
          <w:tcPr>
            <w:tcW w:w="0" w:type="auto"/>
          </w:tcPr>
          <w:p w14:paraId="1D6EF5F3" w14:textId="77777777" w:rsidR="00B069EA" w:rsidRPr="00CD769D" w:rsidRDefault="00B069EA" w:rsidP="00820B71">
            <w:pPr>
              <w:jc w:val="center"/>
              <w:rPr>
                <w:rFonts w:cstheme="minorHAnsi"/>
                <w:b/>
                <w:bCs/>
              </w:rPr>
            </w:pPr>
          </w:p>
        </w:tc>
        <w:tc>
          <w:tcPr>
            <w:tcW w:w="0" w:type="auto"/>
          </w:tcPr>
          <w:p w14:paraId="2D4D1558" w14:textId="2F85071F" w:rsidR="00B069EA" w:rsidRPr="00CD769D" w:rsidRDefault="00B069EA" w:rsidP="00820B71">
            <w:pPr>
              <w:jc w:val="center"/>
              <w:rPr>
                <w:rFonts w:cstheme="minorHAnsi"/>
                <w:b/>
                <w:bCs/>
                <w:noProof/>
                <w:lang w:eastAsia="en-AU"/>
              </w:rPr>
            </w:pPr>
            <w:r w:rsidRPr="00CD769D">
              <w:rPr>
                <w:rFonts w:cstheme="minorHAnsi"/>
                <w:b/>
                <w:bCs/>
              </w:rPr>
              <w:t>2020</w:t>
            </w:r>
          </w:p>
        </w:tc>
        <w:tc>
          <w:tcPr>
            <w:tcW w:w="0" w:type="auto"/>
          </w:tcPr>
          <w:p w14:paraId="0138A471" w14:textId="77777777" w:rsidR="00B069EA" w:rsidRPr="00CD769D" w:rsidRDefault="00B069EA" w:rsidP="00820B71">
            <w:pPr>
              <w:jc w:val="center"/>
              <w:rPr>
                <w:rFonts w:cstheme="minorHAnsi"/>
                <w:b/>
                <w:bCs/>
                <w:noProof/>
                <w:lang w:eastAsia="en-AU"/>
              </w:rPr>
            </w:pPr>
            <w:r w:rsidRPr="00CD769D">
              <w:rPr>
                <w:rFonts w:cstheme="minorHAnsi"/>
                <w:b/>
                <w:bCs/>
              </w:rPr>
              <w:t>2021</w:t>
            </w:r>
          </w:p>
        </w:tc>
      </w:tr>
      <w:tr w:rsidR="00B069EA" w:rsidRPr="00BB2DAC" w14:paraId="12A585F4" w14:textId="77777777" w:rsidTr="00B069EA">
        <w:tc>
          <w:tcPr>
            <w:tcW w:w="0" w:type="auto"/>
          </w:tcPr>
          <w:p w14:paraId="7F7D53B1" w14:textId="77777777" w:rsidR="00B069EA" w:rsidRPr="00CD769D" w:rsidRDefault="00B069EA" w:rsidP="00250473">
            <w:pPr>
              <w:rPr>
                <w:rFonts w:cstheme="minorHAnsi"/>
                <w:b/>
                <w:bCs/>
                <w:noProof/>
                <w:lang w:eastAsia="en-AU"/>
              </w:rPr>
            </w:pPr>
            <w:r w:rsidRPr="00CD769D">
              <w:rPr>
                <w:rFonts w:cstheme="minorHAnsi"/>
                <w:b/>
                <w:bCs/>
                <w:noProof/>
                <w:lang w:eastAsia="en-AU"/>
              </w:rPr>
              <w:t>Since the COVID-19 restrictions were introduced, would you say your wellbeing is…</w:t>
            </w:r>
          </w:p>
        </w:tc>
        <w:tc>
          <w:tcPr>
            <w:tcW w:w="0" w:type="auto"/>
          </w:tcPr>
          <w:p w14:paraId="0600B3F3" w14:textId="77777777" w:rsidR="00B069EA" w:rsidRPr="00BB2DAC" w:rsidRDefault="00B069EA" w:rsidP="00820B71">
            <w:pPr>
              <w:jc w:val="center"/>
              <w:rPr>
                <w:rFonts w:cstheme="minorHAnsi"/>
                <w:noProof/>
                <w:lang w:eastAsia="en-AU"/>
              </w:rPr>
            </w:pPr>
          </w:p>
        </w:tc>
        <w:tc>
          <w:tcPr>
            <w:tcW w:w="0" w:type="auto"/>
          </w:tcPr>
          <w:p w14:paraId="6404347C" w14:textId="77777777" w:rsidR="00B069EA" w:rsidRPr="00BB2DAC" w:rsidRDefault="00B069EA" w:rsidP="00820B71">
            <w:pPr>
              <w:jc w:val="center"/>
              <w:rPr>
                <w:rFonts w:cstheme="minorHAnsi"/>
                <w:noProof/>
                <w:lang w:eastAsia="en-AU"/>
              </w:rPr>
            </w:pPr>
          </w:p>
        </w:tc>
        <w:tc>
          <w:tcPr>
            <w:tcW w:w="0" w:type="auto"/>
          </w:tcPr>
          <w:p w14:paraId="1785DC99" w14:textId="77777777" w:rsidR="00B069EA" w:rsidRPr="00BB2DAC" w:rsidRDefault="00B069EA" w:rsidP="00820B71">
            <w:pPr>
              <w:jc w:val="center"/>
              <w:rPr>
                <w:rFonts w:cstheme="minorHAnsi"/>
                <w:noProof/>
                <w:lang w:eastAsia="en-AU"/>
              </w:rPr>
            </w:pPr>
          </w:p>
        </w:tc>
        <w:tc>
          <w:tcPr>
            <w:tcW w:w="0" w:type="auto"/>
          </w:tcPr>
          <w:p w14:paraId="105E76A1" w14:textId="7249E292" w:rsidR="00B069EA" w:rsidRPr="00BB2DAC" w:rsidRDefault="00B069EA" w:rsidP="00820B71">
            <w:pPr>
              <w:jc w:val="center"/>
              <w:rPr>
                <w:rFonts w:cstheme="minorHAnsi"/>
                <w:noProof/>
                <w:lang w:eastAsia="en-AU"/>
              </w:rPr>
            </w:pPr>
          </w:p>
        </w:tc>
        <w:tc>
          <w:tcPr>
            <w:tcW w:w="0" w:type="auto"/>
          </w:tcPr>
          <w:p w14:paraId="12F9C274" w14:textId="77777777" w:rsidR="00B069EA" w:rsidRPr="00BB2DAC" w:rsidRDefault="00B069EA" w:rsidP="00820B71">
            <w:pPr>
              <w:jc w:val="center"/>
              <w:rPr>
                <w:rFonts w:cstheme="minorHAnsi"/>
                <w:noProof/>
                <w:lang w:eastAsia="en-AU"/>
              </w:rPr>
            </w:pPr>
          </w:p>
        </w:tc>
      </w:tr>
      <w:tr w:rsidR="00B069EA" w:rsidRPr="00BB2DAC" w14:paraId="024F9AC1" w14:textId="77777777" w:rsidTr="00B069EA">
        <w:tc>
          <w:tcPr>
            <w:tcW w:w="0" w:type="auto"/>
            <w:vAlign w:val="bottom"/>
          </w:tcPr>
          <w:p w14:paraId="7310A2C0" w14:textId="77777777" w:rsidR="00B069EA" w:rsidRPr="00BB2DAC" w:rsidRDefault="00B069EA" w:rsidP="00250473">
            <w:pPr>
              <w:rPr>
                <w:rFonts w:cstheme="minorHAnsi"/>
                <w:noProof/>
                <w:lang w:eastAsia="en-AU"/>
              </w:rPr>
            </w:pPr>
            <w:r w:rsidRPr="00BB2DAC">
              <w:rPr>
                <w:rFonts w:ascii="Calibri" w:hAnsi="Calibri" w:cs="Calibri"/>
              </w:rPr>
              <w:t>Better now</w:t>
            </w:r>
          </w:p>
        </w:tc>
        <w:tc>
          <w:tcPr>
            <w:tcW w:w="0" w:type="auto"/>
            <w:vAlign w:val="bottom"/>
          </w:tcPr>
          <w:p w14:paraId="60409A08" w14:textId="77777777" w:rsidR="00B069EA" w:rsidRPr="00BB2DAC" w:rsidRDefault="00B069EA" w:rsidP="00820B71">
            <w:pPr>
              <w:jc w:val="center"/>
              <w:rPr>
                <w:rFonts w:ascii="Calibri" w:hAnsi="Calibri" w:cs="Calibri"/>
              </w:rPr>
            </w:pPr>
            <w:r w:rsidRPr="00BB2DAC">
              <w:rPr>
                <w:rFonts w:ascii="Calibri" w:hAnsi="Calibri" w:cs="Calibri"/>
              </w:rPr>
              <w:t>6.</w:t>
            </w:r>
            <w:r>
              <w:rPr>
                <w:rFonts w:ascii="Calibri" w:hAnsi="Calibri" w:cs="Calibri"/>
              </w:rPr>
              <w:t>6</w:t>
            </w:r>
            <w:r w:rsidRPr="00BB2DAC">
              <w:rPr>
                <w:rFonts w:ascii="Calibri" w:hAnsi="Calibri" w:cs="Calibri"/>
              </w:rPr>
              <w:t>%</w:t>
            </w:r>
          </w:p>
        </w:tc>
        <w:tc>
          <w:tcPr>
            <w:tcW w:w="0" w:type="auto"/>
          </w:tcPr>
          <w:p w14:paraId="29620F88" w14:textId="77777777" w:rsidR="00B069EA" w:rsidRPr="00BB2DAC" w:rsidRDefault="00B069EA" w:rsidP="00820B71">
            <w:pPr>
              <w:jc w:val="center"/>
              <w:rPr>
                <w:rFonts w:cstheme="minorHAnsi"/>
                <w:noProof/>
                <w:lang w:eastAsia="en-AU"/>
              </w:rPr>
            </w:pPr>
            <w:r w:rsidRPr="00BB2DAC">
              <w:rPr>
                <w:rFonts w:cstheme="minorHAnsi"/>
              </w:rPr>
              <w:t>n.a.</w:t>
            </w:r>
          </w:p>
        </w:tc>
        <w:tc>
          <w:tcPr>
            <w:tcW w:w="0" w:type="auto"/>
          </w:tcPr>
          <w:p w14:paraId="032CE8CE" w14:textId="77777777" w:rsidR="00B069EA" w:rsidRPr="00BB2DAC" w:rsidRDefault="00B069EA" w:rsidP="00820B71">
            <w:pPr>
              <w:jc w:val="center"/>
              <w:rPr>
                <w:rFonts w:ascii="Calibri" w:hAnsi="Calibri" w:cs="Calibri"/>
              </w:rPr>
            </w:pPr>
          </w:p>
        </w:tc>
        <w:tc>
          <w:tcPr>
            <w:tcW w:w="0" w:type="auto"/>
            <w:vAlign w:val="bottom"/>
          </w:tcPr>
          <w:p w14:paraId="31FA9A17" w14:textId="0BCE44AA" w:rsidR="00B069EA" w:rsidRPr="00BB2DAC" w:rsidRDefault="00B069EA" w:rsidP="00820B71">
            <w:pPr>
              <w:jc w:val="center"/>
              <w:rPr>
                <w:rFonts w:cstheme="minorHAnsi"/>
                <w:noProof/>
                <w:lang w:eastAsia="en-AU"/>
              </w:rPr>
            </w:pPr>
            <w:r w:rsidRPr="00BB2DAC">
              <w:rPr>
                <w:rFonts w:ascii="Calibri" w:hAnsi="Calibri" w:cs="Calibri"/>
              </w:rPr>
              <w:t>8.2%</w:t>
            </w:r>
          </w:p>
        </w:tc>
        <w:tc>
          <w:tcPr>
            <w:tcW w:w="0" w:type="auto"/>
          </w:tcPr>
          <w:p w14:paraId="75F63B58" w14:textId="77777777" w:rsidR="00B069EA" w:rsidRPr="00BB2DAC" w:rsidRDefault="00B069EA" w:rsidP="00820B71">
            <w:pPr>
              <w:jc w:val="center"/>
              <w:rPr>
                <w:rFonts w:cstheme="minorHAnsi"/>
                <w:noProof/>
                <w:lang w:eastAsia="en-AU"/>
              </w:rPr>
            </w:pPr>
            <w:r w:rsidRPr="00BB2DAC">
              <w:rPr>
                <w:rFonts w:cstheme="minorHAnsi"/>
              </w:rPr>
              <w:t>n.a.</w:t>
            </w:r>
          </w:p>
        </w:tc>
      </w:tr>
      <w:tr w:rsidR="00B069EA" w:rsidRPr="00BB2DAC" w14:paraId="6F8538AD" w14:textId="77777777" w:rsidTr="00B069EA">
        <w:tc>
          <w:tcPr>
            <w:tcW w:w="0" w:type="auto"/>
            <w:vAlign w:val="bottom"/>
          </w:tcPr>
          <w:p w14:paraId="42F09449" w14:textId="77777777" w:rsidR="00B069EA" w:rsidRPr="00BB2DAC" w:rsidRDefault="00B069EA" w:rsidP="00250473">
            <w:pPr>
              <w:rPr>
                <w:rFonts w:cstheme="minorHAnsi"/>
                <w:noProof/>
                <w:lang w:eastAsia="en-AU"/>
              </w:rPr>
            </w:pPr>
            <w:r w:rsidRPr="00BB2DAC">
              <w:rPr>
                <w:rFonts w:ascii="Calibri" w:hAnsi="Calibri" w:cs="Calibri"/>
              </w:rPr>
              <w:t>Cannot say</w:t>
            </w:r>
          </w:p>
        </w:tc>
        <w:tc>
          <w:tcPr>
            <w:tcW w:w="0" w:type="auto"/>
            <w:vAlign w:val="bottom"/>
          </w:tcPr>
          <w:p w14:paraId="22759AE0" w14:textId="77777777" w:rsidR="00B069EA" w:rsidRPr="00BB2DAC" w:rsidRDefault="00B069EA" w:rsidP="00820B71">
            <w:pPr>
              <w:jc w:val="center"/>
              <w:rPr>
                <w:rFonts w:ascii="Calibri" w:hAnsi="Calibri" w:cs="Calibri"/>
              </w:rPr>
            </w:pPr>
            <w:r w:rsidRPr="00BB2DAC">
              <w:rPr>
                <w:rFonts w:ascii="Calibri" w:hAnsi="Calibri" w:cs="Calibri"/>
              </w:rPr>
              <w:t>0</w:t>
            </w:r>
            <w:r>
              <w:rPr>
                <w:rFonts w:ascii="Calibri" w:hAnsi="Calibri" w:cs="Calibri"/>
              </w:rPr>
              <w:t>.3</w:t>
            </w:r>
            <w:r w:rsidRPr="00BB2DAC">
              <w:rPr>
                <w:rFonts w:ascii="Calibri" w:hAnsi="Calibri" w:cs="Calibri"/>
              </w:rPr>
              <w:t>%</w:t>
            </w:r>
          </w:p>
        </w:tc>
        <w:tc>
          <w:tcPr>
            <w:tcW w:w="0" w:type="auto"/>
          </w:tcPr>
          <w:p w14:paraId="14C35281" w14:textId="77777777" w:rsidR="00B069EA" w:rsidRPr="00BB2DAC" w:rsidRDefault="00B069EA" w:rsidP="00820B71">
            <w:pPr>
              <w:jc w:val="center"/>
              <w:rPr>
                <w:rFonts w:cstheme="minorHAnsi"/>
                <w:noProof/>
                <w:lang w:eastAsia="en-AU"/>
              </w:rPr>
            </w:pPr>
            <w:r w:rsidRPr="00BB2DAC">
              <w:rPr>
                <w:rFonts w:cstheme="minorHAnsi"/>
              </w:rPr>
              <w:t>n.a.</w:t>
            </w:r>
          </w:p>
        </w:tc>
        <w:tc>
          <w:tcPr>
            <w:tcW w:w="0" w:type="auto"/>
          </w:tcPr>
          <w:p w14:paraId="4D01A51E" w14:textId="77777777" w:rsidR="00B069EA" w:rsidRPr="00BB2DAC" w:rsidRDefault="00B069EA" w:rsidP="00820B71">
            <w:pPr>
              <w:jc w:val="center"/>
              <w:rPr>
                <w:rFonts w:ascii="Calibri" w:hAnsi="Calibri" w:cs="Calibri"/>
              </w:rPr>
            </w:pPr>
          </w:p>
        </w:tc>
        <w:tc>
          <w:tcPr>
            <w:tcW w:w="0" w:type="auto"/>
            <w:vAlign w:val="bottom"/>
          </w:tcPr>
          <w:p w14:paraId="2440CB26" w14:textId="37943D55" w:rsidR="00B069EA" w:rsidRPr="00BB2DAC" w:rsidRDefault="00B069EA" w:rsidP="00820B71">
            <w:pPr>
              <w:jc w:val="center"/>
              <w:rPr>
                <w:rFonts w:cstheme="minorHAnsi"/>
                <w:noProof/>
                <w:lang w:eastAsia="en-AU"/>
              </w:rPr>
            </w:pPr>
            <w:r w:rsidRPr="00BB2DAC">
              <w:rPr>
                <w:rFonts w:ascii="Calibri" w:hAnsi="Calibri" w:cs="Calibri"/>
              </w:rPr>
              <w:t>0.</w:t>
            </w:r>
            <w:r>
              <w:rPr>
                <w:rFonts w:ascii="Calibri" w:hAnsi="Calibri" w:cs="Calibri"/>
              </w:rPr>
              <w:t>9</w:t>
            </w:r>
            <w:r w:rsidRPr="00BB2DAC">
              <w:rPr>
                <w:rFonts w:ascii="Calibri" w:hAnsi="Calibri" w:cs="Calibri"/>
              </w:rPr>
              <w:t>%</w:t>
            </w:r>
          </w:p>
        </w:tc>
        <w:tc>
          <w:tcPr>
            <w:tcW w:w="0" w:type="auto"/>
          </w:tcPr>
          <w:p w14:paraId="64BE31B1" w14:textId="77777777" w:rsidR="00B069EA" w:rsidRPr="00BB2DAC" w:rsidRDefault="00B069EA" w:rsidP="00820B71">
            <w:pPr>
              <w:jc w:val="center"/>
              <w:rPr>
                <w:rFonts w:cstheme="minorHAnsi"/>
                <w:noProof/>
                <w:lang w:eastAsia="en-AU"/>
              </w:rPr>
            </w:pPr>
            <w:r w:rsidRPr="00BB2DAC">
              <w:rPr>
                <w:rFonts w:cstheme="minorHAnsi"/>
              </w:rPr>
              <w:t>n.a.</w:t>
            </w:r>
          </w:p>
        </w:tc>
      </w:tr>
      <w:tr w:rsidR="00B069EA" w:rsidRPr="00BB2DAC" w14:paraId="4F40FC33" w14:textId="77777777" w:rsidTr="00B069EA">
        <w:tc>
          <w:tcPr>
            <w:tcW w:w="0" w:type="auto"/>
            <w:vAlign w:val="bottom"/>
          </w:tcPr>
          <w:p w14:paraId="64DC3BD5" w14:textId="77777777" w:rsidR="00B069EA" w:rsidRPr="00BB2DAC" w:rsidRDefault="00B069EA" w:rsidP="00250473">
            <w:pPr>
              <w:rPr>
                <w:rFonts w:cstheme="minorHAnsi"/>
                <w:noProof/>
                <w:lang w:eastAsia="en-AU"/>
              </w:rPr>
            </w:pPr>
            <w:r w:rsidRPr="00BB2DAC">
              <w:rPr>
                <w:rFonts w:ascii="Calibri" w:hAnsi="Calibri" w:cs="Calibri"/>
              </w:rPr>
              <w:t>Refused</w:t>
            </w:r>
          </w:p>
        </w:tc>
        <w:tc>
          <w:tcPr>
            <w:tcW w:w="0" w:type="auto"/>
            <w:vAlign w:val="bottom"/>
          </w:tcPr>
          <w:p w14:paraId="6FF0454D" w14:textId="77777777" w:rsidR="00B069EA" w:rsidRPr="00BB2DAC" w:rsidRDefault="00B069EA" w:rsidP="00820B71">
            <w:pPr>
              <w:jc w:val="center"/>
              <w:rPr>
                <w:rFonts w:ascii="Calibri" w:hAnsi="Calibri" w:cs="Calibri"/>
              </w:rPr>
            </w:pPr>
            <w:r w:rsidRPr="00BB2DAC">
              <w:rPr>
                <w:rFonts w:ascii="Calibri" w:hAnsi="Calibri" w:cs="Calibri"/>
              </w:rPr>
              <w:t>0.</w:t>
            </w:r>
            <w:r>
              <w:rPr>
                <w:rFonts w:ascii="Calibri" w:hAnsi="Calibri" w:cs="Calibri"/>
              </w:rPr>
              <w:t>1</w:t>
            </w:r>
            <w:r w:rsidRPr="00BB2DAC">
              <w:rPr>
                <w:rFonts w:ascii="Calibri" w:hAnsi="Calibri" w:cs="Calibri"/>
              </w:rPr>
              <w:t>%</w:t>
            </w:r>
          </w:p>
        </w:tc>
        <w:tc>
          <w:tcPr>
            <w:tcW w:w="0" w:type="auto"/>
          </w:tcPr>
          <w:p w14:paraId="6F9F7C87" w14:textId="77777777" w:rsidR="00B069EA" w:rsidRPr="00BB2DAC" w:rsidRDefault="00B069EA" w:rsidP="00820B71">
            <w:pPr>
              <w:jc w:val="center"/>
              <w:rPr>
                <w:rFonts w:cstheme="minorHAnsi"/>
                <w:noProof/>
                <w:lang w:eastAsia="en-AU"/>
              </w:rPr>
            </w:pPr>
            <w:r w:rsidRPr="00BB2DAC">
              <w:rPr>
                <w:rFonts w:cstheme="minorHAnsi"/>
              </w:rPr>
              <w:t>n.a.</w:t>
            </w:r>
          </w:p>
        </w:tc>
        <w:tc>
          <w:tcPr>
            <w:tcW w:w="0" w:type="auto"/>
          </w:tcPr>
          <w:p w14:paraId="14DA33ED" w14:textId="77777777" w:rsidR="00B069EA" w:rsidRPr="00BB2DAC" w:rsidRDefault="00B069EA" w:rsidP="00820B71">
            <w:pPr>
              <w:jc w:val="center"/>
              <w:rPr>
                <w:rFonts w:ascii="Calibri" w:hAnsi="Calibri" w:cs="Calibri"/>
              </w:rPr>
            </w:pPr>
          </w:p>
        </w:tc>
        <w:tc>
          <w:tcPr>
            <w:tcW w:w="0" w:type="auto"/>
            <w:vAlign w:val="bottom"/>
          </w:tcPr>
          <w:p w14:paraId="54793410" w14:textId="46D28236" w:rsidR="00B069EA" w:rsidRPr="00BB2DAC" w:rsidRDefault="00B069EA" w:rsidP="00820B71">
            <w:pPr>
              <w:jc w:val="center"/>
              <w:rPr>
                <w:rFonts w:cstheme="minorHAnsi"/>
                <w:noProof/>
                <w:lang w:eastAsia="en-AU"/>
              </w:rPr>
            </w:pPr>
            <w:r w:rsidRPr="00BB2DAC">
              <w:rPr>
                <w:rFonts w:ascii="Calibri" w:hAnsi="Calibri" w:cs="Calibri"/>
              </w:rPr>
              <w:t>0.</w:t>
            </w:r>
            <w:r>
              <w:rPr>
                <w:rFonts w:ascii="Calibri" w:hAnsi="Calibri" w:cs="Calibri"/>
              </w:rPr>
              <w:t>2</w:t>
            </w:r>
            <w:r w:rsidRPr="00BB2DAC">
              <w:rPr>
                <w:rFonts w:ascii="Calibri" w:hAnsi="Calibri" w:cs="Calibri"/>
              </w:rPr>
              <w:t>%</w:t>
            </w:r>
          </w:p>
        </w:tc>
        <w:tc>
          <w:tcPr>
            <w:tcW w:w="0" w:type="auto"/>
          </w:tcPr>
          <w:p w14:paraId="48CF2EBE" w14:textId="77777777" w:rsidR="00B069EA" w:rsidRPr="00BB2DAC" w:rsidRDefault="00B069EA" w:rsidP="00820B71">
            <w:pPr>
              <w:jc w:val="center"/>
              <w:rPr>
                <w:rFonts w:cstheme="minorHAnsi"/>
                <w:noProof/>
                <w:lang w:eastAsia="en-AU"/>
              </w:rPr>
            </w:pPr>
            <w:r w:rsidRPr="00BB2DAC">
              <w:rPr>
                <w:rFonts w:cstheme="minorHAnsi"/>
              </w:rPr>
              <w:t>n.a.</w:t>
            </w:r>
          </w:p>
        </w:tc>
      </w:tr>
      <w:tr w:rsidR="00B069EA" w:rsidRPr="00BB2DAC" w14:paraId="367E9BBA" w14:textId="77777777" w:rsidTr="00B069EA">
        <w:tc>
          <w:tcPr>
            <w:tcW w:w="0" w:type="auto"/>
            <w:vAlign w:val="bottom"/>
          </w:tcPr>
          <w:p w14:paraId="0B180DD1" w14:textId="77777777" w:rsidR="00B069EA" w:rsidRPr="00BB2DAC" w:rsidRDefault="00B069EA" w:rsidP="00250473">
            <w:pPr>
              <w:rPr>
                <w:rFonts w:cstheme="minorHAnsi"/>
                <w:noProof/>
                <w:lang w:eastAsia="en-AU"/>
              </w:rPr>
            </w:pPr>
            <w:r w:rsidRPr="00BB2DAC">
              <w:rPr>
                <w:rFonts w:ascii="Calibri" w:hAnsi="Calibri" w:cs="Calibri"/>
              </w:rPr>
              <w:t>Same now</w:t>
            </w:r>
          </w:p>
        </w:tc>
        <w:tc>
          <w:tcPr>
            <w:tcW w:w="0" w:type="auto"/>
            <w:vAlign w:val="bottom"/>
          </w:tcPr>
          <w:p w14:paraId="34D6C3DF" w14:textId="77777777" w:rsidR="00B069EA" w:rsidRPr="00BB2DAC" w:rsidRDefault="00B069EA" w:rsidP="00820B71">
            <w:pPr>
              <w:jc w:val="center"/>
              <w:rPr>
                <w:rFonts w:ascii="Calibri" w:hAnsi="Calibri" w:cs="Calibri"/>
              </w:rPr>
            </w:pPr>
            <w:r w:rsidRPr="00BB2DAC">
              <w:rPr>
                <w:rFonts w:ascii="Calibri" w:hAnsi="Calibri" w:cs="Calibri"/>
              </w:rPr>
              <w:t>40.</w:t>
            </w:r>
            <w:r>
              <w:rPr>
                <w:rFonts w:ascii="Calibri" w:hAnsi="Calibri" w:cs="Calibri"/>
              </w:rPr>
              <w:t>5</w:t>
            </w:r>
            <w:r w:rsidRPr="00BB2DAC">
              <w:rPr>
                <w:rFonts w:ascii="Calibri" w:hAnsi="Calibri" w:cs="Calibri"/>
              </w:rPr>
              <w:t>%</w:t>
            </w:r>
          </w:p>
        </w:tc>
        <w:tc>
          <w:tcPr>
            <w:tcW w:w="0" w:type="auto"/>
          </w:tcPr>
          <w:p w14:paraId="2E251DA7" w14:textId="77777777" w:rsidR="00B069EA" w:rsidRPr="00BB2DAC" w:rsidRDefault="00B069EA" w:rsidP="00820B71">
            <w:pPr>
              <w:jc w:val="center"/>
              <w:rPr>
                <w:rFonts w:cstheme="minorHAnsi"/>
                <w:noProof/>
                <w:lang w:eastAsia="en-AU"/>
              </w:rPr>
            </w:pPr>
            <w:r w:rsidRPr="00BB2DAC">
              <w:rPr>
                <w:rFonts w:cstheme="minorHAnsi"/>
              </w:rPr>
              <w:t>n.a.</w:t>
            </w:r>
          </w:p>
        </w:tc>
        <w:tc>
          <w:tcPr>
            <w:tcW w:w="0" w:type="auto"/>
          </w:tcPr>
          <w:p w14:paraId="7C0CECE9" w14:textId="77777777" w:rsidR="00B069EA" w:rsidRPr="00BB2DAC" w:rsidRDefault="00B069EA" w:rsidP="00820B71">
            <w:pPr>
              <w:jc w:val="center"/>
              <w:rPr>
                <w:rFonts w:ascii="Calibri" w:hAnsi="Calibri" w:cs="Calibri"/>
              </w:rPr>
            </w:pPr>
          </w:p>
        </w:tc>
        <w:tc>
          <w:tcPr>
            <w:tcW w:w="0" w:type="auto"/>
            <w:vAlign w:val="bottom"/>
          </w:tcPr>
          <w:p w14:paraId="60EF48C3" w14:textId="7281E3CC" w:rsidR="00B069EA" w:rsidRPr="00BB2DAC" w:rsidRDefault="00B069EA" w:rsidP="00820B71">
            <w:pPr>
              <w:jc w:val="center"/>
              <w:rPr>
                <w:rFonts w:cstheme="minorHAnsi"/>
                <w:noProof/>
                <w:lang w:eastAsia="en-AU"/>
              </w:rPr>
            </w:pPr>
            <w:r w:rsidRPr="00BB2DAC">
              <w:rPr>
                <w:rFonts w:ascii="Calibri" w:hAnsi="Calibri" w:cs="Calibri"/>
              </w:rPr>
              <w:t>45.</w:t>
            </w:r>
            <w:r>
              <w:rPr>
                <w:rFonts w:ascii="Calibri" w:hAnsi="Calibri" w:cs="Calibri"/>
              </w:rPr>
              <w:t>7</w:t>
            </w:r>
            <w:r w:rsidRPr="00BB2DAC">
              <w:rPr>
                <w:rFonts w:ascii="Calibri" w:hAnsi="Calibri" w:cs="Calibri"/>
              </w:rPr>
              <w:t>%</w:t>
            </w:r>
          </w:p>
        </w:tc>
        <w:tc>
          <w:tcPr>
            <w:tcW w:w="0" w:type="auto"/>
          </w:tcPr>
          <w:p w14:paraId="56C74A6A" w14:textId="77777777" w:rsidR="00B069EA" w:rsidRPr="00BB2DAC" w:rsidRDefault="00B069EA" w:rsidP="00820B71">
            <w:pPr>
              <w:jc w:val="center"/>
              <w:rPr>
                <w:rFonts w:cstheme="minorHAnsi"/>
                <w:noProof/>
                <w:lang w:eastAsia="en-AU"/>
              </w:rPr>
            </w:pPr>
            <w:r w:rsidRPr="00BB2DAC">
              <w:rPr>
                <w:rFonts w:cstheme="minorHAnsi"/>
              </w:rPr>
              <w:t>n.a.</w:t>
            </w:r>
          </w:p>
        </w:tc>
      </w:tr>
      <w:tr w:rsidR="00B069EA" w:rsidRPr="00BB2DAC" w14:paraId="3B3F899B" w14:textId="77777777" w:rsidTr="00B069EA">
        <w:tc>
          <w:tcPr>
            <w:tcW w:w="0" w:type="auto"/>
            <w:vAlign w:val="bottom"/>
          </w:tcPr>
          <w:p w14:paraId="3228F288" w14:textId="77777777" w:rsidR="00B069EA" w:rsidRPr="00BB2DAC" w:rsidRDefault="00B069EA" w:rsidP="00250473">
            <w:pPr>
              <w:rPr>
                <w:rFonts w:cstheme="minorHAnsi"/>
                <w:noProof/>
                <w:lang w:eastAsia="en-AU"/>
              </w:rPr>
            </w:pPr>
            <w:r w:rsidRPr="00BB2DAC">
              <w:rPr>
                <w:rFonts w:ascii="Calibri" w:hAnsi="Calibri" w:cs="Calibri"/>
              </w:rPr>
              <w:t>Worse now</w:t>
            </w:r>
          </w:p>
        </w:tc>
        <w:tc>
          <w:tcPr>
            <w:tcW w:w="0" w:type="auto"/>
            <w:vAlign w:val="bottom"/>
          </w:tcPr>
          <w:p w14:paraId="67ED1B94" w14:textId="77777777" w:rsidR="00B069EA" w:rsidRPr="00BB2DAC" w:rsidRDefault="00B069EA" w:rsidP="00820B71">
            <w:pPr>
              <w:jc w:val="center"/>
              <w:rPr>
                <w:rFonts w:ascii="Calibri" w:hAnsi="Calibri" w:cs="Calibri"/>
              </w:rPr>
            </w:pPr>
            <w:r w:rsidRPr="00BB2DAC">
              <w:rPr>
                <w:rFonts w:ascii="Calibri" w:hAnsi="Calibri" w:cs="Calibri"/>
              </w:rPr>
              <w:t>52.6%</w:t>
            </w:r>
          </w:p>
        </w:tc>
        <w:tc>
          <w:tcPr>
            <w:tcW w:w="0" w:type="auto"/>
          </w:tcPr>
          <w:p w14:paraId="0E47E43F" w14:textId="77777777" w:rsidR="00B069EA" w:rsidRPr="00BB2DAC" w:rsidRDefault="00B069EA" w:rsidP="00820B71">
            <w:pPr>
              <w:jc w:val="center"/>
              <w:rPr>
                <w:rFonts w:cstheme="minorHAnsi"/>
                <w:noProof/>
                <w:lang w:eastAsia="en-AU"/>
              </w:rPr>
            </w:pPr>
            <w:r w:rsidRPr="00BB2DAC">
              <w:rPr>
                <w:rFonts w:cstheme="minorHAnsi"/>
              </w:rPr>
              <w:t>n.a.</w:t>
            </w:r>
          </w:p>
        </w:tc>
        <w:tc>
          <w:tcPr>
            <w:tcW w:w="0" w:type="auto"/>
          </w:tcPr>
          <w:p w14:paraId="15DFAA0E" w14:textId="77777777" w:rsidR="00B069EA" w:rsidRPr="00BB2DAC" w:rsidRDefault="00B069EA" w:rsidP="00820B71">
            <w:pPr>
              <w:jc w:val="center"/>
              <w:rPr>
                <w:rFonts w:ascii="Calibri" w:hAnsi="Calibri" w:cs="Calibri"/>
              </w:rPr>
            </w:pPr>
          </w:p>
        </w:tc>
        <w:tc>
          <w:tcPr>
            <w:tcW w:w="0" w:type="auto"/>
            <w:vAlign w:val="bottom"/>
          </w:tcPr>
          <w:p w14:paraId="770BF271" w14:textId="7CAD0D2E" w:rsidR="00B069EA" w:rsidRPr="00BB2DAC" w:rsidRDefault="00B069EA" w:rsidP="00820B71">
            <w:pPr>
              <w:jc w:val="center"/>
              <w:rPr>
                <w:rFonts w:cstheme="minorHAnsi"/>
                <w:noProof/>
                <w:lang w:eastAsia="en-AU"/>
              </w:rPr>
            </w:pPr>
            <w:r w:rsidRPr="00BB2DAC">
              <w:rPr>
                <w:rFonts w:ascii="Calibri" w:hAnsi="Calibri" w:cs="Calibri"/>
              </w:rPr>
              <w:t>45.0%</w:t>
            </w:r>
          </w:p>
        </w:tc>
        <w:tc>
          <w:tcPr>
            <w:tcW w:w="0" w:type="auto"/>
          </w:tcPr>
          <w:p w14:paraId="2060C3AD" w14:textId="77777777" w:rsidR="00B069EA" w:rsidRPr="00BB2DAC" w:rsidRDefault="00B069EA" w:rsidP="00820B71">
            <w:pPr>
              <w:jc w:val="center"/>
              <w:rPr>
                <w:rFonts w:cstheme="minorHAnsi"/>
                <w:noProof/>
                <w:lang w:eastAsia="en-AU"/>
              </w:rPr>
            </w:pPr>
            <w:r w:rsidRPr="00BB2DAC">
              <w:rPr>
                <w:rFonts w:cstheme="minorHAnsi"/>
              </w:rPr>
              <w:t>n.a.</w:t>
            </w:r>
          </w:p>
        </w:tc>
      </w:tr>
    </w:tbl>
    <w:p w14:paraId="0F8EDD46" w14:textId="3E8E6CDF" w:rsidR="00A51D0A" w:rsidRDefault="00A51D0A" w:rsidP="00A51D0A">
      <w:pPr>
        <w:rPr>
          <w:rFonts w:cstheme="minorHAnsi"/>
          <w:noProof/>
          <w:lang w:eastAsia="en-AU"/>
        </w:rPr>
      </w:pPr>
    </w:p>
    <w:p w14:paraId="31919222" w14:textId="459B73B2" w:rsidR="00A51D0A" w:rsidRPr="00D2399A" w:rsidRDefault="00A51D0A" w:rsidP="00A51D0A">
      <w:pPr>
        <w:rPr>
          <w:rFonts w:cstheme="minorHAnsi"/>
          <w:b/>
          <w:bCs/>
          <w:noProof/>
          <w:sz w:val="24"/>
          <w:szCs w:val="24"/>
          <w:lang w:eastAsia="en-AU"/>
        </w:rPr>
      </w:pPr>
      <w:r w:rsidRPr="00D2399A">
        <w:rPr>
          <w:rFonts w:cstheme="minorHAnsi"/>
          <w:b/>
          <w:bCs/>
          <w:noProof/>
          <w:sz w:val="24"/>
          <w:szCs w:val="24"/>
          <w:lang w:eastAsia="en-AU"/>
        </w:rPr>
        <w:t>Impact on employment and study</w:t>
      </w:r>
    </w:p>
    <w:p w14:paraId="77B255E4" w14:textId="0F28F933" w:rsidR="00A51D0A" w:rsidRDefault="00A51D0A" w:rsidP="00A51D0A">
      <w:pPr>
        <w:rPr>
          <w:rFonts w:cstheme="minorHAnsi"/>
        </w:rPr>
      </w:pPr>
      <w:r w:rsidRPr="00A51D0A">
        <w:rPr>
          <w:rFonts w:cstheme="minorHAnsi"/>
        </w:rPr>
        <w:t>Year 12 completers and Year 12 non-completers were affected differently by the COVID-19 restrictions</w:t>
      </w:r>
      <w:r>
        <w:rPr>
          <w:rFonts w:cstheme="minorHAnsi"/>
        </w:rPr>
        <w:t xml:space="preserve"> in terms of employment and study</w:t>
      </w:r>
      <w:r w:rsidRPr="00A51D0A">
        <w:rPr>
          <w:rFonts w:cstheme="minorHAnsi"/>
        </w:rPr>
        <w:t>. Year 12 completers were negatively impacted in their employment more than Year 12 non-completers. Conversely, Year 12 non-completers were negatively impacted in their study more than Year 12 completers.</w:t>
      </w:r>
      <w:r w:rsidR="00B71500">
        <w:rPr>
          <w:rFonts w:cstheme="minorHAnsi"/>
        </w:rPr>
        <w:t xml:space="preserve"> That being so, deferrals </w:t>
      </w:r>
      <w:r w:rsidR="000E2333">
        <w:rPr>
          <w:rFonts w:cstheme="minorHAnsi"/>
        </w:rPr>
        <w:t>of study</w:t>
      </w:r>
      <w:r w:rsidR="00B71500">
        <w:rPr>
          <w:rFonts w:cstheme="minorHAnsi"/>
        </w:rPr>
        <w:t xml:space="preserve"> for COVID related reasons decreased </w:t>
      </w:r>
      <w:r w:rsidR="00B17FA1">
        <w:rPr>
          <w:rFonts w:cstheme="minorHAnsi"/>
        </w:rPr>
        <w:t xml:space="preserve">substantially </w:t>
      </w:r>
      <w:r w:rsidR="00B71500">
        <w:rPr>
          <w:rFonts w:cstheme="minorHAnsi"/>
        </w:rPr>
        <w:t>between 2020 and 2021.</w:t>
      </w:r>
    </w:p>
    <w:p w14:paraId="1FCF5591" w14:textId="11FDCD1E" w:rsidR="00D2399A" w:rsidRPr="00B069EA" w:rsidRDefault="00D2399A" w:rsidP="00A51D0A">
      <w:pPr>
        <w:rPr>
          <w:rFonts w:cstheme="minorHAnsi"/>
          <w:b/>
          <w:bCs/>
          <w:i/>
          <w:iCs/>
          <w:sz w:val="24"/>
          <w:szCs w:val="24"/>
        </w:rPr>
      </w:pPr>
      <w:r w:rsidRPr="00B069EA">
        <w:rPr>
          <w:rFonts w:cstheme="minorHAnsi"/>
          <w:b/>
          <w:bCs/>
          <w:i/>
          <w:iCs/>
          <w:sz w:val="24"/>
          <w:szCs w:val="24"/>
        </w:rPr>
        <w:t>Employment</w:t>
      </w:r>
    </w:p>
    <w:p w14:paraId="0A635396" w14:textId="5B11ABCC" w:rsidR="00D2399A" w:rsidRPr="00A51D0A" w:rsidRDefault="00D2399A" w:rsidP="00A51D0A">
      <w:pPr>
        <w:rPr>
          <w:rFonts w:cstheme="minorHAnsi"/>
        </w:rPr>
      </w:pPr>
      <w:r>
        <w:rPr>
          <w:rFonts w:cstheme="minorHAnsi"/>
        </w:rPr>
        <w:t xml:space="preserve">In 2020, similar proportions of </w:t>
      </w:r>
      <w:r w:rsidR="000E2333">
        <w:rPr>
          <w:rFonts w:cstheme="minorHAnsi"/>
        </w:rPr>
        <w:t xml:space="preserve">Year 12 </w:t>
      </w:r>
      <w:r>
        <w:rPr>
          <w:rFonts w:cstheme="minorHAnsi"/>
        </w:rPr>
        <w:t>completers (30</w:t>
      </w:r>
      <w:r w:rsidR="000E2333">
        <w:rPr>
          <w:rFonts w:cstheme="minorHAnsi"/>
        </w:rPr>
        <w:t>%</w:t>
      </w:r>
      <w:r>
        <w:rPr>
          <w:rFonts w:cstheme="minorHAnsi"/>
        </w:rPr>
        <w:t>) and non-completers (28</w:t>
      </w:r>
      <w:r w:rsidR="000E2333">
        <w:rPr>
          <w:rFonts w:cstheme="minorHAnsi"/>
        </w:rPr>
        <w:t>%</w:t>
      </w:r>
      <w:r>
        <w:rPr>
          <w:rFonts w:cstheme="minorHAnsi"/>
        </w:rPr>
        <w:t xml:space="preserve">) had a job prior to COVID-19 restrictions. Higher proportions of completers than non-completers reported working </w:t>
      </w:r>
      <w:r w:rsidR="000E2333">
        <w:rPr>
          <w:rFonts w:cstheme="minorHAnsi"/>
        </w:rPr>
        <w:t>fewer</w:t>
      </w:r>
      <w:r>
        <w:rPr>
          <w:rFonts w:cstheme="minorHAnsi"/>
        </w:rPr>
        <w:t xml:space="preserve"> hours (28</w:t>
      </w:r>
      <w:r w:rsidR="000E2333">
        <w:rPr>
          <w:rFonts w:cstheme="minorHAnsi"/>
        </w:rPr>
        <w:t>%</w:t>
      </w:r>
      <w:r>
        <w:rPr>
          <w:rFonts w:cstheme="minorHAnsi"/>
        </w:rPr>
        <w:t xml:space="preserve"> vs 21</w:t>
      </w:r>
      <w:r w:rsidR="000E2333">
        <w:rPr>
          <w:rFonts w:cstheme="minorHAnsi"/>
        </w:rPr>
        <w:t>%</w:t>
      </w:r>
      <w:r>
        <w:rPr>
          <w:rFonts w:cstheme="minorHAnsi"/>
        </w:rPr>
        <w:t>). Non-completers were more likely to report that nothing had changed with their employment (50</w:t>
      </w:r>
      <w:r w:rsidR="000E2333">
        <w:rPr>
          <w:rFonts w:cstheme="minorHAnsi"/>
        </w:rPr>
        <w:t>%</w:t>
      </w:r>
      <w:r>
        <w:rPr>
          <w:rFonts w:cstheme="minorHAnsi"/>
        </w:rPr>
        <w:t>) compared to completers (34</w:t>
      </w:r>
      <w:r w:rsidR="000E2333">
        <w:rPr>
          <w:rFonts w:cstheme="minorHAnsi"/>
        </w:rPr>
        <w:t>%</w:t>
      </w:r>
      <w:r>
        <w:rPr>
          <w:rFonts w:cstheme="minorHAnsi"/>
        </w:rPr>
        <w:t>). These issues were not surveyed again in 2021</w:t>
      </w:r>
      <w:r w:rsidR="000E2333">
        <w:rPr>
          <w:rFonts w:cstheme="minorHAnsi"/>
        </w:rPr>
        <w:t xml:space="preserve"> as the extended lockdowns had not yet occurred when the survey was in the field.</w:t>
      </w:r>
    </w:p>
    <w:tbl>
      <w:tblPr>
        <w:tblStyle w:val="TableGrid"/>
        <w:tblW w:w="0" w:type="auto"/>
        <w:tblLook w:val="04A0" w:firstRow="1" w:lastRow="0" w:firstColumn="1" w:lastColumn="0" w:noHBand="0" w:noVBand="1"/>
      </w:tblPr>
      <w:tblGrid>
        <w:gridCol w:w="4242"/>
        <w:gridCol w:w="1703"/>
        <w:gridCol w:w="663"/>
        <w:gridCol w:w="222"/>
        <w:gridCol w:w="1523"/>
        <w:gridCol w:w="663"/>
      </w:tblGrid>
      <w:tr w:rsidR="00B069EA" w:rsidRPr="00BB2DAC" w14:paraId="4E6EC2B4" w14:textId="77777777" w:rsidTr="00B069EA">
        <w:tc>
          <w:tcPr>
            <w:tcW w:w="0" w:type="auto"/>
          </w:tcPr>
          <w:p w14:paraId="389FFF0A" w14:textId="77777777" w:rsidR="00B069EA" w:rsidRPr="00BB2DAC" w:rsidRDefault="00B069EA" w:rsidP="00250473">
            <w:pPr>
              <w:rPr>
                <w:rFonts w:cstheme="minorHAnsi"/>
                <w:noProof/>
                <w:lang w:eastAsia="en-AU"/>
              </w:rPr>
            </w:pPr>
          </w:p>
        </w:tc>
        <w:tc>
          <w:tcPr>
            <w:tcW w:w="0" w:type="auto"/>
          </w:tcPr>
          <w:p w14:paraId="6D07F08E" w14:textId="77777777" w:rsidR="00B069EA" w:rsidRPr="00CD769D" w:rsidRDefault="00B069EA" w:rsidP="00820B71">
            <w:pPr>
              <w:jc w:val="center"/>
              <w:rPr>
                <w:rFonts w:cstheme="minorHAnsi"/>
                <w:b/>
                <w:bCs/>
                <w:noProof/>
                <w:lang w:eastAsia="en-AU"/>
              </w:rPr>
            </w:pPr>
            <w:r w:rsidRPr="00CD769D">
              <w:rPr>
                <w:rFonts w:cstheme="minorHAnsi"/>
                <w:b/>
                <w:bCs/>
              </w:rPr>
              <w:t>Year 12 completers</w:t>
            </w:r>
          </w:p>
        </w:tc>
        <w:tc>
          <w:tcPr>
            <w:tcW w:w="0" w:type="auto"/>
          </w:tcPr>
          <w:p w14:paraId="64A47431" w14:textId="77777777" w:rsidR="00B069EA" w:rsidRPr="00CD769D" w:rsidRDefault="00B069EA" w:rsidP="00820B71">
            <w:pPr>
              <w:jc w:val="center"/>
              <w:rPr>
                <w:rFonts w:cstheme="minorHAnsi"/>
                <w:b/>
                <w:bCs/>
                <w:noProof/>
                <w:lang w:eastAsia="en-AU"/>
              </w:rPr>
            </w:pPr>
          </w:p>
        </w:tc>
        <w:tc>
          <w:tcPr>
            <w:tcW w:w="0" w:type="auto"/>
          </w:tcPr>
          <w:p w14:paraId="126C47A8" w14:textId="77777777" w:rsidR="00B069EA" w:rsidRPr="00CD769D" w:rsidRDefault="00B069EA" w:rsidP="00820B71">
            <w:pPr>
              <w:jc w:val="center"/>
              <w:rPr>
                <w:rFonts w:cstheme="minorHAnsi"/>
                <w:b/>
                <w:bCs/>
              </w:rPr>
            </w:pPr>
          </w:p>
        </w:tc>
        <w:tc>
          <w:tcPr>
            <w:tcW w:w="0" w:type="auto"/>
          </w:tcPr>
          <w:p w14:paraId="140A5857" w14:textId="71DBA595" w:rsidR="00B069EA" w:rsidRPr="00CD769D" w:rsidRDefault="00B069EA" w:rsidP="00820B71">
            <w:pPr>
              <w:jc w:val="center"/>
              <w:rPr>
                <w:rFonts w:cstheme="minorHAnsi"/>
                <w:b/>
                <w:bCs/>
                <w:noProof/>
                <w:lang w:eastAsia="en-AU"/>
              </w:rPr>
            </w:pPr>
            <w:r w:rsidRPr="00CD769D">
              <w:rPr>
                <w:rFonts w:cstheme="minorHAnsi"/>
                <w:b/>
                <w:bCs/>
              </w:rPr>
              <w:t>Non-completers</w:t>
            </w:r>
          </w:p>
        </w:tc>
        <w:tc>
          <w:tcPr>
            <w:tcW w:w="0" w:type="auto"/>
          </w:tcPr>
          <w:p w14:paraId="6BEBC198" w14:textId="77777777" w:rsidR="00B069EA" w:rsidRPr="00CD769D" w:rsidRDefault="00B069EA" w:rsidP="00820B71">
            <w:pPr>
              <w:jc w:val="center"/>
              <w:rPr>
                <w:rFonts w:cstheme="minorHAnsi"/>
                <w:b/>
                <w:bCs/>
                <w:noProof/>
                <w:lang w:eastAsia="en-AU"/>
              </w:rPr>
            </w:pPr>
          </w:p>
        </w:tc>
      </w:tr>
      <w:tr w:rsidR="00B069EA" w:rsidRPr="00BB2DAC" w14:paraId="0690DDF5" w14:textId="77777777" w:rsidTr="00B069EA">
        <w:tc>
          <w:tcPr>
            <w:tcW w:w="0" w:type="auto"/>
          </w:tcPr>
          <w:p w14:paraId="0A304F2E" w14:textId="77777777" w:rsidR="00B069EA" w:rsidRPr="00BB2DAC" w:rsidRDefault="00B069EA" w:rsidP="00250473">
            <w:pPr>
              <w:rPr>
                <w:rFonts w:cstheme="minorHAnsi"/>
                <w:noProof/>
                <w:lang w:eastAsia="en-AU"/>
              </w:rPr>
            </w:pPr>
          </w:p>
        </w:tc>
        <w:tc>
          <w:tcPr>
            <w:tcW w:w="0" w:type="auto"/>
          </w:tcPr>
          <w:p w14:paraId="7A5A5EBD" w14:textId="77777777" w:rsidR="00B069EA" w:rsidRPr="00CD769D" w:rsidRDefault="00B069EA" w:rsidP="00820B71">
            <w:pPr>
              <w:jc w:val="center"/>
              <w:rPr>
                <w:rFonts w:cstheme="minorHAnsi"/>
                <w:b/>
                <w:bCs/>
                <w:noProof/>
                <w:lang w:eastAsia="en-AU"/>
              </w:rPr>
            </w:pPr>
            <w:r w:rsidRPr="00CD769D">
              <w:rPr>
                <w:rFonts w:cstheme="minorHAnsi"/>
                <w:b/>
                <w:bCs/>
              </w:rPr>
              <w:t>2020</w:t>
            </w:r>
          </w:p>
        </w:tc>
        <w:tc>
          <w:tcPr>
            <w:tcW w:w="0" w:type="auto"/>
          </w:tcPr>
          <w:p w14:paraId="77F1805A" w14:textId="77777777" w:rsidR="00B069EA" w:rsidRPr="00CD769D" w:rsidRDefault="00B069EA" w:rsidP="00820B71">
            <w:pPr>
              <w:jc w:val="center"/>
              <w:rPr>
                <w:rFonts w:cstheme="minorHAnsi"/>
                <w:b/>
                <w:bCs/>
                <w:noProof/>
                <w:lang w:eastAsia="en-AU"/>
              </w:rPr>
            </w:pPr>
            <w:r w:rsidRPr="00CD769D">
              <w:rPr>
                <w:rFonts w:cstheme="minorHAnsi"/>
                <w:b/>
                <w:bCs/>
              </w:rPr>
              <w:t>2021</w:t>
            </w:r>
          </w:p>
        </w:tc>
        <w:tc>
          <w:tcPr>
            <w:tcW w:w="0" w:type="auto"/>
          </w:tcPr>
          <w:p w14:paraId="5BD0D103" w14:textId="77777777" w:rsidR="00B069EA" w:rsidRPr="00CD769D" w:rsidRDefault="00B069EA" w:rsidP="00820B71">
            <w:pPr>
              <w:jc w:val="center"/>
              <w:rPr>
                <w:rFonts w:cstheme="minorHAnsi"/>
                <w:b/>
                <w:bCs/>
              </w:rPr>
            </w:pPr>
          </w:p>
        </w:tc>
        <w:tc>
          <w:tcPr>
            <w:tcW w:w="0" w:type="auto"/>
          </w:tcPr>
          <w:p w14:paraId="06D5FB1A" w14:textId="2C4E8854" w:rsidR="00B069EA" w:rsidRPr="00CD769D" w:rsidRDefault="00B069EA" w:rsidP="00820B71">
            <w:pPr>
              <w:jc w:val="center"/>
              <w:rPr>
                <w:rFonts w:cstheme="minorHAnsi"/>
                <w:b/>
                <w:bCs/>
                <w:noProof/>
                <w:lang w:eastAsia="en-AU"/>
              </w:rPr>
            </w:pPr>
            <w:r w:rsidRPr="00CD769D">
              <w:rPr>
                <w:rFonts w:cstheme="minorHAnsi"/>
                <w:b/>
                <w:bCs/>
              </w:rPr>
              <w:t>2020</w:t>
            </w:r>
          </w:p>
        </w:tc>
        <w:tc>
          <w:tcPr>
            <w:tcW w:w="0" w:type="auto"/>
          </w:tcPr>
          <w:p w14:paraId="5A0ED867" w14:textId="77777777" w:rsidR="00B069EA" w:rsidRPr="00CD769D" w:rsidRDefault="00B069EA" w:rsidP="00820B71">
            <w:pPr>
              <w:jc w:val="center"/>
              <w:rPr>
                <w:rFonts w:cstheme="minorHAnsi"/>
                <w:b/>
                <w:bCs/>
                <w:noProof/>
                <w:lang w:eastAsia="en-AU"/>
              </w:rPr>
            </w:pPr>
            <w:r w:rsidRPr="00CD769D">
              <w:rPr>
                <w:rFonts w:cstheme="minorHAnsi"/>
                <w:b/>
                <w:bCs/>
              </w:rPr>
              <w:t>2021</w:t>
            </w:r>
          </w:p>
        </w:tc>
      </w:tr>
      <w:tr w:rsidR="00B069EA" w:rsidRPr="00BB2DAC" w14:paraId="105102DA" w14:textId="77777777" w:rsidTr="00B069EA">
        <w:tc>
          <w:tcPr>
            <w:tcW w:w="0" w:type="auto"/>
          </w:tcPr>
          <w:p w14:paraId="7E9FC11D" w14:textId="77777777" w:rsidR="00B069EA" w:rsidRPr="00CD769D" w:rsidRDefault="00B069EA" w:rsidP="00250473">
            <w:pPr>
              <w:rPr>
                <w:rFonts w:cstheme="minorHAnsi"/>
                <w:b/>
                <w:bCs/>
                <w:noProof/>
                <w:lang w:eastAsia="en-AU"/>
              </w:rPr>
            </w:pPr>
            <w:r w:rsidRPr="00CD769D">
              <w:rPr>
                <w:rFonts w:cstheme="minorHAnsi"/>
                <w:b/>
                <w:bCs/>
                <w:noProof/>
                <w:lang w:eastAsia="en-AU"/>
              </w:rPr>
              <w:t>Did you have a paid job just prior to the COVID-19 restrictions?</w:t>
            </w:r>
          </w:p>
        </w:tc>
        <w:tc>
          <w:tcPr>
            <w:tcW w:w="0" w:type="auto"/>
          </w:tcPr>
          <w:p w14:paraId="51C06FD1" w14:textId="77777777" w:rsidR="00B069EA" w:rsidRPr="00BB2DAC" w:rsidRDefault="00B069EA" w:rsidP="00820B71">
            <w:pPr>
              <w:jc w:val="center"/>
              <w:rPr>
                <w:rFonts w:cstheme="minorHAnsi"/>
                <w:noProof/>
                <w:lang w:eastAsia="en-AU"/>
              </w:rPr>
            </w:pPr>
          </w:p>
        </w:tc>
        <w:tc>
          <w:tcPr>
            <w:tcW w:w="0" w:type="auto"/>
          </w:tcPr>
          <w:p w14:paraId="5E8E8F8C" w14:textId="77777777" w:rsidR="00B069EA" w:rsidRPr="00BB2DAC" w:rsidRDefault="00B069EA" w:rsidP="00820B71">
            <w:pPr>
              <w:jc w:val="center"/>
              <w:rPr>
                <w:rFonts w:cstheme="minorHAnsi"/>
                <w:noProof/>
                <w:lang w:eastAsia="en-AU"/>
              </w:rPr>
            </w:pPr>
          </w:p>
        </w:tc>
        <w:tc>
          <w:tcPr>
            <w:tcW w:w="0" w:type="auto"/>
          </w:tcPr>
          <w:p w14:paraId="5431FBB3" w14:textId="77777777" w:rsidR="00B069EA" w:rsidRPr="00BB2DAC" w:rsidRDefault="00B069EA" w:rsidP="00820B71">
            <w:pPr>
              <w:jc w:val="center"/>
              <w:rPr>
                <w:rFonts w:cstheme="minorHAnsi"/>
                <w:noProof/>
                <w:lang w:eastAsia="en-AU"/>
              </w:rPr>
            </w:pPr>
          </w:p>
        </w:tc>
        <w:tc>
          <w:tcPr>
            <w:tcW w:w="0" w:type="auto"/>
          </w:tcPr>
          <w:p w14:paraId="1E25D9E9" w14:textId="1E12D995" w:rsidR="00B069EA" w:rsidRPr="00BB2DAC" w:rsidRDefault="00B069EA" w:rsidP="00820B71">
            <w:pPr>
              <w:jc w:val="center"/>
              <w:rPr>
                <w:rFonts w:cstheme="minorHAnsi"/>
                <w:noProof/>
                <w:lang w:eastAsia="en-AU"/>
              </w:rPr>
            </w:pPr>
          </w:p>
        </w:tc>
        <w:tc>
          <w:tcPr>
            <w:tcW w:w="0" w:type="auto"/>
          </w:tcPr>
          <w:p w14:paraId="2D257046" w14:textId="77777777" w:rsidR="00B069EA" w:rsidRPr="00BB2DAC" w:rsidRDefault="00B069EA" w:rsidP="00820B71">
            <w:pPr>
              <w:jc w:val="center"/>
              <w:rPr>
                <w:rFonts w:cstheme="minorHAnsi"/>
                <w:noProof/>
                <w:lang w:eastAsia="en-AU"/>
              </w:rPr>
            </w:pPr>
          </w:p>
        </w:tc>
      </w:tr>
      <w:tr w:rsidR="00B069EA" w:rsidRPr="00BB2DAC" w14:paraId="7EB584DE" w14:textId="77777777" w:rsidTr="00B069EA">
        <w:tc>
          <w:tcPr>
            <w:tcW w:w="0" w:type="auto"/>
          </w:tcPr>
          <w:p w14:paraId="0EE71B5F" w14:textId="77777777" w:rsidR="00B069EA" w:rsidRPr="00BB2DAC" w:rsidRDefault="00B069EA" w:rsidP="00CD769D">
            <w:pPr>
              <w:jc w:val="both"/>
              <w:rPr>
                <w:rFonts w:cstheme="minorHAnsi"/>
                <w:noProof/>
                <w:lang w:eastAsia="en-AU"/>
              </w:rPr>
            </w:pPr>
            <w:r w:rsidRPr="00BB2DAC">
              <w:rPr>
                <w:rFonts w:cstheme="minorHAnsi"/>
                <w:noProof/>
                <w:lang w:eastAsia="en-AU"/>
              </w:rPr>
              <w:t>Yes</w:t>
            </w:r>
          </w:p>
        </w:tc>
        <w:tc>
          <w:tcPr>
            <w:tcW w:w="0" w:type="auto"/>
            <w:vAlign w:val="bottom"/>
          </w:tcPr>
          <w:p w14:paraId="5311CB80" w14:textId="77777777" w:rsidR="00B069EA" w:rsidRPr="00BB2DAC" w:rsidRDefault="00B069EA" w:rsidP="00820B71">
            <w:pPr>
              <w:jc w:val="center"/>
              <w:rPr>
                <w:rFonts w:cstheme="minorHAnsi"/>
                <w:noProof/>
                <w:lang w:eastAsia="en-AU"/>
              </w:rPr>
            </w:pPr>
            <w:r w:rsidRPr="00BB2DAC">
              <w:rPr>
                <w:rFonts w:ascii="Calibri" w:hAnsi="Calibri" w:cs="Calibri"/>
              </w:rPr>
              <w:t>30.1%</w:t>
            </w:r>
          </w:p>
        </w:tc>
        <w:tc>
          <w:tcPr>
            <w:tcW w:w="0" w:type="auto"/>
            <w:vAlign w:val="bottom"/>
          </w:tcPr>
          <w:p w14:paraId="6CB8CBFB" w14:textId="77777777" w:rsidR="00B069EA" w:rsidRPr="00BB2DAC" w:rsidRDefault="00B069EA" w:rsidP="00820B71">
            <w:pPr>
              <w:jc w:val="center"/>
              <w:rPr>
                <w:rFonts w:cstheme="minorHAnsi"/>
                <w:noProof/>
                <w:lang w:eastAsia="en-AU"/>
              </w:rPr>
            </w:pPr>
            <w:r w:rsidRPr="00BB2DAC">
              <w:rPr>
                <w:rFonts w:cstheme="minorHAnsi"/>
              </w:rPr>
              <w:t>n.a.</w:t>
            </w:r>
          </w:p>
        </w:tc>
        <w:tc>
          <w:tcPr>
            <w:tcW w:w="0" w:type="auto"/>
          </w:tcPr>
          <w:p w14:paraId="1468E861" w14:textId="77777777" w:rsidR="00B069EA" w:rsidRPr="00BB2DAC" w:rsidRDefault="00B069EA" w:rsidP="00820B71">
            <w:pPr>
              <w:jc w:val="center"/>
              <w:rPr>
                <w:rFonts w:ascii="Calibri" w:hAnsi="Calibri" w:cs="Calibri"/>
              </w:rPr>
            </w:pPr>
          </w:p>
        </w:tc>
        <w:tc>
          <w:tcPr>
            <w:tcW w:w="0" w:type="auto"/>
            <w:vAlign w:val="bottom"/>
          </w:tcPr>
          <w:p w14:paraId="08765E43" w14:textId="5FF6A6C6" w:rsidR="00B069EA" w:rsidRPr="00BB2DAC" w:rsidRDefault="00B069EA" w:rsidP="00820B71">
            <w:pPr>
              <w:jc w:val="center"/>
              <w:rPr>
                <w:rFonts w:cstheme="minorHAnsi"/>
                <w:noProof/>
                <w:lang w:eastAsia="en-AU"/>
              </w:rPr>
            </w:pPr>
            <w:r w:rsidRPr="00BB2DAC">
              <w:rPr>
                <w:rFonts w:ascii="Calibri" w:hAnsi="Calibri" w:cs="Calibri"/>
              </w:rPr>
              <w:t>27.</w:t>
            </w:r>
            <w:r>
              <w:rPr>
                <w:rFonts w:ascii="Calibri" w:hAnsi="Calibri" w:cs="Calibri"/>
              </w:rPr>
              <w:t>8</w:t>
            </w:r>
            <w:r w:rsidRPr="00BB2DAC">
              <w:rPr>
                <w:rFonts w:ascii="Calibri" w:hAnsi="Calibri" w:cs="Calibri"/>
              </w:rPr>
              <w:t>%</w:t>
            </w:r>
          </w:p>
        </w:tc>
        <w:tc>
          <w:tcPr>
            <w:tcW w:w="0" w:type="auto"/>
            <w:vAlign w:val="bottom"/>
          </w:tcPr>
          <w:p w14:paraId="400AF067" w14:textId="77777777" w:rsidR="00B069EA" w:rsidRPr="00BB2DAC" w:rsidRDefault="00B069EA" w:rsidP="00820B71">
            <w:pPr>
              <w:jc w:val="center"/>
              <w:rPr>
                <w:rFonts w:cstheme="minorHAnsi"/>
                <w:noProof/>
                <w:lang w:eastAsia="en-AU"/>
              </w:rPr>
            </w:pPr>
            <w:r w:rsidRPr="00BB2DAC">
              <w:rPr>
                <w:rFonts w:cstheme="minorHAnsi"/>
              </w:rPr>
              <w:t>n.a.</w:t>
            </w:r>
          </w:p>
        </w:tc>
      </w:tr>
    </w:tbl>
    <w:p w14:paraId="14B7369B" w14:textId="10E91861" w:rsidR="00A51D0A" w:rsidRDefault="00A51D0A" w:rsidP="00A51D0A">
      <w:pPr>
        <w:rPr>
          <w:rFonts w:cstheme="minorHAnsi"/>
          <w:noProof/>
          <w:lang w:eastAsia="en-AU"/>
        </w:rPr>
      </w:pPr>
    </w:p>
    <w:p w14:paraId="5958F337" w14:textId="77777777" w:rsidR="00FE1753" w:rsidRDefault="00FE1753" w:rsidP="00A51D0A">
      <w:pPr>
        <w:rPr>
          <w:rFonts w:cstheme="minorHAnsi"/>
          <w:noProof/>
          <w:lang w:eastAsia="en-AU"/>
        </w:rPr>
      </w:pPr>
    </w:p>
    <w:tbl>
      <w:tblPr>
        <w:tblStyle w:val="TableGrid"/>
        <w:tblW w:w="0" w:type="auto"/>
        <w:tblLook w:val="04A0" w:firstRow="1" w:lastRow="0" w:firstColumn="1" w:lastColumn="0" w:noHBand="0" w:noVBand="1"/>
      </w:tblPr>
      <w:tblGrid>
        <w:gridCol w:w="4392"/>
        <w:gridCol w:w="1610"/>
        <w:gridCol w:w="663"/>
        <w:gridCol w:w="222"/>
        <w:gridCol w:w="1466"/>
        <w:gridCol w:w="663"/>
      </w:tblGrid>
      <w:tr w:rsidR="00B069EA" w:rsidRPr="00BB2DAC" w14:paraId="2D227F6C" w14:textId="77777777" w:rsidTr="00B069EA">
        <w:tc>
          <w:tcPr>
            <w:tcW w:w="0" w:type="auto"/>
          </w:tcPr>
          <w:p w14:paraId="53B698D2" w14:textId="349A6F41" w:rsidR="00B069EA" w:rsidRPr="00BB2DAC" w:rsidRDefault="00B069EA" w:rsidP="00250473">
            <w:pPr>
              <w:rPr>
                <w:rFonts w:cstheme="minorHAnsi"/>
                <w:noProof/>
                <w:lang w:eastAsia="en-AU"/>
              </w:rPr>
            </w:pPr>
            <w:r w:rsidRPr="00CD769D">
              <w:rPr>
                <w:rFonts w:cstheme="minorHAnsi"/>
                <w:b/>
                <w:bCs/>
                <w:noProof/>
                <w:lang w:eastAsia="en-AU"/>
              </w:rPr>
              <w:lastRenderedPageBreak/>
              <w:t>How has the outbreak of COVID-19 impacted your employment?</w:t>
            </w:r>
          </w:p>
        </w:tc>
        <w:tc>
          <w:tcPr>
            <w:tcW w:w="0" w:type="auto"/>
          </w:tcPr>
          <w:p w14:paraId="1F119931" w14:textId="77777777" w:rsidR="00B069EA" w:rsidRPr="00CD769D" w:rsidRDefault="00B069EA" w:rsidP="00820B71">
            <w:pPr>
              <w:jc w:val="center"/>
              <w:rPr>
                <w:rFonts w:cstheme="minorHAnsi"/>
                <w:b/>
                <w:bCs/>
                <w:noProof/>
                <w:lang w:eastAsia="en-AU"/>
              </w:rPr>
            </w:pPr>
            <w:r w:rsidRPr="00CD769D">
              <w:rPr>
                <w:rFonts w:cstheme="minorHAnsi"/>
                <w:b/>
                <w:bCs/>
              </w:rPr>
              <w:t>Year 12 completers</w:t>
            </w:r>
          </w:p>
        </w:tc>
        <w:tc>
          <w:tcPr>
            <w:tcW w:w="0" w:type="auto"/>
          </w:tcPr>
          <w:p w14:paraId="012EABAB" w14:textId="77777777" w:rsidR="00B069EA" w:rsidRPr="00CD769D" w:rsidRDefault="00B069EA" w:rsidP="00820B71">
            <w:pPr>
              <w:jc w:val="center"/>
              <w:rPr>
                <w:rFonts w:cstheme="minorHAnsi"/>
                <w:b/>
                <w:bCs/>
                <w:noProof/>
                <w:lang w:eastAsia="en-AU"/>
              </w:rPr>
            </w:pPr>
          </w:p>
        </w:tc>
        <w:tc>
          <w:tcPr>
            <w:tcW w:w="0" w:type="auto"/>
          </w:tcPr>
          <w:p w14:paraId="22E35438" w14:textId="77777777" w:rsidR="00B069EA" w:rsidRPr="00CD769D" w:rsidRDefault="00B069EA" w:rsidP="00820B71">
            <w:pPr>
              <w:jc w:val="center"/>
              <w:rPr>
                <w:rFonts w:cstheme="minorHAnsi"/>
                <w:b/>
                <w:bCs/>
              </w:rPr>
            </w:pPr>
          </w:p>
        </w:tc>
        <w:tc>
          <w:tcPr>
            <w:tcW w:w="0" w:type="auto"/>
          </w:tcPr>
          <w:p w14:paraId="767C81CE" w14:textId="181619AA" w:rsidR="00B069EA" w:rsidRPr="00CD769D" w:rsidRDefault="00B069EA" w:rsidP="00820B71">
            <w:pPr>
              <w:jc w:val="center"/>
              <w:rPr>
                <w:rFonts w:cstheme="minorHAnsi"/>
                <w:b/>
                <w:bCs/>
                <w:noProof/>
                <w:lang w:eastAsia="en-AU"/>
              </w:rPr>
            </w:pPr>
            <w:r w:rsidRPr="00CD769D">
              <w:rPr>
                <w:rFonts w:cstheme="minorHAnsi"/>
                <w:b/>
                <w:bCs/>
              </w:rPr>
              <w:t>Non-completers</w:t>
            </w:r>
          </w:p>
        </w:tc>
        <w:tc>
          <w:tcPr>
            <w:tcW w:w="0" w:type="auto"/>
          </w:tcPr>
          <w:p w14:paraId="218CAF01" w14:textId="77777777" w:rsidR="00B069EA" w:rsidRPr="00CD769D" w:rsidRDefault="00B069EA" w:rsidP="00820B71">
            <w:pPr>
              <w:jc w:val="center"/>
              <w:rPr>
                <w:rFonts w:cstheme="minorHAnsi"/>
                <w:b/>
                <w:bCs/>
                <w:noProof/>
                <w:lang w:eastAsia="en-AU"/>
              </w:rPr>
            </w:pPr>
          </w:p>
        </w:tc>
      </w:tr>
      <w:tr w:rsidR="00B069EA" w:rsidRPr="00BB2DAC" w14:paraId="286B7FB3" w14:textId="77777777" w:rsidTr="00B069EA">
        <w:tc>
          <w:tcPr>
            <w:tcW w:w="0" w:type="auto"/>
          </w:tcPr>
          <w:p w14:paraId="1F7F25B5" w14:textId="77777777" w:rsidR="00B069EA" w:rsidRPr="00BB2DAC" w:rsidRDefault="00B069EA" w:rsidP="00250473">
            <w:pPr>
              <w:rPr>
                <w:rFonts w:cstheme="minorHAnsi"/>
                <w:noProof/>
                <w:lang w:eastAsia="en-AU"/>
              </w:rPr>
            </w:pPr>
          </w:p>
        </w:tc>
        <w:tc>
          <w:tcPr>
            <w:tcW w:w="0" w:type="auto"/>
          </w:tcPr>
          <w:p w14:paraId="6BD65191" w14:textId="77777777" w:rsidR="00B069EA" w:rsidRPr="00CD769D" w:rsidRDefault="00B069EA" w:rsidP="00820B71">
            <w:pPr>
              <w:jc w:val="center"/>
              <w:rPr>
                <w:rFonts w:cstheme="minorHAnsi"/>
                <w:b/>
                <w:bCs/>
                <w:noProof/>
                <w:lang w:eastAsia="en-AU"/>
              </w:rPr>
            </w:pPr>
            <w:r w:rsidRPr="00CD769D">
              <w:rPr>
                <w:rFonts w:cstheme="minorHAnsi"/>
                <w:b/>
                <w:bCs/>
              </w:rPr>
              <w:t>2020</w:t>
            </w:r>
          </w:p>
        </w:tc>
        <w:tc>
          <w:tcPr>
            <w:tcW w:w="0" w:type="auto"/>
          </w:tcPr>
          <w:p w14:paraId="18040617" w14:textId="77777777" w:rsidR="00B069EA" w:rsidRPr="00CD769D" w:rsidRDefault="00B069EA" w:rsidP="00820B71">
            <w:pPr>
              <w:jc w:val="center"/>
              <w:rPr>
                <w:rFonts w:cstheme="minorHAnsi"/>
                <w:b/>
                <w:bCs/>
                <w:noProof/>
                <w:lang w:eastAsia="en-AU"/>
              </w:rPr>
            </w:pPr>
            <w:r w:rsidRPr="00CD769D">
              <w:rPr>
                <w:rFonts w:cstheme="minorHAnsi"/>
                <w:b/>
                <w:bCs/>
              </w:rPr>
              <w:t>2021</w:t>
            </w:r>
          </w:p>
        </w:tc>
        <w:tc>
          <w:tcPr>
            <w:tcW w:w="0" w:type="auto"/>
          </w:tcPr>
          <w:p w14:paraId="47CD6E3E" w14:textId="77777777" w:rsidR="00B069EA" w:rsidRPr="00CD769D" w:rsidRDefault="00B069EA" w:rsidP="00820B71">
            <w:pPr>
              <w:jc w:val="center"/>
              <w:rPr>
                <w:rFonts w:cstheme="minorHAnsi"/>
                <w:b/>
                <w:bCs/>
              </w:rPr>
            </w:pPr>
          </w:p>
        </w:tc>
        <w:tc>
          <w:tcPr>
            <w:tcW w:w="0" w:type="auto"/>
          </w:tcPr>
          <w:p w14:paraId="6D6A4EBC" w14:textId="0F5B9770" w:rsidR="00B069EA" w:rsidRPr="00CD769D" w:rsidRDefault="00B069EA" w:rsidP="00820B71">
            <w:pPr>
              <w:jc w:val="center"/>
              <w:rPr>
                <w:rFonts w:cstheme="minorHAnsi"/>
                <w:b/>
                <w:bCs/>
                <w:noProof/>
                <w:lang w:eastAsia="en-AU"/>
              </w:rPr>
            </w:pPr>
            <w:r w:rsidRPr="00CD769D">
              <w:rPr>
                <w:rFonts w:cstheme="minorHAnsi"/>
                <w:b/>
                <w:bCs/>
              </w:rPr>
              <w:t>2020</w:t>
            </w:r>
          </w:p>
        </w:tc>
        <w:tc>
          <w:tcPr>
            <w:tcW w:w="0" w:type="auto"/>
          </w:tcPr>
          <w:p w14:paraId="225B6CD9" w14:textId="77777777" w:rsidR="00B069EA" w:rsidRPr="00CD769D" w:rsidRDefault="00B069EA" w:rsidP="00820B71">
            <w:pPr>
              <w:jc w:val="center"/>
              <w:rPr>
                <w:rFonts w:cstheme="minorHAnsi"/>
                <w:b/>
                <w:bCs/>
                <w:noProof/>
                <w:lang w:eastAsia="en-AU"/>
              </w:rPr>
            </w:pPr>
            <w:r w:rsidRPr="00CD769D">
              <w:rPr>
                <w:rFonts w:cstheme="minorHAnsi"/>
                <w:b/>
                <w:bCs/>
              </w:rPr>
              <w:t>2021</w:t>
            </w:r>
          </w:p>
        </w:tc>
      </w:tr>
      <w:tr w:rsidR="00B069EA" w:rsidRPr="00BB2DAC" w14:paraId="1EC74D36" w14:textId="77777777" w:rsidTr="00B069EA">
        <w:tc>
          <w:tcPr>
            <w:tcW w:w="0" w:type="auto"/>
            <w:vAlign w:val="bottom"/>
          </w:tcPr>
          <w:p w14:paraId="74130666" w14:textId="77777777" w:rsidR="00B069EA" w:rsidRPr="00BB2DAC" w:rsidRDefault="00B069EA" w:rsidP="00250473">
            <w:pPr>
              <w:rPr>
                <w:rFonts w:cstheme="minorHAnsi"/>
                <w:noProof/>
                <w:lang w:eastAsia="en-AU"/>
              </w:rPr>
            </w:pPr>
            <w:r>
              <w:rPr>
                <w:rFonts w:ascii="Calibri" w:hAnsi="Calibri" w:cs="Calibri"/>
                <w:color w:val="000000"/>
              </w:rPr>
              <w:t>Less hours than I normally do</w:t>
            </w:r>
          </w:p>
        </w:tc>
        <w:tc>
          <w:tcPr>
            <w:tcW w:w="0" w:type="auto"/>
            <w:vAlign w:val="bottom"/>
          </w:tcPr>
          <w:p w14:paraId="18E97E74" w14:textId="77777777" w:rsidR="00B069EA" w:rsidRPr="00BB2DAC" w:rsidRDefault="00B069EA" w:rsidP="00820B71">
            <w:pPr>
              <w:jc w:val="center"/>
              <w:rPr>
                <w:rFonts w:cstheme="minorHAnsi"/>
                <w:noProof/>
                <w:lang w:eastAsia="en-AU"/>
              </w:rPr>
            </w:pPr>
            <w:r>
              <w:rPr>
                <w:rFonts w:ascii="Calibri" w:hAnsi="Calibri" w:cs="Calibri"/>
                <w:color w:val="000000"/>
              </w:rPr>
              <w:t>28.1%</w:t>
            </w:r>
          </w:p>
        </w:tc>
        <w:tc>
          <w:tcPr>
            <w:tcW w:w="0" w:type="auto"/>
          </w:tcPr>
          <w:p w14:paraId="50A4E44F" w14:textId="77777777" w:rsidR="00B069EA" w:rsidRPr="00BB2DAC" w:rsidRDefault="00B069EA" w:rsidP="00820B71">
            <w:pPr>
              <w:jc w:val="center"/>
              <w:rPr>
                <w:rFonts w:cstheme="minorHAnsi"/>
                <w:noProof/>
                <w:lang w:eastAsia="en-AU"/>
              </w:rPr>
            </w:pPr>
            <w:r w:rsidRPr="002C7E02">
              <w:rPr>
                <w:rFonts w:cstheme="minorHAnsi"/>
              </w:rPr>
              <w:t>n.a.</w:t>
            </w:r>
          </w:p>
        </w:tc>
        <w:tc>
          <w:tcPr>
            <w:tcW w:w="0" w:type="auto"/>
          </w:tcPr>
          <w:p w14:paraId="688BA252" w14:textId="77777777" w:rsidR="00B069EA" w:rsidRDefault="00B069EA" w:rsidP="00820B71">
            <w:pPr>
              <w:jc w:val="center"/>
              <w:rPr>
                <w:rFonts w:ascii="Calibri" w:hAnsi="Calibri" w:cs="Calibri"/>
                <w:color w:val="000000"/>
              </w:rPr>
            </w:pPr>
          </w:p>
        </w:tc>
        <w:tc>
          <w:tcPr>
            <w:tcW w:w="0" w:type="auto"/>
            <w:vAlign w:val="bottom"/>
          </w:tcPr>
          <w:p w14:paraId="60D77F11" w14:textId="5509804B" w:rsidR="00B069EA" w:rsidRPr="00BB2DAC" w:rsidRDefault="00B069EA" w:rsidP="00820B71">
            <w:pPr>
              <w:jc w:val="center"/>
              <w:rPr>
                <w:rFonts w:cstheme="minorHAnsi"/>
                <w:noProof/>
                <w:lang w:eastAsia="en-AU"/>
              </w:rPr>
            </w:pPr>
            <w:r>
              <w:rPr>
                <w:rFonts w:ascii="Calibri" w:hAnsi="Calibri" w:cs="Calibri"/>
                <w:color w:val="000000"/>
              </w:rPr>
              <w:t>21.4%</w:t>
            </w:r>
          </w:p>
        </w:tc>
        <w:tc>
          <w:tcPr>
            <w:tcW w:w="0" w:type="auto"/>
          </w:tcPr>
          <w:p w14:paraId="46329D3F" w14:textId="77777777" w:rsidR="00B069EA" w:rsidRPr="00BB2DAC" w:rsidRDefault="00B069EA" w:rsidP="00820B71">
            <w:pPr>
              <w:jc w:val="center"/>
              <w:rPr>
                <w:rFonts w:cstheme="minorHAnsi"/>
                <w:noProof/>
                <w:lang w:eastAsia="en-AU"/>
              </w:rPr>
            </w:pPr>
            <w:r w:rsidRPr="002F478B">
              <w:rPr>
                <w:rFonts w:cstheme="minorHAnsi"/>
              </w:rPr>
              <w:t>n.a.</w:t>
            </w:r>
          </w:p>
        </w:tc>
      </w:tr>
      <w:tr w:rsidR="00B069EA" w:rsidRPr="00BB2DAC" w14:paraId="04E6080D" w14:textId="77777777" w:rsidTr="00B069EA">
        <w:tc>
          <w:tcPr>
            <w:tcW w:w="0" w:type="auto"/>
            <w:vAlign w:val="bottom"/>
          </w:tcPr>
          <w:p w14:paraId="5EE9C37E" w14:textId="77777777" w:rsidR="00B069EA" w:rsidRPr="00BB2DAC" w:rsidRDefault="00B069EA" w:rsidP="00250473">
            <w:pPr>
              <w:rPr>
                <w:rFonts w:cstheme="minorHAnsi"/>
                <w:noProof/>
                <w:lang w:eastAsia="en-AU"/>
              </w:rPr>
            </w:pPr>
            <w:r>
              <w:rPr>
                <w:rFonts w:ascii="Calibri" w:hAnsi="Calibri" w:cs="Calibri"/>
                <w:color w:val="000000"/>
              </w:rPr>
              <w:t>Made redundant (or sacked)</w:t>
            </w:r>
          </w:p>
        </w:tc>
        <w:tc>
          <w:tcPr>
            <w:tcW w:w="0" w:type="auto"/>
            <w:vAlign w:val="bottom"/>
          </w:tcPr>
          <w:p w14:paraId="48FD9F6D" w14:textId="77777777" w:rsidR="00B069EA" w:rsidRPr="00BB2DAC" w:rsidRDefault="00B069EA" w:rsidP="00820B71">
            <w:pPr>
              <w:jc w:val="center"/>
              <w:rPr>
                <w:rFonts w:cstheme="minorHAnsi"/>
                <w:noProof/>
                <w:lang w:eastAsia="en-AU"/>
              </w:rPr>
            </w:pPr>
            <w:r>
              <w:rPr>
                <w:rFonts w:ascii="Calibri" w:hAnsi="Calibri" w:cs="Calibri"/>
                <w:color w:val="000000"/>
              </w:rPr>
              <w:t>7.4%</w:t>
            </w:r>
          </w:p>
        </w:tc>
        <w:tc>
          <w:tcPr>
            <w:tcW w:w="0" w:type="auto"/>
          </w:tcPr>
          <w:p w14:paraId="44D9EC98" w14:textId="77777777" w:rsidR="00B069EA" w:rsidRPr="00BB2DAC" w:rsidRDefault="00B069EA" w:rsidP="00820B71">
            <w:pPr>
              <w:jc w:val="center"/>
              <w:rPr>
                <w:rFonts w:cstheme="minorHAnsi"/>
                <w:noProof/>
                <w:lang w:eastAsia="en-AU"/>
              </w:rPr>
            </w:pPr>
            <w:r w:rsidRPr="002C7E02">
              <w:rPr>
                <w:rFonts w:cstheme="minorHAnsi"/>
              </w:rPr>
              <w:t>n.a.</w:t>
            </w:r>
          </w:p>
        </w:tc>
        <w:tc>
          <w:tcPr>
            <w:tcW w:w="0" w:type="auto"/>
          </w:tcPr>
          <w:p w14:paraId="0412B303" w14:textId="77777777" w:rsidR="00B069EA" w:rsidRDefault="00B069EA" w:rsidP="00820B71">
            <w:pPr>
              <w:jc w:val="center"/>
              <w:rPr>
                <w:rFonts w:ascii="Calibri" w:hAnsi="Calibri" w:cs="Calibri"/>
                <w:color w:val="000000"/>
              </w:rPr>
            </w:pPr>
          </w:p>
        </w:tc>
        <w:tc>
          <w:tcPr>
            <w:tcW w:w="0" w:type="auto"/>
            <w:vAlign w:val="bottom"/>
          </w:tcPr>
          <w:p w14:paraId="77564E72" w14:textId="6CC95D71" w:rsidR="00B069EA" w:rsidRPr="00BB2DAC" w:rsidRDefault="00B069EA" w:rsidP="00820B71">
            <w:pPr>
              <w:jc w:val="center"/>
              <w:rPr>
                <w:rFonts w:cstheme="minorHAnsi"/>
                <w:noProof/>
                <w:lang w:eastAsia="en-AU"/>
              </w:rPr>
            </w:pPr>
            <w:r>
              <w:rPr>
                <w:rFonts w:ascii="Calibri" w:hAnsi="Calibri" w:cs="Calibri"/>
                <w:color w:val="000000"/>
              </w:rPr>
              <w:t>8.0%</w:t>
            </w:r>
          </w:p>
        </w:tc>
        <w:tc>
          <w:tcPr>
            <w:tcW w:w="0" w:type="auto"/>
          </w:tcPr>
          <w:p w14:paraId="450C5357" w14:textId="77777777" w:rsidR="00B069EA" w:rsidRPr="00BB2DAC" w:rsidRDefault="00B069EA" w:rsidP="00820B71">
            <w:pPr>
              <w:jc w:val="center"/>
              <w:rPr>
                <w:rFonts w:cstheme="minorHAnsi"/>
                <w:noProof/>
                <w:lang w:eastAsia="en-AU"/>
              </w:rPr>
            </w:pPr>
            <w:r w:rsidRPr="002F478B">
              <w:rPr>
                <w:rFonts w:cstheme="minorHAnsi"/>
              </w:rPr>
              <w:t>n.a.</w:t>
            </w:r>
          </w:p>
        </w:tc>
      </w:tr>
      <w:tr w:rsidR="00B069EA" w:rsidRPr="00BB2DAC" w14:paraId="7168A86F" w14:textId="77777777" w:rsidTr="00B069EA">
        <w:tc>
          <w:tcPr>
            <w:tcW w:w="0" w:type="auto"/>
            <w:vAlign w:val="bottom"/>
          </w:tcPr>
          <w:p w14:paraId="07CF8D3A" w14:textId="77777777" w:rsidR="00B069EA" w:rsidRPr="00BB2DAC" w:rsidRDefault="00B069EA" w:rsidP="00250473">
            <w:pPr>
              <w:rPr>
                <w:rFonts w:cstheme="minorHAnsi"/>
                <w:noProof/>
                <w:lang w:eastAsia="en-AU"/>
              </w:rPr>
            </w:pPr>
            <w:r>
              <w:rPr>
                <w:rFonts w:ascii="Calibri" w:hAnsi="Calibri" w:cs="Calibri"/>
                <w:color w:val="000000"/>
              </w:rPr>
              <w:t>More hours than I normally do</w:t>
            </w:r>
          </w:p>
        </w:tc>
        <w:tc>
          <w:tcPr>
            <w:tcW w:w="0" w:type="auto"/>
            <w:vAlign w:val="bottom"/>
          </w:tcPr>
          <w:p w14:paraId="4069ADE1" w14:textId="77777777" w:rsidR="00B069EA" w:rsidRPr="00BB2DAC" w:rsidRDefault="00B069EA" w:rsidP="00820B71">
            <w:pPr>
              <w:jc w:val="center"/>
              <w:rPr>
                <w:rFonts w:cstheme="minorHAnsi"/>
                <w:noProof/>
                <w:lang w:eastAsia="en-AU"/>
              </w:rPr>
            </w:pPr>
            <w:r>
              <w:rPr>
                <w:rFonts w:ascii="Calibri" w:hAnsi="Calibri" w:cs="Calibri"/>
                <w:color w:val="000000"/>
              </w:rPr>
              <w:t>14.4%</w:t>
            </w:r>
          </w:p>
        </w:tc>
        <w:tc>
          <w:tcPr>
            <w:tcW w:w="0" w:type="auto"/>
          </w:tcPr>
          <w:p w14:paraId="31407957" w14:textId="77777777" w:rsidR="00B069EA" w:rsidRPr="00BB2DAC" w:rsidRDefault="00B069EA" w:rsidP="00820B71">
            <w:pPr>
              <w:jc w:val="center"/>
              <w:rPr>
                <w:rFonts w:cstheme="minorHAnsi"/>
                <w:noProof/>
                <w:lang w:eastAsia="en-AU"/>
              </w:rPr>
            </w:pPr>
            <w:r w:rsidRPr="002C7E02">
              <w:rPr>
                <w:rFonts w:cstheme="minorHAnsi"/>
              </w:rPr>
              <w:t>n.a.</w:t>
            </w:r>
          </w:p>
        </w:tc>
        <w:tc>
          <w:tcPr>
            <w:tcW w:w="0" w:type="auto"/>
          </w:tcPr>
          <w:p w14:paraId="6FB04F36" w14:textId="77777777" w:rsidR="00B069EA" w:rsidRDefault="00B069EA" w:rsidP="00820B71">
            <w:pPr>
              <w:jc w:val="center"/>
              <w:rPr>
                <w:rFonts w:ascii="Calibri" w:hAnsi="Calibri" w:cs="Calibri"/>
                <w:color w:val="000000"/>
              </w:rPr>
            </w:pPr>
          </w:p>
        </w:tc>
        <w:tc>
          <w:tcPr>
            <w:tcW w:w="0" w:type="auto"/>
            <w:vAlign w:val="bottom"/>
          </w:tcPr>
          <w:p w14:paraId="117BC7F7" w14:textId="7B791890" w:rsidR="00B069EA" w:rsidRPr="00BB2DAC" w:rsidRDefault="00B069EA" w:rsidP="00820B71">
            <w:pPr>
              <w:jc w:val="center"/>
              <w:rPr>
                <w:rFonts w:cstheme="minorHAnsi"/>
                <w:noProof/>
                <w:lang w:eastAsia="en-AU"/>
              </w:rPr>
            </w:pPr>
            <w:r>
              <w:rPr>
                <w:rFonts w:ascii="Calibri" w:hAnsi="Calibri" w:cs="Calibri"/>
                <w:color w:val="000000"/>
              </w:rPr>
              <w:t>6.3%</w:t>
            </w:r>
          </w:p>
        </w:tc>
        <w:tc>
          <w:tcPr>
            <w:tcW w:w="0" w:type="auto"/>
          </w:tcPr>
          <w:p w14:paraId="54B2FB89" w14:textId="77777777" w:rsidR="00B069EA" w:rsidRPr="00BB2DAC" w:rsidRDefault="00B069EA" w:rsidP="00820B71">
            <w:pPr>
              <w:jc w:val="center"/>
              <w:rPr>
                <w:rFonts w:cstheme="minorHAnsi"/>
                <w:noProof/>
                <w:lang w:eastAsia="en-AU"/>
              </w:rPr>
            </w:pPr>
            <w:r w:rsidRPr="002F478B">
              <w:rPr>
                <w:rFonts w:cstheme="minorHAnsi"/>
              </w:rPr>
              <w:t>n.a.</w:t>
            </w:r>
          </w:p>
        </w:tc>
      </w:tr>
      <w:tr w:rsidR="00B069EA" w:rsidRPr="00BB2DAC" w14:paraId="65E76C60" w14:textId="77777777" w:rsidTr="00B069EA">
        <w:tc>
          <w:tcPr>
            <w:tcW w:w="0" w:type="auto"/>
            <w:vAlign w:val="bottom"/>
          </w:tcPr>
          <w:p w14:paraId="57129938" w14:textId="77777777" w:rsidR="00B069EA" w:rsidRPr="00BB2DAC" w:rsidRDefault="00B069EA" w:rsidP="00250473">
            <w:pPr>
              <w:rPr>
                <w:rFonts w:cstheme="minorHAnsi"/>
                <w:noProof/>
                <w:lang w:eastAsia="en-AU"/>
              </w:rPr>
            </w:pPr>
            <w:r>
              <w:rPr>
                <w:rFonts w:ascii="Calibri" w:hAnsi="Calibri" w:cs="Calibri"/>
                <w:color w:val="000000"/>
              </w:rPr>
              <w:t>Nothing has changed with employment as a result of the outbreak of COVID-19</w:t>
            </w:r>
          </w:p>
        </w:tc>
        <w:tc>
          <w:tcPr>
            <w:tcW w:w="0" w:type="auto"/>
            <w:vAlign w:val="bottom"/>
          </w:tcPr>
          <w:p w14:paraId="7F8CCC96" w14:textId="77777777" w:rsidR="00B069EA" w:rsidRPr="00BB2DAC" w:rsidRDefault="00B069EA" w:rsidP="00820B71">
            <w:pPr>
              <w:jc w:val="center"/>
              <w:rPr>
                <w:rFonts w:cstheme="minorHAnsi"/>
                <w:noProof/>
                <w:lang w:eastAsia="en-AU"/>
              </w:rPr>
            </w:pPr>
            <w:r>
              <w:rPr>
                <w:rFonts w:ascii="Calibri" w:hAnsi="Calibri" w:cs="Calibri"/>
                <w:color w:val="000000"/>
              </w:rPr>
              <w:t>33.8%</w:t>
            </w:r>
          </w:p>
        </w:tc>
        <w:tc>
          <w:tcPr>
            <w:tcW w:w="0" w:type="auto"/>
          </w:tcPr>
          <w:p w14:paraId="57918F20" w14:textId="77777777" w:rsidR="00B069EA" w:rsidRPr="00BB2DAC" w:rsidRDefault="00B069EA" w:rsidP="00820B71">
            <w:pPr>
              <w:jc w:val="center"/>
              <w:rPr>
                <w:rFonts w:cstheme="minorHAnsi"/>
                <w:noProof/>
                <w:lang w:eastAsia="en-AU"/>
              </w:rPr>
            </w:pPr>
            <w:r w:rsidRPr="002C7E02">
              <w:rPr>
                <w:rFonts w:cstheme="minorHAnsi"/>
              </w:rPr>
              <w:t>n.a.</w:t>
            </w:r>
          </w:p>
        </w:tc>
        <w:tc>
          <w:tcPr>
            <w:tcW w:w="0" w:type="auto"/>
          </w:tcPr>
          <w:p w14:paraId="50BCE5D7" w14:textId="77777777" w:rsidR="00B069EA" w:rsidRDefault="00B069EA" w:rsidP="00820B71">
            <w:pPr>
              <w:jc w:val="center"/>
              <w:rPr>
                <w:rFonts w:ascii="Calibri" w:hAnsi="Calibri" w:cs="Calibri"/>
                <w:color w:val="000000"/>
              </w:rPr>
            </w:pPr>
          </w:p>
        </w:tc>
        <w:tc>
          <w:tcPr>
            <w:tcW w:w="0" w:type="auto"/>
            <w:vAlign w:val="bottom"/>
          </w:tcPr>
          <w:p w14:paraId="062CA98D" w14:textId="66366B3D" w:rsidR="00B069EA" w:rsidRPr="00BB2DAC" w:rsidRDefault="00B069EA" w:rsidP="00820B71">
            <w:pPr>
              <w:jc w:val="center"/>
              <w:rPr>
                <w:rFonts w:cstheme="minorHAnsi"/>
                <w:noProof/>
                <w:lang w:eastAsia="en-AU"/>
              </w:rPr>
            </w:pPr>
            <w:r>
              <w:rPr>
                <w:rFonts w:ascii="Calibri" w:hAnsi="Calibri" w:cs="Calibri"/>
                <w:color w:val="000000"/>
              </w:rPr>
              <w:t>50.2%</w:t>
            </w:r>
          </w:p>
        </w:tc>
        <w:tc>
          <w:tcPr>
            <w:tcW w:w="0" w:type="auto"/>
          </w:tcPr>
          <w:p w14:paraId="7A71416A" w14:textId="77777777" w:rsidR="00B069EA" w:rsidRPr="00BB2DAC" w:rsidRDefault="00B069EA" w:rsidP="00820B71">
            <w:pPr>
              <w:jc w:val="center"/>
              <w:rPr>
                <w:rFonts w:cstheme="minorHAnsi"/>
                <w:noProof/>
                <w:lang w:eastAsia="en-AU"/>
              </w:rPr>
            </w:pPr>
            <w:r w:rsidRPr="002F478B">
              <w:rPr>
                <w:rFonts w:cstheme="minorHAnsi"/>
              </w:rPr>
              <w:t>n.a.</w:t>
            </w:r>
          </w:p>
        </w:tc>
      </w:tr>
      <w:tr w:rsidR="00B069EA" w:rsidRPr="00BB2DAC" w14:paraId="448365F7" w14:textId="77777777" w:rsidTr="00B069EA">
        <w:tc>
          <w:tcPr>
            <w:tcW w:w="0" w:type="auto"/>
            <w:vAlign w:val="bottom"/>
          </w:tcPr>
          <w:p w14:paraId="7A359C3A" w14:textId="77777777" w:rsidR="00B069EA" w:rsidRPr="00BB2DAC" w:rsidRDefault="00B069EA" w:rsidP="00250473">
            <w:pPr>
              <w:rPr>
                <w:rFonts w:cstheme="minorHAnsi"/>
                <w:noProof/>
                <w:lang w:eastAsia="en-AU"/>
              </w:rPr>
            </w:pPr>
            <w:r>
              <w:rPr>
                <w:rFonts w:ascii="Calibri" w:hAnsi="Calibri" w:cs="Calibri"/>
                <w:color w:val="000000"/>
              </w:rPr>
              <w:t>Stood down until my workplace reopens</w:t>
            </w:r>
          </w:p>
        </w:tc>
        <w:tc>
          <w:tcPr>
            <w:tcW w:w="0" w:type="auto"/>
            <w:vAlign w:val="bottom"/>
          </w:tcPr>
          <w:p w14:paraId="75B758D9" w14:textId="77777777" w:rsidR="00B069EA" w:rsidRPr="00BB2DAC" w:rsidRDefault="00B069EA" w:rsidP="00820B71">
            <w:pPr>
              <w:jc w:val="center"/>
              <w:rPr>
                <w:rFonts w:cstheme="minorHAnsi"/>
                <w:noProof/>
                <w:lang w:eastAsia="en-AU"/>
              </w:rPr>
            </w:pPr>
            <w:r>
              <w:rPr>
                <w:rFonts w:ascii="Calibri" w:hAnsi="Calibri" w:cs="Calibri"/>
                <w:color w:val="000000"/>
              </w:rPr>
              <w:t>16.3%</w:t>
            </w:r>
          </w:p>
        </w:tc>
        <w:tc>
          <w:tcPr>
            <w:tcW w:w="0" w:type="auto"/>
          </w:tcPr>
          <w:p w14:paraId="15D87FBC" w14:textId="77777777" w:rsidR="00B069EA" w:rsidRPr="00BB2DAC" w:rsidRDefault="00B069EA" w:rsidP="00820B71">
            <w:pPr>
              <w:jc w:val="center"/>
              <w:rPr>
                <w:rFonts w:cstheme="minorHAnsi"/>
                <w:noProof/>
                <w:lang w:eastAsia="en-AU"/>
              </w:rPr>
            </w:pPr>
            <w:r w:rsidRPr="002C7E02">
              <w:rPr>
                <w:rFonts w:cstheme="minorHAnsi"/>
              </w:rPr>
              <w:t>n.a.</w:t>
            </w:r>
          </w:p>
        </w:tc>
        <w:tc>
          <w:tcPr>
            <w:tcW w:w="0" w:type="auto"/>
          </w:tcPr>
          <w:p w14:paraId="3595E11C" w14:textId="77777777" w:rsidR="00B069EA" w:rsidRDefault="00B069EA" w:rsidP="00820B71">
            <w:pPr>
              <w:jc w:val="center"/>
              <w:rPr>
                <w:rFonts w:ascii="Calibri" w:hAnsi="Calibri" w:cs="Calibri"/>
                <w:color w:val="000000"/>
              </w:rPr>
            </w:pPr>
          </w:p>
        </w:tc>
        <w:tc>
          <w:tcPr>
            <w:tcW w:w="0" w:type="auto"/>
            <w:vAlign w:val="bottom"/>
          </w:tcPr>
          <w:p w14:paraId="2DA90F5D" w14:textId="22B2849B" w:rsidR="00B069EA" w:rsidRPr="00BB2DAC" w:rsidRDefault="00B069EA" w:rsidP="00820B71">
            <w:pPr>
              <w:jc w:val="center"/>
              <w:rPr>
                <w:rFonts w:cstheme="minorHAnsi"/>
                <w:noProof/>
                <w:lang w:eastAsia="en-AU"/>
              </w:rPr>
            </w:pPr>
            <w:r>
              <w:rPr>
                <w:rFonts w:ascii="Calibri" w:hAnsi="Calibri" w:cs="Calibri"/>
                <w:color w:val="000000"/>
              </w:rPr>
              <w:t>13.9%</w:t>
            </w:r>
          </w:p>
        </w:tc>
        <w:tc>
          <w:tcPr>
            <w:tcW w:w="0" w:type="auto"/>
          </w:tcPr>
          <w:p w14:paraId="49BF21E0" w14:textId="77777777" w:rsidR="00B069EA" w:rsidRPr="00BB2DAC" w:rsidRDefault="00B069EA" w:rsidP="00820B71">
            <w:pPr>
              <w:jc w:val="center"/>
              <w:rPr>
                <w:rFonts w:cstheme="minorHAnsi"/>
                <w:noProof/>
                <w:lang w:eastAsia="en-AU"/>
              </w:rPr>
            </w:pPr>
            <w:r w:rsidRPr="002F478B">
              <w:rPr>
                <w:rFonts w:cstheme="minorHAnsi"/>
              </w:rPr>
              <w:t>n.a.</w:t>
            </w:r>
          </w:p>
        </w:tc>
      </w:tr>
    </w:tbl>
    <w:p w14:paraId="78F38711" w14:textId="77777777" w:rsidR="00A51D0A" w:rsidRPr="00BB2DAC" w:rsidRDefault="00A51D0A" w:rsidP="00A51D0A">
      <w:pPr>
        <w:rPr>
          <w:rFonts w:cstheme="minorHAnsi"/>
          <w:noProof/>
          <w:lang w:eastAsia="en-AU"/>
        </w:rPr>
      </w:pPr>
    </w:p>
    <w:p w14:paraId="76A1FBEF" w14:textId="7AF461AE" w:rsidR="004D71CC" w:rsidRPr="00B069EA" w:rsidRDefault="00D2399A" w:rsidP="00BB2DAC">
      <w:pPr>
        <w:rPr>
          <w:rFonts w:cstheme="minorHAnsi"/>
          <w:b/>
          <w:bCs/>
          <w:i/>
          <w:iCs/>
          <w:sz w:val="24"/>
          <w:szCs w:val="24"/>
        </w:rPr>
      </w:pPr>
      <w:r w:rsidRPr="00B069EA">
        <w:rPr>
          <w:rFonts w:cstheme="minorHAnsi"/>
          <w:b/>
          <w:bCs/>
          <w:i/>
          <w:iCs/>
          <w:sz w:val="24"/>
          <w:szCs w:val="24"/>
        </w:rPr>
        <w:t>S</w:t>
      </w:r>
      <w:r w:rsidR="00A51D0A" w:rsidRPr="00B069EA">
        <w:rPr>
          <w:rFonts w:cstheme="minorHAnsi"/>
          <w:b/>
          <w:bCs/>
          <w:i/>
          <w:iCs/>
          <w:sz w:val="24"/>
          <w:szCs w:val="24"/>
        </w:rPr>
        <w:t>tudy</w:t>
      </w:r>
    </w:p>
    <w:p w14:paraId="33F5DE08" w14:textId="40C4ABD2" w:rsidR="00231617" w:rsidRDefault="00B17FA1" w:rsidP="003B7AEF">
      <w:pPr>
        <w:rPr>
          <w:rFonts w:cstheme="minorHAnsi"/>
        </w:rPr>
      </w:pPr>
      <w:r>
        <w:rPr>
          <w:rFonts w:cstheme="minorHAnsi"/>
        </w:rPr>
        <w:t>Respondents</w:t>
      </w:r>
      <w:r w:rsidR="00181F3C">
        <w:rPr>
          <w:rFonts w:cstheme="minorHAnsi"/>
        </w:rPr>
        <w:t xml:space="preserve"> </w:t>
      </w:r>
      <w:r w:rsidR="00642598">
        <w:rPr>
          <w:rFonts w:cstheme="minorHAnsi"/>
        </w:rPr>
        <w:t xml:space="preserve">who were not studying in either or both 2020 and 2021 </w:t>
      </w:r>
      <w:r w:rsidR="006129C4">
        <w:rPr>
          <w:rFonts w:cstheme="minorHAnsi"/>
        </w:rPr>
        <w:t>described up to</w:t>
      </w:r>
      <w:r w:rsidR="00181F3C">
        <w:rPr>
          <w:rFonts w:cstheme="minorHAnsi"/>
        </w:rPr>
        <w:t xml:space="preserve"> eight COVID</w:t>
      </w:r>
      <w:r w:rsidR="008F5E55">
        <w:rPr>
          <w:rFonts w:cstheme="minorHAnsi"/>
        </w:rPr>
        <w:t>-</w:t>
      </w:r>
      <w:r w:rsidR="00181F3C">
        <w:rPr>
          <w:rFonts w:cstheme="minorHAnsi"/>
        </w:rPr>
        <w:t>related reasons</w:t>
      </w:r>
      <w:r w:rsidR="006129C4">
        <w:rPr>
          <w:rFonts w:cstheme="minorHAnsi"/>
        </w:rPr>
        <w:t xml:space="preserve"> as to why</w:t>
      </w:r>
      <w:r w:rsidR="002B2382">
        <w:rPr>
          <w:rFonts w:cstheme="minorHAnsi"/>
        </w:rPr>
        <w:t xml:space="preserve"> this was so</w:t>
      </w:r>
      <w:r w:rsidR="00181F3C">
        <w:rPr>
          <w:rFonts w:cstheme="minorHAnsi"/>
        </w:rPr>
        <w:t>.</w:t>
      </w:r>
      <w:r w:rsidR="00231617">
        <w:rPr>
          <w:rFonts w:cstheme="minorHAnsi"/>
        </w:rPr>
        <w:t xml:space="preserve"> </w:t>
      </w:r>
      <w:r w:rsidR="00181F3C">
        <w:rPr>
          <w:rFonts w:cstheme="minorHAnsi"/>
        </w:rPr>
        <w:t xml:space="preserve">The most common </w:t>
      </w:r>
      <w:r w:rsidR="00231617">
        <w:rPr>
          <w:rFonts w:cstheme="minorHAnsi"/>
        </w:rPr>
        <w:t xml:space="preserve">reason </w:t>
      </w:r>
      <w:r w:rsidR="006129C4">
        <w:rPr>
          <w:rFonts w:cstheme="minorHAnsi"/>
        </w:rPr>
        <w:t xml:space="preserve">given </w:t>
      </w:r>
      <w:r w:rsidR="00181F3C">
        <w:rPr>
          <w:rFonts w:cstheme="minorHAnsi"/>
        </w:rPr>
        <w:t xml:space="preserve">among </w:t>
      </w:r>
      <w:r w:rsidR="00231617">
        <w:rPr>
          <w:rFonts w:cstheme="minorHAnsi"/>
        </w:rPr>
        <w:t xml:space="preserve">both </w:t>
      </w:r>
      <w:r w:rsidR="00181F3C">
        <w:rPr>
          <w:rFonts w:cstheme="minorHAnsi"/>
        </w:rPr>
        <w:t>completers and non-completers was that they “did not want to study remotely due to the outbreak of COVID-19”</w:t>
      </w:r>
      <w:r w:rsidR="00231617">
        <w:rPr>
          <w:rFonts w:cstheme="minorHAnsi"/>
        </w:rPr>
        <w:t xml:space="preserve"> - the proportion growing from a quarter of those asked in 2020 </w:t>
      </w:r>
      <w:r w:rsidR="00492FEE">
        <w:rPr>
          <w:rFonts w:cstheme="minorHAnsi"/>
        </w:rPr>
        <w:t xml:space="preserve">(26 and 27 per cent respectively) </w:t>
      </w:r>
      <w:r w:rsidR="00231617">
        <w:rPr>
          <w:rFonts w:cstheme="minorHAnsi"/>
        </w:rPr>
        <w:t>to a third in 2021</w:t>
      </w:r>
      <w:r w:rsidR="00492FEE">
        <w:rPr>
          <w:rFonts w:cstheme="minorHAnsi"/>
        </w:rPr>
        <w:t xml:space="preserve"> (both groups 35 per cent)</w:t>
      </w:r>
      <w:r w:rsidR="00231617">
        <w:rPr>
          <w:rFonts w:cstheme="minorHAnsi"/>
        </w:rPr>
        <w:t xml:space="preserve">. </w:t>
      </w:r>
    </w:p>
    <w:p w14:paraId="4FE6D79A" w14:textId="6BAB74CA" w:rsidR="00231617" w:rsidRDefault="00231617" w:rsidP="003B7AEF">
      <w:pPr>
        <w:rPr>
          <w:rFonts w:cstheme="minorHAnsi"/>
        </w:rPr>
      </w:pPr>
      <w:r>
        <w:rPr>
          <w:rFonts w:cstheme="minorHAnsi"/>
        </w:rPr>
        <w:t xml:space="preserve">The second most common reason </w:t>
      </w:r>
      <w:r w:rsidR="000E2333">
        <w:rPr>
          <w:rFonts w:cstheme="minorHAnsi"/>
        </w:rPr>
        <w:t xml:space="preserve">given in 2021 for </w:t>
      </w:r>
      <w:r>
        <w:rPr>
          <w:rFonts w:cstheme="minorHAnsi"/>
        </w:rPr>
        <w:t>not to study was that they could not “afford to study now due to the outbreak of COVID-19</w:t>
      </w:r>
      <w:r w:rsidR="000E2333">
        <w:rPr>
          <w:rFonts w:cstheme="minorHAnsi"/>
        </w:rPr>
        <w:t xml:space="preserve">”. This was the reason for 17 percent of </w:t>
      </w:r>
      <w:r>
        <w:rPr>
          <w:rFonts w:cstheme="minorHAnsi"/>
        </w:rPr>
        <w:t xml:space="preserve">completers and </w:t>
      </w:r>
      <w:r w:rsidR="000E2333">
        <w:rPr>
          <w:rFonts w:cstheme="minorHAnsi"/>
        </w:rPr>
        <w:t>23 per cent of</w:t>
      </w:r>
      <w:r>
        <w:rPr>
          <w:rFonts w:cstheme="minorHAnsi"/>
        </w:rPr>
        <w:t xml:space="preserve"> non-completers, with proportions relatively similar in 2020 and 2021. </w:t>
      </w:r>
    </w:p>
    <w:p w14:paraId="6E5DE429" w14:textId="0DD47312" w:rsidR="00231617" w:rsidRDefault="006129C4" w:rsidP="003B7AEF">
      <w:pPr>
        <w:rPr>
          <w:rFonts w:cstheme="minorHAnsi"/>
        </w:rPr>
      </w:pPr>
      <w:bookmarkStart w:id="18" w:name="_Hlk85030736"/>
      <w:r>
        <w:rPr>
          <w:rFonts w:cstheme="minorHAnsi"/>
        </w:rPr>
        <w:t>Non-completers (2</w:t>
      </w:r>
      <w:r w:rsidR="00642598">
        <w:rPr>
          <w:rFonts w:cstheme="minorHAnsi"/>
        </w:rPr>
        <w:t>5</w:t>
      </w:r>
      <w:r w:rsidR="000E2333">
        <w:rPr>
          <w:rFonts w:cstheme="minorHAnsi"/>
        </w:rPr>
        <w:t>%</w:t>
      </w:r>
      <w:r>
        <w:rPr>
          <w:rFonts w:cstheme="minorHAnsi"/>
        </w:rPr>
        <w:t>) were three times more likely than completers (7</w:t>
      </w:r>
      <w:r w:rsidR="000E2333">
        <w:rPr>
          <w:rFonts w:cstheme="minorHAnsi"/>
        </w:rPr>
        <w:t>%)</w:t>
      </w:r>
      <w:r>
        <w:rPr>
          <w:rFonts w:cstheme="minorHAnsi"/>
        </w:rPr>
        <w:t xml:space="preserve"> to report that their course had been delayed or postponed in 2020</w:t>
      </w:r>
      <w:r w:rsidR="00231617">
        <w:rPr>
          <w:rFonts w:cstheme="minorHAnsi"/>
        </w:rPr>
        <w:t xml:space="preserve">. </w:t>
      </w:r>
      <w:r>
        <w:rPr>
          <w:rFonts w:cstheme="minorHAnsi"/>
        </w:rPr>
        <w:t>Non-completers (1</w:t>
      </w:r>
      <w:r w:rsidR="00642598">
        <w:rPr>
          <w:rFonts w:cstheme="minorHAnsi"/>
        </w:rPr>
        <w:t>5</w:t>
      </w:r>
      <w:r w:rsidR="000E2333">
        <w:rPr>
          <w:rFonts w:cstheme="minorHAnsi"/>
        </w:rPr>
        <w:t>%</w:t>
      </w:r>
      <w:r>
        <w:rPr>
          <w:rFonts w:cstheme="minorHAnsi"/>
        </w:rPr>
        <w:t>) were four times more likely than completers (3</w:t>
      </w:r>
      <w:r w:rsidR="000E2333">
        <w:rPr>
          <w:rFonts w:cstheme="minorHAnsi"/>
        </w:rPr>
        <w:t>%</w:t>
      </w:r>
      <w:r>
        <w:rPr>
          <w:rFonts w:cstheme="minorHAnsi"/>
        </w:rPr>
        <w:t xml:space="preserve">) to report that their “course had been delayed, postponed, or </w:t>
      </w:r>
      <w:r w:rsidRPr="006129C4">
        <w:rPr>
          <w:rFonts w:cstheme="minorHAnsi"/>
          <w:u w:val="single"/>
        </w:rPr>
        <w:t>cancelled</w:t>
      </w:r>
      <w:r>
        <w:rPr>
          <w:rFonts w:cstheme="minorHAnsi"/>
        </w:rPr>
        <w:t xml:space="preserve"> due to the outbreak of COVID-19” in 2021.</w:t>
      </w:r>
    </w:p>
    <w:p w14:paraId="74BCE338" w14:textId="55944EED" w:rsidR="00D2399A" w:rsidRDefault="00642598" w:rsidP="003B7AEF">
      <w:pPr>
        <w:rPr>
          <w:rFonts w:cstheme="minorHAnsi"/>
        </w:rPr>
      </w:pPr>
      <w:r>
        <w:rPr>
          <w:rFonts w:cstheme="minorHAnsi"/>
        </w:rPr>
        <w:t xml:space="preserve">Some </w:t>
      </w:r>
      <w:r w:rsidR="00CD769D">
        <w:rPr>
          <w:rFonts w:cstheme="minorHAnsi"/>
        </w:rPr>
        <w:t>Year 12 completers and non-completers</w:t>
      </w:r>
      <w:r>
        <w:rPr>
          <w:rFonts w:cstheme="minorHAnsi"/>
        </w:rPr>
        <w:t xml:space="preserve"> elected to study rather than not in 2021, most commonly due to personal goals changing as a result of COVID-19 </w:t>
      </w:r>
      <w:r w:rsidR="00CD769D">
        <w:rPr>
          <w:rFonts w:cstheme="minorHAnsi"/>
        </w:rPr>
        <w:t xml:space="preserve">(Completers: 17 per cent; Non-completers: 19 per cent) </w:t>
      </w:r>
      <w:r>
        <w:rPr>
          <w:rFonts w:cstheme="minorHAnsi"/>
        </w:rPr>
        <w:t xml:space="preserve">and online study becoming more accessible </w:t>
      </w:r>
      <w:r w:rsidR="00CD769D">
        <w:rPr>
          <w:rFonts w:cstheme="minorHAnsi"/>
        </w:rPr>
        <w:t xml:space="preserve">(Completers: 15 per cent; Non-completers: 18 per cent). </w:t>
      </w:r>
      <w:r>
        <w:rPr>
          <w:rFonts w:cstheme="minorHAnsi"/>
        </w:rPr>
        <w:t xml:space="preserve"> </w:t>
      </w:r>
    </w:p>
    <w:p w14:paraId="78A98B04" w14:textId="686C5E37" w:rsidR="00264368" w:rsidRPr="00D2399A" w:rsidRDefault="00264368" w:rsidP="003B7AEF">
      <w:pPr>
        <w:rPr>
          <w:rFonts w:cstheme="minorHAnsi"/>
          <w:b/>
          <w:bCs/>
          <w:i/>
          <w:iCs/>
        </w:rPr>
      </w:pPr>
    </w:p>
    <w:tbl>
      <w:tblPr>
        <w:tblStyle w:val="TableGrid"/>
        <w:tblW w:w="9252" w:type="dxa"/>
        <w:tblLook w:val="04A0" w:firstRow="1" w:lastRow="0" w:firstColumn="1" w:lastColumn="0" w:noHBand="0" w:noVBand="1"/>
      </w:tblPr>
      <w:tblGrid>
        <w:gridCol w:w="4273"/>
        <w:gridCol w:w="1558"/>
        <w:gridCol w:w="889"/>
        <w:gridCol w:w="333"/>
        <w:gridCol w:w="1435"/>
        <w:gridCol w:w="764"/>
      </w:tblGrid>
      <w:tr w:rsidR="00B069EA" w:rsidRPr="00BB2DAC" w14:paraId="25C8638C" w14:textId="77777777" w:rsidTr="000E2333">
        <w:tc>
          <w:tcPr>
            <w:tcW w:w="0" w:type="auto"/>
          </w:tcPr>
          <w:bookmarkEnd w:id="18"/>
          <w:p w14:paraId="15DE463C" w14:textId="2A4F223A" w:rsidR="00B069EA" w:rsidRPr="00BB2DAC" w:rsidRDefault="00B069EA" w:rsidP="003B7AEF">
            <w:pPr>
              <w:rPr>
                <w:rFonts w:cstheme="minorHAnsi"/>
              </w:rPr>
            </w:pPr>
            <w:r w:rsidRPr="00D2399A">
              <w:rPr>
                <w:rFonts w:cstheme="minorHAnsi"/>
                <w:b/>
                <w:bCs/>
                <w:i/>
                <w:iCs/>
              </w:rPr>
              <w:t xml:space="preserve">Proportion of </w:t>
            </w:r>
            <w:r w:rsidR="00B17FA1">
              <w:rPr>
                <w:rFonts w:cstheme="minorHAnsi"/>
                <w:b/>
                <w:bCs/>
                <w:i/>
                <w:iCs/>
              </w:rPr>
              <w:t>respondents</w:t>
            </w:r>
            <w:r w:rsidRPr="00D2399A">
              <w:rPr>
                <w:rFonts w:cstheme="minorHAnsi"/>
                <w:b/>
                <w:bCs/>
                <w:i/>
                <w:iCs/>
              </w:rPr>
              <w:t xml:space="preserve"> who were not studying </w:t>
            </w:r>
            <w:r>
              <w:rPr>
                <w:rFonts w:cstheme="minorHAnsi"/>
                <w:b/>
                <w:bCs/>
                <w:i/>
                <w:iCs/>
              </w:rPr>
              <w:t>because…</w:t>
            </w:r>
          </w:p>
        </w:tc>
        <w:tc>
          <w:tcPr>
            <w:tcW w:w="0" w:type="auto"/>
          </w:tcPr>
          <w:p w14:paraId="0B3935C1" w14:textId="251E839D" w:rsidR="00B069EA" w:rsidRPr="00B069EA" w:rsidRDefault="00B069EA" w:rsidP="00820B71">
            <w:pPr>
              <w:jc w:val="center"/>
              <w:rPr>
                <w:rFonts w:cstheme="minorHAnsi"/>
                <w:b/>
                <w:bCs/>
              </w:rPr>
            </w:pPr>
            <w:r w:rsidRPr="00B069EA">
              <w:rPr>
                <w:rFonts w:cstheme="minorHAnsi"/>
                <w:b/>
                <w:bCs/>
              </w:rPr>
              <w:t>Year 12 completers</w:t>
            </w:r>
          </w:p>
        </w:tc>
        <w:tc>
          <w:tcPr>
            <w:tcW w:w="889" w:type="dxa"/>
          </w:tcPr>
          <w:p w14:paraId="2CCFEB4E" w14:textId="5F779B2F" w:rsidR="00B069EA" w:rsidRPr="00B069EA" w:rsidRDefault="00B069EA" w:rsidP="00820B71">
            <w:pPr>
              <w:jc w:val="center"/>
              <w:rPr>
                <w:rFonts w:cstheme="minorHAnsi"/>
                <w:b/>
                <w:bCs/>
              </w:rPr>
            </w:pPr>
          </w:p>
        </w:tc>
        <w:tc>
          <w:tcPr>
            <w:tcW w:w="333" w:type="dxa"/>
          </w:tcPr>
          <w:p w14:paraId="46F06D89" w14:textId="77777777" w:rsidR="00B069EA" w:rsidRPr="00B069EA" w:rsidRDefault="00B069EA" w:rsidP="00820B71">
            <w:pPr>
              <w:jc w:val="center"/>
              <w:rPr>
                <w:rFonts w:cstheme="minorHAnsi"/>
                <w:b/>
                <w:bCs/>
              </w:rPr>
            </w:pPr>
          </w:p>
        </w:tc>
        <w:tc>
          <w:tcPr>
            <w:tcW w:w="0" w:type="auto"/>
          </w:tcPr>
          <w:p w14:paraId="3F82E009" w14:textId="3D321F88" w:rsidR="00B069EA" w:rsidRPr="00B069EA" w:rsidRDefault="00B069EA" w:rsidP="00820B71">
            <w:pPr>
              <w:jc w:val="center"/>
              <w:rPr>
                <w:rFonts w:cstheme="minorHAnsi"/>
                <w:b/>
                <w:bCs/>
              </w:rPr>
            </w:pPr>
            <w:r w:rsidRPr="00B069EA">
              <w:rPr>
                <w:rFonts w:cstheme="minorHAnsi"/>
                <w:b/>
                <w:bCs/>
              </w:rPr>
              <w:t>Non-completers</w:t>
            </w:r>
          </w:p>
        </w:tc>
        <w:tc>
          <w:tcPr>
            <w:tcW w:w="0" w:type="auto"/>
          </w:tcPr>
          <w:p w14:paraId="1AD984CD" w14:textId="77777777" w:rsidR="00B069EA" w:rsidRPr="00B069EA" w:rsidRDefault="00B069EA" w:rsidP="00820B71">
            <w:pPr>
              <w:jc w:val="center"/>
              <w:rPr>
                <w:rFonts w:cstheme="minorHAnsi"/>
                <w:b/>
                <w:bCs/>
              </w:rPr>
            </w:pPr>
          </w:p>
        </w:tc>
      </w:tr>
      <w:tr w:rsidR="00B069EA" w:rsidRPr="00BB2DAC" w14:paraId="469F48A5" w14:textId="77777777" w:rsidTr="000E2333">
        <w:tc>
          <w:tcPr>
            <w:tcW w:w="0" w:type="auto"/>
          </w:tcPr>
          <w:p w14:paraId="048253F9" w14:textId="77777777" w:rsidR="00B069EA" w:rsidRPr="00BB2DAC" w:rsidRDefault="00B069EA" w:rsidP="00E8668E">
            <w:pPr>
              <w:rPr>
                <w:rFonts w:cstheme="minorHAnsi"/>
              </w:rPr>
            </w:pPr>
          </w:p>
        </w:tc>
        <w:tc>
          <w:tcPr>
            <w:tcW w:w="0" w:type="auto"/>
          </w:tcPr>
          <w:p w14:paraId="16DC2A56" w14:textId="2715C886" w:rsidR="00B069EA" w:rsidRPr="00B069EA" w:rsidRDefault="00B069EA" w:rsidP="00820B71">
            <w:pPr>
              <w:jc w:val="center"/>
              <w:rPr>
                <w:rFonts w:cstheme="minorHAnsi"/>
                <w:b/>
                <w:bCs/>
              </w:rPr>
            </w:pPr>
            <w:r w:rsidRPr="00B069EA">
              <w:rPr>
                <w:rFonts w:cstheme="minorHAnsi"/>
                <w:b/>
                <w:bCs/>
              </w:rPr>
              <w:t>2020</w:t>
            </w:r>
          </w:p>
        </w:tc>
        <w:tc>
          <w:tcPr>
            <w:tcW w:w="889" w:type="dxa"/>
          </w:tcPr>
          <w:p w14:paraId="34C3CF93" w14:textId="09BA9386" w:rsidR="00B069EA" w:rsidRPr="00B069EA" w:rsidRDefault="00B069EA" w:rsidP="00820B71">
            <w:pPr>
              <w:jc w:val="center"/>
              <w:rPr>
                <w:rFonts w:cstheme="minorHAnsi"/>
                <w:b/>
                <w:bCs/>
              </w:rPr>
            </w:pPr>
            <w:r w:rsidRPr="00B069EA">
              <w:rPr>
                <w:rFonts w:cstheme="minorHAnsi"/>
                <w:b/>
                <w:bCs/>
              </w:rPr>
              <w:t>2021</w:t>
            </w:r>
          </w:p>
        </w:tc>
        <w:tc>
          <w:tcPr>
            <w:tcW w:w="333" w:type="dxa"/>
          </w:tcPr>
          <w:p w14:paraId="56BB1DEB" w14:textId="77777777" w:rsidR="00B069EA" w:rsidRPr="00B069EA" w:rsidRDefault="00B069EA" w:rsidP="00820B71">
            <w:pPr>
              <w:jc w:val="center"/>
              <w:rPr>
                <w:rFonts w:cstheme="minorHAnsi"/>
                <w:b/>
                <w:bCs/>
              </w:rPr>
            </w:pPr>
          </w:p>
        </w:tc>
        <w:tc>
          <w:tcPr>
            <w:tcW w:w="0" w:type="auto"/>
          </w:tcPr>
          <w:p w14:paraId="1750E589" w14:textId="3DF40D9D" w:rsidR="00B069EA" w:rsidRPr="00B069EA" w:rsidRDefault="00B069EA" w:rsidP="00820B71">
            <w:pPr>
              <w:jc w:val="center"/>
              <w:rPr>
                <w:rFonts w:cstheme="minorHAnsi"/>
                <w:b/>
                <w:bCs/>
              </w:rPr>
            </w:pPr>
            <w:r w:rsidRPr="00B069EA">
              <w:rPr>
                <w:rFonts w:cstheme="minorHAnsi"/>
                <w:b/>
                <w:bCs/>
              </w:rPr>
              <w:t>2020</w:t>
            </w:r>
          </w:p>
        </w:tc>
        <w:tc>
          <w:tcPr>
            <w:tcW w:w="0" w:type="auto"/>
          </w:tcPr>
          <w:p w14:paraId="15826667" w14:textId="7A4A3532" w:rsidR="00B069EA" w:rsidRPr="00B069EA" w:rsidRDefault="00B069EA" w:rsidP="00820B71">
            <w:pPr>
              <w:jc w:val="center"/>
              <w:rPr>
                <w:rFonts w:cstheme="minorHAnsi"/>
                <w:b/>
                <w:bCs/>
              </w:rPr>
            </w:pPr>
            <w:r w:rsidRPr="00B069EA">
              <w:rPr>
                <w:rFonts w:cstheme="minorHAnsi"/>
                <w:b/>
                <w:bCs/>
              </w:rPr>
              <w:t>2021</w:t>
            </w:r>
          </w:p>
        </w:tc>
      </w:tr>
      <w:tr w:rsidR="00B069EA" w:rsidRPr="00BB2DAC" w14:paraId="7478C574" w14:textId="77777777" w:rsidTr="000E2333">
        <w:tc>
          <w:tcPr>
            <w:tcW w:w="0" w:type="auto"/>
          </w:tcPr>
          <w:p w14:paraId="63DB8E91" w14:textId="100DF6B1" w:rsidR="00B069EA" w:rsidRPr="00BB2DAC" w:rsidRDefault="00B069EA" w:rsidP="00E8668E">
            <w:pPr>
              <w:rPr>
                <w:rFonts w:cstheme="minorHAnsi"/>
                <w:b/>
                <w:bCs/>
              </w:rPr>
            </w:pPr>
          </w:p>
        </w:tc>
        <w:tc>
          <w:tcPr>
            <w:tcW w:w="0" w:type="auto"/>
          </w:tcPr>
          <w:p w14:paraId="447F1B0B" w14:textId="5D5F83E2" w:rsidR="00B069EA" w:rsidRPr="00BB2DAC" w:rsidRDefault="00B069EA" w:rsidP="00820B71">
            <w:pPr>
              <w:jc w:val="center"/>
              <w:rPr>
                <w:rFonts w:cstheme="minorHAnsi"/>
              </w:rPr>
            </w:pPr>
          </w:p>
        </w:tc>
        <w:tc>
          <w:tcPr>
            <w:tcW w:w="889" w:type="dxa"/>
          </w:tcPr>
          <w:p w14:paraId="34E4EEB6" w14:textId="77777777" w:rsidR="00B069EA" w:rsidRPr="00BB2DAC" w:rsidRDefault="00B069EA" w:rsidP="00820B71">
            <w:pPr>
              <w:jc w:val="center"/>
              <w:rPr>
                <w:rFonts w:cstheme="minorHAnsi"/>
              </w:rPr>
            </w:pPr>
          </w:p>
        </w:tc>
        <w:tc>
          <w:tcPr>
            <w:tcW w:w="333" w:type="dxa"/>
          </w:tcPr>
          <w:p w14:paraId="486AFC80" w14:textId="77777777" w:rsidR="00B069EA" w:rsidRPr="00BB2DAC" w:rsidRDefault="00B069EA" w:rsidP="00820B71">
            <w:pPr>
              <w:jc w:val="center"/>
              <w:rPr>
                <w:rFonts w:cstheme="minorHAnsi"/>
              </w:rPr>
            </w:pPr>
          </w:p>
        </w:tc>
        <w:tc>
          <w:tcPr>
            <w:tcW w:w="0" w:type="auto"/>
          </w:tcPr>
          <w:p w14:paraId="78F937A0" w14:textId="39C4A7ED" w:rsidR="00B069EA" w:rsidRPr="00BB2DAC" w:rsidRDefault="00B069EA" w:rsidP="00820B71">
            <w:pPr>
              <w:jc w:val="center"/>
              <w:rPr>
                <w:rFonts w:cstheme="minorHAnsi"/>
              </w:rPr>
            </w:pPr>
          </w:p>
        </w:tc>
        <w:tc>
          <w:tcPr>
            <w:tcW w:w="0" w:type="auto"/>
          </w:tcPr>
          <w:p w14:paraId="0BD7E4FF" w14:textId="50CD30A2" w:rsidR="00B069EA" w:rsidRPr="00BB2DAC" w:rsidRDefault="00B069EA" w:rsidP="00820B71">
            <w:pPr>
              <w:jc w:val="center"/>
              <w:rPr>
                <w:rFonts w:cstheme="minorHAnsi"/>
              </w:rPr>
            </w:pPr>
          </w:p>
        </w:tc>
      </w:tr>
      <w:tr w:rsidR="00B069EA" w:rsidRPr="00BB2DAC" w14:paraId="5F17A189" w14:textId="77777777" w:rsidTr="000E2333">
        <w:tc>
          <w:tcPr>
            <w:tcW w:w="0" w:type="auto"/>
          </w:tcPr>
          <w:p w14:paraId="583BE388" w14:textId="46C7F4F2" w:rsidR="00B069EA" w:rsidRPr="00BB2DAC" w:rsidRDefault="00B069EA" w:rsidP="00671673">
            <w:pPr>
              <w:rPr>
                <w:rFonts w:cstheme="minorHAnsi"/>
              </w:rPr>
            </w:pPr>
            <w:r w:rsidRPr="00BB2DAC">
              <w:rPr>
                <w:rFonts w:cstheme="minorHAnsi"/>
              </w:rPr>
              <w:t>planning to study abroad</w:t>
            </w:r>
          </w:p>
        </w:tc>
        <w:tc>
          <w:tcPr>
            <w:tcW w:w="0" w:type="auto"/>
          </w:tcPr>
          <w:p w14:paraId="4DD2A316" w14:textId="2605B03B" w:rsidR="00B069EA" w:rsidRPr="00820B71" w:rsidRDefault="00B069EA" w:rsidP="00820B71">
            <w:pPr>
              <w:jc w:val="center"/>
              <w:rPr>
                <w:rFonts w:cstheme="minorHAnsi"/>
              </w:rPr>
            </w:pPr>
            <w:r w:rsidRPr="00820B71">
              <w:rPr>
                <w:rFonts w:cstheme="minorHAnsi"/>
              </w:rPr>
              <w:t>6.0%</w:t>
            </w:r>
          </w:p>
        </w:tc>
        <w:tc>
          <w:tcPr>
            <w:tcW w:w="889" w:type="dxa"/>
          </w:tcPr>
          <w:p w14:paraId="2B25C390" w14:textId="1D355407" w:rsidR="00B069EA" w:rsidRPr="00820B71" w:rsidRDefault="00B069EA" w:rsidP="00820B71">
            <w:pPr>
              <w:jc w:val="center"/>
              <w:rPr>
                <w:rFonts w:cstheme="minorHAnsi"/>
              </w:rPr>
            </w:pPr>
            <w:r w:rsidRPr="00820B71">
              <w:rPr>
                <w:rFonts w:cstheme="minorHAnsi"/>
              </w:rPr>
              <w:t>n.a.</w:t>
            </w:r>
          </w:p>
        </w:tc>
        <w:tc>
          <w:tcPr>
            <w:tcW w:w="333" w:type="dxa"/>
          </w:tcPr>
          <w:p w14:paraId="0E87B1A2" w14:textId="77777777" w:rsidR="00B069EA" w:rsidRPr="00820B71" w:rsidRDefault="00B069EA" w:rsidP="00820B71">
            <w:pPr>
              <w:jc w:val="center"/>
              <w:rPr>
                <w:rFonts w:cstheme="minorHAnsi"/>
              </w:rPr>
            </w:pPr>
          </w:p>
        </w:tc>
        <w:tc>
          <w:tcPr>
            <w:tcW w:w="0" w:type="auto"/>
          </w:tcPr>
          <w:p w14:paraId="0C94C3EF" w14:textId="1804E311" w:rsidR="00B069EA" w:rsidRPr="00820B71" w:rsidRDefault="00B069EA" w:rsidP="00820B71">
            <w:pPr>
              <w:jc w:val="center"/>
              <w:rPr>
                <w:rFonts w:cstheme="minorHAnsi"/>
              </w:rPr>
            </w:pPr>
            <w:r w:rsidRPr="00820B71">
              <w:rPr>
                <w:rFonts w:cstheme="minorHAnsi"/>
              </w:rPr>
              <w:t>4.8%</w:t>
            </w:r>
          </w:p>
        </w:tc>
        <w:tc>
          <w:tcPr>
            <w:tcW w:w="0" w:type="auto"/>
          </w:tcPr>
          <w:p w14:paraId="422D4E0A" w14:textId="21E541B3" w:rsidR="00B069EA" w:rsidRPr="00BB2DAC" w:rsidRDefault="00B069EA" w:rsidP="00820B71">
            <w:pPr>
              <w:jc w:val="center"/>
              <w:rPr>
                <w:rFonts w:cstheme="minorHAnsi"/>
              </w:rPr>
            </w:pPr>
            <w:r w:rsidRPr="00BB2DAC">
              <w:rPr>
                <w:rFonts w:cstheme="minorHAnsi"/>
              </w:rPr>
              <w:t>n.a.</w:t>
            </w:r>
          </w:p>
        </w:tc>
      </w:tr>
      <w:tr w:rsidR="00B069EA" w:rsidRPr="00BB2DAC" w14:paraId="7D07C4D9" w14:textId="77777777" w:rsidTr="000E2333">
        <w:tc>
          <w:tcPr>
            <w:tcW w:w="0" w:type="auto"/>
          </w:tcPr>
          <w:p w14:paraId="289CDEAF" w14:textId="52176168" w:rsidR="00B069EA" w:rsidRPr="00BB2DAC" w:rsidRDefault="00B069EA" w:rsidP="00671673">
            <w:pPr>
              <w:rPr>
                <w:rFonts w:cstheme="minorHAnsi"/>
              </w:rPr>
            </w:pPr>
            <w:r w:rsidRPr="00BB2DAC">
              <w:rPr>
                <w:rFonts w:cstheme="minorHAnsi"/>
              </w:rPr>
              <w:t>cannot afford to study now due to the outbreak of COVID-19</w:t>
            </w:r>
          </w:p>
        </w:tc>
        <w:tc>
          <w:tcPr>
            <w:tcW w:w="0" w:type="auto"/>
          </w:tcPr>
          <w:p w14:paraId="24FCD030" w14:textId="59525B56" w:rsidR="00B069EA" w:rsidRPr="00820B71" w:rsidRDefault="00B069EA" w:rsidP="00820B71">
            <w:pPr>
              <w:jc w:val="center"/>
              <w:rPr>
                <w:rFonts w:cstheme="minorHAnsi"/>
              </w:rPr>
            </w:pPr>
            <w:r w:rsidRPr="00820B71">
              <w:t>15.5%</w:t>
            </w:r>
          </w:p>
        </w:tc>
        <w:tc>
          <w:tcPr>
            <w:tcW w:w="889" w:type="dxa"/>
          </w:tcPr>
          <w:p w14:paraId="148A6CE3" w14:textId="4786D406" w:rsidR="00B069EA" w:rsidRPr="00820B71" w:rsidRDefault="00B069EA" w:rsidP="00820B71">
            <w:pPr>
              <w:jc w:val="center"/>
              <w:rPr>
                <w:rFonts w:cstheme="minorHAnsi"/>
              </w:rPr>
            </w:pPr>
            <w:r w:rsidRPr="00820B71">
              <w:t>16.8%</w:t>
            </w:r>
          </w:p>
        </w:tc>
        <w:tc>
          <w:tcPr>
            <w:tcW w:w="333" w:type="dxa"/>
          </w:tcPr>
          <w:p w14:paraId="2BE54051" w14:textId="77777777" w:rsidR="00B069EA" w:rsidRPr="00820B71" w:rsidRDefault="00B069EA" w:rsidP="00820B71">
            <w:pPr>
              <w:jc w:val="center"/>
            </w:pPr>
          </w:p>
        </w:tc>
        <w:tc>
          <w:tcPr>
            <w:tcW w:w="0" w:type="auto"/>
          </w:tcPr>
          <w:p w14:paraId="2517B837" w14:textId="28324747" w:rsidR="00B069EA" w:rsidRPr="00820B71" w:rsidRDefault="00B069EA" w:rsidP="00820B71">
            <w:pPr>
              <w:jc w:val="center"/>
              <w:rPr>
                <w:rFonts w:cstheme="minorHAnsi"/>
              </w:rPr>
            </w:pPr>
            <w:r w:rsidRPr="00820B71">
              <w:t>25.6%</w:t>
            </w:r>
          </w:p>
        </w:tc>
        <w:tc>
          <w:tcPr>
            <w:tcW w:w="0" w:type="auto"/>
          </w:tcPr>
          <w:p w14:paraId="1A02EB40" w14:textId="592922C5" w:rsidR="00B069EA" w:rsidRPr="00BB2DAC" w:rsidRDefault="00B069EA" w:rsidP="00820B71">
            <w:pPr>
              <w:jc w:val="center"/>
              <w:rPr>
                <w:rFonts w:cstheme="minorHAnsi"/>
              </w:rPr>
            </w:pPr>
            <w:r w:rsidRPr="00BB2DAC">
              <w:t>22.8%</w:t>
            </w:r>
          </w:p>
        </w:tc>
      </w:tr>
      <w:tr w:rsidR="00B069EA" w:rsidRPr="00BB2DAC" w14:paraId="2C904121" w14:textId="77777777" w:rsidTr="000E2333">
        <w:tc>
          <w:tcPr>
            <w:tcW w:w="0" w:type="auto"/>
          </w:tcPr>
          <w:p w14:paraId="2E17A76D" w14:textId="48132C9F" w:rsidR="00B069EA" w:rsidRPr="00BB2DAC" w:rsidRDefault="00B069EA" w:rsidP="00671673">
            <w:pPr>
              <w:rPr>
                <w:rFonts w:cstheme="minorHAnsi"/>
              </w:rPr>
            </w:pPr>
            <w:r w:rsidRPr="00BB2DAC">
              <w:rPr>
                <w:rFonts w:cstheme="minorHAnsi"/>
              </w:rPr>
              <w:t>cannot find or keep work due to the outbreak of COVID-19</w:t>
            </w:r>
          </w:p>
        </w:tc>
        <w:tc>
          <w:tcPr>
            <w:tcW w:w="0" w:type="auto"/>
          </w:tcPr>
          <w:p w14:paraId="4BAFD0F7" w14:textId="07740F24" w:rsidR="00B069EA" w:rsidRPr="00820B71" w:rsidRDefault="00B069EA" w:rsidP="00820B71">
            <w:pPr>
              <w:jc w:val="center"/>
              <w:rPr>
                <w:rFonts w:cstheme="minorHAnsi"/>
              </w:rPr>
            </w:pPr>
            <w:r w:rsidRPr="00820B71">
              <w:t>14.0%</w:t>
            </w:r>
          </w:p>
        </w:tc>
        <w:tc>
          <w:tcPr>
            <w:tcW w:w="889" w:type="dxa"/>
          </w:tcPr>
          <w:p w14:paraId="13101510" w14:textId="473E11A1" w:rsidR="00B069EA" w:rsidRPr="00820B71" w:rsidRDefault="00B069EA" w:rsidP="00820B71">
            <w:pPr>
              <w:jc w:val="center"/>
              <w:rPr>
                <w:rFonts w:cstheme="minorHAnsi"/>
              </w:rPr>
            </w:pPr>
            <w:r w:rsidRPr="00820B71">
              <w:rPr>
                <w:rFonts w:cstheme="minorHAnsi"/>
              </w:rPr>
              <w:t>n.a</w:t>
            </w:r>
          </w:p>
        </w:tc>
        <w:tc>
          <w:tcPr>
            <w:tcW w:w="333" w:type="dxa"/>
          </w:tcPr>
          <w:p w14:paraId="6C4066FF" w14:textId="77777777" w:rsidR="00B069EA" w:rsidRPr="00820B71" w:rsidRDefault="00B069EA" w:rsidP="00820B71">
            <w:pPr>
              <w:jc w:val="center"/>
            </w:pPr>
          </w:p>
        </w:tc>
        <w:tc>
          <w:tcPr>
            <w:tcW w:w="0" w:type="auto"/>
          </w:tcPr>
          <w:p w14:paraId="5C7EDE55" w14:textId="59D57042" w:rsidR="00B069EA" w:rsidRPr="00820B71" w:rsidRDefault="00B069EA" w:rsidP="00820B71">
            <w:pPr>
              <w:jc w:val="center"/>
              <w:rPr>
                <w:rFonts w:cstheme="minorHAnsi"/>
              </w:rPr>
            </w:pPr>
            <w:r w:rsidRPr="00820B71">
              <w:t>17.3%</w:t>
            </w:r>
          </w:p>
        </w:tc>
        <w:tc>
          <w:tcPr>
            <w:tcW w:w="0" w:type="auto"/>
          </w:tcPr>
          <w:p w14:paraId="0A2445A3" w14:textId="33371D70" w:rsidR="00B069EA" w:rsidRPr="00BB2DAC" w:rsidRDefault="00B069EA" w:rsidP="00820B71">
            <w:pPr>
              <w:jc w:val="center"/>
              <w:rPr>
                <w:rFonts w:cstheme="minorHAnsi"/>
              </w:rPr>
            </w:pPr>
            <w:r w:rsidRPr="00BB2DAC">
              <w:rPr>
                <w:rFonts w:cstheme="minorHAnsi"/>
              </w:rPr>
              <w:t>n.a</w:t>
            </w:r>
          </w:p>
        </w:tc>
      </w:tr>
      <w:tr w:rsidR="000E2333" w14:paraId="3F200B9F" w14:textId="77777777" w:rsidTr="000E2333">
        <w:tc>
          <w:tcPr>
            <w:tcW w:w="0" w:type="auto"/>
          </w:tcPr>
          <w:p w14:paraId="263CE35B" w14:textId="02714CCC" w:rsidR="000E2333" w:rsidRPr="00BB2DAC" w:rsidRDefault="000E2333" w:rsidP="003B7AEF">
            <w:pPr>
              <w:rPr>
                <w:rFonts w:cstheme="minorHAnsi"/>
              </w:rPr>
            </w:pPr>
            <w:r w:rsidRPr="00BB2DAC">
              <w:rPr>
                <w:rFonts w:cstheme="minorHAnsi"/>
              </w:rPr>
              <w:t>do not want to study remotely due to the outbreak of COVID-19</w:t>
            </w:r>
          </w:p>
        </w:tc>
        <w:tc>
          <w:tcPr>
            <w:tcW w:w="0" w:type="auto"/>
          </w:tcPr>
          <w:p w14:paraId="08EAF28D" w14:textId="7BB68FB3" w:rsidR="000E2333" w:rsidRPr="00F04936" w:rsidRDefault="000E2333" w:rsidP="00820B71">
            <w:pPr>
              <w:jc w:val="center"/>
            </w:pPr>
            <w:r w:rsidRPr="00820B71">
              <w:rPr>
                <w:rFonts w:ascii="Calibri" w:hAnsi="Calibri" w:cs="Calibri"/>
              </w:rPr>
              <w:t>26.2%</w:t>
            </w:r>
          </w:p>
        </w:tc>
        <w:tc>
          <w:tcPr>
            <w:tcW w:w="889" w:type="dxa"/>
          </w:tcPr>
          <w:p w14:paraId="3867D28E" w14:textId="1D1B0D76" w:rsidR="000E2333" w:rsidRPr="00820B71" w:rsidRDefault="000E2333" w:rsidP="00820B71">
            <w:pPr>
              <w:jc w:val="center"/>
              <w:rPr>
                <w:rFonts w:cstheme="minorHAnsi"/>
              </w:rPr>
            </w:pPr>
            <w:r w:rsidRPr="00820B71">
              <w:rPr>
                <w:rFonts w:ascii="Calibri" w:hAnsi="Calibri" w:cs="Calibri"/>
              </w:rPr>
              <w:t>34.8%</w:t>
            </w:r>
          </w:p>
        </w:tc>
        <w:tc>
          <w:tcPr>
            <w:tcW w:w="333" w:type="dxa"/>
          </w:tcPr>
          <w:p w14:paraId="0205686F" w14:textId="77777777" w:rsidR="000E2333" w:rsidRPr="00820B71" w:rsidRDefault="000E2333" w:rsidP="00820B71">
            <w:pPr>
              <w:jc w:val="center"/>
            </w:pPr>
          </w:p>
        </w:tc>
        <w:tc>
          <w:tcPr>
            <w:tcW w:w="0" w:type="auto"/>
          </w:tcPr>
          <w:p w14:paraId="24840B72" w14:textId="5212E159" w:rsidR="000E2333" w:rsidRPr="00F04936" w:rsidRDefault="000E2333" w:rsidP="00820B71">
            <w:pPr>
              <w:jc w:val="center"/>
            </w:pPr>
            <w:r w:rsidRPr="00820B71">
              <w:rPr>
                <w:rFonts w:ascii="Calibri" w:hAnsi="Calibri" w:cs="Calibri"/>
              </w:rPr>
              <w:t>27.6%</w:t>
            </w:r>
          </w:p>
        </w:tc>
        <w:tc>
          <w:tcPr>
            <w:tcW w:w="0" w:type="auto"/>
          </w:tcPr>
          <w:p w14:paraId="78B7D2D4" w14:textId="63B55C5E" w:rsidR="000E2333" w:rsidRPr="00BB2DAC" w:rsidRDefault="000E2333" w:rsidP="00820B71">
            <w:pPr>
              <w:jc w:val="center"/>
              <w:rPr>
                <w:rFonts w:cstheme="minorHAnsi"/>
              </w:rPr>
            </w:pPr>
            <w:r w:rsidRPr="00BB2DAC">
              <w:rPr>
                <w:rFonts w:ascii="Calibri" w:hAnsi="Calibri" w:cs="Calibri"/>
              </w:rPr>
              <w:t>34.6%</w:t>
            </w:r>
          </w:p>
        </w:tc>
      </w:tr>
      <w:tr w:rsidR="00B069EA" w:rsidRPr="00BB2DAC" w14:paraId="02186538" w14:textId="77777777" w:rsidTr="000E2333">
        <w:tc>
          <w:tcPr>
            <w:tcW w:w="0" w:type="auto"/>
          </w:tcPr>
          <w:p w14:paraId="351F4A55" w14:textId="7741B3A1" w:rsidR="00B069EA" w:rsidRPr="00BB2DAC" w:rsidRDefault="00B069EA" w:rsidP="00264368">
            <w:pPr>
              <w:rPr>
                <w:rFonts w:cstheme="minorHAnsi"/>
              </w:rPr>
            </w:pPr>
            <w:r w:rsidRPr="00BB2DAC">
              <w:rPr>
                <w:rFonts w:cstheme="minorHAnsi"/>
              </w:rPr>
              <w:t>the course has been delayed or postponed due to the outbreak of COVID-19</w:t>
            </w:r>
          </w:p>
        </w:tc>
        <w:tc>
          <w:tcPr>
            <w:tcW w:w="0" w:type="auto"/>
            <w:vAlign w:val="bottom"/>
          </w:tcPr>
          <w:p w14:paraId="30FF8617" w14:textId="4FF4F764" w:rsidR="00B069EA" w:rsidRPr="00820B71" w:rsidRDefault="00B069EA" w:rsidP="00820B71">
            <w:pPr>
              <w:jc w:val="center"/>
              <w:rPr>
                <w:rFonts w:cstheme="minorHAnsi"/>
              </w:rPr>
            </w:pPr>
            <w:r w:rsidRPr="00820B71">
              <w:rPr>
                <w:rFonts w:ascii="Calibri" w:hAnsi="Calibri" w:cs="Calibri"/>
              </w:rPr>
              <w:t>7.5%</w:t>
            </w:r>
          </w:p>
        </w:tc>
        <w:tc>
          <w:tcPr>
            <w:tcW w:w="889" w:type="dxa"/>
            <w:vAlign w:val="bottom"/>
          </w:tcPr>
          <w:p w14:paraId="6FB3C418" w14:textId="0869AE3C" w:rsidR="00B069EA" w:rsidRPr="00820B71" w:rsidRDefault="00B069EA" w:rsidP="00820B71">
            <w:pPr>
              <w:jc w:val="center"/>
              <w:rPr>
                <w:rFonts w:cstheme="minorHAnsi"/>
              </w:rPr>
            </w:pPr>
            <w:r w:rsidRPr="00820B71">
              <w:rPr>
                <w:rFonts w:cstheme="minorHAnsi"/>
              </w:rPr>
              <w:t>n.a.</w:t>
            </w:r>
          </w:p>
        </w:tc>
        <w:tc>
          <w:tcPr>
            <w:tcW w:w="333" w:type="dxa"/>
          </w:tcPr>
          <w:p w14:paraId="7CEF20CD" w14:textId="77777777" w:rsidR="00B069EA" w:rsidRPr="00820B71" w:rsidRDefault="00B069EA" w:rsidP="00820B71">
            <w:pPr>
              <w:jc w:val="center"/>
              <w:rPr>
                <w:rFonts w:ascii="Calibri" w:hAnsi="Calibri" w:cs="Calibri"/>
              </w:rPr>
            </w:pPr>
          </w:p>
        </w:tc>
        <w:tc>
          <w:tcPr>
            <w:tcW w:w="0" w:type="auto"/>
            <w:vAlign w:val="bottom"/>
          </w:tcPr>
          <w:p w14:paraId="0C737354" w14:textId="7B9E249A" w:rsidR="00B069EA" w:rsidRPr="00820B71" w:rsidRDefault="00B069EA" w:rsidP="00820B71">
            <w:pPr>
              <w:jc w:val="center"/>
              <w:rPr>
                <w:rFonts w:cstheme="minorHAnsi"/>
              </w:rPr>
            </w:pPr>
            <w:r w:rsidRPr="00820B71">
              <w:rPr>
                <w:rFonts w:ascii="Calibri" w:hAnsi="Calibri" w:cs="Calibri"/>
              </w:rPr>
              <w:t>24.6%</w:t>
            </w:r>
          </w:p>
        </w:tc>
        <w:tc>
          <w:tcPr>
            <w:tcW w:w="0" w:type="auto"/>
            <w:vAlign w:val="bottom"/>
          </w:tcPr>
          <w:p w14:paraId="441C05D4" w14:textId="594DEACB" w:rsidR="00B069EA" w:rsidRPr="00BB2DAC" w:rsidRDefault="00B069EA" w:rsidP="00820B71">
            <w:pPr>
              <w:jc w:val="center"/>
              <w:rPr>
                <w:rFonts w:cstheme="minorHAnsi"/>
              </w:rPr>
            </w:pPr>
            <w:r w:rsidRPr="00BB2DAC">
              <w:rPr>
                <w:rFonts w:cstheme="minorHAnsi"/>
              </w:rPr>
              <w:t>n.a.</w:t>
            </w:r>
          </w:p>
        </w:tc>
      </w:tr>
      <w:tr w:rsidR="000E2333" w14:paraId="1C499DE1" w14:textId="77777777" w:rsidTr="000E2333">
        <w:tc>
          <w:tcPr>
            <w:tcW w:w="0" w:type="auto"/>
          </w:tcPr>
          <w:p w14:paraId="7070FBF9" w14:textId="6CBE21D3" w:rsidR="000E2333" w:rsidRPr="00BB2DAC" w:rsidRDefault="000E2333" w:rsidP="003B7AEF">
            <w:pPr>
              <w:rPr>
                <w:rFonts w:cstheme="minorHAnsi"/>
              </w:rPr>
            </w:pPr>
            <w:r w:rsidRPr="00BB2DAC">
              <w:rPr>
                <w:rFonts w:cstheme="minorHAnsi"/>
              </w:rPr>
              <w:t>the course has been delayed or postponed or cancelled due to the outbreak of COVID-19</w:t>
            </w:r>
          </w:p>
        </w:tc>
        <w:tc>
          <w:tcPr>
            <w:tcW w:w="0" w:type="auto"/>
            <w:vAlign w:val="bottom"/>
          </w:tcPr>
          <w:p w14:paraId="397F7937" w14:textId="3BADCD33" w:rsidR="000E2333" w:rsidRPr="00820B71" w:rsidRDefault="000E2333" w:rsidP="00820B71">
            <w:pPr>
              <w:jc w:val="center"/>
              <w:rPr>
                <w:rFonts w:ascii="Calibri" w:hAnsi="Calibri" w:cs="Calibri"/>
              </w:rPr>
            </w:pPr>
            <w:r w:rsidRPr="00BB2DAC">
              <w:rPr>
                <w:rFonts w:cstheme="minorHAnsi"/>
              </w:rPr>
              <w:t>n.a.</w:t>
            </w:r>
          </w:p>
        </w:tc>
        <w:tc>
          <w:tcPr>
            <w:tcW w:w="889" w:type="dxa"/>
            <w:vAlign w:val="bottom"/>
          </w:tcPr>
          <w:p w14:paraId="6A5A1343" w14:textId="0CC19BD2" w:rsidR="000E2333" w:rsidRPr="00820B71" w:rsidRDefault="000E2333" w:rsidP="00820B71">
            <w:pPr>
              <w:jc w:val="center"/>
              <w:rPr>
                <w:rFonts w:cstheme="minorHAnsi"/>
              </w:rPr>
            </w:pPr>
            <w:r w:rsidRPr="00BB2DAC">
              <w:rPr>
                <w:rFonts w:ascii="Calibri" w:hAnsi="Calibri" w:cs="Calibri"/>
              </w:rPr>
              <w:t>3.4%</w:t>
            </w:r>
          </w:p>
        </w:tc>
        <w:tc>
          <w:tcPr>
            <w:tcW w:w="333" w:type="dxa"/>
          </w:tcPr>
          <w:p w14:paraId="1CA1DAD7" w14:textId="77777777" w:rsidR="000E2333" w:rsidRPr="00820B71" w:rsidRDefault="000E2333" w:rsidP="00820B71">
            <w:pPr>
              <w:jc w:val="center"/>
              <w:rPr>
                <w:rFonts w:ascii="Calibri" w:hAnsi="Calibri" w:cs="Calibri"/>
              </w:rPr>
            </w:pPr>
          </w:p>
        </w:tc>
        <w:tc>
          <w:tcPr>
            <w:tcW w:w="0" w:type="auto"/>
            <w:vAlign w:val="bottom"/>
          </w:tcPr>
          <w:p w14:paraId="08553A5B" w14:textId="03B98B43" w:rsidR="000E2333" w:rsidRPr="00820B71" w:rsidRDefault="000E2333" w:rsidP="00820B71">
            <w:pPr>
              <w:jc w:val="center"/>
              <w:rPr>
                <w:rFonts w:ascii="Calibri" w:hAnsi="Calibri" w:cs="Calibri"/>
              </w:rPr>
            </w:pPr>
            <w:r w:rsidRPr="00BB2DAC">
              <w:rPr>
                <w:rFonts w:cstheme="minorHAnsi"/>
              </w:rPr>
              <w:t>n.a.</w:t>
            </w:r>
          </w:p>
        </w:tc>
        <w:tc>
          <w:tcPr>
            <w:tcW w:w="0" w:type="auto"/>
            <w:vAlign w:val="bottom"/>
          </w:tcPr>
          <w:p w14:paraId="48AC7D24" w14:textId="78AD0293" w:rsidR="000E2333" w:rsidRPr="00BB2DAC" w:rsidRDefault="000E2333" w:rsidP="00820B71">
            <w:pPr>
              <w:jc w:val="center"/>
              <w:rPr>
                <w:rFonts w:cstheme="minorHAnsi"/>
              </w:rPr>
            </w:pPr>
            <w:r w:rsidRPr="00BB2DAC">
              <w:rPr>
                <w:rFonts w:ascii="Calibri" w:hAnsi="Calibri" w:cs="Calibri"/>
              </w:rPr>
              <w:t>14.5%</w:t>
            </w:r>
          </w:p>
        </w:tc>
      </w:tr>
      <w:tr w:rsidR="00B069EA" w:rsidRPr="00BB2DAC" w14:paraId="7263BF63" w14:textId="77777777" w:rsidTr="000E2333">
        <w:tc>
          <w:tcPr>
            <w:tcW w:w="0" w:type="auto"/>
          </w:tcPr>
          <w:p w14:paraId="7CEFC897" w14:textId="5A4ECCC2" w:rsidR="00B069EA" w:rsidRPr="00BB2DAC" w:rsidRDefault="00B069EA" w:rsidP="00264368">
            <w:pPr>
              <w:rPr>
                <w:rFonts w:cstheme="minorHAnsi"/>
              </w:rPr>
            </w:pPr>
            <w:r w:rsidRPr="00BB2DAC">
              <w:rPr>
                <w:rFonts w:cstheme="minorHAnsi"/>
              </w:rPr>
              <w:t>worried  may not be able to get a job in  field of study due to the outbreak of COVID-19</w:t>
            </w:r>
          </w:p>
        </w:tc>
        <w:tc>
          <w:tcPr>
            <w:tcW w:w="0" w:type="auto"/>
            <w:vAlign w:val="bottom"/>
          </w:tcPr>
          <w:p w14:paraId="13FB6C26" w14:textId="5F2A6D56" w:rsidR="00B069EA" w:rsidRPr="00BB2DAC" w:rsidRDefault="00B069EA" w:rsidP="00820B71">
            <w:pPr>
              <w:jc w:val="center"/>
              <w:rPr>
                <w:rFonts w:cstheme="minorHAnsi"/>
              </w:rPr>
            </w:pPr>
            <w:r w:rsidRPr="00BB2DAC">
              <w:rPr>
                <w:rFonts w:ascii="Calibri" w:hAnsi="Calibri" w:cs="Calibri"/>
              </w:rPr>
              <w:t>10.4%</w:t>
            </w:r>
          </w:p>
        </w:tc>
        <w:tc>
          <w:tcPr>
            <w:tcW w:w="889" w:type="dxa"/>
            <w:vAlign w:val="bottom"/>
          </w:tcPr>
          <w:p w14:paraId="2EC83B85" w14:textId="0C4354A4" w:rsidR="00B069EA" w:rsidRPr="00BB2DAC" w:rsidRDefault="00B069EA" w:rsidP="00820B71">
            <w:pPr>
              <w:jc w:val="center"/>
              <w:rPr>
                <w:rFonts w:cstheme="minorHAnsi"/>
              </w:rPr>
            </w:pPr>
            <w:r w:rsidRPr="00BB2DAC">
              <w:rPr>
                <w:rFonts w:cstheme="minorHAnsi"/>
              </w:rPr>
              <w:t>n.a.</w:t>
            </w:r>
          </w:p>
        </w:tc>
        <w:tc>
          <w:tcPr>
            <w:tcW w:w="333" w:type="dxa"/>
          </w:tcPr>
          <w:p w14:paraId="1B24A3A4" w14:textId="77777777" w:rsidR="00B069EA" w:rsidRPr="00BB2DAC" w:rsidRDefault="00B069EA" w:rsidP="00820B71">
            <w:pPr>
              <w:jc w:val="center"/>
              <w:rPr>
                <w:rFonts w:ascii="Calibri" w:hAnsi="Calibri" w:cs="Calibri"/>
              </w:rPr>
            </w:pPr>
          </w:p>
        </w:tc>
        <w:tc>
          <w:tcPr>
            <w:tcW w:w="0" w:type="auto"/>
            <w:vAlign w:val="bottom"/>
          </w:tcPr>
          <w:p w14:paraId="15EF525B" w14:textId="215A2AB2" w:rsidR="00B069EA" w:rsidRPr="00BB2DAC" w:rsidRDefault="00B069EA" w:rsidP="00820B71">
            <w:pPr>
              <w:jc w:val="center"/>
              <w:rPr>
                <w:rFonts w:cstheme="minorHAnsi"/>
              </w:rPr>
            </w:pPr>
            <w:r w:rsidRPr="00BB2DAC">
              <w:rPr>
                <w:rFonts w:ascii="Calibri" w:hAnsi="Calibri" w:cs="Calibri"/>
              </w:rPr>
              <w:t>18.8%</w:t>
            </w:r>
          </w:p>
        </w:tc>
        <w:tc>
          <w:tcPr>
            <w:tcW w:w="0" w:type="auto"/>
            <w:vAlign w:val="bottom"/>
          </w:tcPr>
          <w:p w14:paraId="19371D17" w14:textId="0E12CF41" w:rsidR="00B069EA" w:rsidRPr="00BB2DAC" w:rsidRDefault="00B069EA" w:rsidP="00820B71">
            <w:pPr>
              <w:jc w:val="center"/>
              <w:rPr>
                <w:rFonts w:cstheme="minorHAnsi"/>
              </w:rPr>
            </w:pPr>
            <w:r w:rsidRPr="00BB2DAC">
              <w:rPr>
                <w:rFonts w:cstheme="minorHAnsi"/>
              </w:rPr>
              <w:t>n.a.</w:t>
            </w:r>
          </w:p>
        </w:tc>
      </w:tr>
      <w:tr w:rsidR="00B069EA" w:rsidRPr="00BB2DAC" w14:paraId="0350F3E8" w14:textId="77777777" w:rsidTr="000E2333">
        <w:tc>
          <w:tcPr>
            <w:tcW w:w="0" w:type="auto"/>
          </w:tcPr>
          <w:p w14:paraId="77B23677" w14:textId="0575AE49" w:rsidR="00B069EA" w:rsidRPr="00BB2DAC" w:rsidRDefault="00B069EA" w:rsidP="00264368">
            <w:pPr>
              <w:rPr>
                <w:rFonts w:cstheme="minorHAnsi"/>
              </w:rPr>
            </w:pPr>
            <w:r w:rsidRPr="00BB2DAC">
              <w:rPr>
                <w:rFonts w:cstheme="minorHAnsi"/>
              </w:rPr>
              <w:t>cannot find or keep work due to the outbreak of COVID-19</w:t>
            </w:r>
          </w:p>
        </w:tc>
        <w:tc>
          <w:tcPr>
            <w:tcW w:w="0" w:type="auto"/>
            <w:vAlign w:val="bottom"/>
          </w:tcPr>
          <w:p w14:paraId="0F186A1A" w14:textId="3AFC3A29" w:rsidR="00B069EA" w:rsidRPr="00BB2DAC" w:rsidRDefault="00B069EA" w:rsidP="00820B71">
            <w:pPr>
              <w:jc w:val="center"/>
              <w:rPr>
                <w:rFonts w:cstheme="minorHAnsi"/>
              </w:rPr>
            </w:pPr>
            <w:r w:rsidRPr="00BB2DAC">
              <w:rPr>
                <w:rFonts w:cstheme="minorHAnsi"/>
              </w:rPr>
              <w:t>n.a.</w:t>
            </w:r>
          </w:p>
        </w:tc>
        <w:tc>
          <w:tcPr>
            <w:tcW w:w="889" w:type="dxa"/>
            <w:vAlign w:val="bottom"/>
          </w:tcPr>
          <w:p w14:paraId="6D24B711" w14:textId="30ABB1CB" w:rsidR="00B069EA" w:rsidRPr="00BB2DAC" w:rsidRDefault="00B069EA" w:rsidP="00820B71">
            <w:pPr>
              <w:jc w:val="center"/>
              <w:rPr>
                <w:rFonts w:cstheme="minorHAnsi"/>
              </w:rPr>
            </w:pPr>
            <w:r w:rsidRPr="00BB2DAC">
              <w:rPr>
                <w:rFonts w:ascii="Calibri" w:hAnsi="Calibri" w:cs="Calibri"/>
              </w:rPr>
              <w:t>6.4%</w:t>
            </w:r>
          </w:p>
        </w:tc>
        <w:tc>
          <w:tcPr>
            <w:tcW w:w="333" w:type="dxa"/>
          </w:tcPr>
          <w:p w14:paraId="4189FD78" w14:textId="77777777" w:rsidR="00B069EA" w:rsidRPr="00BB2DAC" w:rsidRDefault="00B069EA" w:rsidP="00820B71">
            <w:pPr>
              <w:jc w:val="center"/>
              <w:rPr>
                <w:rFonts w:cstheme="minorHAnsi"/>
              </w:rPr>
            </w:pPr>
          </w:p>
        </w:tc>
        <w:tc>
          <w:tcPr>
            <w:tcW w:w="0" w:type="auto"/>
            <w:vAlign w:val="bottom"/>
          </w:tcPr>
          <w:p w14:paraId="0AE07D07" w14:textId="1232CA5D" w:rsidR="00B069EA" w:rsidRPr="00BB2DAC" w:rsidRDefault="00B069EA" w:rsidP="00820B71">
            <w:pPr>
              <w:jc w:val="center"/>
              <w:rPr>
                <w:rFonts w:cstheme="minorHAnsi"/>
              </w:rPr>
            </w:pPr>
            <w:r w:rsidRPr="00BB2DAC">
              <w:rPr>
                <w:rFonts w:cstheme="minorHAnsi"/>
              </w:rPr>
              <w:t>n.a.</w:t>
            </w:r>
          </w:p>
        </w:tc>
        <w:tc>
          <w:tcPr>
            <w:tcW w:w="0" w:type="auto"/>
            <w:vAlign w:val="bottom"/>
          </w:tcPr>
          <w:p w14:paraId="61292A84" w14:textId="45D08699" w:rsidR="00B069EA" w:rsidRPr="00BB2DAC" w:rsidRDefault="00B069EA" w:rsidP="00820B71">
            <w:pPr>
              <w:jc w:val="center"/>
              <w:rPr>
                <w:rFonts w:cstheme="minorHAnsi"/>
              </w:rPr>
            </w:pPr>
            <w:r w:rsidRPr="00BB2DAC">
              <w:rPr>
                <w:rFonts w:ascii="Calibri" w:hAnsi="Calibri" w:cs="Calibri"/>
              </w:rPr>
              <w:t>10.0%</w:t>
            </w:r>
          </w:p>
        </w:tc>
      </w:tr>
    </w:tbl>
    <w:p w14:paraId="0EF2FAE9" w14:textId="4B3DC6B8" w:rsidR="004D71CC" w:rsidRPr="00BB2DAC" w:rsidRDefault="004D71CC" w:rsidP="003B7AEF">
      <w:pPr>
        <w:rPr>
          <w:rFonts w:cstheme="minorHAnsi"/>
        </w:rPr>
      </w:pPr>
    </w:p>
    <w:tbl>
      <w:tblPr>
        <w:tblStyle w:val="TableGrid"/>
        <w:tblW w:w="0" w:type="auto"/>
        <w:tblLook w:val="04A0" w:firstRow="1" w:lastRow="0" w:firstColumn="1" w:lastColumn="0" w:noHBand="0" w:noVBand="1"/>
      </w:tblPr>
      <w:tblGrid>
        <w:gridCol w:w="4059"/>
        <w:gridCol w:w="1691"/>
        <w:gridCol w:w="764"/>
        <w:gridCol w:w="222"/>
        <w:gridCol w:w="1516"/>
        <w:gridCol w:w="764"/>
      </w:tblGrid>
      <w:tr w:rsidR="00B069EA" w:rsidRPr="00BB2DAC" w14:paraId="73F87827" w14:textId="77777777" w:rsidTr="00B069EA">
        <w:tc>
          <w:tcPr>
            <w:tcW w:w="0" w:type="auto"/>
          </w:tcPr>
          <w:p w14:paraId="44011092" w14:textId="4FE6EDAF" w:rsidR="00B069EA" w:rsidRPr="00BB2DAC" w:rsidRDefault="00B069EA" w:rsidP="00DD3E7A">
            <w:pPr>
              <w:rPr>
                <w:rFonts w:cstheme="minorHAnsi"/>
                <w:b/>
                <w:bCs/>
              </w:rPr>
            </w:pPr>
            <w:r w:rsidRPr="00D2399A">
              <w:rPr>
                <w:rFonts w:cstheme="minorHAnsi"/>
                <w:b/>
                <w:bCs/>
                <w:i/>
                <w:iCs/>
              </w:rPr>
              <w:t xml:space="preserve">Proportion of </w:t>
            </w:r>
            <w:r w:rsidR="00B17FA1">
              <w:rPr>
                <w:rFonts w:cstheme="minorHAnsi"/>
                <w:b/>
                <w:bCs/>
                <w:i/>
                <w:iCs/>
              </w:rPr>
              <w:t>respondents</w:t>
            </w:r>
            <w:r w:rsidRPr="00D2399A">
              <w:rPr>
                <w:rFonts w:cstheme="minorHAnsi"/>
                <w:b/>
                <w:bCs/>
                <w:i/>
                <w:iCs/>
              </w:rPr>
              <w:t xml:space="preserve"> who were </w:t>
            </w:r>
            <w:r>
              <w:rPr>
                <w:rFonts w:cstheme="minorHAnsi"/>
                <w:b/>
                <w:bCs/>
                <w:i/>
                <w:iCs/>
              </w:rPr>
              <w:t>n</w:t>
            </w:r>
            <w:r w:rsidRPr="00BB2DAC">
              <w:rPr>
                <w:rFonts w:cstheme="minorHAnsi"/>
                <w:b/>
                <w:bCs/>
              </w:rPr>
              <w:t>ow studying because…</w:t>
            </w:r>
          </w:p>
        </w:tc>
        <w:tc>
          <w:tcPr>
            <w:tcW w:w="0" w:type="auto"/>
          </w:tcPr>
          <w:p w14:paraId="77E58182" w14:textId="2D26E3E5" w:rsidR="00B069EA" w:rsidRPr="00B069EA" w:rsidRDefault="00B069EA" w:rsidP="00820B71">
            <w:pPr>
              <w:jc w:val="center"/>
              <w:rPr>
                <w:rFonts w:cstheme="minorHAnsi"/>
                <w:b/>
                <w:bCs/>
              </w:rPr>
            </w:pPr>
            <w:r w:rsidRPr="00B069EA">
              <w:rPr>
                <w:rFonts w:cstheme="minorHAnsi"/>
                <w:b/>
                <w:bCs/>
              </w:rPr>
              <w:t>Year 12 completers</w:t>
            </w:r>
          </w:p>
        </w:tc>
        <w:tc>
          <w:tcPr>
            <w:tcW w:w="0" w:type="auto"/>
          </w:tcPr>
          <w:p w14:paraId="3AA65B94" w14:textId="77777777" w:rsidR="00B069EA" w:rsidRPr="00B069EA" w:rsidRDefault="00B069EA" w:rsidP="00820B71">
            <w:pPr>
              <w:jc w:val="center"/>
              <w:rPr>
                <w:rFonts w:cstheme="minorHAnsi"/>
                <w:b/>
                <w:bCs/>
              </w:rPr>
            </w:pPr>
          </w:p>
        </w:tc>
        <w:tc>
          <w:tcPr>
            <w:tcW w:w="0" w:type="auto"/>
          </w:tcPr>
          <w:p w14:paraId="1F16DA73" w14:textId="77777777" w:rsidR="00B069EA" w:rsidRPr="00B069EA" w:rsidRDefault="00B069EA" w:rsidP="00820B71">
            <w:pPr>
              <w:jc w:val="center"/>
              <w:rPr>
                <w:rFonts w:cstheme="minorHAnsi"/>
                <w:b/>
                <w:bCs/>
              </w:rPr>
            </w:pPr>
          </w:p>
        </w:tc>
        <w:tc>
          <w:tcPr>
            <w:tcW w:w="0" w:type="auto"/>
          </w:tcPr>
          <w:p w14:paraId="1B140047" w14:textId="042BCAFC" w:rsidR="00B069EA" w:rsidRPr="00B069EA" w:rsidRDefault="00B069EA" w:rsidP="00820B71">
            <w:pPr>
              <w:jc w:val="center"/>
              <w:rPr>
                <w:rFonts w:cstheme="minorHAnsi"/>
                <w:b/>
                <w:bCs/>
              </w:rPr>
            </w:pPr>
            <w:r w:rsidRPr="00B069EA">
              <w:rPr>
                <w:rFonts w:cstheme="minorHAnsi"/>
                <w:b/>
                <w:bCs/>
              </w:rPr>
              <w:t>Non-completers</w:t>
            </w:r>
          </w:p>
        </w:tc>
        <w:tc>
          <w:tcPr>
            <w:tcW w:w="0" w:type="auto"/>
          </w:tcPr>
          <w:p w14:paraId="695B7084" w14:textId="77777777" w:rsidR="00B069EA" w:rsidRPr="00B069EA" w:rsidRDefault="00B069EA" w:rsidP="00820B71">
            <w:pPr>
              <w:jc w:val="center"/>
              <w:rPr>
                <w:rFonts w:cstheme="minorHAnsi"/>
                <w:b/>
                <w:bCs/>
              </w:rPr>
            </w:pPr>
          </w:p>
        </w:tc>
      </w:tr>
      <w:tr w:rsidR="00B069EA" w:rsidRPr="00BB2DAC" w14:paraId="50C91E82" w14:textId="77777777" w:rsidTr="00B069EA">
        <w:tc>
          <w:tcPr>
            <w:tcW w:w="0" w:type="auto"/>
          </w:tcPr>
          <w:p w14:paraId="51A8DE25" w14:textId="77777777" w:rsidR="00B069EA" w:rsidRPr="00BB2DAC" w:rsidRDefault="00B069EA" w:rsidP="00DD3E7A">
            <w:pPr>
              <w:rPr>
                <w:rFonts w:cstheme="minorHAnsi"/>
                <w:b/>
                <w:bCs/>
              </w:rPr>
            </w:pPr>
          </w:p>
        </w:tc>
        <w:tc>
          <w:tcPr>
            <w:tcW w:w="0" w:type="auto"/>
          </w:tcPr>
          <w:p w14:paraId="565F018A" w14:textId="7FB7F556" w:rsidR="00B069EA" w:rsidRPr="00B069EA" w:rsidRDefault="00B069EA" w:rsidP="00820B71">
            <w:pPr>
              <w:jc w:val="center"/>
              <w:rPr>
                <w:rFonts w:cstheme="minorHAnsi"/>
                <w:b/>
                <w:bCs/>
              </w:rPr>
            </w:pPr>
            <w:r w:rsidRPr="00B069EA">
              <w:rPr>
                <w:rFonts w:cstheme="minorHAnsi"/>
                <w:b/>
                <w:bCs/>
              </w:rPr>
              <w:t>2020</w:t>
            </w:r>
          </w:p>
        </w:tc>
        <w:tc>
          <w:tcPr>
            <w:tcW w:w="0" w:type="auto"/>
          </w:tcPr>
          <w:p w14:paraId="15CAEBA5" w14:textId="4F4BE066" w:rsidR="00B069EA" w:rsidRPr="00B069EA" w:rsidRDefault="00B069EA" w:rsidP="00820B71">
            <w:pPr>
              <w:jc w:val="center"/>
              <w:rPr>
                <w:rFonts w:cstheme="minorHAnsi"/>
                <w:b/>
                <w:bCs/>
              </w:rPr>
            </w:pPr>
            <w:r w:rsidRPr="00B069EA">
              <w:rPr>
                <w:rFonts w:cstheme="minorHAnsi"/>
                <w:b/>
                <w:bCs/>
              </w:rPr>
              <w:t>2021</w:t>
            </w:r>
          </w:p>
        </w:tc>
        <w:tc>
          <w:tcPr>
            <w:tcW w:w="0" w:type="auto"/>
          </w:tcPr>
          <w:p w14:paraId="16DEE423" w14:textId="77777777" w:rsidR="00B069EA" w:rsidRPr="00B069EA" w:rsidRDefault="00B069EA" w:rsidP="00820B71">
            <w:pPr>
              <w:jc w:val="center"/>
              <w:rPr>
                <w:rFonts w:cstheme="minorHAnsi"/>
                <w:b/>
                <w:bCs/>
              </w:rPr>
            </w:pPr>
          </w:p>
        </w:tc>
        <w:tc>
          <w:tcPr>
            <w:tcW w:w="0" w:type="auto"/>
          </w:tcPr>
          <w:p w14:paraId="24BECA9F" w14:textId="6270A7B6" w:rsidR="00B069EA" w:rsidRPr="00B069EA" w:rsidRDefault="00B069EA" w:rsidP="00820B71">
            <w:pPr>
              <w:jc w:val="center"/>
              <w:rPr>
                <w:rFonts w:cstheme="minorHAnsi"/>
                <w:b/>
                <w:bCs/>
              </w:rPr>
            </w:pPr>
            <w:r w:rsidRPr="00B069EA">
              <w:rPr>
                <w:rFonts w:cstheme="minorHAnsi"/>
                <w:b/>
                <w:bCs/>
              </w:rPr>
              <w:t>2020</w:t>
            </w:r>
          </w:p>
        </w:tc>
        <w:tc>
          <w:tcPr>
            <w:tcW w:w="0" w:type="auto"/>
          </w:tcPr>
          <w:p w14:paraId="466FF9A6" w14:textId="08499E29" w:rsidR="00B069EA" w:rsidRPr="00B069EA" w:rsidRDefault="00B069EA" w:rsidP="00820B71">
            <w:pPr>
              <w:jc w:val="center"/>
              <w:rPr>
                <w:rFonts w:cstheme="minorHAnsi"/>
                <w:b/>
                <w:bCs/>
              </w:rPr>
            </w:pPr>
            <w:r w:rsidRPr="00B069EA">
              <w:rPr>
                <w:rFonts w:cstheme="minorHAnsi"/>
                <w:b/>
                <w:bCs/>
              </w:rPr>
              <w:t>2021</w:t>
            </w:r>
          </w:p>
        </w:tc>
      </w:tr>
      <w:tr w:rsidR="00B069EA" w:rsidRPr="00BB2DAC" w14:paraId="073E521C" w14:textId="77777777" w:rsidTr="00B069EA">
        <w:tc>
          <w:tcPr>
            <w:tcW w:w="0" w:type="auto"/>
          </w:tcPr>
          <w:p w14:paraId="4AAE10E4" w14:textId="24FB4069" w:rsidR="00B069EA" w:rsidRPr="00BB2DAC" w:rsidRDefault="00B069EA" w:rsidP="00DD3E7A">
            <w:pPr>
              <w:rPr>
                <w:rFonts w:cstheme="minorHAnsi"/>
              </w:rPr>
            </w:pPr>
          </w:p>
        </w:tc>
        <w:tc>
          <w:tcPr>
            <w:tcW w:w="0" w:type="auto"/>
            <w:vAlign w:val="bottom"/>
          </w:tcPr>
          <w:p w14:paraId="12CADD5D" w14:textId="77777777" w:rsidR="00B069EA" w:rsidRPr="00BB2DAC" w:rsidRDefault="00B069EA" w:rsidP="00820B71">
            <w:pPr>
              <w:jc w:val="center"/>
              <w:rPr>
                <w:rFonts w:cstheme="minorHAnsi"/>
              </w:rPr>
            </w:pPr>
          </w:p>
        </w:tc>
        <w:tc>
          <w:tcPr>
            <w:tcW w:w="0" w:type="auto"/>
            <w:vAlign w:val="bottom"/>
          </w:tcPr>
          <w:p w14:paraId="0B9AE6CB" w14:textId="77777777" w:rsidR="00B069EA" w:rsidRPr="00BB2DAC" w:rsidRDefault="00B069EA" w:rsidP="00820B71">
            <w:pPr>
              <w:jc w:val="center"/>
              <w:rPr>
                <w:rFonts w:cstheme="minorHAnsi"/>
              </w:rPr>
            </w:pPr>
          </w:p>
        </w:tc>
        <w:tc>
          <w:tcPr>
            <w:tcW w:w="0" w:type="auto"/>
          </w:tcPr>
          <w:p w14:paraId="741E1F91" w14:textId="77777777" w:rsidR="00B069EA" w:rsidRPr="00BB2DAC" w:rsidRDefault="00B069EA" w:rsidP="00820B71">
            <w:pPr>
              <w:jc w:val="center"/>
              <w:rPr>
                <w:rFonts w:cstheme="minorHAnsi"/>
              </w:rPr>
            </w:pPr>
          </w:p>
        </w:tc>
        <w:tc>
          <w:tcPr>
            <w:tcW w:w="0" w:type="auto"/>
            <w:vAlign w:val="bottom"/>
          </w:tcPr>
          <w:p w14:paraId="5094C174" w14:textId="6F2EDE96" w:rsidR="00B069EA" w:rsidRPr="00BB2DAC" w:rsidRDefault="00B069EA" w:rsidP="00820B71">
            <w:pPr>
              <w:jc w:val="center"/>
              <w:rPr>
                <w:rFonts w:cstheme="minorHAnsi"/>
              </w:rPr>
            </w:pPr>
          </w:p>
        </w:tc>
        <w:tc>
          <w:tcPr>
            <w:tcW w:w="0" w:type="auto"/>
            <w:vAlign w:val="bottom"/>
          </w:tcPr>
          <w:p w14:paraId="75CE5275" w14:textId="77777777" w:rsidR="00B069EA" w:rsidRPr="00BB2DAC" w:rsidRDefault="00B069EA" w:rsidP="00820B71">
            <w:pPr>
              <w:jc w:val="center"/>
              <w:rPr>
                <w:rFonts w:cstheme="minorHAnsi"/>
              </w:rPr>
            </w:pPr>
          </w:p>
        </w:tc>
      </w:tr>
      <w:tr w:rsidR="00B069EA" w:rsidRPr="00BB2DAC" w14:paraId="2E7E0E00" w14:textId="77777777" w:rsidTr="00B069EA">
        <w:tc>
          <w:tcPr>
            <w:tcW w:w="0" w:type="auto"/>
          </w:tcPr>
          <w:p w14:paraId="7CE0BC88" w14:textId="33EE127B" w:rsidR="00B069EA" w:rsidRPr="00BB2DAC" w:rsidRDefault="00B069EA" w:rsidP="00DD3E7A">
            <w:pPr>
              <w:rPr>
                <w:rFonts w:cstheme="minorHAnsi"/>
              </w:rPr>
            </w:pPr>
            <w:r w:rsidRPr="00BB2DAC">
              <w:rPr>
                <w:rFonts w:cstheme="minorHAnsi"/>
              </w:rPr>
              <w:t>cannot find or keep work due to the outbreak of COVID-19</w:t>
            </w:r>
          </w:p>
        </w:tc>
        <w:tc>
          <w:tcPr>
            <w:tcW w:w="0" w:type="auto"/>
            <w:vAlign w:val="bottom"/>
          </w:tcPr>
          <w:p w14:paraId="54ADAEBB" w14:textId="77777777" w:rsidR="00B069EA" w:rsidRPr="00BB2DAC" w:rsidRDefault="00B069EA" w:rsidP="00820B71">
            <w:pPr>
              <w:jc w:val="center"/>
              <w:rPr>
                <w:rFonts w:cstheme="minorHAnsi"/>
              </w:rPr>
            </w:pPr>
          </w:p>
        </w:tc>
        <w:tc>
          <w:tcPr>
            <w:tcW w:w="0" w:type="auto"/>
            <w:vAlign w:val="bottom"/>
          </w:tcPr>
          <w:p w14:paraId="2615298E" w14:textId="4F47CFC0" w:rsidR="00B069EA" w:rsidRPr="00BB2DAC" w:rsidRDefault="00B069EA" w:rsidP="00820B71">
            <w:pPr>
              <w:jc w:val="center"/>
              <w:rPr>
                <w:rFonts w:cstheme="minorHAnsi"/>
              </w:rPr>
            </w:pPr>
            <w:r w:rsidRPr="00BB2DAC">
              <w:rPr>
                <w:rFonts w:ascii="Calibri" w:hAnsi="Calibri" w:cs="Calibri"/>
              </w:rPr>
              <w:t>6.4%</w:t>
            </w:r>
          </w:p>
        </w:tc>
        <w:tc>
          <w:tcPr>
            <w:tcW w:w="0" w:type="auto"/>
          </w:tcPr>
          <w:p w14:paraId="362E6960" w14:textId="77777777" w:rsidR="00B069EA" w:rsidRPr="00BB2DAC" w:rsidRDefault="00B069EA" w:rsidP="00820B71">
            <w:pPr>
              <w:jc w:val="center"/>
              <w:rPr>
                <w:rFonts w:cstheme="minorHAnsi"/>
              </w:rPr>
            </w:pPr>
          </w:p>
        </w:tc>
        <w:tc>
          <w:tcPr>
            <w:tcW w:w="0" w:type="auto"/>
            <w:vAlign w:val="bottom"/>
          </w:tcPr>
          <w:p w14:paraId="14E7FC76" w14:textId="3D8F1BE8" w:rsidR="00B069EA" w:rsidRPr="00BB2DAC" w:rsidRDefault="00B069EA" w:rsidP="00820B71">
            <w:pPr>
              <w:jc w:val="center"/>
              <w:rPr>
                <w:rFonts w:cstheme="minorHAnsi"/>
              </w:rPr>
            </w:pPr>
          </w:p>
        </w:tc>
        <w:tc>
          <w:tcPr>
            <w:tcW w:w="0" w:type="auto"/>
            <w:vAlign w:val="bottom"/>
          </w:tcPr>
          <w:p w14:paraId="22CD0679" w14:textId="10F9D524" w:rsidR="00B069EA" w:rsidRPr="00BB2DAC" w:rsidRDefault="00B069EA" w:rsidP="00820B71">
            <w:pPr>
              <w:jc w:val="center"/>
              <w:rPr>
                <w:rFonts w:cstheme="minorHAnsi"/>
              </w:rPr>
            </w:pPr>
            <w:r w:rsidRPr="00BB2DAC">
              <w:rPr>
                <w:rFonts w:ascii="Calibri" w:hAnsi="Calibri" w:cs="Calibri"/>
              </w:rPr>
              <w:t>10.0%</w:t>
            </w:r>
          </w:p>
        </w:tc>
      </w:tr>
      <w:tr w:rsidR="00B069EA" w:rsidRPr="00BB2DAC" w14:paraId="200463F1" w14:textId="77777777" w:rsidTr="00B069EA">
        <w:tc>
          <w:tcPr>
            <w:tcW w:w="0" w:type="auto"/>
          </w:tcPr>
          <w:p w14:paraId="34EBD8C3" w14:textId="5B727821" w:rsidR="00B069EA" w:rsidRPr="00BB2DAC" w:rsidRDefault="00B069EA" w:rsidP="00DD3E7A">
            <w:pPr>
              <w:rPr>
                <w:rFonts w:cstheme="minorHAnsi"/>
              </w:rPr>
            </w:pPr>
            <w:r w:rsidRPr="00BB2DAC">
              <w:rPr>
                <w:rFonts w:cstheme="minorHAnsi"/>
              </w:rPr>
              <w:t>goals have changed as a result of COVID-19</w:t>
            </w:r>
          </w:p>
        </w:tc>
        <w:tc>
          <w:tcPr>
            <w:tcW w:w="0" w:type="auto"/>
            <w:vAlign w:val="bottom"/>
          </w:tcPr>
          <w:p w14:paraId="56E7849C" w14:textId="517770B7" w:rsidR="00B069EA" w:rsidRPr="00BB2DAC" w:rsidRDefault="00B069EA" w:rsidP="00820B71">
            <w:pPr>
              <w:jc w:val="center"/>
              <w:rPr>
                <w:rFonts w:cstheme="minorHAnsi"/>
              </w:rPr>
            </w:pPr>
            <w:r w:rsidRPr="00BB2DAC">
              <w:rPr>
                <w:rFonts w:cstheme="minorHAnsi"/>
              </w:rPr>
              <w:t>n.a.</w:t>
            </w:r>
          </w:p>
        </w:tc>
        <w:tc>
          <w:tcPr>
            <w:tcW w:w="0" w:type="auto"/>
            <w:vAlign w:val="bottom"/>
          </w:tcPr>
          <w:p w14:paraId="0AD7315D" w14:textId="6E2BF771" w:rsidR="00B069EA" w:rsidRPr="00BB2DAC" w:rsidRDefault="00B069EA" w:rsidP="00820B71">
            <w:pPr>
              <w:jc w:val="center"/>
              <w:rPr>
                <w:rFonts w:cstheme="minorHAnsi"/>
              </w:rPr>
            </w:pPr>
            <w:r w:rsidRPr="00BB2DAC">
              <w:rPr>
                <w:rFonts w:ascii="Calibri" w:hAnsi="Calibri" w:cs="Calibri"/>
              </w:rPr>
              <w:t>16.8%</w:t>
            </w:r>
          </w:p>
        </w:tc>
        <w:tc>
          <w:tcPr>
            <w:tcW w:w="0" w:type="auto"/>
          </w:tcPr>
          <w:p w14:paraId="5A18CD8E" w14:textId="77777777" w:rsidR="00B069EA" w:rsidRPr="00BB2DAC" w:rsidRDefault="00B069EA" w:rsidP="00820B71">
            <w:pPr>
              <w:jc w:val="center"/>
              <w:rPr>
                <w:rFonts w:cstheme="minorHAnsi"/>
              </w:rPr>
            </w:pPr>
          </w:p>
        </w:tc>
        <w:tc>
          <w:tcPr>
            <w:tcW w:w="0" w:type="auto"/>
            <w:vAlign w:val="bottom"/>
          </w:tcPr>
          <w:p w14:paraId="7C8D6458" w14:textId="69FAEB11" w:rsidR="00B069EA" w:rsidRPr="00BB2DAC" w:rsidRDefault="00B069EA" w:rsidP="00820B71">
            <w:pPr>
              <w:jc w:val="center"/>
              <w:rPr>
                <w:rFonts w:cstheme="minorHAnsi"/>
              </w:rPr>
            </w:pPr>
            <w:r w:rsidRPr="00BB2DAC">
              <w:rPr>
                <w:rFonts w:cstheme="minorHAnsi"/>
              </w:rPr>
              <w:t>n.a.</w:t>
            </w:r>
          </w:p>
        </w:tc>
        <w:tc>
          <w:tcPr>
            <w:tcW w:w="0" w:type="auto"/>
            <w:vAlign w:val="bottom"/>
          </w:tcPr>
          <w:p w14:paraId="574F8093" w14:textId="2281B1B2" w:rsidR="00B069EA" w:rsidRPr="00BB2DAC" w:rsidRDefault="00B069EA" w:rsidP="00820B71">
            <w:pPr>
              <w:jc w:val="center"/>
              <w:rPr>
                <w:rFonts w:cstheme="minorHAnsi"/>
              </w:rPr>
            </w:pPr>
            <w:r w:rsidRPr="00BB2DAC">
              <w:rPr>
                <w:rFonts w:ascii="Calibri" w:hAnsi="Calibri" w:cs="Calibri"/>
              </w:rPr>
              <w:t>19.1%</w:t>
            </w:r>
          </w:p>
        </w:tc>
      </w:tr>
      <w:tr w:rsidR="00B069EA" w:rsidRPr="00BB2DAC" w14:paraId="1763ECDD" w14:textId="77777777" w:rsidTr="00B069EA">
        <w:tc>
          <w:tcPr>
            <w:tcW w:w="0" w:type="auto"/>
          </w:tcPr>
          <w:p w14:paraId="637AD48A" w14:textId="648AAE1D" w:rsidR="00B069EA" w:rsidRPr="00BB2DAC" w:rsidRDefault="00B069EA" w:rsidP="00DD3E7A">
            <w:pPr>
              <w:rPr>
                <w:rFonts w:cstheme="minorHAnsi"/>
              </w:rPr>
            </w:pPr>
            <w:r w:rsidRPr="00BB2DAC">
              <w:rPr>
                <w:rFonts w:cstheme="minorHAnsi"/>
              </w:rPr>
              <w:t>online study is more accessible</w:t>
            </w:r>
          </w:p>
        </w:tc>
        <w:tc>
          <w:tcPr>
            <w:tcW w:w="0" w:type="auto"/>
            <w:vAlign w:val="bottom"/>
          </w:tcPr>
          <w:p w14:paraId="7A38909D" w14:textId="37466E12" w:rsidR="00B069EA" w:rsidRPr="00BB2DAC" w:rsidRDefault="00B069EA" w:rsidP="00820B71">
            <w:pPr>
              <w:jc w:val="center"/>
              <w:rPr>
                <w:rFonts w:cstheme="minorHAnsi"/>
              </w:rPr>
            </w:pPr>
            <w:r w:rsidRPr="00BB2DAC">
              <w:rPr>
                <w:rFonts w:cstheme="minorHAnsi"/>
              </w:rPr>
              <w:t>n.a.</w:t>
            </w:r>
          </w:p>
        </w:tc>
        <w:tc>
          <w:tcPr>
            <w:tcW w:w="0" w:type="auto"/>
            <w:vAlign w:val="bottom"/>
          </w:tcPr>
          <w:p w14:paraId="6710D91C" w14:textId="23F972B8" w:rsidR="00B069EA" w:rsidRPr="00BB2DAC" w:rsidRDefault="00B069EA" w:rsidP="00820B71">
            <w:pPr>
              <w:jc w:val="center"/>
              <w:rPr>
                <w:rFonts w:cstheme="minorHAnsi"/>
              </w:rPr>
            </w:pPr>
            <w:r w:rsidRPr="00BB2DAC">
              <w:rPr>
                <w:rFonts w:ascii="Calibri" w:hAnsi="Calibri" w:cs="Calibri"/>
              </w:rPr>
              <w:t>15.4%</w:t>
            </w:r>
          </w:p>
        </w:tc>
        <w:tc>
          <w:tcPr>
            <w:tcW w:w="0" w:type="auto"/>
          </w:tcPr>
          <w:p w14:paraId="1BF1AB08" w14:textId="77777777" w:rsidR="00B069EA" w:rsidRPr="00BB2DAC" w:rsidRDefault="00B069EA" w:rsidP="00820B71">
            <w:pPr>
              <w:jc w:val="center"/>
              <w:rPr>
                <w:rFonts w:cstheme="minorHAnsi"/>
              </w:rPr>
            </w:pPr>
          </w:p>
        </w:tc>
        <w:tc>
          <w:tcPr>
            <w:tcW w:w="0" w:type="auto"/>
            <w:vAlign w:val="bottom"/>
          </w:tcPr>
          <w:p w14:paraId="0C65ED9A" w14:textId="7CDBEBCA" w:rsidR="00B069EA" w:rsidRPr="00BB2DAC" w:rsidRDefault="00B069EA" w:rsidP="00820B71">
            <w:pPr>
              <w:jc w:val="center"/>
              <w:rPr>
                <w:rFonts w:cstheme="minorHAnsi"/>
              </w:rPr>
            </w:pPr>
            <w:r w:rsidRPr="00BB2DAC">
              <w:rPr>
                <w:rFonts w:cstheme="minorHAnsi"/>
              </w:rPr>
              <w:t>n.a.</w:t>
            </w:r>
          </w:p>
        </w:tc>
        <w:tc>
          <w:tcPr>
            <w:tcW w:w="0" w:type="auto"/>
            <w:vAlign w:val="bottom"/>
          </w:tcPr>
          <w:p w14:paraId="3D58EC09" w14:textId="6DE014E2" w:rsidR="00B069EA" w:rsidRPr="00BB2DAC" w:rsidRDefault="00B069EA" w:rsidP="00820B71">
            <w:pPr>
              <w:jc w:val="center"/>
              <w:rPr>
                <w:rFonts w:cstheme="minorHAnsi"/>
              </w:rPr>
            </w:pPr>
            <w:r w:rsidRPr="00BB2DAC">
              <w:rPr>
                <w:rFonts w:ascii="Calibri" w:hAnsi="Calibri" w:cs="Calibri"/>
              </w:rPr>
              <w:t>18.1%</w:t>
            </w:r>
          </w:p>
        </w:tc>
      </w:tr>
    </w:tbl>
    <w:p w14:paraId="1BFD6074" w14:textId="626A1349" w:rsidR="004D71CC" w:rsidRPr="00BB2DAC" w:rsidRDefault="004D71CC" w:rsidP="003B7AEF">
      <w:pPr>
        <w:rPr>
          <w:rFonts w:cstheme="minorHAnsi"/>
        </w:rPr>
      </w:pPr>
    </w:p>
    <w:p w14:paraId="39F01A3A" w14:textId="1732138C" w:rsidR="00D2399A" w:rsidRPr="00B069EA" w:rsidRDefault="00D2399A" w:rsidP="00D2399A">
      <w:pPr>
        <w:rPr>
          <w:rFonts w:cstheme="minorHAnsi"/>
          <w:b/>
          <w:bCs/>
          <w:i/>
          <w:iCs/>
          <w:noProof/>
          <w:sz w:val="24"/>
          <w:szCs w:val="24"/>
          <w:lang w:eastAsia="en-AU"/>
        </w:rPr>
      </w:pPr>
      <w:r w:rsidRPr="00B069EA">
        <w:rPr>
          <w:rFonts w:cstheme="minorHAnsi"/>
          <w:b/>
          <w:bCs/>
          <w:i/>
          <w:iCs/>
          <w:noProof/>
          <w:sz w:val="24"/>
          <w:szCs w:val="24"/>
          <w:lang w:eastAsia="en-AU"/>
        </w:rPr>
        <w:t>Reason</w:t>
      </w:r>
      <w:r w:rsidR="00B069EA" w:rsidRPr="00B069EA">
        <w:rPr>
          <w:rFonts w:cstheme="minorHAnsi"/>
          <w:b/>
          <w:bCs/>
          <w:i/>
          <w:iCs/>
          <w:noProof/>
          <w:sz w:val="24"/>
          <w:szCs w:val="24"/>
          <w:lang w:eastAsia="en-AU"/>
        </w:rPr>
        <w:t>s for</w:t>
      </w:r>
      <w:r w:rsidRPr="00B069EA">
        <w:rPr>
          <w:rFonts w:cstheme="minorHAnsi"/>
          <w:b/>
          <w:bCs/>
          <w:i/>
          <w:iCs/>
          <w:noProof/>
          <w:sz w:val="24"/>
          <w:szCs w:val="24"/>
          <w:lang w:eastAsia="en-AU"/>
        </w:rPr>
        <w:t xml:space="preserve"> </w:t>
      </w:r>
      <w:r w:rsidR="00B069EA" w:rsidRPr="00B069EA">
        <w:rPr>
          <w:rFonts w:cstheme="minorHAnsi"/>
          <w:b/>
          <w:bCs/>
          <w:i/>
          <w:iCs/>
          <w:noProof/>
          <w:sz w:val="24"/>
          <w:szCs w:val="24"/>
          <w:lang w:eastAsia="en-AU"/>
        </w:rPr>
        <w:t>d</w:t>
      </w:r>
      <w:r w:rsidRPr="00B069EA">
        <w:rPr>
          <w:rFonts w:cstheme="minorHAnsi"/>
          <w:b/>
          <w:bCs/>
          <w:i/>
          <w:iCs/>
          <w:noProof/>
          <w:sz w:val="24"/>
          <w:szCs w:val="24"/>
          <w:lang w:eastAsia="en-AU"/>
        </w:rPr>
        <w:t xml:space="preserve">eferred </w:t>
      </w:r>
      <w:r w:rsidR="00B069EA" w:rsidRPr="00B069EA">
        <w:rPr>
          <w:rFonts w:cstheme="minorHAnsi"/>
          <w:b/>
          <w:bCs/>
          <w:i/>
          <w:iCs/>
          <w:noProof/>
          <w:sz w:val="24"/>
          <w:szCs w:val="24"/>
          <w:lang w:eastAsia="en-AU"/>
        </w:rPr>
        <w:t>s</w:t>
      </w:r>
      <w:r w:rsidRPr="00B069EA">
        <w:rPr>
          <w:rFonts w:cstheme="minorHAnsi"/>
          <w:b/>
          <w:bCs/>
          <w:i/>
          <w:iCs/>
          <w:noProof/>
          <w:sz w:val="24"/>
          <w:szCs w:val="24"/>
          <w:lang w:eastAsia="en-AU"/>
        </w:rPr>
        <w:t>tudy</w:t>
      </w:r>
    </w:p>
    <w:p w14:paraId="55FCE4FB" w14:textId="5A36050D" w:rsidR="00CD769D" w:rsidRDefault="00CD769D" w:rsidP="00CD769D">
      <w:pPr>
        <w:rPr>
          <w:rFonts w:cstheme="minorHAnsi"/>
        </w:rPr>
      </w:pPr>
      <w:r>
        <w:rPr>
          <w:rFonts w:cstheme="minorHAnsi"/>
        </w:rPr>
        <w:t>Among</w:t>
      </w:r>
      <w:r w:rsidDel="00B17FA1">
        <w:rPr>
          <w:rFonts w:cstheme="minorHAnsi"/>
        </w:rPr>
        <w:t xml:space="preserve"> </w:t>
      </w:r>
      <w:r w:rsidR="00B17FA1">
        <w:rPr>
          <w:rFonts w:cstheme="minorHAnsi"/>
        </w:rPr>
        <w:t>Year 12 completers</w:t>
      </w:r>
      <w:r>
        <w:rPr>
          <w:rFonts w:cstheme="minorHAnsi"/>
        </w:rPr>
        <w:t xml:space="preserve"> who deferred, the proportion doing so for COVID related reasons decreased </w:t>
      </w:r>
      <w:r w:rsidR="00AC5208">
        <w:rPr>
          <w:rFonts w:cstheme="minorHAnsi"/>
        </w:rPr>
        <w:t>by</w:t>
      </w:r>
      <w:r>
        <w:rPr>
          <w:rFonts w:cstheme="minorHAnsi"/>
        </w:rPr>
        <w:t xml:space="preserve"> a third, from 36</w:t>
      </w:r>
      <w:r w:rsidR="008F5E55">
        <w:rPr>
          <w:rFonts w:cstheme="minorHAnsi"/>
        </w:rPr>
        <w:t>.2</w:t>
      </w:r>
      <w:r>
        <w:rPr>
          <w:rFonts w:cstheme="minorHAnsi"/>
        </w:rPr>
        <w:t xml:space="preserve"> per cent in </w:t>
      </w:r>
      <w:r w:rsidR="00430D0A">
        <w:rPr>
          <w:rFonts w:cstheme="minorHAnsi"/>
        </w:rPr>
        <w:t xml:space="preserve">the </w:t>
      </w:r>
      <w:r>
        <w:rPr>
          <w:rFonts w:cstheme="minorHAnsi"/>
        </w:rPr>
        <w:t xml:space="preserve">2020 </w:t>
      </w:r>
      <w:r w:rsidR="00430D0A">
        <w:rPr>
          <w:rFonts w:cstheme="minorHAnsi"/>
        </w:rPr>
        <w:t xml:space="preserve">survey </w:t>
      </w:r>
      <w:r>
        <w:rPr>
          <w:rFonts w:cstheme="minorHAnsi"/>
        </w:rPr>
        <w:t>to 12</w:t>
      </w:r>
      <w:r w:rsidR="008F5E55">
        <w:rPr>
          <w:rFonts w:cstheme="minorHAnsi"/>
        </w:rPr>
        <w:t>.3</w:t>
      </w:r>
      <w:r>
        <w:rPr>
          <w:rFonts w:cstheme="minorHAnsi"/>
        </w:rPr>
        <w:t xml:space="preserve"> per cent in </w:t>
      </w:r>
      <w:r w:rsidR="00430D0A">
        <w:rPr>
          <w:rFonts w:cstheme="minorHAnsi"/>
        </w:rPr>
        <w:t xml:space="preserve">the </w:t>
      </w:r>
      <w:r>
        <w:rPr>
          <w:rFonts w:cstheme="minorHAnsi"/>
        </w:rPr>
        <w:t>2021</w:t>
      </w:r>
      <w:r w:rsidR="00430D0A">
        <w:rPr>
          <w:rFonts w:cstheme="minorHAnsi"/>
        </w:rPr>
        <w:t xml:space="preserve"> survey</w:t>
      </w:r>
      <w:r>
        <w:rPr>
          <w:rFonts w:cstheme="minorHAnsi"/>
        </w:rPr>
        <w:t xml:space="preserve">.  </w:t>
      </w:r>
    </w:p>
    <w:tbl>
      <w:tblPr>
        <w:tblStyle w:val="TableGrid"/>
        <w:tblW w:w="5000" w:type="pct"/>
        <w:tblLook w:val="04A0" w:firstRow="1" w:lastRow="0" w:firstColumn="1" w:lastColumn="0" w:noHBand="0" w:noVBand="1"/>
      </w:tblPr>
      <w:tblGrid>
        <w:gridCol w:w="2718"/>
        <w:gridCol w:w="2341"/>
        <w:gridCol w:w="905"/>
        <w:gridCol w:w="263"/>
        <w:gridCol w:w="2003"/>
        <w:gridCol w:w="786"/>
      </w:tblGrid>
      <w:tr w:rsidR="00B069EA" w:rsidRPr="00BB2DAC" w14:paraId="4BD74CE5" w14:textId="77777777" w:rsidTr="00B069EA">
        <w:tc>
          <w:tcPr>
            <w:tcW w:w="1507" w:type="pct"/>
          </w:tcPr>
          <w:p w14:paraId="4B2AE322" w14:textId="77777777" w:rsidR="00B069EA" w:rsidRPr="00BB2DAC" w:rsidRDefault="00B069EA" w:rsidP="00250473">
            <w:pPr>
              <w:rPr>
                <w:rFonts w:cstheme="minorHAnsi"/>
                <w:noProof/>
                <w:lang w:eastAsia="en-AU"/>
              </w:rPr>
            </w:pPr>
          </w:p>
        </w:tc>
        <w:tc>
          <w:tcPr>
            <w:tcW w:w="1298" w:type="pct"/>
          </w:tcPr>
          <w:p w14:paraId="475874CE" w14:textId="77777777" w:rsidR="00B069EA" w:rsidRPr="00B069EA" w:rsidRDefault="00B069EA" w:rsidP="00820B71">
            <w:pPr>
              <w:jc w:val="center"/>
              <w:rPr>
                <w:rFonts w:cstheme="minorHAnsi"/>
                <w:b/>
                <w:bCs/>
                <w:noProof/>
                <w:lang w:eastAsia="en-AU"/>
              </w:rPr>
            </w:pPr>
            <w:r w:rsidRPr="00B069EA">
              <w:rPr>
                <w:rFonts w:cstheme="minorHAnsi"/>
                <w:b/>
                <w:bCs/>
              </w:rPr>
              <w:t>Year 12 completers</w:t>
            </w:r>
          </w:p>
        </w:tc>
        <w:tc>
          <w:tcPr>
            <w:tcW w:w="502" w:type="pct"/>
          </w:tcPr>
          <w:p w14:paraId="2785DA6E" w14:textId="77777777" w:rsidR="00B069EA" w:rsidRPr="00B069EA" w:rsidRDefault="00B069EA" w:rsidP="00820B71">
            <w:pPr>
              <w:jc w:val="center"/>
              <w:rPr>
                <w:rFonts w:cstheme="minorHAnsi"/>
                <w:b/>
                <w:bCs/>
                <w:noProof/>
                <w:lang w:eastAsia="en-AU"/>
              </w:rPr>
            </w:pPr>
          </w:p>
        </w:tc>
        <w:tc>
          <w:tcPr>
            <w:tcW w:w="146" w:type="pct"/>
          </w:tcPr>
          <w:p w14:paraId="4BBA6F15" w14:textId="77777777" w:rsidR="00B069EA" w:rsidRPr="00B069EA" w:rsidRDefault="00B069EA" w:rsidP="00820B71">
            <w:pPr>
              <w:jc w:val="center"/>
              <w:rPr>
                <w:rFonts w:cstheme="minorHAnsi"/>
                <w:b/>
                <w:bCs/>
              </w:rPr>
            </w:pPr>
          </w:p>
        </w:tc>
        <w:tc>
          <w:tcPr>
            <w:tcW w:w="1111" w:type="pct"/>
          </w:tcPr>
          <w:p w14:paraId="55196E66" w14:textId="407B0D4F" w:rsidR="00B069EA" w:rsidRPr="00B069EA" w:rsidRDefault="00B069EA" w:rsidP="00820B71">
            <w:pPr>
              <w:jc w:val="center"/>
              <w:rPr>
                <w:rFonts w:cstheme="minorHAnsi"/>
                <w:b/>
                <w:bCs/>
                <w:noProof/>
                <w:lang w:eastAsia="en-AU"/>
              </w:rPr>
            </w:pPr>
            <w:r w:rsidRPr="00B069EA">
              <w:rPr>
                <w:rFonts w:cstheme="minorHAnsi"/>
                <w:b/>
                <w:bCs/>
              </w:rPr>
              <w:t>Non-completers</w:t>
            </w:r>
          </w:p>
        </w:tc>
        <w:tc>
          <w:tcPr>
            <w:tcW w:w="436" w:type="pct"/>
          </w:tcPr>
          <w:p w14:paraId="4BAD20FC" w14:textId="77777777" w:rsidR="00B069EA" w:rsidRPr="00B069EA" w:rsidRDefault="00B069EA" w:rsidP="00820B71">
            <w:pPr>
              <w:jc w:val="center"/>
              <w:rPr>
                <w:rFonts w:cstheme="minorHAnsi"/>
                <w:b/>
                <w:bCs/>
                <w:noProof/>
                <w:lang w:eastAsia="en-AU"/>
              </w:rPr>
            </w:pPr>
          </w:p>
        </w:tc>
      </w:tr>
      <w:tr w:rsidR="00B069EA" w:rsidRPr="00BB2DAC" w14:paraId="43EED6E3" w14:textId="77777777" w:rsidTr="00B069EA">
        <w:tc>
          <w:tcPr>
            <w:tcW w:w="1507" w:type="pct"/>
          </w:tcPr>
          <w:p w14:paraId="1DADD5DE" w14:textId="77777777" w:rsidR="00B069EA" w:rsidRPr="00BB2DAC" w:rsidRDefault="00B069EA" w:rsidP="00250473">
            <w:pPr>
              <w:rPr>
                <w:rFonts w:cstheme="minorHAnsi"/>
                <w:noProof/>
                <w:lang w:eastAsia="en-AU"/>
              </w:rPr>
            </w:pPr>
          </w:p>
        </w:tc>
        <w:tc>
          <w:tcPr>
            <w:tcW w:w="1298" w:type="pct"/>
          </w:tcPr>
          <w:p w14:paraId="30F275F9" w14:textId="77777777" w:rsidR="00B069EA" w:rsidRPr="00B069EA" w:rsidRDefault="00B069EA" w:rsidP="00820B71">
            <w:pPr>
              <w:jc w:val="center"/>
              <w:rPr>
                <w:rFonts w:cstheme="minorHAnsi"/>
                <w:b/>
                <w:bCs/>
                <w:noProof/>
                <w:lang w:eastAsia="en-AU"/>
              </w:rPr>
            </w:pPr>
            <w:r w:rsidRPr="00B069EA">
              <w:rPr>
                <w:rFonts w:cstheme="minorHAnsi"/>
                <w:b/>
                <w:bCs/>
              </w:rPr>
              <w:t>2020</w:t>
            </w:r>
          </w:p>
        </w:tc>
        <w:tc>
          <w:tcPr>
            <w:tcW w:w="502" w:type="pct"/>
          </w:tcPr>
          <w:p w14:paraId="60A4A081" w14:textId="77777777" w:rsidR="00B069EA" w:rsidRPr="00B069EA" w:rsidRDefault="00B069EA" w:rsidP="00820B71">
            <w:pPr>
              <w:jc w:val="center"/>
              <w:rPr>
                <w:rFonts w:cstheme="minorHAnsi"/>
                <w:b/>
                <w:bCs/>
                <w:noProof/>
                <w:lang w:eastAsia="en-AU"/>
              </w:rPr>
            </w:pPr>
            <w:r w:rsidRPr="00B069EA">
              <w:rPr>
                <w:rFonts w:cstheme="minorHAnsi"/>
                <w:b/>
                <w:bCs/>
              </w:rPr>
              <w:t>2021</w:t>
            </w:r>
          </w:p>
        </w:tc>
        <w:tc>
          <w:tcPr>
            <w:tcW w:w="146" w:type="pct"/>
          </w:tcPr>
          <w:p w14:paraId="44B93FAB" w14:textId="77777777" w:rsidR="00B069EA" w:rsidRPr="00B069EA" w:rsidRDefault="00B069EA" w:rsidP="00820B71">
            <w:pPr>
              <w:jc w:val="center"/>
              <w:rPr>
                <w:rFonts w:cstheme="minorHAnsi"/>
                <w:b/>
                <w:bCs/>
              </w:rPr>
            </w:pPr>
          </w:p>
        </w:tc>
        <w:tc>
          <w:tcPr>
            <w:tcW w:w="1111" w:type="pct"/>
          </w:tcPr>
          <w:p w14:paraId="26AE66E8" w14:textId="5C124A4C" w:rsidR="00B069EA" w:rsidRPr="00B069EA" w:rsidRDefault="00B069EA" w:rsidP="00820B71">
            <w:pPr>
              <w:jc w:val="center"/>
              <w:rPr>
                <w:rFonts w:cstheme="minorHAnsi"/>
                <w:b/>
                <w:bCs/>
                <w:noProof/>
                <w:lang w:eastAsia="en-AU"/>
              </w:rPr>
            </w:pPr>
            <w:r w:rsidRPr="00B069EA">
              <w:rPr>
                <w:rFonts w:cstheme="minorHAnsi"/>
                <w:b/>
                <w:bCs/>
              </w:rPr>
              <w:t>2020</w:t>
            </w:r>
          </w:p>
        </w:tc>
        <w:tc>
          <w:tcPr>
            <w:tcW w:w="436" w:type="pct"/>
          </w:tcPr>
          <w:p w14:paraId="0BAE974B" w14:textId="77777777" w:rsidR="00B069EA" w:rsidRPr="00B069EA" w:rsidRDefault="00B069EA" w:rsidP="00820B71">
            <w:pPr>
              <w:jc w:val="center"/>
              <w:rPr>
                <w:rFonts w:cstheme="minorHAnsi"/>
                <w:b/>
                <w:bCs/>
                <w:noProof/>
                <w:lang w:eastAsia="en-AU"/>
              </w:rPr>
            </w:pPr>
            <w:r w:rsidRPr="00B069EA">
              <w:rPr>
                <w:rFonts w:cstheme="minorHAnsi"/>
                <w:b/>
                <w:bCs/>
              </w:rPr>
              <w:t>2021</w:t>
            </w:r>
          </w:p>
        </w:tc>
      </w:tr>
      <w:tr w:rsidR="00B069EA" w:rsidRPr="00BB2DAC" w14:paraId="39DC1454" w14:textId="77777777" w:rsidTr="00B069EA">
        <w:tc>
          <w:tcPr>
            <w:tcW w:w="1507" w:type="pct"/>
          </w:tcPr>
          <w:p w14:paraId="3CB6969C" w14:textId="0A11D8ED" w:rsidR="00B069EA" w:rsidRPr="00CD769D" w:rsidRDefault="00B069EA" w:rsidP="00250473">
            <w:pPr>
              <w:rPr>
                <w:rFonts w:cstheme="minorHAnsi"/>
                <w:b/>
                <w:bCs/>
                <w:noProof/>
                <w:lang w:eastAsia="en-AU"/>
              </w:rPr>
            </w:pPr>
            <w:r w:rsidRPr="00CD769D">
              <w:rPr>
                <w:rFonts w:cstheme="minorHAnsi"/>
                <w:b/>
                <w:bCs/>
                <w:noProof/>
                <w:lang w:eastAsia="en-AU"/>
              </w:rPr>
              <w:t>COVID related deferral</w:t>
            </w:r>
          </w:p>
        </w:tc>
        <w:tc>
          <w:tcPr>
            <w:tcW w:w="1298" w:type="pct"/>
            <w:vAlign w:val="bottom"/>
          </w:tcPr>
          <w:p w14:paraId="43BCB7D6" w14:textId="77777777" w:rsidR="00B069EA" w:rsidRPr="00BB2DAC" w:rsidRDefault="00B069EA" w:rsidP="00820B71">
            <w:pPr>
              <w:jc w:val="center"/>
              <w:rPr>
                <w:rFonts w:cstheme="minorHAnsi"/>
                <w:noProof/>
                <w:lang w:eastAsia="en-AU"/>
              </w:rPr>
            </w:pPr>
            <w:r>
              <w:rPr>
                <w:rFonts w:ascii="Calibri" w:hAnsi="Calibri" w:cs="Calibri"/>
                <w:color w:val="000000"/>
              </w:rPr>
              <w:t>36.2%</w:t>
            </w:r>
          </w:p>
        </w:tc>
        <w:tc>
          <w:tcPr>
            <w:tcW w:w="502" w:type="pct"/>
            <w:vAlign w:val="bottom"/>
          </w:tcPr>
          <w:p w14:paraId="39E56C6D" w14:textId="77777777" w:rsidR="00B069EA" w:rsidRPr="00BB2DAC" w:rsidRDefault="00B069EA" w:rsidP="00820B71">
            <w:pPr>
              <w:jc w:val="center"/>
              <w:rPr>
                <w:rFonts w:cstheme="minorHAnsi"/>
                <w:noProof/>
                <w:lang w:eastAsia="en-AU"/>
              </w:rPr>
            </w:pPr>
            <w:r>
              <w:rPr>
                <w:rFonts w:ascii="Calibri" w:hAnsi="Calibri" w:cs="Calibri"/>
                <w:color w:val="000000"/>
              </w:rPr>
              <w:t>12.3%</w:t>
            </w:r>
          </w:p>
        </w:tc>
        <w:tc>
          <w:tcPr>
            <w:tcW w:w="146" w:type="pct"/>
          </w:tcPr>
          <w:p w14:paraId="49280141" w14:textId="77777777" w:rsidR="00B069EA" w:rsidRPr="002C7E02" w:rsidRDefault="00B069EA" w:rsidP="00820B71">
            <w:pPr>
              <w:jc w:val="center"/>
              <w:rPr>
                <w:rFonts w:cstheme="minorHAnsi"/>
              </w:rPr>
            </w:pPr>
          </w:p>
        </w:tc>
        <w:tc>
          <w:tcPr>
            <w:tcW w:w="1111" w:type="pct"/>
          </w:tcPr>
          <w:p w14:paraId="317D69B7" w14:textId="2854680A" w:rsidR="00B069EA" w:rsidRPr="00BB2DAC" w:rsidRDefault="00B069EA" w:rsidP="00820B71">
            <w:pPr>
              <w:jc w:val="center"/>
              <w:rPr>
                <w:rFonts w:cstheme="minorHAnsi"/>
                <w:noProof/>
                <w:lang w:eastAsia="en-AU"/>
              </w:rPr>
            </w:pPr>
            <w:r w:rsidRPr="002C7E02">
              <w:rPr>
                <w:rFonts w:cstheme="minorHAnsi"/>
              </w:rPr>
              <w:t>n.a.</w:t>
            </w:r>
          </w:p>
        </w:tc>
        <w:tc>
          <w:tcPr>
            <w:tcW w:w="436" w:type="pct"/>
          </w:tcPr>
          <w:p w14:paraId="334D5C56" w14:textId="77777777" w:rsidR="00B069EA" w:rsidRPr="00BB2DAC" w:rsidRDefault="00B069EA" w:rsidP="00820B71">
            <w:pPr>
              <w:jc w:val="center"/>
              <w:rPr>
                <w:rFonts w:cstheme="minorHAnsi"/>
                <w:noProof/>
                <w:lang w:eastAsia="en-AU"/>
              </w:rPr>
            </w:pPr>
            <w:r w:rsidRPr="002C7E02">
              <w:rPr>
                <w:rFonts w:cstheme="minorHAnsi"/>
              </w:rPr>
              <w:t>n.a.</w:t>
            </w:r>
          </w:p>
        </w:tc>
      </w:tr>
    </w:tbl>
    <w:p w14:paraId="3344D4DF" w14:textId="77777777" w:rsidR="00BB2DAC" w:rsidRPr="00DD3E7A" w:rsidRDefault="00BB2DAC" w:rsidP="003B7AEF">
      <w:pPr>
        <w:rPr>
          <w:rFonts w:cstheme="minorHAnsi"/>
          <w:noProof/>
          <w:lang w:eastAsia="en-AU"/>
        </w:rPr>
      </w:pPr>
    </w:p>
    <w:sectPr w:rsidR="00BB2DAC" w:rsidRPr="00DD3E7A" w:rsidSect="006B041F">
      <w:footerReference w:type="default" r:id="rId15"/>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B16A9" w14:textId="77777777" w:rsidR="00797B66" w:rsidRDefault="00797B66" w:rsidP="009D06ED">
      <w:pPr>
        <w:spacing w:after="0" w:line="240" w:lineRule="auto"/>
      </w:pPr>
      <w:r>
        <w:separator/>
      </w:r>
    </w:p>
  </w:endnote>
  <w:endnote w:type="continuationSeparator" w:id="0">
    <w:p w14:paraId="380493E7" w14:textId="77777777" w:rsidR="00797B66" w:rsidRDefault="00797B66" w:rsidP="009D06ED">
      <w:pPr>
        <w:spacing w:after="0" w:line="240" w:lineRule="auto"/>
      </w:pPr>
      <w:r>
        <w:continuationSeparator/>
      </w:r>
    </w:p>
  </w:endnote>
  <w:endnote w:type="continuationNotice" w:id="1">
    <w:p w14:paraId="106CE770" w14:textId="77777777" w:rsidR="00797B66" w:rsidRDefault="00797B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IC-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0930687"/>
      <w:docPartObj>
        <w:docPartGallery w:val="Page Numbers (Bottom of Page)"/>
        <w:docPartUnique/>
      </w:docPartObj>
    </w:sdtPr>
    <w:sdtEndPr>
      <w:rPr>
        <w:noProof/>
      </w:rPr>
    </w:sdtEndPr>
    <w:sdtContent>
      <w:p w14:paraId="6F7089D7" w14:textId="78180254" w:rsidR="00497248" w:rsidRDefault="004972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4E3974" w14:textId="77777777" w:rsidR="009D06ED" w:rsidRDefault="009D06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02CCE" w14:textId="77777777" w:rsidR="00797B66" w:rsidRDefault="00797B66" w:rsidP="009D06ED">
      <w:pPr>
        <w:spacing w:after="0" w:line="240" w:lineRule="auto"/>
      </w:pPr>
      <w:r>
        <w:separator/>
      </w:r>
    </w:p>
  </w:footnote>
  <w:footnote w:type="continuationSeparator" w:id="0">
    <w:p w14:paraId="4B892497" w14:textId="77777777" w:rsidR="00797B66" w:rsidRDefault="00797B66" w:rsidP="009D06ED">
      <w:pPr>
        <w:spacing w:after="0" w:line="240" w:lineRule="auto"/>
      </w:pPr>
      <w:r>
        <w:continuationSeparator/>
      </w:r>
    </w:p>
  </w:footnote>
  <w:footnote w:type="continuationNotice" w:id="1">
    <w:p w14:paraId="23B8E7BD" w14:textId="77777777" w:rsidR="00797B66" w:rsidRDefault="00797B6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20EB"/>
    <w:multiLevelType w:val="hybridMultilevel"/>
    <w:tmpl w:val="1FCC17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257049"/>
    <w:multiLevelType w:val="hybridMultilevel"/>
    <w:tmpl w:val="FE5EF406"/>
    <w:lvl w:ilvl="0" w:tplc="EE12A788">
      <w:numFmt w:val="bullet"/>
      <w:lvlText w:val="•"/>
      <w:lvlJc w:val="left"/>
      <w:pPr>
        <w:ind w:left="1080" w:hanging="720"/>
      </w:pPr>
      <w:rPr>
        <w:rFonts w:ascii="Calibri" w:eastAsiaTheme="minorHAnsi" w:hAnsi="Calibri"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4F070F"/>
    <w:multiLevelType w:val="hybridMultilevel"/>
    <w:tmpl w:val="EF38E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501EDC"/>
    <w:multiLevelType w:val="hybridMultilevel"/>
    <w:tmpl w:val="6414D97C"/>
    <w:lvl w:ilvl="0" w:tplc="0C09000F">
      <w:start w:val="1"/>
      <w:numFmt w:val="decimal"/>
      <w:lvlText w:val="%1."/>
      <w:lvlJc w:val="left"/>
      <w:pPr>
        <w:ind w:left="644" w:hanging="360"/>
      </w:pPr>
    </w:lvl>
    <w:lvl w:ilvl="1" w:tplc="0C090019">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 w15:restartNumberingAfterBreak="0">
    <w:nsid w:val="268D3309"/>
    <w:multiLevelType w:val="hybridMultilevel"/>
    <w:tmpl w:val="B2282E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A208BB"/>
    <w:multiLevelType w:val="hybridMultilevel"/>
    <w:tmpl w:val="0F0A53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1D6F37"/>
    <w:multiLevelType w:val="hybridMultilevel"/>
    <w:tmpl w:val="232251B2"/>
    <w:lvl w:ilvl="0" w:tplc="C50CD83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AC311D"/>
    <w:multiLevelType w:val="hybridMultilevel"/>
    <w:tmpl w:val="B6741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C536CDA"/>
    <w:multiLevelType w:val="hybridMultilevel"/>
    <w:tmpl w:val="53463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D4245B8"/>
    <w:multiLevelType w:val="hybridMultilevel"/>
    <w:tmpl w:val="C054F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127585"/>
    <w:multiLevelType w:val="hybridMultilevel"/>
    <w:tmpl w:val="84762C82"/>
    <w:lvl w:ilvl="0" w:tplc="6542F73E">
      <w:start w:val="3"/>
      <w:numFmt w:val="bullet"/>
      <w:lvlText w:val=""/>
      <w:lvlJc w:val="left"/>
      <w:pPr>
        <w:ind w:left="720" w:hanging="360"/>
      </w:pPr>
      <w:rPr>
        <w:rFonts w:ascii="Symbol" w:eastAsiaTheme="minorHAnsi"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7A36C2A"/>
    <w:multiLevelType w:val="hybridMultilevel"/>
    <w:tmpl w:val="AC08547A"/>
    <w:lvl w:ilvl="0" w:tplc="EE12A788">
      <w:numFmt w:val="bullet"/>
      <w:lvlText w:val="•"/>
      <w:lvlJc w:val="left"/>
      <w:pPr>
        <w:ind w:left="1080" w:hanging="720"/>
      </w:pPr>
      <w:rPr>
        <w:rFonts w:ascii="Calibri" w:eastAsiaTheme="minorHAnsi" w:hAnsi="Calibri"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F9711D"/>
    <w:multiLevelType w:val="hybridMultilevel"/>
    <w:tmpl w:val="58AC1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E3E5660"/>
    <w:multiLevelType w:val="hybridMultilevel"/>
    <w:tmpl w:val="AF3C35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28A4478"/>
    <w:multiLevelType w:val="hybridMultilevel"/>
    <w:tmpl w:val="D9C62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84E6FE0"/>
    <w:multiLevelType w:val="hybridMultilevel"/>
    <w:tmpl w:val="7FEA980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9705577"/>
    <w:multiLevelType w:val="hybridMultilevel"/>
    <w:tmpl w:val="BDF87C84"/>
    <w:lvl w:ilvl="0" w:tplc="4324508E">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B75F1"/>
    <w:multiLevelType w:val="hybridMultilevel"/>
    <w:tmpl w:val="BCCA0360"/>
    <w:lvl w:ilvl="0" w:tplc="6542F73E">
      <w:start w:val="3"/>
      <w:numFmt w:val="bullet"/>
      <w:lvlText w:val=""/>
      <w:lvlJc w:val="left"/>
      <w:pPr>
        <w:ind w:left="720" w:hanging="360"/>
      </w:pPr>
      <w:rPr>
        <w:rFonts w:ascii="Symbol" w:eastAsiaTheme="minorHAnsi"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0A77660"/>
    <w:multiLevelType w:val="hybridMultilevel"/>
    <w:tmpl w:val="B16AE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9A62035"/>
    <w:multiLevelType w:val="hybridMultilevel"/>
    <w:tmpl w:val="8A58C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10"/>
  </w:num>
  <w:num w:numId="4">
    <w:abstractNumId w:val="3"/>
  </w:num>
  <w:num w:numId="5">
    <w:abstractNumId w:val="19"/>
  </w:num>
  <w:num w:numId="6">
    <w:abstractNumId w:val="9"/>
  </w:num>
  <w:num w:numId="7">
    <w:abstractNumId w:val="8"/>
  </w:num>
  <w:num w:numId="8">
    <w:abstractNumId w:val="12"/>
  </w:num>
  <w:num w:numId="9">
    <w:abstractNumId w:val="11"/>
  </w:num>
  <w:num w:numId="10">
    <w:abstractNumId w:val="1"/>
  </w:num>
  <w:num w:numId="11">
    <w:abstractNumId w:val="5"/>
  </w:num>
  <w:num w:numId="12">
    <w:abstractNumId w:val="7"/>
  </w:num>
  <w:num w:numId="13">
    <w:abstractNumId w:val="4"/>
  </w:num>
  <w:num w:numId="14">
    <w:abstractNumId w:val="15"/>
  </w:num>
  <w:num w:numId="15">
    <w:abstractNumId w:val="2"/>
  </w:num>
  <w:num w:numId="16">
    <w:abstractNumId w:val="14"/>
  </w:num>
  <w:num w:numId="17">
    <w:abstractNumId w:val="18"/>
  </w:num>
  <w:num w:numId="18">
    <w:abstractNumId w:val="0"/>
  </w:num>
  <w:num w:numId="19">
    <w:abstractNumId w:val="13"/>
  </w:num>
  <w:num w:numId="2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iel Rogers">
    <w15:presenceInfo w15:providerId="AD" w15:userId="S::Daniel.Rogers@education.vic.gov.au::61668648-4814-4b53-9075-2eb38b4307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1szAzMLYwsjA3MzFR0lEKTi0uzszPAykwrgUA+xYAciwAAAA="/>
  </w:docVars>
  <w:rsids>
    <w:rsidRoot w:val="00302AFC"/>
    <w:rsid w:val="000009C0"/>
    <w:rsid w:val="00002EF8"/>
    <w:rsid w:val="000033FD"/>
    <w:rsid w:val="00003FA3"/>
    <w:rsid w:val="00004163"/>
    <w:rsid w:val="00004409"/>
    <w:rsid w:val="000048A7"/>
    <w:rsid w:val="00004EB5"/>
    <w:rsid w:val="000052C8"/>
    <w:rsid w:val="00005614"/>
    <w:rsid w:val="00006C1E"/>
    <w:rsid w:val="000075F9"/>
    <w:rsid w:val="000108FF"/>
    <w:rsid w:val="00011C81"/>
    <w:rsid w:val="000125C0"/>
    <w:rsid w:val="00013BD8"/>
    <w:rsid w:val="0001526E"/>
    <w:rsid w:val="00016640"/>
    <w:rsid w:val="000201BC"/>
    <w:rsid w:val="00021397"/>
    <w:rsid w:val="000238D8"/>
    <w:rsid w:val="00023F53"/>
    <w:rsid w:val="000245C5"/>
    <w:rsid w:val="00027694"/>
    <w:rsid w:val="00027B15"/>
    <w:rsid w:val="000302A1"/>
    <w:rsid w:val="00032A67"/>
    <w:rsid w:val="00032DFF"/>
    <w:rsid w:val="00033501"/>
    <w:rsid w:val="000342C7"/>
    <w:rsid w:val="0003431F"/>
    <w:rsid w:val="00036057"/>
    <w:rsid w:val="00036898"/>
    <w:rsid w:val="00037A26"/>
    <w:rsid w:val="00040EA6"/>
    <w:rsid w:val="000420F9"/>
    <w:rsid w:val="00042E47"/>
    <w:rsid w:val="00045C84"/>
    <w:rsid w:val="00045CF9"/>
    <w:rsid w:val="00050581"/>
    <w:rsid w:val="00051515"/>
    <w:rsid w:val="0005219C"/>
    <w:rsid w:val="00052395"/>
    <w:rsid w:val="00052597"/>
    <w:rsid w:val="00052F18"/>
    <w:rsid w:val="00053C28"/>
    <w:rsid w:val="00054991"/>
    <w:rsid w:val="00054DC7"/>
    <w:rsid w:val="00055FBC"/>
    <w:rsid w:val="00056421"/>
    <w:rsid w:val="00057572"/>
    <w:rsid w:val="00060D16"/>
    <w:rsid w:val="00062375"/>
    <w:rsid w:val="00062A83"/>
    <w:rsid w:val="00064B05"/>
    <w:rsid w:val="000653E3"/>
    <w:rsid w:val="00065A58"/>
    <w:rsid w:val="00066727"/>
    <w:rsid w:val="0006746B"/>
    <w:rsid w:val="000711E8"/>
    <w:rsid w:val="000722F8"/>
    <w:rsid w:val="0007247D"/>
    <w:rsid w:val="00072CE7"/>
    <w:rsid w:val="0007444A"/>
    <w:rsid w:val="0007456E"/>
    <w:rsid w:val="00074A40"/>
    <w:rsid w:val="000754F4"/>
    <w:rsid w:val="00075501"/>
    <w:rsid w:val="00076AC4"/>
    <w:rsid w:val="00077310"/>
    <w:rsid w:val="00077619"/>
    <w:rsid w:val="00077676"/>
    <w:rsid w:val="0007777B"/>
    <w:rsid w:val="00077DFD"/>
    <w:rsid w:val="000821EE"/>
    <w:rsid w:val="00082DFD"/>
    <w:rsid w:val="00082E32"/>
    <w:rsid w:val="0008339F"/>
    <w:rsid w:val="000856ED"/>
    <w:rsid w:val="000904A1"/>
    <w:rsid w:val="00090631"/>
    <w:rsid w:val="000910CF"/>
    <w:rsid w:val="00093628"/>
    <w:rsid w:val="0009378D"/>
    <w:rsid w:val="00093F90"/>
    <w:rsid w:val="000947BB"/>
    <w:rsid w:val="000959AD"/>
    <w:rsid w:val="00095CDF"/>
    <w:rsid w:val="00096E6C"/>
    <w:rsid w:val="00097627"/>
    <w:rsid w:val="000A15BD"/>
    <w:rsid w:val="000A3A29"/>
    <w:rsid w:val="000A487E"/>
    <w:rsid w:val="000A5D3A"/>
    <w:rsid w:val="000A6CF9"/>
    <w:rsid w:val="000A7641"/>
    <w:rsid w:val="000A7A6A"/>
    <w:rsid w:val="000B0AA0"/>
    <w:rsid w:val="000B1885"/>
    <w:rsid w:val="000B2B71"/>
    <w:rsid w:val="000B44B6"/>
    <w:rsid w:val="000B4C96"/>
    <w:rsid w:val="000B5005"/>
    <w:rsid w:val="000B537A"/>
    <w:rsid w:val="000B6E8D"/>
    <w:rsid w:val="000B72FA"/>
    <w:rsid w:val="000B74C6"/>
    <w:rsid w:val="000C1477"/>
    <w:rsid w:val="000C2EA6"/>
    <w:rsid w:val="000C43B7"/>
    <w:rsid w:val="000C51BF"/>
    <w:rsid w:val="000C5EDB"/>
    <w:rsid w:val="000C738D"/>
    <w:rsid w:val="000C7E6E"/>
    <w:rsid w:val="000D01ED"/>
    <w:rsid w:val="000D0AF4"/>
    <w:rsid w:val="000D0F1E"/>
    <w:rsid w:val="000D1C5E"/>
    <w:rsid w:val="000D2046"/>
    <w:rsid w:val="000D3FD4"/>
    <w:rsid w:val="000D44FA"/>
    <w:rsid w:val="000D4A2B"/>
    <w:rsid w:val="000D5ABA"/>
    <w:rsid w:val="000D5D2A"/>
    <w:rsid w:val="000D5E4E"/>
    <w:rsid w:val="000D5FC9"/>
    <w:rsid w:val="000E1285"/>
    <w:rsid w:val="000E1A55"/>
    <w:rsid w:val="000E2333"/>
    <w:rsid w:val="000E27FF"/>
    <w:rsid w:val="000E36EC"/>
    <w:rsid w:val="000E39AE"/>
    <w:rsid w:val="000E3AFD"/>
    <w:rsid w:val="000E4394"/>
    <w:rsid w:val="000E4B25"/>
    <w:rsid w:val="000E5C65"/>
    <w:rsid w:val="000F0982"/>
    <w:rsid w:val="000F0A27"/>
    <w:rsid w:val="000F0EC8"/>
    <w:rsid w:val="000F1284"/>
    <w:rsid w:val="000F4478"/>
    <w:rsid w:val="000F491A"/>
    <w:rsid w:val="000F5574"/>
    <w:rsid w:val="00101EBB"/>
    <w:rsid w:val="0010235C"/>
    <w:rsid w:val="00102484"/>
    <w:rsid w:val="00102C67"/>
    <w:rsid w:val="00102D89"/>
    <w:rsid w:val="00103182"/>
    <w:rsid w:val="00103A5A"/>
    <w:rsid w:val="00104619"/>
    <w:rsid w:val="00104A65"/>
    <w:rsid w:val="00104C20"/>
    <w:rsid w:val="00105E10"/>
    <w:rsid w:val="001075C4"/>
    <w:rsid w:val="00107951"/>
    <w:rsid w:val="00110035"/>
    <w:rsid w:val="00110CCC"/>
    <w:rsid w:val="001117A1"/>
    <w:rsid w:val="001118A9"/>
    <w:rsid w:val="00116130"/>
    <w:rsid w:val="001166D9"/>
    <w:rsid w:val="001169AB"/>
    <w:rsid w:val="00120109"/>
    <w:rsid w:val="00121457"/>
    <w:rsid w:val="001228D3"/>
    <w:rsid w:val="0012312F"/>
    <w:rsid w:val="001238BC"/>
    <w:rsid w:val="001243F9"/>
    <w:rsid w:val="0012759E"/>
    <w:rsid w:val="00131109"/>
    <w:rsid w:val="00133035"/>
    <w:rsid w:val="00136217"/>
    <w:rsid w:val="00137A67"/>
    <w:rsid w:val="001406B7"/>
    <w:rsid w:val="001406CB"/>
    <w:rsid w:val="00141C59"/>
    <w:rsid w:val="00142490"/>
    <w:rsid w:val="0014251F"/>
    <w:rsid w:val="00143E05"/>
    <w:rsid w:val="001449D2"/>
    <w:rsid w:val="00145CE4"/>
    <w:rsid w:val="0014677E"/>
    <w:rsid w:val="0014709A"/>
    <w:rsid w:val="00152B4F"/>
    <w:rsid w:val="00156B73"/>
    <w:rsid w:val="001571CB"/>
    <w:rsid w:val="00157946"/>
    <w:rsid w:val="00157C9C"/>
    <w:rsid w:val="00160328"/>
    <w:rsid w:val="00160466"/>
    <w:rsid w:val="00163098"/>
    <w:rsid w:val="00163AB1"/>
    <w:rsid w:val="0016434D"/>
    <w:rsid w:val="001647C5"/>
    <w:rsid w:val="00165FE0"/>
    <w:rsid w:val="001661CA"/>
    <w:rsid w:val="00166973"/>
    <w:rsid w:val="001675CD"/>
    <w:rsid w:val="00172936"/>
    <w:rsid w:val="00173A5D"/>
    <w:rsid w:val="00174733"/>
    <w:rsid w:val="00175159"/>
    <w:rsid w:val="00175FEA"/>
    <w:rsid w:val="001777C3"/>
    <w:rsid w:val="00181F3C"/>
    <w:rsid w:val="00183785"/>
    <w:rsid w:val="001840EC"/>
    <w:rsid w:val="00184586"/>
    <w:rsid w:val="00185256"/>
    <w:rsid w:val="001868DB"/>
    <w:rsid w:val="00187637"/>
    <w:rsid w:val="00187CA7"/>
    <w:rsid w:val="0019034C"/>
    <w:rsid w:val="00190A07"/>
    <w:rsid w:val="00192E36"/>
    <w:rsid w:val="00194435"/>
    <w:rsid w:val="0019515C"/>
    <w:rsid w:val="001971EE"/>
    <w:rsid w:val="001A2009"/>
    <w:rsid w:val="001A3D58"/>
    <w:rsid w:val="001A6C1D"/>
    <w:rsid w:val="001A7052"/>
    <w:rsid w:val="001A7211"/>
    <w:rsid w:val="001A7563"/>
    <w:rsid w:val="001B01FC"/>
    <w:rsid w:val="001B0BDF"/>
    <w:rsid w:val="001B25A5"/>
    <w:rsid w:val="001B4DEA"/>
    <w:rsid w:val="001B4FC9"/>
    <w:rsid w:val="001B58F2"/>
    <w:rsid w:val="001B619E"/>
    <w:rsid w:val="001B667D"/>
    <w:rsid w:val="001B734A"/>
    <w:rsid w:val="001C0644"/>
    <w:rsid w:val="001C0925"/>
    <w:rsid w:val="001C4522"/>
    <w:rsid w:val="001C47DC"/>
    <w:rsid w:val="001C54A3"/>
    <w:rsid w:val="001C745B"/>
    <w:rsid w:val="001C752B"/>
    <w:rsid w:val="001D06D7"/>
    <w:rsid w:val="001D2EE9"/>
    <w:rsid w:val="001D2F6A"/>
    <w:rsid w:val="001D67D7"/>
    <w:rsid w:val="001D6892"/>
    <w:rsid w:val="001D68AC"/>
    <w:rsid w:val="001D7AEF"/>
    <w:rsid w:val="001D7FF3"/>
    <w:rsid w:val="001E025D"/>
    <w:rsid w:val="001E12BE"/>
    <w:rsid w:val="001E136F"/>
    <w:rsid w:val="001E13B5"/>
    <w:rsid w:val="001E1756"/>
    <w:rsid w:val="001E354C"/>
    <w:rsid w:val="001E41A4"/>
    <w:rsid w:val="001E5C2B"/>
    <w:rsid w:val="001E5FB6"/>
    <w:rsid w:val="001E70D6"/>
    <w:rsid w:val="001F00A3"/>
    <w:rsid w:val="001F08D1"/>
    <w:rsid w:val="001F133C"/>
    <w:rsid w:val="001F1FD5"/>
    <w:rsid w:val="001F2872"/>
    <w:rsid w:val="001F3376"/>
    <w:rsid w:val="001F370A"/>
    <w:rsid w:val="001F4E13"/>
    <w:rsid w:val="001F6126"/>
    <w:rsid w:val="001F612F"/>
    <w:rsid w:val="001F6558"/>
    <w:rsid w:val="002007DD"/>
    <w:rsid w:val="00201DBC"/>
    <w:rsid w:val="002024DF"/>
    <w:rsid w:val="002024E0"/>
    <w:rsid w:val="00203149"/>
    <w:rsid w:val="00203175"/>
    <w:rsid w:val="00203A72"/>
    <w:rsid w:val="00204AF4"/>
    <w:rsid w:val="00205BF1"/>
    <w:rsid w:val="00206219"/>
    <w:rsid w:val="00207214"/>
    <w:rsid w:val="002105D6"/>
    <w:rsid w:val="0021075D"/>
    <w:rsid w:val="00210FB3"/>
    <w:rsid w:val="002126DD"/>
    <w:rsid w:val="00212D70"/>
    <w:rsid w:val="00212F8A"/>
    <w:rsid w:val="002132C2"/>
    <w:rsid w:val="0021465D"/>
    <w:rsid w:val="0021494E"/>
    <w:rsid w:val="00217518"/>
    <w:rsid w:val="002202B1"/>
    <w:rsid w:val="00220F39"/>
    <w:rsid w:val="002226B2"/>
    <w:rsid w:val="00223B14"/>
    <w:rsid w:val="00223C81"/>
    <w:rsid w:val="00224451"/>
    <w:rsid w:val="00224F9C"/>
    <w:rsid w:val="0022697D"/>
    <w:rsid w:val="00226BFE"/>
    <w:rsid w:val="00231617"/>
    <w:rsid w:val="0023221E"/>
    <w:rsid w:val="0023222F"/>
    <w:rsid w:val="00234221"/>
    <w:rsid w:val="0023508D"/>
    <w:rsid w:val="00235932"/>
    <w:rsid w:val="00235A3C"/>
    <w:rsid w:val="00235EE3"/>
    <w:rsid w:val="00237A9E"/>
    <w:rsid w:val="00237EC4"/>
    <w:rsid w:val="00237F89"/>
    <w:rsid w:val="0024256C"/>
    <w:rsid w:val="002438A5"/>
    <w:rsid w:val="00244348"/>
    <w:rsid w:val="002449A5"/>
    <w:rsid w:val="00244FE1"/>
    <w:rsid w:val="00246214"/>
    <w:rsid w:val="00246A15"/>
    <w:rsid w:val="0024721E"/>
    <w:rsid w:val="0024773F"/>
    <w:rsid w:val="00247B11"/>
    <w:rsid w:val="00247C71"/>
    <w:rsid w:val="00247DE0"/>
    <w:rsid w:val="00250C10"/>
    <w:rsid w:val="002511B1"/>
    <w:rsid w:val="00251C1C"/>
    <w:rsid w:val="00252D1F"/>
    <w:rsid w:val="00253015"/>
    <w:rsid w:val="002532CF"/>
    <w:rsid w:val="002532DE"/>
    <w:rsid w:val="002546BC"/>
    <w:rsid w:val="002556BD"/>
    <w:rsid w:val="0025587B"/>
    <w:rsid w:val="00255B94"/>
    <w:rsid w:val="002567C0"/>
    <w:rsid w:val="00257AB1"/>
    <w:rsid w:val="0026140C"/>
    <w:rsid w:val="00264368"/>
    <w:rsid w:val="00265E2D"/>
    <w:rsid w:val="00265EF7"/>
    <w:rsid w:val="002679D4"/>
    <w:rsid w:val="00273AE3"/>
    <w:rsid w:val="00273FAE"/>
    <w:rsid w:val="00275E1B"/>
    <w:rsid w:val="002760D3"/>
    <w:rsid w:val="0027624A"/>
    <w:rsid w:val="00276A71"/>
    <w:rsid w:val="00276C09"/>
    <w:rsid w:val="00281520"/>
    <w:rsid w:val="00281A6C"/>
    <w:rsid w:val="00282236"/>
    <w:rsid w:val="0028261C"/>
    <w:rsid w:val="0028603D"/>
    <w:rsid w:val="00290852"/>
    <w:rsid w:val="00290881"/>
    <w:rsid w:val="002918EE"/>
    <w:rsid w:val="00292F6B"/>
    <w:rsid w:val="002932F2"/>
    <w:rsid w:val="00294297"/>
    <w:rsid w:val="00294823"/>
    <w:rsid w:val="002955D4"/>
    <w:rsid w:val="0029631C"/>
    <w:rsid w:val="00296848"/>
    <w:rsid w:val="002A0437"/>
    <w:rsid w:val="002A2157"/>
    <w:rsid w:val="002A2223"/>
    <w:rsid w:val="002A2B87"/>
    <w:rsid w:val="002A2F28"/>
    <w:rsid w:val="002A3177"/>
    <w:rsid w:val="002A4104"/>
    <w:rsid w:val="002A4451"/>
    <w:rsid w:val="002A5B6F"/>
    <w:rsid w:val="002A6625"/>
    <w:rsid w:val="002B2382"/>
    <w:rsid w:val="002B3533"/>
    <w:rsid w:val="002B3A16"/>
    <w:rsid w:val="002B41F8"/>
    <w:rsid w:val="002B43E1"/>
    <w:rsid w:val="002B4DBB"/>
    <w:rsid w:val="002B6455"/>
    <w:rsid w:val="002B6B6E"/>
    <w:rsid w:val="002C0513"/>
    <w:rsid w:val="002C1B5C"/>
    <w:rsid w:val="002C221A"/>
    <w:rsid w:val="002C23AA"/>
    <w:rsid w:val="002C2762"/>
    <w:rsid w:val="002C2931"/>
    <w:rsid w:val="002C3DAD"/>
    <w:rsid w:val="002C3DD2"/>
    <w:rsid w:val="002C4CE7"/>
    <w:rsid w:val="002C7363"/>
    <w:rsid w:val="002C76C0"/>
    <w:rsid w:val="002D030C"/>
    <w:rsid w:val="002D0688"/>
    <w:rsid w:val="002D1265"/>
    <w:rsid w:val="002D12C2"/>
    <w:rsid w:val="002D4046"/>
    <w:rsid w:val="002D4CE2"/>
    <w:rsid w:val="002D5867"/>
    <w:rsid w:val="002D5F81"/>
    <w:rsid w:val="002D69E2"/>
    <w:rsid w:val="002D7AE0"/>
    <w:rsid w:val="002E0D54"/>
    <w:rsid w:val="002E2E51"/>
    <w:rsid w:val="002E3CA1"/>
    <w:rsid w:val="002E4322"/>
    <w:rsid w:val="002E447B"/>
    <w:rsid w:val="002F13A6"/>
    <w:rsid w:val="002F16BA"/>
    <w:rsid w:val="002F1AFB"/>
    <w:rsid w:val="002F2A23"/>
    <w:rsid w:val="002F3F7F"/>
    <w:rsid w:val="002F3F83"/>
    <w:rsid w:val="002F4E64"/>
    <w:rsid w:val="002F5939"/>
    <w:rsid w:val="002F5A4A"/>
    <w:rsid w:val="002F75A2"/>
    <w:rsid w:val="002F77FB"/>
    <w:rsid w:val="002F79B5"/>
    <w:rsid w:val="002F7F7E"/>
    <w:rsid w:val="003004F0"/>
    <w:rsid w:val="003019D3"/>
    <w:rsid w:val="003028B6"/>
    <w:rsid w:val="00302AFC"/>
    <w:rsid w:val="00302D91"/>
    <w:rsid w:val="003030B5"/>
    <w:rsid w:val="003032D7"/>
    <w:rsid w:val="00303D22"/>
    <w:rsid w:val="00305672"/>
    <w:rsid w:val="003058DC"/>
    <w:rsid w:val="0030635A"/>
    <w:rsid w:val="003063AA"/>
    <w:rsid w:val="003106D0"/>
    <w:rsid w:val="003119FC"/>
    <w:rsid w:val="003145FC"/>
    <w:rsid w:val="00316337"/>
    <w:rsid w:val="00317D09"/>
    <w:rsid w:val="003220EF"/>
    <w:rsid w:val="0032281F"/>
    <w:rsid w:val="00323604"/>
    <w:rsid w:val="00324FA8"/>
    <w:rsid w:val="003262EE"/>
    <w:rsid w:val="0032677D"/>
    <w:rsid w:val="00326FFE"/>
    <w:rsid w:val="0033037B"/>
    <w:rsid w:val="00330A14"/>
    <w:rsid w:val="00331A93"/>
    <w:rsid w:val="00335A9E"/>
    <w:rsid w:val="00335D44"/>
    <w:rsid w:val="00336786"/>
    <w:rsid w:val="003400C5"/>
    <w:rsid w:val="0034093B"/>
    <w:rsid w:val="00341D17"/>
    <w:rsid w:val="003423FC"/>
    <w:rsid w:val="00343B3B"/>
    <w:rsid w:val="003443C3"/>
    <w:rsid w:val="00344560"/>
    <w:rsid w:val="00344E1C"/>
    <w:rsid w:val="003454BD"/>
    <w:rsid w:val="00350962"/>
    <w:rsid w:val="00351A13"/>
    <w:rsid w:val="00351BAD"/>
    <w:rsid w:val="00352747"/>
    <w:rsid w:val="00352C07"/>
    <w:rsid w:val="003550CE"/>
    <w:rsid w:val="003558E1"/>
    <w:rsid w:val="00355D4C"/>
    <w:rsid w:val="003562A0"/>
    <w:rsid w:val="003606C5"/>
    <w:rsid w:val="00361410"/>
    <w:rsid w:val="0036265F"/>
    <w:rsid w:val="00362A95"/>
    <w:rsid w:val="003658C3"/>
    <w:rsid w:val="0036592E"/>
    <w:rsid w:val="003659A7"/>
    <w:rsid w:val="00365F1E"/>
    <w:rsid w:val="00366B61"/>
    <w:rsid w:val="003670E7"/>
    <w:rsid w:val="0036716D"/>
    <w:rsid w:val="003679F8"/>
    <w:rsid w:val="00370B0F"/>
    <w:rsid w:val="00370D0A"/>
    <w:rsid w:val="00372732"/>
    <w:rsid w:val="00372CBD"/>
    <w:rsid w:val="0037302B"/>
    <w:rsid w:val="003734C0"/>
    <w:rsid w:val="00373EC6"/>
    <w:rsid w:val="003742DA"/>
    <w:rsid w:val="00374641"/>
    <w:rsid w:val="00375980"/>
    <w:rsid w:val="00375F04"/>
    <w:rsid w:val="0037672D"/>
    <w:rsid w:val="00376E8A"/>
    <w:rsid w:val="00377F8C"/>
    <w:rsid w:val="003801A7"/>
    <w:rsid w:val="003809AD"/>
    <w:rsid w:val="0038146D"/>
    <w:rsid w:val="0038193E"/>
    <w:rsid w:val="00381F14"/>
    <w:rsid w:val="003821C6"/>
    <w:rsid w:val="00382B6B"/>
    <w:rsid w:val="00383184"/>
    <w:rsid w:val="0038739E"/>
    <w:rsid w:val="0038760E"/>
    <w:rsid w:val="003878FB"/>
    <w:rsid w:val="00390752"/>
    <w:rsid w:val="00390A72"/>
    <w:rsid w:val="003927EB"/>
    <w:rsid w:val="0039295C"/>
    <w:rsid w:val="00394268"/>
    <w:rsid w:val="00394680"/>
    <w:rsid w:val="00394D31"/>
    <w:rsid w:val="00395C45"/>
    <w:rsid w:val="003973AB"/>
    <w:rsid w:val="003A1560"/>
    <w:rsid w:val="003A157E"/>
    <w:rsid w:val="003A3286"/>
    <w:rsid w:val="003A3EF4"/>
    <w:rsid w:val="003A63B5"/>
    <w:rsid w:val="003A7974"/>
    <w:rsid w:val="003A7988"/>
    <w:rsid w:val="003B0F9D"/>
    <w:rsid w:val="003B195C"/>
    <w:rsid w:val="003B412F"/>
    <w:rsid w:val="003B41BB"/>
    <w:rsid w:val="003B637E"/>
    <w:rsid w:val="003B7AEF"/>
    <w:rsid w:val="003C1076"/>
    <w:rsid w:val="003C2709"/>
    <w:rsid w:val="003C3ACF"/>
    <w:rsid w:val="003C6571"/>
    <w:rsid w:val="003C78B5"/>
    <w:rsid w:val="003D21FF"/>
    <w:rsid w:val="003D7CA6"/>
    <w:rsid w:val="003E0FE1"/>
    <w:rsid w:val="003E2675"/>
    <w:rsid w:val="003E525D"/>
    <w:rsid w:val="003E6D9A"/>
    <w:rsid w:val="003F0280"/>
    <w:rsid w:val="003F1CD0"/>
    <w:rsid w:val="003F2405"/>
    <w:rsid w:val="003F24ED"/>
    <w:rsid w:val="003F3CD8"/>
    <w:rsid w:val="003F47F4"/>
    <w:rsid w:val="003F6E98"/>
    <w:rsid w:val="003F7A3C"/>
    <w:rsid w:val="003F7AA7"/>
    <w:rsid w:val="004013AE"/>
    <w:rsid w:val="0040208E"/>
    <w:rsid w:val="00402EC7"/>
    <w:rsid w:val="004049EE"/>
    <w:rsid w:val="00404CE5"/>
    <w:rsid w:val="00405C88"/>
    <w:rsid w:val="00405F59"/>
    <w:rsid w:val="00407019"/>
    <w:rsid w:val="00407177"/>
    <w:rsid w:val="00407307"/>
    <w:rsid w:val="00407572"/>
    <w:rsid w:val="00407951"/>
    <w:rsid w:val="004104E1"/>
    <w:rsid w:val="004121AC"/>
    <w:rsid w:val="00414316"/>
    <w:rsid w:val="00416AF2"/>
    <w:rsid w:val="00416C54"/>
    <w:rsid w:val="00417E83"/>
    <w:rsid w:val="004205D2"/>
    <w:rsid w:val="0042106E"/>
    <w:rsid w:val="00422386"/>
    <w:rsid w:val="004234CB"/>
    <w:rsid w:val="00424F23"/>
    <w:rsid w:val="00425F37"/>
    <w:rsid w:val="00426017"/>
    <w:rsid w:val="004279D4"/>
    <w:rsid w:val="00430D0A"/>
    <w:rsid w:val="00433849"/>
    <w:rsid w:val="00433A34"/>
    <w:rsid w:val="004365D4"/>
    <w:rsid w:val="00436CA0"/>
    <w:rsid w:val="004371EA"/>
    <w:rsid w:val="004417AC"/>
    <w:rsid w:val="004419C7"/>
    <w:rsid w:val="004422BA"/>
    <w:rsid w:val="00442A5D"/>
    <w:rsid w:val="00442B47"/>
    <w:rsid w:val="00443481"/>
    <w:rsid w:val="004447A4"/>
    <w:rsid w:val="0044545E"/>
    <w:rsid w:val="004460E1"/>
    <w:rsid w:val="0044675F"/>
    <w:rsid w:val="004477B3"/>
    <w:rsid w:val="00450E15"/>
    <w:rsid w:val="00450E5A"/>
    <w:rsid w:val="00451766"/>
    <w:rsid w:val="00453C48"/>
    <w:rsid w:val="00453D0B"/>
    <w:rsid w:val="0045410D"/>
    <w:rsid w:val="004557F8"/>
    <w:rsid w:val="00456BD8"/>
    <w:rsid w:val="0046006B"/>
    <w:rsid w:val="00460501"/>
    <w:rsid w:val="00461646"/>
    <w:rsid w:val="00463330"/>
    <w:rsid w:val="0046507C"/>
    <w:rsid w:val="00466FC8"/>
    <w:rsid w:val="00467A38"/>
    <w:rsid w:val="00467AE8"/>
    <w:rsid w:val="004722DA"/>
    <w:rsid w:val="0047253E"/>
    <w:rsid w:val="004726DD"/>
    <w:rsid w:val="00472EE0"/>
    <w:rsid w:val="004738FA"/>
    <w:rsid w:val="00475839"/>
    <w:rsid w:val="00475CDE"/>
    <w:rsid w:val="00477232"/>
    <w:rsid w:val="00480FAA"/>
    <w:rsid w:val="004812CC"/>
    <w:rsid w:val="004816CE"/>
    <w:rsid w:val="0048215A"/>
    <w:rsid w:val="00483068"/>
    <w:rsid w:val="00483931"/>
    <w:rsid w:val="00483FFC"/>
    <w:rsid w:val="00484FDF"/>
    <w:rsid w:val="00485E17"/>
    <w:rsid w:val="004863FF"/>
    <w:rsid w:val="00490CF9"/>
    <w:rsid w:val="00490E01"/>
    <w:rsid w:val="00490E9A"/>
    <w:rsid w:val="00491055"/>
    <w:rsid w:val="00492FEE"/>
    <w:rsid w:val="00493B7B"/>
    <w:rsid w:val="00495650"/>
    <w:rsid w:val="00495B8F"/>
    <w:rsid w:val="00496A3B"/>
    <w:rsid w:val="00497248"/>
    <w:rsid w:val="00497671"/>
    <w:rsid w:val="00497AC3"/>
    <w:rsid w:val="00497DD0"/>
    <w:rsid w:val="004A04A4"/>
    <w:rsid w:val="004A08E8"/>
    <w:rsid w:val="004A1373"/>
    <w:rsid w:val="004A1D80"/>
    <w:rsid w:val="004A2BAD"/>
    <w:rsid w:val="004A2CB0"/>
    <w:rsid w:val="004A4984"/>
    <w:rsid w:val="004A50C0"/>
    <w:rsid w:val="004B0027"/>
    <w:rsid w:val="004B0517"/>
    <w:rsid w:val="004B1C64"/>
    <w:rsid w:val="004B664D"/>
    <w:rsid w:val="004B7A59"/>
    <w:rsid w:val="004C0A4F"/>
    <w:rsid w:val="004C2885"/>
    <w:rsid w:val="004C4AA8"/>
    <w:rsid w:val="004C4D02"/>
    <w:rsid w:val="004C559E"/>
    <w:rsid w:val="004C5B24"/>
    <w:rsid w:val="004C5FBB"/>
    <w:rsid w:val="004C6974"/>
    <w:rsid w:val="004C6C93"/>
    <w:rsid w:val="004C7FBC"/>
    <w:rsid w:val="004D0306"/>
    <w:rsid w:val="004D1FA7"/>
    <w:rsid w:val="004D24C6"/>
    <w:rsid w:val="004D286B"/>
    <w:rsid w:val="004D2FB5"/>
    <w:rsid w:val="004D3F4E"/>
    <w:rsid w:val="004D6082"/>
    <w:rsid w:val="004D6578"/>
    <w:rsid w:val="004D6B42"/>
    <w:rsid w:val="004D71CC"/>
    <w:rsid w:val="004E3252"/>
    <w:rsid w:val="004E3B8B"/>
    <w:rsid w:val="004E4F78"/>
    <w:rsid w:val="004E6AE6"/>
    <w:rsid w:val="004E6BCB"/>
    <w:rsid w:val="004E76A3"/>
    <w:rsid w:val="004F15E6"/>
    <w:rsid w:val="004F3133"/>
    <w:rsid w:val="004F3507"/>
    <w:rsid w:val="004F39C9"/>
    <w:rsid w:val="004F400B"/>
    <w:rsid w:val="004F4FF9"/>
    <w:rsid w:val="004F5267"/>
    <w:rsid w:val="004F5363"/>
    <w:rsid w:val="004F7A5C"/>
    <w:rsid w:val="004F7B88"/>
    <w:rsid w:val="00500974"/>
    <w:rsid w:val="00501D30"/>
    <w:rsid w:val="00502002"/>
    <w:rsid w:val="00502A6C"/>
    <w:rsid w:val="00503741"/>
    <w:rsid w:val="00504B1F"/>
    <w:rsid w:val="00504C4E"/>
    <w:rsid w:val="005062BF"/>
    <w:rsid w:val="00506B03"/>
    <w:rsid w:val="00507CF7"/>
    <w:rsid w:val="005150BB"/>
    <w:rsid w:val="005150F3"/>
    <w:rsid w:val="0051529D"/>
    <w:rsid w:val="00515BEB"/>
    <w:rsid w:val="00516319"/>
    <w:rsid w:val="005163D3"/>
    <w:rsid w:val="00517407"/>
    <w:rsid w:val="00521AFC"/>
    <w:rsid w:val="00524443"/>
    <w:rsid w:val="0052528D"/>
    <w:rsid w:val="00525420"/>
    <w:rsid w:val="00525D7F"/>
    <w:rsid w:val="005268F7"/>
    <w:rsid w:val="00527AAB"/>
    <w:rsid w:val="00527AB5"/>
    <w:rsid w:val="00527BEF"/>
    <w:rsid w:val="0053136F"/>
    <w:rsid w:val="00531D9E"/>
    <w:rsid w:val="005325A3"/>
    <w:rsid w:val="00533BC1"/>
    <w:rsid w:val="00533ED7"/>
    <w:rsid w:val="00534878"/>
    <w:rsid w:val="0054041B"/>
    <w:rsid w:val="005413F2"/>
    <w:rsid w:val="005418A1"/>
    <w:rsid w:val="005423D6"/>
    <w:rsid w:val="00542AAC"/>
    <w:rsid w:val="00542D87"/>
    <w:rsid w:val="005434DB"/>
    <w:rsid w:val="00543E79"/>
    <w:rsid w:val="005440EE"/>
    <w:rsid w:val="00544B6C"/>
    <w:rsid w:val="005474A3"/>
    <w:rsid w:val="0055001B"/>
    <w:rsid w:val="00553C5D"/>
    <w:rsid w:val="005540F5"/>
    <w:rsid w:val="005543BF"/>
    <w:rsid w:val="0055465F"/>
    <w:rsid w:val="0055607C"/>
    <w:rsid w:val="0055757F"/>
    <w:rsid w:val="005575A6"/>
    <w:rsid w:val="00557C43"/>
    <w:rsid w:val="0056050A"/>
    <w:rsid w:val="0056478E"/>
    <w:rsid w:val="005661FD"/>
    <w:rsid w:val="00566B49"/>
    <w:rsid w:val="005671EF"/>
    <w:rsid w:val="005673E2"/>
    <w:rsid w:val="0056761E"/>
    <w:rsid w:val="005677DE"/>
    <w:rsid w:val="00567DC8"/>
    <w:rsid w:val="00570157"/>
    <w:rsid w:val="005716EA"/>
    <w:rsid w:val="005719CD"/>
    <w:rsid w:val="005720EC"/>
    <w:rsid w:val="00574397"/>
    <w:rsid w:val="005744D7"/>
    <w:rsid w:val="005750CF"/>
    <w:rsid w:val="00575EED"/>
    <w:rsid w:val="00581A32"/>
    <w:rsid w:val="00584B56"/>
    <w:rsid w:val="00584E14"/>
    <w:rsid w:val="00587689"/>
    <w:rsid w:val="00587A9A"/>
    <w:rsid w:val="00587C59"/>
    <w:rsid w:val="0059150F"/>
    <w:rsid w:val="00591E25"/>
    <w:rsid w:val="005924A1"/>
    <w:rsid w:val="005927EA"/>
    <w:rsid w:val="00595EAC"/>
    <w:rsid w:val="00596696"/>
    <w:rsid w:val="00596783"/>
    <w:rsid w:val="005977B0"/>
    <w:rsid w:val="00597C25"/>
    <w:rsid w:val="005A0299"/>
    <w:rsid w:val="005A0426"/>
    <w:rsid w:val="005A13FF"/>
    <w:rsid w:val="005A2148"/>
    <w:rsid w:val="005A26E1"/>
    <w:rsid w:val="005A4186"/>
    <w:rsid w:val="005A47C5"/>
    <w:rsid w:val="005A4AF7"/>
    <w:rsid w:val="005A60BE"/>
    <w:rsid w:val="005A648A"/>
    <w:rsid w:val="005A72AB"/>
    <w:rsid w:val="005B1721"/>
    <w:rsid w:val="005B223C"/>
    <w:rsid w:val="005B2AD6"/>
    <w:rsid w:val="005B3330"/>
    <w:rsid w:val="005B45C4"/>
    <w:rsid w:val="005B68A4"/>
    <w:rsid w:val="005B745D"/>
    <w:rsid w:val="005C0BF3"/>
    <w:rsid w:val="005C35E7"/>
    <w:rsid w:val="005C4526"/>
    <w:rsid w:val="005C4A63"/>
    <w:rsid w:val="005C52E7"/>
    <w:rsid w:val="005C77E8"/>
    <w:rsid w:val="005D01E1"/>
    <w:rsid w:val="005D0427"/>
    <w:rsid w:val="005D0B77"/>
    <w:rsid w:val="005D0EE8"/>
    <w:rsid w:val="005D2A3F"/>
    <w:rsid w:val="005D4555"/>
    <w:rsid w:val="005D507D"/>
    <w:rsid w:val="005D5850"/>
    <w:rsid w:val="005D73D3"/>
    <w:rsid w:val="005D7BE1"/>
    <w:rsid w:val="005E028E"/>
    <w:rsid w:val="005E051D"/>
    <w:rsid w:val="005E3CCA"/>
    <w:rsid w:val="005E48B5"/>
    <w:rsid w:val="005E6852"/>
    <w:rsid w:val="005E6ADC"/>
    <w:rsid w:val="005E6F7E"/>
    <w:rsid w:val="005E7692"/>
    <w:rsid w:val="005F118C"/>
    <w:rsid w:val="005F1684"/>
    <w:rsid w:val="005F4229"/>
    <w:rsid w:val="005F45B1"/>
    <w:rsid w:val="005F47CC"/>
    <w:rsid w:val="005F5A60"/>
    <w:rsid w:val="005F61A9"/>
    <w:rsid w:val="005F62A6"/>
    <w:rsid w:val="005F70B5"/>
    <w:rsid w:val="005F7628"/>
    <w:rsid w:val="006016D9"/>
    <w:rsid w:val="00602F95"/>
    <w:rsid w:val="00603250"/>
    <w:rsid w:val="00603AB3"/>
    <w:rsid w:val="0060430D"/>
    <w:rsid w:val="00604DA0"/>
    <w:rsid w:val="00605483"/>
    <w:rsid w:val="00611924"/>
    <w:rsid w:val="00611AE3"/>
    <w:rsid w:val="0061246E"/>
    <w:rsid w:val="00612747"/>
    <w:rsid w:val="006129C4"/>
    <w:rsid w:val="00613D5F"/>
    <w:rsid w:val="00614B77"/>
    <w:rsid w:val="00620799"/>
    <w:rsid w:val="00620D37"/>
    <w:rsid w:val="00624FF8"/>
    <w:rsid w:val="006254A7"/>
    <w:rsid w:val="0062558E"/>
    <w:rsid w:val="00625BC1"/>
    <w:rsid w:val="00627192"/>
    <w:rsid w:val="00630542"/>
    <w:rsid w:val="00630BFD"/>
    <w:rsid w:val="006318C6"/>
    <w:rsid w:val="00631E75"/>
    <w:rsid w:val="006327E3"/>
    <w:rsid w:val="00632D25"/>
    <w:rsid w:val="0063337A"/>
    <w:rsid w:val="00634127"/>
    <w:rsid w:val="00634FF6"/>
    <w:rsid w:val="0063657B"/>
    <w:rsid w:val="006379A3"/>
    <w:rsid w:val="006408AF"/>
    <w:rsid w:val="00641973"/>
    <w:rsid w:val="00641F97"/>
    <w:rsid w:val="00642598"/>
    <w:rsid w:val="00643262"/>
    <w:rsid w:val="006438FA"/>
    <w:rsid w:val="00644F4C"/>
    <w:rsid w:val="0064581C"/>
    <w:rsid w:val="006502ED"/>
    <w:rsid w:val="00652570"/>
    <w:rsid w:val="00652748"/>
    <w:rsid w:val="00654857"/>
    <w:rsid w:val="00657D98"/>
    <w:rsid w:val="00661A5C"/>
    <w:rsid w:val="00662193"/>
    <w:rsid w:val="00662EEA"/>
    <w:rsid w:val="00665C27"/>
    <w:rsid w:val="00665D98"/>
    <w:rsid w:val="0066624D"/>
    <w:rsid w:val="00671407"/>
    <w:rsid w:val="0067161B"/>
    <w:rsid w:val="00671673"/>
    <w:rsid w:val="0067278C"/>
    <w:rsid w:val="00674049"/>
    <w:rsid w:val="0067416E"/>
    <w:rsid w:val="0067444B"/>
    <w:rsid w:val="00674661"/>
    <w:rsid w:val="006746AF"/>
    <w:rsid w:val="00675B49"/>
    <w:rsid w:val="0067670C"/>
    <w:rsid w:val="00677F31"/>
    <w:rsid w:val="00681AAD"/>
    <w:rsid w:val="00681FA8"/>
    <w:rsid w:val="00683281"/>
    <w:rsid w:val="00683A8F"/>
    <w:rsid w:val="00685180"/>
    <w:rsid w:val="006871E7"/>
    <w:rsid w:val="006875A7"/>
    <w:rsid w:val="0068786C"/>
    <w:rsid w:val="00687BA8"/>
    <w:rsid w:val="006902DA"/>
    <w:rsid w:val="006916C9"/>
    <w:rsid w:val="006918B7"/>
    <w:rsid w:val="0069280F"/>
    <w:rsid w:val="0069413E"/>
    <w:rsid w:val="006968E3"/>
    <w:rsid w:val="00697336"/>
    <w:rsid w:val="00697B57"/>
    <w:rsid w:val="00697E2D"/>
    <w:rsid w:val="006A0CFC"/>
    <w:rsid w:val="006A26A6"/>
    <w:rsid w:val="006A281C"/>
    <w:rsid w:val="006A379F"/>
    <w:rsid w:val="006A43A7"/>
    <w:rsid w:val="006A5869"/>
    <w:rsid w:val="006A5B84"/>
    <w:rsid w:val="006A6DFF"/>
    <w:rsid w:val="006A710E"/>
    <w:rsid w:val="006A7C38"/>
    <w:rsid w:val="006B022D"/>
    <w:rsid w:val="006B041F"/>
    <w:rsid w:val="006B0BEC"/>
    <w:rsid w:val="006B1229"/>
    <w:rsid w:val="006B1544"/>
    <w:rsid w:val="006B5644"/>
    <w:rsid w:val="006B620C"/>
    <w:rsid w:val="006B7782"/>
    <w:rsid w:val="006B7C42"/>
    <w:rsid w:val="006B7FF8"/>
    <w:rsid w:val="006C1ED5"/>
    <w:rsid w:val="006C1F09"/>
    <w:rsid w:val="006C4387"/>
    <w:rsid w:val="006C4FB3"/>
    <w:rsid w:val="006C7495"/>
    <w:rsid w:val="006C7DF2"/>
    <w:rsid w:val="006D11CB"/>
    <w:rsid w:val="006D206E"/>
    <w:rsid w:val="006D2930"/>
    <w:rsid w:val="006D4207"/>
    <w:rsid w:val="006D5EDD"/>
    <w:rsid w:val="006D6AD8"/>
    <w:rsid w:val="006D703C"/>
    <w:rsid w:val="006D7615"/>
    <w:rsid w:val="006D76FA"/>
    <w:rsid w:val="006E0466"/>
    <w:rsid w:val="006E09F0"/>
    <w:rsid w:val="006E1AA9"/>
    <w:rsid w:val="006E2811"/>
    <w:rsid w:val="006E3366"/>
    <w:rsid w:val="006E3EE7"/>
    <w:rsid w:val="006E6688"/>
    <w:rsid w:val="006E7362"/>
    <w:rsid w:val="006F08A9"/>
    <w:rsid w:val="006F0C10"/>
    <w:rsid w:val="006F0C42"/>
    <w:rsid w:val="006F0CB3"/>
    <w:rsid w:val="006F147C"/>
    <w:rsid w:val="006F172D"/>
    <w:rsid w:val="006F4B1A"/>
    <w:rsid w:val="006F669D"/>
    <w:rsid w:val="006F7F25"/>
    <w:rsid w:val="007005D5"/>
    <w:rsid w:val="007009B7"/>
    <w:rsid w:val="00700D68"/>
    <w:rsid w:val="00700F7B"/>
    <w:rsid w:val="0070260B"/>
    <w:rsid w:val="00702BD0"/>
    <w:rsid w:val="0070332D"/>
    <w:rsid w:val="0070365A"/>
    <w:rsid w:val="00703739"/>
    <w:rsid w:val="00703C74"/>
    <w:rsid w:val="00704865"/>
    <w:rsid w:val="00707FA8"/>
    <w:rsid w:val="00712FA5"/>
    <w:rsid w:val="0071365D"/>
    <w:rsid w:val="0071431E"/>
    <w:rsid w:val="00714737"/>
    <w:rsid w:val="00714A81"/>
    <w:rsid w:val="00715753"/>
    <w:rsid w:val="0071617F"/>
    <w:rsid w:val="007163F5"/>
    <w:rsid w:val="00717253"/>
    <w:rsid w:val="0071782C"/>
    <w:rsid w:val="00717DBA"/>
    <w:rsid w:val="00720D43"/>
    <w:rsid w:val="00721326"/>
    <w:rsid w:val="00721757"/>
    <w:rsid w:val="00721EB2"/>
    <w:rsid w:val="00724E3A"/>
    <w:rsid w:val="00725959"/>
    <w:rsid w:val="00725966"/>
    <w:rsid w:val="00726B2E"/>
    <w:rsid w:val="00726CAE"/>
    <w:rsid w:val="00730DF4"/>
    <w:rsid w:val="00731ACF"/>
    <w:rsid w:val="00732207"/>
    <w:rsid w:val="00733848"/>
    <w:rsid w:val="00734228"/>
    <w:rsid w:val="00735892"/>
    <w:rsid w:val="00735953"/>
    <w:rsid w:val="00736920"/>
    <w:rsid w:val="00737949"/>
    <w:rsid w:val="00741874"/>
    <w:rsid w:val="007418D0"/>
    <w:rsid w:val="00741E55"/>
    <w:rsid w:val="00741F3B"/>
    <w:rsid w:val="00742812"/>
    <w:rsid w:val="007434E7"/>
    <w:rsid w:val="00743802"/>
    <w:rsid w:val="00743A63"/>
    <w:rsid w:val="00745360"/>
    <w:rsid w:val="00746028"/>
    <w:rsid w:val="0074649D"/>
    <w:rsid w:val="007477C6"/>
    <w:rsid w:val="00747B58"/>
    <w:rsid w:val="007509C6"/>
    <w:rsid w:val="00751C83"/>
    <w:rsid w:val="00753922"/>
    <w:rsid w:val="00753EA0"/>
    <w:rsid w:val="007542EB"/>
    <w:rsid w:val="00754342"/>
    <w:rsid w:val="007553DD"/>
    <w:rsid w:val="007557E9"/>
    <w:rsid w:val="007564F1"/>
    <w:rsid w:val="00756EF4"/>
    <w:rsid w:val="0076129F"/>
    <w:rsid w:val="007616C7"/>
    <w:rsid w:val="007623CB"/>
    <w:rsid w:val="007630DB"/>
    <w:rsid w:val="00763941"/>
    <w:rsid w:val="00764DB6"/>
    <w:rsid w:val="00764EF2"/>
    <w:rsid w:val="00766384"/>
    <w:rsid w:val="00766975"/>
    <w:rsid w:val="00770524"/>
    <w:rsid w:val="00771737"/>
    <w:rsid w:val="00772349"/>
    <w:rsid w:val="007739EF"/>
    <w:rsid w:val="00774E99"/>
    <w:rsid w:val="00775563"/>
    <w:rsid w:val="00776097"/>
    <w:rsid w:val="007777C9"/>
    <w:rsid w:val="00777DF1"/>
    <w:rsid w:val="00780E79"/>
    <w:rsid w:val="00781AC3"/>
    <w:rsid w:val="007822B8"/>
    <w:rsid w:val="007831C3"/>
    <w:rsid w:val="007831E3"/>
    <w:rsid w:val="007841C4"/>
    <w:rsid w:val="00784D55"/>
    <w:rsid w:val="00786516"/>
    <w:rsid w:val="00786949"/>
    <w:rsid w:val="00787078"/>
    <w:rsid w:val="00790EDF"/>
    <w:rsid w:val="0079175B"/>
    <w:rsid w:val="00792C57"/>
    <w:rsid w:val="00792D8B"/>
    <w:rsid w:val="00794698"/>
    <w:rsid w:val="0079487E"/>
    <w:rsid w:val="0079491A"/>
    <w:rsid w:val="00795F99"/>
    <w:rsid w:val="00797B66"/>
    <w:rsid w:val="00797B76"/>
    <w:rsid w:val="007A0701"/>
    <w:rsid w:val="007A107A"/>
    <w:rsid w:val="007A1A26"/>
    <w:rsid w:val="007A1B9E"/>
    <w:rsid w:val="007A3135"/>
    <w:rsid w:val="007A3166"/>
    <w:rsid w:val="007A40AB"/>
    <w:rsid w:val="007A4172"/>
    <w:rsid w:val="007A6928"/>
    <w:rsid w:val="007B52F7"/>
    <w:rsid w:val="007B66FB"/>
    <w:rsid w:val="007B679A"/>
    <w:rsid w:val="007B689D"/>
    <w:rsid w:val="007B6C72"/>
    <w:rsid w:val="007B7D81"/>
    <w:rsid w:val="007C02D8"/>
    <w:rsid w:val="007C22A1"/>
    <w:rsid w:val="007C238A"/>
    <w:rsid w:val="007C2837"/>
    <w:rsid w:val="007C2D22"/>
    <w:rsid w:val="007C2F9C"/>
    <w:rsid w:val="007C38F3"/>
    <w:rsid w:val="007C4633"/>
    <w:rsid w:val="007C4831"/>
    <w:rsid w:val="007C543E"/>
    <w:rsid w:val="007C629D"/>
    <w:rsid w:val="007C6E27"/>
    <w:rsid w:val="007D0496"/>
    <w:rsid w:val="007D23AA"/>
    <w:rsid w:val="007D2436"/>
    <w:rsid w:val="007D296D"/>
    <w:rsid w:val="007D3425"/>
    <w:rsid w:val="007D578B"/>
    <w:rsid w:val="007E06FB"/>
    <w:rsid w:val="007E120E"/>
    <w:rsid w:val="007E12A2"/>
    <w:rsid w:val="007E434F"/>
    <w:rsid w:val="007E4571"/>
    <w:rsid w:val="007E46C5"/>
    <w:rsid w:val="007E47EC"/>
    <w:rsid w:val="007E51E8"/>
    <w:rsid w:val="007E6CF2"/>
    <w:rsid w:val="007E6DA1"/>
    <w:rsid w:val="007E785F"/>
    <w:rsid w:val="007F039D"/>
    <w:rsid w:val="007F14BA"/>
    <w:rsid w:val="007F2B8B"/>
    <w:rsid w:val="007F2D75"/>
    <w:rsid w:val="007F3728"/>
    <w:rsid w:val="007F3C6D"/>
    <w:rsid w:val="007F4F61"/>
    <w:rsid w:val="007F7804"/>
    <w:rsid w:val="008007E5"/>
    <w:rsid w:val="00801822"/>
    <w:rsid w:val="008019DF"/>
    <w:rsid w:val="00801DB9"/>
    <w:rsid w:val="00802AFD"/>
    <w:rsid w:val="00802DD4"/>
    <w:rsid w:val="008032B2"/>
    <w:rsid w:val="00803578"/>
    <w:rsid w:val="00803D82"/>
    <w:rsid w:val="0080518A"/>
    <w:rsid w:val="00805E64"/>
    <w:rsid w:val="008063AC"/>
    <w:rsid w:val="00806A7E"/>
    <w:rsid w:val="00806BE7"/>
    <w:rsid w:val="00807757"/>
    <w:rsid w:val="00810690"/>
    <w:rsid w:val="008108A7"/>
    <w:rsid w:val="00811438"/>
    <w:rsid w:val="00814FC4"/>
    <w:rsid w:val="00815146"/>
    <w:rsid w:val="00817440"/>
    <w:rsid w:val="0082015C"/>
    <w:rsid w:val="00820B71"/>
    <w:rsid w:val="00820E70"/>
    <w:rsid w:val="00821BEB"/>
    <w:rsid w:val="00821D20"/>
    <w:rsid w:val="00822981"/>
    <w:rsid w:val="00823D6D"/>
    <w:rsid w:val="008246AD"/>
    <w:rsid w:val="00825ACE"/>
    <w:rsid w:val="008262D8"/>
    <w:rsid w:val="00826706"/>
    <w:rsid w:val="00826A68"/>
    <w:rsid w:val="00826EAF"/>
    <w:rsid w:val="008273FB"/>
    <w:rsid w:val="008276C3"/>
    <w:rsid w:val="008277B8"/>
    <w:rsid w:val="00832F03"/>
    <w:rsid w:val="0083425F"/>
    <w:rsid w:val="00834571"/>
    <w:rsid w:val="0083457E"/>
    <w:rsid w:val="0083576B"/>
    <w:rsid w:val="00836848"/>
    <w:rsid w:val="00842681"/>
    <w:rsid w:val="008433D0"/>
    <w:rsid w:val="0084356E"/>
    <w:rsid w:val="008439AF"/>
    <w:rsid w:val="00847DCE"/>
    <w:rsid w:val="00851750"/>
    <w:rsid w:val="00851EBC"/>
    <w:rsid w:val="00851F11"/>
    <w:rsid w:val="00852786"/>
    <w:rsid w:val="00852EE3"/>
    <w:rsid w:val="0085396E"/>
    <w:rsid w:val="00854EFD"/>
    <w:rsid w:val="00860588"/>
    <w:rsid w:val="00860594"/>
    <w:rsid w:val="00860C76"/>
    <w:rsid w:val="008620F4"/>
    <w:rsid w:val="00863581"/>
    <w:rsid w:val="0086433C"/>
    <w:rsid w:val="008674D5"/>
    <w:rsid w:val="0087050C"/>
    <w:rsid w:val="00870A50"/>
    <w:rsid w:val="008712FB"/>
    <w:rsid w:val="008714A3"/>
    <w:rsid w:val="00873950"/>
    <w:rsid w:val="008750E1"/>
    <w:rsid w:val="0088373E"/>
    <w:rsid w:val="00883EE9"/>
    <w:rsid w:val="008842F5"/>
    <w:rsid w:val="00884E0A"/>
    <w:rsid w:val="0088543D"/>
    <w:rsid w:val="00885DCC"/>
    <w:rsid w:val="008861E6"/>
    <w:rsid w:val="0088768E"/>
    <w:rsid w:val="00887CEF"/>
    <w:rsid w:val="00890996"/>
    <w:rsid w:val="008916A2"/>
    <w:rsid w:val="00893C3F"/>
    <w:rsid w:val="008959F4"/>
    <w:rsid w:val="008A24A2"/>
    <w:rsid w:val="008A389D"/>
    <w:rsid w:val="008A3CB2"/>
    <w:rsid w:val="008B20E0"/>
    <w:rsid w:val="008B3B40"/>
    <w:rsid w:val="008B42E3"/>
    <w:rsid w:val="008B5CBC"/>
    <w:rsid w:val="008B6AD6"/>
    <w:rsid w:val="008C005E"/>
    <w:rsid w:val="008C0A95"/>
    <w:rsid w:val="008C19FA"/>
    <w:rsid w:val="008C377C"/>
    <w:rsid w:val="008C4B36"/>
    <w:rsid w:val="008C5595"/>
    <w:rsid w:val="008C578A"/>
    <w:rsid w:val="008C5A75"/>
    <w:rsid w:val="008C5F18"/>
    <w:rsid w:val="008C700B"/>
    <w:rsid w:val="008D0B2A"/>
    <w:rsid w:val="008D175E"/>
    <w:rsid w:val="008D4B00"/>
    <w:rsid w:val="008D6986"/>
    <w:rsid w:val="008D729A"/>
    <w:rsid w:val="008D73AF"/>
    <w:rsid w:val="008E0D70"/>
    <w:rsid w:val="008E34C0"/>
    <w:rsid w:val="008E3E2E"/>
    <w:rsid w:val="008E4AAC"/>
    <w:rsid w:val="008E7431"/>
    <w:rsid w:val="008F21C0"/>
    <w:rsid w:val="008F39E1"/>
    <w:rsid w:val="008F3C56"/>
    <w:rsid w:val="008F44D5"/>
    <w:rsid w:val="008F510A"/>
    <w:rsid w:val="008F5E55"/>
    <w:rsid w:val="008F6911"/>
    <w:rsid w:val="008F7EF6"/>
    <w:rsid w:val="009003AB"/>
    <w:rsid w:val="00900727"/>
    <w:rsid w:val="009007FA"/>
    <w:rsid w:val="009008EA"/>
    <w:rsid w:val="00900CD3"/>
    <w:rsid w:val="009012CD"/>
    <w:rsid w:val="00902D19"/>
    <w:rsid w:val="00903410"/>
    <w:rsid w:val="009038A9"/>
    <w:rsid w:val="00903F20"/>
    <w:rsid w:val="00904BBF"/>
    <w:rsid w:val="00904C5C"/>
    <w:rsid w:val="00906EE5"/>
    <w:rsid w:val="009075BD"/>
    <w:rsid w:val="00907D6C"/>
    <w:rsid w:val="009111CA"/>
    <w:rsid w:val="00911818"/>
    <w:rsid w:val="00911E66"/>
    <w:rsid w:val="009126CF"/>
    <w:rsid w:val="00914A4A"/>
    <w:rsid w:val="009153BE"/>
    <w:rsid w:val="0091605B"/>
    <w:rsid w:val="0091742A"/>
    <w:rsid w:val="00920757"/>
    <w:rsid w:val="00921DB9"/>
    <w:rsid w:val="009226B3"/>
    <w:rsid w:val="0092389F"/>
    <w:rsid w:val="00923A1B"/>
    <w:rsid w:val="00925F9C"/>
    <w:rsid w:val="0092628D"/>
    <w:rsid w:val="0092709C"/>
    <w:rsid w:val="009278D0"/>
    <w:rsid w:val="009300F2"/>
    <w:rsid w:val="00931D13"/>
    <w:rsid w:val="009320C8"/>
    <w:rsid w:val="00932F63"/>
    <w:rsid w:val="00933A50"/>
    <w:rsid w:val="00933D19"/>
    <w:rsid w:val="00933F9F"/>
    <w:rsid w:val="009369C2"/>
    <w:rsid w:val="0093798B"/>
    <w:rsid w:val="00937A13"/>
    <w:rsid w:val="00937D33"/>
    <w:rsid w:val="00941638"/>
    <w:rsid w:val="00941E5E"/>
    <w:rsid w:val="00942DCB"/>
    <w:rsid w:val="00943B57"/>
    <w:rsid w:val="009445B8"/>
    <w:rsid w:val="00945964"/>
    <w:rsid w:val="00945FAF"/>
    <w:rsid w:val="00946B5D"/>
    <w:rsid w:val="00950006"/>
    <w:rsid w:val="00950F4B"/>
    <w:rsid w:val="0095118D"/>
    <w:rsid w:val="00951708"/>
    <w:rsid w:val="00951B5C"/>
    <w:rsid w:val="00954402"/>
    <w:rsid w:val="009626AE"/>
    <w:rsid w:val="009642C6"/>
    <w:rsid w:val="00964CF6"/>
    <w:rsid w:val="0096789F"/>
    <w:rsid w:val="00970424"/>
    <w:rsid w:val="00970565"/>
    <w:rsid w:val="00973134"/>
    <w:rsid w:val="009743B2"/>
    <w:rsid w:val="00974CAD"/>
    <w:rsid w:val="00975DFA"/>
    <w:rsid w:val="00976BDE"/>
    <w:rsid w:val="009778D9"/>
    <w:rsid w:val="0098079D"/>
    <w:rsid w:val="00982E7E"/>
    <w:rsid w:val="00984A65"/>
    <w:rsid w:val="00984D6B"/>
    <w:rsid w:val="0098548A"/>
    <w:rsid w:val="00985CB2"/>
    <w:rsid w:val="00985FA9"/>
    <w:rsid w:val="00991D68"/>
    <w:rsid w:val="00994F2D"/>
    <w:rsid w:val="0099577F"/>
    <w:rsid w:val="00995BC0"/>
    <w:rsid w:val="00996342"/>
    <w:rsid w:val="009969E4"/>
    <w:rsid w:val="00997052"/>
    <w:rsid w:val="00997238"/>
    <w:rsid w:val="00997CF0"/>
    <w:rsid w:val="009A29CA"/>
    <w:rsid w:val="009A2FF4"/>
    <w:rsid w:val="009A3169"/>
    <w:rsid w:val="009A3AE5"/>
    <w:rsid w:val="009A56F7"/>
    <w:rsid w:val="009A5B8E"/>
    <w:rsid w:val="009A7083"/>
    <w:rsid w:val="009B1CDB"/>
    <w:rsid w:val="009B2750"/>
    <w:rsid w:val="009B45F0"/>
    <w:rsid w:val="009B4E7E"/>
    <w:rsid w:val="009B56FA"/>
    <w:rsid w:val="009B5DE9"/>
    <w:rsid w:val="009B6BD8"/>
    <w:rsid w:val="009B760A"/>
    <w:rsid w:val="009C0B9E"/>
    <w:rsid w:val="009C1D0A"/>
    <w:rsid w:val="009C2CD5"/>
    <w:rsid w:val="009C3ED0"/>
    <w:rsid w:val="009C4563"/>
    <w:rsid w:val="009C4D65"/>
    <w:rsid w:val="009C548A"/>
    <w:rsid w:val="009C7AEE"/>
    <w:rsid w:val="009D06ED"/>
    <w:rsid w:val="009D2A77"/>
    <w:rsid w:val="009D2AE1"/>
    <w:rsid w:val="009D2F96"/>
    <w:rsid w:val="009D64BE"/>
    <w:rsid w:val="009D6658"/>
    <w:rsid w:val="009D7E0F"/>
    <w:rsid w:val="009D7F93"/>
    <w:rsid w:val="009E2720"/>
    <w:rsid w:val="009E313C"/>
    <w:rsid w:val="009E378C"/>
    <w:rsid w:val="009E3B63"/>
    <w:rsid w:val="009E40BE"/>
    <w:rsid w:val="009E7957"/>
    <w:rsid w:val="009E7E5D"/>
    <w:rsid w:val="009F04B5"/>
    <w:rsid w:val="009F0501"/>
    <w:rsid w:val="009F099E"/>
    <w:rsid w:val="009F1800"/>
    <w:rsid w:val="009F1E13"/>
    <w:rsid w:val="009F26A5"/>
    <w:rsid w:val="009F4552"/>
    <w:rsid w:val="009F4A00"/>
    <w:rsid w:val="009F4D00"/>
    <w:rsid w:val="009F6667"/>
    <w:rsid w:val="00A003DE"/>
    <w:rsid w:val="00A01525"/>
    <w:rsid w:val="00A01ACB"/>
    <w:rsid w:val="00A01C51"/>
    <w:rsid w:val="00A024DB"/>
    <w:rsid w:val="00A02F8C"/>
    <w:rsid w:val="00A10500"/>
    <w:rsid w:val="00A11543"/>
    <w:rsid w:val="00A12EBD"/>
    <w:rsid w:val="00A1480F"/>
    <w:rsid w:val="00A15632"/>
    <w:rsid w:val="00A15678"/>
    <w:rsid w:val="00A20289"/>
    <w:rsid w:val="00A2389B"/>
    <w:rsid w:val="00A23C14"/>
    <w:rsid w:val="00A2409C"/>
    <w:rsid w:val="00A24118"/>
    <w:rsid w:val="00A24EE7"/>
    <w:rsid w:val="00A251D2"/>
    <w:rsid w:val="00A25354"/>
    <w:rsid w:val="00A264D4"/>
    <w:rsid w:val="00A27BD7"/>
    <w:rsid w:val="00A30DED"/>
    <w:rsid w:val="00A31D9D"/>
    <w:rsid w:val="00A32FA7"/>
    <w:rsid w:val="00A347E6"/>
    <w:rsid w:val="00A34DE2"/>
    <w:rsid w:val="00A35187"/>
    <w:rsid w:val="00A36D51"/>
    <w:rsid w:val="00A41070"/>
    <w:rsid w:val="00A4233F"/>
    <w:rsid w:val="00A42BD8"/>
    <w:rsid w:val="00A42BF7"/>
    <w:rsid w:val="00A4325B"/>
    <w:rsid w:val="00A44A89"/>
    <w:rsid w:val="00A4525B"/>
    <w:rsid w:val="00A45333"/>
    <w:rsid w:val="00A45CC6"/>
    <w:rsid w:val="00A47575"/>
    <w:rsid w:val="00A47F90"/>
    <w:rsid w:val="00A50906"/>
    <w:rsid w:val="00A50E22"/>
    <w:rsid w:val="00A519AA"/>
    <w:rsid w:val="00A51D0A"/>
    <w:rsid w:val="00A52A8B"/>
    <w:rsid w:val="00A530CE"/>
    <w:rsid w:val="00A55069"/>
    <w:rsid w:val="00A568BF"/>
    <w:rsid w:val="00A56BDF"/>
    <w:rsid w:val="00A573BE"/>
    <w:rsid w:val="00A57D9C"/>
    <w:rsid w:val="00A6088F"/>
    <w:rsid w:val="00A6137F"/>
    <w:rsid w:val="00A6201B"/>
    <w:rsid w:val="00A62B35"/>
    <w:rsid w:val="00A63860"/>
    <w:rsid w:val="00A65884"/>
    <w:rsid w:val="00A66A7E"/>
    <w:rsid w:val="00A7058C"/>
    <w:rsid w:val="00A72670"/>
    <w:rsid w:val="00A737F6"/>
    <w:rsid w:val="00A73D64"/>
    <w:rsid w:val="00A73DAB"/>
    <w:rsid w:val="00A75898"/>
    <w:rsid w:val="00A80229"/>
    <w:rsid w:val="00A80C57"/>
    <w:rsid w:val="00A80F88"/>
    <w:rsid w:val="00A82EEE"/>
    <w:rsid w:val="00A84277"/>
    <w:rsid w:val="00A86E6F"/>
    <w:rsid w:val="00A87B17"/>
    <w:rsid w:val="00A913B4"/>
    <w:rsid w:val="00A91D18"/>
    <w:rsid w:val="00A923BB"/>
    <w:rsid w:val="00A93C20"/>
    <w:rsid w:val="00A94946"/>
    <w:rsid w:val="00A9524F"/>
    <w:rsid w:val="00A97477"/>
    <w:rsid w:val="00AA0198"/>
    <w:rsid w:val="00AA2710"/>
    <w:rsid w:val="00AA433C"/>
    <w:rsid w:val="00AA5076"/>
    <w:rsid w:val="00AA559F"/>
    <w:rsid w:val="00AA5F68"/>
    <w:rsid w:val="00AA6A82"/>
    <w:rsid w:val="00AA714C"/>
    <w:rsid w:val="00AA7F3E"/>
    <w:rsid w:val="00AB06E9"/>
    <w:rsid w:val="00AB0737"/>
    <w:rsid w:val="00AB0A6F"/>
    <w:rsid w:val="00AB1C93"/>
    <w:rsid w:val="00AB1F4C"/>
    <w:rsid w:val="00AB1FAD"/>
    <w:rsid w:val="00AB5A08"/>
    <w:rsid w:val="00AB5E7A"/>
    <w:rsid w:val="00AB6F0D"/>
    <w:rsid w:val="00AC2401"/>
    <w:rsid w:val="00AC2B62"/>
    <w:rsid w:val="00AC3D5D"/>
    <w:rsid w:val="00AC40B4"/>
    <w:rsid w:val="00AC4675"/>
    <w:rsid w:val="00AC4FE9"/>
    <w:rsid w:val="00AC51BF"/>
    <w:rsid w:val="00AC5208"/>
    <w:rsid w:val="00AC6A57"/>
    <w:rsid w:val="00AC7085"/>
    <w:rsid w:val="00AC7A81"/>
    <w:rsid w:val="00AD0510"/>
    <w:rsid w:val="00AD0CA6"/>
    <w:rsid w:val="00AD0D05"/>
    <w:rsid w:val="00AD141A"/>
    <w:rsid w:val="00AD2092"/>
    <w:rsid w:val="00AD20F1"/>
    <w:rsid w:val="00AD231D"/>
    <w:rsid w:val="00AD247C"/>
    <w:rsid w:val="00AD4063"/>
    <w:rsid w:val="00AD4912"/>
    <w:rsid w:val="00AD4CAC"/>
    <w:rsid w:val="00AD5212"/>
    <w:rsid w:val="00AD60A3"/>
    <w:rsid w:val="00AD6EEA"/>
    <w:rsid w:val="00AD70E3"/>
    <w:rsid w:val="00AD7B39"/>
    <w:rsid w:val="00AE05F5"/>
    <w:rsid w:val="00AE0774"/>
    <w:rsid w:val="00AE207E"/>
    <w:rsid w:val="00AE2868"/>
    <w:rsid w:val="00AE373A"/>
    <w:rsid w:val="00AE3D8F"/>
    <w:rsid w:val="00AE468E"/>
    <w:rsid w:val="00AF1F05"/>
    <w:rsid w:val="00AF3467"/>
    <w:rsid w:val="00AF48BA"/>
    <w:rsid w:val="00AF4958"/>
    <w:rsid w:val="00AF6093"/>
    <w:rsid w:val="00B027E3"/>
    <w:rsid w:val="00B034EA"/>
    <w:rsid w:val="00B03F02"/>
    <w:rsid w:val="00B04076"/>
    <w:rsid w:val="00B040ED"/>
    <w:rsid w:val="00B045EB"/>
    <w:rsid w:val="00B0579A"/>
    <w:rsid w:val="00B069EA"/>
    <w:rsid w:val="00B06E7F"/>
    <w:rsid w:val="00B11050"/>
    <w:rsid w:val="00B123B8"/>
    <w:rsid w:val="00B1619A"/>
    <w:rsid w:val="00B1657F"/>
    <w:rsid w:val="00B17FA1"/>
    <w:rsid w:val="00B21754"/>
    <w:rsid w:val="00B21C5E"/>
    <w:rsid w:val="00B22BA2"/>
    <w:rsid w:val="00B22D9D"/>
    <w:rsid w:val="00B23672"/>
    <w:rsid w:val="00B238B4"/>
    <w:rsid w:val="00B23E54"/>
    <w:rsid w:val="00B24399"/>
    <w:rsid w:val="00B249DA"/>
    <w:rsid w:val="00B26281"/>
    <w:rsid w:val="00B26D5C"/>
    <w:rsid w:val="00B33805"/>
    <w:rsid w:val="00B339D7"/>
    <w:rsid w:val="00B34FA3"/>
    <w:rsid w:val="00B356A9"/>
    <w:rsid w:val="00B35D80"/>
    <w:rsid w:val="00B36BE6"/>
    <w:rsid w:val="00B37E6E"/>
    <w:rsid w:val="00B40B71"/>
    <w:rsid w:val="00B44456"/>
    <w:rsid w:val="00B45054"/>
    <w:rsid w:val="00B458C3"/>
    <w:rsid w:val="00B46907"/>
    <w:rsid w:val="00B46B23"/>
    <w:rsid w:val="00B47ED8"/>
    <w:rsid w:val="00B51BF1"/>
    <w:rsid w:val="00B52BDD"/>
    <w:rsid w:val="00B53226"/>
    <w:rsid w:val="00B53F26"/>
    <w:rsid w:val="00B54971"/>
    <w:rsid w:val="00B55425"/>
    <w:rsid w:val="00B55CE9"/>
    <w:rsid w:val="00B5645B"/>
    <w:rsid w:val="00B567B1"/>
    <w:rsid w:val="00B57413"/>
    <w:rsid w:val="00B6099F"/>
    <w:rsid w:val="00B62CA5"/>
    <w:rsid w:val="00B63A1C"/>
    <w:rsid w:val="00B63CB3"/>
    <w:rsid w:val="00B647AE"/>
    <w:rsid w:val="00B64B1E"/>
    <w:rsid w:val="00B64BA6"/>
    <w:rsid w:val="00B65646"/>
    <w:rsid w:val="00B668BF"/>
    <w:rsid w:val="00B674AB"/>
    <w:rsid w:val="00B67681"/>
    <w:rsid w:val="00B71500"/>
    <w:rsid w:val="00B7160F"/>
    <w:rsid w:val="00B7271B"/>
    <w:rsid w:val="00B72B24"/>
    <w:rsid w:val="00B73E9C"/>
    <w:rsid w:val="00B7418C"/>
    <w:rsid w:val="00B74766"/>
    <w:rsid w:val="00B7492C"/>
    <w:rsid w:val="00B75D8A"/>
    <w:rsid w:val="00B76564"/>
    <w:rsid w:val="00B76758"/>
    <w:rsid w:val="00B775B8"/>
    <w:rsid w:val="00B80FD4"/>
    <w:rsid w:val="00B8154C"/>
    <w:rsid w:val="00B843CC"/>
    <w:rsid w:val="00B87858"/>
    <w:rsid w:val="00B87CFF"/>
    <w:rsid w:val="00B909B5"/>
    <w:rsid w:val="00B912BA"/>
    <w:rsid w:val="00B91952"/>
    <w:rsid w:val="00B93A31"/>
    <w:rsid w:val="00B96D5D"/>
    <w:rsid w:val="00BA04E1"/>
    <w:rsid w:val="00BA0638"/>
    <w:rsid w:val="00BA22F7"/>
    <w:rsid w:val="00BA2696"/>
    <w:rsid w:val="00BA2737"/>
    <w:rsid w:val="00BA2DC2"/>
    <w:rsid w:val="00BA3B54"/>
    <w:rsid w:val="00BA3EB5"/>
    <w:rsid w:val="00BA5F70"/>
    <w:rsid w:val="00BA6820"/>
    <w:rsid w:val="00BA68D5"/>
    <w:rsid w:val="00BA6A75"/>
    <w:rsid w:val="00BA719E"/>
    <w:rsid w:val="00BA7C58"/>
    <w:rsid w:val="00BB1B26"/>
    <w:rsid w:val="00BB1D6C"/>
    <w:rsid w:val="00BB2C57"/>
    <w:rsid w:val="00BB2DAC"/>
    <w:rsid w:val="00BB32AB"/>
    <w:rsid w:val="00BB43B0"/>
    <w:rsid w:val="00BB4787"/>
    <w:rsid w:val="00BB7820"/>
    <w:rsid w:val="00BC096D"/>
    <w:rsid w:val="00BC0AA0"/>
    <w:rsid w:val="00BC0B1E"/>
    <w:rsid w:val="00BC1577"/>
    <w:rsid w:val="00BC164A"/>
    <w:rsid w:val="00BC1D69"/>
    <w:rsid w:val="00BC28E4"/>
    <w:rsid w:val="00BC29A8"/>
    <w:rsid w:val="00BC2C6C"/>
    <w:rsid w:val="00BC39E6"/>
    <w:rsid w:val="00BC3D4F"/>
    <w:rsid w:val="00BC5176"/>
    <w:rsid w:val="00BC5BA4"/>
    <w:rsid w:val="00BC6B60"/>
    <w:rsid w:val="00BD0E64"/>
    <w:rsid w:val="00BD11C7"/>
    <w:rsid w:val="00BD139F"/>
    <w:rsid w:val="00BD1758"/>
    <w:rsid w:val="00BD2310"/>
    <w:rsid w:val="00BD2C27"/>
    <w:rsid w:val="00BD40E7"/>
    <w:rsid w:val="00BD4469"/>
    <w:rsid w:val="00BD44AF"/>
    <w:rsid w:val="00BD5324"/>
    <w:rsid w:val="00BD5432"/>
    <w:rsid w:val="00BD572B"/>
    <w:rsid w:val="00BD5BA4"/>
    <w:rsid w:val="00BD5C20"/>
    <w:rsid w:val="00BD65D3"/>
    <w:rsid w:val="00BD72A6"/>
    <w:rsid w:val="00BE0531"/>
    <w:rsid w:val="00BE149F"/>
    <w:rsid w:val="00BE1C3A"/>
    <w:rsid w:val="00BE25A2"/>
    <w:rsid w:val="00BE3317"/>
    <w:rsid w:val="00BE3BC5"/>
    <w:rsid w:val="00BE3E09"/>
    <w:rsid w:val="00BE4C3C"/>
    <w:rsid w:val="00BE6E2B"/>
    <w:rsid w:val="00BE73A9"/>
    <w:rsid w:val="00BE7B9A"/>
    <w:rsid w:val="00BF02F4"/>
    <w:rsid w:val="00BF4133"/>
    <w:rsid w:val="00BF4982"/>
    <w:rsid w:val="00BF4D3C"/>
    <w:rsid w:val="00BF4DB8"/>
    <w:rsid w:val="00BF5F6A"/>
    <w:rsid w:val="00C01CB2"/>
    <w:rsid w:val="00C02DDD"/>
    <w:rsid w:val="00C0428D"/>
    <w:rsid w:val="00C045E0"/>
    <w:rsid w:val="00C04C02"/>
    <w:rsid w:val="00C04C35"/>
    <w:rsid w:val="00C0735E"/>
    <w:rsid w:val="00C079E1"/>
    <w:rsid w:val="00C07BA9"/>
    <w:rsid w:val="00C10373"/>
    <w:rsid w:val="00C10E3C"/>
    <w:rsid w:val="00C1441B"/>
    <w:rsid w:val="00C1680C"/>
    <w:rsid w:val="00C17553"/>
    <w:rsid w:val="00C2090E"/>
    <w:rsid w:val="00C22C94"/>
    <w:rsid w:val="00C24D71"/>
    <w:rsid w:val="00C25F4A"/>
    <w:rsid w:val="00C328F2"/>
    <w:rsid w:val="00C33C9C"/>
    <w:rsid w:val="00C34044"/>
    <w:rsid w:val="00C340D5"/>
    <w:rsid w:val="00C343D0"/>
    <w:rsid w:val="00C359B2"/>
    <w:rsid w:val="00C37289"/>
    <w:rsid w:val="00C400F9"/>
    <w:rsid w:val="00C40AE7"/>
    <w:rsid w:val="00C410B1"/>
    <w:rsid w:val="00C41CCC"/>
    <w:rsid w:val="00C433DF"/>
    <w:rsid w:val="00C437A6"/>
    <w:rsid w:val="00C45690"/>
    <w:rsid w:val="00C47ED6"/>
    <w:rsid w:val="00C50237"/>
    <w:rsid w:val="00C502D7"/>
    <w:rsid w:val="00C50908"/>
    <w:rsid w:val="00C50EC0"/>
    <w:rsid w:val="00C5150A"/>
    <w:rsid w:val="00C53279"/>
    <w:rsid w:val="00C535F4"/>
    <w:rsid w:val="00C53841"/>
    <w:rsid w:val="00C53854"/>
    <w:rsid w:val="00C53B54"/>
    <w:rsid w:val="00C55FDA"/>
    <w:rsid w:val="00C55FFC"/>
    <w:rsid w:val="00C56023"/>
    <w:rsid w:val="00C57F3E"/>
    <w:rsid w:val="00C61964"/>
    <w:rsid w:val="00C6441C"/>
    <w:rsid w:val="00C64705"/>
    <w:rsid w:val="00C65C95"/>
    <w:rsid w:val="00C672AD"/>
    <w:rsid w:val="00C71031"/>
    <w:rsid w:val="00C7153F"/>
    <w:rsid w:val="00C71F00"/>
    <w:rsid w:val="00C726C3"/>
    <w:rsid w:val="00C727F6"/>
    <w:rsid w:val="00C72A6F"/>
    <w:rsid w:val="00C72F97"/>
    <w:rsid w:val="00C7348B"/>
    <w:rsid w:val="00C76234"/>
    <w:rsid w:val="00C76AD8"/>
    <w:rsid w:val="00C76C2F"/>
    <w:rsid w:val="00C77A63"/>
    <w:rsid w:val="00C81609"/>
    <w:rsid w:val="00C83782"/>
    <w:rsid w:val="00C85649"/>
    <w:rsid w:val="00C85F8F"/>
    <w:rsid w:val="00C90D3D"/>
    <w:rsid w:val="00C928B3"/>
    <w:rsid w:val="00C9394A"/>
    <w:rsid w:val="00C93BA5"/>
    <w:rsid w:val="00C95F27"/>
    <w:rsid w:val="00C96CB8"/>
    <w:rsid w:val="00C97450"/>
    <w:rsid w:val="00C976EC"/>
    <w:rsid w:val="00C97AD3"/>
    <w:rsid w:val="00C97C6F"/>
    <w:rsid w:val="00C97F1E"/>
    <w:rsid w:val="00CA2028"/>
    <w:rsid w:val="00CA4C8B"/>
    <w:rsid w:val="00CA7019"/>
    <w:rsid w:val="00CA7B8A"/>
    <w:rsid w:val="00CB4351"/>
    <w:rsid w:val="00CB4D55"/>
    <w:rsid w:val="00CB50A7"/>
    <w:rsid w:val="00CC1B10"/>
    <w:rsid w:val="00CC1FEB"/>
    <w:rsid w:val="00CC230A"/>
    <w:rsid w:val="00CC50D4"/>
    <w:rsid w:val="00CC5DB2"/>
    <w:rsid w:val="00CC6AC5"/>
    <w:rsid w:val="00CC7DD8"/>
    <w:rsid w:val="00CD1976"/>
    <w:rsid w:val="00CD29B3"/>
    <w:rsid w:val="00CD2FE8"/>
    <w:rsid w:val="00CD4A80"/>
    <w:rsid w:val="00CD5390"/>
    <w:rsid w:val="00CD5F35"/>
    <w:rsid w:val="00CD769D"/>
    <w:rsid w:val="00CE09C6"/>
    <w:rsid w:val="00CE12F4"/>
    <w:rsid w:val="00CE1957"/>
    <w:rsid w:val="00CE1EA7"/>
    <w:rsid w:val="00CE3252"/>
    <w:rsid w:val="00CE353F"/>
    <w:rsid w:val="00CE4077"/>
    <w:rsid w:val="00CE4A75"/>
    <w:rsid w:val="00CE69DD"/>
    <w:rsid w:val="00CE6CAB"/>
    <w:rsid w:val="00CE6F6D"/>
    <w:rsid w:val="00CE768B"/>
    <w:rsid w:val="00CE7FE0"/>
    <w:rsid w:val="00CF0EFB"/>
    <w:rsid w:val="00CF1CC8"/>
    <w:rsid w:val="00CF31D5"/>
    <w:rsid w:val="00CF327A"/>
    <w:rsid w:val="00CF3DCB"/>
    <w:rsid w:val="00CF563C"/>
    <w:rsid w:val="00CF58EA"/>
    <w:rsid w:val="00CF5A72"/>
    <w:rsid w:val="00CF74F5"/>
    <w:rsid w:val="00CF7605"/>
    <w:rsid w:val="00D02CB1"/>
    <w:rsid w:val="00D04BB4"/>
    <w:rsid w:val="00D04CB2"/>
    <w:rsid w:val="00D06FAF"/>
    <w:rsid w:val="00D103A2"/>
    <w:rsid w:val="00D120EB"/>
    <w:rsid w:val="00D12695"/>
    <w:rsid w:val="00D131A4"/>
    <w:rsid w:val="00D139C6"/>
    <w:rsid w:val="00D15A75"/>
    <w:rsid w:val="00D17213"/>
    <w:rsid w:val="00D17CFF"/>
    <w:rsid w:val="00D20ACD"/>
    <w:rsid w:val="00D211AC"/>
    <w:rsid w:val="00D23499"/>
    <w:rsid w:val="00D237FF"/>
    <w:rsid w:val="00D2399A"/>
    <w:rsid w:val="00D23E39"/>
    <w:rsid w:val="00D23E3B"/>
    <w:rsid w:val="00D25A8F"/>
    <w:rsid w:val="00D2767A"/>
    <w:rsid w:val="00D308ED"/>
    <w:rsid w:val="00D3161B"/>
    <w:rsid w:val="00D31CE4"/>
    <w:rsid w:val="00D3255A"/>
    <w:rsid w:val="00D32B5C"/>
    <w:rsid w:val="00D3483E"/>
    <w:rsid w:val="00D354FE"/>
    <w:rsid w:val="00D35BDB"/>
    <w:rsid w:val="00D41B33"/>
    <w:rsid w:val="00D42A25"/>
    <w:rsid w:val="00D42D48"/>
    <w:rsid w:val="00D42E0B"/>
    <w:rsid w:val="00D4325B"/>
    <w:rsid w:val="00D44332"/>
    <w:rsid w:val="00D4493C"/>
    <w:rsid w:val="00D44964"/>
    <w:rsid w:val="00D44B7E"/>
    <w:rsid w:val="00D45C00"/>
    <w:rsid w:val="00D45D47"/>
    <w:rsid w:val="00D4608C"/>
    <w:rsid w:val="00D46833"/>
    <w:rsid w:val="00D46BC3"/>
    <w:rsid w:val="00D46CFC"/>
    <w:rsid w:val="00D474BB"/>
    <w:rsid w:val="00D474C8"/>
    <w:rsid w:val="00D479A0"/>
    <w:rsid w:val="00D5070C"/>
    <w:rsid w:val="00D51111"/>
    <w:rsid w:val="00D511D0"/>
    <w:rsid w:val="00D51D1C"/>
    <w:rsid w:val="00D5289D"/>
    <w:rsid w:val="00D5576D"/>
    <w:rsid w:val="00D56114"/>
    <w:rsid w:val="00D572AE"/>
    <w:rsid w:val="00D57A7A"/>
    <w:rsid w:val="00D60983"/>
    <w:rsid w:val="00D63F04"/>
    <w:rsid w:val="00D64A79"/>
    <w:rsid w:val="00D65128"/>
    <w:rsid w:val="00D657B6"/>
    <w:rsid w:val="00D65E53"/>
    <w:rsid w:val="00D66AC7"/>
    <w:rsid w:val="00D67D7C"/>
    <w:rsid w:val="00D70361"/>
    <w:rsid w:val="00D705E6"/>
    <w:rsid w:val="00D71BE1"/>
    <w:rsid w:val="00D7335F"/>
    <w:rsid w:val="00D82321"/>
    <w:rsid w:val="00D83AC3"/>
    <w:rsid w:val="00D84D72"/>
    <w:rsid w:val="00D851EB"/>
    <w:rsid w:val="00D86D42"/>
    <w:rsid w:val="00D86D6C"/>
    <w:rsid w:val="00D8724F"/>
    <w:rsid w:val="00D87ADE"/>
    <w:rsid w:val="00D87EBC"/>
    <w:rsid w:val="00D90B43"/>
    <w:rsid w:val="00D90CE6"/>
    <w:rsid w:val="00D90F4D"/>
    <w:rsid w:val="00D9438D"/>
    <w:rsid w:val="00D96FE1"/>
    <w:rsid w:val="00D97C84"/>
    <w:rsid w:val="00D97FF5"/>
    <w:rsid w:val="00DA053F"/>
    <w:rsid w:val="00DA21FF"/>
    <w:rsid w:val="00DA48A0"/>
    <w:rsid w:val="00DA4A8C"/>
    <w:rsid w:val="00DA5271"/>
    <w:rsid w:val="00DA7866"/>
    <w:rsid w:val="00DA79C4"/>
    <w:rsid w:val="00DB034A"/>
    <w:rsid w:val="00DB0F7A"/>
    <w:rsid w:val="00DB160C"/>
    <w:rsid w:val="00DB54A2"/>
    <w:rsid w:val="00DB63E9"/>
    <w:rsid w:val="00DC21EB"/>
    <w:rsid w:val="00DC3878"/>
    <w:rsid w:val="00DC41FC"/>
    <w:rsid w:val="00DC4D03"/>
    <w:rsid w:val="00DC5640"/>
    <w:rsid w:val="00DC5BA4"/>
    <w:rsid w:val="00DC71E9"/>
    <w:rsid w:val="00DD0588"/>
    <w:rsid w:val="00DD144F"/>
    <w:rsid w:val="00DD2A5B"/>
    <w:rsid w:val="00DD34D2"/>
    <w:rsid w:val="00DD379A"/>
    <w:rsid w:val="00DD3E7A"/>
    <w:rsid w:val="00DD66BE"/>
    <w:rsid w:val="00DD7B63"/>
    <w:rsid w:val="00DE0A06"/>
    <w:rsid w:val="00DE0C40"/>
    <w:rsid w:val="00DE32F6"/>
    <w:rsid w:val="00DE3D8C"/>
    <w:rsid w:val="00DE452B"/>
    <w:rsid w:val="00DE4875"/>
    <w:rsid w:val="00DE5225"/>
    <w:rsid w:val="00DE529E"/>
    <w:rsid w:val="00DE5E71"/>
    <w:rsid w:val="00DF003C"/>
    <w:rsid w:val="00DF01B9"/>
    <w:rsid w:val="00DF253D"/>
    <w:rsid w:val="00DF34D5"/>
    <w:rsid w:val="00DF5B17"/>
    <w:rsid w:val="00DF5F25"/>
    <w:rsid w:val="00E0026C"/>
    <w:rsid w:val="00E008AF"/>
    <w:rsid w:val="00E00C6F"/>
    <w:rsid w:val="00E00D3F"/>
    <w:rsid w:val="00E00F45"/>
    <w:rsid w:val="00E01737"/>
    <w:rsid w:val="00E02641"/>
    <w:rsid w:val="00E027B7"/>
    <w:rsid w:val="00E0438B"/>
    <w:rsid w:val="00E047BA"/>
    <w:rsid w:val="00E048E0"/>
    <w:rsid w:val="00E0506F"/>
    <w:rsid w:val="00E06EF4"/>
    <w:rsid w:val="00E078E9"/>
    <w:rsid w:val="00E108F3"/>
    <w:rsid w:val="00E12EFB"/>
    <w:rsid w:val="00E13913"/>
    <w:rsid w:val="00E14E44"/>
    <w:rsid w:val="00E164E2"/>
    <w:rsid w:val="00E16A7C"/>
    <w:rsid w:val="00E17906"/>
    <w:rsid w:val="00E20981"/>
    <w:rsid w:val="00E20E51"/>
    <w:rsid w:val="00E20FB6"/>
    <w:rsid w:val="00E21323"/>
    <w:rsid w:val="00E2193E"/>
    <w:rsid w:val="00E22B04"/>
    <w:rsid w:val="00E23085"/>
    <w:rsid w:val="00E24699"/>
    <w:rsid w:val="00E257BD"/>
    <w:rsid w:val="00E2739E"/>
    <w:rsid w:val="00E277BC"/>
    <w:rsid w:val="00E27F1A"/>
    <w:rsid w:val="00E33875"/>
    <w:rsid w:val="00E354E6"/>
    <w:rsid w:val="00E36F8A"/>
    <w:rsid w:val="00E372F2"/>
    <w:rsid w:val="00E3736B"/>
    <w:rsid w:val="00E37832"/>
    <w:rsid w:val="00E37B88"/>
    <w:rsid w:val="00E410C2"/>
    <w:rsid w:val="00E41E21"/>
    <w:rsid w:val="00E4315E"/>
    <w:rsid w:val="00E44A05"/>
    <w:rsid w:val="00E44CFC"/>
    <w:rsid w:val="00E44FFF"/>
    <w:rsid w:val="00E451F3"/>
    <w:rsid w:val="00E52260"/>
    <w:rsid w:val="00E5230E"/>
    <w:rsid w:val="00E52A82"/>
    <w:rsid w:val="00E55D8E"/>
    <w:rsid w:val="00E56164"/>
    <w:rsid w:val="00E5670E"/>
    <w:rsid w:val="00E569AB"/>
    <w:rsid w:val="00E56ECB"/>
    <w:rsid w:val="00E578A9"/>
    <w:rsid w:val="00E605A1"/>
    <w:rsid w:val="00E609B5"/>
    <w:rsid w:val="00E60EB5"/>
    <w:rsid w:val="00E6253C"/>
    <w:rsid w:val="00E62D03"/>
    <w:rsid w:val="00E6327E"/>
    <w:rsid w:val="00E63CD4"/>
    <w:rsid w:val="00E66897"/>
    <w:rsid w:val="00E66E84"/>
    <w:rsid w:val="00E6768E"/>
    <w:rsid w:val="00E706FE"/>
    <w:rsid w:val="00E71177"/>
    <w:rsid w:val="00E71C15"/>
    <w:rsid w:val="00E72C6C"/>
    <w:rsid w:val="00E74F51"/>
    <w:rsid w:val="00E7585C"/>
    <w:rsid w:val="00E76C8F"/>
    <w:rsid w:val="00E81BC8"/>
    <w:rsid w:val="00E8265B"/>
    <w:rsid w:val="00E82C50"/>
    <w:rsid w:val="00E84C67"/>
    <w:rsid w:val="00E85938"/>
    <w:rsid w:val="00E85C5F"/>
    <w:rsid w:val="00E8668E"/>
    <w:rsid w:val="00E866C7"/>
    <w:rsid w:val="00E86D06"/>
    <w:rsid w:val="00E87A7F"/>
    <w:rsid w:val="00E92768"/>
    <w:rsid w:val="00E93CD8"/>
    <w:rsid w:val="00E94B80"/>
    <w:rsid w:val="00E95A09"/>
    <w:rsid w:val="00EA22C3"/>
    <w:rsid w:val="00EA3F7D"/>
    <w:rsid w:val="00EA47AE"/>
    <w:rsid w:val="00EA6F25"/>
    <w:rsid w:val="00EA7BEF"/>
    <w:rsid w:val="00EB03F6"/>
    <w:rsid w:val="00EB2299"/>
    <w:rsid w:val="00EB2AFB"/>
    <w:rsid w:val="00EB2B87"/>
    <w:rsid w:val="00EB363E"/>
    <w:rsid w:val="00EB5989"/>
    <w:rsid w:val="00EB5CCA"/>
    <w:rsid w:val="00EB5F79"/>
    <w:rsid w:val="00EB62CB"/>
    <w:rsid w:val="00EB79C2"/>
    <w:rsid w:val="00EC069D"/>
    <w:rsid w:val="00EC09D8"/>
    <w:rsid w:val="00EC2ACE"/>
    <w:rsid w:val="00EC3C28"/>
    <w:rsid w:val="00EC4A32"/>
    <w:rsid w:val="00EC5298"/>
    <w:rsid w:val="00EC52CB"/>
    <w:rsid w:val="00EC7528"/>
    <w:rsid w:val="00EC7A72"/>
    <w:rsid w:val="00ED1A2F"/>
    <w:rsid w:val="00ED2320"/>
    <w:rsid w:val="00ED27DB"/>
    <w:rsid w:val="00ED2FF6"/>
    <w:rsid w:val="00ED42C8"/>
    <w:rsid w:val="00ED5773"/>
    <w:rsid w:val="00ED6A0C"/>
    <w:rsid w:val="00EE1CA3"/>
    <w:rsid w:val="00EE2D6D"/>
    <w:rsid w:val="00EE3ED2"/>
    <w:rsid w:val="00EE7095"/>
    <w:rsid w:val="00EE7EF2"/>
    <w:rsid w:val="00EF0DB8"/>
    <w:rsid w:val="00EF3371"/>
    <w:rsid w:val="00EF3DAD"/>
    <w:rsid w:val="00EF45F3"/>
    <w:rsid w:val="00EF661C"/>
    <w:rsid w:val="00EF6DCF"/>
    <w:rsid w:val="00F001C5"/>
    <w:rsid w:val="00F00BEA"/>
    <w:rsid w:val="00F011B2"/>
    <w:rsid w:val="00F01991"/>
    <w:rsid w:val="00F01EF9"/>
    <w:rsid w:val="00F021A3"/>
    <w:rsid w:val="00F028F1"/>
    <w:rsid w:val="00F06EB5"/>
    <w:rsid w:val="00F11906"/>
    <w:rsid w:val="00F1191A"/>
    <w:rsid w:val="00F12B2B"/>
    <w:rsid w:val="00F14160"/>
    <w:rsid w:val="00F146E1"/>
    <w:rsid w:val="00F14EDB"/>
    <w:rsid w:val="00F15EAA"/>
    <w:rsid w:val="00F16374"/>
    <w:rsid w:val="00F16D99"/>
    <w:rsid w:val="00F17922"/>
    <w:rsid w:val="00F208C7"/>
    <w:rsid w:val="00F21106"/>
    <w:rsid w:val="00F235FC"/>
    <w:rsid w:val="00F2488D"/>
    <w:rsid w:val="00F24F41"/>
    <w:rsid w:val="00F2534C"/>
    <w:rsid w:val="00F2550C"/>
    <w:rsid w:val="00F30CF1"/>
    <w:rsid w:val="00F30E49"/>
    <w:rsid w:val="00F34A99"/>
    <w:rsid w:val="00F35345"/>
    <w:rsid w:val="00F35557"/>
    <w:rsid w:val="00F358E4"/>
    <w:rsid w:val="00F36642"/>
    <w:rsid w:val="00F367B7"/>
    <w:rsid w:val="00F37467"/>
    <w:rsid w:val="00F4128D"/>
    <w:rsid w:val="00F412BF"/>
    <w:rsid w:val="00F41C16"/>
    <w:rsid w:val="00F431FF"/>
    <w:rsid w:val="00F45F3E"/>
    <w:rsid w:val="00F46C23"/>
    <w:rsid w:val="00F46C99"/>
    <w:rsid w:val="00F4750E"/>
    <w:rsid w:val="00F475EC"/>
    <w:rsid w:val="00F477BE"/>
    <w:rsid w:val="00F47C8D"/>
    <w:rsid w:val="00F505BF"/>
    <w:rsid w:val="00F5064E"/>
    <w:rsid w:val="00F51A29"/>
    <w:rsid w:val="00F52C9A"/>
    <w:rsid w:val="00F540D2"/>
    <w:rsid w:val="00F54857"/>
    <w:rsid w:val="00F56AAC"/>
    <w:rsid w:val="00F5769A"/>
    <w:rsid w:val="00F6071D"/>
    <w:rsid w:val="00F60842"/>
    <w:rsid w:val="00F62C68"/>
    <w:rsid w:val="00F63373"/>
    <w:rsid w:val="00F63518"/>
    <w:rsid w:val="00F63B3F"/>
    <w:rsid w:val="00F653F0"/>
    <w:rsid w:val="00F65EF0"/>
    <w:rsid w:val="00F6660C"/>
    <w:rsid w:val="00F701C1"/>
    <w:rsid w:val="00F728E0"/>
    <w:rsid w:val="00F72A11"/>
    <w:rsid w:val="00F7302E"/>
    <w:rsid w:val="00F74AAE"/>
    <w:rsid w:val="00F751C0"/>
    <w:rsid w:val="00F75446"/>
    <w:rsid w:val="00F75F2E"/>
    <w:rsid w:val="00F77175"/>
    <w:rsid w:val="00F7774F"/>
    <w:rsid w:val="00F82D45"/>
    <w:rsid w:val="00F8348D"/>
    <w:rsid w:val="00F85161"/>
    <w:rsid w:val="00F87C5B"/>
    <w:rsid w:val="00F87EF9"/>
    <w:rsid w:val="00F9122D"/>
    <w:rsid w:val="00F91897"/>
    <w:rsid w:val="00F94F1C"/>
    <w:rsid w:val="00F95C2D"/>
    <w:rsid w:val="00F97440"/>
    <w:rsid w:val="00F97B6C"/>
    <w:rsid w:val="00FA00B7"/>
    <w:rsid w:val="00FA249D"/>
    <w:rsid w:val="00FA2F2C"/>
    <w:rsid w:val="00FA310C"/>
    <w:rsid w:val="00FA37BB"/>
    <w:rsid w:val="00FA586D"/>
    <w:rsid w:val="00FA63B5"/>
    <w:rsid w:val="00FB1AFD"/>
    <w:rsid w:val="00FB1EBA"/>
    <w:rsid w:val="00FB22DF"/>
    <w:rsid w:val="00FB2A70"/>
    <w:rsid w:val="00FB5960"/>
    <w:rsid w:val="00FB5BB3"/>
    <w:rsid w:val="00FB6809"/>
    <w:rsid w:val="00FB6F78"/>
    <w:rsid w:val="00FC0C62"/>
    <w:rsid w:val="00FC0F53"/>
    <w:rsid w:val="00FC169B"/>
    <w:rsid w:val="00FC5840"/>
    <w:rsid w:val="00FC6962"/>
    <w:rsid w:val="00FC6BD8"/>
    <w:rsid w:val="00FD0083"/>
    <w:rsid w:val="00FD05E4"/>
    <w:rsid w:val="00FD1F9C"/>
    <w:rsid w:val="00FD39CF"/>
    <w:rsid w:val="00FD5551"/>
    <w:rsid w:val="00FD5F9C"/>
    <w:rsid w:val="00FD7C87"/>
    <w:rsid w:val="00FE1753"/>
    <w:rsid w:val="00FE3AE2"/>
    <w:rsid w:val="00FE4595"/>
    <w:rsid w:val="00FE5355"/>
    <w:rsid w:val="00FE56F2"/>
    <w:rsid w:val="00FE6878"/>
    <w:rsid w:val="00FF067B"/>
    <w:rsid w:val="00FF197F"/>
    <w:rsid w:val="00FF1B86"/>
    <w:rsid w:val="00FF2AA8"/>
    <w:rsid w:val="00FF2B7D"/>
    <w:rsid w:val="00FF35F3"/>
    <w:rsid w:val="00FF42AF"/>
    <w:rsid w:val="00FF5033"/>
    <w:rsid w:val="00FF51AA"/>
    <w:rsid w:val="00FF5802"/>
    <w:rsid w:val="00FF69A0"/>
    <w:rsid w:val="00FF71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82311"/>
  <w15:docId w15:val="{214106B3-E29D-475B-8093-6BEE829D8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E7A"/>
  </w:style>
  <w:style w:type="paragraph" w:styleId="Heading1">
    <w:name w:val="heading 1"/>
    <w:basedOn w:val="Normal"/>
    <w:next w:val="Normal"/>
    <w:link w:val="Heading1Char"/>
    <w:uiPriority w:val="9"/>
    <w:qFormat/>
    <w:rsid w:val="00302AFC"/>
    <w:pPr>
      <w:keepNext/>
      <w:keepLines/>
      <w:spacing w:before="240" w:after="0"/>
      <w:outlineLvl w:val="0"/>
    </w:pPr>
    <w:rPr>
      <w:rFonts w:ascii="Arial" w:eastAsiaTheme="majorEastAsia" w:hAnsi="Arial" w:cstheme="majorBidi"/>
      <w:b/>
      <w:sz w:val="32"/>
      <w:szCs w:val="32"/>
    </w:rPr>
  </w:style>
  <w:style w:type="paragraph" w:styleId="Heading2">
    <w:name w:val="heading 2"/>
    <w:basedOn w:val="Normal"/>
    <w:next w:val="Normal"/>
    <w:link w:val="Heading2Char"/>
    <w:uiPriority w:val="9"/>
    <w:unhideWhenUsed/>
    <w:qFormat/>
    <w:rsid w:val="00302AFC"/>
    <w:pPr>
      <w:keepNext/>
      <w:keepLines/>
      <w:spacing w:before="40" w:after="0"/>
      <w:outlineLvl w:val="1"/>
    </w:pPr>
    <w:rPr>
      <w:rFonts w:ascii="Arial" w:eastAsiaTheme="majorEastAsia" w:hAnsi="Arial" w:cstheme="majorBidi"/>
      <w:b/>
      <w:sz w:val="24"/>
      <w:szCs w:val="26"/>
    </w:rPr>
  </w:style>
  <w:style w:type="paragraph" w:styleId="Heading3">
    <w:name w:val="heading 3"/>
    <w:basedOn w:val="Normal"/>
    <w:next w:val="Normal"/>
    <w:link w:val="Heading3Char"/>
    <w:uiPriority w:val="9"/>
    <w:unhideWhenUsed/>
    <w:qFormat/>
    <w:rsid w:val="00B91952"/>
    <w:pPr>
      <w:keepNext/>
      <w:keepLines/>
      <w:spacing w:before="160" w:after="120"/>
      <w:outlineLvl w:val="2"/>
    </w:pPr>
    <w:rPr>
      <w:rFonts w:ascii="Arial" w:eastAsiaTheme="majorEastAsia" w:hAnsi="Arial" w:cstheme="majorBidi"/>
      <w:b/>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02AFC"/>
    <w:rPr>
      <w:rFonts w:ascii="Arial" w:eastAsiaTheme="majorEastAsia" w:hAnsi="Arial" w:cstheme="majorBidi"/>
      <w:b/>
      <w:sz w:val="24"/>
      <w:szCs w:val="26"/>
    </w:rPr>
  </w:style>
  <w:style w:type="character" w:customStyle="1" w:styleId="Heading1Char">
    <w:name w:val="Heading 1 Char"/>
    <w:basedOn w:val="DefaultParagraphFont"/>
    <w:link w:val="Heading1"/>
    <w:uiPriority w:val="9"/>
    <w:rsid w:val="00302AFC"/>
    <w:rPr>
      <w:rFonts w:ascii="Arial" w:eastAsiaTheme="majorEastAsia" w:hAnsi="Arial" w:cstheme="majorBidi"/>
      <w:b/>
      <w:sz w:val="32"/>
      <w:szCs w:val="32"/>
    </w:rPr>
  </w:style>
  <w:style w:type="character" w:customStyle="1" w:styleId="Heading3Char">
    <w:name w:val="Heading 3 Char"/>
    <w:basedOn w:val="DefaultParagraphFont"/>
    <w:link w:val="Heading3"/>
    <w:uiPriority w:val="9"/>
    <w:rsid w:val="00302AFC"/>
    <w:rPr>
      <w:rFonts w:ascii="Arial" w:eastAsiaTheme="majorEastAsia" w:hAnsi="Arial" w:cstheme="majorBidi"/>
      <w:b/>
      <w:sz w:val="20"/>
      <w:szCs w:val="24"/>
    </w:rPr>
  </w:style>
  <w:style w:type="character" w:styleId="CommentReference">
    <w:name w:val="annotation reference"/>
    <w:basedOn w:val="DefaultParagraphFont"/>
    <w:uiPriority w:val="99"/>
    <w:semiHidden/>
    <w:unhideWhenUsed/>
    <w:rsid w:val="00FB5BB3"/>
    <w:rPr>
      <w:sz w:val="16"/>
      <w:szCs w:val="16"/>
    </w:rPr>
  </w:style>
  <w:style w:type="paragraph" w:styleId="CommentText">
    <w:name w:val="annotation text"/>
    <w:basedOn w:val="Normal"/>
    <w:link w:val="CommentTextChar"/>
    <w:uiPriority w:val="99"/>
    <w:unhideWhenUsed/>
    <w:rsid w:val="00FB5BB3"/>
    <w:pPr>
      <w:spacing w:line="240" w:lineRule="auto"/>
    </w:pPr>
    <w:rPr>
      <w:sz w:val="20"/>
      <w:szCs w:val="20"/>
    </w:rPr>
  </w:style>
  <w:style w:type="character" w:customStyle="1" w:styleId="CommentTextChar">
    <w:name w:val="Comment Text Char"/>
    <w:basedOn w:val="DefaultParagraphFont"/>
    <w:link w:val="CommentText"/>
    <w:uiPriority w:val="99"/>
    <w:rsid w:val="00FB5BB3"/>
    <w:rPr>
      <w:sz w:val="20"/>
      <w:szCs w:val="20"/>
    </w:rPr>
  </w:style>
  <w:style w:type="paragraph" w:styleId="CommentSubject">
    <w:name w:val="annotation subject"/>
    <w:basedOn w:val="CommentText"/>
    <w:next w:val="CommentText"/>
    <w:link w:val="CommentSubjectChar"/>
    <w:uiPriority w:val="99"/>
    <w:semiHidden/>
    <w:unhideWhenUsed/>
    <w:rsid w:val="00FB5BB3"/>
    <w:rPr>
      <w:b/>
      <w:bCs/>
    </w:rPr>
  </w:style>
  <w:style w:type="character" w:customStyle="1" w:styleId="CommentSubjectChar">
    <w:name w:val="Comment Subject Char"/>
    <w:basedOn w:val="CommentTextChar"/>
    <w:link w:val="CommentSubject"/>
    <w:uiPriority w:val="99"/>
    <w:semiHidden/>
    <w:rsid w:val="00FB5BB3"/>
    <w:rPr>
      <w:b/>
      <w:bCs/>
      <w:sz w:val="20"/>
      <w:szCs w:val="20"/>
    </w:rPr>
  </w:style>
  <w:style w:type="paragraph" w:styleId="BalloonText">
    <w:name w:val="Balloon Text"/>
    <w:basedOn w:val="Normal"/>
    <w:link w:val="BalloonTextChar"/>
    <w:uiPriority w:val="99"/>
    <w:semiHidden/>
    <w:unhideWhenUsed/>
    <w:rsid w:val="00FB5B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BB3"/>
    <w:rPr>
      <w:rFonts w:ascii="Segoe UI" w:hAnsi="Segoe UI" w:cs="Segoe UI"/>
      <w:sz w:val="18"/>
      <w:szCs w:val="18"/>
    </w:rPr>
  </w:style>
  <w:style w:type="paragraph" w:styleId="ListParagraph">
    <w:name w:val="List Paragraph"/>
    <w:basedOn w:val="Normal"/>
    <w:uiPriority w:val="34"/>
    <w:qFormat/>
    <w:rsid w:val="009E3B63"/>
    <w:pPr>
      <w:ind w:left="720"/>
      <w:contextualSpacing/>
    </w:pPr>
  </w:style>
  <w:style w:type="table" w:styleId="TableGrid">
    <w:name w:val="Table Grid"/>
    <w:basedOn w:val="TableNormal"/>
    <w:uiPriority w:val="39"/>
    <w:rsid w:val="00755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74AAE"/>
    <w:pPr>
      <w:spacing w:after="0" w:line="240" w:lineRule="auto"/>
    </w:pPr>
    <w:rPr>
      <w:rFonts w:ascii="Arial" w:hAnsi="Arial"/>
      <w:sz w:val="20"/>
    </w:rPr>
  </w:style>
  <w:style w:type="paragraph" w:styleId="NormalWeb">
    <w:name w:val="Normal (Web)"/>
    <w:basedOn w:val="Normal"/>
    <w:uiPriority w:val="99"/>
    <w:semiHidden/>
    <w:unhideWhenUsed/>
    <w:rsid w:val="00E66897"/>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Title">
    <w:name w:val="Title"/>
    <w:basedOn w:val="Normal"/>
    <w:next w:val="Normal"/>
    <w:link w:val="TitleChar"/>
    <w:uiPriority w:val="10"/>
    <w:qFormat/>
    <w:rsid w:val="00C04C0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4C02"/>
    <w:rPr>
      <w:rFonts w:asciiTheme="majorHAnsi" w:eastAsiaTheme="majorEastAsia" w:hAnsiTheme="majorHAnsi" w:cstheme="majorBidi"/>
      <w:spacing w:val="-10"/>
      <w:kern w:val="28"/>
      <w:sz w:val="56"/>
      <w:szCs w:val="56"/>
    </w:rPr>
  </w:style>
  <w:style w:type="paragraph" w:styleId="Revision">
    <w:name w:val="Revision"/>
    <w:hidden/>
    <w:uiPriority w:val="99"/>
    <w:semiHidden/>
    <w:rsid w:val="001C752B"/>
    <w:pPr>
      <w:spacing w:after="0" w:line="240" w:lineRule="auto"/>
    </w:pPr>
  </w:style>
  <w:style w:type="paragraph" w:styleId="Header">
    <w:name w:val="header"/>
    <w:basedOn w:val="Normal"/>
    <w:link w:val="HeaderChar"/>
    <w:uiPriority w:val="99"/>
    <w:unhideWhenUsed/>
    <w:rsid w:val="009D06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06ED"/>
  </w:style>
  <w:style w:type="paragraph" w:styleId="Footer">
    <w:name w:val="footer"/>
    <w:basedOn w:val="Normal"/>
    <w:link w:val="FooterChar"/>
    <w:uiPriority w:val="99"/>
    <w:unhideWhenUsed/>
    <w:rsid w:val="009D06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06ED"/>
  </w:style>
  <w:style w:type="character" w:styleId="Hyperlink">
    <w:name w:val="Hyperlink"/>
    <w:basedOn w:val="DefaultParagraphFont"/>
    <w:uiPriority w:val="99"/>
    <w:unhideWhenUsed/>
    <w:rsid w:val="002024E0"/>
    <w:rPr>
      <w:color w:val="0000FF" w:themeColor="hyperlink"/>
      <w:u w:val="single"/>
    </w:rPr>
  </w:style>
  <w:style w:type="character" w:styleId="UnresolvedMention">
    <w:name w:val="Unresolved Mention"/>
    <w:basedOn w:val="DefaultParagraphFont"/>
    <w:uiPriority w:val="99"/>
    <w:semiHidden/>
    <w:unhideWhenUsed/>
    <w:rsid w:val="002024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15413">
      <w:bodyDiv w:val="1"/>
      <w:marLeft w:val="0"/>
      <w:marRight w:val="0"/>
      <w:marTop w:val="0"/>
      <w:marBottom w:val="0"/>
      <w:divBdr>
        <w:top w:val="none" w:sz="0" w:space="0" w:color="auto"/>
        <w:left w:val="none" w:sz="0" w:space="0" w:color="auto"/>
        <w:bottom w:val="none" w:sz="0" w:space="0" w:color="auto"/>
        <w:right w:val="none" w:sz="0" w:space="0" w:color="auto"/>
      </w:divBdr>
    </w:div>
    <w:div w:id="145512674">
      <w:bodyDiv w:val="1"/>
      <w:marLeft w:val="0"/>
      <w:marRight w:val="0"/>
      <w:marTop w:val="0"/>
      <w:marBottom w:val="0"/>
      <w:divBdr>
        <w:top w:val="none" w:sz="0" w:space="0" w:color="auto"/>
        <w:left w:val="none" w:sz="0" w:space="0" w:color="auto"/>
        <w:bottom w:val="none" w:sz="0" w:space="0" w:color="auto"/>
        <w:right w:val="none" w:sz="0" w:space="0" w:color="auto"/>
      </w:divBdr>
    </w:div>
    <w:div w:id="160782465">
      <w:bodyDiv w:val="1"/>
      <w:marLeft w:val="0"/>
      <w:marRight w:val="0"/>
      <w:marTop w:val="0"/>
      <w:marBottom w:val="0"/>
      <w:divBdr>
        <w:top w:val="none" w:sz="0" w:space="0" w:color="auto"/>
        <w:left w:val="none" w:sz="0" w:space="0" w:color="auto"/>
        <w:bottom w:val="none" w:sz="0" w:space="0" w:color="auto"/>
        <w:right w:val="none" w:sz="0" w:space="0" w:color="auto"/>
      </w:divBdr>
    </w:div>
    <w:div w:id="173617518">
      <w:bodyDiv w:val="1"/>
      <w:marLeft w:val="0"/>
      <w:marRight w:val="0"/>
      <w:marTop w:val="0"/>
      <w:marBottom w:val="0"/>
      <w:divBdr>
        <w:top w:val="none" w:sz="0" w:space="0" w:color="auto"/>
        <w:left w:val="none" w:sz="0" w:space="0" w:color="auto"/>
        <w:bottom w:val="none" w:sz="0" w:space="0" w:color="auto"/>
        <w:right w:val="none" w:sz="0" w:space="0" w:color="auto"/>
      </w:divBdr>
    </w:div>
    <w:div w:id="180169655">
      <w:bodyDiv w:val="1"/>
      <w:marLeft w:val="0"/>
      <w:marRight w:val="0"/>
      <w:marTop w:val="0"/>
      <w:marBottom w:val="0"/>
      <w:divBdr>
        <w:top w:val="none" w:sz="0" w:space="0" w:color="auto"/>
        <w:left w:val="none" w:sz="0" w:space="0" w:color="auto"/>
        <w:bottom w:val="none" w:sz="0" w:space="0" w:color="auto"/>
        <w:right w:val="none" w:sz="0" w:space="0" w:color="auto"/>
      </w:divBdr>
    </w:div>
    <w:div w:id="249655228">
      <w:bodyDiv w:val="1"/>
      <w:marLeft w:val="0"/>
      <w:marRight w:val="0"/>
      <w:marTop w:val="0"/>
      <w:marBottom w:val="0"/>
      <w:divBdr>
        <w:top w:val="none" w:sz="0" w:space="0" w:color="auto"/>
        <w:left w:val="none" w:sz="0" w:space="0" w:color="auto"/>
        <w:bottom w:val="none" w:sz="0" w:space="0" w:color="auto"/>
        <w:right w:val="none" w:sz="0" w:space="0" w:color="auto"/>
      </w:divBdr>
    </w:div>
    <w:div w:id="348331648">
      <w:bodyDiv w:val="1"/>
      <w:marLeft w:val="0"/>
      <w:marRight w:val="0"/>
      <w:marTop w:val="0"/>
      <w:marBottom w:val="0"/>
      <w:divBdr>
        <w:top w:val="none" w:sz="0" w:space="0" w:color="auto"/>
        <w:left w:val="none" w:sz="0" w:space="0" w:color="auto"/>
        <w:bottom w:val="none" w:sz="0" w:space="0" w:color="auto"/>
        <w:right w:val="none" w:sz="0" w:space="0" w:color="auto"/>
      </w:divBdr>
    </w:div>
    <w:div w:id="350761015">
      <w:bodyDiv w:val="1"/>
      <w:marLeft w:val="0"/>
      <w:marRight w:val="0"/>
      <w:marTop w:val="0"/>
      <w:marBottom w:val="0"/>
      <w:divBdr>
        <w:top w:val="none" w:sz="0" w:space="0" w:color="auto"/>
        <w:left w:val="none" w:sz="0" w:space="0" w:color="auto"/>
        <w:bottom w:val="none" w:sz="0" w:space="0" w:color="auto"/>
        <w:right w:val="none" w:sz="0" w:space="0" w:color="auto"/>
      </w:divBdr>
    </w:div>
    <w:div w:id="388577160">
      <w:bodyDiv w:val="1"/>
      <w:marLeft w:val="0"/>
      <w:marRight w:val="0"/>
      <w:marTop w:val="0"/>
      <w:marBottom w:val="0"/>
      <w:divBdr>
        <w:top w:val="none" w:sz="0" w:space="0" w:color="auto"/>
        <w:left w:val="none" w:sz="0" w:space="0" w:color="auto"/>
        <w:bottom w:val="none" w:sz="0" w:space="0" w:color="auto"/>
        <w:right w:val="none" w:sz="0" w:space="0" w:color="auto"/>
      </w:divBdr>
    </w:div>
    <w:div w:id="473184980">
      <w:bodyDiv w:val="1"/>
      <w:marLeft w:val="0"/>
      <w:marRight w:val="0"/>
      <w:marTop w:val="0"/>
      <w:marBottom w:val="0"/>
      <w:divBdr>
        <w:top w:val="none" w:sz="0" w:space="0" w:color="auto"/>
        <w:left w:val="none" w:sz="0" w:space="0" w:color="auto"/>
        <w:bottom w:val="none" w:sz="0" w:space="0" w:color="auto"/>
        <w:right w:val="none" w:sz="0" w:space="0" w:color="auto"/>
      </w:divBdr>
    </w:div>
    <w:div w:id="1043991086">
      <w:bodyDiv w:val="1"/>
      <w:marLeft w:val="0"/>
      <w:marRight w:val="0"/>
      <w:marTop w:val="0"/>
      <w:marBottom w:val="0"/>
      <w:divBdr>
        <w:top w:val="none" w:sz="0" w:space="0" w:color="auto"/>
        <w:left w:val="none" w:sz="0" w:space="0" w:color="auto"/>
        <w:bottom w:val="none" w:sz="0" w:space="0" w:color="auto"/>
        <w:right w:val="none" w:sz="0" w:space="0" w:color="auto"/>
      </w:divBdr>
    </w:div>
    <w:div w:id="1106922871">
      <w:bodyDiv w:val="1"/>
      <w:marLeft w:val="0"/>
      <w:marRight w:val="0"/>
      <w:marTop w:val="0"/>
      <w:marBottom w:val="0"/>
      <w:divBdr>
        <w:top w:val="none" w:sz="0" w:space="0" w:color="auto"/>
        <w:left w:val="none" w:sz="0" w:space="0" w:color="auto"/>
        <w:bottom w:val="none" w:sz="0" w:space="0" w:color="auto"/>
        <w:right w:val="none" w:sz="0" w:space="0" w:color="auto"/>
      </w:divBdr>
    </w:div>
    <w:div w:id="1114055296">
      <w:bodyDiv w:val="1"/>
      <w:marLeft w:val="0"/>
      <w:marRight w:val="0"/>
      <w:marTop w:val="0"/>
      <w:marBottom w:val="0"/>
      <w:divBdr>
        <w:top w:val="none" w:sz="0" w:space="0" w:color="auto"/>
        <w:left w:val="none" w:sz="0" w:space="0" w:color="auto"/>
        <w:bottom w:val="none" w:sz="0" w:space="0" w:color="auto"/>
        <w:right w:val="none" w:sz="0" w:space="0" w:color="auto"/>
      </w:divBdr>
    </w:div>
    <w:div w:id="1130973510">
      <w:bodyDiv w:val="1"/>
      <w:marLeft w:val="0"/>
      <w:marRight w:val="0"/>
      <w:marTop w:val="0"/>
      <w:marBottom w:val="0"/>
      <w:divBdr>
        <w:top w:val="none" w:sz="0" w:space="0" w:color="auto"/>
        <w:left w:val="none" w:sz="0" w:space="0" w:color="auto"/>
        <w:bottom w:val="none" w:sz="0" w:space="0" w:color="auto"/>
        <w:right w:val="none" w:sz="0" w:space="0" w:color="auto"/>
      </w:divBdr>
    </w:div>
    <w:div w:id="1335256537">
      <w:bodyDiv w:val="1"/>
      <w:marLeft w:val="0"/>
      <w:marRight w:val="0"/>
      <w:marTop w:val="0"/>
      <w:marBottom w:val="0"/>
      <w:divBdr>
        <w:top w:val="none" w:sz="0" w:space="0" w:color="auto"/>
        <w:left w:val="none" w:sz="0" w:space="0" w:color="auto"/>
        <w:bottom w:val="none" w:sz="0" w:space="0" w:color="auto"/>
        <w:right w:val="none" w:sz="0" w:space="0" w:color="auto"/>
      </w:divBdr>
    </w:div>
    <w:div w:id="1575357112">
      <w:bodyDiv w:val="1"/>
      <w:marLeft w:val="0"/>
      <w:marRight w:val="0"/>
      <w:marTop w:val="0"/>
      <w:marBottom w:val="0"/>
      <w:divBdr>
        <w:top w:val="none" w:sz="0" w:space="0" w:color="auto"/>
        <w:left w:val="none" w:sz="0" w:space="0" w:color="auto"/>
        <w:bottom w:val="none" w:sz="0" w:space="0" w:color="auto"/>
        <w:right w:val="none" w:sz="0" w:space="0" w:color="auto"/>
      </w:divBdr>
    </w:div>
    <w:div w:id="1643853283">
      <w:bodyDiv w:val="1"/>
      <w:marLeft w:val="0"/>
      <w:marRight w:val="0"/>
      <w:marTop w:val="0"/>
      <w:marBottom w:val="0"/>
      <w:divBdr>
        <w:top w:val="none" w:sz="0" w:space="0" w:color="auto"/>
        <w:left w:val="none" w:sz="0" w:space="0" w:color="auto"/>
        <w:bottom w:val="none" w:sz="0" w:space="0" w:color="auto"/>
        <w:right w:val="none" w:sz="0" w:space="0" w:color="auto"/>
      </w:divBdr>
    </w:div>
    <w:div w:id="1807043012">
      <w:bodyDiv w:val="1"/>
      <w:marLeft w:val="0"/>
      <w:marRight w:val="0"/>
      <w:marTop w:val="0"/>
      <w:marBottom w:val="0"/>
      <w:divBdr>
        <w:top w:val="none" w:sz="0" w:space="0" w:color="auto"/>
        <w:left w:val="none" w:sz="0" w:space="0" w:color="auto"/>
        <w:bottom w:val="none" w:sz="0" w:space="0" w:color="auto"/>
        <w:right w:val="none" w:sz="0" w:space="0" w:color="auto"/>
      </w:divBdr>
    </w:div>
    <w:div w:id="190718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2.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sights.and.evidence@education.vic.gov.au"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edugate.eduweb.vic.gov.au/edrms/PED/Performance_Insights1/On_Track_Survey_Analysis_2021.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https://edugate.eduweb.vic.gov.au/edrms/PED/Performance_Insights1/On_Track_Survey_Analysis_202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edugate.eduweb.vic.gov.au/edrms/PED/Performance_Insights1/On_Track_Survey_Analysis_2021.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[2]Sheet1!$B$87</c:f>
              <c:strCache>
                <c:ptCount val="1"/>
                <c:pt idx="0">
                  <c:v>female completers</c:v>
                </c:pt>
              </c:strCache>
            </c:strRef>
          </c:tx>
          <c:spPr>
            <a:ln w="28575" cap="rnd">
              <a:solidFill>
                <a:schemeClr val="accent1"/>
              </a:solidFill>
              <a:round/>
            </a:ln>
            <a:effectLst/>
          </c:spPr>
          <c:marker>
            <c:symbol val="none"/>
          </c:marker>
          <c:dLbls>
            <c:dLbl>
              <c:idx val="0"/>
              <c:layout>
                <c:manualLayout>
                  <c:x val="-3.8583026113537269E-2"/>
                  <c:y val="3.098002764126264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6AF-44E5-BB50-95D65E21A092}"/>
                </c:ext>
              </c:extLst>
            </c:dLbl>
            <c:dLbl>
              <c:idx val="1"/>
              <c:layout>
                <c:manualLayout>
                  <c:x val="-3.8583026113537269E-2"/>
                  <c:y val="2.271043905329489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6AF-44E5-BB50-95D65E21A092}"/>
                </c:ext>
              </c:extLst>
            </c:dLbl>
            <c:dLbl>
              <c:idx val="2"/>
              <c:layout>
                <c:manualLayout>
                  <c:x val="-3.8583026113537269E-2"/>
                  <c:y val="3.92496162292302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6AF-44E5-BB50-95D65E21A092}"/>
                </c:ext>
              </c:extLst>
            </c:dLbl>
            <c:dLbl>
              <c:idx val="3"/>
              <c:layout>
                <c:manualLayout>
                  <c:x val="-3.8583026113537436E-2"/>
                  <c:y val="3.924961622923039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6AF-44E5-BB50-95D65E21A092}"/>
                </c:ext>
              </c:extLst>
            </c:dLbl>
            <c:dLbl>
              <c:idx val="4"/>
              <c:layout>
                <c:manualLayout>
                  <c:x val="-4.0798847075203565E-2"/>
                  <c:y val="4.338441052321426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6AF-44E5-BB50-95D65E21A092}"/>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[2]Sheet1!$C$86:$G$86</c:f>
              <c:strCache>
                <c:ptCount val="5"/>
                <c:pt idx="0">
                  <c:v>2017</c:v>
                </c:pt>
                <c:pt idx="1">
                  <c:v>2018</c:v>
                </c:pt>
                <c:pt idx="2">
                  <c:v>2019</c:v>
                </c:pt>
                <c:pt idx="3">
                  <c:v>2020</c:v>
                </c:pt>
                <c:pt idx="4">
                  <c:v>2021</c:v>
                </c:pt>
              </c:strCache>
            </c:strRef>
          </c:cat>
          <c:val>
            <c:numRef>
              <c:f>[2]Sheet1!$C$87:$G$87</c:f>
              <c:numCache>
                <c:formatCode>0.00%</c:formatCode>
                <c:ptCount val="5"/>
                <c:pt idx="0">
                  <c:v>4.5280021183635638E-2</c:v>
                </c:pt>
                <c:pt idx="1">
                  <c:v>4.3599018214700941E-2</c:v>
                </c:pt>
                <c:pt idx="2">
                  <c:v>4.5507825967041303E-2</c:v>
                </c:pt>
                <c:pt idx="3">
                  <c:v>4.8054145516074454E-2</c:v>
                </c:pt>
                <c:pt idx="4">
                  <c:v>6.3814115441274938E-2</c:v>
                </c:pt>
              </c:numCache>
            </c:numRef>
          </c:val>
          <c:smooth val="0"/>
          <c:extLst>
            <c:ext xmlns:c16="http://schemas.microsoft.com/office/drawing/2014/chart" uri="{C3380CC4-5D6E-409C-BE32-E72D297353CC}">
              <c16:uniqueId val="{00000000-235B-4BD8-AFD5-9BBDB7FBC8D7}"/>
            </c:ext>
          </c:extLst>
        </c:ser>
        <c:ser>
          <c:idx val="1"/>
          <c:order val="1"/>
          <c:tx>
            <c:strRef>
              <c:f>[2]Sheet1!$B$88</c:f>
              <c:strCache>
                <c:ptCount val="1"/>
                <c:pt idx="0">
                  <c:v>male completers</c:v>
                </c:pt>
              </c:strCache>
            </c:strRef>
          </c:tx>
          <c:spPr>
            <a:ln w="28575" cap="rnd">
              <a:solidFill>
                <a:schemeClr val="accent2"/>
              </a:solidFill>
              <a:round/>
            </a:ln>
            <a:effectLst/>
          </c:spPr>
          <c:marker>
            <c:symbol val="none"/>
          </c:marker>
          <c:dLbls>
            <c:dLbl>
              <c:idx val="0"/>
              <c:layout>
                <c:manualLayout>
                  <c:x val="-4.3635097906136448E-2"/>
                  <c:y val="3.924961622923031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46AF-44E5-BB50-95D65E21A092}"/>
                </c:ext>
              </c:extLst>
            </c:dLbl>
            <c:dLbl>
              <c:idx val="1"/>
              <c:layout>
                <c:manualLayout>
                  <c:x val="-4.3635097906136427E-2"/>
                  <c:y val="3.098002764126256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46AF-44E5-BB50-95D65E21A092}"/>
                </c:ext>
              </c:extLst>
            </c:dLbl>
            <c:dLbl>
              <c:idx val="2"/>
              <c:layout>
                <c:manualLayout>
                  <c:x val="-4.3635097906136427E-2"/>
                  <c:y val="3.51148219352464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46AF-44E5-BB50-95D65E21A092}"/>
                </c:ext>
              </c:extLst>
            </c:dLbl>
            <c:dLbl>
              <c:idx val="3"/>
              <c:layout>
                <c:manualLayout>
                  <c:x val="-4.1419276944470132E-2"/>
                  <c:y val="3.511482193524651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46AF-44E5-BB50-95D65E21A092}"/>
                </c:ext>
              </c:extLst>
            </c:dLbl>
            <c:dLbl>
              <c:idx val="4"/>
              <c:layout>
                <c:manualLayout>
                  <c:x val="-4.3635097906136594E-2"/>
                  <c:y val="3.924961622923031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46AF-44E5-BB50-95D65E21A092}"/>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[2]Sheet1!$C$86:$G$86</c:f>
              <c:strCache>
                <c:ptCount val="5"/>
                <c:pt idx="0">
                  <c:v>2017</c:v>
                </c:pt>
                <c:pt idx="1">
                  <c:v>2018</c:v>
                </c:pt>
                <c:pt idx="2">
                  <c:v>2019</c:v>
                </c:pt>
                <c:pt idx="3">
                  <c:v>2020</c:v>
                </c:pt>
                <c:pt idx="4">
                  <c:v>2021</c:v>
                </c:pt>
              </c:strCache>
            </c:strRef>
          </c:cat>
          <c:val>
            <c:numRef>
              <c:f>[2]Sheet1!$C$88:$G$88</c:f>
              <c:numCache>
                <c:formatCode>0.00%</c:formatCode>
                <c:ptCount val="5"/>
                <c:pt idx="0">
                  <c:v>0.12179782175180243</c:v>
                </c:pt>
                <c:pt idx="1">
                  <c:v>0.12698162315640035</c:v>
                </c:pt>
                <c:pt idx="2">
                  <c:v>0.12607496349180594</c:v>
                </c:pt>
                <c:pt idx="3">
                  <c:v>0.12297897294127502</c:v>
                </c:pt>
                <c:pt idx="4">
                  <c:v>0.14049859666501568</c:v>
                </c:pt>
              </c:numCache>
            </c:numRef>
          </c:val>
          <c:smooth val="0"/>
          <c:extLst>
            <c:ext xmlns:c16="http://schemas.microsoft.com/office/drawing/2014/chart" uri="{C3380CC4-5D6E-409C-BE32-E72D297353CC}">
              <c16:uniqueId val="{00000001-235B-4BD8-AFD5-9BBDB7FBC8D7}"/>
            </c:ext>
          </c:extLst>
        </c:ser>
        <c:ser>
          <c:idx val="2"/>
          <c:order val="2"/>
          <c:tx>
            <c:strRef>
              <c:f>[2]Sheet1!$B$89</c:f>
              <c:strCache>
                <c:ptCount val="1"/>
                <c:pt idx="0">
                  <c:v>female non-completers</c:v>
                </c:pt>
              </c:strCache>
            </c:strRef>
          </c:tx>
          <c:spPr>
            <a:ln w="28575" cap="rnd">
              <a:solidFill>
                <a:schemeClr val="accent3"/>
              </a:solidFill>
              <a:round/>
            </a:ln>
            <a:effectLst/>
          </c:spPr>
          <c:marker>
            <c:symbol val="none"/>
          </c:marker>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[2]Sheet1!$C$86:$G$86</c:f>
              <c:strCache>
                <c:ptCount val="5"/>
                <c:pt idx="0">
                  <c:v>2017</c:v>
                </c:pt>
                <c:pt idx="1">
                  <c:v>2018</c:v>
                </c:pt>
                <c:pt idx="2">
                  <c:v>2019</c:v>
                </c:pt>
                <c:pt idx="3">
                  <c:v>2020</c:v>
                </c:pt>
                <c:pt idx="4">
                  <c:v>2021</c:v>
                </c:pt>
              </c:strCache>
            </c:strRef>
          </c:cat>
          <c:val>
            <c:numRef>
              <c:f>[2]Sheet1!$C$89:$G$89</c:f>
              <c:numCache>
                <c:formatCode>0.00%</c:formatCode>
                <c:ptCount val="5"/>
                <c:pt idx="0">
                  <c:v>0.14918918918918919</c:v>
                </c:pt>
                <c:pt idx="1">
                  <c:v>0.13211845102505695</c:v>
                </c:pt>
                <c:pt idx="2">
                  <c:v>0.14102564102564102</c:v>
                </c:pt>
                <c:pt idx="3">
                  <c:v>0.14358974358974358</c:v>
                </c:pt>
                <c:pt idx="4">
                  <c:v>0.19584055459272098</c:v>
                </c:pt>
              </c:numCache>
            </c:numRef>
          </c:val>
          <c:smooth val="0"/>
          <c:extLst>
            <c:ext xmlns:c16="http://schemas.microsoft.com/office/drawing/2014/chart" uri="{C3380CC4-5D6E-409C-BE32-E72D297353CC}">
              <c16:uniqueId val="{00000002-235B-4BD8-AFD5-9BBDB7FBC8D7}"/>
            </c:ext>
          </c:extLst>
        </c:ser>
        <c:ser>
          <c:idx val="3"/>
          <c:order val="3"/>
          <c:tx>
            <c:strRef>
              <c:f>[2]Sheet1!$B$90</c:f>
              <c:strCache>
                <c:ptCount val="1"/>
                <c:pt idx="0">
                  <c:v>male non-completers</c:v>
                </c:pt>
              </c:strCache>
            </c:strRef>
          </c:tx>
          <c:spPr>
            <a:ln w="28575" cap="rnd">
              <a:solidFill>
                <a:schemeClr val="accent4"/>
              </a:solidFill>
              <a:round/>
            </a:ln>
            <a:effectLst/>
          </c:spPr>
          <c:marker>
            <c:symbol val="none"/>
          </c:marker>
          <c:dLbls>
            <c:dLbl>
              <c:idx val="0"/>
              <c:layout>
                <c:manualLayout>
                  <c:x val="-4.3635097906136448E-2"/>
                  <c:y val="4.751920481719813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6AF-44E5-BB50-95D65E21A092}"/>
                </c:ext>
              </c:extLst>
            </c:dLbl>
            <c:dLbl>
              <c:idx val="1"/>
              <c:layout>
                <c:manualLayout>
                  <c:x val="-4.3635097906136427E-2"/>
                  <c:y val="3.098002764126262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6AF-44E5-BB50-95D65E21A092}"/>
                </c:ext>
              </c:extLst>
            </c:dLbl>
            <c:dLbl>
              <c:idx val="2"/>
              <c:layout>
                <c:manualLayout>
                  <c:x val="-4.3635097906136427E-2"/>
                  <c:y val="3.098002764126262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6AF-44E5-BB50-95D65E21A092}"/>
                </c:ext>
              </c:extLst>
            </c:dLbl>
            <c:dLbl>
              <c:idx val="3"/>
              <c:layout>
                <c:manualLayout>
                  <c:x val="-4.3635097906136511E-2"/>
                  <c:y val="3.924961622923039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6AF-44E5-BB50-95D65E21A092}"/>
                </c:ext>
              </c:extLst>
            </c:dLbl>
            <c:dLbl>
              <c:idx val="4"/>
              <c:layout>
                <c:manualLayout>
                  <c:x val="-3.6987635021137701E-2"/>
                  <c:y val="4.751920481719813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6AF-44E5-BB50-95D65E21A092}"/>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[2]Sheet1!$C$86:$G$86</c:f>
              <c:strCache>
                <c:ptCount val="5"/>
                <c:pt idx="0">
                  <c:v>2017</c:v>
                </c:pt>
                <c:pt idx="1">
                  <c:v>2018</c:v>
                </c:pt>
                <c:pt idx="2">
                  <c:v>2019</c:v>
                </c:pt>
                <c:pt idx="3">
                  <c:v>2020</c:v>
                </c:pt>
                <c:pt idx="4">
                  <c:v>2021</c:v>
                </c:pt>
              </c:strCache>
            </c:strRef>
          </c:cat>
          <c:val>
            <c:numRef>
              <c:f>[2]Sheet1!$C$90:$G$90</c:f>
              <c:numCache>
                <c:formatCode>0.00%</c:formatCode>
                <c:ptCount val="5"/>
                <c:pt idx="0">
                  <c:v>0.42538354253835425</c:v>
                </c:pt>
                <c:pt idx="1">
                  <c:v>0.43284574468085107</c:v>
                </c:pt>
                <c:pt idx="2">
                  <c:v>0.43494423791821563</c:v>
                </c:pt>
                <c:pt idx="3">
                  <c:v>0.40212071778140296</c:v>
                </c:pt>
                <c:pt idx="4">
                  <c:v>0.44616788321167883</c:v>
                </c:pt>
              </c:numCache>
            </c:numRef>
          </c:val>
          <c:smooth val="0"/>
          <c:extLst>
            <c:ext xmlns:c16="http://schemas.microsoft.com/office/drawing/2014/chart" uri="{C3380CC4-5D6E-409C-BE32-E72D297353CC}">
              <c16:uniqueId val="{00000003-235B-4BD8-AFD5-9BBDB7FBC8D7}"/>
            </c:ext>
          </c:extLst>
        </c:ser>
        <c:dLbls>
          <c:showLegendKey val="0"/>
          <c:showVal val="0"/>
          <c:showCatName val="0"/>
          <c:showSerName val="0"/>
          <c:showPercent val="0"/>
          <c:showBubbleSize val="0"/>
        </c:dLbls>
        <c:smooth val="0"/>
        <c:axId val="385377807"/>
        <c:axId val="385379471"/>
      </c:lineChart>
      <c:catAx>
        <c:axId val="3853778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5379471"/>
        <c:crosses val="autoZero"/>
        <c:auto val="1"/>
        <c:lblAlgn val="ctr"/>
        <c:lblOffset val="100"/>
        <c:noMultiLvlLbl val="0"/>
      </c:catAx>
      <c:valAx>
        <c:axId val="38537947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537780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'Snapshot charts'!$A$52</c:f>
              <c:strCache>
                <c:ptCount val="1"/>
                <c:pt idx="0">
                  <c:v>female NILFET</c:v>
                </c:pt>
              </c:strCache>
            </c:strRef>
          </c:tx>
          <c:spPr>
            <a:ln w="28575" cap="rnd">
              <a:solidFill>
                <a:schemeClr val="accent1"/>
              </a:solidFill>
              <a:round/>
            </a:ln>
            <a:effectLst/>
          </c:spPr>
          <c:marker>
            <c:symbol val="none"/>
          </c:marker>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'Snapshot charts'!$B$51:$F$51</c:f>
              <c:strCache>
                <c:ptCount val="5"/>
                <c:pt idx="0">
                  <c:v>2017</c:v>
                </c:pt>
                <c:pt idx="1">
                  <c:v>2018</c:v>
                </c:pt>
                <c:pt idx="2">
                  <c:v>2019</c:v>
                </c:pt>
                <c:pt idx="3">
                  <c:v>2020</c:v>
                </c:pt>
                <c:pt idx="4">
                  <c:v>2021</c:v>
                </c:pt>
              </c:strCache>
            </c:strRef>
          </c:cat>
          <c:val>
            <c:numRef>
              <c:f>'Snapshot charts'!$B$52:$F$52</c:f>
              <c:numCache>
                <c:formatCode>0.00%</c:formatCode>
                <c:ptCount val="5"/>
                <c:pt idx="0">
                  <c:v>7.7837837837837834E-2</c:v>
                </c:pt>
                <c:pt idx="1">
                  <c:v>6.2642369020501146E-2</c:v>
                </c:pt>
                <c:pt idx="2">
                  <c:v>5.5128205128205127E-2</c:v>
                </c:pt>
                <c:pt idx="3">
                  <c:v>8.2051282051282051E-2</c:v>
                </c:pt>
                <c:pt idx="4">
                  <c:v>6.2391681109185443E-2</c:v>
                </c:pt>
              </c:numCache>
            </c:numRef>
          </c:val>
          <c:smooth val="0"/>
          <c:extLst>
            <c:ext xmlns:c16="http://schemas.microsoft.com/office/drawing/2014/chart" uri="{C3380CC4-5D6E-409C-BE32-E72D297353CC}">
              <c16:uniqueId val="{00000000-461D-4E3B-B2C7-3BA6DDB65D2A}"/>
            </c:ext>
          </c:extLst>
        </c:ser>
        <c:ser>
          <c:idx val="1"/>
          <c:order val="1"/>
          <c:tx>
            <c:strRef>
              <c:f>'Snapshot charts'!$A$53</c:f>
              <c:strCache>
                <c:ptCount val="1"/>
                <c:pt idx="0">
                  <c:v>male NILFET</c:v>
                </c:pt>
              </c:strCache>
            </c:strRef>
          </c:tx>
          <c:spPr>
            <a:ln w="28575" cap="rnd">
              <a:solidFill>
                <a:schemeClr val="accent2"/>
              </a:solidFill>
              <a:round/>
            </a:ln>
            <a:effectLst/>
          </c:spPr>
          <c:marker>
            <c:symbol val="none"/>
          </c:marker>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'Snapshot charts'!$B$51:$F$51</c:f>
              <c:strCache>
                <c:ptCount val="5"/>
                <c:pt idx="0">
                  <c:v>2017</c:v>
                </c:pt>
                <c:pt idx="1">
                  <c:v>2018</c:v>
                </c:pt>
                <c:pt idx="2">
                  <c:v>2019</c:v>
                </c:pt>
                <c:pt idx="3">
                  <c:v>2020</c:v>
                </c:pt>
                <c:pt idx="4">
                  <c:v>2021</c:v>
                </c:pt>
              </c:strCache>
            </c:strRef>
          </c:cat>
          <c:val>
            <c:numRef>
              <c:f>'Snapshot charts'!$B$53:$F$53</c:f>
              <c:numCache>
                <c:formatCode>0.00%</c:formatCode>
                <c:ptCount val="5"/>
                <c:pt idx="0">
                  <c:v>4.6025104602510462E-2</c:v>
                </c:pt>
                <c:pt idx="1">
                  <c:v>3.9893617021276598E-2</c:v>
                </c:pt>
                <c:pt idx="2">
                  <c:v>4.0892193308550186E-2</c:v>
                </c:pt>
                <c:pt idx="3">
                  <c:v>6.2805872756933112E-2</c:v>
                </c:pt>
                <c:pt idx="4">
                  <c:v>4.1970802919708027E-2</c:v>
                </c:pt>
              </c:numCache>
            </c:numRef>
          </c:val>
          <c:smooth val="0"/>
          <c:extLst>
            <c:ext xmlns:c16="http://schemas.microsoft.com/office/drawing/2014/chart" uri="{C3380CC4-5D6E-409C-BE32-E72D297353CC}">
              <c16:uniqueId val="{00000001-461D-4E3B-B2C7-3BA6DDB65D2A}"/>
            </c:ext>
          </c:extLst>
        </c:ser>
        <c:dLbls>
          <c:dLblPos val="t"/>
          <c:showLegendKey val="0"/>
          <c:showVal val="1"/>
          <c:showCatName val="0"/>
          <c:showSerName val="0"/>
          <c:showPercent val="0"/>
          <c:showBubbleSize val="0"/>
        </c:dLbls>
        <c:smooth val="0"/>
        <c:axId val="1092489311"/>
        <c:axId val="1092510943"/>
      </c:lineChart>
      <c:catAx>
        <c:axId val="10924893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2510943"/>
        <c:crosses val="autoZero"/>
        <c:auto val="1"/>
        <c:lblAlgn val="ctr"/>
        <c:lblOffset val="100"/>
        <c:noMultiLvlLbl val="0"/>
      </c:catAx>
      <c:valAx>
        <c:axId val="10925109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24893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'Snapshot charts'!$B$18</c:f>
              <c:strCache>
                <c:ptCount val="1"/>
                <c:pt idx="0">
                  <c:v>Y12 completers</c:v>
                </c:pt>
              </c:strCache>
            </c:strRef>
          </c:tx>
          <c:spPr>
            <a:ln w="28575" cap="rnd">
              <a:solidFill>
                <a:schemeClr val="accent1"/>
              </a:solidFill>
              <a:round/>
            </a:ln>
            <a:effectLst/>
          </c:spPr>
          <c:marker>
            <c:symbol val="none"/>
          </c:marker>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'Snapshot charts'!$A$19:$A$23</c:f>
              <c:numCache>
                <c:formatCode>General</c:formatCode>
                <c:ptCount val="5"/>
                <c:pt idx="0">
                  <c:v>2017</c:v>
                </c:pt>
                <c:pt idx="1">
                  <c:v>2018</c:v>
                </c:pt>
                <c:pt idx="2">
                  <c:v>2019</c:v>
                </c:pt>
                <c:pt idx="3">
                  <c:v>2020</c:v>
                </c:pt>
                <c:pt idx="4">
                  <c:v>2021</c:v>
                </c:pt>
              </c:numCache>
            </c:numRef>
          </c:cat>
          <c:val>
            <c:numRef>
              <c:f>'Snapshot charts'!$B$19:$B$23</c:f>
              <c:numCache>
                <c:formatCode>0.0%</c:formatCode>
                <c:ptCount val="5"/>
                <c:pt idx="0">
                  <c:v>0.498</c:v>
                </c:pt>
                <c:pt idx="1">
                  <c:v>0.49</c:v>
                </c:pt>
                <c:pt idx="2">
                  <c:v>0.46300000000000002</c:v>
                </c:pt>
                <c:pt idx="3">
                  <c:v>0.47299999999999998</c:v>
                </c:pt>
                <c:pt idx="4">
                  <c:v>0.46600000000000003</c:v>
                </c:pt>
              </c:numCache>
            </c:numRef>
          </c:val>
          <c:smooth val="0"/>
          <c:extLst>
            <c:ext xmlns:c16="http://schemas.microsoft.com/office/drawing/2014/chart" uri="{C3380CC4-5D6E-409C-BE32-E72D297353CC}">
              <c16:uniqueId val="{00000000-BCF0-472A-9305-56A221DBF300}"/>
            </c:ext>
          </c:extLst>
        </c:ser>
        <c:ser>
          <c:idx val="1"/>
          <c:order val="1"/>
          <c:tx>
            <c:strRef>
              <c:f>'Snapshot charts'!$C$18</c:f>
              <c:strCache>
                <c:ptCount val="1"/>
                <c:pt idx="0">
                  <c:v>Y12 non-completers</c:v>
                </c:pt>
              </c:strCache>
            </c:strRef>
          </c:tx>
          <c:spPr>
            <a:ln w="28575" cap="rnd">
              <a:solidFill>
                <a:schemeClr val="accent2"/>
              </a:solidFill>
              <a:round/>
            </a:ln>
            <a:effectLst/>
          </c:spPr>
          <c:marker>
            <c:symbol val="none"/>
          </c:marker>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'Snapshot charts'!$A$19:$A$23</c:f>
              <c:numCache>
                <c:formatCode>General</c:formatCode>
                <c:ptCount val="5"/>
                <c:pt idx="0">
                  <c:v>2017</c:v>
                </c:pt>
                <c:pt idx="1">
                  <c:v>2018</c:v>
                </c:pt>
                <c:pt idx="2">
                  <c:v>2019</c:v>
                </c:pt>
                <c:pt idx="3">
                  <c:v>2020</c:v>
                </c:pt>
                <c:pt idx="4">
                  <c:v>2021</c:v>
                </c:pt>
              </c:numCache>
            </c:numRef>
          </c:cat>
          <c:val>
            <c:numRef>
              <c:f>'Snapshot charts'!$C$19:$C$23</c:f>
              <c:numCache>
                <c:formatCode>0.0%</c:formatCode>
                <c:ptCount val="5"/>
                <c:pt idx="0">
                  <c:v>0.154</c:v>
                </c:pt>
                <c:pt idx="1">
                  <c:v>0.153</c:v>
                </c:pt>
                <c:pt idx="2">
                  <c:v>0.13</c:v>
                </c:pt>
                <c:pt idx="3">
                  <c:v>0.13400000000000001</c:v>
                </c:pt>
                <c:pt idx="4">
                  <c:v>0.111</c:v>
                </c:pt>
              </c:numCache>
            </c:numRef>
          </c:val>
          <c:smooth val="0"/>
          <c:extLst>
            <c:ext xmlns:c16="http://schemas.microsoft.com/office/drawing/2014/chart" uri="{C3380CC4-5D6E-409C-BE32-E72D297353CC}">
              <c16:uniqueId val="{00000001-BCF0-472A-9305-56A221DBF300}"/>
            </c:ext>
          </c:extLst>
        </c:ser>
        <c:dLbls>
          <c:dLblPos val="t"/>
          <c:showLegendKey val="0"/>
          <c:showVal val="1"/>
          <c:showCatName val="0"/>
          <c:showSerName val="0"/>
          <c:showPercent val="0"/>
          <c:showBubbleSize val="0"/>
        </c:dLbls>
        <c:smooth val="0"/>
        <c:axId val="1750293167"/>
        <c:axId val="1750293583"/>
      </c:lineChart>
      <c:catAx>
        <c:axId val="1750293167"/>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50293583"/>
        <c:crossesAt val="0.1"/>
        <c:auto val="1"/>
        <c:lblAlgn val="ctr"/>
        <c:lblOffset val="100"/>
        <c:noMultiLvlLbl val="0"/>
      </c:catAx>
      <c:valAx>
        <c:axId val="1750293583"/>
        <c:scaling>
          <c:orientation val="minMax"/>
          <c:max val="0.55000000000000004"/>
          <c:min val="0.1"/>
        </c:scaling>
        <c:delete val="0"/>
        <c:axPos val="l"/>
        <c:majorGridlines>
          <c:spPr>
            <a:ln w="9525" cap="flat" cmpd="sng" algn="ctr">
              <a:solidFill>
                <a:schemeClr val="tx1">
                  <a:lumMod val="15000"/>
                  <a:lumOff val="85000"/>
                </a:schemeClr>
              </a:solidFill>
              <a:round/>
            </a:ln>
            <a:effectLst/>
          </c:spPr>
        </c:majorGridlines>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5029316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On Track 2021 Snapshot, summary reprot</DEECD_Keywords>
    <PublishingExpirationDate xmlns="http://schemas.microsoft.com/sharepoint/v3" xsi:nil="true"/>
    <DEECD_Description xmlns="http://schemas.microsoft.com/sharepoint/v3">On Track 2021 Snapshot 
Updated 14 December 2021</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388D44-9DEE-4200-9B1C-282E6289116B}">
  <ds:schemaRefs>
    <ds:schemaRef ds:uri="http://schemas.openxmlformats.org/officeDocument/2006/bibliography"/>
  </ds:schemaRefs>
</ds:datastoreItem>
</file>

<file path=customXml/itemProps2.xml><?xml version="1.0" encoding="utf-8"?>
<ds:datastoreItem xmlns:ds="http://schemas.openxmlformats.org/officeDocument/2006/customXml" ds:itemID="{ECA183E4-FC4B-4D2C-B6C3-E5E00F04154A}">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customXml/itemProps3.xml><?xml version="1.0" encoding="utf-8"?>
<ds:datastoreItem xmlns:ds="http://schemas.openxmlformats.org/officeDocument/2006/customXml" ds:itemID="{5D0AD225-97E6-45AB-8DCA-6104C9B86FE9}"/>
</file>

<file path=customXml/itemProps4.xml><?xml version="1.0" encoding="utf-8"?>
<ds:datastoreItem xmlns:ds="http://schemas.openxmlformats.org/officeDocument/2006/customXml" ds:itemID="{E81429B6-66DF-4BF6-83BA-3654BEF0E3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14</Pages>
  <Words>4186</Words>
  <Characters>23864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On Track 2021 Snapshot</vt:lpstr>
    </vt:vector>
  </TitlesOfParts>
  <Company>Department of Education and Training</Company>
  <LinksUpToDate>false</LinksUpToDate>
  <CharactersWithSpaces>27995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Track 2021 Snapshot</dc:title>
  <dc:creator>Bateman, Lauren L</dc:creator>
  <cp:lastModifiedBy>Toni Bloodworth</cp:lastModifiedBy>
  <cp:revision>41</cp:revision>
  <cp:lastPrinted>2020-01-14T06:00:00Z</cp:lastPrinted>
  <dcterms:created xsi:type="dcterms:W3CDTF">2021-10-13T03:07:00Z</dcterms:created>
  <dcterms:modified xsi:type="dcterms:W3CDTF">2021-12-14T00:55:00Z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Order">
    <vt:r8>222400</vt:r8>
  </property>
  <property fmtid="{D5CDD505-2E9C-101B-9397-08002B2CF9AE}" pid="4" name="URL">
    <vt:lpwstr/>
  </property>
  <property fmtid="{D5CDD505-2E9C-101B-9397-08002B2CF9AE}" pid="5" name="Cc">
    <vt:lpwstr/>
  </property>
  <property fmtid="{D5CDD505-2E9C-101B-9397-08002B2CF9AE}" pid="6" name="From1">
    <vt:lpwstr/>
  </property>
  <property fmtid="{D5CDD505-2E9C-101B-9397-08002B2CF9AE}" pid="7" name="xd_ProgID">
    <vt:lpwstr/>
  </property>
  <property fmtid="{D5CDD505-2E9C-101B-9397-08002B2CF9AE}" pid="8" name="DocumentSetDescription">
    <vt:lpwstr/>
  </property>
  <property fmtid="{D5CDD505-2E9C-101B-9397-08002B2CF9AE}" pid="9" name="TaxCatchAll">
    <vt:lpwstr/>
  </property>
  <property fmtid="{D5CDD505-2E9C-101B-9397-08002B2CF9AE}" pid="10" name="Attachment">
    <vt:bool>false</vt:bool>
  </property>
  <property fmtid="{D5CDD505-2E9C-101B-9397-08002B2CF9AE}" pid="11" name="TemplateUrl">
    <vt:lpwstr/>
  </property>
  <property fmtid="{D5CDD505-2E9C-101B-9397-08002B2CF9AE}" pid="12" name="DET_EDRMS_Author">
    <vt:lpwstr/>
  </property>
  <property fmtid="{D5CDD505-2E9C-101B-9397-08002B2CF9AE}" pid="13" name="To">
    <vt:lpwstr/>
  </property>
  <property fmtid="{D5CDD505-2E9C-101B-9397-08002B2CF9AE}" pid="14" name="DET_EDRMS_Category">
    <vt:lpwstr/>
  </property>
  <property fmtid="{D5CDD505-2E9C-101B-9397-08002B2CF9AE}" pid="15" name="Email Categories">
    <vt:lpwstr/>
  </property>
  <property fmtid="{D5CDD505-2E9C-101B-9397-08002B2CF9AE}" pid="16" name="Bcc">
    <vt:lpwstr/>
  </property>
  <property fmtid="{D5CDD505-2E9C-101B-9397-08002B2CF9AE}" pid="17" name="PublishingContactName">
    <vt:lpwstr/>
  </property>
  <property fmtid="{D5CDD505-2E9C-101B-9397-08002B2CF9AE}" pid="18" name="Email Subject">
    <vt:lpwstr/>
  </property>
  <property fmtid="{D5CDD505-2E9C-101B-9397-08002B2CF9AE}" pid="19" name="DET_EDRMS_Description">
    <vt:lpwstr/>
  </property>
  <property fmtid="{D5CDD505-2E9C-101B-9397-08002B2CF9AE}" pid="20" name="Conversation">
    <vt:lpwstr/>
  </property>
  <property fmtid="{D5CDD505-2E9C-101B-9397-08002B2CF9AE}" pid="21" name="RecordPoint_ActiveItemMoved">
    <vt:lpwstr/>
  </property>
  <property fmtid="{D5CDD505-2E9C-101B-9397-08002B2CF9AE}" pid="22" name="RecordPoint_WorkflowType">
    <vt:lpwstr>ActiveSubmitStub</vt:lpwstr>
  </property>
  <property fmtid="{D5CDD505-2E9C-101B-9397-08002B2CF9AE}" pid="23" name="RecordPoint_ActiveItemWebId">
    <vt:lpwstr>{e93fa699-4810-4a92-91d8-f3ea09702ed4}</vt:lpwstr>
  </property>
  <property fmtid="{D5CDD505-2E9C-101B-9397-08002B2CF9AE}" pid="24" name="RecordPoint_ActiveItemSiteId">
    <vt:lpwstr>{bada3518-a604-4f15-8bc7-4552d36ee98e}</vt:lpwstr>
  </property>
  <property fmtid="{D5CDD505-2E9C-101B-9397-08002B2CF9AE}" pid="25" name="RecordPoint_ActiveItemListId">
    <vt:lpwstr>{17a1d9b9-207b-4c38-8007-d3ee0423c442}</vt:lpwstr>
  </property>
  <property fmtid="{D5CDD505-2E9C-101B-9397-08002B2CF9AE}" pid="26" name="RecordPoint_SubmissionDate">
    <vt:lpwstr/>
  </property>
  <property fmtid="{D5CDD505-2E9C-101B-9397-08002B2CF9AE}" pid="27" name="RecordPoint_RecordFormat">
    <vt:lpwstr/>
  </property>
  <property fmtid="{D5CDD505-2E9C-101B-9397-08002B2CF9AE}" pid="28" name="DEECD_Author">
    <vt:lpwstr>94;#Education|5232e41c-5101-41fe-b638-7d41d1371531</vt:lpwstr>
  </property>
  <property fmtid="{D5CDD505-2E9C-101B-9397-08002B2CF9AE}" pid="29" name="DEECD_ItemType">
    <vt:lpwstr>101;#Page|eb523acf-a821-456c-a76b-7607578309d7</vt:lpwstr>
  </property>
  <property fmtid="{D5CDD505-2E9C-101B-9397-08002B2CF9AE}" pid="30" name="DEECD_SubjectCategory">
    <vt:lpwstr/>
  </property>
  <property fmtid="{D5CDD505-2E9C-101B-9397-08002B2CF9AE}" pid="31" name="DEECD_Audience">
    <vt:lpwstr/>
  </property>
  <property fmtid="{D5CDD505-2E9C-101B-9397-08002B2CF9AE}" pid="32" name="RecordPoint_ActiveItemUniqueId">
    <vt:lpwstr>{4ab79597-45b1-4041-b35b-293ead09fd6b}</vt:lpwstr>
  </property>
  <property fmtid="{D5CDD505-2E9C-101B-9397-08002B2CF9AE}" pid="33" name="RecordPoint_RecordNumberSubmitted">
    <vt:lpwstr>R20211946266</vt:lpwstr>
  </property>
  <property fmtid="{D5CDD505-2E9C-101B-9397-08002B2CF9AE}" pid="34" name="RecordPoint_SubmissionCompleted">
    <vt:lpwstr>2021-11-05T11:56:49.4725420+11:00</vt:lpwstr>
  </property>
</Properties>
</file>