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Moira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Moira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Moira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Moira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Moira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50</w:t>
            </w:r>
          </w:p>
        </w:tc>
        <w:tc>
          <w:tcPr>
            <w:tcW w:w="1048" w:type="pct"/>
            <w:tcBorders>
              <w:bottom w:val="single" w:sz="2" w:space="0" w:color="FFFFFF" w:themeColor="accent6" w:themeTint="99"/>
            </w:tcBorders>
            <w:noWrap/>
            <w:vAlign w:val="center"/>
          </w:tcPr>
          <w:p w:rsidR="00CD528C" w:rsidRDefault="0058085E">
            <w:pPr>
              <w:jc w:val="right"/>
            </w:pPr>
            <w:r>
              <w:t>77</w:t>
            </w:r>
          </w:p>
        </w:tc>
        <w:tc>
          <w:tcPr>
            <w:tcW w:w="1048" w:type="pct"/>
            <w:tcBorders>
              <w:bottom w:val="single" w:sz="2" w:space="0" w:color="FFFFFF" w:themeColor="accent6" w:themeTint="99"/>
            </w:tcBorders>
            <w:noWrap/>
            <w:vAlign w:val="center"/>
          </w:tcPr>
          <w:p w:rsidR="00CD528C" w:rsidRDefault="0058085E">
            <w:pPr>
              <w:jc w:val="right"/>
            </w:pPr>
            <w:r>
              <w:t>127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29.0</w:t>
            </w:r>
          </w:p>
        </w:tc>
        <w:tc>
          <w:tcPr>
            <w:tcW w:w="1048" w:type="pct"/>
            <w:tcBorders>
              <w:top w:val="single" w:sz="2" w:space="0" w:color="004EA8"/>
              <w:bottom w:val="single" w:sz="2" w:space="0" w:color="004EA8"/>
            </w:tcBorders>
            <w:noWrap/>
            <w:vAlign w:val="center"/>
          </w:tcPr>
          <w:p w:rsidR="00CD528C" w:rsidRDefault="0058085E">
            <w:pPr>
              <w:jc w:val="right"/>
            </w:pPr>
            <w:r>
              <w:t>46.7</w:t>
            </w:r>
          </w:p>
        </w:tc>
        <w:tc>
          <w:tcPr>
            <w:tcW w:w="1048" w:type="pct"/>
            <w:tcBorders>
              <w:top w:val="single" w:sz="2" w:space="0" w:color="004EA8"/>
              <w:bottom w:val="single" w:sz="2" w:space="0" w:color="004EA8"/>
            </w:tcBorders>
            <w:noWrap/>
            <w:vAlign w:val="center"/>
          </w:tcPr>
          <w:p w:rsidR="00CD528C" w:rsidRDefault="0058085E">
            <w:pPr>
              <w:jc w:val="right"/>
            </w:pPr>
            <w:r>
              <w:t>38.5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Moira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18</w:t>
            </w:r>
          </w:p>
        </w:tc>
        <w:tc>
          <w:tcPr>
            <w:tcW w:w="1278" w:type="pct"/>
            <w:tcBorders>
              <w:bottom w:val="single" w:sz="2" w:space="0" w:color="FFFFFF" w:themeColor="accent6" w:themeTint="99"/>
            </w:tcBorders>
            <w:noWrap/>
            <w:vAlign w:val="center"/>
          </w:tcPr>
          <w:p w:rsidR="00CD528C" w:rsidRDefault="0058085E">
            <w:pPr>
              <w:jc w:val="right"/>
            </w:pPr>
            <w:r>
              <w:t>11</w:t>
            </w:r>
          </w:p>
        </w:tc>
        <w:tc>
          <w:tcPr>
            <w:tcW w:w="847" w:type="pct"/>
            <w:tcBorders>
              <w:bottom w:val="single" w:sz="2" w:space="0" w:color="FFFFFF" w:themeColor="accent6" w:themeTint="99"/>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15.6</w:t>
            </w:r>
          </w:p>
        </w:tc>
        <w:tc>
          <w:tcPr>
            <w:tcW w:w="1278" w:type="pct"/>
            <w:tcBorders>
              <w:top w:val="single" w:sz="2" w:space="0" w:color="004EA8"/>
              <w:bottom w:val="single" w:sz="2" w:space="0" w:color="004EA8"/>
            </w:tcBorders>
            <w:noWrap/>
            <w:vAlign w:val="center"/>
          </w:tcPr>
          <w:p w:rsidR="00CD528C" w:rsidRDefault="0058085E">
            <w:pPr>
              <w:jc w:val="right"/>
            </w:pPr>
            <w:r>
              <w:t>2.6</w:t>
            </w:r>
          </w:p>
        </w:tc>
        <w:tc>
          <w:tcPr>
            <w:tcW w:w="847" w:type="pct"/>
            <w:tcBorders>
              <w:top w:val="single" w:sz="2" w:space="0" w:color="004EA8"/>
              <w:bottom w:val="single" w:sz="2" w:space="0" w:color="004EA8"/>
            </w:tcBorders>
            <w:noWrap/>
            <w:vAlign w:val="center"/>
          </w:tcPr>
          <w:p w:rsidR="00CD528C" w:rsidRDefault="0058085E">
            <w:pPr>
              <w:jc w:val="right"/>
            </w:pPr>
            <w:r>
              <w:t>10.8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Moira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Moira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63.6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27</w:t>
            </w:r>
          </w:p>
        </w:tc>
        <w:tc>
          <w:tcPr>
            <w:tcW w:w="715" w:type="pct"/>
            <w:vAlign w:val="center"/>
          </w:tcPr>
          <w:p w:rsidR="00CD528C" w:rsidRDefault="0058085E">
            <w:pPr>
              <w:jc w:val="right"/>
            </w:pPr>
            <w:r>
              <w:t>35.1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9.1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6.5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15</w:t>
            </w:r>
          </w:p>
        </w:tc>
        <w:tc>
          <w:tcPr>
            <w:tcW w:w="715" w:type="pct"/>
            <w:vAlign w:val="center"/>
          </w:tcPr>
          <w:p w:rsidR="00CD528C" w:rsidRDefault="0058085E">
            <w:pPr>
              <w:jc w:val="right"/>
            </w:pPr>
            <w:r>
              <w:t>19.5</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7.8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36.4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22</w:t>
            </w:r>
          </w:p>
        </w:tc>
        <w:tc>
          <w:tcPr>
            <w:tcW w:w="715" w:type="pct"/>
            <w:vAlign w:val="center"/>
          </w:tcPr>
          <w:p w:rsidR="00CD528C" w:rsidRDefault="0058085E">
            <w:pPr>
              <w:jc w:val="right"/>
            </w:pPr>
            <w:r>
              <w:t>28.6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11.7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w:t>
            </w:r>
          </w:p>
        </w:tc>
        <w:tc>
          <w:tcPr>
            <w:tcW w:w="715" w:type="pct"/>
            <w:vAlign w:val="center"/>
          </w:tcPr>
          <w:p w:rsidR="00CD528C" w:rsidRDefault="0058085E">
            <w:pPr>
              <w:jc w:val="right"/>
            </w:pPr>
            <w:r>
              <w:t>16.9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77</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Moira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Moira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38.4</w:t>
            </w:r>
          </w:p>
        </w:tc>
        <w:tc>
          <w:tcPr>
            <w:tcW w:w="738" w:type="pct"/>
            <w:noWrap/>
            <w:vAlign w:val="center"/>
          </w:tcPr>
          <w:p w:rsidR="00CD528C" w:rsidRDefault="0058085E">
            <w:pPr>
              <w:jc w:val="right"/>
            </w:pPr>
            <w:r>
              <w:t>17.4</w:t>
            </w:r>
          </w:p>
        </w:tc>
        <w:tc>
          <w:tcPr>
            <w:tcW w:w="843" w:type="pct"/>
            <w:noWrap/>
            <w:vAlign w:val="center"/>
          </w:tcPr>
          <w:p w:rsidR="00CD528C" w:rsidRDefault="0058085E">
            <w:pPr>
              <w:jc w:val="right"/>
            </w:pPr>
            <w:r>
              <w:t>15.1</w:t>
            </w:r>
          </w:p>
        </w:tc>
        <w:tc>
          <w:tcPr>
            <w:tcW w:w="647" w:type="pct"/>
            <w:noWrap/>
            <w:vAlign w:val="center"/>
          </w:tcPr>
          <w:p w:rsidR="00CD528C" w:rsidRDefault="0058085E">
            <w:pPr>
              <w:jc w:val="right"/>
            </w:pPr>
            <w:r>
              <w:t>19.8</w:t>
            </w:r>
          </w:p>
        </w:tc>
        <w:tc>
          <w:tcPr>
            <w:tcW w:w="575" w:type="pct"/>
            <w:noWrap/>
            <w:vAlign w:val="center"/>
          </w:tcPr>
          <w:p w:rsidR="00CD528C" w:rsidRDefault="00CD528C">
            <w:pPr>
              <w:jc w:val="right"/>
            </w:pPr>
            <w:r>
              <w:t>5.8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31.1</w:t>
            </w:r>
          </w:p>
        </w:tc>
        <w:tc>
          <w:tcPr>
            <w:tcW w:w="738" w:type="pct"/>
            <w:shd w:val="clear" w:color="auto" w:fill="D9D9D9" w:themeFill="background2" w:themeFillShade="D9"/>
            <w:noWrap/>
            <w:vAlign w:val="center"/>
          </w:tcPr>
          <w:p w:rsidR="00CD528C" w:rsidRDefault="0058085E">
            <w:pPr>
              <w:jc w:val="right"/>
            </w:pPr>
            <w:r>
              <w:t>20.4</w:t>
            </w:r>
          </w:p>
        </w:tc>
        <w:tc>
          <w:tcPr>
            <w:tcW w:w="843" w:type="pct"/>
            <w:shd w:val="clear" w:color="auto" w:fill="D9D9D9" w:themeFill="background2" w:themeFillShade="D9"/>
            <w:noWrap/>
            <w:vAlign w:val="center"/>
          </w:tcPr>
          <w:p w:rsidR="00CD528C" w:rsidRDefault="0058085E">
            <w:pPr>
              <w:jc w:val="right"/>
            </w:pPr>
            <w:r>
              <w:t>17.5</w:t>
            </w:r>
          </w:p>
        </w:tc>
        <w:tc>
          <w:tcPr>
            <w:tcW w:w="647" w:type="pct"/>
            <w:shd w:val="clear" w:color="auto" w:fill="D9D9D9" w:themeFill="background2" w:themeFillShade="D9"/>
            <w:noWrap/>
            <w:vAlign w:val="center"/>
          </w:tcPr>
          <w:p w:rsidR="00CD528C" w:rsidRDefault="0058085E">
            <w:pPr>
              <w:jc w:val="right"/>
            </w:pPr>
            <w:r>
              <w:t>28.2</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26.3</w:t>
            </w:r>
          </w:p>
        </w:tc>
        <w:tc>
          <w:tcPr>
            <w:tcW w:w="738" w:type="pct"/>
            <w:tcBorders>
              <w:bottom w:val="single" w:sz="2" w:space="0" w:color="FFFFFF" w:themeColor="accent6" w:themeTint="99"/>
            </w:tcBorders>
            <w:noWrap/>
            <w:vAlign w:val="center"/>
          </w:tcPr>
          <w:p w:rsidR="00CD528C" w:rsidRDefault="0058085E">
            <w:pPr>
              <w:jc w:val="right"/>
            </w:pPr>
            <w:r>
              <w:t>17.5</w:t>
            </w:r>
          </w:p>
        </w:tc>
        <w:tc>
          <w:tcPr>
            <w:tcW w:w="843" w:type="pct"/>
            <w:tcBorders>
              <w:bottom w:val="single" w:sz="2" w:space="0" w:color="FFFFFF" w:themeColor="accent6" w:themeTint="99"/>
            </w:tcBorders>
            <w:noWrap/>
            <w:vAlign w:val="center"/>
          </w:tcPr>
          <w:p w:rsidR="00CD528C" w:rsidRDefault="0058085E">
            <w:pPr>
              <w:jc w:val="right"/>
            </w:pPr>
            <w:r>
              <w:t>15.0</w:t>
            </w:r>
          </w:p>
        </w:tc>
        <w:tc>
          <w:tcPr>
            <w:tcW w:w="647" w:type="pct"/>
            <w:tcBorders>
              <w:bottom w:val="single" w:sz="2" w:space="0" w:color="FFFFFF" w:themeColor="accent6" w:themeTint="99"/>
            </w:tcBorders>
            <w:noWrap/>
            <w:vAlign w:val="center"/>
          </w:tcPr>
          <w:p w:rsidR="00CD528C" w:rsidRDefault="0058085E">
            <w:pPr>
              <w:jc w:val="right"/>
            </w:pPr>
            <w:r>
              <w:t>36.3</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35.1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Moira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43.5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26.1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Moira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22.2</w:t>
            </w:r>
          </w:p>
        </w:tc>
        <w:tc>
          <w:tcPr>
            <w:tcW w:w="1215" w:type="dxa"/>
            <w:tcBorders>
              <w:left w:val="nil"/>
              <w:bottom w:val="single" w:sz="2" w:space="0" w:color="004EA8"/>
              <w:right w:val="nil"/>
            </w:tcBorders>
            <w:noWrap/>
            <w:vAlign w:val="center"/>
          </w:tcPr>
          <w:p w:rsidR="00CD528C" w:rsidRDefault="0058085E">
            <w:pPr>
              <w:jc w:val="right"/>
            </w:pPr>
            <w:r>
              <w:t>3.7</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37.0</w:t>
            </w:r>
          </w:p>
        </w:tc>
        <w:tc>
          <w:tcPr>
            <w:tcW w:w="1215" w:type="dxa"/>
            <w:tcBorders>
              <w:left w:val="nil"/>
              <w:bottom w:val="single" w:sz="2" w:space="0" w:color="004EA8"/>
              <w:right w:val="nil"/>
            </w:tcBorders>
            <w:noWrap/>
            <w:vAlign w:val="center"/>
          </w:tcPr>
          <w:p w:rsidR="00CD528C" w:rsidRDefault="0058085E">
            <w:pPr>
              <w:jc w:val="right"/>
            </w:pPr>
            <w:r>
              <w:t>3.7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Moira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28.6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42.9</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Moira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Cobram Anglican Grammar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Cobram Secondary College</w:t>
            </w:r>
          </w:p>
        </w:tc>
        <w:tc>
          <w:tcPr>
            <w:tcW w:w="2310" w:type="dxa"/>
            <w:shd w:val="clear" w:color="auto" w:fill="FFFFFF"/>
          </w:tcPr>
          <w:p>
            <w:pPr>
              <w:jc w:val="right"/>
            </w:pPr>
            <w:r>
              <w:t>26</w:t>
            </w:r>
          </w:p>
        </w:tc>
        <w:tc>
          <w:tcPr>
            <w:tcW w:w="2310" w:type="dxa"/>
            <w:shd w:val="clear" w:color="auto" w:fill="FFFFFF"/>
          </w:tcPr>
          <w:p>
            <w:pPr>
              <w:jc w:val="right"/>
            </w:pPr>
            <w:r>
              <w:t>16</w:t>
            </w:r>
          </w:p>
        </w:tc>
        <w:tc>
          <w:tcPr>
            <w:tcW w:w="2310" w:type="dxa"/>
            <w:shd w:val="clear" w:color="auto" w:fill="FFFFFF"/>
          </w:tcPr>
          <w:p>
            <w:pPr>
              <w:jc w:val="right"/>
            </w:pPr>
            <w:r>
              <w:t>18.8</w:t>
            </w:r>
          </w:p>
        </w:tc>
        <w:tc>
          <w:tcPr>
            <w:tcW w:w="2310" w:type="dxa"/>
            <w:shd w:val="clear" w:color="auto" w:fill="FFFFFF"/>
          </w:tcPr>
          <w:p>
            <w:pPr>
              <w:jc w:val="right"/>
            </w:pPr>
            <w:r>
              <w:t>6.3</w:t>
            </w:r>
          </w:p>
        </w:tc>
        <w:tc>
          <w:tcPr>
            <w:tcW w:w="2310" w:type="dxa"/>
            <w:shd w:val="clear" w:color="auto" w:fill="FFFFFF"/>
          </w:tcPr>
          <w:p>
            <w:pPr>
              <w:jc w:val="right"/>
            </w:pPr>
            <w:r>
              <w:t>25.0</w:t>
            </w:r>
          </w:p>
        </w:tc>
        <w:tc>
          <w:tcPr>
            <w:tcW w:w="2310" w:type="dxa"/>
            <w:shd w:val="clear" w:color="auto" w:fill="FFFFFF"/>
          </w:tcPr>
          <w:p>
            <w:pPr>
              <w:jc w:val="right"/>
            </w:pPr>
            <w:r>
              <w:t>50.0</w:t>
            </w:r>
          </w:p>
        </w:tc>
      </w:tr>
      <w:tr>
        <w:tc>
          <w:tcPr>
            <w:tcW w:w="2310" w:type="dxa"/>
            <w:shd w:val="clear" w:color="auto" w:fill="D9D9D9"/>
          </w:tcPr>
          <w:p>
            <w:pPr>
              <w:jc w:val="right"/>
            </w:pPr>
            <w:r>
              <w:t>Nathalia Secondary College</w:t>
            </w:r>
          </w:p>
        </w:tc>
        <w:tc>
          <w:tcPr>
            <w:tcW w:w="2310" w:type="dxa"/>
            <w:shd w:val="clear" w:color="auto" w:fill="D9D9D9"/>
          </w:tcPr>
          <w:p>
            <w:pPr>
              <w:jc w:val="right"/>
            </w:pPr>
            <w:r>
              <w:t>19</w:t>
            </w:r>
          </w:p>
        </w:tc>
        <w:tc>
          <w:tcPr>
            <w:tcW w:w="2310" w:type="dxa"/>
            <w:shd w:val="clear" w:color="auto" w:fill="D9D9D9"/>
          </w:tcPr>
          <w:p>
            <w:pPr>
              <w:jc w:val="right"/>
            </w:pPr>
            <w:r>
              <w:t>12</w:t>
            </w:r>
          </w:p>
        </w:tc>
        <w:tc>
          <w:tcPr>
            <w:tcW w:w="2310" w:type="dxa"/>
            <w:shd w:val="clear" w:color="auto" w:fill="D9D9D9"/>
          </w:tcPr>
          <w:p>
            <w:pPr>
              <w:jc w:val="right"/>
            </w:pPr>
            <w:r>
              <w:t>8.3</w:t>
            </w:r>
          </w:p>
        </w:tc>
        <w:tc>
          <w:tcPr>
            <w:tcW w:w="2310" w:type="dxa"/>
            <w:shd w:val="clear" w:color="auto" w:fill="D9D9D9"/>
          </w:tcPr>
          <w:p>
            <w:pPr>
              <w:jc w:val="right"/>
            </w:pPr>
            <w:r>
              <w:t>16.7</w:t>
            </w:r>
          </w:p>
        </w:tc>
        <w:tc>
          <w:tcPr>
            <w:tcW w:w="2310" w:type="dxa"/>
            <w:shd w:val="clear" w:color="auto" w:fill="D9D9D9"/>
          </w:tcPr>
          <w:p>
            <w:pPr>
              <w:jc w:val="right"/>
            </w:pPr>
            <w:r>
              <w:t>16.7</w:t>
            </w:r>
          </w:p>
        </w:tc>
        <w:tc>
          <w:tcPr>
            <w:tcW w:w="2310" w:type="dxa"/>
            <w:shd w:val="clear" w:color="auto" w:fill="D9D9D9"/>
          </w:tcPr>
          <w:p>
            <w:pPr>
              <w:jc w:val="right"/>
            </w:pPr>
            <w:r>
              <w:t>58.3</w:t>
            </w:r>
          </w:p>
        </w:tc>
      </w:tr>
      <w:tr>
        <w:tc>
          <w:tcPr>
            <w:tcW w:w="2310" w:type="dxa"/>
            <w:shd w:val="clear" w:color="auto" w:fill="FFFFFF"/>
          </w:tcPr>
          <w:p>
            <w:pPr>
              <w:jc w:val="right"/>
            </w:pPr>
            <w:r>
              <w:t>Numurkah Secondary College</w:t>
            </w:r>
          </w:p>
        </w:tc>
        <w:tc>
          <w:tcPr>
            <w:tcW w:w="2310" w:type="dxa"/>
            <w:shd w:val="clear" w:color="auto" w:fill="FFFFFF"/>
          </w:tcPr>
          <w:p>
            <w:pPr>
              <w:jc w:val="right"/>
            </w:pPr>
            <w:r>
              <w:t>32</w:t>
            </w:r>
          </w:p>
        </w:tc>
        <w:tc>
          <w:tcPr>
            <w:tcW w:w="2310" w:type="dxa"/>
            <w:shd w:val="clear" w:color="auto" w:fill="FFFFFF"/>
          </w:tcPr>
          <w:p>
            <w:pPr>
              <w:jc w:val="right"/>
            </w:pPr>
            <w:r>
              <w:t>14</w:t>
            </w:r>
          </w:p>
        </w:tc>
        <w:tc>
          <w:tcPr>
            <w:tcW w:w="2310" w:type="dxa"/>
            <w:shd w:val="clear" w:color="auto" w:fill="FFFFFF"/>
          </w:tcPr>
          <w:p>
            <w:pPr>
              <w:jc w:val="right"/>
            </w:pPr>
            <w:r>
              <w:t>28.6</w:t>
            </w:r>
          </w:p>
        </w:tc>
        <w:tc>
          <w:tcPr>
            <w:tcW w:w="2310" w:type="dxa"/>
            <w:shd w:val="clear" w:color="auto" w:fill="FFFFFF"/>
          </w:tcPr>
          <w:p>
            <w:pPr>
              <w:jc w:val="right"/>
            </w:pPr>
            <w:r>
              <w:t>14.3</w:t>
            </w:r>
          </w:p>
        </w:tc>
        <w:tc>
          <w:tcPr>
            <w:tcW w:w="2310" w:type="dxa"/>
            <w:shd w:val="clear" w:color="auto" w:fill="FFFFFF"/>
          </w:tcPr>
          <w:p>
            <w:pPr>
              <w:jc w:val="right"/>
            </w:pPr>
            <w:r>
              <w:t>14.3</w:t>
            </w:r>
          </w:p>
        </w:tc>
        <w:tc>
          <w:tcPr>
            <w:tcW w:w="2310" w:type="dxa"/>
            <w:shd w:val="clear" w:color="auto" w:fill="FFFFFF"/>
          </w:tcPr>
          <w:p>
            <w:pPr>
              <w:jc w:val="right"/>
            </w:pPr>
            <w:r>
              <w:t>42.9</w:t>
            </w:r>
          </w:p>
        </w:tc>
      </w:tr>
      <w:tr>
        <w:tc>
          <w:tcPr>
            <w:tcW w:w="2310" w:type="dxa"/>
            <w:shd w:val="clear" w:color="auto" w:fill="D9D9D9"/>
          </w:tcPr>
          <w:p>
            <w:pPr>
              <w:jc w:val="right"/>
            </w:pPr>
            <w:r>
              <w:t>Sacred Heart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Mary of the Angels College</w:t>
            </w:r>
          </w:p>
        </w:tc>
        <w:tc>
          <w:tcPr>
            <w:tcW w:w="2310" w:type="dxa"/>
            <w:shd w:val="clear" w:color="auto" w:fill="FFFFFF"/>
          </w:tcPr>
          <w:p>
            <w:pPr>
              <w:jc w:val="right"/>
            </w:pPr>
            <w:r>
              <w:t>67</w:t>
            </w:r>
          </w:p>
        </w:tc>
        <w:tc>
          <w:tcPr>
            <w:tcW w:w="2310" w:type="dxa"/>
            <w:shd w:val="clear" w:color="auto" w:fill="FFFFFF"/>
          </w:tcPr>
          <w:p>
            <w:pPr>
              <w:jc w:val="right"/>
            </w:pPr>
            <w:r>
              <w:t>22</w:t>
            </w:r>
          </w:p>
        </w:tc>
        <w:tc>
          <w:tcPr>
            <w:tcW w:w="2310" w:type="dxa"/>
            <w:shd w:val="clear" w:color="auto" w:fill="FFFFFF"/>
          </w:tcPr>
          <w:p>
            <w:pPr>
              <w:jc w:val="right"/>
            </w:pPr>
            <w:r>
              <w:t>50.0</w:t>
            </w:r>
          </w:p>
        </w:tc>
        <w:tc>
          <w:tcPr>
            <w:tcW w:w="2310" w:type="dxa"/>
            <w:shd w:val="clear" w:color="auto" w:fill="FFFFFF"/>
          </w:tcPr>
          <w:p>
            <w:pPr>
              <w:jc w:val="right"/>
            </w:pPr>
          </w:p>
        </w:tc>
        <w:tc>
          <w:tcPr>
            <w:tcW w:w="2310" w:type="dxa"/>
            <w:shd w:val="clear" w:color="auto" w:fill="FFFFFF"/>
          </w:tcPr>
          <w:p>
            <w:pPr>
              <w:jc w:val="right"/>
            </w:pPr>
            <w:r>
              <w:t>27.3</w:t>
            </w:r>
          </w:p>
        </w:tc>
        <w:tc>
          <w:tcPr>
            <w:tcW w:w="2310" w:type="dxa"/>
            <w:shd w:val="clear" w:color="auto" w:fill="FFFFFF"/>
          </w:tcPr>
          <w:p>
            <w:pPr>
              <w:jc w:val="right"/>
            </w:pPr>
            <w:r>
              <w:t>22.7</w:t>
            </w:r>
          </w:p>
        </w:tc>
      </w:tr>
      <w:tr>
        <w:tc>
          <w:tcPr>
            <w:tcW w:w="2310" w:type="dxa"/>
            <w:shd w:val="clear" w:color="auto" w:fill="D9D9D9"/>
          </w:tcPr>
          <w:p>
            <w:pPr>
              <w:jc w:val="right"/>
            </w:pPr>
            <w:r>
              <w:t>Yarrawonga College P-12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200</w:t>
            </w:r>
          </w:p>
        </w:tc>
        <w:tc>
          <w:tcPr>
            <w:tcW w:w="2310" w:type="dxa"/>
            <w:shd w:val="clear" w:color="auto" w:fill="FFFFFF"/>
          </w:tcPr>
          <w:p>
            <w:pPr>
              <w:jc w:val="right"/>
            </w:pPr>
            <w:r>
              <w:rPr>
                <w:b/>
              </w:rPr>
              <w:t>77</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Moira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16.1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29.4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17.6</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w:t>
            </w:r>
          </w:p>
        </w:tc>
        <w:tc>
          <w:tcPr>
            <w:tcW w:w="661" w:type="pct"/>
            <w:tcBorders>
              <w:bottom w:val="single" w:sz="2" w:space="0" w:color="004EA8"/>
            </w:tcBorders>
            <w:shd w:val="clear" w:color="auto" w:fill="auto"/>
            <w:noWrap/>
            <w:vAlign w:val="center"/>
          </w:tcPr>
          <w:p w:rsidR="00CD528C" w:rsidRDefault="0058085E">
            <w:pPr>
              <w:jc w:val="right"/>
            </w:pPr>
            <w:r>
              <w:t>23.5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Moira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Moira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77.8</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22.2</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Moira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82.6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58.3</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16.7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92.9</w:t>
            </w:r>
          </w:p>
        </w:tc>
        <w:tc>
          <w:tcPr>
            <w:tcW w:w="1062" w:type="pct"/>
            <w:shd w:val="clear" w:color="auto" w:fill="D9D9D9" w:themeFill="background2" w:themeFillShade="D9"/>
            <w:noWrap/>
            <w:vAlign w:val="center"/>
          </w:tcPr>
          <w:p w:rsidR="00CD528C" w:rsidRDefault="0058085E">
            <w:pPr>
              <w:jc w:val="right"/>
            </w:pPr>
            <w:r>
              <w:t>92.9</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35.7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94.4</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38.9</w:t>
            </w:r>
          </w:p>
        </w:tc>
        <w:tc>
          <w:tcPr>
            <w:tcW w:w="1062" w:type="pct"/>
            <w:tcBorders>
              <w:bottom w:val="single" w:sz="2" w:space="0" w:color="FFFFFF" w:themeColor="accent6" w:themeTint="99"/>
            </w:tcBorders>
            <w:noWrap/>
            <w:vAlign w:val="center"/>
          </w:tcPr>
          <w:p w:rsidR="00CD528C" w:rsidRDefault="0058085E">
            <w:pPr>
              <w:jc w:val="right"/>
            </w:pPr>
            <w:r>
              <w:t>44.4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88.2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47.1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w:t>
            </w:r>
          </w:p>
        </w:tc>
        <w:tc>
          <w:tcPr>
            <w:tcW w:w="805" w:type="pct"/>
            <w:noWrap/>
            <w:vAlign w:val="center"/>
          </w:tcPr>
          <w:p w:rsidR="00CD528C" w:rsidRDefault="0058085E">
            <w:pPr>
              <w:jc w:val="right"/>
            </w:pPr>
            <w:r>
              <w:t>47.1</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Moira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Moira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w:t>
            </w:r>
          </w:p>
        </w:tc>
        <w:tc>
          <w:tcPr>
            <w:tcW w:w="589" w:type="pct"/>
            <w:noWrap/>
            <w:vAlign w:val="center"/>
          </w:tcPr>
          <w:p w:rsidR="00CD528C" w:rsidRDefault="0058085E">
            <w:pPr>
              <w:jc w:val="right"/>
            </w:pPr>
            <w:r>
              <w:t>66.7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66.7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Moira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41.2</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11.1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Moira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Moira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26.3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Moira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54.5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Moira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45.5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Moira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Moira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56.3</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66.7</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42.9</w:t>
            </w:r>
          </w:p>
        </w:tc>
        <w:tc>
          <w:tcPr>
            <w:tcW w:w="644" w:type="pct"/>
            <w:tcBorders>
              <w:bottom w:val="single" w:sz="2" w:space="0" w:color="FFFFFF" w:themeColor="accent6" w:themeTint="99"/>
            </w:tcBorders>
            <w:noWrap/>
            <w:vAlign w:val="center"/>
          </w:tcPr>
          <w:p w:rsidR="00CD528C" w:rsidRDefault="0058085E">
            <w:pPr>
              <w:jc w:val="right"/>
            </w:pPr>
            <w:r>
              <w:t>42.9</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Moira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54.5</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Moira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Moira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25.0</w:t>
            </w:r>
          </w:p>
        </w:tc>
        <w:tc>
          <w:tcPr>
            <w:tcW w:w="943" w:type="pct"/>
            <w:noWrap/>
            <w:vAlign w:val="center"/>
          </w:tcPr>
          <w:p w:rsidR="00CD528C" w:rsidRDefault="0058085E">
            <w:pPr>
              <w:jc w:val="right"/>
            </w:pPr>
            <w:r>
              <w:t>25.0</w:t>
            </w:r>
          </w:p>
        </w:tc>
        <w:tc>
          <w:tcPr>
            <w:tcW w:w="943" w:type="pct"/>
            <w:noWrap/>
            <w:vAlign w:val="center"/>
          </w:tcPr>
          <w:p w:rsidR="00CD528C" w:rsidRDefault="0058085E">
            <w:pPr>
              <w:jc w:val="right"/>
            </w:pPr>
            <w:r>
              <w:t>31.3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41.7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38.5</w:t>
            </w:r>
          </w:p>
        </w:tc>
        <w:tc>
          <w:tcPr>
            <w:tcW w:w="943" w:type="pct"/>
            <w:tcBorders>
              <w:bottom w:val="single" w:sz="2" w:space="0" w:color="FFFFFF" w:themeColor="accent6" w:themeTint="99"/>
            </w:tcBorders>
            <w:noWrap/>
            <w:vAlign w:val="center"/>
          </w:tcPr>
          <w:p w:rsidR="00CD528C" w:rsidRDefault="0058085E">
            <w:pPr>
              <w:jc w:val="right"/>
            </w:pPr>
            <w:r>
              <w:t>61.5</w:t>
            </w:r>
          </w:p>
        </w:tc>
        <w:tc>
          <w:tcPr>
            <w:tcW w:w="943" w:type="pct"/>
            <w:tcBorders>
              <w:bottom w:val="single" w:sz="2" w:space="0" w:color="FFFFFF" w:themeColor="accent6" w:themeTint="99"/>
            </w:tcBorders>
            <w:noWrap/>
            <w:vAlign w:val="center"/>
          </w:tcPr>
          <w:p w:rsidR="00CD528C" w:rsidRDefault="0058085E">
            <w:pPr>
              <w:jc w:val="right"/>
            </w:pPr>
            <w:r>
              <w:t>38.5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Moira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Moira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12.5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Moira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42.9</w:t>
            </w:r>
          </w:p>
        </w:tc>
        <w:tc>
          <w:tcPr>
            <w:tcW w:w="748" w:type="pct"/>
            <w:tcBorders>
              <w:bottom w:val="single" w:sz="2" w:space="0" w:color="FFFFFF" w:themeColor="accent6" w:themeTint="99"/>
            </w:tcBorders>
            <w:noWrap/>
            <w:vAlign w:val="center"/>
          </w:tcPr>
          <w:p w:rsidR="00CD528C" w:rsidRDefault="0058085E">
            <w:pPr>
              <w:jc w:val="right"/>
            </w:pPr>
            <w:r>
              <w:t>57.1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Moira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Moira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66.7</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Moira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Moira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78.9</w:t>
            </w:r>
          </w:p>
        </w:tc>
        <w:tc>
          <w:tcPr>
            <w:tcW w:w="1142" w:type="pct"/>
            <w:noWrap/>
            <w:vAlign w:val="center"/>
          </w:tcPr>
          <w:p w:rsidR="00CD528C" w:rsidRDefault="0058085E">
            <w:pPr>
              <w:jc w:val="right"/>
            </w:pPr>
            <w:r>
              <w:t>72.7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64.5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76.3</w:t>
            </w:r>
          </w:p>
        </w:tc>
        <w:tc>
          <w:tcPr>
            <w:tcW w:w="1142" w:type="pct"/>
            <w:noWrap/>
            <w:vAlign w:val="center"/>
          </w:tcPr>
          <w:p w:rsidR="00CD528C" w:rsidRDefault="0058085E">
            <w:pPr>
              <w:jc w:val="right"/>
            </w:pPr>
            <w:r>
              <w:t>54.5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77.6</w:t>
            </w:r>
          </w:p>
        </w:tc>
        <w:tc>
          <w:tcPr>
            <w:tcW w:w="1142" w:type="pct"/>
            <w:shd w:val="clear" w:color="auto" w:fill="D9D9D9" w:themeFill="background2" w:themeFillShade="D9"/>
            <w:noWrap/>
            <w:vAlign w:val="center"/>
          </w:tcPr>
          <w:p w:rsidR="00CD528C" w:rsidRDefault="0058085E">
            <w:pPr>
              <w:jc w:val="right"/>
            </w:pPr>
            <w:r>
              <w:t>63.6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85.5</w:t>
            </w:r>
          </w:p>
        </w:tc>
        <w:tc>
          <w:tcPr>
            <w:tcW w:w="1142" w:type="pct"/>
            <w:noWrap/>
            <w:vAlign w:val="center"/>
          </w:tcPr>
          <w:p w:rsidR="00CD528C" w:rsidRDefault="0058085E">
            <w:pPr>
              <w:jc w:val="right"/>
            </w:pPr>
            <w:r>
              <w:t>45.5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68.4</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47.4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43.4</w:t>
            </w:r>
          </w:p>
        </w:tc>
        <w:tc>
          <w:tcPr>
            <w:tcW w:w="1142" w:type="pct"/>
            <w:shd w:val="clear" w:color="auto" w:fill="D9D9D9" w:themeFill="background2" w:themeFillShade="D9"/>
            <w:noWrap/>
            <w:vAlign w:val="center"/>
          </w:tcPr>
          <w:p w:rsidR="00CD528C" w:rsidRDefault="0058085E">
            <w:pPr>
              <w:jc w:val="right"/>
            </w:pPr>
            <w:r>
              <w:t>45.5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81.6</w:t>
            </w:r>
          </w:p>
        </w:tc>
        <w:tc>
          <w:tcPr>
            <w:tcW w:w="1142" w:type="pct"/>
            <w:tcBorders>
              <w:bottom w:val="single" w:sz="2" w:space="0" w:color="FFFFFF" w:themeColor="accent6" w:themeTint="99"/>
            </w:tcBorders>
            <w:noWrap/>
            <w:vAlign w:val="center"/>
          </w:tcPr>
          <w:p w:rsidR="00CD528C" w:rsidRDefault="0058085E">
            <w:pPr>
              <w:jc w:val="right"/>
            </w:pPr>
            <w:r>
              <w:t>90.9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Moira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47.4</w:t>
            </w:r>
          </w:p>
        </w:tc>
        <w:tc>
          <w:tcPr>
            <w:tcW w:w="765" w:type="pct"/>
            <w:noWrap/>
            <w:vAlign w:val="center"/>
          </w:tcPr>
          <w:p w:rsidR="00CD528C" w:rsidRDefault="0058085E">
            <w:pPr>
              <w:jc w:val="right"/>
            </w:pPr>
            <w:r>
              <w:t>72.7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6.6</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76</w:t>
            </w:r>
          </w:p>
        </w:tc>
        <w:tc>
          <w:tcPr>
            <w:tcW w:w="765" w:type="pct"/>
            <w:tcBorders>
              <w:top w:val="single" w:sz="2" w:space="0" w:color="004EA8"/>
              <w:bottom w:val="single" w:sz="2" w:space="0" w:color="004EA8"/>
            </w:tcBorders>
            <w:noWrap/>
            <w:vAlign w:val="center"/>
          </w:tcPr>
          <w:p w:rsidR="00CD528C" w:rsidRDefault="0058085E">
            <w:pPr>
              <w:jc w:val="right"/>
            </w:pPr>
            <w:r>
              <w:t>11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Moira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22</w:t>
            </w:r>
          </w:p>
        </w:tc>
        <w:tc>
          <w:tcPr>
            <w:tcW w:w="730" w:type="pct"/>
            <w:tcBorders>
              <w:bottom w:val="single" w:sz="2" w:space="0" w:color="FFFFFF" w:themeColor="accent6" w:themeTint="99"/>
            </w:tcBorders>
            <w:noWrap/>
            <w:vAlign w:val="center"/>
          </w:tcPr>
          <w:p w:rsidR="00CD528C" w:rsidRDefault="0058085E">
            <w:pPr>
              <w:jc w:val="right"/>
            </w:pPr>
            <w:r>
              <w:t>45.8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Moira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Moira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6FEE3-E1F5-4394-BEDE-253A13D746B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