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Macedon Ranges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Macedon Ranges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Macedon Ranges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Macedon Ranges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Macedon Ranges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139</w:t>
            </w:r>
          </w:p>
        </w:tc>
        <w:tc>
          <w:tcPr>
            <w:tcW w:w="1048" w:type="pct"/>
            <w:tcBorders>
              <w:bottom w:val="single" w:sz="2" w:space="0" w:color="FFFFFF" w:themeColor="accent6" w:themeTint="99"/>
            </w:tcBorders>
            <w:noWrap/>
            <w:vAlign w:val="center"/>
          </w:tcPr>
          <w:p w:rsidR="00CD528C" w:rsidRDefault="0058085E">
            <w:pPr>
              <w:jc w:val="right"/>
            </w:pPr>
            <w:r>
              <w:t>199</w:t>
            </w:r>
          </w:p>
        </w:tc>
        <w:tc>
          <w:tcPr>
            <w:tcW w:w="1048" w:type="pct"/>
            <w:tcBorders>
              <w:bottom w:val="single" w:sz="2" w:space="0" w:color="FFFFFF" w:themeColor="accent6" w:themeTint="99"/>
            </w:tcBorders>
            <w:noWrap/>
            <w:vAlign w:val="center"/>
          </w:tcPr>
          <w:p w:rsidR="00CD528C" w:rsidRDefault="0058085E">
            <w:pPr>
              <w:jc w:val="right"/>
            </w:pPr>
            <w:r>
              <w:t>339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55.2</w:t>
            </w:r>
          </w:p>
        </w:tc>
        <w:tc>
          <w:tcPr>
            <w:tcW w:w="1048" w:type="pct"/>
            <w:tcBorders>
              <w:top w:val="single" w:sz="2" w:space="0" w:color="004EA8"/>
              <w:bottom w:val="single" w:sz="2" w:space="0" w:color="004EA8"/>
            </w:tcBorders>
            <w:noWrap/>
            <w:vAlign w:val="center"/>
          </w:tcPr>
          <w:p w:rsidR="00CD528C" w:rsidRDefault="0058085E">
            <w:pPr>
              <w:jc w:val="right"/>
            </w:pPr>
            <w:r>
              <w:t>59.4</w:t>
            </w:r>
          </w:p>
        </w:tc>
        <w:tc>
          <w:tcPr>
            <w:tcW w:w="1048" w:type="pct"/>
            <w:tcBorders>
              <w:top w:val="single" w:sz="2" w:space="0" w:color="004EA8"/>
              <w:bottom w:val="single" w:sz="2" w:space="0" w:color="004EA8"/>
            </w:tcBorders>
            <w:noWrap/>
            <w:vAlign w:val="center"/>
          </w:tcPr>
          <w:p w:rsidR="00CD528C" w:rsidRDefault="0058085E">
            <w:pPr>
              <w:jc w:val="right"/>
            </w:pPr>
            <w:r>
              <w:t>57.5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Macedon Ranges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12</w:t>
            </w:r>
          </w:p>
        </w:tc>
        <w:tc>
          <w:tcPr>
            <w:tcW w:w="1278" w:type="pct"/>
            <w:tcBorders>
              <w:bottom w:val="single" w:sz="2" w:space="0" w:color="FFFFFF" w:themeColor="accent6" w:themeTint="99"/>
            </w:tcBorders>
            <w:noWrap/>
            <w:vAlign w:val="center"/>
          </w:tcPr>
          <w:p w:rsidR="00CD528C" w:rsidRDefault="0058085E">
            <w:pPr>
              <w:jc w:val="right"/>
            </w:pPr>
            <w:r>
              <w:t>13</w:t>
            </w:r>
          </w:p>
        </w:tc>
        <w:tc>
          <w:tcPr>
            <w:tcW w:w="847" w:type="pct"/>
            <w:tcBorders>
              <w:bottom w:val="single" w:sz="2" w:space="0" w:color="FFFFFF" w:themeColor="accent6" w:themeTint="99"/>
            </w:tcBorders>
            <w:noWrap/>
            <w:vAlign w:val="center"/>
          </w:tcPr>
          <w:p w:rsidR="00CD528C" w:rsidRDefault="0058085E">
            <w:pPr>
              <w:jc w:val="right"/>
            </w:pPr>
            <w:r>
              <w:t>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22.2</w:t>
            </w:r>
          </w:p>
        </w:tc>
        <w:tc>
          <w:tcPr>
            <w:tcW w:w="1278" w:type="pct"/>
            <w:tcBorders>
              <w:top w:val="single" w:sz="2" w:space="0" w:color="004EA8"/>
              <w:bottom w:val="single" w:sz="2" w:space="0" w:color="004EA8"/>
            </w:tcBorders>
            <w:noWrap/>
            <w:vAlign w:val="center"/>
          </w:tcPr>
          <w:p w:rsidR="00CD528C" w:rsidRDefault="0058085E">
            <w:pPr>
              <w:jc w:val="right"/>
            </w:pPr>
            <w:r>
              <w:t>10.0</w:t>
            </w:r>
          </w:p>
        </w:tc>
        <w:tc>
          <w:tcPr>
            <w:tcW w:w="847" w:type="pct"/>
            <w:tcBorders>
              <w:top w:val="single" w:sz="2" w:space="0" w:color="004EA8"/>
              <w:bottom w:val="single" w:sz="2" w:space="0" w:color="004EA8"/>
            </w:tcBorders>
            <w:noWrap/>
            <w:vAlign w:val="center"/>
          </w:tcPr>
          <w:p w:rsidR="00CD528C" w:rsidRDefault="0058085E">
            <w:pPr>
              <w:jc w:val="right"/>
            </w:pPr>
            <w:r>
              <w:t>17.3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Macedon Ranges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66.2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85</w:t>
            </w:r>
          </w:p>
        </w:tc>
        <w:tc>
          <w:tcPr>
            <w:tcW w:w="715" w:type="pct"/>
            <w:vAlign w:val="center"/>
          </w:tcPr>
          <w:p w:rsidR="00CD528C" w:rsidRDefault="0058085E">
            <w:pPr>
              <w:jc w:val="right"/>
            </w:pPr>
            <w:r>
              <w:t>36.8</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36</w:t>
            </w:r>
          </w:p>
        </w:tc>
        <w:tc>
          <w:tcPr>
            <w:tcW w:w="715" w:type="pct"/>
            <w:shd w:val="clear" w:color="auto" w:fill="D9D9D9" w:themeFill="background2" w:themeFillShade="D9"/>
            <w:vAlign w:val="center"/>
          </w:tcPr>
          <w:p w:rsidR="00CD528C" w:rsidRDefault="0058085E">
            <w:pPr>
              <w:jc w:val="right"/>
            </w:pPr>
            <w:r>
              <w:t>15.6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9</w:t>
            </w:r>
          </w:p>
        </w:tc>
        <w:tc>
          <w:tcPr>
            <w:tcW w:w="715" w:type="pct"/>
            <w:vAlign w:val="center"/>
          </w:tcPr>
          <w:p w:rsidR="00CD528C" w:rsidRDefault="0058085E">
            <w:pPr>
              <w:jc w:val="right"/>
            </w:pPr>
            <w:r>
              <w:t>3.9</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27</w:t>
            </w:r>
          </w:p>
        </w:tc>
        <w:tc>
          <w:tcPr>
            <w:tcW w:w="715" w:type="pct"/>
            <w:shd w:val="clear" w:color="auto" w:fill="D9D9D9" w:themeFill="background2" w:themeFillShade="D9"/>
            <w:vAlign w:val="center"/>
          </w:tcPr>
          <w:p w:rsidR="00CD528C" w:rsidRDefault="0058085E">
            <w:pPr>
              <w:jc w:val="right"/>
            </w:pPr>
            <w:r>
              <w:t>11.7</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32</w:t>
            </w:r>
          </w:p>
        </w:tc>
        <w:tc>
          <w:tcPr>
            <w:tcW w:w="715" w:type="pct"/>
            <w:vAlign w:val="center"/>
          </w:tcPr>
          <w:p w:rsidR="00CD528C" w:rsidRDefault="0058085E">
            <w:pPr>
              <w:jc w:val="right"/>
            </w:pPr>
            <w:r>
              <w:t>13.9</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3.9</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33.8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55</w:t>
            </w:r>
          </w:p>
        </w:tc>
        <w:tc>
          <w:tcPr>
            <w:tcW w:w="715" w:type="pct"/>
            <w:vAlign w:val="center"/>
          </w:tcPr>
          <w:p w:rsidR="00CD528C" w:rsidRDefault="0058085E">
            <w:pPr>
              <w:jc w:val="right"/>
            </w:pPr>
            <w:r>
              <w:t>23.8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6.1</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41</w:t>
            </w:r>
          </w:p>
        </w:tc>
        <w:tc>
          <w:tcPr>
            <w:tcW w:w="715" w:type="pct"/>
            <w:vAlign w:val="center"/>
          </w:tcPr>
          <w:p w:rsidR="00CD528C" w:rsidRDefault="0058085E">
            <w:pPr>
              <w:jc w:val="right"/>
            </w:pPr>
            <w:r>
              <w:t>17.7</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231</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Macedon Ranges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43.3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Macedon Ranges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41.8</w:t>
            </w:r>
          </w:p>
        </w:tc>
        <w:tc>
          <w:tcPr>
            <w:tcW w:w="738" w:type="pct"/>
            <w:noWrap/>
            <w:vAlign w:val="center"/>
          </w:tcPr>
          <w:p w:rsidR="00CD528C" w:rsidRDefault="0058085E">
            <w:pPr>
              <w:jc w:val="right"/>
            </w:pPr>
            <w:r>
              <w:t>15.7</w:t>
            </w:r>
          </w:p>
        </w:tc>
        <w:tc>
          <w:tcPr>
            <w:tcW w:w="843" w:type="pct"/>
            <w:noWrap/>
            <w:vAlign w:val="center"/>
          </w:tcPr>
          <w:p w:rsidR="00CD528C" w:rsidRDefault="0058085E">
            <w:pPr>
              <w:jc w:val="right"/>
            </w:pPr>
            <w:r>
              <w:t>10.4</w:t>
            </w:r>
          </w:p>
        </w:tc>
        <w:tc>
          <w:tcPr>
            <w:tcW w:w="647" w:type="pct"/>
            <w:noWrap/>
            <w:vAlign w:val="center"/>
          </w:tcPr>
          <w:p w:rsidR="00CD528C" w:rsidRDefault="0058085E">
            <w:pPr>
              <w:jc w:val="right"/>
            </w:pPr>
            <w:r>
              <w:t>26.5</w:t>
            </w:r>
          </w:p>
        </w:tc>
        <w:tc>
          <w:tcPr>
            <w:tcW w:w="575" w:type="pct"/>
            <w:noWrap/>
            <w:vAlign w:val="center"/>
          </w:tcPr>
          <w:p w:rsidR="00CD528C" w:rsidRDefault="00CD528C">
            <w:pPr>
              <w:jc w:val="right"/>
            </w:pPr>
            <w:r>
              <w:t>4.8</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42.0</w:t>
            </w:r>
          </w:p>
        </w:tc>
        <w:tc>
          <w:tcPr>
            <w:tcW w:w="738" w:type="pct"/>
            <w:shd w:val="clear" w:color="auto" w:fill="D9D9D9" w:themeFill="background2" w:themeFillShade="D9"/>
            <w:noWrap/>
            <w:vAlign w:val="center"/>
          </w:tcPr>
          <w:p w:rsidR="00CD528C" w:rsidRDefault="0058085E">
            <w:pPr>
              <w:jc w:val="right"/>
            </w:pPr>
            <w:r>
              <w:t>10.3</w:t>
            </w:r>
          </w:p>
        </w:tc>
        <w:tc>
          <w:tcPr>
            <w:tcW w:w="843" w:type="pct"/>
            <w:shd w:val="clear" w:color="auto" w:fill="D9D9D9" w:themeFill="background2" w:themeFillShade="D9"/>
            <w:noWrap/>
            <w:vAlign w:val="center"/>
          </w:tcPr>
          <w:p w:rsidR="00CD528C" w:rsidRDefault="0058085E">
            <w:pPr>
              <w:jc w:val="right"/>
            </w:pPr>
            <w:r>
              <w:t>9.9</w:t>
            </w:r>
          </w:p>
        </w:tc>
        <w:tc>
          <w:tcPr>
            <w:tcW w:w="647" w:type="pct"/>
            <w:shd w:val="clear" w:color="auto" w:fill="D9D9D9" w:themeFill="background2" w:themeFillShade="D9"/>
            <w:noWrap/>
            <w:vAlign w:val="center"/>
          </w:tcPr>
          <w:p w:rsidR="00CD528C" w:rsidRDefault="0058085E">
            <w:pPr>
              <w:jc w:val="right"/>
            </w:pPr>
            <w:r>
              <w:t>30.9</w:t>
            </w:r>
          </w:p>
        </w:tc>
        <w:tc>
          <w:tcPr>
            <w:tcW w:w="575" w:type="pct"/>
            <w:shd w:val="clear" w:color="auto" w:fill="D9D9D9" w:themeFill="background2" w:themeFillShade="D9"/>
            <w:noWrap/>
            <w:vAlign w:val="center"/>
          </w:tcPr>
          <w:p w:rsidR="00CD528C" w:rsidRDefault="0058085E">
            <w:pPr>
              <w:jc w:val="right"/>
            </w:pPr>
            <w:r>
              <w:t>6.9</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42.0</w:t>
            </w:r>
          </w:p>
        </w:tc>
        <w:tc>
          <w:tcPr>
            <w:tcW w:w="738" w:type="pct"/>
            <w:tcBorders>
              <w:bottom w:val="single" w:sz="2" w:space="0" w:color="FFFFFF" w:themeColor="accent6" w:themeTint="99"/>
            </w:tcBorders>
            <w:noWrap/>
            <w:vAlign w:val="center"/>
          </w:tcPr>
          <w:p w:rsidR="00CD528C" w:rsidRDefault="0058085E">
            <w:pPr>
              <w:jc w:val="right"/>
            </w:pPr>
            <w:r>
              <w:t>7.7</w:t>
            </w:r>
          </w:p>
        </w:tc>
        <w:tc>
          <w:tcPr>
            <w:tcW w:w="843" w:type="pct"/>
            <w:tcBorders>
              <w:bottom w:val="single" w:sz="2" w:space="0" w:color="FFFFFF" w:themeColor="accent6" w:themeTint="99"/>
            </w:tcBorders>
            <w:noWrap/>
            <w:vAlign w:val="center"/>
          </w:tcPr>
          <w:p w:rsidR="00CD528C" w:rsidRDefault="0058085E">
            <w:pPr>
              <w:jc w:val="right"/>
            </w:pPr>
            <w:r>
              <w:t>14.0</w:t>
            </w:r>
          </w:p>
        </w:tc>
        <w:tc>
          <w:tcPr>
            <w:tcW w:w="647" w:type="pct"/>
            <w:tcBorders>
              <w:bottom w:val="single" w:sz="2" w:space="0" w:color="FFFFFF" w:themeColor="accent6" w:themeTint="99"/>
            </w:tcBorders>
            <w:noWrap/>
            <w:vAlign w:val="center"/>
          </w:tcPr>
          <w:p w:rsidR="00CD528C" w:rsidRDefault="0058085E">
            <w:pPr>
              <w:jc w:val="right"/>
            </w:pPr>
            <w:r>
              <w:t>30.9</w:t>
            </w:r>
          </w:p>
        </w:tc>
        <w:tc>
          <w:tcPr>
            <w:tcW w:w="575" w:type="pct"/>
            <w:tcBorders>
              <w:bottom w:val="single" w:sz="2" w:space="0" w:color="FFFFFF" w:themeColor="accent6" w:themeTint="99"/>
            </w:tcBorders>
            <w:noWrap/>
            <w:vAlign w:val="center"/>
          </w:tcPr>
          <w:p w:rsidR="00CD528C" w:rsidRDefault="00CD528C">
            <w:pPr>
              <w:jc w:val="right"/>
            </w:pPr>
            <w:r>
              <w:t>3.9</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23.8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Macedon Ranges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20.0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7.9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23.5</w:t>
            </w:r>
          </w:p>
        </w:tc>
        <w:tc>
          <w:tcPr>
            <w:tcW w:w="1215" w:type="dxa"/>
            <w:tcBorders>
              <w:bottom w:val="single" w:sz="2" w:space="0" w:color="FFFFFF" w:themeColor="accent6" w:themeTint="99"/>
            </w:tcBorders>
            <w:noWrap/>
            <w:vAlign w:val="center"/>
          </w:tcPr>
          <w:p w:rsidR="00CD528C" w:rsidRDefault="0058085E">
            <w:pPr>
              <w:jc w:val="right"/>
            </w:pPr>
            <w:r>
              <w:t>17.6</w:t>
            </w:r>
          </w:p>
        </w:tc>
        <w:tc>
          <w:tcPr>
            <w:tcW w:w="1215" w:type="dxa"/>
            <w:tcBorders>
              <w:bottom w:val="single" w:sz="2" w:space="0" w:color="FFFFFF" w:themeColor="accent6" w:themeTint="99"/>
            </w:tcBorders>
            <w:noWrap/>
            <w:vAlign w:val="center"/>
          </w:tcPr>
          <w:p w:rsidR="00CD528C" w:rsidRDefault="0058085E">
            <w:pPr>
              <w:jc w:val="right"/>
            </w:pPr>
            <w:r>
              <w:t>16.2</w:t>
            </w:r>
          </w:p>
        </w:tc>
        <w:tc>
          <w:tcPr>
            <w:tcW w:w="1215" w:type="dxa"/>
            <w:tcBorders>
              <w:bottom w:val="single" w:sz="2" w:space="0" w:color="FFFFFF" w:themeColor="accent6" w:themeTint="99"/>
            </w:tcBorders>
            <w:noWrap/>
            <w:vAlign w:val="center"/>
          </w:tcPr>
          <w:p w:rsidR="00CD528C" w:rsidRDefault="0058085E">
            <w:pPr>
              <w:jc w:val="right"/>
            </w:pPr>
            <w:r>
              <w:t>30.9</w:t>
            </w:r>
          </w:p>
        </w:tc>
        <w:tc>
          <w:tcPr>
            <w:tcW w:w="1215" w:type="dxa"/>
            <w:tcBorders>
              <w:bottom w:val="single" w:sz="2" w:space="0" w:color="FFFFFF" w:themeColor="accent6" w:themeTint="99"/>
            </w:tcBorders>
            <w:noWrap/>
            <w:vAlign w:val="center"/>
          </w:tcPr>
          <w:p w:rsidR="00CD528C" w:rsidRDefault="0058085E">
            <w:pPr>
              <w:jc w:val="right"/>
            </w:pPr>
            <w:r>
              <w:t>11.8</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43.5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Macedon Ranges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0.7</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33.7</w:t>
            </w:r>
          </w:p>
        </w:tc>
        <w:tc>
          <w:tcPr>
            <w:tcW w:w="1215" w:type="dxa"/>
            <w:tcBorders>
              <w:left w:val="nil"/>
              <w:bottom w:val="single" w:sz="2" w:space="0" w:color="004EA8"/>
              <w:right w:val="nil"/>
            </w:tcBorders>
            <w:noWrap/>
            <w:vAlign w:val="center"/>
          </w:tcPr>
          <w:p w:rsidR="00CD528C" w:rsidRDefault="0058085E">
            <w:pPr>
              <w:jc w:val="right"/>
            </w:pPr>
            <w:r>
              <w:t>11.6</w:t>
            </w:r>
          </w:p>
        </w:tc>
        <w:tc>
          <w:tcPr>
            <w:tcW w:w="1215" w:type="dxa"/>
            <w:tcBorders>
              <w:left w:val="nil"/>
              <w:bottom w:val="single" w:sz="2" w:space="0" w:color="004EA8"/>
              <w:right w:val="nil"/>
            </w:tcBorders>
            <w:noWrap/>
            <w:vAlign w:val="center"/>
          </w:tcPr>
          <w:p w:rsidR="00CD528C" w:rsidRDefault="0058085E">
            <w:pPr>
              <w:jc w:val="right"/>
            </w:pPr>
            <w:r>
              <w:t>23.2</w:t>
            </w:r>
          </w:p>
        </w:tc>
        <w:tc>
          <w:tcPr>
            <w:tcW w:w="1215" w:type="dxa"/>
            <w:tcBorders>
              <w:left w:val="nil"/>
              <w:bottom w:val="single" w:sz="2" w:space="0" w:color="004EA8"/>
              <w:right w:val="nil"/>
            </w:tcBorders>
            <w:noWrap/>
            <w:vAlign w:val="center"/>
          </w:tcPr>
          <w:p w:rsidR="00CD528C" w:rsidRDefault="0058085E">
            <w:pPr>
              <w:jc w:val="right"/>
            </w:pPr>
            <w:r>
              <w:t>18.9</w:t>
            </w:r>
          </w:p>
        </w:tc>
        <w:tc>
          <w:tcPr>
            <w:tcW w:w="1215" w:type="dxa"/>
            <w:tcBorders>
              <w:left w:val="nil"/>
              <w:bottom w:val="single" w:sz="2" w:space="0" w:color="004EA8"/>
              <w:right w:val="nil"/>
            </w:tcBorders>
            <w:noWrap/>
            <w:vAlign w:val="center"/>
          </w:tcPr>
          <w:p w:rsidR="00CD528C" w:rsidRDefault="0058085E">
            <w:pPr>
              <w:jc w:val="right"/>
            </w:pPr>
            <w:r>
              <w:t>10.5</w:t>
            </w:r>
          </w:p>
        </w:tc>
        <w:tc>
          <w:tcPr>
            <w:tcW w:w="1215" w:type="dxa"/>
            <w:tcBorders>
              <w:left w:val="nil"/>
              <w:bottom w:val="single" w:sz="2" w:space="0" w:color="004EA8"/>
              <w:right w:val="nil"/>
            </w:tcBorders>
            <w:noWrap/>
            <w:vAlign w:val="center"/>
          </w:tcPr>
          <w:p w:rsidR="00CD528C" w:rsidRDefault="00CD528C">
            <w:pPr>
              <w:jc w:val="right"/>
            </w:pPr>
            <w:r>
              <w:t>2.1</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Macedon Ranges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35.7</w:t>
            </w:r>
          </w:p>
        </w:tc>
        <w:tc>
          <w:tcPr>
            <w:tcW w:w="1207" w:type="dxa"/>
            <w:noWrap/>
            <w:vAlign w:val="center"/>
          </w:tcPr>
          <w:p w:rsidR="00CD528C" w:rsidRDefault="0058085E">
            <w:pPr>
              <w:jc w:val="right"/>
            </w:pPr>
            <w:r>
              <w:t>19.0</w:t>
            </w:r>
          </w:p>
        </w:tc>
        <w:tc>
          <w:tcPr>
            <w:tcW w:w="1206" w:type="dxa"/>
            <w:noWrap/>
            <w:vAlign w:val="center"/>
          </w:tcPr>
          <w:p w:rsidR="00CD528C" w:rsidRDefault="0058085E">
            <w:pPr>
              <w:jc w:val="right"/>
            </w:pPr>
            <w:r>
              <w:t>14.3</w:t>
            </w:r>
          </w:p>
        </w:tc>
        <w:tc>
          <w:tcPr>
            <w:tcW w:w="1207" w:type="dxa"/>
            <w:noWrap/>
            <w:vAlign w:val="center"/>
          </w:tcPr>
          <w:p w:rsidR="00CD528C" w:rsidRDefault="0058085E">
            <w:pPr>
              <w:jc w:val="right"/>
            </w:pPr>
            <w:r>
              <w:t>21.4</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42.4</w:t>
            </w:r>
          </w:p>
        </w:tc>
        <w:tc>
          <w:tcPr>
            <w:tcW w:w="1207" w:type="dxa"/>
            <w:tcBorders>
              <w:left w:val="nil"/>
              <w:bottom w:val="single" w:sz="2" w:space="0" w:color="004EA8"/>
              <w:right w:val="nil"/>
            </w:tcBorders>
            <w:noWrap/>
            <w:vAlign w:val="center"/>
          </w:tcPr>
          <w:p w:rsidR="00CD528C" w:rsidRDefault="0058085E">
            <w:pPr>
              <w:jc w:val="right"/>
            </w:pPr>
            <w:r>
              <w:t>12.9</w:t>
            </w:r>
          </w:p>
        </w:tc>
        <w:tc>
          <w:tcPr>
            <w:tcW w:w="1206" w:type="dxa"/>
            <w:tcBorders>
              <w:left w:val="nil"/>
              <w:bottom w:val="single" w:sz="2" w:space="0" w:color="004EA8"/>
              <w:right w:val="nil"/>
            </w:tcBorders>
            <w:noWrap/>
            <w:vAlign w:val="center"/>
          </w:tcPr>
          <w:p w:rsidR="00CD528C" w:rsidRDefault="0058085E">
            <w:pPr>
              <w:jc w:val="right"/>
            </w:pPr>
            <w:r>
              <w:t>14.4</w:t>
            </w:r>
          </w:p>
        </w:tc>
        <w:tc>
          <w:tcPr>
            <w:tcW w:w="1207" w:type="dxa"/>
            <w:tcBorders>
              <w:left w:val="nil"/>
              <w:bottom w:val="single" w:sz="2" w:space="0" w:color="004EA8"/>
              <w:right w:val="nil"/>
            </w:tcBorders>
            <w:noWrap/>
            <w:vAlign w:val="center"/>
          </w:tcPr>
          <w:p w:rsidR="00CD528C" w:rsidRDefault="0058085E">
            <w:pPr>
              <w:jc w:val="right"/>
            </w:pPr>
            <w:r>
              <w:t>21.2</w:t>
            </w:r>
          </w:p>
        </w:tc>
        <w:tc>
          <w:tcPr>
            <w:tcW w:w="1206" w:type="dxa"/>
            <w:tcBorders>
              <w:left w:val="nil"/>
              <w:bottom w:val="single" w:sz="2" w:space="0" w:color="004EA8"/>
              <w:right w:val="nil"/>
            </w:tcBorders>
            <w:noWrap/>
            <w:vAlign w:val="center"/>
          </w:tcPr>
          <w:p w:rsidR="00CD528C" w:rsidRDefault="0058085E">
            <w:pPr>
              <w:jc w:val="right"/>
            </w:pPr>
            <w:r>
              <w:t>7.6</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Macedon Ranges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Alice Miller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Braemar College</w:t>
            </w:r>
          </w:p>
        </w:tc>
        <w:tc>
          <w:tcPr>
            <w:tcW w:w="2310" w:type="dxa"/>
            <w:shd w:val="clear" w:color="auto" w:fill="FFFFFF"/>
          </w:tcPr>
          <w:p>
            <w:pPr>
              <w:jc w:val="right"/>
            </w:pPr>
            <w:r>
              <w:t>96</w:t>
            </w:r>
          </w:p>
        </w:tc>
        <w:tc>
          <w:tcPr>
            <w:tcW w:w="2310" w:type="dxa"/>
            <w:shd w:val="clear" w:color="auto" w:fill="FFFFFF"/>
          </w:tcPr>
          <w:p>
            <w:pPr>
              <w:jc w:val="right"/>
            </w:pPr>
            <w:r>
              <w:t>61</w:t>
            </w:r>
          </w:p>
        </w:tc>
        <w:tc>
          <w:tcPr>
            <w:tcW w:w="2310" w:type="dxa"/>
            <w:shd w:val="clear" w:color="auto" w:fill="FFFFFF"/>
          </w:tcPr>
          <w:p>
            <w:pPr>
              <w:jc w:val="right"/>
            </w:pPr>
            <w:r>
              <w:t>57.4</w:t>
            </w:r>
          </w:p>
        </w:tc>
        <w:tc>
          <w:tcPr>
            <w:tcW w:w="2310" w:type="dxa"/>
            <w:shd w:val="clear" w:color="auto" w:fill="FFFFFF"/>
          </w:tcPr>
          <w:p>
            <w:pPr>
              <w:jc w:val="right"/>
            </w:pPr>
            <w:r>
              <w:t>9.8</w:t>
            </w:r>
          </w:p>
        </w:tc>
        <w:tc>
          <w:tcPr>
            <w:tcW w:w="2310" w:type="dxa"/>
            <w:shd w:val="clear" w:color="auto" w:fill="FFFFFF"/>
          </w:tcPr>
          <w:p>
            <w:pPr>
              <w:jc w:val="right"/>
            </w:pPr>
            <w:r>
              <w:t>4.9</w:t>
            </w:r>
          </w:p>
        </w:tc>
        <w:tc>
          <w:tcPr>
            <w:tcW w:w="2310" w:type="dxa"/>
            <w:shd w:val="clear" w:color="auto" w:fill="FFFFFF"/>
          </w:tcPr>
          <w:p>
            <w:pPr>
              <w:jc w:val="right"/>
            </w:pPr>
            <w:r>
              <w:t>27.9</w:t>
            </w:r>
          </w:p>
        </w:tc>
      </w:tr>
      <w:tr>
        <w:tc>
          <w:tcPr>
            <w:tcW w:w="2310" w:type="dxa"/>
            <w:shd w:val="clear" w:color="auto" w:fill="D9D9D9"/>
          </w:tcPr>
          <w:p>
            <w:pPr>
              <w:jc w:val="right"/>
            </w:pPr>
            <w:r>
              <w:t>Gisborne Secondary College</w:t>
            </w:r>
          </w:p>
        </w:tc>
        <w:tc>
          <w:tcPr>
            <w:tcW w:w="2310" w:type="dxa"/>
            <w:shd w:val="clear" w:color="auto" w:fill="D9D9D9"/>
          </w:tcPr>
          <w:p>
            <w:pPr>
              <w:jc w:val="right"/>
            </w:pPr>
            <w:r>
              <w:t>120</w:t>
            </w:r>
          </w:p>
        </w:tc>
        <w:tc>
          <w:tcPr>
            <w:tcW w:w="2310" w:type="dxa"/>
            <w:shd w:val="clear" w:color="auto" w:fill="D9D9D9"/>
          </w:tcPr>
          <w:p>
            <w:pPr>
              <w:jc w:val="right"/>
            </w:pPr>
            <w:r>
              <w:t>80</w:t>
            </w:r>
          </w:p>
        </w:tc>
        <w:tc>
          <w:tcPr>
            <w:tcW w:w="2310" w:type="dxa"/>
            <w:shd w:val="clear" w:color="auto" w:fill="D9D9D9"/>
          </w:tcPr>
          <w:p>
            <w:pPr>
              <w:jc w:val="right"/>
            </w:pPr>
            <w:r>
              <w:t>23.8</w:t>
            </w:r>
          </w:p>
        </w:tc>
        <w:tc>
          <w:tcPr>
            <w:tcW w:w="2310" w:type="dxa"/>
            <w:shd w:val="clear" w:color="auto" w:fill="D9D9D9"/>
          </w:tcPr>
          <w:p>
            <w:pPr>
              <w:jc w:val="right"/>
            </w:pPr>
            <w:r>
              <w:t>20.0</w:t>
            </w:r>
          </w:p>
        </w:tc>
        <w:tc>
          <w:tcPr>
            <w:tcW w:w="2310" w:type="dxa"/>
            <w:shd w:val="clear" w:color="auto" w:fill="D9D9D9"/>
          </w:tcPr>
          <w:p>
            <w:pPr>
              <w:jc w:val="right"/>
            </w:pPr>
            <w:r>
              <w:t>15.0</w:t>
            </w:r>
          </w:p>
        </w:tc>
        <w:tc>
          <w:tcPr>
            <w:tcW w:w="2310" w:type="dxa"/>
            <w:shd w:val="clear" w:color="auto" w:fill="D9D9D9"/>
          </w:tcPr>
          <w:p>
            <w:pPr>
              <w:jc w:val="right"/>
            </w:pPr>
            <w:r>
              <w:t>41.3</w:t>
            </w:r>
          </w:p>
        </w:tc>
      </w:tr>
      <w:tr>
        <w:tc>
          <w:tcPr>
            <w:tcW w:w="2310" w:type="dxa"/>
            <w:shd w:val="clear" w:color="auto" w:fill="FFFFFF"/>
          </w:tcPr>
          <w:p>
            <w:pPr>
              <w:jc w:val="right"/>
            </w:pPr>
            <w:r>
              <w:t>Kyneton High School</w:t>
            </w:r>
          </w:p>
        </w:tc>
        <w:tc>
          <w:tcPr>
            <w:tcW w:w="2310" w:type="dxa"/>
            <w:shd w:val="clear" w:color="auto" w:fill="FFFFFF"/>
          </w:tcPr>
          <w:p>
            <w:pPr>
              <w:jc w:val="right"/>
            </w:pPr>
            <w:r>
              <w:t>58</w:t>
            </w:r>
          </w:p>
        </w:tc>
        <w:tc>
          <w:tcPr>
            <w:tcW w:w="2310" w:type="dxa"/>
            <w:shd w:val="clear" w:color="auto" w:fill="FFFFFF"/>
          </w:tcPr>
          <w:p>
            <w:pPr>
              <w:jc w:val="right"/>
            </w:pPr>
            <w:r>
              <w:t>34</w:t>
            </w:r>
          </w:p>
        </w:tc>
        <w:tc>
          <w:tcPr>
            <w:tcW w:w="2310" w:type="dxa"/>
            <w:shd w:val="clear" w:color="auto" w:fill="FFFFFF"/>
          </w:tcPr>
          <w:p>
            <w:pPr>
              <w:jc w:val="right"/>
            </w:pPr>
            <w:r>
              <w:t>20.6</w:t>
            </w:r>
          </w:p>
        </w:tc>
        <w:tc>
          <w:tcPr>
            <w:tcW w:w="2310" w:type="dxa"/>
            <w:shd w:val="clear" w:color="auto" w:fill="FFFFFF"/>
          </w:tcPr>
          <w:p>
            <w:pPr>
              <w:jc w:val="right"/>
            </w:pPr>
            <w:r>
              <w:t>20.6</w:t>
            </w:r>
          </w:p>
        </w:tc>
        <w:tc>
          <w:tcPr>
            <w:tcW w:w="2310" w:type="dxa"/>
            <w:shd w:val="clear" w:color="auto" w:fill="FFFFFF"/>
          </w:tcPr>
          <w:p>
            <w:pPr>
              <w:jc w:val="right"/>
            </w:pPr>
            <w:r>
              <w:t>26.5</w:t>
            </w:r>
          </w:p>
        </w:tc>
        <w:tc>
          <w:tcPr>
            <w:tcW w:w="2310" w:type="dxa"/>
            <w:shd w:val="clear" w:color="auto" w:fill="FFFFFF"/>
          </w:tcPr>
          <w:p>
            <w:pPr>
              <w:jc w:val="right"/>
            </w:pPr>
            <w:r>
              <w:t>32.4</w:t>
            </w:r>
          </w:p>
        </w:tc>
      </w:tr>
      <w:tr>
        <w:tc>
          <w:tcPr>
            <w:tcW w:w="2310" w:type="dxa"/>
            <w:shd w:val="clear" w:color="auto" w:fill="D9D9D9"/>
          </w:tcPr>
          <w:p>
            <w:pPr>
              <w:jc w:val="right"/>
            </w:pPr>
            <w:r>
              <w:t>Sacred Heart College</w:t>
            </w:r>
          </w:p>
        </w:tc>
        <w:tc>
          <w:tcPr>
            <w:tcW w:w="2310" w:type="dxa"/>
            <w:shd w:val="clear" w:color="auto" w:fill="D9D9D9"/>
          </w:tcPr>
          <w:p>
            <w:pPr>
              <w:jc w:val="right"/>
            </w:pPr>
            <w:r>
              <w:t>109</w:t>
            </w:r>
          </w:p>
        </w:tc>
        <w:tc>
          <w:tcPr>
            <w:tcW w:w="2310" w:type="dxa"/>
            <w:shd w:val="clear" w:color="auto" w:fill="D9D9D9"/>
          </w:tcPr>
          <w:p>
            <w:pPr>
              <w:jc w:val="right"/>
            </w:pPr>
            <w:r>
              <w:t>53</w:t>
            </w:r>
          </w:p>
        </w:tc>
        <w:tc>
          <w:tcPr>
            <w:tcW w:w="2310" w:type="dxa"/>
            <w:shd w:val="clear" w:color="auto" w:fill="D9D9D9"/>
          </w:tcPr>
          <w:p>
            <w:pPr>
              <w:jc w:val="right"/>
            </w:pPr>
            <w:r>
              <w:t>43.4</w:t>
            </w:r>
          </w:p>
        </w:tc>
        <w:tc>
          <w:tcPr>
            <w:tcW w:w="2310" w:type="dxa"/>
            <w:shd w:val="clear" w:color="auto" w:fill="D9D9D9"/>
          </w:tcPr>
          <w:p>
            <w:pPr>
              <w:jc w:val="right"/>
            </w:pPr>
            <w:r>
              <w:t>13.2</w:t>
            </w:r>
          </w:p>
        </w:tc>
        <w:tc>
          <w:tcPr>
            <w:tcW w:w="2310" w:type="dxa"/>
            <w:shd w:val="clear" w:color="auto" w:fill="D9D9D9"/>
          </w:tcPr>
          <w:p>
            <w:pPr>
              <w:jc w:val="right"/>
            </w:pPr>
            <w:r>
              <w:t>15.1</w:t>
            </w:r>
          </w:p>
        </w:tc>
        <w:tc>
          <w:tcPr>
            <w:tcW w:w="2310" w:type="dxa"/>
            <w:shd w:val="clear" w:color="auto" w:fill="D9D9D9"/>
          </w:tcPr>
          <w:p>
            <w:pPr>
              <w:jc w:val="right"/>
            </w:pPr>
            <w:r>
              <w:t>28.3</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402</w:t>
            </w:r>
          </w:p>
        </w:tc>
        <w:tc>
          <w:tcPr>
            <w:tcW w:w="2310" w:type="dxa"/>
            <w:shd w:val="clear" w:color="auto" w:fill="FFFFFF"/>
          </w:tcPr>
          <w:p>
            <w:pPr>
              <w:jc w:val="right"/>
            </w:pPr>
            <w:r>
              <w:rPr>
                <w:b/>
              </w:rPr>
              <w:t>231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Macedon Ranges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15</w:t>
            </w:r>
          </w:p>
        </w:tc>
        <w:tc>
          <w:tcPr>
            <w:tcW w:w="998" w:type="pct"/>
            <w:shd w:val="clear" w:color="auto" w:fill="auto"/>
          </w:tcPr>
          <w:p w:rsidR="00CD528C" w:rsidRDefault="00CD528C">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6.3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20</w:t>
            </w:r>
          </w:p>
        </w:tc>
        <w:tc>
          <w:tcPr>
            <w:tcW w:w="998" w:type="pct"/>
            <w:shd w:val="clear" w:color="auto" w:fill="D9D9D9" w:themeFill="background2" w:themeFillShade="D9"/>
          </w:tcPr>
          <w:p w:rsidR="00CD528C" w:rsidRDefault="0058085E">
            <w:pPr>
              <w:jc w:val="right"/>
            </w:pPr>
            <w:r>
              <w:t>17.9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4.5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21</w:t>
            </w:r>
          </w:p>
        </w:tc>
        <w:tc>
          <w:tcPr>
            <w:tcW w:w="998" w:type="pct"/>
            <w:shd w:val="clear" w:color="auto" w:fill="D9D9D9" w:themeFill="background2" w:themeFillShade="D9"/>
          </w:tcPr>
          <w:p w:rsidR="00CD528C" w:rsidRDefault="0058085E">
            <w:pPr>
              <w:jc w:val="right"/>
            </w:pPr>
            <w:r>
              <w:t>18.8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5.4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112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10.0</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11</w:t>
            </w:r>
          </w:p>
        </w:tc>
        <w:tc>
          <w:tcPr>
            <w:tcW w:w="661" w:type="pct"/>
            <w:shd w:val="clear" w:color="auto" w:fill="D9D9D9" w:themeFill="background2" w:themeFillShade="D9"/>
            <w:noWrap/>
            <w:vAlign w:val="center"/>
          </w:tcPr>
          <w:p w:rsidR="00CD528C" w:rsidRDefault="0058085E">
            <w:pPr>
              <w:jc w:val="right"/>
            </w:pPr>
            <w:r>
              <w:t>9.2</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4.2</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27.5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10.0</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14.2</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18</w:t>
            </w:r>
          </w:p>
        </w:tc>
        <w:tc>
          <w:tcPr>
            <w:tcW w:w="661" w:type="pct"/>
            <w:tcBorders>
              <w:bottom w:val="single" w:sz="2" w:space="0" w:color="004EA8"/>
            </w:tcBorders>
            <w:shd w:val="clear" w:color="auto" w:fill="auto"/>
            <w:noWrap/>
            <w:vAlign w:val="center"/>
          </w:tcPr>
          <w:p w:rsidR="00CD528C" w:rsidRDefault="0058085E">
            <w:pPr>
              <w:jc w:val="right"/>
            </w:pPr>
            <w:r>
              <w:t>15.0</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Macedon Ranges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90.9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9.1</w:t>
            </w:r>
          </w:p>
        </w:tc>
        <w:tc>
          <w:tcPr>
            <w:tcW w:w="869" w:type="pct"/>
            <w:tcBorders>
              <w:bottom w:val="single" w:sz="2" w:space="0" w:color="004EA8"/>
            </w:tcBorders>
            <w:noWrap/>
            <w:vAlign w:val="center"/>
          </w:tcPr>
          <w:p w:rsidR="00CD528C" w:rsidRDefault="00CD528C">
            <w:pPr>
              <w:jc w:val="right"/>
            </w:pPr>
            <w:r>
              <w:t>70.0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31.3</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Macedon Ranges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62.8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27.9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72.7</w:t>
            </w:r>
          </w:p>
        </w:tc>
        <w:tc>
          <w:tcPr>
            <w:tcW w:w="1062" w:type="pct"/>
            <w:noWrap/>
            <w:vAlign w:val="center"/>
          </w:tcPr>
          <w:p w:rsidR="00CD528C" w:rsidRDefault="0058085E">
            <w:pPr>
              <w:jc w:val="right"/>
            </w:pPr>
            <w:r>
              <w:t>59.1</w:t>
            </w:r>
          </w:p>
        </w:tc>
        <w:tc>
          <w:tcPr>
            <w:tcW w:w="1062" w:type="pct"/>
            <w:noWrap/>
            <w:vAlign w:val="center"/>
          </w:tcPr>
          <w:p w:rsidR="00CD528C" w:rsidRDefault="00CD528C">
            <w:pPr>
              <w:jc w:val="right"/>
            </w:pPr>
            <w:r>
              <w:t>27.3</w:t>
            </w:r>
          </w:p>
        </w:tc>
        <w:tc>
          <w:tcPr>
            <w:tcW w:w="1062" w:type="pct"/>
            <w:noWrap/>
            <w:vAlign w:val="center"/>
          </w:tcPr>
          <w:p w:rsidR="00CD528C" w:rsidRDefault="0058085E">
            <w:pPr>
              <w:jc w:val="right"/>
            </w:pPr>
            <w:r>
              <w:t>13.6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95.2</w:t>
            </w:r>
          </w:p>
        </w:tc>
        <w:tc>
          <w:tcPr>
            <w:tcW w:w="1062" w:type="pct"/>
            <w:shd w:val="clear" w:color="auto" w:fill="D9D9D9" w:themeFill="background2" w:themeFillShade="D9"/>
            <w:noWrap/>
            <w:vAlign w:val="center"/>
          </w:tcPr>
          <w:p w:rsidR="00CD528C" w:rsidRDefault="0058085E">
            <w:pPr>
              <w:jc w:val="right"/>
            </w:pPr>
            <w:r>
              <w:t>69.0</w:t>
            </w:r>
          </w:p>
        </w:tc>
        <w:tc>
          <w:tcPr>
            <w:tcW w:w="1062" w:type="pct"/>
            <w:shd w:val="clear" w:color="auto" w:fill="D9D9D9" w:themeFill="background2" w:themeFillShade="D9"/>
            <w:noWrap/>
            <w:vAlign w:val="center"/>
          </w:tcPr>
          <w:p w:rsidR="00CD528C" w:rsidRDefault="0058085E">
            <w:pPr>
              <w:jc w:val="right"/>
            </w:pPr>
            <w:r>
              <w:t>31.0</w:t>
            </w:r>
          </w:p>
        </w:tc>
        <w:tc>
          <w:tcPr>
            <w:tcW w:w="1062" w:type="pct"/>
            <w:shd w:val="clear" w:color="auto" w:fill="D9D9D9" w:themeFill="background2" w:themeFillShade="D9"/>
            <w:noWrap/>
            <w:vAlign w:val="center"/>
          </w:tcPr>
          <w:p w:rsidR="00CD528C" w:rsidRDefault="0058085E">
            <w:pPr>
              <w:jc w:val="right"/>
            </w:pPr>
            <w:r>
              <w:t>16.7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89.2</w:t>
            </w:r>
          </w:p>
        </w:tc>
        <w:tc>
          <w:tcPr>
            <w:tcW w:w="1062" w:type="pct"/>
            <w:tcBorders>
              <w:bottom w:val="single" w:sz="2" w:space="0" w:color="FFFFFF" w:themeColor="accent6" w:themeTint="99"/>
            </w:tcBorders>
            <w:noWrap/>
            <w:vAlign w:val="center"/>
          </w:tcPr>
          <w:p w:rsidR="00CD528C" w:rsidRDefault="0058085E">
            <w:pPr>
              <w:jc w:val="right"/>
            </w:pPr>
            <w:r>
              <w:t>78.4</w:t>
            </w:r>
          </w:p>
        </w:tc>
        <w:tc>
          <w:tcPr>
            <w:tcW w:w="1062" w:type="pct"/>
            <w:tcBorders>
              <w:bottom w:val="single" w:sz="2" w:space="0" w:color="FFFFFF" w:themeColor="accent6" w:themeTint="99"/>
            </w:tcBorders>
            <w:noWrap/>
            <w:vAlign w:val="center"/>
          </w:tcPr>
          <w:p w:rsidR="00CD528C" w:rsidRDefault="0058085E">
            <w:pPr>
              <w:jc w:val="right"/>
            </w:pPr>
            <w:r>
              <w:t>48.6</w:t>
            </w:r>
          </w:p>
        </w:tc>
        <w:tc>
          <w:tcPr>
            <w:tcW w:w="1062" w:type="pct"/>
            <w:tcBorders>
              <w:bottom w:val="single" w:sz="2" w:space="0" w:color="FFFFFF" w:themeColor="accent6" w:themeTint="99"/>
            </w:tcBorders>
            <w:noWrap/>
            <w:vAlign w:val="center"/>
          </w:tcPr>
          <w:p w:rsidR="00CD528C" w:rsidRDefault="0058085E">
            <w:pPr>
              <w:jc w:val="right"/>
            </w:pPr>
            <w:r>
              <w:t>24.3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86.0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65.1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39.5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27.9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26.2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19</w:t>
            </w:r>
          </w:p>
        </w:tc>
        <w:tc>
          <w:tcPr>
            <w:tcW w:w="805" w:type="pct"/>
            <w:noWrap/>
            <w:vAlign w:val="center"/>
          </w:tcPr>
          <w:p w:rsidR="00CD528C" w:rsidRDefault="0058085E">
            <w:pPr>
              <w:jc w:val="right"/>
            </w:pPr>
            <w:r>
              <w:t>45.2</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23.8</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66.7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Macedon Ranges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Macedon Ranges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82.9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28</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17.1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Macedon Ranges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64.8</w:t>
            </w:r>
          </w:p>
        </w:tc>
        <w:tc>
          <w:tcPr>
            <w:tcW w:w="596" w:type="pct"/>
            <w:noWrap/>
            <w:vAlign w:val="center"/>
          </w:tcPr>
          <w:p w:rsidR="00CD528C" w:rsidRDefault="0058085E">
            <w:pPr>
              <w:jc w:val="right"/>
            </w:pPr>
            <w:r>
              <w:t>62.2</w:t>
            </w:r>
          </w:p>
        </w:tc>
        <w:tc>
          <w:tcPr>
            <w:tcW w:w="596" w:type="pct"/>
            <w:noWrap/>
            <w:vAlign w:val="center"/>
          </w:tcPr>
          <w:p w:rsidR="00CD528C" w:rsidRDefault="0058085E">
            <w:pPr>
              <w:jc w:val="right"/>
            </w:pPr>
            <w:r>
              <w:t>65.7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13.0</w:t>
            </w:r>
          </w:p>
        </w:tc>
        <w:tc>
          <w:tcPr>
            <w:tcW w:w="596" w:type="pct"/>
            <w:shd w:val="clear" w:color="auto" w:fill="D9D9D9" w:themeFill="background2" w:themeFillShade="D9"/>
            <w:noWrap/>
            <w:vAlign w:val="center"/>
          </w:tcPr>
          <w:p w:rsidR="00CD528C" w:rsidRDefault="00CD528C">
            <w:pPr>
              <w:jc w:val="right"/>
            </w:pPr>
            <w:r>
              <w:t>2.7</w:t>
            </w:r>
          </w:p>
        </w:tc>
        <w:tc>
          <w:tcPr>
            <w:tcW w:w="596" w:type="pct"/>
            <w:shd w:val="clear" w:color="auto" w:fill="D9D9D9" w:themeFill="background2" w:themeFillShade="D9"/>
            <w:noWrap/>
            <w:vAlign w:val="center"/>
          </w:tcPr>
          <w:p w:rsidR="00CD528C" w:rsidRDefault="0058085E">
            <w:pPr>
              <w:jc w:val="right"/>
            </w:pPr>
            <w:r>
              <w:t>20.0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5.4</w:t>
            </w:r>
          </w:p>
        </w:tc>
        <w:tc>
          <w:tcPr>
            <w:tcW w:w="596" w:type="pct"/>
            <w:tcBorders>
              <w:bottom w:val="single" w:sz="2" w:space="0" w:color="FFFFFF" w:themeColor="accent6" w:themeTint="99"/>
            </w:tcBorders>
            <w:noWrap/>
            <w:vAlign w:val="center"/>
          </w:tcPr>
          <w:p w:rsidR="00CD528C" w:rsidRDefault="00CD528C">
            <w:pPr>
              <w:jc w:val="right"/>
            </w:pPr>
            <w:r>
              <w:t>5.7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Macedon Ranges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13.0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9.3</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11.1</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42.6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Macedon Ranges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11.5</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13.5</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9.6</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17.3</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15.4</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9.6</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Macedon Ranges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25</w:t>
            </w:r>
          </w:p>
        </w:tc>
        <w:tc>
          <w:tcPr>
            <w:tcW w:w="755" w:type="pct"/>
            <w:tcBorders>
              <w:bottom w:val="single" w:sz="2" w:space="0" w:color="FFFFFF" w:themeColor="accent6" w:themeTint="99"/>
            </w:tcBorders>
            <w:noWrap/>
            <w:vAlign w:val="center"/>
          </w:tcPr>
          <w:p w:rsidR="00CD528C" w:rsidRDefault="0058085E">
            <w:pPr>
              <w:jc w:val="right"/>
            </w:pPr>
            <w:r>
              <w:t>62.5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92.3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61.5</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Macedon Ranges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Macedon Ranges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42.9</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71.4</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61.5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Macedon Ranges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Macedon Ranges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Macedon Ranges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Macedon Ranges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41.7</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41.7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42.9</w:t>
            </w:r>
          </w:p>
        </w:tc>
        <w:tc>
          <w:tcPr>
            <w:tcW w:w="943" w:type="pct"/>
            <w:shd w:val="clear" w:color="auto" w:fill="D9D9D9" w:themeFill="background2" w:themeFillShade="D9"/>
            <w:noWrap/>
            <w:vAlign w:val="center"/>
          </w:tcPr>
          <w:p w:rsidR="00CD528C" w:rsidRDefault="0058085E">
            <w:pPr>
              <w:jc w:val="right"/>
            </w:pPr>
            <w:r>
              <w:t>47.6</w:t>
            </w:r>
          </w:p>
        </w:tc>
        <w:tc>
          <w:tcPr>
            <w:tcW w:w="943" w:type="pct"/>
            <w:shd w:val="clear" w:color="auto" w:fill="D9D9D9" w:themeFill="background2" w:themeFillShade="D9"/>
            <w:noWrap/>
            <w:vAlign w:val="center"/>
          </w:tcPr>
          <w:p w:rsidR="00CD528C" w:rsidRDefault="0058085E">
            <w:pPr>
              <w:jc w:val="right"/>
            </w:pPr>
            <w:r>
              <w:t>42.9</w:t>
            </w:r>
          </w:p>
        </w:tc>
        <w:tc>
          <w:tcPr>
            <w:tcW w:w="943" w:type="pct"/>
            <w:shd w:val="clear" w:color="auto" w:fill="D9D9D9" w:themeFill="background2" w:themeFillShade="D9"/>
            <w:noWrap/>
            <w:vAlign w:val="center"/>
          </w:tcPr>
          <w:p w:rsidR="00CD528C" w:rsidRDefault="0058085E">
            <w:pPr>
              <w:jc w:val="right"/>
            </w:pPr>
            <w:r>
              <w:t>61.9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70.0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15.4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Macedon Ranges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Macedon Ranges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57.1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10.0</w:t>
            </w:r>
          </w:p>
        </w:tc>
        <w:tc>
          <w:tcPr>
            <w:tcW w:w="748" w:type="pct"/>
            <w:tcBorders>
              <w:bottom w:val="single" w:sz="2" w:space="0" w:color="FFFFFF" w:themeColor="accent6" w:themeTint="99"/>
            </w:tcBorders>
            <w:noWrap/>
            <w:vAlign w:val="center"/>
          </w:tcPr>
          <w:p w:rsidR="00CD528C" w:rsidRDefault="0058085E">
            <w:pPr>
              <w:jc w:val="right"/>
            </w:pPr>
            <w:r>
              <w:t>20.0</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20.0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30.8</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69.2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Macedon Ranges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Macedon Ranges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38.5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76.6</w:t>
            </w:r>
          </w:p>
        </w:tc>
        <w:tc>
          <w:tcPr>
            <w:tcW w:w="1142" w:type="pct"/>
            <w:noWrap/>
            <w:vAlign w:val="center"/>
          </w:tcPr>
          <w:p w:rsidR="00CD528C" w:rsidRDefault="0058085E">
            <w:pPr>
              <w:jc w:val="right"/>
            </w:pPr>
            <w:r>
              <w:t>69.2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74.0</w:t>
            </w:r>
          </w:p>
        </w:tc>
        <w:tc>
          <w:tcPr>
            <w:tcW w:w="1142" w:type="pct"/>
            <w:shd w:val="clear" w:color="auto" w:fill="D9D9D9" w:themeFill="background2" w:themeFillShade="D9"/>
            <w:noWrap/>
            <w:vAlign w:val="center"/>
          </w:tcPr>
          <w:p w:rsidR="00CD528C" w:rsidRDefault="0058085E">
            <w:pPr>
              <w:jc w:val="right"/>
            </w:pPr>
            <w:r>
              <w:t>38.5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80.5</w:t>
            </w:r>
          </w:p>
        </w:tc>
        <w:tc>
          <w:tcPr>
            <w:tcW w:w="1142" w:type="pct"/>
            <w:noWrap/>
            <w:vAlign w:val="center"/>
          </w:tcPr>
          <w:p w:rsidR="00CD528C" w:rsidRDefault="0058085E">
            <w:pPr>
              <w:jc w:val="right"/>
            </w:pPr>
            <w:r>
              <w:t>38.5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85.3</w:t>
            </w:r>
          </w:p>
        </w:tc>
        <w:tc>
          <w:tcPr>
            <w:tcW w:w="1142" w:type="pct"/>
            <w:shd w:val="clear" w:color="auto" w:fill="D9D9D9" w:themeFill="background2" w:themeFillShade="D9"/>
            <w:noWrap/>
            <w:vAlign w:val="center"/>
          </w:tcPr>
          <w:p w:rsidR="00CD528C" w:rsidRDefault="0058085E">
            <w:pPr>
              <w:jc w:val="right"/>
            </w:pPr>
            <w:r>
              <w:t>38.5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79.2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22.5</w:t>
            </w:r>
          </w:p>
        </w:tc>
        <w:tc>
          <w:tcPr>
            <w:tcW w:w="1142" w:type="pct"/>
            <w:noWrap/>
            <w:vAlign w:val="center"/>
          </w:tcPr>
          <w:p w:rsidR="00CD528C" w:rsidRDefault="0058085E">
            <w:pPr>
              <w:jc w:val="right"/>
            </w:pPr>
            <w:r>
              <w:t>38.5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39.0</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92.6</w:t>
            </w:r>
          </w:p>
        </w:tc>
        <w:tc>
          <w:tcPr>
            <w:tcW w:w="1142" w:type="pct"/>
            <w:tcBorders>
              <w:bottom w:val="single" w:sz="2" w:space="0" w:color="FFFFFF" w:themeColor="accent6" w:themeTint="99"/>
            </w:tcBorders>
            <w:noWrap/>
            <w:vAlign w:val="center"/>
          </w:tcPr>
          <w:p w:rsidR="00CD528C" w:rsidRDefault="0058085E">
            <w:pPr>
              <w:jc w:val="right"/>
            </w:pPr>
            <w:r>
              <w:t>92.3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45.0</w:t>
            </w:r>
          </w:p>
        </w:tc>
        <w:tc>
          <w:tcPr>
            <w:tcW w:w="765" w:type="pct"/>
            <w:noWrap/>
            <w:vAlign w:val="center"/>
          </w:tcPr>
          <w:p w:rsidR="00CD528C" w:rsidRDefault="0058085E">
            <w:pPr>
              <w:jc w:val="right"/>
            </w:pPr>
            <w:r>
              <w:t>53.8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9.5</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231</w:t>
            </w:r>
          </w:p>
        </w:tc>
        <w:tc>
          <w:tcPr>
            <w:tcW w:w="765" w:type="pct"/>
            <w:tcBorders>
              <w:top w:val="single" w:sz="2" w:space="0" w:color="004EA8"/>
              <w:bottom w:val="single" w:sz="2" w:space="0" w:color="004EA8"/>
            </w:tcBorders>
            <w:noWrap/>
            <w:vAlign w:val="center"/>
          </w:tcPr>
          <w:p w:rsidR="00CD528C" w:rsidRDefault="0058085E">
            <w:pPr>
              <w:jc w:val="right"/>
            </w:pPr>
            <w:r>
              <w:t>13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231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48</w:t>
            </w:r>
          </w:p>
        </w:tc>
        <w:tc>
          <w:tcPr>
            <w:tcW w:w="730" w:type="pct"/>
            <w:tcBorders>
              <w:bottom w:val="single" w:sz="2" w:space="0" w:color="FFFFFF" w:themeColor="accent6" w:themeTint="99"/>
            </w:tcBorders>
            <w:noWrap/>
            <w:vAlign w:val="center"/>
          </w:tcPr>
          <w:p w:rsidR="00CD528C" w:rsidRDefault="0058085E">
            <w:pPr>
              <w:jc w:val="right"/>
            </w:pPr>
            <w:r>
              <w:t>40.7</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47.9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Macedon Ranges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Macedon Ranges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1EA9-79B7-4C21-A735-E042E63148D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