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Central Goldfields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Central Goldfields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Central Goldfields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Central Goldfields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Central Goldfields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24</w:t>
            </w:r>
          </w:p>
        </w:tc>
        <w:tc>
          <w:tcPr>
            <w:tcW w:w="1048" w:type="pct"/>
            <w:tcBorders>
              <w:bottom w:val="single" w:sz="2" w:space="0" w:color="FFFFFF" w:themeColor="accent6" w:themeTint="99"/>
            </w:tcBorders>
            <w:noWrap/>
            <w:vAlign w:val="center"/>
          </w:tcPr>
          <w:p w:rsidR="00CD528C" w:rsidRDefault="0058085E">
            <w:pPr>
              <w:jc w:val="right"/>
            </w:pPr>
            <w:r>
              <w:t>45</w:t>
            </w:r>
          </w:p>
        </w:tc>
        <w:tc>
          <w:tcPr>
            <w:tcW w:w="1048" w:type="pct"/>
            <w:tcBorders>
              <w:bottom w:val="single" w:sz="2" w:space="0" w:color="FFFFFF" w:themeColor="accent6" w:themeTint="99"/>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35.1</w:t>
            </w:r>
          </w:p>
        </w:tc>
        <w:tc>
          <w:tcPr>
            <w:tcW w:w="1048" w:type="pct"/>
            <w:tcBorders>
              <w:top w:val="single" w:sz="2" w:space="0" w:color="004EA8"/>
              <w:bottom w:val="single" w:sz="2" w:space="0" w:color="004EA8"/>
            </w:tcBorders>
            <w:noWrap/>
            <w:vAlign w:val="center"/>
          </w:tcPr>
          <w:p w:rsidR="00CD528C" w:rsidRDefault="0058085E">
            <w:pPr>
              <w:jc w:val="right"/>
            </w:pPr>
            <w:r>
              <w:t>61.8</w:t>
            </w:r>
          </w:p>
        </w:tc>
        <w:tc>
          <w:tcPr>
            <w:tcW w:w="1048" w:type="pct"/>
            <w:tcBorders>
              <w:top w:val="single" w:sz="2" w:space="0" w:color="004EA8"/>
              <w:bottom w:val="single" w:sz="2" w:space="0" w:color="004EA8"/>
            </w:tcBorders>
            <w:noWrap/>
            <w:vAlign w:val="center"/>
          </w:tcPr>
          <w:p w:rsidR="00CD528C" w:rsidRDefault="0058085E">
            <w:pPr>
              <w:jc w:val="right"/>
            </w:pPr>
            <w:r>
              <w:t>51.1</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Central Goldfields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12.5</w:t>
            </w:r>
          </w:p>
        </w:tc>
        <w:tc>
          <w:tcPr>
            <w:tcW w:w="1278" w:type="pct"/>
            <w:tcBorders>
              <w:top w:val="single" w:sz="2" w:space="0" w:color="004EA8"/>
              <w:bottom w:val="single" w:sz="2" w:space="0" w:color="004EA8"/>
            </w:tcBorders>
            <w:noWrap/>
            <w:vAlign w:val="center"/>
          </w:tcPr>
          <w:p w:rsidR="00CD528C" w:rsidRDefault="0058085E">
            <w:pPr>
              <w:jc w:val="right"/>
            </w:pPr>
            <w:r>
              <w:t>18.8</w:t>
            </w:r>
          </w:p>
        </w:tc>
        <w:tc>
          <w:tcPr>
            <w:tcW w:w="847" w:type="pct"/>
            <w:tcBorders>
              <w:top w:val="single" w:sz="2" w:space="0" w:color="004EA8"/>
              <w:bottom w:val="single" w:sz="2" w:space="0" w:color="004EA8"/>
            </w:tcBorders>
            <w:noWrap/>
            <w:vAlign w:val="center"/>
          </w:tcPr>
          <w:p w:rsidR="00CD528C" w:rsidRDefault="0058085E">
            <w:pPr>
              <w:jc w:val="right"/>
            </w:pPr>
            <w:r>
              <w:t>15.3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Central Goldfields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64.6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24</w:t>
            </w:r>
          </w:p>
        </w:tc>
        <w:tc>
          <w:tcPr>
            <w:tcW w:w="715" w:type="pct"/>
            <w:vAlign w:val="center"/>
          </w:tcPr>
          <w:p w:rsidR="00CD528C" w:rsidRDefault="0058085E">
            <w:pPr>
              <w:jc w:val="right"/>
            </w:pPr>
            <w:r>
              <w:t>50.0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w:t>
            </w:r>
          </w:p>
        </w:tc>
        <w:tc>
          <w:tcPr>
            <w:tcW w:w="715" w:type="pct"/>
            <w:vAlign w:val="center"/>
          </w:tcPr>
          <w:p w:rsidR="00CD528C" w:rsidRDefault="0058085E">
            <w:pPr>
              <w:jc w:val="right"/>
            </w:pPr>
            <w:r>
              <w:t>22.9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w:t>
            </w:r>
          </w:p>
        </w:tc>
        <w:tc>
          <w:tcPr>
            <w:tcW w:w="715" w:type="pct"/>
            <w:vAlign w:val="center"/>
          </w:tcPr>
          <w:p w:rsidR="00CD528C" w:rsidRDefault="0058085E">
            <w:pPr>
              <w:jc w:val="right"/>
            </w:pPr>
            <w:r>
              <w:t>14.6</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Central Goldfields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22.4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Central Goldfields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40.8</w:t>
            </w:r>
          </w:p>
        </w:tc>
        <w:tc>
          <w:tcPr>
            <w:tcW w:w="738" w:type="pct"/>
            <w:noWrap/>
            <w:vAlign w:val="center"/>
          </w:tcPr>
          <w:p w:rsidR="00CD528C" w:rsidRDefault="0058085E">
            <w:pPr>
              <w:jc w:val="right"/>
            </w:pPr>
            <w:r>
              <w:t>9.2</w:t>
            </w:r>
          </w:p>
        </w:tc>
        <w:tc>
          <w:tcPr>
            <w:tcW w:w="843" w:type="pct"/>
            <w:noWrap/>
            <w:vAlign w:val="center"/>
          </w:tcPr>
          <w:p w:rsidR="00CD528C" w:rsidRDefault="0058085E">
            <w:pPr>
              <w:jc w:val="right"/>
            </w:pPr>
            <w:r>
              <w:t>10.5</w:t>
            </w:r>
          </w:p>
        </w:tc>
        <w:tc>
          <w:tcPr>
            <w:tcW w:w="647" w:type="pct"/>
            <w:noWrap/>
            <w:vAlign w:val="center"/>
          </w:tcPr>
          <w:p w:rsidR="00CD528C" w:rsidRDefault="0058085E">
            <w:pPr>
              <w:jc w:val="right"/>
            </w:pPr>
            <w:r>
              <w:t>28.9</w:t>
            </w:r>
          </w:p>
        </w:tc>
        <w:tc>
          <w:tcPr>
            <w:tcW w:w="575" w:type="pct"/>
            <w:noWrap/>
            <w:vAlign w:val="center"/>
          </w:tcPr>
          <w:p w:rsidR="00CD528C" w:rsidRDefault="00CD528C">
            <w:pPr>
              <w:jc w:val="right"/>
            </w:pPr>
            <w:r>
              <w:t>6.6</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33.3</w:t>
            </w:r>
          </w:p>
        </w:tc>
        <w:tc>
          <w:tcPr>
            <w:tcW w:w="738" w:type="pct"/>
            <w:shd w:val="clear" w:color="auto" w:fill="D9D9D9" w:themeFill="background2" w:themeFillShade="D9"/>
            <w:noWrap/>
            <w:vAlign w:val="center"/>
          </w:tcPr>
          <w:p w:rsidR="00CD528C" w:rsidRDefault="0058085E">
            <w:pPr>
              <w:jc w:val="right"/>
            </w:pPr>
            <w:r>
              <w:t>13.7</w:t>
            </w:r>
          </w:p>
        </w:tc>
        <w:tc>
          <w:tcPr>
            <w:tcW w:w="843" w:type="pct"/>
            <w:shd w:val="clear" w:color="auto" w:fill="D9D9D9" w:themeFill="background2" w:themeFillShade="D9"/>
            <w:noWrap/>
            <w:vAlign w:val="center"/>
          </w:tcPr>
          <w:p w:rsidR="00CD528C" w:rsidRDefault="0058085E">
            <w:pPr>
              <w:jc w:val="right"/>
            </w:pPr>
            <w:r>
              <w:t>9.8</w:t>
            </w:r>
          </w:p>
        </w:tc>
        <w:tc>
          <w:tcPr>
            <w:tcW w:w="647" w:type="pct"/>
            <w:shd w:val="clear" w:color="auto" w:fill="D9D9D9" w:themeFill="background2" w:themeFillShade="D9"/>
            <w:noWrap/>
            <w:vAlign w:val="center"/>
          </w:tcPr>
          <w:p w:rsidR="00CD528C" w:rsidRDefault="0058085E">
            <w:pPr>
              <w:jc w:val="right"/>
            </w:pPr>
            <w:r>
              <w:t>33.3</w:t>
            </w:r>
          </w:p>
        </w:tc>
        <w:tc>
          <w:tcPr>
            <w:tcW w:w="575" w:type="pct"/>
            <w:shd w:val="clear" w:color="auto" w:fill="D9D9D9" w:themeFill="background2" w:themeFillShade="D9"/>
            <w:noWrap/>
            <w:vAlign w:val="center"/>
          </w:tcPr>
          <w:p w:rsidR="00CD528C" w:rsidRDefault="0058085E">
            <w:pPr>
              <w:jc w:val="right"/>
            </w:pPr>
            <w:r>
              <w:t>9.8</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44.4</w:t>
            </w:r>
          </w:p>
        </w:tc>
        <w:tc>
          <w:tcPr>
            <w:tcW w:w="738" w:type="pct"/>
            <w:tcBorders>
              <w:bottom w:val="single" w:sz="2" w:space="0" w:color="FFFFFF" w:themeColor="accent6" w:themeTint="99"/>
            </w:tcBorders>
            <w:noWrap/>
            <w:vAlign w:val="center"/>
          </w:tcPr>
          <w:p w:rsidR="00CD528C" w:rsidRDefault="0058085E">
            <w:pPr>
              <w:jc w:val="right"/>
            </w:pPr>
            <w:r>
              <w:t>11.1</w:t>
            </w:r>
          </w:p>
        </w:tc>
        <w:tc>
          <w:tcPr>
            <w:tcW w:w="843" w:type="pct"/>
            <w:tcBorders>
              <w:bottom w:val="single" w:sz="2" w:space="0" w:color="FFFFFF" w:themeColor="accent6" w:themeTint="99"/>
            </w:tcBorders>
            <w:noWrap/>
            <w:vAlign w:val="center"/>
          </w:tcPr>
          <w:p w:rsidR="00CD528C" w:rsidRDefault="0058085E">
            <w:pPr>
              <w:jc w:val="right"/>
            </w:pPr>
            <w:r>
              <w:t>7.9</w:t>
            </w:r>
          </w:p>
        </w:tc>
        <w:tc>
          <w:tcPr>
            <w:tcW w:w="647" w:type="pct"/>
            <w:tcBorders>
              <w:bottom w:val="single" w:sz="2" w:space="0" w:color="FFFFFF" w:themeColor="accent6" w:themeTint="99"/>
            </w:tcBorders>
            <w:noWrap/>
            <w:vAlign w:val="center"/>
          </w:tcPr>
          <w:p w:rsidR="00CD528C" w:rsidRDefault="0058085E">
            <w:pPr>
              <w:jc w:val="right"/>
            </w:pPr>
            <w:r>
              <w:t>31.7</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22.9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Central Goldfields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53.8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Central Goldfields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23.1</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58085E">
            <w:pPr>
              <w:jc w:val="right"/>
            </w:pPr>
            <w:r>
              <w:t>46.2</w:t>
            </w:r>
          </w:p>
        </w:tc>
        <w:tc>
          <w:tcPr>
            <w:tcW w:w="1215" w:type="dxa"/>
            <w:tcBorders>
              <w:left w:val="nil"/>
              <w:bottom w:val="single" w:sz="2" w:space="0" w:color="004EA8"/>
              <w:right w:val="nil"/>
            </w:tcBorders>
            <w:noWrap/>
            <w:vAlign w:val="center"/>
          </w:tcPr>
          <w:p w:rsidR="00CD528C" w:rsidRDefault="0058085E">
            <w:pPr>
              <w:jc w:val="right"/>
            </w:pPr>
            <w:r>
              <w:t>15.4</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Central Goldfields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51.2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19.5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Central Goldfields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Highview College</w:t>
            </w:r>
          </w:p>
        </w:tc>
        <w:tc>
          <w:tcPr>
            <w:tcW w:w="2310" w:type="dxa"/>
            <w:shd w:val="clear" w:color="auto" w:fill="D9D9D9"/>
          </w:tcPr>
          <w:p>
            <w:pPr>
              <w:jc w:val="right"/>
            </w:pPr>
            <w:r>
              <w:t>46</w:t>
            </w:r>
          </w:p>
        </w:tc>
        <w:tc>
          <w:tcPr>
            <w:tcW w:w="2310" w:type="dxa"/>
            <w:shd w:val="clear" w:color="auto" w:fill="D9D9D9"/>
          </w:tcPr>
          <w:p>
            <w:pPr>
              <w:jc w:val="right"/>
            </w:pPr>
            <w:r>
              <w:t>22</w:t>
            </w:r>
          </w:p>
        </w:tc>
        <w:tc>
          <w:tcPr>
            <w:tcW w:w="2310" w:type="dxa"/>
            <w:shd w:val="clear" w:color="auto" w:fill="D9D9D9"/>
          </w:tcPr>
          <w:p>
            <w:pPr>
              <w:jc w:val="right"/>
            </w:pPr>
            <w:r>
              <w:t>68.2</w:t>
            </w:r>
          </w:p>
        </w:tc>
        <w:tc>
          <w:tcPr>
            <w:tcW w:w="2310" w:type="dxa"/>
            <w:shd w:val="clear" w:color="auto" w:fill="D9D9D9"/>
          </w:tcPr>
          <w:p>
            <w:pPr>
              <w:jc w:val="right"/>
            </w:pPr>
            <w:r>
              <w:t>4.5</w:t>
            </w:r>
          </w:p>
        </w:tc>
        <w:tc>
          <w:tcPr>
            <w:tcW w:w="2310" w:type="dxa"/>
            <w:shd w:val="clear" w:color="auto" w:fill="D9D9D9"/>
          </w:tcPr>
          <w:p>
            <w:pPr>
              <w:jc w:val="right"/>
            </w:pPr>
          </w:p>
        </w:tc>
        <w:tc>
          <w:tcPr>
            <w:tcW w:w="2310" w:type="dxa"/>
            <w:shd w:val="clear" w:color="auto" w:fill="D9D9D9"/>
          </w:tcPr>
          <w:p>
            <w:pPr>
              <w:jc w:val="right"/>
            </w:pPr>
            <w:r>
              <w:t>27.3</w:t>
            </w:r>
          </w:p>
        </w:tc>
      </w:tr>
      <w:tr>
        <w:tc>
          <w:tcPr>
            <w:tcW w:w="2310" w:type="dxa"/>
            <w:shd w:val="clear" w:color="auto" w:fill="FFFFFF"/>
          </w:tcPr>
          <w:p>
            <w:pPr>
              <w:jc w:val="right"/>
            </w:pPr>
            <w:r>
              <w:t>Maryborough Education Centre</w:t>
            </w:r>
          </w:p>
        </w:tc>
        <w:tc>
          <w:tcPr>
            <w:tcW w:w="2310" w:type="dxa"/>
            <w:shd w:val="clear" w:color="auto" w:fill="FFFFFF"/>
          </w:tcPr>
          <w:p>
            <w:pPr>
              <w:jc w:val="right"/>
            </w:pPr>
            <w:r>
              <w:t>48</w:t>
            </w:r>
          </w:p>
        </w:tc>
        <w:tc>
          <w:tcPr>
            <w:tcW w:w="2310" w:type="dxa"/>
            <w:shd w:val="clear" w:color="auto" w:fill="FFFFFF"/>
          </w:tcPr>
          <w:p>
            <w:pPr>
              <w:jc w:val="right"/>
            </w:pPr>
            <w:r>
              <w:t>26</w:t>
            </w:r>
          </w:p>
        </w:tc>
        <w:tc>
          <w:tcPr>
            <w:tcW w:w="2310" w:type="dxa"/>
            <w:shd w:val="clear" w:color="auto" w:fill="FFFFFF"/>
          </w:tcPr>
          <w:p>
            <w:pPr>
              <w:jc w:val="right"/>
            </w:pPr>
            <w:r>
              <w:t>34.6</w:t>
            </w:r>
          </w:p>
        </w:tc>
        <w:tc>
          <w:tcPr>
            <w:tcW w:w="2310" w:type="dxa"/>
            <w:shd w:val="clear" w:color="auto" w:fill="FFFFFF"/>
          </w:tcPr>
          <w:p>
            <w:pPr>
              <w:jc w:val="right"/>
            </w:pPr>
            <w:r>
              <w:t>15.4</w:t>
            </w:r>
          </w:p>
        </w:tc>
        <w:tc>
          <w:tcPr>
            <w:tcW w:w="2310" w:type="dxa"/>
            <w:shd w:val="clear" w:color="auto" w:fill="FFFFFF"/>
          </w:tcPr>
          <w:p>
            <w:pPr>
              <w:jc w:val="right"/>
            </w:pPr>
            <w:r>
              <w:t>7.7</w:t>
            </w:r>
          </w:p>
        </w:tc>
        <w:tc>
          <w:tcPr>
            <w:tcW w:w="2310" w:type="dxa"/>
            <w:shd w:val="clear" w:color="auto" w:fill="FFFFFF"/>
          </w:tcPr>
          <w:p>
            <w:pPr>
              <w:jc w:val="right"/>
            </w:pPr>
            <w:r>
              <w:t>42.3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94</w:t>
            </w:r>
          </w:p>
        </w:tc>
        <w:tc>
          <w:tcPr>
            <w:tcW w:w="2310" w:type="dxa"/>
            <w:shd w:val="clear" w:color="auto" w:fill="D9D9D9"/>
          </w:tcPr>
          <w:p>
            <w:pPr>
              <w:jc w:val="right"/>
            </w:pPr>
            <w:r>
              <w:rPr>
                <w:b/>
              </w:rPr>
              <w:t>48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Central Goldfields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18.5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37.0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27.6</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31.0</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Central Goldfields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100.0</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Central Goldfields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88.9</w:t>
            </w:r>
          </w:p>
        </w:tc>
        <w:tc>
          <w:tcPr>
            <w:tcW w:w="1062" w:type="pct"/>
            <w:noWrap/>
            <w:vAlign w:val="center"/>
          </w:tcPr>
          <w:p w:rsidR="00CD528C" w:rsidRDefault="0058085E">
            <w:pPr>
              <w:jc w:val="right"/>
            </w:pPr>
            <w:r>
              <w:t>72.2</w:t>
            </w:r>
          </w:p>
        </w:tc>
        <w:tc>
          <w:tcPr>
            <w:tcW w:w="1062" w:type="pct"/>
            <w:noWrap/>
            <w:vAlign w:val="center"/>
          </w:tcPr>
          <w:p w:rsidR="00CD528C" w:rsidRDefault="00CD528C">
            <w:pPr>
              <w:jc w:val="right"/>
            </w:pPr>
            <w:r>
              <w:t>66.7</w:t>
            </w:r>
          </w:p>
        </w:tc>
        <w:tc>
          <w:tcPr>
            <w:tcW w:w="1062" w:type="pct"/>
            <w:noWrap/>
            <w:vAlign w:val="center"/>
          </w:tcPr>
          <w:p w:rsidR="00CD528C" w:rsidRDefault="0058085E">
            <w:pPr>
              <w:jc w:val="right"/>
            </w:pPr>
            <w:r>
              <w:t>44.4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61.5</w:t>
            </w:r>
          </w:p>
        </w:tc>
        <w:tc>
          <w:tcPr>
            <w:tcW w:w="1062" w:type="pct"/>
            <w:shd w:val="clear" w:color="auto" w:fill="D9D9D9" w:themeFill="background2" w:themeFillShade="D9"/>
            <w:noWrap/>
            <w:vAlign w:val="center"/>
          </w:tcPr>
          <w:p w:rsidR="00CD528C" w:rsidRDefault="0058085E">
            <w:pPr>
              <w:jc w:val="right"/>
            </w:pPr>
            <w:r>
              <w:t>53.8</w:t>
            </w:r>
          </w:p>
        </w:tc>
        <w:tc>
          <w:tcPr>
            <w:tcW w:w="1062" w:type="pct"/>
            <w:shd w:val="clear" w:color="auto" w:fill="D9D9D9" w:themeFill="background2" w:themeFillShade="D9"/>
            <w:noWrap/>
            <w:vAlign w:val="center"/>
          </w:tcPr>
          <w:p w:rsidR="00CD528C" w:rsidRDefault="0058085E">
            <w:pPr>
              <w:jc w:val="right"/>
            </w:pPr>
            <w:r>
              <w:t>15.4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91.7</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8.3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50.0</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Central Goldfields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Central Goldfields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40.0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Central Goldfields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22.2</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20.0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Central Goldfields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Central Goldfields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Central Goldfields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Central Goldfields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Central Goldfields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40.9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44.0</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CD528C">
            <w:pPr>
              <w:jc w:val="right"/>
            </w:pPr>
            <w:r>
              <w:t>24.0</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50.0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Central Goldfields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Central Goldfields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58.3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Central Goldfields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27.3</w:t>
            </w:r>
          </w:p>
        </w:tc>
        <w:tc>
          <w:tcPr>
            <w:tcW w:w="943" w:type="pct"/>
            <w:noWrap/>
            <w:vAlign w:val="center"/>
          </w:tcPr>
          <w:p w:rsidR="00CD528C" w:rsidRDefault="0058085E">
            <w:pPr>
              <w:jc w:val="right"/>
            </w:pPr>
            <w:r>
              <w:t>40.9</w:t>
            </w:r>
          </w:p>
        </w:tc>
        <w:tc>
          <w:tcPr>
            <w:tcW w:w="943" w:type="pct"/>
            <w:noWrap/>
            <w:vAlign w:val="center"/>
          </w:tcPr>
          <w:p w:rsidR="00CD528C" w:rsidRDefault="0058085E">
            <w:pPr>
              <w:jc w:val="right"/>
            </w:pPr>
            <w: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52.0</w:t>
            </w:r>
          </w:p>
        </w:tc>
        <w:tc>
          <w:tcPr>
            <w:tcW w:w="943" w:type="pct"/>
            <w:shd w:val="clear" w:color="auto" w:fill="D9D9D9" w:themeFill="background2" w:themeFillShade="D9"/>
            <w:noWrap/>
            <w:vAlign w:val="center"/>
          </w:tcPr>
          <w:p w:rsidR="00CD528C" w:rsidRDefault="0058085E">
            <w:pPr>
              <w:jc w:val="right"/>
            </w:pPr>
            <w:r>
              <w:t>56.0</w:t>
            </w:r>
          </w:p>
        </w:tc>
        <w:tc>
          <w:tcPr>
            <w:tcW w:w="943" w:type="pct"/>
            <w:shd w:val="clear" w:color="auto" w:fill="D9D9D9" w:themeFill="background2" w:themeFillShade="D9"/>
            <w:noWrap/>
            <w:vAlign w:val="center"/>
          </w:tcPr>
          <w:p w:rsidR="00CD528C" w:rsidRDefault="0058085E">
            <w:pPr>
              <w:jc w:val="right"/>
            </w:pPr>
            <w:r>
              <w:t>64.0</w:t>
            </w:r>
          </w:p>
        </w:tc>
        <w:tc>
          <w:tcPr>
            <w:tcW w:w="943" w:type="pct"/>
            <w:shd w:val="clear" w:color="auto" w:fill="D9D9D9" w:themeFill="background2" w:themeFillShade="D9"/>
            <w:noWrap/>
            <w:vAlign w:val="center"/>
          </w:tcPr>
          <w:p w:rsidR="00CD528C" w:rsidRDefault="0058085E">
            <w:pPr>
              <w:jc w:val="right"/>
            </w:pPr>
            <w:r>
              <w:t>52.0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Central Goldfields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42.9</w:t>
            </w:r>
          </w:p>
        </w:tc>
        <w:tc>
          <w:tcPr>
            <w:tcW w:w="749" w:type="pct"/>
            <w:tcBorders>
              <w:bottom w:val="single" w:sz="2" w:space="0" w:color="FFFFFF" w:themeColor="accent6" w:themeTint="99"/>
            </w:tcBorders>
            <w:noWrap/>
            <w:vAlign w:val="center"/>
          </w:tcPr>
          <w:p w:rsidR="00CD528C" w:rsidRDefault="0058085E">
            <w:pPr>
              <w:jc w:val="right"/>
            </w:pPr>
            <w:r>
              <w:t>21.4</w:t>
            </w:r>
          </w:p>
        </w:tc>
        <w:tc>
          <w:tcPr>
            <w:tcW w:w="748" w:type="pct"/>
            <w:tcBorders>
              <w:bottom w:val="single" w:sz="2" w:space="0" w:color="FFFFFF" w:themeColor="accent6" w:themeTint="99"/>
            </w:tcBorders>
            <w:noWrap/>
            <w:vAlign w:val="center"/>
          </w:tcPr>
          <w:p w:rsidR="00CD528C" w:rsidRDefault="0058085E">
            <w:pPr>
              <w:jc w:val="right"/>
            </w:pPr>
            <w:r>
              <w:t>35.7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72.7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70.8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81.3</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83.3</w:t>
            </w:r>
          </w:p>
        </w:tc>
        <w:tc>
          <w:tcPr>
            <w:tcW w:w="1142" w:type="pct"/>
            <w:shd w:val="clear" w:color="auto" w:fill="D9D9D9" w:themeFill="background2" w:themeFillShade="D9"/>
            <w:noWrap/>
            <w:vAlign w:val="center"/>
          </w:tcPr>
          <w:p w:rsidR="00CD528C" w:rsidRDefault="0058085E">
            <w:pPr>
              <w:jc w:val="right"/>
            </w:pPr>
            <w:r>
              <w:t>70.0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79.2</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33.3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35.4</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87.5</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39.6</w:t>
            </w:r>
          </w:p>
        </w:tc>
        <w:tc>
          <w:tcPr>
            <w:tcW w:w="765" w:type="pct"/>
            <w:noWrap/>
            <w:vAlign w:val="center"/>
          </w:tcPr>
          <w:p w:rsidR="00CD528C" w:rsidRDefault="0058085E">
            <w:pPr>
              <w:jc w:val="right"/>
            </w:pPr>
            <w:r>
              <w:t>50.0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48</w:t>
            </w:r>
          </w:p>
        </w:tc>
        <w:tc>
          <w:tcPr>
            <w:tcW w:w="765" w:type="pct"/>
            <w:tcBorders>
              <w:top w:val="single" w:sz="2" w:space="0" w:color="004EA8"/>
              <w:bottom w:val="single" w:sz="2" w:space="0" w:color="004EA8"/>
            </w:tcBorders>
            <w:noWrap/>
            <w:vAlign w:val="center"/>
          </w:tcPr>
          <w:p w:rsidR="00CD528C" w:rsidRDefault="0058085E">
            <w:pPr>
              <w:jc w:val="right"/>
            </w:pPr>
            <w:r>
              <w:t>10</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w:t>
            </w:r>
          </w:p>
        </w:tc>
        <w:tc>
          <w:tcPr>
            <w:tcW w:w="730" w:type="pct"/>
            <w:tcBorders>
              <w:bottom w:val="single" w:sz="2" w:space="0" w:color="FFFFFF" w:themeColor="accent6" w:themeTint="99"/>
            </w:tcBorders>
            <w:noWrap/>
            <w:vAlign w:val="center"/>
          </w:tcPr>
          <w:p w:rsidR="00CD528C" w:rsidRDefault="0058085E">
            <w:pPr>
              <w:jc w:val="right"/>
            </w:pPr>
            <w:r>
              <w:t>53.3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Central Goldfields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Central Goldfields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A2EBF-BDDB-4AFE-8569-17406F8F9C5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