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B2" w:rsidRDefault="002401A2" w:rsidP="002401A2">
      <w:pPr>
        <w:pStyle w:val="Heading1"/>
      </w:pPr>
      <w:r>
        <w:t>On Track 2018: Destinations of Victorian School Leavers</w:t>
      </w:r>
    </w:p>
    <w:p w:rsidR="002401A2" w:rsidRDefault="002401A2" w:rsidP="002401A2"/>
    <w:p w:rsidR="002401A2" w:rsidRDefault="002401A2" w:rsidP="002401A2">
      <w:pPr>
        <w:pStyle w:val="Heading2"/>
      </w:pPr>
      <w:r>
        <w:t>About the study</w:t>
      </w:r>
    </w:p>
    <w:p w:rsidR="002401A2" w:rsidRDefault="002401A2" w:rsidP="002401A2">
      <w:r w:rsidRPr="00B91952">
        <w:t xml:space="preserve">Since 2003 the annual On Track survey has been tracking what’s next for students who finish Year 12 and those who </w:t>
      </w:r>
      <w:r w:rsidR="003C5A28">
        <w:t>do not</w:t>
      </w:r>
      <w:r w:rsidRPr="00B91952">
        <w:t xml:space="preserve">. Between May and June 2018, the Department surveyed 28,184 students who completed Year 12 (49 per cent of the Year 12 cohort) and 2,386 students who had left school in Years 10, 11 or 12 (28 per cent of the </w:t>
      </w:r>
      <w:r w:rsidR="00C148F8">
        <w:t>Year 12 non-completer</w:t>
      </w:r>
      <w:r w:rsidRPr="00B91952">
        <w:t xml:space="preserve"> cohort</w:t>
      </w:r>
      <w:r w:rsidR="00F75705">
        <w:rPr>
          <w:rStyle w:val="FootnoteReference"/>
        </w:rPr>
        <w:footnoteReference w:id="1"/>
      </w:r>
      <w:r w:rsidRPr="00B91952">
        <w:t xml:space="preserve">). </w:t>
      </w:r>
    </w:p>
    <w:p w:rsidR="002401A2" w:rsidRDefault="002401A2" w:rsidP="002401A2"/>
    <w:p w:rsidR="002401A2" w:rsidRPr="00D64A79" w:rsidRDefault="002401A2" w:rsidP="002401A2">
      <w:pPr>
        <w:pStyle w:val="Heading2"/>
        <w:rPr>
          <w:rFonts w:cs="Arial"/>
          <w:b/>
          <w:i/>
        </w:rPr>
      </w:pPr>
      <w:r w:rsidRPr="00B91952">
        <w:t xml:space="preserve">Destination patterns of Year 12 completers and </w:t>
      </w:r>
      <w:r w:rsidR="00C148F8">
        <w:t>non-completers</w:t>
      </w:r>
      <w:r w:rsidRPr="00B91952">
        <w:t xml:space="preserve"> differ</w:t>
      </w:r>
    </w:p>
    <w:p w:rsidR="002401A2" w:rsidRDefault="002401A2" w:rsidP="002401A2">
      <w:pPr>
        <w:pStyle w:val="Heading3"/>
      </w:pPr>
      <w:r>
        <w:t>28,184 Year 12 completers</w:t>
      </w:r>
    </w:p>
    <w:p w:rsidR="002401A2" w:rsidRDefault="002401A2" w:rsidP="002401A2">
      <w:pPr>
        <w:pStyle w:val="ListParagraph"/>
        <w:numPr>
          <w:ilvl w:val="0"/>
          <w:numId w:val="1"/>
        </w:numPr>
      </w:pPr>
      <w:r>
        <w:t>75% in education and training</w:t>
      </w:r>
    </w:p>
    <w:p w:rsidR="002401A2" w:rsidRDefault="002401A2" w:rsidP="002401A2">
      <w:pPr>
        <w:pStyle w:val="ListParagraph"/>
        <w:numPr>
          <w:ilvl w:val="0"/>
          <w:numId w:val="1"/>
        </w:numPr>
      </w:pPr>
      <w:r>
        <w:t>25% not in education and training</w:t>
      </w:r>
    </w:p>
    <w:tbl>
      <w:tblPr>
        <w:tblStyle w:val="TableGrid"/>
        <w:tblW w:w="0" w:type="auto"/>
        <w:tblLook w:val="04A0" w:firstRow="1" w:lastRow="0" w:firstColumn="1" w:lastColumn="0" w:noHBand="0" w:noVBand="1"/>
      </w:tblPr>
      <w:tblGrid>
        <w:gridCol w:w="4508"/>
        <w:gridCol w:w="1583"/>
      </w:tblGrid>
      <w:tr w:rsidR="002401A2" w:rsidTr="002401A2">
        <w:tc>
          <w:tcPr>
            <w:tcW w:w="4508" w:type="dxa"/>
          </w:tcPr>
          <w:p w:rsidR="002401A2" w:rsidRPr="002401A2" w:rsidRDefault="002401A2" w:rsidP="002401A2">
            <w:pPr>
              <w:rPr>
                <w:b/>
              </w:rPr>
            </w:pPr>
            <w:r w:rsidRPr="002401A2">
              <w:rPr>
                <w:b/>
              </w:rPr>
              <w:t>Destination</w:t>
            </w:r>
          </w:p>
        </w:tc>
        <w:tc>
          <w:tcPr>
            <w:tcW w:w="1583" w:type="dxa"/>
          </w:tcPr>
          <w:p w:rsidR="002401A2" w:rsidRPr="002401A2" w:rsidRDefault="002401A2" w:rsidP="002401A2">
            <w:pPr>
              <w:rPr>
                <w:b/>
              </w:rPr>
            </w:pPr>
            <w:r w:rsidRPr="002401A2">
              <w:rPr>
                <w:b/>
              </w:rPr>
              <w:t>Proportion</w:t>
            </w:r>
          </w:p>
        </w:tc>
      </w:tr>
      <w:tr w:rsidR="002401A2" w:rsidTr="002401A2">
        <w:tc>
          <w:tcPr>
            <w:tcW w:w="4508" w:type="dxa"/>
          </w:tcPr>
          <w:p w:rsidR="002401A2" w:rsidRDefault="002401A2" w:rsidP="002401A2">
            <w:r>
              <w:t>Bachelor degree</w:t>
            </w:r>
          </w:p>
        </w:tc>
        <w:tc>
          <w:tcPr>
            <w:tcW w:w="1583" w:type="dxa"/>
          </w:tcPr>
          <w:p w:rsidR="002401A2" w:rsidRDefault="002401A2" w:rsidP="002401A2">
            <w:r>
              <w:t>55%</w:t>
            </w:r>
          </w:p>
        </w:tc>
      </w:tr>
      <w:tr w:rsidR="002401A2" w:rsidTr="002401A2">
        <w:tc>
          <w:tcPr>
            <w:tcW w:w="4508" w:type="dxa"/>
          </w:tcPr>
          <w:p w:rsidR="002401A2" w:rsidRDefault="002401A2" w:rsidP="002401A2">
            <w:r>
              <w:t>Certificate/Diploma</w:t>
            </w:r>
          </w:p>
        </w:tc>
        <w:tc>
          <w:tcPr>
            <w:tcW w:w="1583" w:type="dxa"/>
          </w:tcPr>
          <w:p w:rsidR="002401A2" w:rsidRDefault="002401A2" w:rsidP="002401A2">
            <w:r>
              <w:t>12%</w:t>
            </w:r>
          </w:p>
        </w:tc>
      </w:tr>
      <w:tr w:rsidR="002401A2" w:rsidTr="002401A2">
        <w:tc>
          <w:tcPr>
            <w:tcW w:w="4508" w:type="dxa"/>
          </w:tcPr>
          <w:p w:rsidR="002401A2" w:rsidRDefault="002401A2" w:rsidP="002401A2">
            <w:r>
              <w:t>Apprenticeship/traineeship</w:t>
            </w:r>
          </w:p>
        </w:tc>
        <w:tc>
          <w:tcPr>
            <w:tcW w:w="1583" w:type="dxa"/>
          </w:tcPr>
          <w:p w:rsidR="002401A2" w:rsidRDefault="002401A2" w:rsidP="002401A2">
            <w:r>
              <w:t>8%</w:t>
            </w:r>
          </w:p>
        </w:tc>
      </w:tr>
      <w:tr w:rsidR="002401A2" w:rsidTr="002401A2">
        <w:tc>
          <w:tcPr>
            <w:tcW w:w="4508" w:type="dxa"/>
          </w:tcPr>
          <w:p w:rsidR="002401A2" w:rsidRDefault="002401A2" w:rsidP="002401A2">
            <w:r>
              <w:t>Deferred tertiary study</w:t>
            </w:r>
          </w:p>
        </w:tc>
        <w:tc>
          <w:tcPr>
            <w:tcW w:w="1583" w:type="dxa"/>
          </w:tcPr>
          <w:p w:rsidR="002401A2" w:rsidRDefault="002401A2" w:rsidP="002401A2">
            <w:r>
              <w:t>10%</w:t>
            </w:r>
          </w:p>
        </w:tc>
      </w:tr>
      <w:tr w:rsidR="002401A2" w:rsidTr="002401A2">
        <w:tc>
          <w:tcPr>
            <w:tcW w:w="4508" w:type="dxa"/>
          </w:tcPr>
          <w:p w:rsidR="002401A2" w:rsidRDefault="002401A2" w:rsidP="002401A2">
            <w:r>
              <w:t>Employed</w:t>
            </w:r>
          </w:p>
        </w:tc>
        <w:tc>
          <w:tcPr>
            <w:tcW w:w="1583" w:type="dxa"/>
          </w:tcPr>
          <w:p w:rsidR="002401A2" w:rsidRDefault="002401A2" w:rsidP="002401A2">
            <w:r>
              <w:t>11%</w:t>
            </w:r>
          </w:p>
        </w:tc>
      </w:tr>
      <w:tr w:rsidR="001D6D95" w:rsidTr="002401A2">
        <w:tc>
          <w:tcPr>
            <w:tcW w:w="4508" w:type="dxa"/>
          </w:tcPr>
          <w:p w:rsidR="001D6D95" w:rsidRDefault="001D6D95" w:rsidP="002401A2">
            <w:r>
              <w:t>Employed part-time</w:t>
            </w:r>
          </w:p>
        </w:tc>
        <w:tc>
          <w:tcPr>
            <w:tcW w:w="1583" w:type="dxa"/>
          </w:tcPr>
          <w:p w:rsidR="001D6D95" w:rsidRDefault="001D6D95" w:rsidP="002401A2">
            <w:r>
              <w:t>7%</w:t>
            </w:r>
          </w:p>
        </w:tc>
      </w:tr>
      <w:tr w:rsidR="001D6D95" w:rsidTr="002401A2">
        <w:tc>
          <w:tcPr>
            <w:tcW w:w="4508" w:type="dxa"/>
          </w:tcPr>
          <w:p w:rsidR="001D6D95" w:rsidRDefault="001D6D95" w:rsidP="002401A2">
            <w:r>
              <w:t>Employed full-time</w:t>
            </w:r>
          </w:p>
        </w:tc>
        <w:tc>
          <w:tcPr>
            <w:tcW w:w="1583" w:type="dxa"/>
          </w:tcPr>
          <w:p w:rsidR="001D6D95" w:rsidRDefault="001D6D95" w:rsidP="002401A2">
            <w:r>
              <w:t>4%</w:t>
            </w:r>
          </w:p>
        </w:tc>
      </w:tr>
      <w:tr w:rsidR="002401A2" w:rsidTr="002401A2">
        <w:tc>
          <w:tcPr>
            <w:tcW w:w="4508" w:type="dxa"/>
          </w:tcPr>
          <w:p w:rsidR="002401A2" w:rsidRDefault="002401A2" w:rsidP="002401A2">
            <w:r>
              <w:t>Looking for work</w:t>
            </w:r>
          </w:p>
        </w:tc>
        <w:tc>
          <w:tcPr>
            <w:tcW w:w="1583" w:type="dxa"/>
          </w:tcPr>
          <w:p w:rsidR="002401A2" w:rsidRDefault="002401A2" w:rsidP="002401A2">
            <w:r>
              <w:t>3%</w:t>
            </w:r>
          </w:p>
        </w:tc>
      </w:tr>
      <w:tr w:rsidR="002401A2" w:rsidTr="002401A2">
        <w:tc>
          <w:tcPr>
            <w:tcW w:w="4508" w:type="dxa"/>
          </w:tcPr>
          <w:p w:rsidR="002401A2" w:rsidRDefault="002401A2" w:rsidP="002401A2">
            <w:r>
              <w:t>Not in the labour force, education or training</w:t>
            </w:r>
          </w:p>
        </w:tc>
        <w:tc>
          <w:tcPr>
            <w:tcW w:w="1583" w:type="dxa"/>
          </w:tcPr>
          <w:p w:rsidR="002401A2" w:rsidRDefault="002401A2" w:rsidP="002401A2">
            <w:r>
              <w:t>0.4%</w:t>
            </w:r>
          </w:p>
        </w:tc>
      </w:tr>
    </w:tbl>
    <w:p w:rsidR="002401A2" w:rsidRPr="00B87316" w:rsidRDefault="00B87316" w:rsidP="002401A2">
      <w:pPr>
        <w:rPr>
          <w:smallCaps/>
          <w:color w:val="5A5A5A" w:themeColor="text1" w:themeTint="A5"/>
        </w:rPr>
      </w:pPr>
      <w:r>
        <w:rPr>
          <w:rStyle w:val="Emphasis"/>
        </w:rPr>
        <w:t>Note: proportions by category may not sum to 100% due to rounding</w:t>
      </w:r>
      <w:r>
        <w:rPr>
          <w:rStyle w:val="SubtleReference"/>
        </w:rPr>
        <w:t xml:space="preserve"> </w:t>
      </w:r>
    </w:p>
    <w:p w:rsidR="00C174D0" w:rsidRDefault="00C174D0" w:rsidP="002401A2">
      <w:pPr>
        <w:pStyle w:val="Heading3"/>
      </w:pPr>
    </w:p>
    <w:p w:rsidR="002401A2" w:rsidRDefault="002401A2" w:rsidP="002401A2">
      <w:pPr>
        <w:pStyle w:val="Heading3"/>
      </w:pPr>
      <w:r>
        <w:t xml:space="preserve">2,386 </w:t>
      </w:r>
      <w:r w:rsidR="00C148F8">
        <w:t>Year 12 non-completers</w:t>
      </w:r>
    </w:p>
    <w:p w:rsidR="002401A2" w:rsidRDefault="002401A2" w:rsidP="002401A2">
      <w:pPr>
        <w:pStyle w:val="ListParagraph"/>
        <w:numPr>
          <w:ilvl w:val="0"/>
          <w:numId w:val="1"/>
        </w:numPr>
      </w:pPr>
      <w:r>
        <w:t>53% in education and training</w:t>
      </w:r>
    </w:p>
    <w:p w:rsidR="002401A2" w:rsidRDefault="002401A2" w:rsidP="002401A2">
      <w:pPr>
        <w:pStyle w:val="ListParagraph"/>
        <w:numPr>
          <w:ilvl w:val="0"/>
          <w:numId w:val="1"/>
        </w:numPr>
      </w:pPr>
      <w:r>
        <w:t>47% not in education and training</w:t>
      </w:r>
    </w:p>
    <w:tbl>
      <w:tblPr>
        <w:tblStyle w:val="TableGrid"/>
        <w:tblW w:w="0" w:type="auto"/>
        <w:tblLook w:val="04A0" w:firstRow="1" w:lastRow="0" w:firstColumn="1" w:lastColumn="0" w:noHBand="0" w:noVBand="1"/>
      </w:tblPr>
      <w:tblGrid>
        <w:gridCol w:w="4508"/>
        <w:gridCol w:w="1583"/>
      </w:tblGrid>
      <w:tr w:rsidR="002401A2" w:rsidTr="002401A2">
        <w:tc>
          <w:tcPr>
            <w:tcW w:w="4508" w:type="dxa"/>
          </w:tcPr>
          <w:p w:rsidR="002401A2" w:rsidRPr="002401A2" w:rsidRDefault="002401A2" w:rsidP="00AA5E2F">
            <w:pPr>
              <w:rPr>
                <w:b/>
              </w:rPr>
            </w:pPr>
            <w:r w:rsidRPr="002401A2">
              <w:rPr>
                <w:b/>
              </w:rPr>
              <w:t>Destination</w:t>
            </w:r>
          </w:p>
        </w:tc>
        <w:tc>
          <w:tcPr>
            <w:tcW w:w="1583" w:type="dxa"/>
          </w:tcPr>
          <w:p w:rsidR="002401A2" w:rsidRPr="002401A2" w:rsidRDefault="002401A2" w:rsidP="00AA5E2F">
            <w:pPr>
              <w:rPr>
                <w:b/>
              </w:rPr>
            </w:pPr>
            <w:r w:rsidRPr="002401A2">
              <w:rPr>
                <w:b/>
              </w:rPr>
              <w:t>Proportion</w:t>
            </w:r>
          </w:p>
        </w:tc>
      </w:tr>
      <w:tr w:rsidR="002401A2" w:rsidTr="002401A2">
        <w:tc>
          <w:tcPr>
            <w:tcW w:w="4508" w:type="dxa"/>
          </w:tcPr>
          <w:p w:rsidR="002401A2" w:rsidRDefault="002401A2" w:rsidP="00AA5E2F">
            <w:r>
              <w:t>Bachelor degree</w:t>
            </w:r>
          </w:p>
        </w:tc>
        <w:tc>
          <w:tcPr>
            <w:tcW w:w="1583" w:type="dxa"/>
          </w:tcPr>
          <w:p w:rsidR="002401A2" w:rsidRDefault="002401A2" w:rsidP="00AA5E2F">
            <w:r>
              <w:t>1%</w:t>
            </w:r>
          </w:p>
        </w:tc>
      </w:tr>
      <w:tr w:rsidR="002401A2" w:rsidTr="002401A2">
        <w:tc>
          <w:tcPr>
            <w:tcW w:w="4508" w:type="dxa"/>
          </w:tcPr>
          <w:p w:rsidR="002401A2" w:rsidRDefault="002401A2" w:rsidP="00AA5E2F">
            <w:r>
              <w:t>Certificate/Diploma</w:t>
            </w:r>
          </w:p>
        </w:tc>
        <w:tc>
          <w:tcPr>
            <w:tcW w:w="1583" w:type="dxa"/>
          </w:tcPr>
          <w:p w:rsidR="002401A2" w:rsidRDefault="002401A2" w:rsidP="00AA5E2F">
            <w:r>
              <w:t>20%</w:t>
            </w:r>
          </w:p>
        </w:tc>
      </w:tr>
      <w:tr w:rsidR="002401A2" w:rsidTr="002401A2">
        <w:tc>
          <w:tcPr>
            <w:tcW w:w="4508" w:type="dxa"/>
          </w:tcPr>
          <w:p w:rsidR="002401A2" w:rsidRDefault="002401A2" w:rsidP="00AA5E2F">
            <w:r>
              <w:t>Apprenticeship/traineeship</w:t>
            </w:r>
          </w:p>
        </w:tc>
        <w:tc>
          <w:tcPr>
            <w:tcW w:w="1583" w:type="dxa"/>
          </w:tcPr>
          <w:p w:rsidR="002401A2" w:rsidRDefault="002401A2" w:rsidP="00AA5E2F">
            <w:r>
              <w:t>32%</w:t>
            </w:r>
          </w:p>
        </w:tc>
      </w:tr>
      <w:tr w:rsidR="002401A2" w:rsidTr="002401A2">
        <w:tc>
          <w:tcPr>
            <w:tcW w:w="4508" w:type="dxa"/>
          </w:tcPr>
          <w:p w:rsidR="002401A2" w:rsidRDefault="002401A2" w:rsidP="00AA5E2F">
            <w:r>
              <w:t>Employed</w:t>
            </w:r>
          </w:p>
        </w:tc>
        <w:tc>
          <w:tcPr>
            <w:tcW w:w="1583" w:type="dxa"/>
          </w:tcPr>
          <w:p w:rsidR="002401A2" w:rsidRDefault="002401A2" w:rsidP="00AA5E2F">
            <w:r>
              <w:t>28%</w:t>
            </w:r>
          </w:p>
        </w:tc>
      </w:tr>
      <w:tr w:rsidR="001D6D95" w:rsidTr="002401A2">
        <w:tc>
          <w:tcPr>
            <w:tcW w:w="4508" w:type="dxa"/>
          </w:tcPr>
          <w:p w:rsidR="001D6D95" w:rsidRDefault="001D6D95" w:rsidP="00AA5E2F">
            <w:r>
              <w:t>Employed part-time</w:t>
            </w:r>
          </w:p>
        </w:tc>
        <w:tc>
          <w:tcPr>
            <w:tcW w:w="1583" w:type="dxa"/>
          </w:tcPr>
          <w:p w:rsidR="001D6D95" w:rsidRDefault="001D6D95" w:rsidP="00AA5E2F">
            <w:r>
              <w:t>16%</w:t>
            </w:r>
          </w:p>
        </w:tc>
      </w:tr>
      <w:tr w:rsidR="001D6D95" w:rsidTr="002401A2">
        <w:tc>
          <w:tcPr>
            <w:tcW w:w="4508" w:type="dxa"/>
          </w:tcPr>
          <w:p w:rsidR="001D6D95" w:rsidRDefault="001D6D95" w:rsidP="00AA5E2F">
            <w:r>
              <w:t>Employed full-time</w:t>
            </w:r>
          </w:p>
        </w:tc>
        <w:tc>
          <w:tcPr>
            <w:tcW w:w="1583" w:type="dxa"/>
          </w:tcPr>
          <w:p w:rsidR="001D6D95" w:rsidRDefault="001D6D95" w:rsidP="00AA5E2F">
            <w:r>
              <w:t>11%</w:t>
            </w:r>
          </w:p>
        </w:tc>
      </w:tr>
      <w:tr w:rsidR="002401A2" w:rsidTr="002401A2">
        <w:tc>
          <w:tcPr>
            <w:tcW w:w="4508" w:type="dxa"/>
          </w:tcPr>
          <w:p w:rsidR="002401A2" w:rsidRDefault="002401A2" w:rsidP="00AA5E2F">
            <w:r>
              <w:t>Looking for work</w:t>
            </w:r>
          </w:p>
        </w:tc>
        <w:tc>
          <w:tcPr>
            <w:tcW w:w="1583" w:type="dxa"/>
          </w:tcPr>
          <w:p w:rsidR="002401A2" w:rsidRDefault="002401A2" w:rsidP="00AA5E2F">
            <w:r>
              <w:t>15%</w:t>
            </w:r>
          </w:p>
        </w:tc>
      </w:tr>
      <w:tr w:rsidR="002401A2" w:rsidTr="002401A2">
        <w:tc>
          <w:tcPr>
            <w:tcW w:w="4508" w:type="dxa"/>
          </w:tcPr>
          <w:p w:rsidR="002401A2" w:rsidRDefault="002401A2" w:rsidP="00AA5E2F">
            <w:r>
              <w:t>Not in the labour force, education or training</w:t>
            </w:r>
          </w:p>
        </w:tc>
        <w:tc>
          <w:tcPr>
            <w:tcW w:w="1583" w:type="dxa"/>
          </w:tcPr>
          <w:p w:rsidR="002401A2" w:rsidRDefault="002401A2" w:rsidP="00AA5E2F">
            <w:r>
              <w:t>5%</w:t>
            </w:r>
          </w:p>
        </w:tc>
      </w:tr>
    </w:tbl>
    <w:p w:rsidR="002401A2" w:rsidRPr="00B87316" w:rsidRDefault="00B87316" w:rsidP="002401A2">
      <w:pPr>
        <w:rPr>
          <w:rStyle w:val="SubtleReference"/>
        </w:rPr>
      </w:pPr>
      <w:r>
        <w:rPr>
          <w:rStyle w:val="Emphasis"/>
        </w:rPr>
        <w:t>Note: proportions by category may not sum to 100% due to rounding</w:t>
      </w:r>
      <w:r>
        <w:rPr>
          <w:rStyle w:val="SubtleReference"/>
        </w:rPr>
        <w:t xml:space="preserve"> </w:t>
      </w:r>
    </w:p>
    <w:p w:rsidR="002401A2" w:rsidRPr="00B91952" w:rsidRDefault="002401A2" w:rsidP="002401A2">
      <w:r w:rsidRPr="00B91952">
        <w:t xml:space="preserve">Young people who complete Year 12 have a greater tendency to pursue further education or training opportunities. In 2018, three quarters of Year 12 completers were enrolled in education or training six months after finishing school, compared with half of those who left school </w:t>
      </w:r>
      <w:r w:rsidR="003C5A28">
        <w:t>before completing Year 12</w:t>
      </w:r>
      <w:r w:rsidRPr="00B91952">
        <w:t xml:space="preserve">. </w:t>
      </w:r>
    </w:p>
    <w:p w:rsidR="002401A2" w:rsidRPr="00B91952" w:rsidRDefault="002401A2" w:rsidP="002401A2">
      <w:r w:rsidRPr="00B91952">
        <w:t xml:space="preserve">Bachelor degrees are most popular among Year 12 completers, while </w:t>
      </w:r>
      <w:r w:rsidR="00C148F8">
        <w:t>Year 12 non-completers</w:t>
      </w:r>
      <w:r w:rsidR="00B87316">
        <w:t xml:space="preserve"> are more likely to commence a c</w:t>
      </w:r>
      <w:r w:rsidRPr="00B91952">
        <w:t xml:space="preserve">ertificate or </w:t>
      </w:r>
      <w:r w:rsidR="00B87316">
        <w:t>d</w:t>
      </w:r>
      <w:r w:rsidRPr="00B91952">
        <w:t xml:space="preserve">iploma course and apprenticeship or traineeship. A higher proportion of </w:t>
      </w:r>
      <w:r w:rsidR="00C148F8">
        <w:t>Year 12 non-completers</w:t>
      </w:r>
      <w:r w:rsidRPr="00B91952">
        <w:t xml:space="preserve"> enter the labour market (either employed or looking for work) compared to Year 12 completers. Those who leave school </w:t>
      </w:r>
      <w:r w:rsidR="003C5A28">
        <w:t xml:space="preserve">before completing Year 12 </w:t>
      </w:r>
      <w:r w:rsidRPr="00B91952">
        <w:t xml:space="preserve">are more likely to be ‘not in the labour force, education or training’ (NILFET) than those who complete Year 12. </w:t>
      </w:r>
    </w:p>
    <w:p w:rsidR="002401A2" w:rsidRPr="00B91952" w:rsidRDefault="002401A2" w:rsidP="002401A2">
      <w:r w:rsidRPr="00B91952">
        <w:t xml:space="preserve">Despite these differences, some similarities can be found between the destination patterns of Year 12 completers and </w:t>
      </w:r>
      <w:r w:rsidR="00C148F8">
        <w:t>non-completers</w:t>
      </w:r>
      <w:r w:rsidRPr="00B91952">
        <w:t xml:space="preserve">. In the last five years, rates of employment have been steadily increasing for both cohorts. Enrolments in certificate or diploma courses have been declining for Year 12 completers since 2015, and for </w:t>
      </w:r>
      <w:r w:rsidR="00C148F8">
        <w:t>Year 12 non-completers</w:t>
      </w:r>
      <w:r w:rsidRPr="00B91952">
        <w:t xml:space="preserve"> since 2014.</w:t>
      </w:r>
    </w:p>
    <w:p w:rsidR="002401A2" w:rsidRDefault="002401A2" w:rsidP="002401A2"/>
    <w:p w:rsidR="002401A2" w:rsidRDefault="002401A2" w:rsidP="002401A2">
      <w:pPr>
        <w:pStyle w:val="Heading2"/>
      </w:pPr>
      <w:r>
        <w:t>Destination patterns for Year 12 completers have remained relatively consistent since 2014</w:t>
      </w:r>
    </w:p>
    <w:p w:rsidR="002401A2" w:rsidRPr="002401A2" w:rsidRDefault="002401A2" w:rsidP="002401A2">
      <w:r w:rsidRPr="002401A2">
        <w:t>The majority of Year 12 completers (75.1 per cent) continue on to further education and training after school. A</w:t>
      </w:r>
      <w:r w:rsidR="00500415">
        <w:t xml:space="preserve"> b</w:t>
      </w:r>
      <w:r w:rsidRPr="002401A2">
        <w:t xml:space="preserve">achelor </w:t>
      </w:r>
      <w:r w:rsidR="00500415">
        <w:t>d</w:t>
      </w:r>
      <w:r w:rsidRPr="002401A2">
        <w:t xml:space="preserve">egree continues to be the preferred pathway for this cohort, with the proportion of Year 12 completers pursuing this qualification remaining relatively stable since 2014 (54.3 per cent in 2014, compared to 54.9 per cent in 2018). </w:t>
      </w:r>
    </w:p>
    <w:p w:rsidR="002401A2" w:rsidRPr="002401A2" w:rsidRDefault="002401A2" w:rsidP="002401A2">
      <w:r w:rsidRPr="002401A2">
        <w:t xml:space="preserve">Since 2014, the most obvious trend for Year 12 completers has been a steady decline in the rate of enrolments in </w:t>
      </w:r>
      <w:r w:rsidR="00500415">
        <w:t>c</w:t>
      </w:r>
      <w:r w:rsidRPr="002401A2">
        <w:t xml:space="preserve">ertificates or </w:t>
      </w:r>
      <w:r w:rsidR="00500415">
        <w:t>d</w:t>
      </w:r>
      <w:r w:rsidRPr="002401A2">
        <w:t xml:space="preserve">iplomas. After reaching 16.3 per cent in 2015, the proportion of completers enrolled in this type of course dropped to 12.1 per cent in 2018. </w:t>
      </w:r>
    </w:p>
    <w:p w:rsidR="002401A2" w:rsidRPr="002401A2" w:rsidRDefault="002401A2" w:rsidP="002401A2">
      <w:r w:rsidRPr="002401A2">
        <w:t xml:space="preserve">Between 2014 and 2018, the proportion of Year 12 completers in employment increased, while the proportion of those either looking for work or not in the labour force, education or training (NILFET) decreased. </w:t>
      </w:r>
    </w:p>
    <w:p w:rsidR="002401A2" w:rsidRDefault="002401A2" w:rsidP="002401A2">
      <w:r w:rsidRPr="002401A2">
        <w:t>After increasing slightly in 2015 and 2016, there has been no further change in the proportion of Year 12 completers undertaking apprenticeships or traineeships.</w:t>
      </w:r>
    </w:p>
    <w:p w:rsidR="00C30BF6" w:rsidRDefault="00C30BF6" w:rsidP="002401A2">
      <w:r>
        <w:rPr>
          <w:b/>
        </w:rPr>
        <w:t>DESTINATION PATTERNS, YEAR 12 COMPLETERS, ON TRACK 2014-2018</w:t>
      </w:r>
    </w:p>
    <w:tbl>
      <w:tblPr>
        <w:tblStyle w:val="TableGrid"/>
        <w:tblW w:w="0" w:type="auto"/>
        <w:tblLook w:val="04A0" w:firstRow="1" w:lastRow="0" w:firstColumn="1" w:lastColumn="0" w:noHBand="0" w:noVBand="1"/>
      </w:tblPr>
      <w:tblGrid>
        <w:gridCol w:w="2698"/>
        <w:gridCol w:w="1262"/>
        <w:gridCol w:w="1264"/>
        <w:gridCol w:w="1264"/>
        <w:gridCol w:w="1264"/>
        <w:gridCol w:w="1264"/>
      </w:tblGrid>
      <w:tr w:rsidR="00B87316" w:rsidTr="00E266FF">
        <w:tc>
          <w:tcPr>
            <w:tcW w:w="2698" w:type="dxa"/>
          </w:tcPr>
          <w:p w:rsidR="00B87316" w:rsidRPr="00E266FF" w:rsidRDefault="00E266FF" w:rsidP="002401A2">
            <w:pPr>
              <w:rPr>
                <w:b/>
              </w:rPr>
            </w:pPr>
            <w:r>
              <w:rPr>
                <w:b/>
              </w:rPr>
              <w:t xml:space="preserve">Destination </w:t>
            </w:r>
          </w:p>
        </w:tc>
        <w:tc>
          <w:tcPr>
            <w:tcW w:w="1262" w:type="dxa"/>
          </w:tcPr>
          <w:p w:rsidR="00B87316" w:rsidRPr="00E266FF" w:rsidRDefault="00B87316" w:rsidP="00E266FF">
            <w:pPr>
              <w:jc w:val="center"/>
              <w:rPr>
                <w:b/>
              </w:rPr>
            </w:pPr>
            <w:r w:rsidRPr="00E266FF">
              <w:rPr>
                <w:b/>
              </w:rPr>
              <w:t>2014</w:t>
            </w:r>
          </w:p>
        </w:tc>
        <w:tc>
          <w:tcPr>
            <w:tcW w:w="1264" w:type="dxa"/>
          </w:tcPr>
          <w:p w:rsidR="00B87316" w:rsidRPr="00E266FF" w:rsidRDefault="00B87316" w:rsidP="00E266FF">
            <w:pPr>
              <w:jc w:val="center"/>
              <w:rPr>
                <w:b/>
              </w:rPr>
            </w:pPr>
            <w:r w:rsidRPr="00E266FF">
              <w:rPr>
                <w:b/>
              </w:rPr>
              <w:t>2015</w:t>
            </w:r>
          </w:p>
        </w:tc>
        <w:tc>
          <w:tcPr>
            <w:tcW w:w="1264" w:type="dxa"/>
          </w:tcPr>
          <w:p w:rsidR="00B87316" w:rsidRPr="00E266FF" w:rsidRDefault="00B87316" w:rsidP="00E266FF">
            <w:pPr>
              <w:jc w:val="center"/>
              <w:rPr>
                <w:b/>
              </w:rPr>
            </w:pPr>
            <w:r w:rsidRPr="00E266FF">
              <w:rPr>
                <w:b/>
              </w:rPr>
              <w:t>2016</w:t>
            </w:r>
          </w:p>
        </w:tc>
        <w:tc>
          <w:tcPr>
            <w:tcW w:w="1264" w:type="dxa"/>
          </w:tcPr>
          <w:p w:rsidR="00B87316" w:rsidRPr="00E266FF" w:rsidRDefault="00B87316" w:rsidP="00E266FF">
            <w:pPr>
              <w:jc w:val="center"/>
              <w:rPr>
                <w:b/>
              </w:rPr>
            </w:pPr>
            <w:r w:rsidRPr="00E266FF">
              <w:rPr>
                <w:b/>
              </w:rPr>
              <w:t>2017</w:t>
            </w:r>
          </w:p>
        </w:tc>
        <w:tc>
          <w:tcPr>
            <w:tcW w:w="1264" w:type="dxa"/>
          </w:tcPr>
          <w:p w:rsidR="00B87316" w:rsidRPr="00E266FF" w:rsidRDefault="00B87316" w:rsidP="00E266FF">
            <w:pPr>
              <w:jc w:val="center"/>
              <w:rPr>
                <w:b/>
              </w:rPr>
            </w:pPr>
            <w:r w:rsidRPr="00E266FF">
              <w:rPr>
                <w:b/>
              </w:rPr>
              <w:t>2018</w:t>
            </w:r>
          </w:p>
        </w:tc>
      </w:tr>
      <w:tr w:rsidR="00B87316" w:rsidTr="00E266FF">
        <w:tc>
          <w:tcPr>
            <w:tcW w:w="2698" w:type="dxa"/>
          </w:tcPr>
          <w:p w:rsidR="00B87316" w:rsidRDefault="00B87316" w:rsidP="002401A2">
            <w:r>
              <w:t>Bachelor degree</w:t>
            </w:r>
          </w:p>
        </w:tc>
        <w:tc>
          <w:tcPr>
            <w:tcW w:w="1262" w:type="dxa"/>
          </w:tcPr>
          <w:p w:rsidR="00B87316" w:rsidRDefault="00696313" w:rsidP="00E266FF">
            <w:pPr>
              <w:jc w:val="center"/>
            </w:pPr>
            <w:r>
              <w:t>54.3%</w:t>
            </w:r>
          </w:p>
        </w:tc>
        <w:tc>
          <w:tcPr>
            <w:tcW w:w="1264" w:type="dxa"/>
          </w:tcPr>
          <w:p w:rsidR="00B87316" w:rsidRDefault="00F41632" w:rsidP="00E266FF">
            <w:pPr>
              <w:jc w:val="center"/>
            </w:pPr>
            <w:r>
              <w:t>53.2%</w:t>
            </w:r>
          </w:p>
        </w:tc>
        <w:tc>
          <w:tcPr>
            <w:tcW w:w="1264" w:type="dxa"/>
          </w:tcPr>
          <w:p w:rsidR="00B87316" w:rsidRDefault="00F41632" w:rsidP="00E266FF">
            <w:pPr>
              <w:jc w:val="center"/>
            </w:pPr>
            <w:r>
              <w:t>54.2%</w:t>
            </w:r>
          </w:p>
        </w:tc>
        <w:tc>
          <w:tcPr>
            <w:tcW w:w="1264" w:type="dxa"/>
          </w:tcPr>
          <w:p w:rsidR="00B87316" w:rsidRDefault="00F41632" w:rsidP="00E266FF">
            <w:pPr>
              <w:jc w:val="center"/>
            </w:pPr>
            <w:r>
              <w:t>53.8%</w:t>
            </w:r>
          </w:p>
        </w:tc>
        <w:tc>
          <w:tcPr>
            <w:tcW w:w="1264" w:type="dxa"/>
          </w:tcPr>
          <w:p w:rsidR="00B87316" w:rsidRDefault="00696313" w:rsidP="00E266FF">
            <w:pPr>
              <w:jc w:val="center"/>
            </w:pPr>
            <w:r>
              <w:t>54.9%</w:t>
            </w:r>
          </w:p>
        </w:tc>
      </w:tr>
      <w:tr w:rsidR="00B87316" w:rsidTr="00E266FF">
        <w:tc>
          <w:tcPr>
            <w:tcW w:w="2698" w:type="dxa"/>
          </w:tcPr>
          <w:p w:rsidR="00B87316" w:rsidRDefault="00B87316" w:rsidP="002401A2">
            <w:r>
              <w:t>Certificate/Diploma</w:t>
            </w:r>
          </w:p>
        </w:tc>
        <w:tc>
          <w:tcPr>
            <w:tcW w:w="1262" w:type="dxa"/>
          </w:tcPr>
          <w:p w:rsidR="00B87316" w:rsidRDefault="00696313" w:rsidP="00E266FF">
            <w:pPr>
              <w:jc w:val="center"/>
            </w:pPr>
            <w:r>
              <w:t>16.1%</w:t>
            </w:r>
          </w:p>
        </w:tc>
        <w:tc>
          <w:tcPr>
            <w:tcW w:w="1264" w:type="dxa"/>
          </w:tcPr>
          <w:p w:rsidR="00B87316" w:rsidRDefault="00F41632" w:rsidP="00E266FF">
            <w:pPr>
              <w:jc w:val="center"/>
            </w:pPr>
            <w:r>
              <w:t>16.3%</w:t>
            </w:r>
          </w:p>
        </w:tc>
        <w:tc>
          <w:tcPr>
            <w:tcW w:w="1264" w:type="dxa"/>
          </w:tcPr>
          <w:p w:rsidR="00B87316" w:rsidRDefault="00F41632" w:rsidP="00E266FF">
            <w:pPr>
              <w:jc w:val="center"/>
            </w:pPr>
            <w:r>
              <w:t>14.6%</w:t>
            </w:r>
          </w:p>
        </w:tc>
        <w:tc>
          <w:tcPr>
            <w:tcW w:w="1264" w:type="dxa"/>
          </w:tcPr>
          <w:p w:rsidR="00B87316" w:rsidRDefault="00F41632" w:rsidP="00E266FF">
            <w:pPr>
              <w:jc w:val="center"/>
            </w:pPr>
            <w:r>
              <w:t>12.9%</w:t>
            </w:r>
          </w:p>
        </w:tc>
        <w:tc>
          <w:tcPr>
            <w:tcW w:w="1264" w:type="dxa"/>
          </w:tcPr>
          <w:p w:rsidR="00B87316" w:rsidRDefault="00696313" w:rsidP="00E266FF">
            <w:pPr>
              <w:jc w:val="center"/>
            </w:pPr>
            <w:r>
              <w:t>12.1%</w:t>
            </w:r>
          </w:p>
        </w:tc>
      </w:tr>
      <w:tr w:rsidR="00B87316" w:rsidTr="00E266FF">
        <w:tc>
          <w:tcPr>
            <w:tcW w:w="2698" w:type="dxa"/>
          </w:tcPr>
          <w:p w:rsidR="00B87316" w:rsidRDefault="00B87316" w:rsidP="002401A2">
            <w:r>
              <w:t>Apprenticeship/Traineeship</w:t>
            </w:r>
          </w:p>
        </w:tc>
        <w:tc>
          <w:tcPr>
            <w:tcW w:w="1262" w:type="dxa"/>
          </w:tcPr>
          <w:p w:rsidR="00B87316" w:rsidRDefault="00696313" w:rsidP="00E266FF">
            <w:pPr>
              <w:jc w:val="center"/>
            </w:pPr>
            <w:r>
              <w:t>7.0%</w:t>
            </w:r>
          </w:p>
        </w:tc>
        <w:tc>
          <w:tcPr>
            <w:tcW w:w="1264" w:type="dxa"/>
          </w:tcPr>
          <w:p w:rsidR="00B87316" w:rsidRDefault="00F41632" w:rsidP="00E266FF">
            <w:pPr>
              <w:jc w:val="center"/>
            </w:pPr>
            <w:r>
              <w:t>7.5%</w:t>
            </w:r>
          </w:p>
        </w:tc>
        <w:tc>
          <w:tcPr>
            <w:tcW w:w="1264" w:type="dxa"/>
          </w:tcPr>
          <w:p w:rsidR="00B87316" w:rsidRDefault="00F41632" w:rsidP="00E266FF">
            <w:pPr>
              <w:jc w:val="center"/>
            </w:pPr>
            <w:r>
              <w:t>8.1%</w:t>
            </w:r>
          </w:p>
        </w:tc>
        <w:tc>
          <w:tcPr>
            <w:tcW w:w="1264" w:type="dxa"/>
          </w:tcPr>
          <w:p w:rsidR="00B87316" w:rsidRDefault="00F41632" w:rsidP="00E266FF">
            <w:pPr>
              <w:jc w:val="center"/>
            </w:pPr>
            <w:r>
              <w:t>8.1%</w:t>
            </w:r>
          </w:p>
        </w:tc>
        <w:tc>
          <w:tcPr>
            <w:tcW w:w="1264" w:type="dxa"/>
          </w:tcPr>
          <w:p w:rsidR="00B87316" w:rsidRDefault="00696313" w:rsidP="00E266FF">
            <w:pPr>
              <w:jc w:val="center"/>
            </w:pPr>
            <w:r>
              <w:t>8.1%</w:t>
            </w:r>
          </w:p>
        </w:tc>
      </w:tr>
      <w:tr w:rsidR="00B87316" w:rsidTr="00E266FF">
        <w:tc>
          <w:tcPr>
            <w:tcW w:w="2698" w:type="dxa"/>
          </w:tcPr>
          <w:p w:rsidR="00B87316" w:rsidRDefault="00B87316" w:rsidP="002401A2">
            <w:r>
              <w:t>Employed</w:t>
            </w:r>
          </w:p>
        </w:tc>
        <w:tc>
          <w:tcPr>
            <w:tcW w:w="1262" w:type="dxa"/>
          </w:tcPr>
          <w:p w:rsidR="00B87316" w:rsidRDefault="00696313" w:rsidP="00E266FF">
            <w:pPr>
              <w:jc w:val="center"/>
            </w:pPr>
            <w:r>
              <w:t>9.1%</w:t>
            </w:r>
          </w:p>
        </w:tc>
        <w:tc>
          <w:tcPr>
            <w:tcW w:w="1264" w:type="dxa"/>
          </w:tcPr>
          <w:p w:rsidR="00B87316" w:rsidRDefault="00F41632" w:rsidP="00E266FF">
            <w:pPr>
              <w:jc w:val="center"/>
            </w:pPr>
            <w:r>
              <w:t>9.6%</w:t>
            </w:r>
          </w:p>
        </w:tc>
        <w:tc>
          <w:tcPr>
            <w:tcW w:w="1264" w:type="dxa"/>
          </w:tcPr>
          <w:p w:rsidR="00B87316" w:rsidRDefault="00F41632" w:rsidP="00E266FF">
            <w:pPr>
              <w:jc w:val="center"/>
            </w:pPr>
            <w:r>
              <w:t>9.6%</w:t>
            </w:r>
          </w:p>
        </w:tc>
        <w:tc>
          <w:tcPr>
            <w:tcW w:w="1264" w:type="dxa"/>
          </w:tcPr>
          <w:p w:rsidR="00B87316" w:rsidRDefault="00F41632" w:rsidP="00E266FF">
            <w:pPr>
              <w:jc w:val="center"/>
            </w:pPr>
            <w:r>
              <w:t>11.1%</w:t>
            </w:r>
          </w:p>
        </w:tc>
        <w:tc>
          <w:tcPr>
            <w:tcW w:w="1264" w:type="dxa"/>
          </w:tcPr>
          <w:p w:rsidR="00B87316" w:rsidRDefault="00696313" w:rsidP="00E266FF">
            <w:pPr>
              <w:jc w:val="center"/>
            </w:pPr>
            <w:r>
              <w:t>11.3%</w:t>
            </w:r>
          </w:p>
        </w:tc>
      </w:tr>
      <w:tr w:rsidR="00B87316" w:rsidTr="00E266FF">
        <w:tc>
          <w:tcPr>
            <w:tcW w:w="2698" w:type="dxa"/>
          </w:tcPr>
          <w:p w:rsidR="00B87316" w:rsidRDefault="00B87316" w:rsidP="002401A2">
            <w:r>
              <w:t>Looking for work</w:t>
            </w:r>
          </w:p>
        </w:tc>
        <w:tc>
          <w:tcPr>
            <w:tcW w:w="1262" w:type="dxa"/>
          </w:tcPr>
          <w:p w:rsidR="00B87316" w:rsidRDefault="00696313" w:rsidP="00E266FF">
            <w:pPr>
              <w:jc w:val="center"/>
            </w:pPr>
            <w:r>
              <w:t>3.7%</w:t>
            </w:r>
          </w:p>
        </w:tc>
        <w:tc>
          <w:tcPr>
            <w:tcW w:w="1264" w:type="dxa"/>
          </w:tcPr>
          <w:p w:rsidR="00B87316" w:rsidRDefault="00F41632" w:rsidP="00E266FF">
            <w:pPr>
              <w:jc w:val="center"/>
            </w:pPr>
            <w:r>
              <w:t>3.6%</w:t>
            </w:r>
          </w:p>
        </w:tc>
        <w:tc>
          <w:tcPr>
            <w:tcW w:w="1264" w:type="dxa"/>
          </w:tcPr>
          <w:p w:rsidR="00B87316" w:rsidRDefault="00F41632" w:rsidP="00E266FF">
            <w:pPr>
              <w:jc w:val="center"/>
            </w:pPr>
            <w:r>
              <w:t>3.3%</w:t>
            </w:r>
          </w:p>
        </w:tc>
        <w:tc>
          <w:tcPr>
            <w:tcW w:w="1264" w:type="dxa"/>
          </w:tcPr>
          <w:p w:rsidR="00B87316" w:rsidRDefault="00F41632" w:rsidP="00E266FF">
            <w:pPr>
              <w:jc w:val="center"/>
            </w:pPr>
            <w:r>
              <w:t>3.4%</w:t>
            </w:r>
          </w:p>
        </w:tc>
        <w:tc>
          <w:tcPr>
            <w:tcW w:w="1264" w:type="dxa"/>
          </w:tcPr>
          <w:p w:rsidR="00B87316" w:rsidRDefault="00696313" w:rsidP="00E266FF">
            <w:pPr>
              <w:jc w:val="center"/>
            </w:pPr>
            <w:r>
              <w:t>3.2%</w:t>
            </w:r>
          </w:p>
        </w:tc>
      </w:tr>
      <w:tr w:rsidR="00B87316" w:rsidTr="00E266FF">
        <w:tc>
          <w:tcPr>
            <w:tcW w:w="2698" w:type="dxa"/>
          </w:tcPr>
          <w:p w:rsidR="00B87316" w:rsidRDefault="00B87316" w:rsidP="00F41632">
            <w:r>
              <w:t>Not in Labou</w:t>
            </w:r>
            <w:r w:rsidR="00F41632">
              <w:t>r Force, Education or Training</w:t>
            </w:r>
          </w:p>
        </w:tc>
        <w:tc>
          <w:tcPr>
            <w:tcW w:w="1262" w:type="dxa"/>
          </w:tcPr>
          <w:p w:rsidR="00B87316" w:rsidRDefault="00696313" w:rsidP="00E266FF">
            <w:pPr>
              <w:jc w:val="center"/>
            </w:pPr>
            <w:r>
              <w:t>0.4%</w:t>
            </w:r>
          </w:p>
        </w:tc>
        <w:tc>
          <w:tcPr>
            <w:tcW w:w="1264" w:type="dxa"/>
          </w:tcPr>
          <w:p w:rsidR="00B87316" w:rsidRDefault="00F41632" w:rsidP="00E266FF">
            <w:pPr>
              <w:jc w:val="center"/>
            </w:pPr>
            <w:r>
              <w:t>0.5%</w:t>
            </w:r>
          </w:p>
        </w:tc>
        <w:tc>
          <w:tcPr>
            <w:tcW w:w="1264" w:type="dxa"/>
          </w:tcPr>
          <w:p w:rsidR="00B87316" w:rsidRDefault="00F41632" w:rsidP="00E266FF">
            <w:pPr>
              <w:jc w:val="center"/>
            </w:pPr>
            <w:r>
              <w:t>0.5%</w:t>
            </w:r>
          </w:p>
        </w:tc>
        <w:tc>
          <w:tcPr>
            <w:tcW w:w="1264" w:type="dxa"/>
          </w:tcPr>
          <w:p w:rsidR="00B87316" w:rsidRDefault="00F41632" w:rsidP="00E266FF">
            <w:pPr>
              <w:jc w:val="center"/>
            </w:pPr>
            <w:r>
              <w:t>0.6%</w:t>
            </w:r>
          </w:p>
        </w:tc>
        <w:tc>
          <w:tcPr>
            <w:tcW w:w="1264" w:type="dxa"/>
          </w:tcPr>
          <w:p w:rsidR="00B87316" w:rsidRDefault="00696313" w:rsidP="00E266FF">
            <w:pPr>
              <w:jc w:val="center"/>
            </w:pPr>
            <w:r>
              <w:t>0.4%</w:t>
            </w:r>
          </w:p>
        </w:tc>
      </w:tr>
    </w:tbl>
    <w:p w:rsidR="002401A2" w:rsidRPr="002401A2" w:rsidRDefault="002401A2" w:rsidP="002401A2"/>
    <w:p w:rsidR="002401A2" w:rsidRDefault="002401A2" w:rsidP="002401A2">
      <w:pPr>
        <w:pStyle w:val="Heading2"/>
      </w:pPr>
      <w:r>
        <w:t xml:space="preserve">Destination patterns for </w:t>
      </w:r>
      <w:r w:rsidR="00C148F8">
        <w:t>Year 12 non-completers</w:t>
      </w:r>
      <w:r>
        <w:t xml:space="preserve"> have varied over the past five years</w:t>
      </w:r>
    </w:p>
    <w:p w:rsidR="002401A2" w:rsidRPr="00B91952" w:rsidRDefault="002401A2" w:rsidP="002401A2">
      <w:r w:rsidRPr="00B91952">
        <w:t xml:space="preserve">The preferred destination of almost one in three </w:t>
      </w:r>
      <w:r w:rsidR="00C148F8">
        <w:t>Year 12 non-completers</w:t>
      </w:r>
      <w:r w:rsidRPr="00B91952">
        <w:t xml:space="preserve"> is an apprenticeship or traineeship (32.1 per cent in 2018). Since 2014, the proportion of </w:t>
      </w:r>
      <w:r w:rsidR="00C148F8">
        <w:t>Year 12 non-completers</w:t>
      </w:r>
      <w:r w:rsidRPr="00B91952">
        <w:t xml:space="preserve"> undertaking this pathway has steadily increased (from 25.1 per cent to 32.1 per cent), however this trend is best explained by growth in the rate of </w:t>
      </w:r>
      <w:r w:rsidR="00757A52">
        <w:t>Year 12 non-completers</w:t>
      </w:r>
      <w:r w:rsidRPr="00B91952">
        <w:t xml:space="preserve"> undertaking apprenticeships, rather than traineeships, which have declined.   </w:t>
      </w:r>
    </w:p>
    <w:p w:rsidR="002401A2" w:rsidRPr="00B91952" w:rsidRDefault="002401A2" w:rsidP="002401A2">
      <w:r w:rsidRPr="00B91952">
        <w:t xml:space="preserve">Despite decreasing steadily since 2014, the proportion of </w:t>
      </w:r>
      <w:r w:rsidR="00C148F8">
        <w:t>Year 12 non-completers</w:t>
      </w:r>
      <w:r w:rsidR="001D6D95">
        <w:t xml:space="preserve"> </w:t>
      </w:r>
      <w:r w:rsidRPr="00B91952">
        <w:t xml:space="preserve">enrolled in a </w:t>
      </w:r>
      <w:r w:rsidR="00500415">
        <w:t>c</w:t>
      </w:r>
      <w:r w:rsidRPr="00B91952">
        <w:t xml:space="preserve">ertificate or </w:t>
      </w:r>
      <w:r w:rsidR="00500415">
        <w:t>d</w:t>
      </w:r>
      <w:r w:rsidRPr="00B91952">
        <w:t xml:space="preserve">iploma has stabilised, and there was a slight increase between 2017 and 2018. A slightly different trend is apparent for enrolments in a </w:t>
      </w:r>
      <w:r w:rsidR="00500415">
        <w:t>c</w:t>
      </w:r>
      <w:r w:rsidRPr="00B91952">
        <w:t xml:space="preserve">ertificate I-III or </w:t>
      </w:r>
      <w:r w:rsidR="00500415">
        <w:t>c</w:t>
      </w:r>
      <w:r w:rsidRPr="00B91952">
        <w:t>ertificate IV and above.</w:t>
      </w:r>
    </w:p>
    <w:p w:rsidR="00C30BF6" w:rsidRDefault="002401A2" w:rsidP="002401A2">
      <w:r w:rsidRPr="00B91952">
        <w:t xml:space="preserve">The proportion of </w:t>
      </w:r>
      <w:r w:rsidR="00C148F8">
        <w:t>Year 12 non-completers</w:t>
      </w:r>
      <w:r w:rsidRPr="00B91952">
        <w:t xml:space="preserve"> enrolled in a </w:t>
      </w:r>
      <w:r w:rsidR="00500415">
        <w:t>b</w:t>
      </w:r>
      <w:r w:rsidRPr="00B91952">
        <w:t xml:space="preserve">achelor </w:t>
      </w:r>
      <w:r w:rsidR="00500415">
        <w:t>d</w:t>
      </w:r>
      <w:r w:rsidRPr="00B91952">
        <w:t>egree has remained relatively stable, increasing slightly since 2014.</w:t>
      </w:r>
    </w:p>
    <w:p w:rsidR="00D334AF" w:rsidRDefault="00C30BF6" w:rsidP="002401A2">
      <w:r>
        <w:rPr>
          <w:b/>
        </w:rPr>
        <w:t xml:space="preserve">DESTINATION PATTERNS, </w:t>
      </w:r>
      <w:r w:rsidR="00C148F8">
        <w:rPr>
          <w:b/>
        </w:rPr>
        <w:t>YEAR 12 NON-COMPLETERS</w:t>
      </w:r>
      <w:r>
        <w:rPr>
          <w:b/>
        </w:rPr>
        <w:t>, ON TRACK 2014-2018</w:t>
      </w:r>
    </w:p>
    <w:tbl>
      <w:tblPr>
        <w:tblStyle w:val="TableGrid"/>
        <w:tblW w:w="0" w:type="auto"/>
        <w:tblLook w:val="04A0" w:firstRow="1" w:lastRow="0" w:firstColumn="1" w:lastColumn="0" w:noHBand="0" w:noVBand="1"/>
      </w:tblPr>
      <w:tblGrid>
        <w:gridCol w:w="2698"/>
        <w:gridCol w:w="1262"/>
        <w:gridCol w:w="1264"/>
        <w:gridCol w:w="1264"/>
        <w:gridCol w:w="1264"/>
        <w:gridCol w:w="1264"/>
      </w:tblGrid>
      <w:tr w:rsidR="00E266FF" w:rsidTr="00AA5E2F">
        <w:tc>
          <w:tcPr>
            <w:tcW w:w="2698" w:type="dxa"/>
          </w:tcPr>
          <w:p w:rsidR="00E266FF" w:rsidRPr="00E266FF" w:rsidRDefault="00E266FF" w:rsidP="00AA5E2F">
            <w:pPr>
              <w:rPr>
                <w:b/>
              </w:rPr>
            </w:pPr>
            <w:r>
              <w:rPr>
                <w:b/>
              </w:rPr>
              <w:t xml:space="preserve">Destination </w:t>
            </w:r>
          </w:p>
        </w:tc>
        <w:tc>
          <w:tcPr>
            <w:tcW w:w="1262" w:type="dxa"/>
          </w:tcPr>
          <w:p w:rsidR="00E266FF" w:rsidRPr="00E266FF" w:rsidRDefault="00E266FF" w:rsidP="00AA5E2F">
            <w:pPr>
              <w:jc w:val="center"/>
              <w:rPr>
                <w:b/>
              </w:rPr>
            </w:pPr>
            <w:r w:rsidRPr="00E266FF">
              <w:rPr>
                <w:b/>
              </w:rPr>
              <w:t>2014</w:t>
            </w:r>
          </w:p>
        </w:tc>
        <w:tc>
          <w:tcPr>
            <w:tcW w:w="1264" w:type="dxa"/>
          </w:tcPr>
          <w:p w:rsidR="00E266FF" w:rsidRPr="00E266FF" w:rsidRDefault="00E266FF" w:rsidP="00AA5E2F">
            <w:pPr>
              <w:jc w:val="center"/>
              <w:rPr>
                <w:b/>
              </w:rPr>
            </w:pPr>
            <w:r w:rsidRPr="00E266FF">
              <w:rPr>
                <w:b/>
              </w:rPr>
              <w:t>2015</w:t>
            </w:r>
          </w:p>
        </w:tc>
        <w:tc>
          <w:tcPr>
            <w:tcW w:w="1264" w:type="dxa"/>
          </w:tcPr>
          <w:p w:rsidR="00E266FF" w:rsidRPr="00E266FF" w:rsidRDefault="00E266FF" w:rsidP="00AA5E2F">
            <w:pPr>
              <w:jc w:val="center"/>
              <w:rPr>
                <w:b/>
              </w:rPr>
            </w:pPr>
            <w:r w:rsidRPr="00E266FF">
              <w:rPr>
                <w:b/>
              </w:rPr>
              <w:t>2016</w:t>
            </w:r>
          </w:p>
        </w:tc>
        <w:tc>
          <w:tcPr>
            <w:tcW w:w="1264" w:type="dxa"/>
          </w:tcPr>
          <w:p w:rsidR="00E266FF" w:rsidRPr="00E266FF" w:rsidRDefault="00E266FF" w:rsidP="00AA5E2F">
            <w:pPr>
              <w:jc w:val="center"/>
              <w:rPr>
                <w:b/>
              </w:rPr>
            </w:pPr>
            <w:r w:rsidRPr="00E266FF">
              <w:rPr>
                <w:b/>
              </w:rPr>
              <w:t>2017</w:t>
            </w:r>
          </w:p>
        </w:tc>
        <w:tc>
          <w:tcPr>
            <w:tcW w:w="1264" w:type="dxa"/>
          </w:tcPr>
          <w:p w:rsidR="00E266FF" w:rsidRPr="00E266FF" w:rsidRDefault="00E266FF" w:rsidP="00AA5E2F">
            <w:pPr>
              <w:jc w:val="center"/>
              <w:rPr>
                <w:b/>
              </w:rPr>
            </w:pPr>
            <w:r w:rsidRPr="00E266FF">
              <w:rPr>
                <w:b/>
              </w:rPr>
              <w:t>2018</w:t>
            </w:r>
          </w:p>
        </w:tc>
      </w:tr>
      <w:tr w:rsidR="00E266FF" w:rsidTr="00AA5E2F">
        <w:tc>
          <w:tcPr>
            <w:tcW w:w="2698" w:type="dxa"/>
          </w:tcPr>
          <w:p w:rsidR="00E266FF" w:rsidRDefault="00E266FF" w:rsidP="00AA5E2F">
            <w:r>
              <w:t>Bachelor degree</w:t>
            </w:r>
          </w:p>
        </w:tc>
        <w:tc>
          <w:tcPr>
            <w:tcW w:w="1262" w:type="dxa"/>
          </w:tcPr>
          <w:p w:rsidR="00E266FF" w:rsidRDefault="00696313" w:rsidP="00AA5E2F">
            <w:pPr>
              <w:jc w:val="center"/>
            </w:pPr>
            <w:r>
              <w:t>0.7%</w:t>
            </w:r>
          </w:p>
        </w:tc>
        <w:tc>
          <w:tcPr>
            <w:tcW w:w="1264" w:type="dxa"/>
          </w:tcPr>
          <w:p w:rsidR="00E266FF" w:rsidRDefault="00F41632" w:rsidP="00AA5E2F">
            <w:pPr>
              <w:jc w:val="center"/>
            </w:pPr>
            <w:r>
              <w:t>0.9%</w:t>
            </w:r>
          </w:p>
        </w:tc>
        <w:tc>
          <w:tcPr>
            <w:tcW w:w="1264" w:type="dxa"/>
          </w:tcPr>
          <w:p w:rsidR="00E266FF" w:rsidRDefault="00F41632" w:rsidP="00AA5E2F">
            <w:pPr>
              <w:jc w:val="center"/>
            </w:pPr>
            <w:r>
              <w:t>0.7%</w:t>
            </w:r>
          </w:p>
        </w:tc>
        <w:tc>
          <w:tcPr>
            <w:tcW w:w="1264" w:type="dxa"/>
          </w:tcPr>
          <w:p w:rsidR="00E266FF" w:rsidRDefault="00F41632" w:rsidP="00AA5E2F">
            <w:pPr>
              <w:jc w:val="center"/>
            </w:pPr>
            <w:r>
              <w:t>0.8%</w:t>
            </w:r>
          </w:p>
        </w:tc>
        <w:tc>
          <w:tcPr>
            <w:tcW w:w="1264" w:type="dxa"/>
          </w:tcPr>
          <w:p w:rsidR="00E266FF" w:rsidRDefault="00696313" w:rsidP="00AA5E2F">
            <w:pPr>
              <w:jc w:val="center"/>
            </w:pPr>
            <w:r>
              <w:t>0.9%</w:t>
            </w:r>
          </w:p>
        </w:tc>
      </w:tr>
      <w:tr w:rsidR="00E266FF" w:rsidTr="00AA5E2F">
        <w:tc>
          <w:tcPr>
            <w:tcW w:w="2698" w:type="dxa"/>
          </w:tcPr>
          <w:p w:rsidR="00E266FF" w:rsidRDefault="00E266FF" w:rsidP="00AA5E2F">
            <w:r>
              <w:t>Certificate/Diploma</w:t>
            </w:r>
          </w:p>
        </w:tc>
        <w:tc>
          <w:tcPr>
            <w:tcW w:w="1262" w:type="dxa"/>
          </w:tcPr>
          <w:p w:rsidR="00E266FF" w:rsidRDefault="00696313" w:rsidP="00AA5E2F">
            <w:pPr>
              <w:jc w:val="center"/>
            </w:pPr>
            <w:r>
              <w:t>28.1%</w:t>
            </w:r>
          </w:p>
        </w:tc>
        <w:tc>
          <w:tcPr>
            <w:tcW w:w="1264" w:type="dxa"/>
          </w:tcPr>
          <w:p w:rsidR="00E266FF" w:rsidRDefault="00F41632" w:rsidP="00AA5E2F">
            <w:pPr>
              <w:jc w:val="center"/>
            </w:pPr>
            <w:r>
              <w:t>25.8%</w:t>
            </w:r>
          </w:p>
        </w:tc>
        <w:tc>
          <w:tcPr>
            <w:tcW w:w="1264" w:type="dxa"/>
          </w:tcPr>
          <w:p w:rsidR="00E266FF" w:rsidRDefault="00F41632" w:rsidP="00AA5E2F">
            <w:pPr>
              <w:jc w:val="center"/>
            </w:pPr>
            <w:r>
              <w:t>23.6%</w:t>
            </w:r>
          </w:p>
        </w:tc>
        <w:tc>
          <w:tcPr>
            <w:tcW w:w="1264" w:type="dxa"/>
          </w:tcPr>
          <w:p w:rsidR="00E266FF" w:rsidRDefault="00F41632" w:rsidP="00AA5E2F">
            <w:pPr>
              <w:jc w:val="center"/>
            </w:pPr>
            <w:r>
              <w:t>18.9%</w:t>
            </w:r>
          </w:p>
        </w:tc>
        <w:tc>
          <w:tcPr>
            <w:tcW w:w="1264" w:type="dxa"/>
          </w:tcPr>
          <w:p w:rsidR="00E266FF" w:rsidRDefault="00696313" w:rsidP="00AA5E2F">
            <w:pPr>
              <w:jc w:val="center"/>
            </w:pPr>
            <w:r>
              <w:t>19.5%</w:t>
            </w:r>
          </w:p>
        </w:tc>
      </w:tr>
      <w:tr w:rsidR="00E266FF" w:rsidTr="00AA5E2F">
        <w:tc>
          <w:tcPr>
            <w:tcW w:w="2698" w:type="dxa"/>
          </w:tcPr>
          <w:p w:rsidR="00E266FF" w:rsidRDefault="00E266FF" w:rsidP="00AA5E2F">
            <w:r>
              <w:t>Apprenticeship/Traineeship</w:t>
            </w:r>
          </w:p>
        </w:tc>
        <w:tc>
          <w:tcPr>
            <w:tcW w:w="1262" w:type="dxa"/>
          </w:tcPr>
          <w:p w:rsidR="00E266FF" w:rsidRDefault="00696313" w:rsidP="00AA5E2F">
            <w:pPr>
              <w:jc w:val="center"/>
            </w:pPr>
            <w:r>
              <w:t>25.1%</w:t>
            </w:r>
          </w:p>
        </w:tc>
        <w:tc>
          <w:tcPr>
            <w:tcW w:w="1264" w:type="dxa"/>
          </w:tcPr>
          <w:p w:rsidR="00E266FF" w:rsidRDefault="00F41632" w:rsidP="00AA5E2F">
            <w:pPr>
              <w:jc w:val="center"/>
            </w:pPr>
            <w:r>
              <w:t>28.2%</w:t>
            </w:r>
          </w:p>
        </w:tc>
        <w:tc>
          <w:tcPr>
            <w:tcW w:w="1264" w:type="dxa"/>
          </w:tcPr>
          <w:p w:rsidR="00E266FF" w:rsidRDefault="00F41632" w:rsidP="00AA5E2F">
            <w:pPr>
              <w:jc w:val="center"/>
            </w:pPr>
            <w:r>
              <w:t>29.6%</w:t>
            </w:r>
          </w:p>
        </w:tc>
        <w:tc>
          <w:tcPr>
            <w:tcW w:w="1264" w:type="dxa"/>
          </w:tcPr>
          <w:p w:rsidR="00E266FF" w:rsidRDefault="00F41632" w:rsidP="00AA5E2F">
            <w:pPr>
              <w:jc w:val="center"/>
            </w:pPr>
            <w:r>
              <w:t>31.6%</w:t>
            </w:r>
          </w:p>
        </w:tc>
        <w:tc>
          <w:tcPr>
            <w:tcW w:w="1264" w:type="dxa"/>
          </w:tcPr>
          <w:p w:rsidR="00E266FF" w:rsidRDefault="00696313" w:rsidP="00AA5E2F">
            <w:pPr>
              <w:jc w:val="center"/>
            </w:pPr>
            <w:r>
              <w:t>32.1%</w:t>
            </w:r>
          </w:p>
        </w:tc>
      </w:tr>
      <w:tr w:rsidR="002C385B" w:rsidTr="00AA5E2F">
        <w:tc>
          <w:tcPr>
            <w:tcW w:w="2698" w:type="dxa"/>
          </w:tcPr>
          <w:p w:rsidR="002C385B" w:rsidRDefault="002C385B" w:rsidP="00AA5E2F">
            <w:r>
              <w:t>Employed</w:t>
            </w:r>
          </w:p>
        </w:tc>
        <w:tc>
          <w:tcPr>
            <w:tcW w:w="1262" w:type="dxa"/>
          </w:tcPr>
          <w:p w:rsidR="002C385B" w:rsidRDefault="00506798" w:rsidP="00AA5E2F">
            <w:pPr>
              <w:jc w:val="center"/>
            </w:pPr>
            <w:r>
              <w:t>23.9%</w:t>
            </w:r>
          </w:p>
        </w:tc>
        <w:tc>
          <w:tcPr>
            <w:tcW w:w="1264" w:type="dxa"/>
          </w:tcPr>
          <w:p w:rsidR="002C385B" w:rsidRDefault="00506798" w:rsidP="00AA5E2F">
            <w:pPr>
              <w:jc w:val="center"/>
            </w:pPr>
            <w:r>
              <w:t>23.7%</w:t>
            </w:r>
          </w:p>
        </w:tc>
        <w:tc>
          <w:tcPr>
            <w:tcW w:w="1264" w:type="dxa"/>
          </w:tcPr>
          <w:p w:rsidR="002C385B" w:rsidRDefault="00506798" w:rsidP="00AA5E2F">
            <w:pPr>
              <w:jc w:val="center"/>
            </w:pPr>
            <w:r>
              <w:t>24.0%</w:t>
            </w:r>
          </w:p>
        </w:tc>
        <w:tc>
          <w:tcPr>
            <w:tcW w:w="1264" w:type="dxa"/>
          </w:tcPr>
          <w:p w:rsidR="002C385B" w:rsidRDefault="00506798" w:rsidP="00AA5E2F">
            <w:pPr>
              <w:jc w:val="center"/>
            </w:pPr>
            <w:r>
              <w:t>25.8%</w:t>
            </w:r>
          </w:p>
        </w:tc>
        <w:tc>
          <w:tcPr>
            <w:tcW w:w="1264" w:type="dxa"/>
          </w:tcPr>
          <w:p w:rsidR="002C385B" w:rsidRDefault="00506798" w:rsidP="00AA5E2F">
            <w:pPr>
              <w:jc w:val="center"/>
            </w:pPr>
            <w:r>
              <w:t>27.5%</w:t>
            </w:r>
          </w:p>
        </w:tc>
      </w:tr>
      <w:tr w:rsidR="002C385B" w:rsidTr="00AA5E2F">
        <w:tc>
          <w:tcPr>
            <w:tcW w:w="2698" w:type="dxa"/>
          </w:tcPr>
          <w:p w:rsidR="002C385B" w:rsidRDefault="002C385B" w:rsidP="00AA5E2F">
            <w:r>
              <w:t>Looking for work</w:t>
            </w:r>
          </w:p>
        </w:tc>
        <w:tc>
          <w:tcPr>
            <w:tcW w:w="1262" w:type="dxa"/>
          </w:tcPr>
          <w:p w:rsidR="002C385B" w:rsidRDefault="00506798" w:rsidP="00AA5E2F">
            <w:pPr>
              <w:jc w:val="center"/>
            </w:pPr>
            <w:r>
              <w:t>16.9%</w:t>
            </w:r>
          </w:p>
        </w:tc>
        <w:tc>
          <w:tcPr>
            <w:tcW w:w="1264" w:type="dxa"/>
          </w:tcPr>
          <w:p w:rsidR="002C385B" w:rsidRDefault="00506798" w:rsidP="00AA5E2F">
            <w:pPr>
              <w:jc w:val="center"/>
            </w:pPr>
            <w:r>
              <w:t>15.6%</w:t>
            </w:r>
          </w:p>
        </w:tc>
        <w:tc>
          <w:tcPr>
            <w:tcW w:w="1264" w:type="dxa"/>
          </w:tcPr>
          <w:p w:rsidR="002C385B" w:rsidRDefault="00506798" w:rsidP="00AA5E2F">
            <w:pPr>
              <w:jc w:val="center"/>
            </w:pPr>
            <w:r>
              <w:t>15.9%</w:t>
            </w:r>
          </w:p>
        </w:tc>
        <w:tc>
          <w:tcPr>
            <w:tcW w:w="1264" w:type="dxa"/>
          </w:tcPr>
          <w:p w:rsidR="002C385B" w:rsidRDefault="00506798" w:rsidP="00AA5E2F">
            <w:pPr>
              <w:jc w:val="center"/>
            </w:pPr>
            <w:r>
              <w:t>16.7%</w:t>
            </w:r>
          </w:p>
        </w:tc>
        <w:tc>
          <w:tcPr>
            <w:tcW w:w="1264" w:type="dxa"/>
          </w:tcPr>
          <w:p w:rsidR="002C385B" w:rsidRDefault="00506798" w:rsidP="00AA5E2F">
            <w:pPr>
              <w:jc w:val="center"/>
            </w:pPr>
            <w:r>
              <w:t>15.0%</w:t>
            </w:r>
          </w:p>
        </w:tc>
      </w:tr>
      <w:tr w:rsidR="002C385B" w:rsidTr="00AA5E2F">
        <w:tc>
          <w:tcPr>
            <w:tcW w:w="2698" w:type="dxa"/>
          </w:tcPr>
          <w:p w:rsidR="002C385B" w:rsidRDefault="00506798" w:rsidP="00AA5E2F">
            <w:r>
              <w:t>Not in Labour Force, Education or Training</w:t>
            </w:r>
          </w:p>
        </w:tc>
        <w:tc>
          <w:tcPr>
            <w:tcW w:w="1262" w:type="dxa"/>
          </w:tcPr>
          <w:p w:rsidR="002C385B" w:rsidRDefault="00506798" w:rsidP="00AA5E2F">
            <w:pPr>
              <w:jc w:val="center"/>
            </w:pPr>
            <w:r>
              <w:t>5.1%</w:t>
            </w:r>
          </w:p>
        </w:tc>
        <w:tc>
          <w:tcPr>
            <w:tcW w:w="1264" w:type="dxa"/>
          </w:tcPr>
          <w:p w:rsidR="002C385B" w:rsidRDefault="00506798" w:rsidP="00AA5E2F">
            <w:pPr>
              <w:jc w:val="center"/>
            </w:pPr>
            <w:r>
              <w:t>5.5%</w:t>
            </w:r>
          </w:p>
        </w:tc>
        <w:tc>
          <w:tcPr>
            <w:tcW w:w="1264" w:type="dxa"/>
          </w:tcPr>
          <w:p w:rsidR="002C385B" w:rsidRDefault="00506798" w:rsidP="00AA5E2F">
            <w:pPr>
              <w:jc w:val="center"/>
            </w:pPr>
            <w:r>
              <w:t>5.9%</w:t>
            </w:r>
          </w:p>
        </w:tc>
        <w:tc>
          <w:tcPr>
            <w:tcW w:w="1264" w:type="dxa"/>
          </w:tcPr>
          <w:p w:rsidR="002C385B" w:rsidRDefault="00506798" w:rsidP="00AA5E2F">
            <w:pPr>
              <w:jc w:val="center"/>
            </w:pPr>
            <w:r>
              <w:t>5.8%</w:t>
            </w:r>
          </w:p>
        </w:tc>
        <w:tc>
          <w:tcPr>
            <w:tcW w:w="1264" w:type="dxa"/>
          </w:tcPr>
          <w:p w:rsidR="002C385B" w:rsidRDefault="00506798" w:rsidP="00AA5E2F">
            <w:pPr>
              <w:jc w:val="center"/>
            </w:pPr>
            <w:r>
              <w:t>4.8%</w:t>
            </w:r>
          </w:p>
        </w:tc>
      </w:tr>
    </w:tbl>
    <w:p w:rsidR="00FD0FA5" w:rsidRDefault="00FD0FA5" w:rsidP="00FD0FA5">
      <w:pPr>
        <w:pStyle w:val="Heading3"/>
      </w:pPr>
    </w:p>
    <w:p w:rsidR="00C30BF6" w:rsidRDefault="00FD0FA5" w:rsidP="00FD0FA5">
      <w:pPr>
        <w:pStyle w:val="Heading3"/>
      </w:pPr>
      <w:r>
        <w:t xml:space="preserve">Reasons for leaving school </w:t>
      </w:r>
      <w:r w:rsidR="003C5A28">
        <w:t>before completing Year 12</w:t>
      </w:r>
    </w:p>
    <w:tbl>
      <w:tblPr>
        <w:tblStyle w:val="TableGrid"/>
        <w:tblW w:w="0" w:type="auto"/>
        <w:tblLook w:val="04A0" w:firstRow="1" w:lastRow="0" w:firstColumn="1" w:lastColumn="0" w:noHBand="0" w:noVBand="1"/>
      </w:tblPr>
      <w:tblGrid>
        <w:gridCol w:w="1555"/>
        <w:gridCol w:w="7461"/>
      </w:tblGrid>
      <w:tr w:rsidR="003C5A28" w:rsidTr="006B2886">
        <w:tc>
          <w:tcPr>
            <w:tcW w:w="9016" w:type="dxa"/>
            <w:gridSpan w:val="2"/>
          </w:tcPr>
          <w:p w:rsidR="003C5A28" w:rsidRDefault="003C5A28" w:rsidP="003C5A28">
            <w:pPr>
              <w:jc w:val="center"/>
            </w:pPr>
            <w:r w:rsidRPr="00406EE2">
              <w:rPr>
                <w:b/>
              </w:rPr>
              <w:t xml:space="preserve">REASONS FOR LEAVING SCHOOL </w:t>
            </w:r>
            <w:r>
              <w:rPr>
                <w:b/>
              </w:rPr>
              <w:t>BEFORE COMPLETING YEAR 12</w:t>
            </w:r>
            <w:r w:rsidRPr="00406EE2">
              <w:rPr>
                <w:b/>
              </w:rPr>
              <w:t>, ON TRACK 2018</w:t>
            </w:r>
          </w:p>
        </w:tc>
      </w:tr>
      <w:tr w:rsidR="00FD0FA5" w:rsidTr="005F558D">
        <w:tc>
          <w:tcPr>
            <w:tcW w:w="1555" w:type="dxa"/>
          </w:tcPr>
          <w:p w:rsidR="00FD0FA5" w:rsidRPr="00406EE2" w:rsidRDefault="00FD0FA5" w:rsidP="00406EE2">
            <w:pPr>
              <w:rPr>
                <w:b/>
              </w:rPr>
            </w:pPr>
            <w:r w:rsidRPr="00406EE2">
              <w:rPr>
                <w:b/>
              </w:rPr>
              <w:t>Push Factors</w:t>
            </w:r>
          </w:p>
        </w:tc>
        <w:tc>
          <w:tcPr>
            <w:tcW w:w="7461" w:type="dxa"/>
          </w:tcPr>
          <w:p w:rsidR="00FD0FA5" w:rsidRDefault="00FD0FA5" w:rsidP="00406EE2">
            <w:r>
              <w:t>S</w:t>
            </w:r>
            <w:r w:rsidRPr="00A67FFA">
              <w:t>chool was not for me/</w:t>
            </w:r>
            <w:r>
              <w:t xml:space="preserve">not a good environment; </w:t>
            </w:r>
            <w:r w:rsidRPr="00A67FFA">
              <w:t>I was not learning</w:t>
            </w:r>
            <w:r>
              <w:t xml:space="preserve">  </w:t>
            </w:r>
            <w:r w:rsidRPr="00A67FFA">
              <w:t>11.0%</w:t>
            </w:r>
            <w:r>
              <w:t xml:space="preserve">  </w:t>
            </w:r>
          </w:p>
          <w:p w:rsidR="00FD0FA5" w:rsidRDefault="00FD0FA5" w:rsidP="00406EE2">
            <w:r>
              <w:t>Did not like school/teachers; not interested in going  10.4%</w:t>
            </w:r>
          </w:p>
          <w:p w:rsidR="00FD0FA5" w:rsidRPr="00A67FFA" w:rsidRDefault="00FD0FA5" w:rsidP="00406EE2">
            <w:r>
              <w:t xml:space="preserve">Not coping well at school; failed/failing subjects; found school too hard </w:t>
            </w:r>
            <w:r w:rsidRPr="00A67FFA">
              <w:t>6.1%</w:t>
            </w:r>
          </w:p>
          <w:p w:rsidR="00FD0FA5" w:rsidRDefault="00FD0FA5" w:rsidP="00406EE2"/>
        </w:tc>
      </w:tr>
      <w:tr w:rsidR="00FD0FA5" w:rsidTr="005F558D">
        <w:tc>
          <w:tcPr>
            <w:tcW w:w="1555" w:type="dxa"/>
          </w:tcPr>
          <w:p w:rsidR="00FD0FA5" w:rsidRPr="00406EE2" w:rsidRDefault="00FD0FA5" w:rsidP="00406EE2">
            <w:pPr>
              <w:rPr>
                <w:b/>
              </w:rPr>
            </w:pPr>
            <w:r w:rsidRPr="00406EE2">
              <w:rPr>
                <w:b/>
              </w:rPr>
              <w:t>Pull Factors</w:t>
            </w:r>
          </w:p>
        </w:tc>
        <w:tc>
          <w:tcPr>
            <w:tcW w:w="7461" w:type="dxa"/>
          </w:tcPr>
          <w:p w:rsidR="00FD0FA5" w:rsidRDefault="00FD0FA5" w:rsidP="00406EE2">
            <w:r>
              <w:t xml:space="preserve">Work or career reasons </w:t>
            </w:r>
            <w:r w:rsidRPr="00A67FFA">
              <w:t>21.5%</w:t>
            </w:r>
          </w:p>
          <w:p w:rsidR="00FD0FA5" w:rsidRDefault="00FD0FA5" w:rsidP="00406EE2">
            <w:r>
              <w:t>Study elsewhere/TAFE/different course 3.8%</w:t>
            </w:r>
          </w:p>
          <w:p w:rsidR="00FD0FA5" w:rsidRPr="00A67FFA" w:rsidRDefault="00FD0FA5" w:rsidP="00406EE2">
            <w:r>
              <w:t xml:space="preserve">Finished/finished VCAL </w:t>
            </w:r>
            <w:r w:rsidRPr="00A67FFA">
              <w:t>3.0%</w:t>
            </w:r>
          </w:p>
          <w:p w:rsidR="00FD0FA5" w:rsidRDefault="00FD0FA5" w:rsidP="00406EE2"/>
        </w:tc>
      </w:tr>
    </w:tbl>
    <w:p w:rsidR="00FD0FA5" w:rsidRDefault="00FD0FA5" w:rsidP="002401A2"/>
    <w:p w:rsidR="002401A2" w:rsidRDefault="002401A2" w:rsidP="002401A2">
      <w:pPr>
        <w:pStyle w:val="Heading2"/>
      </w:pPr>
      <w:r>
        <w:t>Employment and study preferences have remained relatively consistent since 2014</w:t>
      </w:r>
    </w:p>
    <w:p w:rsidR="002401A2" w:rsidRDefault="002401A2" w:rsidP="002401A2">
      <w:pPr>
        <w:pStyle w:val="Heading3"/>
      </w:pPr>
      <w:r>
        <w:t>Fields of study</w:t>
      </w:r>
    </w:p>
    <w:p w:rsidR="002401A2" w:rsidRPr="00B91952" w:rsidRDefault="002401A2" w:rsidP="002401A2">
      <w:r w:rsidRPr="00B91952">
        <w:t xml:space="preserve">For both Year 12 completers and </w:t>
      </w:r>
      <w:r w:rsidR="00757A52">
        <w:t>Year 12 non-completers</w:t>
      </w:r>
      <w:r w:rsidRPr="00B91952">
        <w:t xml:space="preserve">, the five most popular fields of study have remained stable since 2014, although the ranking of each field has changed. In 2017 and 2018, health was the top enrolment choice for students who completed Year 12, compared to management and commerce in 2015 and 2016 and creative arts in 2014. In 2018, society and culture was the most popular field of study for </w:t>
      </w:r>
      <w:r w:rsidR="00757A52">
        <w:t>Year 12 non-completers</w:t>
      </w:r>
      <w:r w:rsidRPr="00B91952">
        <w:t xml:space="preserve">, compared to food, hospitality and personal services in 2014, 2016, and 2017, and management and commerce in 2015. </w:t>
      </w:r>
    </w:p>
    <w:p w:rsidR="002401A2" w:rsidRDefault="002401A2" w:rsidP="002401A2">
      <w:r w:rsidRPr="00B91952">
        <w:t xml:space="preserve">There are a number of fields of study that are popular among both </w:t>
      </w:r>
      <w:r w:rsidR="00757A52">
        <w:t>Year 12 non-completers</w:t>
      </w:r>
      <w:r w:rsidRPr="00B91952">
        <w:t xml:space="preserve"> and Year 12 completers. However, </w:t>
      </w:r>
      <w:r w:rsidR="00FD0FA5">
        <w:t>Year 12 non-completers</w:t>
      </w:r>
      <w:r w:rsidRPr="00B91952">
        <w:t xml:space="preserve"> are more likely to pursue study in food, hospitality, personal services and mixed field programs, while Year 12 completers are more lik</w:t>
      </w:r>
      <w:r w:rsidR="00500415">
        <w:t>ely to study health and science</w:t>
      </w:r>
      <w:r w:rsidRPr="00B91952">
        <w:t xml:space="preserve"> courses.</w:t>
      </w:r>
    </w:p>
    <w:p w:rsidR="00FD0FA5" w:rsidRPr="007B53DA" w:rsidRDefault="00FD0FA5" w:rsidP="001D6D95">
      <w:pPr>
        <w:rPr>
          <w:shd w:val="clear" w:color="auto" w:fill="FFFFFF"/>
        </w:rPr>
      </w:pPr>
      <w:r w:rsidRPr="007B53DA">
        <w:rPr>
          <w:shd w:val="clear" w:color="auto" w:fill="FFFFFF"/>
        </w:rPr>
        <w:t xml:space="preserve">The increasing trend for Year 12 completers to study health may reflect </w:t>
      </w:r>
      <w:r>
        <w:rPr>
          <w:shd w:val="clear" w:color="auto" w:fill="FFFFFF"/>
        </w:rPr>
        <w:t>that t</w:t>
      </w:r>
      <w:r w:rsidRPr="007B53DA">
        <w:rPr>
          <w:shd w:val="clear" w:color="auto" w:fill="FFFFFF"/>
        </w:rPr>
        <w:t>he healthcare and social assistance sector is Victoria’s largest and fastest growing source of employment</w:t>
      </w:r>
      <w:r w:rsidR="001D6D95">
        <w:rPr>
          <w:shd w:val="clear" w:color="auto" w:fill="FFFFFF"/>
        </w:rPr>
        <w:t>.</w:t>
      </w:r>
      <w:r w:rsidR="001D6D95">
        <w:rPr>
          <w:rStyle w:val="FootnoteReference"/>
          <w:shd w:val="clear" w:color="auto" w:fill="FFFFFF"/>
        </w:rPr>
        <w:footnoteReference w:id="2"/>
      </w:r>
      <w:r w:rsidRPr="007B53DA">
        <w:rPr>
          <w:shd w:val="clear" w:color="auto" w:fill="FFFFFF"/>
        </w:rPr>
        <w:t xml:space="preserve"> However, this trend is not reflected among </w:t>
      </w:r>
      <w:r>
        <w:rPr>
          <w:shd w:val="clear" w:color="auto" w:fill="FFFFFF"/>
        </w:rPr>
        <w:t>Year 12 non-completers</w:t>
      </w:r>
      <w:r w:rsidRPr="007B53DA">
        <w:rPr>
          <w:shd w:val="clear" w:color="auto" w:fill="FFFFFF"/>
        </w:rPr>
        <w:t xml:space="preserve">, </w:t>
      </w:r>
      <w:r>
        <w:rPr>
          <w:shd w:val="clear" w:color="auto" w:fill="FFFFFF"/>
        </w:rPr>
        <w:t>with</w:t>
      </w:r>
      <w:r w:rsidRPr="007B53DA">
        <w:rPr>
          <w:shd w:val="clear" w:color="auto" w:fill="FFFFFF"/>
        </w:rPr>
        <w:t xml:space="preserve"> the proportion of this cohort pursuing further education and training in the health sector declining. </w:t>
      </w:r>
    </w:p>
    <w:p w:rsidR="00D334AF" w:rsidRPr="00D334AF" w:rsidRDefault="00C30BF6" w:rsidP="00D334AF">
      <w:r>
        <w:rPr>
          <w:b/>
        </w:rPr>
        <w:t>TOP 5 PREFERRED AREAS OF FURTHER EDUCATION AND TRAINING, ON TRACK 2014 AND 2018</w:t>
      </w:r>
    </w:p>
    <w:tbl>
      <w:tblPr>
        <w:tblStyle w:val="TableGrid"/>
        <w:tblW w:w="0" w:type="auto"/>
        <w:tblLook w:val="04A0" w:firstRow="1" w:lastRow="0" w:firstColumn="1" w:lastColumn="0" w:noHBand="0" w:noVBand="1"/>
      </w:tblPr>
      <w:tblGrid>
        <w:gridCol w:w="1413"/>
        <w:gridCol w:w="3827"/>
        <w:gridCol w:w="3776"/>
      </w:tblGrid>
      <w:tr w:rsidR="00C3782E" w:rsidTr="00C3782E">
        <w:tc>
          <w:tcPr>
            <w:tcW w:w="1413" w:type="dxa"/>
          </w:tcPr>
          <w:p w:rsidR="00C3782E" w:rsidRDefault="00C3782E" w:rsidP="00AA5E2F">
            <w:pPr>
              <w:pStyle w:val="NoSpacing"/>
            </w:pPr>
          </w:p>
        </w:tc>
        <w:tc>
          <w:tcPr>
            <w:tcW w:w="3827" w:type="dxa"/>
          </w:tcPr>
          <w:p w:rsidR="00C3782E" w:rsidRPr="00E266FF" w:rsidRDefault="00C3782E" w:rsidP="00AA5E2F">
            <w:pPr>
              <w:pStyle w:val="NoSpacing"/>
              <w:rPr>
                <w:b/>
              </w:rPr>
            </w:pPr>
            <w:r>
              <w:rPr>
                <w:b/>
              </w:rPr>
              <w:t>2014</w:t>
            </w:r>
          </w:p>
        </w:tc>
        <w:tc>
          <w:tcPr>
            <w:tcW w:w="3776" w:type="dxa"/>
          </w:tcPr>
          <w:p w:rsidR="00C3782E" w:rsidRPr="00E266FF" w:rsidRDefault="00C3782E" w:rsidP="00AA5E2F">
            <w:pPr>
              <w:pStyle w:val="NoSpacing"/>
              <w:rPr>
                <w:b/>
              </w:rPr>
            </w:pPr>
            <w:r>
              <w:rPr>
                <w:b/>
              </w:rPr>
              <w:t>2018</w:t>
            </w:r>
          </w:p>
        </w:tc>
      </w:tr>
      <w:tr w:rsidR="00C3782E" w:rsidTr="00C3782E">
        <w:tc>
          <w:tcPr>
            <w:tcW w:w="1413" w:type="dxa"/>
          </w:tcPr>
          <w:p w:rsidR="00C3782E" w:rsidRPr="00E266FF" w:rsidRDefault="00C3782E" w:rsidP="00AA5E2F">
            <w:pPr>
              <w:pStyle w:val="NoSpacing"/>
              <w:rPr>
                <w:b/>
              </w:rPr>
            </w:pPr>
            <w:r>
              <w:rPr>
                <w:b/>
              </w:rPr>
              <w:t>Year 12 completers</w:t>
            </w:r>
          </w:p>
        </w:tc>
        <w:tc>
          <w:tcPr>
            <w:tcW w:w="3827" w:type="dxa"/>
          </w:tcPr>
          <w:p w:rsidR="00C3782E" w:rsidRDefault="00C3782E" w:rsidP="00C30BF6">
            <w:pPr>
              <w:pStyle w:val="NoSpacing"/>
            </w:pPr>
            <w:r>
              <w:t>Creative arts (16.8%)</w:t>
            </w:r>
          </w:p>
          <w:p w:rsidR="00C3782E" w:rsidRDefault="00C3782E" w:rsidP="00C30BF6">
            <w:pPr>
              <w:pStyle w:val="NoSpacing"/>
            </w:pPr>
            <w:r>
              <w:t>Health (16.7%)</w:t>
            </w:r>
          </w:p>
          <w:p w:rsidR="00C3782E" w:rsidRDefault="00C3782E" w:rsidP="00C30BF6">
            <w:pPr>
              <w:pStyle w:val="NoSpacing"/>
            </w:pPr>
            <w:r>
              <w:t>Management and commerce (16.7%)</w:t>
            </w:r>
          </w:p>
          <w:p w:rsidR="00C3782E" w:rsidRDefault="00C3782E" w:rsidP="00C30BF6">
            <w:pPr>
              <w:pStyle w:val="NoSpacing"/>
            </w:pPr>
            <w:r>
              <w:t>Natural and physical sciences (12.6%)</w:t>
            </w:r>
          </w:p>
          <w:p w:rsidR="00C3782E" w:rsidRDefault="00C3782E" w:rsidP="00C30BF6">
            <w:pPr>
              <w:pStyle w:val="NoSpacing"/>
            </w:pPr>
            <w:r>
              <w:t>Society and culture (12.4%)</w:t>
            </w:r>
          </w:p>
          <w:p w:rsidR="00C3782E" w:rsidRDefault="00C3782E" w:rsidP="00AA5E2F">
            <w:pPr>
              <w:pStyle w:val="NoSpacing"/>
            </w:pPr>
          </w:p>
        </w:tc>
        <w:tc>
          <w:tcPr>
            <w:tcW w:w="3776" w:type="dxa"/>
          </w:tcPr>
          <w:p w:rsidR="00C3782E" w:rsidRDefault="00C3782E" w:rsidP="00C30BF6">
            <w:pPr>
              <w:pStyle w:val="NoSpacing"/>
            </w:pPr>
            <w:r>
              <w:t>Health (19.4%)</w:t>
            </w:r>
          </w:p>
          <w:p w:rsidR="00C3782E" w:rsidRDefault="00C3782E" w:rsidP="00C30BF6">
            <w:pPr>
              <w:pStyle w:val="NoSpacing"/>
            </w:pPr>
            <w:r>
              <w:t>Management and commerce (16.4%)</w:t>
            </w:r>
          </w:p>
          <w:p w:rsidR="00C3782E" w:rsidRDefault="00C3782E" w:rsidP="00C30BF6">
            <w:pPr>
              <w:pStyle w:val="NoSpacing"/>
            </w:pPr>
            <w:r>
              <w:t>Society and culture (14.8%)</w:t>
            </w:r>
          </w:p>
          <w:p w:rsidR="00C3782E" w:rsidRDefault="00C3782E" w:rsidP="00C30BF6">
            <w:pPr>
              <w:pStyle w:val="NoSpacing"/>
            </w:pPr>
            <w:r>
              <w:t>Natural and physical sciences (13.3%)</w:t>
            </w:r>
          </w:p>
          <w:p w:rsidR="00C3782E" w:rsidRDefault="00C3782E" w:rsidP="00C30BF6">
            <w:pPr>
              <w:pStyle w:val="NoSpacing"/>
            </w:pPr>
            <w:r>
              <w:t>Creative arts (12.3%)</w:t>
            </w:r>
          </w:p>
          <w:p w:rsidR="00C3782E" w:rsidRDefault="00C3782E" w:rsidP="00AA5E2F">
            <w:pPr>
              <w:pStyle w:val="NoSpacing"/>
            </w:pPr>
          </w:p>
        </w:tc>
      </w:tr>
      <w:tr w:rsidR="00C3782E" w:rsidTr="00C3782E">
        <w:tc>
          <w:tcPr>
            <w:tcW w:w="1413" w:type="dxa"/>
          </w:tcPr>
          <w:p w:rsidR="00C3782E" w:rsidRPr="00E266FF" w:rsidRDefault="00C148F8" w:rsidP="00C148F8">
            <w:pPr>
              <w:pStyle w:val="NoSpacing"/>
              <w:rPr>
                <w:b/>
              </w:rPr>
            </w:pPr>
            <w:r>
              <w:rPr>
                <w:b/>
              </w:rPr>
              <w:t>Year 12 non-completers</w:t>
            </w:r>
          </w:p>
        </w:tc>
        <w:tc>
          <w:tcPr>
            <w:tcW w:w="3827" w:type="dxa"/>
          </w:tcPr>
          <w:p w:rsidR="00C3782E" w:rsidRDefault="004119A0" w:rsidP="00C30BF6">
            <w:pPr>
              <w:pStyle w:val="NoSpacing"/>
            </w:pPr>
            <w:r>
              <w:t>Food, hospitality, personal services (17.6%)</w:t>
            </w:r>
          </w:p>
          <w:p w:rsidR="004119A0" w:rsidRDefault="004119A0" w:rsidP="00C30BF6">
            <w:pPr>
              <w:pStyle w:val="NoSpacing"/>
            </w:pPr>
            <w:r>
              <w:t>Society and culture (15.3%)</w:t>
            </w:r>
          </w:p>
          <w:p w:rsidR="004119A0" w:rsidRDefault="004119A0" w:rsidP="00C30BF6">
            <w:pPr>
              <w:pStyle w:val="NoSpacing"/>
            </w:pPr>
            <w:r>
              <w:t>Mixed field programs (10.8%)</w:t>
            </w:r>
          </w:p>
          <w:p w:rsidR="004119A0" w:rsidRDefault="004119A0" w:rsidP="00C30BF6">
            <w:pPr>
              <w:pStyle w:val="NoSpacing"/>
            </w:pPr>
            <w:r>
              <w:t>Management and commerce (10.1%)</w:t>
            </w:r>
          </w:p>
          <w:p w:rsidR="004119A0" w:rsidRDefault="004119A0" w:rsidP="00C30BF6">
            <w:pPr>
              <w:pStyle w:val="NoSpacing"/>
            </w:pPr>
            <w:r>
              <w:t>Creative arts (9.3%)</w:t>
            </w:r>
          </w:p>
          <w:p w:rsidR="00C3782E" w:rsidRDefault="00C3782E" w:rsidP="00AA5E2F">
            <w:pPr>
              <w:pStyle w:val="NoSpacing"/>
            </w:pPr>
          </w:p>
        </w:tc>
        <w:tc>
          <w:tcPr>
            <w:tcW w:w="3776" w:type="dxa"/>
          </w:tcPr>
          <w:p w:rsidR="00C3782E" w:rsidRDefault="00C3782E" w:rsidP="00C30BF6">
            <w:pPr>
              <w:pStyle w:val="NoSpacing"/>
            </w:pPr>
            <w:r>
              <w:t>S</w:t>
            </w:r>
            <w:r w:rsidR="004119A0">
              <w:t>ociety and culture (16%)</w:t>
            </w:r>
          </w:p>
          <w:p w:rsidR="004119A0" w:rsidRDefault="004119A0" w:rsidP="00C30BF6">
            <w:pPr>
              <w:pStyle w:val="NoSpacing"/>
            </w:pPr>
            <w:r>
              <w:t>Food, hospitality, personal services (14.4%)</w:t>
            </w:r>
          </w:p>
          <w:p w:rsidR="004119A0" w:rsidRDefault="004119A0" w:rsidP="00C30BF6">
            <w:pPr>
              <w:pStyle w:val="NoSpacing"/>
            </w:pPr>
            <w:r>
              <w:t>Management and commerce (9.7%)</w:t>
            </w:r>
          </w:p>
          <w:p w:rsidR="004119A0" w:rsidRDefault="004119A0" w:rsidP="00C30BF6">
            <w:pPr>
              <w:pStyle w:val="NoSpacing"/>
            </w:pPr>
            <w:r>
              <w:t>Creative arts (9.5%)</w:t>
            </w:r>
          </w:p>
          <w:p w:rsidR="004119A0" w:rsidRDefault="004119A0" w:rsidP="00C30BF6">
            <w:pPr>
              <w:pStyle w:val="NoSpacing"/>
            </w:pPr>
            <w:r>
              <w:t>Mixed field programs (9.3%)</w:t>
            </w:r>
          </w:p>
          <w:p w:rsidR="00C3782E" w:rsidRDefault="00C3782E" w:rsidP="00AA5E2F">
            <w:pPr>
              <w:pStyle w:val="NoSpacing"/>
            </w:pPr>
          </w:p>
        </w:tc>
      </w:tr>
    </w:tbl>
    <w:p w:rsidR="00E266FF" w:rsidRDefault="00E266FF" w:rsidP="002401A2">
      <w:pPr>
        <w:pStyle w:val="NoSpacing"/>
      </w:pPr>
    </w:p>
    <w:p w:rsidR="00FC246D" w:rsidRDefault="00FC246D" w:rsidP="002401A2">
      <w:pPr>
        <w:pStyle w:val="NoSpacing"/>
      </w:pPr>
    </w:p>
    <w:p w:rsidR="00FC246D" w:rsidRDefault="00FC246D" w:rsidP="00FC246D">
      <w:pPr>
        <w:pStyle w:val="Heading3"/>
      </w:pPr>
      <w:r>
        <w:t>Employment destinations</w:t>
      </w:r>
    </w:p>
    <w:p w:rsidR="00FD0FA5" w:rsidRPr="00CE623A" w:rsidRDefault="00FC246D" w:rsidP="00FD0FA5">
      <w:pPr>
        <w:autoSpaceDE w:val="0"/>
        <w:autoSpaceDN w:val="0"/>
        <w:adjustRightInd w:val="0"/>
        <w:spacing w:after="0" w:line="240" w:lineRule="auto"/>
        <w:rPr>
          <w:rFonts w:ascii="VIC-Medium" w:hAnsi="VIC-Medium" w:cs="VIC-Medium"/>
          <w:color w:val="FF0000"/>
          <w:sz w:val="24"/>
          <w:szCs w:val="20"/>
        </w:rPr>
      </w:pPr>
      <w:r w:rsidRPr="00B91952">
        <w:t xml:space="preserve">The three most popular employment destinations were the same for both Year 12 completers and </w:t>
      </w:r>
      <w:r w:rsidR="00C148F8">
        <w:t>Year 12 non-completers</w:t>
      </w:r>
      <w:r w:rsidRPr="00B91952">
        <w:t xml:space="preserve"> not continuing in education or training. Preferred employment destinations have remained largely the same since 2014. Young people not continuing in education or training are likely to enter employment in retail, food, hospitality, tourism or as labourers regardless of whether they completed Year 12 or left school </w:t>
      </w:r>
      <w:r w:rsidR="003C5A28">
        <w:t>before completing Year 12</w:t>
      </w:r>
      <w:r w:rsidRPr="00B91952">
        <w:t xml:space="preserve">. </w:t>
      </w:r>
      <w:r w:rsidR="00FD0FA5" w:rsidRPr="00406EE2">
        <w:t>Of those young people who were employed in 2018, a higher proportion of Year 12 non-completers were in full time employment (40.7%) compared to Year 12 completers (34.5%). Across both cohorts, it was more common for young people to be employed on a part time basis.</w:t>
      </w:r>
    </w:p>
    <w:p w:rsidR="00F41632" w:rsidRDefault="00FC246D" w:rsidP="00FC246D">
      <w:r w:rsidRPr="00B91952">
        <w:t xml:space="preserve"> </w:t>
      </w:r>
    </w:p>
    <w:p w:rsidR="00C30BF6" w:rsidRPr="00C30BF6" w:rsidRDefault="00C30BF6" w:rsidP="00FC246D">
      <w:pPr>
        <w:rPr>
          <w:b/>
        </w:rPr>
      </w:pPr>
      <w:r>
        <w:rPr>
          <w:b/>
        </w:rPr>
        <w:t>TOP 5 PREFERRED EMPLOYMENT DESTINATIONS, ON TRACK 2014 AND 2018</w:t>
      </w:r>
    </w:p>
    <w:tbl>
      <w:tblPr>
        <w:tblStyle w:val="TableGrid"/>
        <w:tblW w:w="0" w:type="auto"/>
        <w:tblLook w:val="04A0" w:firstRow="1" w:lastRow="0" w:firstColumn="1" w:lastColumn="0" w:noHBand="0" w:noVBand="1"/>
      </w:tblPr>
      <w:tblGrid>
        <w:gridCol w:w="1413"/>
        <w:gridCol w:w="3827"/>
        <w:gridCol w:w="3776"/>
      </w:tblGrid>
      <w:tr w:rsidR="00C3782E" w:rsidTr="00AA5E2F">
        <w:tc>
          <w:tcPr>
            <w:tcW w:w="1413" w:type="dxa"/>
          </w:tcPr>
          <w:p w:rsidR="00C3782E" w:rsidRDefault="00C3782E" w:rsidP="00AA5E2F">
            <w:pPr>
              <w:pStyle w:val="NoSpacing"/>
            </w:pPr>
          </w:p>
        </w:tc>
        <w:tc>
          <w:tcPr>
            <w:tcW w:w="3827" w:type="dxa"/>
          </w:tcPr>
          <w:p w:rsidR="00C3782E" w:rsidRPr="00E266FF" w:rsidRDefault="00C3782E" w:rsidP="00AA5E2F">
            <w:pPr>
              <w:pStyle w:val="NoSpacing"/>
              <w:rPr>
                <w:b/>
              </w:rPr>
            </w:pPr>
            <w:r>
              <w:rPr>
                <w:b/>
              </w:rPr>
              <w:t>2014</w:t>
            </w:r>
          </w:p>
        </w:tc>
        <w:tc>
          <w:tcPr>
            <w:tcW w:w="3776" w:type="dxa"/>
          </w:tcPr>
          <w:p w:rsidR="00C3782E" w:rsidRPr="00E266FF" w:rsidRDefault="00C3782E" w:rsidP="00AA5E2F">
            <w:pPr>
              <w:pStyle w:val="NoSpacing"/>
              <w:rPr>
                <w:b/>
              </w:rPr>
            </w:pPr>
            <w:r>
              <w:rPr>
                <w:b/>
              </w:rPr>
              <w:t>2018</w:t>
            </w:r>
          </w:p>
        </w:tc>
      </w:tr>
      <w:tr w:rsidR="00C3782E" w:rsidTr="00AA5E2F">
        <w:tc>
          <w:tcPr>
            <w:tcW w:w="1413" w:type="dxa"/>
          </w:tcPr>
          <w:p w:rsidR="00C3782E" w:rsidRPr="00E266FF" w:rsidRDefault="00C3782E" w:rsidP="00AA5E2F">
            <w:pPr>
              <w:pStyle w:val="NoSpacing"/>
              <w:rPr>
                <w:b/>
              </w:rPr>
            </w:pPr>
            <w:r>
              <w:rPr>
                <w:b/>
              </w:rPr>
              <w:t>Year 12 completers</w:t>
            </w:r>
          </w:p>
        </w:tc>
        <w:tc>
          <w:tcPr>
            <w:tcW w:w="3827" w:type="dxa"/>
          </w:tcPr>
          <w:p w:rsidR="00C3782E" w:rsidRDefault="00C3782E" w:rsidP="009F53C6">
            <w:pPr>
              <w:pStyle w:val="NoSpacing"/>
            </w:pPr>
            <w:r>
              <w:t xml:space="preserve">Sales assistants and </w:t>
            </w:r>
            <w:proofErr w:type="spellStart"/>
            <w:r>
              <w:t>storepersons</w:t>
            </w:r>
            <w:proofErr w:type="spellEnd"/>
            <w:r>
              <w:t xml:space="preserve"> (36.5%)</w:t>
            </w:r>
          </w:p>
          <w:p w:rsidR="00C3782E" w:rsidRDefault="00C3782E" w:rsidP="009F53C6">
            <w:pPr>
              <w:pStyle w:val="NoSpacing"/>
            </w:pPr>
            <w:r>
              <w:t>Food, hospitality and tourism (28.5%)</w:t>
            </w:r>
          </w:p>
          <w:p w:rsidR="00C3782E" w:rsidRDefault="00C3782E" w:rsidP="009F53C6">
            <w:pPr>
              <w:pStyle w:val="NoSpacing"/>
            </w:pPr>
            <w:r>
              <w:t>Labourers, factory and machine workers (6.5%)</w:t>
            </w:r>
          </w:p>
          <w:p w:rsidR="00C3782E" w:rsidRDefault="00C3782E" w:rsidP="009F53C6">
            <w:pPr>
              <w:pStyle w:val="NoSpacing"/>
            </w:pPr>
            <w:r>
              <w:t>Clerks, receptionists and secretaries (4.1%)</w:t>
            </w:r>
          </w:p>
          <w:p w:rsidR="00C3782E" w:rsidRDefault="00C3782E" w:rsidP="009F53C6">
            <w:pPr>
              <w:pStyle w:val="NoSpacing"/>
            </w:pPr>
            <w:r>
              <w:t>Health, fitness, hair and beauty (3.8%)</w:t>
            </w:r>
          </w:p>
          <w:p w:rsidR="004119A0" w:rsidRDefault="004119A0" w:rsidP="004119A0">
            <w:pPr>
              <w:pStyle w:val="NoSpacing"/>
              <w:ind w:left="318"/>
            </w:pPr>
          </w:p>
        </w:tc>
        <w:tc>
          <w:tcPr>
            <w:tcW w:w="3776" w:type="dxa"/>
          </w:tcPr>
          <w:p w:rsidR="00C3782E" w:rsidRDefault="00C3782E" w:rsidP="009F53C6">
            <w:pPr>
              <w:pStyle w:val="NoSpacing"/>
            </w:pPr>
            <w:r>
              <w:t xml:space="preserve">Sales assistants and </w:t>
            </w:r>
            <w:proofErr w:type="spellStart"/>
            <w:r>
              <w:t>storepersons</w:t>
            </w:r>
            <w:proofErr w:type="spellEnd"/>
            <w:r>
              <w:t xml:space="preserve"> (29.9%)</w:t>
            </w:r>
          </w:p>
          <w:p w:rsidR="00C3782E" w:rsidRDefault="00C3782E" w:rsidP="009F53C6">
            <w:pPr>
              <w:pStyle w:val="NoSpacing"/>
            </w:pPr>
            <w:r>
              <w:t>Food, hospitality and tourism (29.7%)</w:t>
            </w:r>
          </w:p>
          <w:p w:rsidR="00C3782E" w:rsidRDefault="00C3782E" w:rsidP="009F53C6">
            <w:pPr>
              <w:pStyle w:val="NoSpacing"/>
            </w:pPr>
            <w:r>
              <w:t>Labourers, factory and machine workers (8.7%)</w:t>
            </w:r>
          </w:p>
          <w:p w:rsidR="00C3782E" w:rsidRDefault="00C3782E" w:rsidP="009F53C6">
            <w:pPr>
              <w:pStyle w:val="NoSpacing"/>
            </w:pPr>
            <w:r>
              <w:t>Teaching, childcare and library (4.4%)</w:t>
            </w:r>
          </w:p>
          <w:p w:rsidR="00C3782E" w:rsidRDefault="00C3782E" w:rsidP="009F53C6">
            <w:pPr>
              <w:pStyle w:val="NoSpacing"/>
            </w:pPr>
            <w:r>
              <w:t>Clerks, receptionists and secretaries (4.3%)</w:t>
            </w:r>
          </w:p>
        </w:tc>
      </w:tr>
      <w:tr w:rsidR="00C3782E" w:rsidTr="00AA5E2F">
        <w:tc>
          <w:tcPr>
            <w:tcW w:w="1413" w:type="dxa"/>
          </w:tcPr>
          <w:p w:rsidR="00C3782E" w:rsidRPr="00E266FF" w:rsidRDefault="00FD0FA5" w:rsidP="00FD0FA5">
            <w:pPr>
              <w:pStyle w:val="NoSpacing"/>
              <w:rPr>
                <w:b/>
              </w:rPr>
            </w:pPr>
            <w:r>
              <w:rPr>
                <w:b/>
              </w:rPr>
              <w:t>Year 12 non-completers</w:t>
            </w:r>
          </w:p>
        </w:tc>
        <w:tc>
          <w:tcPr>
            <w:tcW w:w="3827" w:type="dxa"/>
          </w:tcPr>
          <w:p w:rsidR="00C3782E" w:rsidRDefault="00C3782E" w:rsidP="009F53C6">
            <w:pPr>
              <w:pStyle w:val="NoSpacing"/>
            </w:pPr>
            <w:r>
              <w:t>Food, hospitality and tourism (30.3%)</w:t>
            </w:r>
          </w:p>
          <w:p w:rsidR="00C3782E" w:rsidRDefault="00C3782E" w:rsidP="009F53C6">
            <w:pPr>
              <w:pStyle w:val="NoSpacing"/>
            </w:pPr>
            <w:r>
              <w:t xml:space="preserve">Sales assistants and </w:t>
            </w:r>
            <w:proofErr w:type="spellStart"/>
            <w:r>
              <w:t>storepersons</w:t>
            </w:r>
            <w:proofErr w:type="spellEnd"/>
            <w:r>
              <w:t xml:space="preserve"> (20.2%)</w:t>
            </w:r>
          </w:p>
          <w:p w:rsidR="00C3782E" w:rsidRDefault="00C3782E" w:rsidP="009F53C6">
            <w:pPr>
              <w:pStyle w:val="NoSpacing"/>
            </w:pPr>
            <w:r>
              <w:t>Labourers, factory and machine workers (12.3%)</w:t>
            </w:r>
          </w:p>
          <w:p w:rsidR="00C3782E" w:rsidRDefault="00C3782E" w:rsidP="009F53C6">
            <w:pPr>
              <w:pStyle w:val="NoSpacing"/>
            </w:pPr>
            <w:r>
              <w:t>Other (7.2%)</w:t>
            </w:r>
          </w:p>
          <w:p w:rsidR="00C3782E" w:rsidRDefault="00C3782E" w:rsidP="009F53C6">
            <w:pPr>
              <w:pStyle w:val="NoSpacing"/>
            </w:pPr>
            <w:r>
              <w:t>Building and construction (6.6%)</w:t>
            </w:r>
          </w:p>
        </w:tc>
        <w:tc>
          <w:tcPr>
            <w:tcW w:w="3776" w:type="dxa"/>
          </w:tcPr>
          <w:p w:rsidR="00C3782E" w:rsidRDefault="00C3782E" w:rsidP="009F53C6">
            <w:pPr>
              <w:pStyle w:val="NoSpacing"/>
            </w:pPr>
            <w:r>
              <w:t>Food, hospitality and tourism (28.7%)</w:t>
            </w:r>
          </w:p>
          <w:p w:rsidR="00C3782E" w:rsidRDefault="00C3782E" w:rsidP="009F53C6">
            <w:pPr>
              <w:pStyle w:val="NoSpacing"/>
            </w:pPr>
            <w:r>
              <w:t xml:space="preserve">Sales assistants and </w:t>
            </w:r>
            <w:proofErr w:type="spellStart"/>
            <w:r>
              <w:t>storepersons</w:t>
            </w:r>
            <w:proofErr w:type="spellEnd"/>
            <w:r>
              <w:t xml:space="preserve"> (21.6%)</w:t>
            </w:r>
          </w:p>
          <w:p w:rsidR="009F53C6" w:rsidRDefault="00C3782E" w:rsidP="009F53C6">
            <w:pPr>
              <w:pStyle w:val="NoSpacing"/>
            </w:pPr>
            <w:r>
              <w:t>Labourers, fact</w:t>
            </w:r>
            <w:r w:rsidR="009F53C6">
              <w:t>ory and machine workers (14.4%)</w:t>
            </w:r>
          </w:p>
          <w:p w:rsidR="00C3782E" w:rsidRDefault="00C3782E" w:rsidP="009F53C6">
            <w:pPr>
              <w:pStyle w:val="NoSpacing"/>
            </w:pPr>
            <w:r>
              <w:t>Building and construction (8.9%)</w:t>
            </w:r>
          </w:p>
          <w:p w:rsidR="00C3782E" w:rsidRDefault="00C3782E" w:rsidP="009F53C6">
            <w:pPr>
              <w:pStyle w:val="NoSpacing"/>
            </w:pPr>
            <w:r>
              <w:t>Gardening, farming and fishing (6.1%)</w:t>
            </w:r>
          </w:p>
          <w:p w:rsidR="004119A0" w:rsidRDefault="004119A0" w:rsidP="004119A0">
            <w:pPr>
              <w:pStyle w:val="NoSpacing"/>
              <w:ind w:left="316"/>
            </w:pPr>
          </w:p>
        </w:tc>
      </w:tr>
    </w:tbl>
    <w:p w:rsidR="00C30BF6" w:rsidRDefault="00C30BF6" w:rsidP="00FC246D"/>
    <w:p w:rsidR="00FC246D" w:rsidRDefault="00FC246D" w:rsidP="00FC246D">
      <w:pPr>
        <w:pStyle w:val="Heading2"/>
      </w:pPr>
      <w:r>
        <w:t>Post school destinations differ between genders</w:t>
      </w:r>
      <w:r w:rsidR="00F75705">
        <w:rPr>
          <w:rStyle w:val="FootnoteReference"/>
        </w:rPr>
        <w:footnoteReference w:id="3"/>
      </w:r>
    </w:p>
    <w:p w:rsidR="00FC246D" w:rsidRPr="00B91952" w:rsidRDefault="00FC246D" w:rsidP="00FC246D">
      <w:r w:rsidRPr="00B91952">
        <w:t xml:space="preserve">Across both cohorts, males remain more likely to commence an apprenticeship or traineeship, while females are more likely to pursue further education.  </w:t>
      </w:r>
    </w:p>
    <w:p w:rsidR="00FC246D" w:rsidRDefault="00FC246D" w:rsidP="00FC246D">
      <w:r w:rsidRPr="00B91952">
        <w:t xml:space="preserve">While females are more likely to enrol in a bachelor degree than males regardless of whether they completed school, enrolment trends differ between cohorts. The proportion of female Year 12 completers enrolled in bachelor degrees has increased since 2014; for female </w:t>
      </w:r>
      <w:r w:rsidR="00C148F8">
        <w:t>non-completers</w:t>
      </w:r>
      <w:r w:rsidRPr="00B91952">
        <w:t>, the proportion of those enrolled in a bachelor degree, certificate or diploma increased in 2018, reversing a downward trend since 2014</w:t>
      </w:r>
      <w:r>
        <w:t>.</w:t>
      </w:r>
    </w:p>
    <w:p w:rsidR="00FC246D" w:rsidRDefault="00FC246D" w:rsidP="00FC246D"/>
    <w:p w:rsidR="00FC246D" w:rsidRDefault="00FC246D" w:rsidP="00FC246D">
      <w:pPr>
        <w:pStyle w:val="Heading2"/>
      </w:pPr>
      <w:r>
        <w:t>Survey results and trends are mixed for participation rates and perceptions of careers education</w:t>
      </w:r>
    </w:p>
    <w:p w:rsidR="00FC246D" w:rsidRPr="00B91952" w:rsidRDefault="00FC246D" w:rsidP="00FC246D">
      <w:r w:rsidRPr="00B91952">
        <w:t xml:space="preserve">While the proportion of young people from both cohorts with positive perceptions of careers education is increasing overall, this trend is largely being driven by an increase in the proportion of young people reporting that they found career advice ‘somewhat useful’. In contrast, the proportion of Year 12 completers who found career advice ‘very useful’ continues to decline (from 32.4 per cent in 2014 to 27.8 per cent in 2018). Although perceptions of career advice as ‘very useful’ have increased among </w:t>
      </w:r>
      <w:r w:rsidR="00757A52">
        <w:t>Year 12 non-completers</w:t>
      </w:r>
      <w:r w:rsidRPr="00B91952">
        <w:t xml:space="preserve"> (from 17.1 per cent in 2014 to 18.6 per cent in 2018), this proportion has declined since 2015.</w:t>
      </w:r>
    </w:p>
    <w:p w:rsidR="006F4D3A" w:rsidRDefault="006F4D3A" w:rsidP="006F4D3A">
      <w:r>
        <w:t xml:space="preserve">On Track 2018 data shows that students’ participation in career education activities is mixed. The proportion of Year 12 completers who attended a talk from a career advisor improved slightly between 2017 (57.8 per cent) and 2018 (61.4 per cent). There was also an increase in the proportion of Year 12 completers who agreed that activities at their school helped them to identify careers that match their interests and abilities between 2017 (69.2 per cent) and 2018 (76.8 per cent). There was a small decrease in the proportion of respondents who had attended a TAFE taster program or information session organised through the school (from 21.2 per cent in 2017 to 18.9 per cent in 2018). </w:t>
      </w:r>
    </w:p>
    <w:p w:rsidR="00FC246D" w:rsidRDefault="006F4D3A" w:rsidP="006F4D3A">
      <w:r>
        <w:t>Participation trends for Year 12 non-completers were predominantly stable or positive. Similarly to the Year 12 completer cohort there was an increase in the proportion of respondents who agreed that activities at their school helped them to identify careers that match their interests and abilities between 2017 (53.5 per cent) and 2018 (59.5 per cent). There was also a small increase in the proportion of Year 12 non-completers who had a one-on-one talk with their school’s career advisor (from 67.7 per cent in 2017 to 69.4 per cent in 2018).</w:t>
      </w:r>
    </w:p>
    <w:p w:rsidR="00BF1CCB" w:rsidRDefault="00BF1CCB" w:rsidP="006F4D3A"/>
    <w:p w:rsidR="00FC246D" w:rsidRDefault="00FC246D" w:rsidP="00FC246D">
      <w:pPr>
        <w:pStyle w:val="Heading2"/>
      </w:pPr>
      <w:r>
        <w:t>Destination patterns continue to differ across school sectors</w:t>
      </w:r>
    </w:p>
    <w:p w:rsidR="00FC246D" w:rsidRPr="00B91952" w:rsidRDefault="00FC246D" w:rsidP="00FC246D">
      <w:r w:rsidRPr="00B91952">
        <w:t xml:space="preserve">Students who completed Year 12 in non-government schools were more likely to pursue a bachelor degree than government school students. Students from government schools were more likely to have commenced employment, a certificate or diploma course or an apprenticeship or traineeship. </w:t>
      </w:r>
    </w:p>
    <w:p w:rsidR="00FC246D" w:rsidRDefault="00FC246D" w:rsidP="00FC246D">
      <w:r w:rsidRPr="00B91952">
        <w:t xml:space="preserve">Since 2014, enrolment trends have been largely the same across government and non-government schools. The proportion of Year 12 completers from both sectors undertaking an apprenticeship or traineeship has increased, along with the proportion of young people enrolled in a bachelor degree.  Over the same period, the proportion of Year 12 completers commencing a certificate or diploma has declined among government and non-government school students. </w:t>
      </w:r>
    </w:p>
    <w:p w:rsidR="00C30BF6" w:rsidRDefault="00C30BF6" w:rsidP="00FC246D"/>
    <w:p w:rsidR="00C30BF6" w:rsidRPr="00C174D0" w:rsidRDefault="00C30BF6" w:rsidP="00FC246D">
      <w:pPr>
        <w:rPr>
          <w:b/>
        </w:rPr>
      </w:pPr>
      <w:r>
        <w:rPr>
          <w:b/>
        </w:rPr>
        <w:t>DESTINATION PROFILE BY SCHOOL SECTOR, ON TRACK 2018</w:t>
      </w:r>
    </w:p>
    <w:tbl>
      <w:tblPr>
        <w:tblStyle w:val="TableGrid"/>
        <w:tblW w:w="0" w:type="auto"/>
        <w:tblLook w:val="04A0" w:firstRow="1" w:lastRow="0" w:firstColumn="1" w:lastColumn="0" w:noHBand="0" w:noVBand="1"/>
      </w:tblPr>
      <w:tblGrid>
        <w:gridCol w:w="2733"/>
        <w:gridCol w:w="1231"/>
        <w:gridCol w:w="1701"/>
        <w:gridCol w:w="1985"/>
      </w:tblGrid>
      <w:tr w:rsidR="00696313" w:rsidTr="00500415">
        <w:tc>
          <w:tcPr>
            <w:tcW w:w="2733" w:type="dxa"/>
          </w:tcPr>
          <w:p w:rsidR="00696313" w:rsidRPr="00696313" w:rsidRDefault="00696313" w:rsidP="00FC246D"/>
        </w:tc>
        <w:tc>
          <w:tcPr>
            <w:tcW w:w="1231" w:type="dxa"/>
          </w:tcPr>
          <w:p w:rsidR="00696313" w:rsidRPr="00696313" w:rsidRDefault="00696313" w:rsidP="00500415">
            <w:pPr>
              <w:jc w:val="center"/>
              <w:rPr>
                <w:b/>
              </w:rPr>
            </w:pPr>
            <w:r>
              <w:rPr>
                <w:b/>
              </w:rPr>
              <w:t>Victoria</w:t>
            </w:r>
          </w:p>
        </w:tc>
        <w:tc>
          <w:tcPr>
            <w:tcW w:w="1701" w:type="dxa"/>
          </w:tcPr>
          <w:p w:rsidR="00696313" w:rsidRPr="00696313" w:rsidRDefault="00696313" w:rsidP="00500415">
            <w:pPr>
              <w:jc w:val="center"/>
              <w:rPr>
                <w:b/>
              </w:rPr>
            </w:pPr>
            <w:r>
              <w:rPr>
                <w:b/>
              </w:rPr>
              <w:t>Government</w:t>
            </w:r>
          </w:p>
        </w:tc>
        <w:tc>
          <w:tcPr>
            <w:tcW w:w="1985" w:type="dxa"/>
          </w:tcPr>
          <w:p w:rsidR="00696313" w:rsidRPr="00696313" w:rsidRDefault="00696313" w:rsidP="00500415">
            <w:pPr>
              <w:jc w:val="center"/>
              <w:rPr>
                <w:b/>
              </w:rPr>
            </w:pPr>
            <w:r>
              <w:rPr>
                <w:b/>
              </w:rPr>
              <w:t>Non-government</w:t>
            </w:r>
          </w:p>
        </w:tc>
      </w:tr>
      <w:tr w:rsidR="00696313" w:rsidTr="00500415">
        <w:tc>
          <w:tcPr>
            <w:tcW w:w="2733" w:type="dxa"/>
          </w:tcPr>
          <w:p w:rsidR="00696313" w:rsidRPr="00696313" w:rsidRDefault="00696313" w:rsidP="00FC246D">
            <w:pPr>
              <w:rPr>
                <w:b/>
              </w:rPr>
            </w:pPr>
            <w:r>
              <w:rPr>
                <w:b/>
              </w:rPr>
              <w:t>Bachelor degree</w:t>
            </w:r>
          </w:p>
        </w:tc>
        <w:tc>
          <w:tcPr>
            <w:tcW w:w="1231" w:type="dxa"/>
          </w:tcPr>
          <w:p w:rsidR="00696313" w:rsidRDefault="00500415" w:rsidP="00500415">
            <w:pPr>
              <w:jc w:val="center"/>
            </w:pPr>
            <w:r>
              <w:t>54.9%</w:t>
            </w:r>
          </w:p>
        </w:tc>
        <w:tc>
          <w:tcPr>
            <w:tcW w:w="1701" w:type="dxa"/>
          </w:tcPr>
          <w:p w:rsidR="00696313" w:rsidRDefault="00500415" w:rsidP="00500415">
            <w:pPr>
              <w:jc w:val="center"/>
            </w:pPr>
            <w:r>
              <w:t>54.9%</w:t>
            </w:r>
          </w:p>
        </w:tc>
        <w:tc>
          <w:tcPr>
            <w:tcW w:w="1985" w:type="dxa"/>
          </w:tcPr>
          <w:p w:rsidR="00696313" w:rsidRDefault="00500415" w:rsidP="00500415">
            <w:pPr>
              <w:jc w:val="center"/>
            </w:pPr>
            <w:r>
              <w:t>64.0%</w:t>
            </w:r>
          </w:p>
        </w:tc>
      </w:tr>
      <w:tr w:rsidR="00696313" w:rsidTr="00500415">
        <w:tc>
          <w:tcPr>
            <w:tcW w:w="2733" w:type="dxa"/>
          </w:tcPr>
          <w:p w:rsidR="00696313" w:rsidRPr="00696313" w:rsidRDefault="00696313" w:rsidP="00FC246D">
            <w:pPr>
              <w:rPr>
                <w:b/>
              </w:rPr>
            </w:pPr>
            <w:r>
              <w:rPr>
                <w:b/>
              </w:rPr>
              <w:t>Certificate/Diploma</w:t>
            </w:r>
          </w:p>
        </w:tc>
        <w:tc>
          <w:tcPr>
            <w:tcW w:w="1231" w:type="dxa"/>
          </w:tcPr>
          <w:p w:rsidR="00696313" w:rsidRDefault="00500415" w:rsidP="00500415">
            <w:pPr>
              <w:jc w:val="center"/>
            </w:pPr>
            <w:r>
              <w:t>12.1%</w:t>
            </w:r>
          </w:p>
        </w:tc>
        <w:tc>
          <w:tcPr>
            <w:tcW w:w="1701" w:type="dxa"/>
          </w:tcPr>
          <w:p w:rsidR="00696313" w:rsidRDefault="00500415" w:rsidP="00500415">
            <w:pPr>
              <w:jc w:val="center"/>
            </w:pPr>
            <w:r>
              <w:t>14.0%</w:t>
            </w:r>
          </w:p>
        </w:tc>
        <w:tc>
          <w:tcPr>
            <w:tcW w:w="1985" w:type="dxa"/>
          </w:tcPr>
          <w:p w:rsidR="00696313" w:rsidRDefault="00500415" w:rsidP="00500415">
            <w:pPr>
              <w:jc w:val="center"/>
            </w:pPr>
            <w:r>
              <w:t>9.9%</w:t>
            </w:r>
          </w:p>
        </w:tc>
      </w:tr>
      <w:tr w:rsidR="00696313" w:rsidTr="00500415">
        <w:tc>
          <w:tcPr>
            <w:tcW w:w="2733" w:type="dxa"/>
          </w:tcPr>
          <w:p w:rsidR="00696313" w:rsidRPr="00696313" w:rsidRDefault="00696313" w:rsidP="00FC246D">
            <w:pPr>
              <w:rPr>
                <w:b/>
              </w:rPr>
            </w:pPr>
            <w:r>
              <w:rPr>
                <w:b/>
              </w:rPr>
              <w:t>Apprenticeship/traineeship</w:t>
            </w:r>
          </w:p>
        </w:tc>
        <w:tc>
          <w:tcPr>
            <w:tcW w:w="1231" w:type="dxa"/>
          </w:tcPr>
          <w:p w:rsidR="00696313" w:rsidRDefault="009F53C6" w:rsidP="00500415">
            <w:pPr>
              <w:jc w:val="center"/>
            </w:pPr>
            <w:r>
              <w:t>8.1%</w:t>
            </w:r>
          </w:p>
        </w:tc>
        <w:tc>
          <w:tcPr>
            <w:tcW w:w="1701" w:type="dxa"/>
          </w:tcPr>
          <w:p w:rsidR="00696313" w:rsidRDefault="009F53C6" w:rsidP="00500415">
            <w:pPr>
              <w:jc w:val="center"/>
            </w:pPr>
            <w:r>
              <w:t>9.1%</w:t>
            </w:r>
          </w:p>
        </w:tc>
        <w:tc>
          <w:tcPr>
            <w:tcW w:w="1985" w:type="dxa"/>
          </w:tcPr>
          <w:p w:rsidR="00696313" w:rsidRDefault="009F53C6" w:rsidP="00500415">
            <w:pPr>
              <w:jc w:val="center"/>
            </w:pPr>
            <w:r>
              <w:t>7.0%</w:t>
            </w:r>
          </w:p>
        </w:tc>
      </w:tr>
      <w:tr w:rsidR="00696313" w:rsidTr="00500415">
        <w:tc>
          <w:tcPr>
            <w:tcW w:w="2733" w:type="dxa"/>
          </w:tcPr>
          <w:p w:rsidR="00696313" w:rsidRPr="00696313" w:rsidRDefault="00696313" w:rsidP="00FC246D">
            <w:pPr>
              <w:rPr>
                <w:b/>
              </w:rPr>
            </w:pPr>
            <w:r>
              <w:rPr>
                <w:b/>
              </w:rPr>
              <w:t xml:space="preserve">Employed </w:t>
            </w:r>
          </w:p>
        </w:tc>
        <w:tc>
          <w:tcPr>
            <w:tcW w:w="1231" w:type="dxa"/>
          </w:tcPr>
          <w:p w:rsidR="00696313" w:rsidRDefault="00500415" w:rsidP="00500415">
            <w:pPr>
              <w:jc w:val="center"/>
            </w:pPr>
            <w:r>
              <w:t>11.3%</w:t>
            </w:r>
          </w:p>
        </w:tc>
        <w:tc>
          <w:tcPr>
            <w:tcW w:w="1701" w:type="dxa"/>
          </w:tcPr>
          <w:p w:rsidR="00696313" w:rsidRDefault="00500415" w:rsidP="00500415">
            <w:pPr>
              <w:jc w:val="center"/>
            </w:pPr>
            <w:r>
              <w:t>14.4%</w:t>
            </w:r>
          </w:p>
        </w:tc>
        <w:tc>
          <w:tcPr>
            <w:tcW w:w="1985" w:type="dxa"/>
          </w:tcPr>
          <w:p w:rsidR="00696313" w:rsidRDefault="00500415" w:rsidP="00500415">
            <w:pPr>
              <w:jc w:val="center"/>
            </w:pPr>
            <w:r>
              <w:t>7.7%</w:t>
            </w:r>
          </w:p>
        </w:tc>
      </w:tr>
      <w:tr w:rsidR="00696313" w:rsidTr="00500415">
        <w:tc>
          <w:tcPr>
            <w:tcW w:w="2733" w:type="dxa"/>
          </w:tcPr>
          <w:p w:rsidR="00696313" w:rsidRPr="00696313" w:rsidRDefault="00696313" w:rsidP="00FC246D">
            <w:pPr>
              <w:rPr>
                <w:b/>
              </w:rPr>
            </w:pPr>
            <w:r>
              <w:rPr>
                <w:b/>
              </w:rPr>
              <w:t>Looking for work</w:t>
            </w:r>
          </w:p>
        </w:tc>
        <w:tc>
          <w:tcPr>
            <w:tcW w:w="1231" w:type="dxa"/>
          </w:tcPr>
          <w:p w:rsidR="00696313" w:rsidRDefault="00500415" w:rsidP="00500415">
            <w:pPr>
              <w:jc w:val="center"/>
            </w:pPr>
            <w:r>
              <w:t>3.2%</w:t>
            </w:r>
          </w:p>
        </w:tc>
        <w:tc>
          <w:tcPr>
            <w:tcW w:w="1701" w:type="dxa"/>
          </w:tcPr>
          <w:p w:rsidR="00696313" w:rsidRDefault="00500415" w:rsidP="00500415">
            <w:pPr>
              <w:jc w:val="center"/>
            </w:pPr>
            <w:r>
              <w:t>4.5%</w:t>
            </w:r>
          </w:p>
        </w:tc>
        <w:tc>
          <w:tcPr>
            <w:tcW w:w="1985" w:type="dxa"/>
          </w:tcPr>
          <w:p w:rsidR="00696313" w:rsidRDefault="00500415" w:rsidP="00500415">
            <w:pPr>
              <w:jc w:val="center"/>
            </w:pPr>
            <w:r>
              <w:t>1.6%</w:t>
            </w:r>
          </w:p>
        </w:tc>
      </w:tr>
      <w:tr w:rsidR="00696313" w:rsidTr="00500415">
        <w:tc>
          <w:tcPr>
            <w:tcW w:w="2733" w:type="dxa"/>
          </w:tcPr>
          <w:p w:rsidR="00696313" w:rsidRPr="00696313" w:rsidRDefault="00696313" w:rsidP="00FC246D">
            <w:pPr>
              <w:rPr>
                <w:b/>
              </w:rPr>
            </w:pPr>
            <w:r>
              <w:rPr>
                <w:b/>
              </w:rPr>
              <w:t>Not in labour force, education or training</w:t>
            </w:r>
          </w:p>
        </w:tc>
        <w:tc>
          <w:tcPr>
            <w:tcW w:w="1231" w:type="dxa"/>
          </w:tcPr>
          <w:p w:rsidR="00696313" w:rsidRDefault="00500415" w:rsidP="00500415">
            <w:pPr>
              <w:jc w:val="center"/>
            </w:pPr>
            <w:r>
              <w:t>0.4%</w:t>
            </w:r>
          </w:p>
        </w:tc>
        <w:tc>
          <w:tcPr>
            <w:tcW w:w="1701" w:type="dxa"/>
          </w:tcPr>
          <w:p w:rsidR="00696313" w:rsidRDefault="00500415" w:rsidP="00500415">
            <w:pPr>
              <w:jc w:val="center"/>
            </w:pPr>
            <w:r>
              <w:t>0.6%</w:t>
            </w:r>
          </w:p>
        </w:tc>
        <w:tc>
          <w:tcPr>
            <w:tcW w:w="1985" w:type="dxa"/>
          </w:tcPr>
          <w:p w:rsidR="00696313" w:rsidRDefault="00500415" w:rsidP="00500415">
            <w:pPr>
              <w:jc w:val="center"/>
            </w:pPr>
            <w:r>
              <w:t>0.2%</w:t>
            </w:r>
          </w:p>
        </w:tc>
      </w:tr>
    </w:tbl>
    <w:p w:rsidR="00CB6C08" w:rsidRDefault="00CB6C08" w:rsidP="00FC246D"/>
    <w:p w:rsidR="00FC246D" w:rsidRPr="00B91952" w:rsidRDefault="00FC246D" w:rsidP="009F53C6">
      <w:pPr>
        <w:pStyle w:val="Heading2"/>
      </w:pPr>
      <w:r>
        <w:t>Find out more</w:t>
      </w:r>
    </w:p>
    <w:p w:rsidR="00FC246D" w:rsidRPr="00FC246D" w:rsidRDefault="00FC246D" w:rsidP="009F53C6">
      <w:r>
        <w:t xml:space="preserve">Contact the Performance Insights Team: </w:t>
      </w:r>
      <w:r w:rsidRPr="00FC246D">
        <w:rPr>
          <w:u w:val="single"/>
        </w:rPr>
        <w:t>insights.and.evidence@edumail.vic.gov.au</w:t>
      </w:r>
      <w:r>
        <w:t xml:space="preserve"> </w:t>
      </w:r>
    </w:p>
    <w:p w:rsidR="002401A2" w:rsidRPr="002401A2" w:rsidRDefault="002401A2" w:rsidP="002401A2"/>
    <w:p w:rsidR="002401A2" w:rsidRPr="002401A2" w:rsidRDefault="002401A2" w:rsidP="002401A2"/>
    <w:sectPr w:rsidR="002401A2" w:rsidRPr="002401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38F" w:rsidRDefault="0087538F" w:rsidP="00FD0FA5">
      <w:pPr>
        <w:spacing w:after="0" w:line="240" w:lineRule="auto"/>
      </w:pPr>
      <w:r>
        <w:separator/>
      </w:r>
    </w:p>
  </w:endnote>
  <w:endnote w:type="continuationSeparator" w:id="0">
    <w:p w:rsidR="0087538F" w:rsidRDefault="0087538F" w:rsidP="00FD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V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C-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38F" w:rsidRDefault="0087538F" w:rsidP="00FD0FA5">
      <w:pPr>
        <w:spacing w:after="0" w:line="240" w:lineRule="auto"/>
      </w:pPr>
      <w:r>
        <w:separator/>
      </w:r>
    </w:p>
  </w:footnote>
  <w:footnote w:type="continuationSeparator" w:id="0">
    <w:p w:rsidR="0087538F" w:rsidRDefault="0087538F" w:rsidP="00FD0FA5">
      <w:pPr>
        <w:spacing w:after="0" w:line="240" w:lineRule="auto"/>
      </w:pPr>
      <w:r>
        <w:continuationSeparator/>
      </w:r>
    </w:p>
  </w:footnote>
  <w:footnote w:id="1">
    <w:p w:rsidR="00F75705" w:rsidRDefault="00F75705">
      <w:pPr>
        <w:pStyle w:val="FootnoteText"/>
      </w:pPr>
      <w:r>
        <w:rPr>
          <w:rStyle w:val="FootnoteReference"/>
        </w:rPr>
        <w:footnoteRef/>
      </w:r>
      <w:r>
        <w:t xml:space="preserve"> Formerly referred to as early leavers.</w:t>
      </w:r>
    </w:p>
  </w:footnote>
  <w:footnote w:id="2">
    <w:p w:rsidR="001D6D95" w:rsidRDefault="001D6D95">
      <w:pPr>
        <w:pStyle w:val="FootnoteText"/>
      </w:pPr>
      <w:r w:rsidRPr="001D6D95">
        <w:rPr>
          <w:rStyle w:val="FootnoteReference"/>
        </w:rPr>
        <w:footnoteRef/>
      </w:r>
      <w:r w:rsidRPr="001D6D95">
        <w:t xml:space="preserve"> Future Social Services Institute (2018) </w:t>
      </w:r>
      <w:r w:rsidRPr="001D6D95">
        <w:rPr>
          <w:i/>
        </w:rPr>
        <w:t>Social opportunity, economic growth: Building Victoria’s social economy</w:t>
      </w:r>
      <w:r w:rsidRPr="001D6D95">
        <w:t xml:space="preserve">. Retrieved from: </w:t>
      </w:r>
      <w:hyperlink r:id="rId1" w:history="1">
        <w:r w:rsidRPr="001D6D95">
          <w:rPr>
            <w:rStyle w:val="Hyperlink"/>
            <w:color w:val="auto"/>
          </w:rPr>
          <w:t>https://vcoss.org.au/wp-content/uploads/2018/08/FSSI-2018-Victorias-Social-Economy-Report.pdf</w:t>
        </w:r>
      </w:hyperlink>
      <w:r w:rsidRPr="001D6D95">
        <w:t>.</w:t>
      </w:r>
    </w:p>
  </w:footnote>
  <w:footnote w:id="3">
    <w:p w:rsidR="00F75705" w:rsidRDefault="00F75705">
      <w:pPr>
        <w:pStyle w:val="FootnoteText"/>
      </w:pPr>
      <w:r>
        <w:rPr>
          <w:rStyle w:val="FootnoteReference"/>
        </w:rPr>
        <w:footnoteRef/>
      </w:r>
      <w:r>
        <w:t xml:space="preserve"> Data represented by gender is described as male and female. This analysis does not include respondents who identified as undefined gender or incomplete responses. Statewide results include all respondents (male, female, undefined, </w:t>
      </w:r>
      <w:proofErr w:type="spellStart"/>
      <w:r>
        <w:t>self described</w:t>
      </w:r>
      <w:proofErr w:type="spellEnd"/>
      <w:r>
        <w:t xml:space="preserve"> and incomplete responses).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B60"/>
    <w:multiLevelType w:val="hybridMultilevel"/>
    <w:tmpl w:val="1D3259A4"/>
    <w:lvl w:ilvl="0" w:tplc="38FA182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B97BD2"/>
    <w:multiLevelType w:val="hybridMultilevel"/>
    <w:tmpl w:val="10ECA304"/>
    <w:lvl w:ilvl="0" w:tplc="38FA182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A2"/>
    <w:rsid w:val="00191661"/>
    <w:rsid w:val="001D6D95"/>
    <w:rsid w:val="002401A2"/>
    <w:rsid w:val="002C385B"/>
    <w:rsid w:val="00394456"/>
    <w:rsid w:val="003C5A28"/>
    <w:rsid w:val="00406EE2"/>
    <w:rsid w:val="004119A0"/>
    <w:rsid w:val="00500415"/>
    <w:rsid w:val="00506798"/>
    <w:rsid w:val="00696313"/>
    <w:rsid w:val="006F4D3A"/>
    <w:rsid w:val="00757A52"/>
    <w:rsid w:val="0087538F"/>
    <w:rsid w:val="009623D7"/>
    <w:rsid w:val="009C776E"/>
    <w:rsid w:val="009F53C6"/>
    <w:rsid w:val="00B87316"/>
    <w:rsid w:val="00BF1CCB"/>
    <w:rsid w:val="00C148F8"/>
    <w:rsid w:val="00C174D0"/>
    <w:rsid w:val="00C30BF6"/>
    <w:rsid w:val="00C3782E"/>
    <w:rsid w:val="00CB6C08"/>
    <w:rsid w:val="00D334AF"/>
    <w:rsid w:val="00D44DFF"/>
    <w:rsid w:val="00E06B9B"/>
    <w:rsid w:val="00E266FF"/>
    <w:rsid w:val="00F33257"/>
    <w:rsid w:val="00F41632"/>
    <w:rsid w:val="00F75705"/>
    <w:rsid w:val="00FC246D"/>
    <w:rsid w:val="00FD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B814"/>
  <w15:chartTrackingRefBased/>
  <w15:docId w15:val="{164E1E3E-061C-408F-AD02-AF27ADB8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01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0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01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01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01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401A2"/>
    <w:pPr>
      <w:ind w:left="720"/>
      <w:contextualSpacing/>
    </w:pPr>
  </w:style>
  <w:style w:type="table" w:styleId="TableGrid">
    <w:name w:val="Table Grid"/>
    <w:basedOn w:val="TableNormal"/>
    <w:uiPriority w:val="39"/>
    <w:rsid w:val="0024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01A2"/>
    <w:pPr>
      <w:spacing w:after="0" w:line="240" w:lineRule="auto"/>
    </w:pPr>
  </w:style>
  <w:style w:type="character" w:styleId="CommentReference">
    <w:name w:val="annotation reference"/>
    <w:basedOn w:val="DefaultParagraphFont"/>
    <w:uiPriority w:val="99"/>
    <w:semiHidden/>
    <w:unhideWhenUsed/>
    <w:rsid w:val="002401A2"/>
    <w:rPr>
      <w:sz w:val="16"/>
      <w:szCs w:val="16"/>
    </w:rPr>
  </w:style>
  <w:style w:type="paragraph" w:styleId="CommentText">
    <w:name w:val="annotation text"/>
    <w:basedOn w:val="Normal"/>
    <w:link w:val="CommentTextChar"/>
    <w:uiPriority w:val="99"/>
    <w:semiHidden/>
    <w:unhideWhenUsed/>
    <w:rsid w:val="002401A2"/>
    <w:pPr>
      <w:spacing w:line="240" w:lineRule="auto"/>
    </w:pPr>
    <w:rPr>
      <w:sz w:val="20"/>
      <w:szCs w:val="20"/>
    </w:rPr>
  </w:style>
  <w:style w:type="character" w:customStyle="1" w:styleId="CommentTextChar">
    <w:name w:val="Comment Text Char"/>
    <w:basedOn w:val="DefaultParagraphFont"/>
    <w:link w:val="CommentText"/>
    <w:uiPriority w:val="99"/>
    <w:semiHidden/>
    <w:rsid w:val="002401A2"/>
    <w:rPr>
      <w:sz w:val="20"/>
      <w:szCs w:val="20"/>
    </w:rPr>
  </w:style>
  <w:style w:type="paragraph" w:styleId="BalloonText">
    <w:name w:val="Balloon Text"/>
    <w:basedOn w:val="Normal"/>
    <w:link w:val="BalloonTextChar"/>
    <w:uiPriority w:val="99"/>
    <w:semiHidden/>
    <w:unhideWhenUsed/>
    <w:rsid w:val="00240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1A2"/>
    <w:rPr>
      <w:rFonts w:ascii="Segoe UI" w:hAnsi="Segoe UI" w:cs="Segoe UI"/>
      <w:sz w:val="18"/>
      <w:szCs w:val="18"/>
    </w:rPr>
  </w:style>
  <w:style w:type="character" w:styleId="Hyperlink">
    <w:name w:val="Hyperlink"/>
    <w:basedOn w:val="DefaultParagraphFont"/>
    <w:uiPriority w:val="99"/>
    <w:unhideWhenUsed/>
    <w:rsid w:val="00FC246D"/>
    <w:rPr>
      <w:color w:val="0563C1" w:themeColor="hyperlink"/>
      <w:u w:val="single"/>
    </w:rPr>
  </w:style>
  <w:style w:type="character" w:styleId="SubtleReference">
    <w:name w:val="Subtle Reference"/>
    <w:basedOn w:val="DefaultParagraphFont"/>
    <w:uiPriority w:val="31"/>
    <w:qFormat/>
    <w:rsid w:val="00B87316"/>
    <w:rPr>
      <w:smallCaps/>
      <w:color w:val="5A5A5A" w:themeColor="text1" w:themeTint="A5"/>
    </w:rPr>
  </w:style>
  <w:style w:type="character" w:styleId="Emphasis">
    <w:name w:val="Emphasis"/>
    <w:basedOn w:val="DefaultParagraphFont"/>
    <w:uiPriority w:val="20"/>
    <w:qFormat/>
    <w:rsid w:val="00B87316"/>
    <w:rPr>
      <w:i/>
      <w:iCs/>
    </w:rPr>
  </w:style>
  <w:style w:type="paragraph" w:styleId="FootnoteText">
    <w:name w:val="footnote text"/>
    <w:basedOn w:val="Normal"/>
    <w:link w:val="FootnoteTextChar"/>
    <w:uiPriority w:val="99"/>
    <w:semiHidden/>
    <w:unhideWhenUsed/>
    <w:rsid w:val="00FD0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FA5"/>
    <w:rPr>
      <w:sz w:val="20"/>
      <w:szCs w:val="20"/>
    </w:rPr>
  </w:style>
  <w:style w:type="character" w:styleId="FootnoteReference">
    <w:name w:val="footnote reference"/>
    <w:basedOn w:val="DefaultParagraphFont"/>
    <w:uiPriority w:val="99"/>
    <w:semiHidden/>
    <w:unhideWhenUsed/>
    <w:rsid w:val="00FD0FA5"/>
    <w:rPr>
      <w:vertAlign w:val="superscript"/>
    </w:rPr>
  </w:style>
  <w:style w:type="paragraph" w:customStyle="1" w:styleId="Pa10">
    <w:name w:val="Pa10"/>
    <w:basedOn w:val="Normal"/>
    <w:next w:val="Normal"/>
    <w:uiPriority w:val="99"/>
    <w:rsid w:val="006F4D3A"/>
    <w:pPr>
      <w:autoSpaceDE w:val="0"/>
      <w:autoSpaceDN w:val="0"/>
      <w:adjustRightInd w:val="0"/>
      <w:spacing w:after="0" w:line="181" w:lineRule="atLeast"/>
    </w:pPr>
    <w:rPr>
      <w:rFonts w:ascii="VIC" w:hAnsi="V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vcoss.org.au/wp-content/uploads/2018/08/FSSI-2018-Victorias-Social-Econom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Ontrack2018</DEECD_Description>
    <b1688cb4a3a940449dc8286705012a42 xmlns="76b566cd-adb9-46c2-964b-22eba181fd0b">
      <Terms xmlns="http://schemas.microsoft.com/office/infopath/2007/PartnerControls"/>
    </b1688cb4a3a940449dc8286705012a42>
    <PublishingStartDate xmlns="76b566cd-adb9-46c2-964b-22eba181fd0b">2018-10-28T21:00:00+00:00</PublishingStartDat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B4105-0ED7-44F3-ABDF-9F7D2FA2A3C0}"/>
</file>

<file path=customXml/itemProps2.xml><?xml version="1.0" encoding="utf-8"?>
<ds:datastoreItem xmlns:ds="http://schemas.openxmlformats.org/officeDocument/2006/customXml" ds:itemID="{277C2C25-AAEE-4221-A666-ADB551D03D2B}"/>
</file>

<file path=customXml/itemProps3.xml><?xml version="1.0" encoding="utf-8"?>
<ds:datastoreItem xmlns:ds="http://schemas.openxmlformats.org/officeDocument/2006/customXml" ds:itemID="{72658ADC-5C3F-4C66-8A24-5767C2C25385}"/>
</file>

<file path=customXml/itemProps4.xml><?xml version="1.0" encoding="utf-8"?>
<ds:datastoreItem xmlns:ds="http://schemas.openxmlformats.org/officeDocument/2006/customXml" ds:itemID="{DB6FA629-7391-4614-9E37-A80064B24852}"/>
</file>

<file path=docProps/app.xml><?xml version="1.0" encoding="utf-8"?>
<Properties xmlns="http://schemas.openxmlformats.org/officeDocument/2006/extended-properties" xmlns:vt="http://schemas.openxmlformats.org/officeDocument/2006/docPropsVTypes">
  <Template>Normal</Template>
  <TotalTime>162</TotalTime>
  <Pages>1</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Rosalind J</dc:creator>
  <cp:keywords/>
  <dc:description/>
  <cp:lastModifiedBy>Stanley, Rosalind J</cp:lastModifiedBy>
  <cp:revision>16</cp:revision>
  <dcterms:created xsi:type="dcterms:W3CDTF">2018-10-10T23:26:00Z</dcterms:created>
  <dcterms:modified xsi:type="dcterms:W3CDTF">2018-11-08T23:22:00Z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DEECD_ItemType">
    <vt:lpwstr>101;#Page|eb523acf-a821-456c-a76b-7607578309d7</vt:lpwstr>
  </property>
  <property fmtid="{D5CDD505-2E9C-101B-9397-08002B2CF9AE}" pid="6" name="DEECD_Audience">
    <vt:lpwstr/>
  </property>
</Properties>
</file>