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F2" w:rsidRPr="0007748B" w:rsidRDefault="00F67D82" w:rsidP="00C62DF2">
      <w:pPr>
        <w:jc w:val="both"/>
        <w:rPr>
          <w:rFonts w:cs="Calibri"/>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4075430</wp:posOffset>
                </wp:positionH>
                <wp:positionV relativeFrom="paragraph">
                  <wp:posOffset>-51435</wp:posOffset>
                </wp:positionV>
                <wp:extent cx="2869565" cy="126746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F2" w:rsidRDefault="00C62DF2" w:rsidP="00C62DF2">
                            <w:r>
                              <w:rPr>
                                <w:noProof/>
                                <w:lang w:eastAsia="en-AU"/>
                              </w:rPr>
                              <w:drawing>
                                <wp:inline distT="0" distB="0" distL="0" distR="0">
                                  <wp:extent cx="267652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1228725"/>
                                          </a:xfrm>
                                          <a:prstGeom prst="rect">
                                            <a:avLst/>
                                          </a:prstGeom>
                                          <a:solidFill>
                                            <a:srgbClr val="1F497D"/>
                                          </a:solid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0.9pt;margin-top:-4.05pt;width:225.95pt;height:99.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" filled="f" stroked="f">
                <v:textbox>
                  <w:txbxContent>
                    <w:p w:rsidR="00C62DF2" w:rsidRDefault="00C62DF2" w:rsidP="00C62DF2">
                      <w:r>
                        <w:rPr>
                          <w:noProof/>
                          <w:lang w:eastAsia="en-AU"/>
                        </w:rPr>
                        <w:drawing>
                          <wp:inline distT="0" distB="0" distL="0" distR="0">
                            <wp:extent cx="267652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1228725"/>
                                    </a:xfrm>
                                    <a:prstGeom prst="rect">
                                      <a:avLst/>
                                    </a:prstGeom>
                                    <a:solidFill>
                                      <a:srgbClr val="1F497D"/>
                                    </a:solidFill>
                                    <a:ln>
                                      <a:noFill/>
                                    </a:ln>
                                  </pic:spPr>
                                </pic:pic>
                              </a:graphicData>
                            </a:graphic>
                          </wp:inline>
                        </w:drawing>
                      </w:r>
                    </w:p>
                  </w:txbxContent>
                </v:textbox>
              </v:shape>
            </w:pict>
          </mc:Fallback>
        </mc:AlternateContent>
      </w:r>
      <w:r>
        <w:rPr>
          <w:rFonts w:cs="Calibri"/>
          <w:noProof/>
          <w:lang w:eastAsia="en-AU"/>
        </w:rPr>
        <mc:AlternateContent>
          <mc:Choice Requires="wps">
            <w:drawing>
              <wp:anchor distT="0" distB="0" distL="114300" distR="114300" simplePos="0" relativeHeight="251659264" behindDoc="0" locked="0" layoutInCell="1" allowOverlap="1">
                <wp:simplePos x="0" y="0"/>
                <wp:positionH relativeFrom="column">
                  <wp:posOffset>-708025</wp:posOffset>
                </wp:positionH>
                <wp:positionV relativeFrom="paragraph">
                  <wp:posOffset>-51435</wp:posOffset>
                </wp:positionV>
                <wp:extent cx="3479165" cy="11582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F2" w:rsidRDefault="00C62DF2" w:rsidP="00C62DF2">
                            <w:r>
                              <w:rPr>
                                <w:noProof/>
                                <w:lang w:eastAsia="en-AU"/>
                              </w:rPr>
                              <w:drawing>
                                <wp:inline distT="0" distB="0" distL="0" distR="0">
                                  <wp:extent cx="3286125" cy="904875"/>
                                  <wp:effectExtent l="0" t="0" r="9525" b="9525"/>
                                  <wp:docPr id="3" name="Picture 3" descr="DE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C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5.75pt;margin-top:-4.05pt;width:273.95pt;height:9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LtgIAAL8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" filled="f" stroked="f">
                <v:textbox style="mso-fit-shape-to-text:t">
                  <w:txbxContent>
                    <w:p w:rsidR="00C62DF2" w:rsidRDefault="00C62DF2" w:rsidP="00C62DF2">
                      <w:r>
                        <w:rPr>
                          <w:noProof/>
                          <w:lang w:eastAsia="en-AU"/>
                        </w:rPr>
                        <w:drawing>
                          <wp:inline distT="0" distB="0" distL="0" distR="0">
                            <wp:extent cx="3286125" cy="904875"/>
                            <wp:effectExtent l="0" t="0" r="9525" b="9525"/>
                            <wp:docPr id="3" name="Picture 3" descr="DE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C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txbxContent>
                </v:textbox>
              </v:shape>
            </w:pict>
          </mc:Fallback>
        </mc:AlternateContent>
      </w:r>
    </w:p>
    <w:p w:rsidR="00C62DF2" w:rsidRPr="0007748B" w:rsidRDefault="00C62DF2" w:rsidP="00C62DF2">
      <w:pPr>
        <w:jc w:val="both"/>
        <w:rPr>
          <w:rFonts w:cs="Calibri"/>
        </w:rPr>
      </w:pPr>
    </w:p>
    <w:p w:rsidR="00C62DF2" w:rsidRPr="0007748B" w:rsidRDefault="00C62DF2" w:rsidP="00C62DF2">
      <w:pPr>
        <w:jc w:val="both"/>
        <w:rPr>
          <w:rFonts w:cs="Calibri"/>
        </w:rPr>
      </w:pPr>
    </w:p>
    <w:p w:rsidR="00C62DF2" w:rsidRPr="0007748B" w:rsidRDefault="00F67D82" w:rsidP="00C62DF2">
      <w:pPr>
        <w:spacing w:after="120"/>
        <w:ind w:right="-1158"/>
        <w:jc w:val="right"/>
        <w:rPr>
          <w:rFonts w:cs="Calibri"/>
          <w:b/>
          <w:color w:val="005696"/>
          <w:spacing w:val="-7"/>
          <w:sz w:val="48"/>
          <w:szCs w:val="48"/>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-556895</wp:posOffset>
                </wp:positionH>
                <wp:positionV relativeFrom="paragraph">
                  <wp:posOffset>1905</wp:posOffset>
                </wp:positionV>
                <wp:extent cx="2410460" cy="19386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193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F2" w:rsidRDefault="00C62DF2" w:rsidP="00C62DF2">
                            <w:r>
                              <w:rPr>
                                <w:noProof/>
                                <w:lang w:eastAsia="en-AU"/>
                              </w:rPr>
                              <w:drawing>
                                <wp:inline distT="0" distB="0" distL="0" distR="0">
                                  <wp:extent cx="2162175" cy="1885950"/>
                                  <wp:effectExtent l="0" t="0" r="9525" b="0"/>
                                  <wp:docPr id="1" name="Picture 1" descr="0644 Research partnership-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44 Research partnership-logo-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1885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position:absolute;left:0;text-align:left;margin-left:-43.85pt;margin-top:.15pt;width:189.8pt;height:152.6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X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" filled="f" stroked="f">
                <v:textbox>
                  <w:txbxContent>
                    <w:p w:rsidR="00C62DF2" w:rsidRDefault="00C62DF2" w:rsidP="00C62DF2">
                      <w:r>
                        <w:rPr>
                          <w:noProof/>
                          <w:lang w:eastAsia="en-AU"/>
                        </w:rPr>
                        <w:drawing>
                          <wp:inline distT="0" distB="0" distL="0" distR="0">
                            <wp:extent cx="2162175" cy="1885950"/>
                            <wp:effectExtent l="0" t="0" r="9525" b="0"/>
                            <wp:docPr id="1" name="Picture 1" descr="0644 Research partnership-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44 Research partnership-logo-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2175" cy="1885950"/>
                                    </a:xfrm>
                                    <a:prstGeom prst="rect">
                                      <a:avLst/>
                                    </a:prstGeom>
                                    <a:noFill/>
                                    <a:ln>
                                      <a:noFill/>
                                    </a:ln>
                                  </pic:spPr>
                                </pic:pic>
                              </a:graphicData>
                            </a:graphic>
                          </wp:inline>
                        </w:drawing>
                      </w:r>
                    </w:p>
                  </w:txbxContent>
                </v:textbox>
              </v:shape>
            </w:pict>
          </mc:Fallback>
        </mc:AlternateContent>
      </w:r>
    </w:p>
    <w:p w:rsidR="00C62DF2" w:rsidRDefault="00C62DF2" w:rsidP="00C62DF2">
      <w:pPr>
        <w:spacing w:after="120"/>
        <w:jc w:val="both"/>
        <w:rPr>
          <w:rFonts w:cs="Calibri"/>
          <w:b/>
          <w:color w:val="005696"/>
          <w:spacing w:val="-7"/>
          <w:sz w:val="48"/>
          <w:szCs w:val="48"/>
        </w:rPr>
      </w:pPr>
    </w:p>
    <w:p w:rsidR="00C62DF2" w:rsidRDefault="00C62DF2" w:rsidP="00C62DF2">
      <w:pPr>
        <w:spacing w:after="120"/>
        <w:jc w:val="right"/>
        <w:rPr>
          <w:rFonts w:cs="Calibri"/>
          <w:b/>
          <w:color w:val="005696"/>
          <w:spacing w:val="-7"/>
          <w:sz w:val="48"/>
          <w:szCs w:val="48"/>
        </w:rPr>
      </w:pPr>
      <w:r>
        <w:rPr>
          <w:rFonts w:cs="Calibri"/>
          <w:b/>
          <w:color w:val="005696"/>
          <w:spacing w:val="-7"/>
          <w:sz w:val="48"/>
          <w:szCs w:val="48"/>
        </w:rPr>
        <w:t>SUMMARY NOTE</w:t>
      </w:r>
    </w:p>
    <w:p w:rsidR="00C62DF2" w:rsidRDefault="00C62DF2" w:rsidP="00C62DF2">
      <w:pPr>
        <w:spacing w:after="120"/>
        <w:jc w:val="both"/>
        <w:rPr>
          <w:rFonts w:cs="Calibri"/>
          <w:b/>
          <w:color w:val="005696"/>
          <w:spacing w:val="-7"/>
          <w:sz w:val="48"/>
          <w:szCs w:val="48"/>
        </w:rPr>
      </w:pPr>
    </w:p>
    <w:p w:rsidR="002432F3" w:rsidRDefault="002432F3" w:rsidP="00A55D93">
      <w:pPr>
        <w:spacing w:before="600" w:after="120"/>
        <w:jc w:val="both"/>
        <w:rPr>
          <w:rFonts w:cs="Calibri"/>
          <w:b/>
          <w:color w:val="005696"/>
          <w:spacing w:val="-7"/>
          <w:sz w:val="48"/>
          <w:szCs w:val="48"/>
        </w:rPr>
      </w:pPr>
      <w:r>
        <w:rPr>
          <w:rFonts w:cs="Calibri"/>
          <w:b/>
          <w:color w:val="005696"/>
          <w:spacing w:val="-7"/>
          <w:sz w:val="48"/>
          <w:szCs w:val="48"/>
        </w:rPr>
        <w:t>NAPLAN Scores as Predictors of Access to Higher Education in Victoria</w:t>
      </w:r>
    </w:p>
    <w:p w:rsidR="002432F3" w:rsidRPr="008812FB" w:rsidRDefault="002432F3" w:rsidP="002432F3">
      <w:pPr>
        <w:autoSpaceDE w:val="0"/>
        <w:autoSpaceDN w:val="0"/>
        <w:adjustRightInd w:val="0"/>
        <w:spacing w:after="240" w:line="360" w:lineRule="auto"/>
        <w:jc w:val="both"/>
        <w:rPr>
          <w:rFonts w:cs="Calibri"/>
          <w:b/>
          <w:sz w:val="28"/>
          <w:szCs w:val="28"/>
        </w:rPr>
      </w:pPr>
      <w:r w:rsidRPr="008812FB">
        <w:rPr>
          <w:rFonts w:cs="Calibri"/>
          <w:b/>
          <w:sz w:val="28"/>
          <w:szCs w:val="28"/>
        </w:rPr>
        <w:t>This research considers to what extent year 9 NAPLAN scores accurately predict year 12 VCE outcomes that determine access to higher education.</w:t>
      </w:r>
    </w:p>
    <w:p w:rsidR="002432F3" w:rsidRPr="004C0376" w:rsidRDefault="002432F3" w:rsidP="002432F3">
      <w:pPr>
        <w:pStyle w:val="H1"/>
        <w:spacing w:before="120" w:after="120"/>
        <w:jc w:val="both"/>
        <w:rPr>
          <w:rFonts w:ascii="Calibri" w:hAnsi="Calibri" w:cs="Calibri"/>
          <w:sz w:val="28"/>
          <w:szCs w:val="28"/>
        </w:rPr>
      </w:pPr>
      <w:r w:rsidRPr="004C0376">
        <w:rPr>
          <w:rFonts w:ascii="Calibri" w:hAnsi="Calibri" w:cs="Calibri"/>
          <w:sz w:val="28"/>
          <w:szCs w:val="28"/>
        </w:rPr>
        <w:t>Key Findings and Conclusions</w:t>
      </w:r>
    </w:p>
    <w:p w:rsidR="002432F3" w:rsidRDefault="002432F3" w:rsidP="008812FB">
      <w:pPr>
        <w:numPr>
          <w:ilvl w:val="0"/>
          <w:numId w:val="1"/>
        </w:numPr>
        <w:spacing w:after="120"/>
        <w:ind w:left="357" w:hanging="357"/>
        <w:jc w:val="both"/>
        <w:rPr>
          <w:rFonts w:cs="Calibri"/>
          <w:sz w:val="24"/>
          <w:szCs w:val="24"/>
          <w:lang w:val="en-US" w:eastAsia="en-AU"/>
        </w:rPr>
      </w:pPr>
      <w:r>
        <w:rPr>
          <w:sz w:val="24"/>
          <w:szCs w:val="24"/>
        </w:rPr>
        <w:t>National Assessment Program—Literacy and Numeracy (</w:t>
      </w:r>
      <w:r w:rsidRPr="00644B32">
        <w:rPr>
          <w:sz w:val="24"/>
          <w:szCs w:val="24"/>
        </w:rPr>
        <w:t>NAPLAN</w:t>
      </w:r>
      <w:r>
        <w:rPr>
          <w:sz w:val="24"/>
          <w:szCs w:val="24"/>
        </w:rPr>
        <w:t>)</w:t>
      </w:r>
      <w:r w:rsidRPr="00644B32">
        <w:rPr>
          <w:sz w:val="24"/>
          <w:szCs w:val="24"/>
        </w:rPr>
        <w:t xml:space="preserve"> </w:t>
      </w:r>
      <w:r w:rsidRPr="00644B32">
        <w:rPr>
          <w:rFonts w:cs="Arial"/>
          <w:sz w:val="24"/>
          <w:szCs w:val="24"/>
        </w:rPr>
        <w:t>Y</w:t>
      </w:r>
      <w:r w:rsidRPr="00644B32">
        <w:rPr>
          <w:sz w:val="24"/>
          <w:szCs w:val="24"/>
        </w:rPr>
        <w:t xml:space="preserve">ear 9 numeracy and reading scores are strong predictors of students’ year 12 Victoria Certificate of Education </w:t>
      </w:r>
      <w:r>
        <w:rPr>
          <w:sz w:val="24"/>
          <w:szCs w:val="24"/>
        </w:rPr>
        <w:t>(</w:t>
      </w:r>
      <w:r w:rsidRPr="00644B32">
        <w:rPr>
          <w:sz w:val="24"/>
          <w:szCs w:val="24"/>
        </w:rPr>
        <w:t>VCE</w:t>
      </w:r>
      <w:r>
        <w:rPr>
          <w:sz w:val="24"/>
          <w:szCs w:val="24"/>
        </w:rPr>
        <w:t>)</w:t>
      </w:r>
      <w:r w:rsidRPr="00644B32">
        <w:rPr>
          <w:sz w:val="24"/>
          <w:szCs w:val="24"/>
        </w:rPr>
        <w:t xml:space="preserve"> outcomes.</w:t>
      </w:r>
      <w:r w:rsidRPr="00644B32">
        <w:rPr>
          <w:rFonts w:cs="Calibri"/>
          <w:sz w:val="24"/>
          <w:szCs w:val="24"/>
          <w:lang w:val="en-US" w:eastAsia="en-AU"/>
        </w:rPr>
        <w:t xml:space="preserve"> </w:t>
      </w:r>
    </w:p>
    <w:p w:rsidR="002432F3" w:rsidRPr="00C1663B" w:rsidRDefault="002432F3" w:rsidP="008812FB">
      <w:pPr>
        <w:numPr>
          <w:ilvl w:val="1"/>
          <w:numId w:val="1"/>
        </w:numPr>
        <w:spacing w:after="120"/>
        <w:ind w:left="1077" w:hanging="357"/>
        <w:jc w:val="both"/>
        <w:rPr>
          <w:rFonts w:cs="Calibri"/>
          <w:sz w:val="24"/>
          <w:szCs w:val="24"/>
          <w:lang w:val="en-US" w:eastAsia="en-AU"/>
        </w:rPr>
      </w:pPr>
      <w:r w:rsidRPr="00644B32">
        <w:rPr>
          <w:sz w:val="24"/>
          <w:szCs w:val="24"/>
        </w:rPr>
        <w:t>A weak s</w:t>
      </w:r>
      <w:r w:rsidR="00343975">
        <w:rPr>
          <w:sz w:val="24"/>
          <w:szCs w:val="24"/>
        </w:rPr>
        <w:t>tudent scoring in the bottom 20 per cent</w:t>
      </w:r>
      <w:r w:rsidR="0039286A">
        <w:rPr>
          <w:sz w:val="24"/>
          <w:szCs w:val="24"/>
        </w:rPr>
        <w:t xml:space="preserve"> in year 9 numeracy and reading</w:t>
      </w:r>
      <w:r w:rsidR="00343975">
        <w:rPr>
          <w:sz w:val="24"/>
          <w:szCs w:val="24"/>
        </w:rPr>
        <w:t xml:space="preserve"> has a 9 per cent</w:t>
      </w:r>
      <w:r w:rsidRPr="00644B32">
        <w:rPr>
          <w:sz w:val="24"/>
          <w:szCs w:val="24"/>
        </w:rPr>
        <w:t xml:space="preserve"> chance of achieving an </w:t>
      </w:r>
      <w:r>
        <w:rPr>
          <w:sz w:val="24"/>
          <w:szCs w:val="24"/>
        </w:rPr>
        <w:t>Australia Tertiary Admission Rank (</w:t>
      </w:r>
      <w:r w:rsidRPr="00644B32">
        <w:rPr>
          <w:sz w:val="24"/>
          <w:szCs w:val="24"/>
        </w:rPr>
        <w:t>ATAR</w:t>
      </w:r>
      <w:r>
        <w:rPr>
          <w:sz w:val="24"/>
          <w:szCs w:val="24"/>
        </w:rPr>
        <w:t>)</w:t>
      </w:r>
      <w:r w:rsidRPr="00644B32">
        <w:rPr>
          <w:sz w:val="24"/>
          <w:szCs w:val="24"/>
        </w:rPr>
        <w:t xml:space="preserve"> of 50 or </w:t>
      </w:r>
      <w:r>
        <w:rPr>
          <w:sz w:val="24"/>
          <w:szCs w:val="24"/>
        </w:rPr>
        <w:t>above,</w:t>
      </w:r>
      <w:r w:rsidR="00343975">
        <w:rPr>
          <w:sz w:val="24"/>
          <w:szCs w:val="24"/>
        </w:rPr>
        <w:t xml:space="preserve"> a 3 per cent</w:t>
      </w:r>
      <w:r w:rsidRPr="00644B32">
        <w:rPr>
          <w:sz w:val="24"/>
          <w:szCs w:val="24"/>
        </w:rPr>
        <w:t xml:space="preserve"> chance of a</w:t>
      </w:r>
      <w:r w:rsidR="00343975">
        <w:rPr>
          <w:sz w:val="24"/>
          <w:szCs w:val="24"/>
        </w:rPr>
        <w:t>chieving an ATAR of 70, and a 1 per cent</w:t>
      </w:r>
      <w:r w:rsidRPr="00644B32">
        <w:rPr>
          <w:sz w:val="24"/>
          <w:szCs w:val="24"/>
        </w:rPr>
        <w:t xml:space="preserve"> chance of achieving an ATAR of 90</w:t>
      </w:r>
      <w:r>
        <w:rPr>
          <w:sz w:val="24"/>
          <w:szCs w:val="24"/>
        </w:rPr>
        <w:t xml:space="preserve">; </w:t>
      </w:r>
    </w:p>
    <w:p w:rsidR="002432F3" w:rsidRPr="00644B32" w:rsidRDefault="002432F3" w:rsidP="008812FB">
      <w:pPr>
        <w:numPr>
          <w:ilvl w:val="1"/>
          <w:numId w:val="1"/>
        </w:numPr>
        <w:spacing w:after="120"/>
        <w:ind w:left="1077" w:hanging="357"/>
        <w:jc w:val="both"/>
        <w:rPr>
          <w:rFonts w:cs="Calibri"/>
          <w:sz w:val="24"/>
          <w:szCs w:val="24"/>
          <w:lang w:val="en-US" w:eastAsia="en-AU"/>
        </w:rPr>
      </w:pPr>
      <w:r>
        <w:rPr>
          <w:sz w:val="24"/>
          <w:szCs w:val="24"/>
        </w:rPr>
        <w:t>F</w:t>
      </w:r>
      <w:r w:rsidRPr="00644B32">
        <w:rPr>
          <w:sz w:val="24"/>
          <w:szCs w:val="24"/>
        </w:rPr>
        <w:t>or a strong student</w:t>
      </w:r>
      <w:r>
        <w:rPr>
          <w:sz w:val="24"/>
          <w:szCs w:val="24"/>
        </w:rPr>
        <w:t>,</w:t>
      </w:r>
      <w:r w:rsidR="00343975">
        <w:rPr>
          <w:sz w:val="24"/>
          <w:szCs w:val="24"/>
        </w:rPr>
        <w:t xml:space="preserve"> scoring in the top 20 per cent</w:t>
      </w:r>
      <w:r w:rsidRPr="00644B32">
        <w:rPr>
          <w:sz w:val="24"/>
          <w:szCs w:val="24"/>
        </w:rPr>
        <w:t xml:space="preserve"> on both tests</w:t>
      </w:r>
      <w:r>
        <w:rPr>
          <w:sz w:val="24"/>
          <w:szCs w:val="24"/>
        </w:rPr>
        <w:t>,</w:t>
      </w:r>
      <w:r w:rsidRPr="00644B32">
        <w:rPr>
          <w:sz w:val="24"/>
          <w:szCs w:val="24"/>
        </w:rPr>
        <w:t xml:space="preserve"> the cor</w:t>
      </w:r>
      <w:r w:rsidR="00343975">
        <w:rPr>
          <w:sz w:val="24"/>
          <w:szCs w:val="24"/>
        </w:rPr>
        <w:t>responding probabilities are 86 per cent, 75 per cent and 38 per cent</w:t>
      </w:r>
      <w:r w:rsidRPr="00644B32">
        <w:rPr>
          <w:sz w:val="24"/>
          <w:szCs w:val="24"/>
        </w:rPr>
        <w:t xml:space="preserve">. </w:t>
      </w:r>
      <w:r>
        <w:rPr>
          <w:rFonts w:cs="Arial"/>
          <w:sz w:val="24"/>
          <w:szCs w:val="24"/>
        </w:rPr>
        <w:t xml:space="preserve">This is useful information for planning </w:t>
      </w:r>
      <w:r w:rsidRPr="00644B32">
        <w:rPr>
          <w:rFonts w:cs="Arial"/>
          <w:sz w:val="24"/>
          <w:szCs w:val="24"/>
          <w:lang w:val="en-US"/>
        </w:rPr>
        <w:t xml:space="preserve">students' trajectories </w:t>
      </w:r>
      <w:r>
        <w:rPr>
          <w:rFonts w:cs="Arial"/>
          <w:sz w:val="24"/>
          <w:szCs w:val="24"/>
          <w:lang w:val="en-US"/>
        </w:rPr>
        <w:t>through secondary school</w:t>
      </w:r>
      <w:r w:rsidRPr="00644B32">
        <w:rPr>
          <w:rFonts w:cs="Arial"/>
          <w:sz w:val="24"/>
          <w:szCs w:val="24"/>
          <w:lang w:val="en-US"/>
        </w:rPr>
        <w:t>.</w:t>
      </w:r>
    </w:p>
    <w:p w:rsidR="002432F3" w:rsidRPr="0020636E" w:rsidRDefault="002432F3" w:rsidP="008812FB">
      <w:pPr>
        <w:pStyle w:val="ListParagraph"/>
        <w:numPr>
          <w:ilvl w:val="0"/>
          <w:numId w:val="1"/>
        </w:numPr>
        <w:spacing w:after="120"/>
        <w:ind w:left="357" w:hanging="357"/>
        <w:contextualSpacing w:val="0"/>
        <w:rPr>
          <w:color w:val="1F497D"/>
          <w:lang w:val="en-US" w:bidi="he-IL"/>
        </w:rPr>
      </w:pPr>
      <w:r>
        <w:rPr>
          <w:sz w:val="24"/>
          <w:szCs w:val="24"/>
        </w:rPr>
        <w:t>Socio-economic status (SES) also has a substantial though weaker effect on VCE performance, after controlling for prior achievement. Measuring this effect calls attention to the limits that disadvantage places on educational opportunity in secondary school and beyond.</w:t>
      </w:r>
    </w:p>
    <w:p w:rsidR="002432F3" w:rsidRDefault="002432F3" w:rsidP="008812FB">
      <w:pPr>
        <w:pStyle w:val="ListParagraph"/>
        <w:numPr>
          <w:ilvl w:val="0"/>
          <w:numId w:val="1"/>
        </w:numPr>
        <w:spacing w:after="120"/>
        <w:ind w:left="357" w:hanging="357"/>
        <w:contextualSpacing w:val="0"/>
        <w:jc w:val="both"/>
        <w:rPr>
          <w:rFonts w:cs="Calibri"/>
          <w:sz w:val="24"/>
          <w:szCs w:val="24"/>
          <w:lang w:val="en-US" w:eastAsia="en-AU"/>
        </w:rPr>
      </w:pPr>
      <w:r w:rsidRPr="006061CB">
        <w:rPr>
          <w:sz w:val="24"/>
          <w:szCs w:val="24"/>
        </w:rPr>
        <w:lastRenderedPageBreak/>
        <w:t xml:space="preserve">At the school level, predicted success rates aggregated from individual </w:t>
      </w:r>
      <w:r w:rsidR="00343975">
        <w:rPr>
          <w:sz w:val="24"/>
          <w:szCs w:val="24"/>
        </w:rPr>
        <w:t>predictions account for over 82 per cent</w:t>
      </w:r>
      <w:r w:rsidRPr="006061CB">
        <w:rPr>
          <w:sz w:val="24"/>
          <w:szCs w:val="24"/>
        </w:rPr>
        <w:t xml:space="preserve"> of the variance in actual school success rates.</w:t>
      </w:r>
      <w:r w:rsidRPr="006061CB">
        <w:rPr>
          <w:rFonts w:cs="Calibri"/>
          <w:sz w:val="24"/>
          <w:szCs w:val="24"/>
          <w:lang w:val="en-US" w:eastAsia="en-AU"/>
        </w:rPr>
        <w:t xml:space="preserve"> Large divergences </w:t>
      </w:r>
      <w:r>
        <w:rPr>
          <w:rFonts w:cs="Calibri"/>
          <w:sz w:val="24"/>
          <w:szCs w:val="24"/>
          <w:lang w:val="en-US" w:eastAsia="en-AU"/>
        </w:rPr>
        <w:t xml:space="preserve">of actual from predicted outcomes are thus potentially informative and can be used to identify both struggling schools that need help and high-performing schools from which others can learn. </w:t>
      </w:r>
    </w:p>
    <w:p w:rsidR="002432F3" w:rsidRPr="006061CB" w:rsidRDefault="002432F3" w:rsidP="008812FB">
      <w:pPr>
        <w:pStyle w:val="ListParagraph"/>
        <w:numPr>
          <w:ilvl w:val="0"/>
          <w:numId w:val="1"/>
        </w:numPr>
        <w:spacing w:after="120"/>
        <w:ind w:left="357" w:hanging="357"/>
        <w:contextualSpacing w:val="0"/>
        <w:jc w:val="both"/>
        <w:rPr>
          <w:rFonts w:cs="Calibri"/>
          <w:sz w:val="24"/>
          <w:szCs w:val="24"/>
          <w:lang w:val="en-US" w:eastAsia="en-AU"/>
        </w:rPr>
      </w:pPr>
      <w:r>
        <w:rPr>
          <w:rFonts w:cs="Calibri"/>
          <w:sz w:val="24"/>
          <w:szCs w:val="24"/>
          <w:lang w:val="en-US" w:eastAsia="en-AU"/>
        </w:rPr>
        <w:t>These findings suggest that there may be more to be gained from considering how well year 7 NAPLAN scores predict VCE outcomes.</w:t>
      </w:r>
    </w:p>
    <w:p w:rsidR="008812FB" w:rsidRDefault="008812FB" w:rsidP="002432F3">
      <w:pPr>
        <w:pStyle w:val="H1"/>
        <w:spacing w:before="120" w:after="120"/>
        <w:jc w:val="both"/>
        <w:rPr>
          <w:rFonts w:ascii="Calibri" w:hAnsi="Calibri" w:cs="Calibri"/>
          <w:sz w:val="28"/>
          <w:szCs w:val="28"/>
        </w:rPr>
      </w:pPr>
    </w:p>
    <w:p w:rsidR="002432F3" w:rsidRPr="00644B32" w:rsidRDefault="002432F3" w:rsidP="002432F3">
      <w:pPr>
        <w:pStyle w:val="H1"/>
        <w:spacing w:before="120" w:after="120"/>
        <w:jc w:val="both"/>
        <w:rPr>
          <w:rFonts w:ascii="Calibri" w:hAnsi="Calibri" w:cs="Calibri"/>
          <w:sz w:val="28"/>
          <w:szCs w:val="28"/>
        </w:rPr>
      </w:pPr>
      <w:r w:rsidRPr="00644B32">
        <w:rPr>
          <w:rFonts w:ascii="Calibri" w:hAnsi="Calibri" w:cs="Calibri"/>
          <w:sz w:val="28"/>
          <w:szCs w:val="28"/>
        </w:rPr>
        <w:t>Project Background</w:t>
      </w:r>
    </w:p>
    <w:p w:rsidR="002432F3" w:rsidRPr="00E715C7" w:rsidRDefault="002432F3" w:rsidP="008812FB">
      <w:pPr>
        <w:pStyle w:val="ListParagraph"/>
        <w:numPr>
          <w:ilvl w:val="0"/>
          <w:numId w:val="7"/>
        </w:numPr>
        <w:spacing w:after="120"/>
        <w:ind w:left="357" w:hanging="357"/>
        <w:contextualSpacing w:val="0"/>
        <w:jc w:val="both"/>
        <w:rPr>
          <w:rFonts w:ascii="Arial" w:hAnsi="Arial" w:cs="Arial"/>
          <w:sz w:val="24"/>
          <w:szCs w:val="24"/>
        </w:rPr>
      </w:pPr>
      <w:r w:rsidRPr="00644B32">
        <w:rPr>
          <w:sz w:val="24"/>
          <w:szCs w:val="24"/>
        </w:rPr>
        <w:t xml:space="preserve">Previous analyses have established the internal consistency of NAPLAN test scores in identifying students’ core capabilities by demonstrating that early NAPLAN scores are reliable predictors of subsequent NAPLAN performance. </w:t>
      </w:r>
    </w:p>
    <w:p w:rsidR="002432F3" w:rsidRPr="00644B32" w:rsidRDefault="002432F3" w:rsidP="008812FB">
      <w:pPr>
        <w:pStyle w:val="ListParagraph"/>
        <w:numPr>
          <w:ilvl w:val="0"/>
          <w:numId w:val="7"/>
        </w:numPr>
        <w:spacing w:after="120"/>
        <w:ind w:left="357" w:hanging="357"/>
        <w:contextualSpacing w:val="0"/>
        <w:jc w:val="both"/>
        <w:rPr>
          <w:rFonts w:ascii="Arial" w:hAnsi="Arial" w:cs="Arial"/>
          <w:sz w:val="24"/>
          <w:szCs w:val="24"/>
        </w:rPr>
      </w:pPr>
      <w:r w:rsidRPr="00644B32">
        <w:rPr>
          <w:sz w:val="24"/>
          <w:szCs w:val="24"/>
        </w:rPr>
        <w:t>This research considers how well year 9 NAPLAN scores predict students' subsequent performance on year 12 VCE tests, which shape their future educational opportunities and life chances</w:t>
      </w:r>
      <w:r>
        <w:rPr>
          <w:sz w:val="24"/>
          <w:szCs w:val="24"/>
        </w:rPr>
        <w:t>, and how these outcomes are shaped by socio-economic factors</w:t>
      </w:r>
      <w:r w:rsidRPr="00644B32">
        <w:rPr>
          <w:sz w:val="24"/>
          <w:szCs w:val="24"/>
        </w:rPr>
        <w:t xml:space="preserve">. </w:t>
      </w:r>
    </w:p>
    <w:p w:rsidR="002432F3" w:rsidRDefault="002432F3" w:rsidP="002432F3">
      <w:pPr>
        <w:pStyle w:val="H1"/>
        <w:spacing w:before="120" w:after="120" w:line="276" w:lineRule="auto"/>
        <w:jc w:val="both"/>
        <w:rPr>
          <w:rFonts w:ascii="Calibri" w:hAnsi="Calibri" w:cs="Calibri"/>
          <w:sz w:val="28"/>
          <w:szCs w:val="28"/>
        </w:rPr>
      </w:pPr>
    </w:p>
    <w:p w:rsidR="002432F3" w:rsidRPr="00644B32" w:rsidRDefault="002432F3" w:rsidP="002432F3">
      <w:pPr>
        <w:pStyle w:val="H1"/>
        <w:spacing w:before="120" w:after="120" w:line="276" w:lineRule="auto"/>
        <w:jc w:val="both"/>
        <w:rPr>
          <w:rFonts w:ascii="Calibri" w:hAnsi="Calibri" w:cs="Calibri"/>
          <w:sz w:val="28"/>
          <w:szCs w:val="28"/>
        </w:rPr>
      </w:pPr>
      <w:r w:rsidRPr="00644B32">
        <w:rPr>
          <w:rFonts w:ascii="Calibri" w:hAnsi="Calibri" w:cs="Calibri"/>
          <w:sz w:val="28"/>
          <w:szCs w:val="28"/>
        </w:rPr>
        <w:t>Project Methodology</w:t>
      </w:r>
    </w:p>
    <w:p w:rsidR="002432F3" w:rsidRDefault="002432F3" w:rsidP="008812FB">
      <w:pPr>
        <w:pStyle w:val="ListParagraph"/>
        <w:numPr>
          <w:ilvl w:val="0"/>
          <w:numId w:val="8"/>
        </w:numPr>
        <w:spacing w:after="120"/>
        <w:ind w:left="357" w:hanging="357"/>
        <w:contextualSpacing w:val="0"/>
        <w:jc w:val="both"/>
        <w:rPr>
          <w:sz w:val="24"/>
          <w:szCs w:val="24"/>
        </w:rPr>
      </w:pPr>
      <w:r>
        <w:rPr>
          <w:sz w:val="24"/>
          <w:szCs w:val="24"/>
        </w:rPr>
        <w:t>This research uses NAPLAN scores for all</w:t>
      </w:r>
      <w:r w:rsidRPr="00644B32">
        <w:rPr>
          <w:sz w:val="24"/>
          <w:szCs w:val="24"/>
        </w:rPr>
        <w:t xml:space="preserve"> 67,867 year 9 students in Victoria in 2008</w:t>
      </w:r>
      <w:r>
        <w:rPr>
          <w:sz w:val="24"/>
          <w:szCs w:val="24"/>
        </w:rPr>
        <w:t xml:space="preserve">, linked by the </w:t>
      </w:r>
      <w:r w:rsidRPr="00485551">
        <w:rPr>
          <w:sz w:val="24"/>
          <w:szCs w:val="24"/>
        </w:rPr>
        <w:t>Victorian Curriculum and Assessment Authority (</w:t>
      </w:r>
      <w:r>
        <w:rPr>
          <w:sz w:val="24"/>
          <w:szCs w:val="24"/>
        </w:rPr>
        <w:t>VCAA) to 2011 VCE outcomes</w:t>
      </w:r>
      <w:r w:rsidRPr="00644B32">
        <w:rPr>
          <w:sz w:val="24"/>
          <w:szCs w:val="24"/>
        </w:rPr>
        <w:t xml:space="preserve">. </w:t>
      </w:r>
    </w:p>
    <w:p w:rsidR="002432F3" w:rsidRDefault="002432F3" w:rsidP="008812FB">
      <w:pPr>
        <w:pStyle w:val="ListParagraph"/>
        <w:numPr>
          <w:ilvl w:val="0"/>
          <w:numId w:val="8"/>
        </w:numPr>
        <w:spacing w:after="120"/>
        <w:ind w:left="357" w:hanging="357"/>
        <w:contextualSpacing w:val="0"/>
        <w:jc w:val="both"/>
        <w:rPr>
          <w:sz w:val="24"/>
          <w:szCs w:val="24"/>
        </w:rPr>
      </w:pPr>
      <w:r>
        <w:rPr>
          <w:sz w:val="24"/>
          <w:szCs w:val="24"/>
        </w:rPr>
        <w:t>E</w:t>
      </w:r>
      <w:r w:rsidRPr="00644B32">
        <w:rPr>
          <w:sz w:val="24"/>
          <w:szCs w:val="24"/>
        </w:rPr>
        <w:t>xplanatory variables include standardized year 9 NAPLAN</w:t>
      </w:r>
      <w:r>
        <w:rPr>
          <w:sz w:val="24"/>
          <w:szCs w:val="24"/>
        </w:rPr>
        <w:t xml:space="preserve"> scores in numeracy and reading</w:t>
      </w:r>
      <w:r w:rsidRPr="00644B32">
        <w:rPr>
          <w:sz w:val="24"/>
          <w:szCs w:val="24"/>
        </w:rPr>
        <w:t>; indicators for gender, language background other than E</w:t>
      </w:r>
      <w:r w:rsidR="00343975">
        <w:rPr>
          <w:sz w:val="24"/>
          <w:szCs w:val="24"/>
        </w:rPr>
        <w:t>nglish (LBOTE) and Aboriginal or</w:t>
      </w:r>
      <w:r w:rsidRPr="00644B32">
        <w:rPr>
          <w:sz w:val="24"/>
          <w:szCs w:val="24"/>
        </w:rPr>
        <w:t xml:space="preserve"> Torres Straits Islanders (ATSI); categorical variables describing mother’s and father’s education and occupation; and a</w:t>
      </w:r>
      <w:r>
        <w:rPr>
          <w:sz w:val="24"/>
          <w:szCs w:val="24"/>
        </w:rPr>
        <w:t xml:space="preserve"> private-school </w:t>
      </w:r>
      <w:r w:rsidRPr="00644B32">
        <w:rPr>
          <w:sz w:val="24"/>
          <w:szCs w:val="24"/>
        </w:rPr>
        <w:t>indicator</w:t>
      </w:r>
      <w:r>
        <w:rPr>
          <w:sz w:val="24"/>
          <w:szCs w:val="24"/>
        </w:rPr>
        <w:t>.</w:t>
      </w:r>
      <w:r w:rsidRPr="00644B32">
        <w:rPr>
          <w:sz w:val="24"/>
          <w:szCs w:val="24"/>
        </w:rPr>
        <w:t xml:space="preserve"> </w:t>
      </w:r>
    </w:p>
    <w:p w:rsidR="002432F3" w:rsidRPr="00644B32" w:rsidRDefault="002432F3" w:rsidP="008812FB">
      <w:pPr>
        <w:numPr>
          <w:ilvl w:val="0"/>
          <w:numId w:val="8"/>
        </w:numPr>
        <w:spacing w:after="120"/>
        <w:ind w:left="357" w:hanging="357"/>
        <w:jc w:val="both"/>
        <w:rPr>
          <w:b/>
          <w:bCs/>
          <w:sz w:val="24"/>
          <w:szCs w:val="24"/>
        </w:rPr>
      </w:pPr>
      <w:r>
        <w:rPr>
          <w:sz w:val="24"/>
          <w:szCs w:val="24"/>
        </w:rPr>
        <w:t xml:space="preserve">The </w:t>
      </w:r>
      <w:r w:rsidRPr="00644B32">
        <w:rPr>
          <w:sz w:val="24"/>
          <w:szCs w:val="24"/>
        </w:rPr>
        <w:t xml:space="preserve">outcome variables include Australian </w:t>
      </w:r>
      <w:r w:rsidR="00347C59">
        <w:rPr>
          <w:sz w:val="24"/>
          <w:szCs w:val="24"/>
        </w:rPr>
        <w:t>Tertiary Admission R</w:t>
      </w:r>
      <w:r w:rsidRPr="00644B32">
        <w:rPr>
          <w:sz w:val="24"/>
          <w:szCs w:val="24"/>
        </w:rPr>
        <w:t>ank</w:t>
      </w:r>
      <w:r>
        <w:rPr>
          <w:sz w:val="24"/>
          <w:szCs w:val="24"/>
        </w:rPr>
        <w:t>s</w:t>
      </w:r>
      <w:r w:rsidRPr="00644B32">
        <w:rPr>
          <w:sz w:val="24"/>
          <w:szCs w:val="24"/>
        </w:rPr>
        <w:t xml:space="preserve"> (ATAR)</w:t>
      </w:r>
      <w:r>
        <w:rPr>
          <w:sz w:val="24"/>
          <w:szCs w:val="24"/>
        </w:rPr>
        <w:t>,</w:t>
      </w:r>
      <w:r w:rsidRPr="00644B32">
        <w:rPr>
          <w:sz w:val="24"/>
          <w:szCs w:val="24"/>
        </w:rPr>
        <w:t xml:space="preserve"> </w:t>
      </w:r>
      <w:r>
        <w:rPr>
          <w:sz w:val="24"/>
          <w:szCs w:val="24"/>
        </w:rPr>
        <w:t xml:space="preserve">from which </w:t>
      </w:r>
      <w:r w:rsidRPr="00644B32">
        <w:rPr>
          <w:sz w:val="24"/>
          <w:szCs w:val="24"/>
        </w:rPr>
        <w:t>three binary variables</w:t>
      </w:r>
      <w:r w:rsidR="00347C59">
        <w:rPr>
          <w:sz w:val="24"/>
          <w:szCs w:val="24"/>
        </w:rPr>
        <w:t xml:space="preserve"> are created</w:t>
      </w:r>
      <w:r w:rsidRPr="00644B32">
        <w:rPr>
          <w:sz w:val="24"/>
          <w:szCs w:val="24"/>
        </w:rPr>
        <w:t>: achieving a</w:t>
      </w:r>
      <w:r>
        <w:rPr>
          <w:sz w:val="24"/>
          <w:szCs w:val="24"/>
        </w:rPr>
        <w:t xml:space="preserve"> rank</w:t>
      </w:r>
      <w:r w:rsidR="00347C59">
        <w:rPr>
          <w:sz w:val="24"/>
          <w:szCs w:val="24"/>
        </w:rPr>
        <w:t xml:space="preserve"> above 50, above 70, and above 90</w:t>
      </w:r>
      <w:r>
        <w:rPr>
          <w:sz w:val="24"/>
          <w:szCs w:val="24"/>
        </w:rPr>
        <w:t xml:space="preserve">. </w:t>
      </w:r>
    </w:p>
    <w:p w:rsidR="002432F3" w:rsidRPr="00644B32" w:rsidRDefault="002432F3" w:rsidP="002432F3">
      <w:pPr>
        <w:ind w:left="360"/>
        <w:jc w:val="both"/>
        <w:rPr>
          <w:b/>
          <w:sz w:val="24"/>
          <w:szCs w:val="24"/>
        </w:rPr>
      </w:pPr>
    </w:p>
    <w:p w:rsidR="002432F3" w:rsidRPr="008010E3" w:rsidRDefault="002432F3" w:rsidP="002432F3">
      <w:pPr>
        <w:pStyle w:val="H1"/>
        <w:spacing w:before="120" w:after="120" w:line="276" w:lineRule="auto"/>
        <w:jc w:val="both"/>
        <w:rPr>
          <w:rFonts w:ascii="Calibri" w:hAnsi="Calibri" w:cs="Calibri"/>
          <w:sz w:val="28"/>
          <w:szCs w:val="28"/>
        </w:rPr>
      </w:pPr>
      <w:r w:rsidRPr="008010E3">
        <w:rPr>
          <w:rFonts w:ascii="Calibri" w:hAnsi="Calibri" w:cs="Calibri"/>
          <w:sz w:val="28"/>
          <w:szCs w:val="28"/>
        </w:rPr>
        <w:t>Acknowledgments</w:t>
      </w:r>
    </w:p>
    <w:p w:rsidR="002432F3" w:rsidRDefault="002432F3" w:rsidP="002432F3">
      <w:pPr>
        <w:rPr>
          <w:rFonts w:cs="Arial"/>
          <w:sz w:val="24"/>
          <w:szCs w:val="24"/>
        </w:rPr>
      </w:pPr>
      <w:r w:rsidRPr="00644B32">
        <w:rPr>
          <w:rFonts w:cs="Arial"/>
          <w:sz w:val="24"/>
          <w:szCs w:val="24"/>
        </w:rPr>
        <w:t xml:space="preserve">This summary note is based on the 2014 research report, </w:t>
      </w:r>
      <w:r w:rsidRPr="00E715C7">
        <w:rPr>
          <w:rFonts w:cs="Arial"/>
          <w:i/>
          <w:iCs/>
          <w:sz w:val="24"/>
          <w:szCs w:val="24"/>
        </w:rPr>
        <w:t>NAPLAN Scores as Predictors of Access to Higher Education in Victoria</w:t>
      </w:r>
      <w:r w:rsidR="00FE1B18">
        <w:rPr>
          <w:rFonts w:cs="Arial"/>
          <w:iCs/>
          <w:sz w:val="24"/>
          <w:szCs w:val="24"/>
        </w:rPr>
        <w:t>,</w:t>
      </w:r>
      <w:bookmarkStart w:id="0" w:name="_GoBack"/>
      <w:bookmarkEnd w:id="0"/>
      <w:r w:rsidRPr="00644B32">
        <w:rPr>
          <w:rFonts w:cs="Arial"/>
          <w:sz w:val="24"/>
          <w:szCs w:val="24"/>
        </w:rPr>
        <w:t xml:space="preserve"> by Brendan Houng and Moshe Justman, which can be accessed at:</w:t>
      </w:r>
      <w:r>
        <w:rPr>
          <w:rFonts w:cs="Arial"/>
          <w:sz w:val="24"/>
          <w:szCs w:val="24"/>
        </w:rPr>
        <w:t xml:space="preserve"> </w:t>
      </w:r>
      <w:hyperlink r:id="rId18" w:history="1">
        <w:r w:rsidRPr="00BA16F7">
          <w:rPr>
            <w:rStyle w:val="Hyperlink"/>
            <w:rFonts w:cs="Arial"/>
            <w:sz w:val="24"/>
            <w:szCs w:val="24"/>
          </w:rPr>
          <w:t>https://www.melbourneinstitute.com/downloads/working_paper_series/wp2014n22.pdf</w:t>
        </w:r>
      </w:hyperlink>
    </w:p>
    <w:p w:rsidR="002432F3" w:rsidRPr="00644B32" w:rsidRDefault="002432F3" w:rsidP="002432F3">
      <w:pPr>
        <w:rPr>
          <w:rFonts w:cs="Arial"/>
          <w:sz w:val="24"/>
          <w:szCs w:val="24"/>
        </w:rPr>
      </w:pPr>
    </w:p>
    <w:p w:rsidR="002432F3" w:rsidRDefault="002432F3" w:rsidP="002432F3">
      <w:pPr>
        <w:tabs>
          <w:tab w:val="left" w:pos="7797"/>
          <w:tab w:val="left" w:pos="9615"/>
        </w:tabs>
        <w:spacing w:before="120"/>
        <w:ind w:right="-24"/>
        <w:rPr>
          <w:rFonts w:cs="Arial"/>
          <w:sz w:val="24"/>
          <w:szCs w:val="24"/>
        </w:rPr>
      </w:pPr>
    </w:p>
    <w:p w:rsidR="00C62DF2" w:rsidRPr="002432F3" w:rsidRDefault="002432F3" w:rsidP="002432F3">
      <w:pPr>
        <w:tabs>
          <w:tab w:val="left" w:pos="7797"/>
          <w:tab w:val="left" w:pos="9615"/>
        </w:tabs>
        <w:spacing w:before="120"/>
        <w:ind w:right="-24"/>
        <w:rPr>
          <w:rFonts w:cs="Calibri"/>
          <w:b/>
        </w:rPr>
      </w:pPr>
      <w:r w:rsidRPr="00E715C7">
        <w:rPr>
          <w:rFonts w:cs="Calibri"/>
          <w:b/>
        </w:rPr>
        <w:t>This research is a result of a partnership arrangement between the Department of Education and Early Childhood Development and the Melbourne Institute of Applied</w:t>
      </w:r>
      <w:r>
        <w:rPr>
          <w:rFonts w:cs="Calibri"/>
          <w:b/>
        </w:rPr>
        <w:t xml:space="preserve"> Economic and Social Research. </w:t>
      </w:r>
    </w:p>
    <w:sectPr w:rsidR="00C62DF2" w:rsidRPr="002432F3" w:rsidSect="005149E7">
      <w:headerReference w:type="default" r:id="rId19"/>
      <w:footerReference w:type="default" r:id="rId20"/>
      <w:pgSz w:w="11906" w:h="16838"/>
      <w:pgMar w:top="1440" w:right="127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27" w:rsidRDefault="00923727" w:rsidP="00C62DF2">
      <w:pPr>
        <w:spacing w:after="0" w:line="240" w:lineRule="auto"/>
      </w:pPr>
      <w:r>
        <w:separator/>
      </w:r>
    </w:p>
  </w:endnote>
  <w:endnote w:type="continuationSeparator" w:id="0">
    <w:p w:rsidR="00923727" w:rsidRDefault="00923727" w:rsidP="00C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DF" w:rsidRDefault="00F67D82">
    <w:pPr>
      <w:pStyle w:val="Footer"/>
    </w:pPr>
    <w:r>
      <w:rPr>
        <w:noProof/>
        <w:lang w:eastAsia="en-AU"/>
      </w:rPr>
      <mc:AlternateContent>
        <mc:Choice Requires="wps">
          <w:drawing>
            <wp:anchor distT="0" distB="0" distL="114300" distR="114300" simplePos="0" relativeHeight="251657728" behindDoc="0" locked="0" layoutInCell="1" allowOverlap="1">
              <wp:simplePos x="0" y="0"/>
              <wp:positionH relativeFrom="margin">
                <wp:posOffset>-965200</wp:posOffset>
              </wp:positionH>
              <wp:positionV relativeFrom="page">
                <wp:posOffset>9896475</wp:posOffset>
              </wp:positionV>
              <wp:extent cx="15083155" cy="942975"/>
              <wp:effectExtent l="0" t="0" r="444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3155" cy="94297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7" o:spid="_x0000_s1026" style="position:absolute;margin-left:-76pt;margin-top:779.25pt;width:1187.65pt;height: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" fillcolor="#4f81bd" stroked="f" strokeweight="2pt">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27" w:rsidRDefault="00923727" w:rsidP="00C62DF2">
      <w:pPr>
        <w:spacing w:after="0" w:line="240" w:lineRule="auto"/>
      </w:pPr>
      <w:r>
        <w:separator/>
      </w:r>
    </w:p>
  </w:footnote>
  <w:footnote w:type="continuationSeparator" w:id="0">
    <w:p w:rsidR="00923727" w:rsidRDefault="00923727" w:rsidP="00C62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DF" w:rsidRPr="00C93443" w:rsidRDefault="00F67D82" w:rsidP="00C93443">
    <w:pPr>
      <w:pStyle w:val="Header"/>
      <w:jc w:val="both"/>
      <w:rPr>
        <w:color w:val="FFFF00"/>
      </w:rPr>
    </w:pP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ge">
                <wp:align>top</wp:align>
              </wp:positionV>
              <wp:extent cx="10800080" cy="946150"/>
              <wp:effectExtent l="0" t="0" r="127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80" cy="946150"/>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8" o:spid="_x0000_s1026" style="position:absolute;margin-left:0;margin-top:0;width:850.4pt;height:74.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" fillcolor="#4f81bd" stroked="f" strokeweight="2pt">
              <w10:wrap anchorx="margin" anchory="page"/>
            </v:rect>
          </w:pict>
        </mc:Fallback>
      </mc:AlternateContent>
    </w:r>
  </w:p>
  <w:p w:rsidR="00DE5DDF" w:rsidRDefault="00923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93D"/>
    <w:multiLevelType w:val="hybridMultilevel"/>
    <w:tmpl w:val="18FE263C"/>
    <w:lvl w:ilvl="0" w:tplc="1ED6458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502"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76B6318"/>
    <w:multiLevelType w:val="hybridMultilevel"/>
    <w:tmpl w:val="E04666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314515F"/>
    <w:multiLevelType w:val="hybridMultilevel"/>
    <w:tmpl w:val="E40C3F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6470A8E"/>
    <w:multiLevelType w:val="hybridMultilevel"/>
    <w:tmpl w:val="41B071E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4A17AA"/>
    <w:multiLevelType w:val="hybridMultilevel"/>
    <w:tmpl w:val="9FC284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74715DD3"/>
    <w:multiLevelType w:val="hybridMultilevel"/>
    <w:tmpl w:val="5A4A5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CF34DAA"/>
    <w:multiLevelType w:val="hybridMultilevel"/>
    <w:tmpl w:val="4F864854"/>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01030"/>
    <w:multiLevelType w:val="hybridMultilevel"/>
    <w:tmpl w:val="3C3C2B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F2"/>
    <w:rsid w:val="00013778"/>
    <w:rsid w:val="001802A5"/>
    <w:rsid w:val="002432F3"/>
    <w:rsid w:val="002622DF"/>
    <w:rsid w:val="00343975"/>
    <w:rsid w:val="00347C59"/>
    <w:rsid w:val="0039286A"/>
    <w:rsid w:val="00433282"/>
    <w:rsid w:val="0054525E"/>
    <w:rsid w:val="0055552F"/>
    <w:rsid w:val="00624626"/>
    <w:rsid w:val="00762DFB"/>
    <w:rsid w:val="00771FC6"/>
    <w:rsid w:val="007A3E60"/>
    <w:rsid w:val="008812FB"/>
    <w:rsid w:val="00891BA8"/>
    <w:rsid w:val="008A426E"/>
    <w:rsid w:val="008B635A"/>
    <w:rsid w:val="00903C2A"/>
    <w:rsid w:val="00923727"/>
    <w:rsid w:val="009A71D6"/>
    <w:rsid w:val="00A132CD"/>
    <w:rsid w:val="00A55D93"/>
    <w:rsid w:val="00A57497"/>
    <w:rsid w:val="00A71463"/>
    <w:rsid w:val="00A82A74"/>
    <w:rsid w:val="00C62DF2"/>
    <w:rsid w:val="00CA3DA1"/>
    <w:rsid w:val="00CA5C81"/>
    <w:rsid w:val="00CE5F64"/>
    <w:rsid w:val="00D40C64"/>
    <w:rsid w:val="00D60F5E"/>
    <w:rsid w:val="00DE2C96"/>
    <w:rsid w:val="00DE2EF9"/>
    <w:rsid w:val="00DF1718"/>
    <w:rsid w:val="00F071B1"/>
    <w:rsid w:val="00F21305"/>
    <w:rsid w:val="00F330A2"/>
    <w:rsid w:val="00F67D82"/>
    <w:rsid w:val="00FE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F2"/>
    <w:pPr>
      <w:tabs>
        <w:tab w:val="center" w:pos="4513"/>
        <w:tab w:val="right" w:pos="9026"/>
      </w:tabs>
    </w:pPr>
  </w:style>
  <w:style w:type="character" w:customStyle="1" w:styleId="HeaderChar">
    <w:name w:val="Header Char"/>
    <w:basedOn w:val="DefaultParagraphFont"/>
    <w:link w:val="Header"/>
    <w:uiPriority w:val="99"/>
    <w:rsid w:val="00C62DF2"/>
    <w:rPr>
      <w:rFonts w:ascii="Calibri" w:eastAsia="Calibri" w:hAnsi="Calibri" w:cs="Times New Roman"/>
    </w:rPr>
  </w:style>
  <w:style w:type="paragraph" w:styleId="Footer">
    <w:name w:val="footer"/>
    <w:basedOn w:val="Normal"/>
    <w:link w:val="FooterChar"/>
    <w:uiPriority w:val="99"/>
    <w:unhideWhenUsed/>
    <w:rsid w:val="00C62DF2"/>
    <w:pPr>
      <w:tabs>
        <w:tab w:val="center" w:pos="4513"/>
        <w:tab w:val="right" w:pos="9026"/>
      </w:tabs>
    </w:pPr>
  </w:style>
  <w:style w:type="character" w:customStyle="1" w:styleId="FooterChar">
    <w:name w:val="Footer Char"/>
    <w:basedOn w:val="DefaultParagraphFont"/>
    <w:link w:val="Footer"/>
    <w:uiPriority w:val="99"/>
    <w:rsid w:val="00C62DF2"/>
    <w:rPr>
      <w:rFonts w:ascii="Calibri" w:eastAsia="Calibri" w:hAnsi="Calibri" w:cs="Times New Roman"/>
    </w:rPr>
  </w:style>
  <w:style w:type="paragraph" w:customStyle="1" w:styleId="H1">
    <w:name w:val="H1"/>
    <w:basedOn w:val="Normal"/>
    <w:uiPriority w:val="99"/>
    <w:rsid w:val="00C62DF2"/>
    <w:pPr>
      <w:suppressAutoHyphens/>
      <w:autoSpaceDE w:val="0"/>
      <w:autoSpaceDN w:val="0"/>
      <w:adjustRightInd w:val="0"/>
      <w:spacing w:before="283" w:after="283" w:line="280" w:lineRule="atLeast"/>
      <w:textAlignment w:val="center"/>
    </w:pPr>
    <w:rPr>
      <w:rFonts w:ascii="Verdana" w:hAnsi="Verdana" w:cs="Verdana"/>
      <w:b/>
      <w:bCs/>
      <w:color w:val="005696"/>
      <w:sz w:val="24"/>
      <w:szCs w:val="24"/>
      <w:u w:color="005596"/>
      <w:lang w:val="en-US" w:eastAsia="en-AU"/>
    </w:rPr>
  </w:style>
  <w:style w:type="character" w:styleId="Hyperlink">
    <w:name w:val="Hyperlink"/>
    <w:uiPriority w:val="99"/>
    <w:unhideWhenUsed/>
    <w:rsid w:val="00C62DF2"/>
    <w:rPr>
      <w:color w:val="0000FF"/>
      <w:u w:val="single"/>
    </w:rPr>
  </w:style>
  <w:style w:type="paragraph" w:styleId="ListParagraph">
    <w:name w:val="List Paragraph"/>
    <w:basedOn w:val="Normal"/>
    <w:uiPriority w:val="34"/>
    <w:qFormat/>
    <w:rsid w:val="00C62DF2"/>
    <w:pPr>
      <w:ind w:left="720"/>
      <w:contextualSpacing/>
    </w:pPr>
  </w:style>
  <w:style w:type="paragraph" w:styleId="BalloonText">
    <w:name w:val="Balloon Text"/>
    <w:basedOn w:val="Normal"/>
    <w:link w:val="BalloonTextChar"/>
    <w:uiPriority w:val="99"/>
    <w:semiHidden/>
    <w:unhideWhenUsed/>
    <w:rsid w:val="00C6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DF2"/>
    <w:rPr>
      <w:rFonts w:ascii="Tahoma" w:eastAsia="Calibri" w:hAnsi="Tahoma" w:cs="Tahoma"/>
      <w:sz w:val="16"/>
      <w:szCs w:val="16"/>
    </w:rPr>
  </w:style>
  <w:style w:type="paragraph" w:styleId="FootnoteText">
    <w:name w:val="footnote text"/>
    <w:basedOn w:val="Normal"/>
    <w:link w:val="FootnoteTextChar"/>
    <w:uiPriority w:val="99"/>
    <w:semiHidden/>
    <w:unhideWhenUsed/>
    <w:rsid w:val="00C62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DF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62DF2"/>
    <w:rPr>
      <w:vertAlign w:val="superscript"/>
    </w:rPr>
  </w:style>
  <w:style w:type="character" w:styleId="CommentReference">
    <w:name w:val="annotation reference"/>
    <w:basedOn w:val="DefaultParagraphFont"/>
    <w:uiPriority w:val="99"/>
    <w:semiHidden/>
    <w:unhideWhenUsed/>
    <w:rsid w:val="008A426E"/>
    <w:rPr>
      <w:sz w:val="16"/>
      <w:szCs w:val="16"/>
    </w:rPr>
  </w:style>
  <w:style w:type="paragraph" w:styleId="CommentText">
    <w:name w:val="annotation text"/>
    <w:basedOn w:val="Normal"/>
    <w:link w:val="CommentTextChar"/>
    <w:uiPriority w:val="99"/>
    <w:semiHidden/>
    <w:unhideWhenUsed/>
    <w:rsid w:val="008A426E"/>
    <w:pPr>
      <w:spacing w:line="240" w:lineRule="auto"/>
    </w:pPr>
    <w:rPr>
      <w:sz w:val="20"/>
      <w:szCs w:val="20"/>
    </w:rPr>
  </w:style>
  <w:style w:type="character" w:customStyle="1" w:styleId="CommentTextChar">
    <w:name w:val="Comment Text Char"/>
    <w:basedOn w:val="DefaultParagraphFont"/>
    <w:link w:val="CommentText"/>
    <w:uiPriority w:val="99"/>
    <w:semiHidden/>
    <w:rsid w:val="008A42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426E"/>
    <w:rPr>
      <w:b/>
      <w:bCs/>
    </w:rPr>
  </w:style>
  <w:style w:type="character" w:customStyle="1" w:styleId="CommentSubjectChar">
    <w:name w:val="Comment Subject Char"/>
    <w:basedOn w:val="CommentTextChar"/>
    <w:link w:val="CommentSubject"/>
    <w:uiPriority w:val="99"/>
    <w:semiHidden/>
    <w:rsid w:val="008A426E"/>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0137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F2"/>
    <w:pPr>
      <w:tabs>
        <w:tab w:val="center" w:pos="4513"/>
        <w:tab w:val="right" w:pos="9026"/>
      </w:tabs>
    </w:pPr>
  </w:style>
  <w:style w:type="character" w:customStyle="1" w:styleId="HeaderChar">
    <w:name w:val="Header Char"/>
    <w:basedOn w:val="DefaultParagraphFont"/>
    <w:link w:val="Header"/>
    <w:uiPriority w:val="99"/>
    <w:rsid w:val="00C62DF2"/>
    <w:rPr>
      <w:rFonts w:ascii="Calibri" w:eastAsia="Calibri" w:hAnsi="Calibri" w:cs="Times New Roman"/>
    </w:rPr>
  </w:style>
  <w:style w:type="paragraph" w:styleId="Footer">
    <w:name w:val="footer"/>
    <w:basedOn w:val="Normal"/>
    <w:link w:val="FooterChar"/>
    <w:uiPriority w:val="99"/>
    <w:unhideWhenUsed/>
    <w:rsid w:val="00C62DF2"/>
    <w:pPr>
      <w:tabs>
        <w:tab w:val="center" w:pos="4513"/>
        <w:tab w:val="right" w:pos="9026"/>
      </w:tabs>
    </w:pPr>
  </w:style>
  <w:style w:type="character" w:customStyle="1" w:styleId="FooterChar">
    <w:name w:val="Footer Char"/>
    <w:basedOn w:val="DefaultParagraphFont"/>
    <w:link w:val="Footer"/>
    <w:uiPriority w:val="99"/>
    <w:rsid w:val="00C62DF2"/>
    <w:rPr>
      <w:rFonts w:ascii="Calibri" w:eastAsia="Calibri" w:hAnsi="Calibri" w:cs="Times New Roman"/>
    </w:rPr>
  </w:style>
  <w:style w:type="paragraph" w:customStyle="1" w:styleId="H1">
    <w:name w:val="H1"/>
    <w:basedOn w:val="Normal"/>
    <w:uiPriority w:val="99"/>
    <w:rsid w:val="00C62DF2"/>
    <w:pPr>
      <w:suppressAutoHyphens/>
      <w:autoSpaceDE w:val="0"/>
      <w:autoSpaceDN w:val="0"/>
      <w:adjustRightInd w:val="0"/>
      <w:spacing w:before="283" w:after="283" w:line="280" w:lineRule="atLeast"/>
      <w:textAlignment w:val="center"/>
    </w:pPr>
    <w:rPr>
      <w:rFonts w:ascii="Verdana" w:hAnsi="Verdana" w:cs="Verdana"/>
      <w:b/>
      <w:bCs/>
      <w:color w:val="005696"/>
      <w:sz w:val="24"/>
      <w:szCs w:val="24"/>
      <w:u w:color="005596"/>
      <w:lang w:val="en-US" w:eastAsia="en-AU"/>
    </w:rPr>
  </w:style>
  <w:style w:type="character" w:styleId="Hyperlink">
    <w:name w:val="Hyperlink"/>
    <w:uiPriority w:val="99"/>
    <w:unhideWhenUsed/>
    <w:rsid w:val="00C62DF2"/>
    <w:rPr>
      <w:color w:val="0000FF"/>
      <w:u w:val="single"/>
    </w:rPr>
  </w:style>
  <w:style w:type="paragraph" w:styleId="ListParagraph">
    <w:name w:val="List Paragraph"/>
    <w:basedOn w:val="Normal"/>
    <w:uiPriority w:val="34"/>
    <w:qFormat/>
    <w:rsid w:val="00C62DF2"/>
    <w:pPr>
      <w:ind w:left="720"/>
      <w:contextualSpacing/>
    </w:pPr>
  </w:style>
  <w:style w:type="paragraph" w:styleId="BalloonText">
    <w:name w:val="Balloon Text"/>
    <w:basedOn w:val="Normal"/>
    <w:link w:val="BalloonTextChar"/>
    <w:uiPriority w:val="99"/>
    <w:semiHidden/>
    <w:unhideWhenUsed/>
    <w:rsid w:val="00C6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DF2"/>
    <w:rPr>
      <w:rFonts w:ascii="Tahoma" w:eastAsia="Calibri" w:hAnsi="Tahoma" w:cs="Tahoma"/>
      <w:sz w:val="16"/>
      <w:szCs w:val="16"/>
    </w:rPr>
  </w:style>
  <w:style w:type="paragraph" w:styleId="FootnoteText">
    <w:name w:val="footnote text"/>
    <w:basedOn w:val="Normal"/>
    <w:link w:val="FootnoteTextChar"/>
    <w:uiPriority w:val="99"/>
    <w:semiHidden/>
    <w:unhideWhenUsed/>
    <w:rsid w:val="00C62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DF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62DF2"/>
    <w:rPr>
      <w:vertAlign w:val="superscript"/>
    </w:rPr>
  </w:style>
  <w:style w:type="character" w:styleId="CommentReference">
    <w:name w:val="annotation reference"/>
    <w:basedOn w:val="DefaultParagraphFont"/>
    <w:uiPriority w:val="99"/>
    <w:semiHidden/>
    <w:unhideWhenUsed/>
    <w:rsid w:val="008A426E"/>
    <w:rPr>
      <w:sz w:val="16"/>
      <w:szCs w:val="16"/>
    </w:rPr>
  </w:style>
  <w:style w:type="paragraph" w:styleId="CommentText">
    <w:name w:val="annotation text"/>
    <w:basedOn w:val="Normal"/>
    <w:link w:val="CommentTextChar"/>
    <w:uiPriority w:val="99"/>
    <w:semiHidden/>
    <w:unhideWhenUsed/>
    <w:rsid w:val="008A426E"/>
    <w:pPr>
      <w:spacing w:line="240" w:lineRule="auto"/>
    </w:pPr>
    <w:rPr>
      <w:sz w:val="20"/>
      <w:szCs w:val="20"/>
    </w:rPr>
  </w:style>
  <w:style w:type="character" w:customStyle="1" w:styleId="CommentTextChar">
    <w:name w:val="Comment Text Char"/>
    <w:basedOn w:val="DefaultParagraphFont"/>
    <w:link w:val="CommentText"/>
    <w:uiPriority w:val="99"/>
    <w:semiHidden/>
    <w:rsid w:val="008A42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426E"/>
    <w:rPr>
      <w:b/>
      <w:bCs/>
    </w:rPr>
  </w:style>
  <w:style w:type="character" w:customStyle="1" w:styleId="CommentSubjectChar">
    <w:name w:val="Comment Subject Char"/>
    <w:basedOn w:val="CommentTextChar"/>
    <w:link w:val="CommentSubject"/>
    <w:uiPriority w:val="99"/>
    <w:semiHidden/>
    <w:rsid w:val="008A426E"/>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013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yperlink" Target="https://www.melbourneinstitute.com/downloads/working_paper_series/wp2014n2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0.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0.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93</Value>
      <Value>101</Value>
    </TaxCatchAll>
    <DEECD_Expired xmlns="http://schemas.microsoft.com/sharepoint/v3">false</DEECD_Expired>
    <DEECD_Keywords xmlns="http://schemas.microsoft.com/sharepoint/v3">peer effects, peer achievement, peer effect, NAPLAN achievement</DEECD_Keywords>
    <PublishingExpirationDate xmlns="http://schemas.microsoft.com/sharepoint/v3" xsi:nil="true"/>
    <DEECD_Description xmlns="http://schemas.microsoft.com/sharepoint/v3">This research examines the extent to which Year 9 NAPLAN performance predicts access to higher education as determined by subsequent achievement in Year 12 VCE outcomes.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FD900-9FB9-4570-B389-CD8EA3C07CC2}"/>
</file>

<file path=customXml/itemProps2.xml><?xml version="1.0" encoding="utf-8"?>
<ds:datastoreItem xmlns:ds="http://schemas.openxmlformats.org/officeDocument/2006/customXml" ds:itemID="{C516BB36-C4FA-4662-BDAC-AAA9591C0D3F}"/>
</file>

<file path=customXml/itemProps3.xml><?xml version="1.0" encoding="utf-8"?>
<ds:datastoreItem xmlns:ds="http://schemas.openxmlformats.org/officeDocument/2006/customXml" ds:itemID="{596B29D6-E41C-41FC-A429-92A3BEF4515A}"/>
</file>

<file path=customXml/itemProps4.xml><?xml version="1.0" encoding="utf-8"?>
<ds:datastoreItem xmlns:ds="http://schemas.openxmlformats.org/officeDocument/2006/customXml" ds:itemID="{D587B36B-C1C1-417A-80DD-2CC537925E93}"/>
</file>

<file path=docProps/app.xml><?xml version="1.0" encoding="utf-8"?>
<Properties xmlns="http://schemas.openxmlformats.org/officeDocument/2006/extended-properties" xmlns:vt="http://schemas.openxmlformats.org/officeDocument/2006/docPropsVTypes">
  <Template>Normal.dotm</Template>
  <TotalTime>27</TotalTime>
  <Pages>2</Pages>
  <Words>521</Words>
  <Characters>2976</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DEECD</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NAPLAN Scores as Predictors of Access to Higher Education in Victoria</dc:title>
  <dc:creator>Endekov, Zoran Z</dc:creator>
  <cp:lastModifiedBy>Endekov, Zoran Z</cp:lastModifiedBy>
  <cp:revision>14</cp:revision>
  <cp:lastPrinted>2014-08-19T00:00:00Z</cp:lastPrinted>
  <dcterms:created xsi:type="dcterms:W3CDTF">2014-08-19T00:14:00Z</dcterms:created>
  <dcterms:modified xsi:type="dcterms:W3CDTF">2014-11-20T04:26:00Z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93;#General Public|ef488336-45f4-40cf-bd6f-84d3a45c44c0</vt:lpwstr>
  </property>
  <property fmtid="{D5CDD505-2E9C-101B-9397-08002B2CF9AE}" pid="7" name="Order">
    <vt:r8>1991000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