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36" w:rsidRDefault="008C7AD0" w:rsidP="003D452F">
      <w:pPr>
        <w:rPr>
          <w:b/>
          <w:i/>
          <w:sz w:val="72"/>
          <w:szCs w:val="72"/>
        </w:rPr>
      </w:pPr>
      <w:r w:rsidRPr="003D452F">
        <w:rPr>
          <w:b/>
          <w:i/>
          <w:sz w:val="72"/>
          <w:szCs w:val="72"/>
        </w:rPr>
        <w:t>Lifting Our Game</w:t>
      </w:r>
      <w:r w:rsidR="003D452F" w:rsidRPr="003D452F">
        <w:rPr>
          <w:b/>
          <w:i/>
          <w:sz w:val="72"/>
          <w:szCs w:val="72"/>
        </w:rPr>
        <w:t xml:space="preserve"> </w:t>
      </w:r>
    </w:p>
    <w:p w:rsidR="003D452F" w:rsidRPr="003D452F" w:rsidRDefault="003D452F" w:rsidP="003D452F">
      <w:pPr>
        <w:rPr>
          <w:b/>
          <w:sz w:val="72"/>
          <w:szCs w:val="72"/>
        </w:rPr>
      </w:pPr>
      <w:r w:rsidRPr="003D452F">
        <w:rPr>
          <w:b/>
          <w:sz w:val="72"/>
          <w:szCs w:val="72"/>
        </w:rPr>
        <w:t>Report of the Review to Achieve Educational Excellence in Australian Schools through Early Childhood Interventions</w:t>
      </w:r>
    </w:p>
    <w:p w:rsidR="008C7AD0" w:rsidRPr="008C7AD0" w:rsidRDefault="008C7AD0" w:rsidP="008C7AD0">
      <w:pPr>
        <w:rPr>
          <w:b/>
          <w:i/>
          <w:sz w:val="72"/>
        </w:rPr>
      </w:pPr>
    </w:p>
    <w:p w:rsidR="00113999" w:rsidRDefault="00113999" w:rsidP="003A6927">
      <w:pPr>
        <w:rPr>
          <w:sz w:val="36"/>
        </w:rPr>
      </w:pPr>
    </w:p>
    <w:p w:rsidR="003D452F" w:rsidRDefault="003D452F" w:rsidP="003A6927">
      <w:pPr>
        <w:rPr>
          <w:sz w:val="36"/>
        </w:rPr>
      </w:pPr>
    </w:p>
    <w:p w:rsidR="003D452F" w:rsidRDefault="003D452F" w:rsidP="003A6927">
      <w:pPr>
        <w:rPr>
          <w:sz w:val="36"/>
        </w:rPr>
      </w:pPr>
    </w:p>
    <w:p w:rsidR="003D452F" w:rsidRDefault="003D452F" w:rsidP="003A6927">
      <w:pPr>
        <w:rPr>
          <w:sz w:val="36"/>
        </w:rPr>
      </w:pPr>
    </w:p>
    <w:p w:rsidR="003D452F" w:rsidRDefault="003D452F" w:rsidP="003A6927">
      <w:pPr>
        <w:rPr>
          <w:sz w:val="36"/>
        </w:rPr>
      </w:pPr>
    </w:p>
    <w:p w:rsidR="003D452F" w:rsidRDefault="003D452F" w:rsidP="003A6927">
      <w:pPr>
        <w:rPr>
          <w:sz w:val="36"/>
        </w:rPr>
      </w:pPr>
    </w:p>
    <w:p w:rsidR="00113999" w:rsidRDefault="00113999" w:rsidP="003A6927"/>
    <w:p w:rsidR="006C6CDB" w:rsidRDefault="006C6CDB" w:rsidP="006C6CDB">
      <w:pPr>
        <w:rPr>
          <w:b/>
        </w:rPr>
      </w:pPr>
    </w:p>
    <w:p w:rsidR="006C6CDB" w:rsidRDefault="00181266" w:rsidP="006C6CDB">
      <w:pPr>
        <w:rPr>
          <w:b/>
        </w:rPr>
      </w:pPr>
      <w:r>
        <w:rPr>
          <w:b/>
        </w:rPr>
        <w:t xml:space="preserve">December </w:t>
      </w:r>
      <w:r w:rsidR="006C6CDB">
        <w:rPr>
          <w:b/>
        </w:rPr>
        <w:t>2017</w:t>
      </w:r>
    </w:p>
    <w:p w:rsidR="00E45666" w:rsidRDefault="00E45666" w:rsidP="003A6927">
      <w:pPr>
        <w:rPr>
          <w:b/>
        </w:rPr>
      </w:pPr>
    </w:p>
    <w:p w:rsidR="00113999" w:rsidRDefault="00113999" w:rsidP="003A6927">
      <w:pPr>
        <w:rPr>
          <w:b/>
        </w:rPr>
      </w:pPr>
    </w:p>
    <w:p w:rsidR="00E45666" w:rsidRDefault="00E45666" w:rsidP="003A6927">
      <w:pPr>
        <w:rPr>
          <w:b/>
        </w:rPr>
      </w:pPr>
      <w:r>
        <w:rPr>
          <w:b/>
        </w:rPr>
        <w:t>Susan Pascoe AM</w:t>
      </w:r>
    </w:p>
    <w:p w:rsidR="00E45666" w:rsidRDefault="00E45666" w:rsidP="00A516DA">
      <w:pPr>
        <w:spacing w:line="276" w:lineRule="auto"/>
        <w:rPr>
          <w:b/>
        </w:rPr>
      </w:pPr>
      <w:r>
        <w:rPr>
          <w:b/>
        </w:rPr>
        <w:t>Professor Deborah Brennan</w:t>
      </w:r>
      <w:r>
        <w:rPr>
          <w:b/>
        </w:rPr>
        <w:br w:type="page"/>
      </w:r>
    </w:p>
    <w:p w:rsidR="00D31E34" w:rsidRDefault="00D31E34" w:rsidP="00D31E34">
      <w:r>
        <w:lastRenderedPageBreak/>
        <w:t>Report of the Review to Achieve Educational Excellence in Australian Schools through Early Childhood Interventions, 2017</w:t>
      </w:r>
    </w:p>
    <w:p w:rsidR="00D31E34" w:rsidRDefault="00D31E34" w:rsidP="00D31E34">
      <w:pPr>
        <w:rPr>
          <w:b/>
        </w:rPr>
      </w:pPr>
      <w:r>
        <w:rPr>
          <w:b/>
        </w:rPr>
        <w:t xml:space="preserve">Content Coordination and Editorial Services </w:t>
      </w:r>
    </w:p>
    <w:p w:rsidR="00D31E34" w:rsidRDefault="00D31E34" w:rsidP="00D31E34">
      <w:r>
        <w:t xml:space="preserve">The Secretariat supporting the </w:t>
      </w:r>
      <w:r w:rsidR="00061331">
        <w:t>Review</w:t>
      </w:r>
    </w:p>
    <w:p w:rsidR="00D31E34" w:rsidRPr="006F1674" w:rsidRDefault="00D31E34" w:rsidP="00D31E34">
      <w:pPr>
        <w:rPr>
          <w:b/>
        </w:rPr>
      </w:pPr>
      <w:r w:rsidRPr="006F1674">
        <w:rPr>
          <w:b/>
        </w:rPr>
        <w:t>Design</w:t>
      </w:r>
      <w:r>
        <w:rPr>
          <w:b/>
        </w:rPr>
        <w:t xml:space="preserve"> and Print Production</w:t>
      </w:r>
    </w:p>
    <w:p w:rsidR="00D31E34" w:rsidRDefault="00D31E34" w:rsidP="00D31E34">
      <w:r>
        <w:t>Three’s A Crowd</w:t>
      </w:r>
    </w:p>
    <w:p w:rsidR="00D31E34" w:rsidRPr="000062C1" w:rsidRDefault="00D31E34" w:rsidP="00D31E34">
      <w:pPr>
        <w:rPr>
          <w:rFonts w:ascii="Calibri" w:hAnsi="Calibri" w:cs="Calibri"/>
          <w:bCs/>
          <w:color w:val="000000"/>
          <w:szCs w:val="24"/>
        </w:rPr>
      </w:pPr>
      <w:r w:rsidRPr="000062C1">
        <w:rPr>
          <w:rFonts w:ascii="Calibri" w:hAnsi="Calibri" w:cs="Calibri"/>
          <w:bCs/>
          <w:color w:val="000000"/>
          <w:szCs w:val="24"/>
        </w:rPr>
        <w:t>ISBN 978-1-925551-85-3</w:t>
      </w:r>
      <w:r w:rsidR="003C37BA">
        <w:rPr>
          <w:rFonts w:ascii="Calibri" w:hAnsi="Calibri" w:cs="Calibri"/>
          <w:bCs/>
          <w:color w:val="000000"/>
          <w:szCs w:val="24"/>
        </w:rPr>
        <w:t xml:space="preserve"> </w:t>
      </w:r>
      <w:r w:rsidRPr="000062C1">
        <w:rPr>
          <w:rFonts w:ascii="Calibri" w:hAnsi="Calibri" w:cs="Calibri"/>
          <w:bCs/>
          <w:color w:val="000000"/>
          <w:szCs w:val="24"/>
        </w:rPr>
        <w:t>(pdf/online)</w:t>
      </w:r>
    </w:p>
    <w:p w:rsidR="00D31E34" w:rsidRDefault="00D31E34" w:rsidP="00D31E34">
      <w:r>
        <w:t>Authorised by the Victorian Government 1 Treasury Place, Melbourne 3002</w:t>
      </w:r>
    </w:p>
    <w:p w:rsidR="00D31E34" w:rsidRDefault="00D31E34" w:rsidP="00D31E34">
      <w:r>
        <w:t>©</w:t>
      </w:r>
      <w:r w:rsidR="00586436">
        <w:t xml:space="preserve"> </w:t>
      </w:r>
      <w:r>
        <w:t>State of Victoria 2017</w:t>
      </w:r>
    </w:p>
    <w:p w:rsidR="00D31E34" w:rsidRDefault="00D31E34" w:rsidP="00D31E34">
      <w:r>
        <w:rPr>
          <w:noProof/>
          <w:lang w:eastAsia="en-AU"/>
        </w:rPr>
        <w:drawing>
          <wp:inline distT="0" distB="0" distL="0" distR="0" wp14:anchorId="624A860F" wp14:editId="6005C75D">
            <wp:extent cx="838200" cy="295275"/>
            <wp:effectExtent l="0" t="0" r="0" b="9525"/>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D31E34" w:rsidRDefault="00D31E34" w:rsidP="00D31E34">
      <w:r>
        <w:t xml:space="preserve">You are free to reuse this work under a Creative Commons Attribution 4.0 International Licence provided you credit the </w:t>
      </w:r>
      <w:r w:rsidR="00061331">
        <w:t xml:space="preserve">Review </w:t>
      </w:r>
      <w:r>
        <w:t>as author, indicate if changes were made and comply with the other licence terms. The licence does not apply to any third-party material, images or branding.</w:t>
      </w:r>
    </w:p>
    <w:p w:rsidR="00D31E34" w:rsidRDefault="00D31E34" w:rsidP="00D31E34">
      <w:pPr>
        <w:rPr>
          <w:b/>
        </w:rPr>
      </w:pPr>
      <w:r>
        <w:rPr>
          <w:b/>
        </w:rPr>
        <w:t>Disclaimer</w:t>
      </w:r>
    </w:p>
    <w:p w:rsidR="00D31E34" w:rsidRPr="003E78E2" w:rsidRDefault="00D31E34" w:rsidP="00D31E34">
      <w:r w:rsidRPr="003E78E2">
        <w:t>The material contained in this document has been develo</w:t>
      </w:r>
      <w:r>
        <w:t xml:space="preserve">ped by the </w:t>
      </w:r>
      <w:r w:rsidR="00061331">
        <w:t>Review</w:t>
      </w:r>
      <w:r>
        <w:t>, which wa</w:t>
      </w:r>
      <w:r w:rsidRPr="003E78E2">
        <w:t xml:space="preserve">s commissioned by </w:t>
      </w:r>
      <w:r w:rsidR="00317DEA">
        <w:t>s</w:t>
      </w:r>
      <w:r w:rsidRPr="003E78E2">
        <w:t xml:space="preserve">tate and </w:t>
      </w:r>
      <w:r w:rsidR="00317DEA">
        <w:t>t</w:t>
      </w:r>
      <w:r w:rsidRPr="003E78E2">
        <w:t xml:space="preserve">erritory </w:t>
      </w:r>
      <w:r>
        <w:t xml:space="preserve">officials in Australia. </w:t>
      </w:r>
      <w:r w:rsidRPr="003E78E2">
        <w:t xml:space="preserve">The views and opinions expressed in this document belong to the </w:t>
      </w:r>
      <w:r w:rsidR="00061331">
        <w:t xml:space="preserve">Review </w:t>
      </w:r>
      <w:r w:rsidRPr="003E78E2">
        <w:t>and do not necessarily reflect the views of</w:t>
      </w:r>
      <w:r>
        <w:t>,</w:t>
      </w:r>
      <w:r w:rsidRPr="003E78E2">
        <w:t xml:space="preserve"> or have the endorsement of</w:t>
      </w:r>
      <w:r>
        <w:t>,</w:t>
      </w:r>
      <w:r w:rsidRPr="003E78E2">
        <w:t xml:space="preserve"> any </w:t>
      </w:r>
      <w:r w:rsidR="00317DEA">
        <w:t>s</w:t>
      </w:r>
      <w:r w:rsidRPr="003E78E2">
        <w:t xml:space="preserve">tate or </w:t>
      </w:r>
      <w:r w:rsidR="00317DEA">
        <w:t>t</w:t>
      </w:r>
      <w:r w:rsidRPr="003E78E2">
        <w:t xml:space="preserve">erritory </w:t>
      </w:r>
      <w:r w:rsidR="00F77936">
        <w:t>g</w:t>
      </w:r>
      <w:r w:rsidRPr="003E78E2">
        <w:t>overnment, or of any minister</w:t>
      </w:r>
      <w:r>
        <w:t>, department or official</w:t>
      </w:r>
      <w:r w:rsidRPr="003E78E2">
        <w:t>.</w:t>
      </w:r>
    </w:p>
    <w:p w:rsidR="00D31E34" w:rsidRDefault="00D31E34">
      <w:pPr>
        <w:spacing w:line="276" w:lineRule="auto"/>
        <w:rPr>
          <w:rFonts w:asciiTheme="majorHAnsi" w:eastAsiaTheme="majorEastAsia" w:hAnsiTheme="majorHAnsi" w:cstheme="majorBidi"/>
          <w:b/>
          <w:bCs/>
          <w:color w:val="365F91" w:themeColor="accent1" w:themeShade="BF"/>
          <w:sz w:val="28"/>
          <w:szCs w:val="28"/>
        </w:rPr>
      </w:pPr>
      <w:r>
        <w:br w:type="page"/>
      </w:r>
    </w:p>
    <w:p w:rsidR="00586436" w:rsidRDefault="00586436" w:rsidP="00586436">
      <w:pPr>
        <w:autoSpaceDE w:val="0"/>
        <w:autoSpaceDN w:val="0"/>
        <w:adjustRightInd w:val="0"/>
        <w:spacing w:after="0"/>
        <w:rPr>
          <w:rFonts w:cs="Segoe UI"/>
          <w:b/>
          <w:color w:val="000000"/>
        </w:rPr>
      </w:pPr>
      <w:bookmarkStart w:id="0" w:name="_Toc373586245"/>
      <w:r w:rsidRPr="002534B1">
        <w:rPr>
          <w:rFonts w:cs="Segoe UI"/>
          <w:b/>
          <w:color w:val="000000"/>
        </w:rPr>
        <w:t xml:space="preserve">Dedication - Collette Tayler </w:t>
      </w:r>
    </w:p>
    <w:p w:rsidR="004957FA" w:rsidRDefault="004957FA" w:rsidP="00586436">
      <w:pPr>
        <w:autoSpaceDE w:val="0"/>
        <w:autoSpaceDN w:val="0"/>
        <w:adjustRightInd w:val="0"/>
        <w:spacing w:after="0"/>
        <w:rPr>
          <w:rFonts w:cs="Segoe UI"/>
          <w:b/>
          <w:color w:val="000000"/>
        </w:rPr>
      </w:pPr>
    </w:p>
    <w:p w:rsidR="004957FA" w:rsidRDefault="004957FA" w:rsidP="00586436">
      <w:pPr>
        <w:autoSpaceDE w:val="0"/>
        <w:autoSpaceDN w:val="0"/>
        <w:adjustRightInd w:val="0"/>
        <w:spacing w:after="0"/>
        <w:rPr>
          <w:rFonts w:cs="Segoe UI"/>
          <w:b/>
          <w:color w:val="000000"/>
        </w:rPr>
      </w:pPr>
    </w:p>
    <w:p w:rsidR="004957FA" w:rsidRDefault="004957FA" w:rsidP="00586436">
      <w:pPr>
        <w:autoSpaceDE w:val="0"/>
        <w:autoSpaceDN w:val="0"/>
        <w:adjustRightInd w:val="0"/>
        <w:spacing w:after="0"/>
        <w:rPr>
          <w:rFonts w:cs="Segoe UI"/>
          <w:b/>
          <w:color w:val="000000"/>
        </w:rPr>
      </w:pPr>
      <w:r>
        <w:rPr>
          <w:noProof/>
          <w:lang w:eastAsia="en-AU"/>
        </w:rPr>
        <w:drawing>
          <wp:inline distT="0" distB="0" distL="0" distR="0" wp14:anchorId="53FED4C0" wp14:editId="6732B802">
            <wp:extent cx="1326867" cy="19644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27635" cy="1965590"/>
                    </a:xfrm>
                    <a:prstGeom prst="rect">
                      <a:avLst/>
                    </a:prstGeom>
                  </pic:spPr>
                </pic:pic>
              </a:graphicData>
            </a:graphic>
          </wp:inline>
        </w:drawing>
      </w:r>
    </w:p>
    <w:p w:rsidR="004957FA" w:rsidRDefault="004957FA" w:rsidP="00586436">
      <w:pPr>
        <w:autoSpaceDE w:val="0"/>
        <w:autoSpaceDN w:val="0"/>
        <w:adjustRightInd w:val="0"/>
        <w:spacing w:after="0"/>
        <w:rPr>
          <w:rFonts w:cs="Segoe UI"/>
          <w:b/>
          <w:color w:val="000000"/>
        </w:rPr>
      </w:pPr>
    </w:p>
    <w:p w:rsidR="00586436" w:rsidRPr="002534B1" w:rsidRDefault="00586436" w:rsidP="00586436">
      <w:pPr>
        <w:autoSpaceDE w:val="0"/>
        <w:autoSpaceDN w:val="0"/>
        <w:adjustRightInd w:val="0"/>
        <w:spacing w:after="0"/>
        <w:ind w:firstLine="720"/>
        <w:rPr>
          <w:rFonts w:cs="Segoe UI"/>
          <w:color w:val="000000"/>
        </w:rPr>
      </w:pPr>
    </w:p>
    <w:p w:rsidR="00586436" w:rsidRDefault="00586436" w:rsidP="00586436">
      <w:pPr>
        <w:autoSpaceDE w:val="0"/>
        <w:autoSpaceDN w:val="0"/>
        <w:adjustRightInd w:val="0"/>
        <w:spacing w:after="0"/>
        <w:rPr>
          <w:rFonts w:ascii="Segoe UI" w:hAnsi="Segoe UI" w:cs="Segoe UI"/>
          <w:sz w:val="21"/>
          <w:szCs w:val="21"/>
        </w:rPr>
      </w:pPr>
      <w:r w:rsidRPr="002534B1">
        <w:rPr>
          <w:rFonts w:cs="Segoe UI"/>
          <w:color w:val="000000"/>
        </w:rPr>
        <w:t>This report is dedicated to Professor Collette Tayl</w:t>
      </w:r>
      <w:r>
        <w:rPr>
          <w:rFonts w:cs="Segoe UI"/>
          <w:color w:val="000000"/>
        </w:rPr>
        <w:t>e</w:t>
      </w:r>
      <w:r w:rsidRPr="002534B1">
        <w:rPr>
          <w:rFonts w:cs="Segoe UI"/>
          <w:color w:val="000000"/>
        </w:rPr>
        <w:t>r in acknowledgment of her pioneering work in early childhood education and care. Prof</w:t>
      </w:r>
      <w:r>
        <w:rPr>
          <w:rFonts w:cs="Segoe UI"/>
          <w:color w:val="000000"/>
        </w:rPr>
        <w:t>essor</w:t>
      </w:r>
      <w:r w:rsidRPr="002534B1">
        <w:rPr>
          <w:rFonts w:cs="Segoe UI"/>
          <w:color w:val="000000"/>
        </w:rPr>
        <w:t xml:space="preserve"> Tayler made an extraordinary contribution to </w:t>
      </w:r>
      <w:r>
        <w:rPr>
          <w:rFonts w:cs="Segoe UI"/>
          <w:color w:val="000000"/>
        </w:rPr>
        <w:t xml:space="preserve">policy and practice in this domain, </w:t>
      </w:r>
      <w:r w:rsidRPr="002534B1">
        <w:rPr>
          <w:rFonts w:cs="Segoe UI"/>
          <w:color w:val="000000"/>
        </w:rPr>
        <w:t xml:space="preserve">and was recognised for </w:t>
      </w:r>
      <w:r>
        <w:rPr>
          <w:rFonts w:cs="Segoe UI"/>
          <w:color w:val="000000"/>
        </w:rPr>
        <w:t xml:space="preserve">her expertise </w:t>
      </w:r>
      <w:r w:rsidRPr="002534B1">
        <w:rPr>
          <w:rFonts w:cs="Segoe UI"/>
          <w:color w:val="000000"/>
        </w:rPr>
        <w:t>both in Australia and around the world. During her final days, Prof</w:t>
      </w:r>
      <w:r>
        <w:rPr>
          <w:rFonts w:cs="Segoe UI"/>
          <w:color w:val="000000"/>
        </w:rPr>
        <w:t>essor Tayle</w:t>
      </w:r>
      <w:r w:rsidRPr="002534B1">
        <w:rPr>
          <w:rFonts w:cs="Segoe UI"/>
          <w:color w:val="000000"/>
        </w:rPr>
        <w:t>r was encouraged by the opportunity presented by the Review to improve the learning opportunities for Australia's youngest citizens. She was generous i</w:t>
      </w:r>
      <w:r>
        <w:rPr>
          <w:rFonts w:cs="Segoe UI"/>
          <w:color w:val="000000"/>
        </w:rPr>
        <w:t>n</w:t>
      </w:r>
      <w:r w:rsidRPr="002534B1">
        <w:rPr>
          <w:rFonts w:cs="Segoe UI"/>
          <w:color w:val="000000"/>
        </w:rPr>
        <w:t xml:space="preserve"> sharing her expertise with the Review, and made a valuable contribution to this report</w:t>
      </w:r>
      <w:r w:rsidR="00C74B0C">
        <w:rPr>
          <w:rFonts w:cs="Segoe UI"/>
          <w:color w:val="000000"/>
        </w:rPr>
        <w:t>.</w:t>
      </w:r>
      <w:r w:rsidRPr="002534B1">
        <w:rPr>
          <w:rFonts w:cs="Segoe UI"/>
          <w:color w:val="000000"/>
        </w:rPr>
        <w:t xml:space="preserve"> </w:t>
      </w:r>
      <w:r w:rsidR="00C74B0C">
        <w:rPr>
          <w:rFonts w:cs="Segoe UI"/>
          <w:color w:val="000000"/>
        </w:rPr>
        <w:t xml:space="preserve">She passed </w:t>
      </w:r>
      <w:r w:rsidRPr="002534B1">
        <w:rPr>
          <w:rFonts w:cs="Segoe UI"/>
          <w:color w:val="000000"/>
        </w:rPr>
        <w:t>away just prior to its completion.</w:t>
      </w:r>
    </w:p>
    <w:p w:rsidR="00586436" w:rsidRDefault="00586436" w:rsidP="00586436">
      <w:pPr>
        <w:spacing w:after="120"/>
        <w:rPr>
          <w:b/>
        </w:rPr>
      </w:pPr>
      <w:r>
        <w:rPr>
          <w:b/>
        </w:rPr>
        <w:br w:type="page"/>
      </w:r>
    </w:p>
    <w:p w:rsidR="00375FB1" w:rsidRDefault="00375FB1" w:rsidP="00375FB1">
      <w:pPr>
        <w:pStyle w:val="Heading1"/>
      </w:pPr>
      <w:bookmarkStart w:id="1" w:name="_Toc500850764"/>
      <w:r>
        <w:t>Letter of transmittal</w:t>
      </w:r>
      <w:bookmarkEnd w:id="0"/>
      <w:bookmarkEnd w:id="1"/>
    </w:p>
    <w:p w:rsidR="00EB65C1" w:rsidRPr="00EB65C1" w:rsidRDefault="00EB65C1" w:rsidP="00A516DA"/>
    <w:p w:rsidR="003D452F" w:rsidRDefault="00DA11D4" w:rsidP="003D452F">
      <w:pPr>
        <w:spacing w:after="0"/>
      </w:pPr>
      <w:r>
        <w:t xml:space="preserve">To </w:t>
      </w:r>
      <w:r w:rsidR="00053282">
        <w:t xml:space="preserve">commissioning </w:t>
      </w:r>
      <w:r w:rsidR="00317DEA">
        <w:t>s</w:t>
      </w:r>
      <w:r w:rsidR="003D452F">
        <w:t xml:space="preserve">enior </w:t>
      </w:r>
      <w:r w:rsidR="00317DEA">
        <w:t>o</w:t>
      </w:r>
      <w:r w:rsidR="003D452F">
        <w:t>fficials from all states and territories</w:t>
      </w:r>
      <w:r w:rsidR="00EB65C1">
        <w:t>,</w:t>
      </w:r>
    </w:p>
    <w:p w:rsidR="00EB65C1" w:rsidRDefault="00EB65C1" w:rsidP="003D452F">
      <w:pPr>
        <w:spacing w:after="120"/>
      </w:pPr>
    </w:p>
    <w:p w:rsidR="00375FB1" w:rsidRPr="00746B12" w:rsidRDefault="00375FB1" w:rsidP="003D452F">
      <w:pPr>
        <w:spacing w:after="120"/>
      </w:pPr>
      <w:r>
        <w:t>We are pleased to provide you</w:t>
      </w:r>
      <w:r w:rsidR="00632C45">
        <w:t xml:space="preserve"> </w:t>
      </w:r>
      <w:r>
        <w:t>the Report of the Review to Achieve Educational Excellence in Australian Schools through Early Childhood Interventions.</w:t>
      </w:r>
    </w:p>
    <w:p w:rsidR="00375FB1" w:rsidRDefault="00375FB1" w:rsidP="003D452F">
      <w:pPr>
        <w:spacing w:after="120"/>
      </w:pPr>
      <w:r>
        <w:t>It has been a privilege to undertake the Review and provide advice on how to improve outcomes for all Australian children. While the time available to us to undertake this work was brief, we have considered the evidence carefully, and heard from a representative cross-section of stakeholders and experts.</w:t>
      </w:r>
    </w:p>
    <w:p w:rsidR="00375FB1" w:rsidRDefault="00375FB1" w:rsidP="003D452F">
      <w:pPr>
        <w:spacing w:after="120"/>
      </w:pPr>
      <w:r>
        <w:t>Australia has much to be proud of in</w:t>
      </w:r>
      <w:r w:rsidRPr="00830DA1">
        <w:t xml:space="preserve"> </w:t>
      </w:r>
      <w:r>
        <w:t>early childhood education. The achievements of recent years are significant</w:t>
      </w:r>
      <w:r w:rsidR="003D452F">
        <w:t>. However, there is more to be done. It is time to embed the earlier reforms and begin further reforms to achieve better outcomes for Australia’s children</w:t>
      </w:r>
      <w:r>
        <w:t>.</w:t>
      </w:r>
    </w:p>
    <w:p w:rsidR="00375FB1" w:rsidRDefault="00375FB1" w:rsidP="003D452F">
      <w:pPr>
        <w:spacing w:after="120"/>
      </w:pPr>
      <w:r>
        <w:t>There is significant opportunity for early childhood education arrangements to contribute to improved educational and whole of life outcomes for Australian children, as well as increased workforce participation. This is a double dividend for government investment. We were struck by the complexity for parents in navigating the early childhood education and care services, and the opportunity for governments to simplify these arrangements while consolidating high quality provision in a mixed market sector.</w:t>
      </w:r>
    </w:p>
    <w:p w:rsidR="00375FB1" w:rsidRPr="00746B12" w:rsidRDefault="00375FB1" w:rsidP="003D452F">
      <w:pPr>
        <w:spacing w:after="120"/>
      </w:pPr>
      <w:r>
        <w:t xml:space="preserve">We have established contact with a number of related activities in Australia, including the </w:t>
      </w:r>
      <w:r w:rsidRPr="001A7366">
        <w:t>Review to Achieve Educational Excellence in Australian Schools</w:t>
      </w:r>
      <w:r>
        <w:t xml:space="preserve"> (chaired by Mr David Gonski AC), and the First 1</w:t>
      </w:r>
      <w:r w:rsidR="00C21C11">
        <w:t>,</w:t>
      </w:r>
      <w:r>
        <w:t xml:space="preserve">000 Days working group of the Prime Minister’s Community Business Partnership (chaired by Ms Nicola Forrest). </w:t>
      </w:r>
      <w:r w:rsidR="00A87DBA" w:rsidRPr="004164F8">
        <w:t>T</w:t>
      </w:r>
      <w:r>
        <w:t xml:space="preserve">ogether with </w:t>
      </w:r>
      <w:r w:rsidR="00A87DBA" w:rsidRPr="008B7815">
        <w:t xml:space="preserve">our </w:t>
      </w:r>
      <w:r>
        <w:t xml:space="preserve">Review, </w:t>
      </w:r>
      <w:r w:rsidR="00A87DBA" w:rsidRPr="003F19D3">
        <w:t>this</w:t>
      </w:r>
      <w:r>
        <w:t xml:space="preserve"> work </w:t>
      </w:r>
      <w:r w:rsidRPr="004677DC">
        <w:t>provide</w:t>
      </w:r>
      <w:r w:rsidR="00A87DBA" w:rsidRPr="003F0B40">
        <w:t>s</w:t>
      </w:r>
      <w:r>
        <w:t xml:space="preserve"> a powerful evidence base that will allow governments to holistically consider the factors that influence a child’s long-term wellbeing and development, from conception until the end of formal schooling. This places the child at the heart of our policy approaches</w:t>
      </w:r>
      <w:r w:rsidR="00852F0A">
        <w:t>.</w:t>
      </w:r>
    </w:p>
    <w:p w:rsidR="00375FB1" w:rsidRPr="00746B12" w:rsidRDefault="00375FB1" w:rsidP="003D452F">
      <w:pPr>
        <w:spacing w:after="120"/>
      </w:pPr>
      <w:r>
        <w:t xml:space="preserve">We acknowledge </w:t>
      </w:r>
      <w:r w:rsidRPr="00746B12">
        <w:t xml:space="preserve">the support </w:t>
      </w:r>
      <w:r>
        <w:t xml:space="preserve">and cooperation </w:t>
      </w:r>
      <w:r w:rsidRPr="00746B12">
        <w:t xml:space="preserve">of </w:t>
      </w:r>
      <w:r>
        <w:t xml:space="preserve">every </w:t>
      </w:r>
      <w:r w:rsidR="0037370A">
        <w:t>state</w:t>
      </w:r>
      <w:r>
        <w:t xml:space="preserve"> and </w:t>
      </w:r>
      <w:r w:rsidR="0037370A">
        <w:t>territory</w:t>
      </w:r>
      <w:r>
        <w:t xml:space="preserve"> in completing the report in the timeframe, and hope they find this report a useful guide to</w:t>
      </w:r>
      <w:r w:rsidR="00725329">
        <w:t xml:space="preserve"> inform</w:t>
      </w:r>
      <w:r>
        <w:t xml:space="preserve"> future reform in early childhood education in Australia. We applaud their far-sightedness in seeking to establish a continuum of learning, optimally support early childhood education and contribute to improvement of Australia’s human capital.</w:t>
      </w:r>
    </w:p>
    <w:p w:rsidR="00181266" w:rsidRPr="00D51254" w:rsidRDefault="00375FB1" w:rsidP="00181266">
      <w:pPr>
        <w:autoSpaceDE w:val="0"/>
        <w:autoSpaceDN w:val="0"/>
        <w:adjustRightInd w:val="0"/>
        <w:spacing w:after="0"/>
        <w:rPr>
          <w:rFonts w:cs="Segoe UI"/>
          <w:color w:val="000000"/>
        </w:rPr>
      </w:pPr>
      <w:r>
        <w:t>We also acknowledge the input of the many people we heard from through this process. Their passion and commitment to improving the lives of Australia’s children is impressive and inspiring. We are particularly appreciative of the advice of Associate Pr</w:t>
      </w:r>
      <w:r w:rsidRPr="00804C89">
        <w:t xml:space="preserve">ofessor Tricia </w:t>
      </w:r>
      <w:proofErr w:type="spellStart"/>
      <w:r w:rsidRPr="00804C89">
        <w:t>Eadie</w:t>
      </w:r>
      <w:proofErr w:type="spellEnd"/>
      <w:r w:rsidRPr="00804C89">
        <w:t xml:space="preserve">, Professor Matthew </w:t>
      </w:r>
      <w:proofErr w:type="spellStart"/>
      <w:r w:rsidRPr="00804C89">
        <w:t>Gray</w:t>
      </w:r>
      <w:proofErr w:type="spellEnd"/>
      <w:r w:rsidRPr="00804C89">
        <w:t xml:space="preserve"> and Professor Karen Thorpe, who were retained as supporting experts for the Review. We are especially grateful for </w:t>
      </w:r>
      <w:r w:rsidR="00FA0E46" w:rsidRPr="00804C89">
        <w:t xml:space="preserve">the </w:t>
      </w:r>
      <w:r w:rsidRPr="00804C89">
        <w:t>feedback provided by Professor Collette Tayler</w:t>
      </w:r>
      <w:r w:rsidR="00362962" w:rsidRPr="00804C89">
        <w:t xml:space="preserve">. </w:t>
      </w:r>
    </w:p>
    <w:p w:rsidR="00375FB1" w:rsidRDefault="00F77936" w:rsidP="00D51254">
      <w:pPr>
        <w:tabs>
          <w:tab w:val="left" w:pos="3525"/>
        </w:tabs>
        <w:spacing w:after="120"/>
      </w:pPr>
      <w:r>
        <w:tab/>
      </w:r>
    </w:p>
    <w:p w:rsidR="00375FB1" w:rsidRPr="00746B12" w:rsidRDefault="00375FB1" w:rsidP="003D452F">
      <w:pPr>
        <w:spacing w:after="120"/>
      </w:pPr>
      <w:r>
        <w:t xml:space="preserve">We greatly appreciate the time and wisdom of all those who contributed, although the analysis, findings and recommendations in this report are our responsibility alone. </w:t>
      </w:r>
    </w:p>
    <w:p w:rsidR="00375FB1" w:rsidRDefault="00375FB1" w:rsidP="003D452F">
      <w:pPr>
        <w:spacing w:after="120"/>
      </w:pPr>
      <w:r>
        <w:t>Thank you for the opportunity to undertake this important work. We urge</w:t>
      </w:r>
      <w:r w:rsidR="003D452F">
        <w:t xml:space="preserve"> all</w:t>
      </w:r>
      <w:r>
        <w:t xml:space="preserve"> governments to consider </w:t>
      </w:r>
      <w:r w:rsidR="00CB28F2">
        <w:t xml:space="preserve">the </w:t>
      </w:r>
      <w:r>
        <w:t xml:space="preserve">findings </w:t>
      </w:r>
      <w:r w:rsidR="00CB28F2">
        <w:t xml:space="preserve">and recommendations </w:t>
      </w:r>
      <w:r w:rsidR="003D452F">
        <w:t xml:space="preserve">to improve </w:t>
      </w:r>
      <w:r>
        <w:t xml:space="preserve">educational outcomes and life experiences for children in Australia. </w:t>
      </w:r>
    </w:p>
    <w:p w:rsidR="00375FB1" w:rsidRPr="00746B12" w:rsidRDefault="00375FB1" w:rsidP="003D452F">
      <w:pPr>
        <w:spacing w:after="120"/>
      </w:pPr>
      <w:r w:rsidRPr="00746B12">
        <w:t xml:space="preserve">Yours sincerely, </w:t>
      </w:r>
    </w:p>
    <w:p w:rsidR="00F77936" w:rsidRDefault="00375FB1" w:rsidP="003D452F">
      <w:pPr>
        <w:spacing w:after="120"/>
      </w:pPr>
      <w:r w:rsidRPr="00746B12">
        <w:t>Susan Pascoe AM</w:t>
      </w:r>
      <w:r>
        <w:t xml:space="preserve"> </w:t>
      </w:r>
      <w:r>
        <w:tab/>
      </w:r>
      <w:r>
        <w:tab/>
      </w:r>
      <w:r w:rsidRPr="00746B12">
        <w:t>Professor Deborah Brennan</w:t>
      </w:r>
    </w:p>
    <w:p w:rsidR="00F77936" w:rsidRDefault="00F77936" w:rsidP="003D452F">
      <w:pPr>
        <w:spacing w:after="120"/>
      </w:pPr>
      <w:r>
        <w:t>December 2017</w:t>
      </w:r>
    </w:p>
    <w:p w:rsidR="00F77936" w:rsidRDefault="00F77936">
      <w:pPr>
        <w:spacing w:line="276" w:lineRule="auto"/>
      </w:pPr>
    </w:p>
    <w:sdt>
      <w:sdtPr>
        <w:rPr>
          <w:rFonts w:asciiTheme="minorHAnsi" w:eastAsiaTheme="minorHAnsi" w:hAnsiTheme="minorHAnsi" w:cstheme="minorBidi"/>
          <w:b w:val="0"/>
          <w:bCs w:val="0"/>
          <w:color w:val="auto"/>
          <w:sz w:val="22"/>
          <w:szCs w:val="22"/>
          <w:lang w:val="en-AU" w:eastAsia="en-US"/>
        </w:rPr>
        <w:id w:val="-1775082775"/>
        <w:docPartObj>
          <w:docPartGallery w:val="Table of Contents"/>
          <w:docPartUnique/>
        </w:docPartObj>
      </w:sdtPr>
      <w:sdtEndPr>
        <w:rPr>
          <w:noProof/>
        </w:rPr>
      </w:sdtEndPr>
      <w:sdtContent>
        <w:p w:rsidR="00375FB1" w:rsidRPr="00A516DA" w:rsidRDefault="00375FB1" w:rsidP="00375FB1">
          <w:pPr>
            <w:pStyle w:val="TOCHeading"/>
            <w:rPr>
              <w:lang w:val="en-AU"/>
            </w:rPr>
          </w:pPr>
          <w:r w:rsidRPr="00A516DA">
            <w:rPr>
              <w:lang w:val="en-AU"/>
            </w:rPr>
            <w:t>Contents</w:t>
          </w:r>
        </w:p>
        <w:p w:rsidR="00586436" w:rsidRDefault="00375FB1">
          <w:pPr>
            <w:pStyle w:val="TOC1"/>
            <w:tabs>
              <w:tab w:val="right" w:leader="dot" w:pos="9016"/>
            </w:tabs>
            <w:rPr>
              <w:rFonts w:eastAsiaTheme="minorEastAsia"/>
              <w:noProof/>
              <w:lang w:eastAsia="en-AU"/>
            </w:rPr>
          </w:pPr>
          <w:r w:rsidRPr="00F017AC">
            <w:rPr>
              <w:sz w:val="20"/>
            </w:rPr>
            <w:fldChar w:fldCharType="begin"/>
          </w:r>
          <w:r w:rsidRPr="00F017AC">
            <w:rPr>
              <w:sz w:val="20"/>
            </w:rPr>
            <w:instrText xml:space="preserve"> TOC \o "1-3" \h \z \u </w:instrText>
          </w:r>
          <w:r w:rsidRPr="00F017AC">
            <w:rPr>
              <w:sz w:val="20"/>
            </w:rPr>
            <w:fldChar w:fldCharType="separate"/>
          </w:r>
          <w:hyperlink w:anchor="_Toc500850764" w:history="1">
            <w:r w:rsidR="00586436" w:rsidRPr="00943123">
              <w:rPr>
                <w:rStyle w:val="Hyperlink"/>
                <w:noProof/>
              </w:rPr>
              <w:t>Letter of transmittal</w:t>
            </w:r>
            <w:r w:rsidR="00586436">
              <w:rPr>
                <w:noProof/>
                <w:webHidden/>
              </w:rPr>
              <w:tab/>
            </w:r>
            <w:r w:rsidR="00586436">
              <w:rPr>
                <w:noProof/>
                <w:webHidden/>
              </w:rPr>
              <w:fldChar w:fldCharType="begin"/>
            </w:r>
            <w:r w:rsidR="00586436">
              <w:rPr>
                <w:noProof/>
                <w:webHidden/>
              </w:rPr>
              <w:instrText xml:space="preserve"> PAGEREF _Toc500850764 \h </w:instrText>
            </w:r>
            <w:r w:rsidR="00586436">
              <w:rPr>
                <w:noProof/>
                <w:webHidden/>
              </w:rPr>
            </w:r>
            <w:r w:rsidR="00586436">
              <w:rPr>
                <w:noProof/>
                <w:webHidden/>
              </w:rPr>
              <w:fldChar w:fldCharType="separate"/>
            </w:r>
            <w:r w:rsidR="003A6BCA">
              <w:rPr>
                <w:noProof/>
                <w:webHidden/>
              </w:rPr>
              <w:t>4</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65" w:history="1">
            <w:r w:rsidR="00586436" w:rsidRPr="00943123">
              <w:rPr>
                <w:rStyle w:val="Hyperlink"/>
                <w:noProof/>
              </w:rPr>
              <w:t>Executive summary</w:t>
            </w:r>
            <w:r w:rsidR="00586436">
              <w:rPr>
                <w:noProof/>
                <w:webHidden/>
              </w:rPr>
              <w:tab/>
            </w:r>
            <w:r w:rsidR="00586436">
              <w:rPr>
                <w:noProof/>
                <w:webHidden/>
              </w:rPr>
              <w:fldChar w:fldCharType="begin"/>
            </w:r>
            <w:r w:rsidR="00586436">
              <w:rPr>
                <w:noProof/>
                <w:webHidden/>
              </w:rPr>
              <w:instrText xml:space="preserve"> PAGEREF _Toc500850765 \h </w:instrText>
            </w:r>
            <w:r w:rsidR="00586436">
              <w:rPr>
                <w:noProof/>
                <w:webHidden/>
              </w:rPr>
            </w:r>
            <w:r w:rsidR="00586436">
              <w:rPr>
                <w:noProof/>
                <w:webHidden/>
              </w:rPr>
              <w:fldChar w:fldCharType="separate"/>
            </w:r>
            <w:r>
              <w:rPr>
                <w:noProof/>
                <w:webHidden/>
              </w:rPr>
              <w:t>6</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66" w:history="1">
            <w:r w:rsidR="00586436" w:rsidRPr="00943123">
              <w:rPr>
                <w:rStyle w:val="Hyperlink"/>
                <w:noProof/>
              </w:rPr>
              <w:t>Recommendations</w:t>
            </w:r>
            <w:r w:rsidR="00586436">
              <w:rPr>
                <w:noProof/>
                <w:webHidden/>
              </w:rPr>
              <w:tab/>
            </w:r>
            <w:r w:rsidR="00586436">
              <w:rPr>
                <w:noProof/>
                <w:webHidden/>
              </w:rPr>
              <w:fldChar w:fldCharType="begin"/>
            </w:r>
            <w:r w:rsidR="00586436">
              <w:rPr>
                <w:noProof/>
                <w:webHidden/>
              </w:rPr>
              <w:instrText xml:space="preserve"> PAGEREF _Toc500850766 \h </w:instrText>
            </w:r>
            <w:r w:rsidR="00586436">
              <w:rPr>
                <w:noProof/>
                <w:webHidden/>
              </w:rPr>
            </w:r>
            <w:r w:rsidR="00586436">
              <w:rPr>
                <w:noProof/>
                <w:webHidden/>
              </w:rPr>
              <w:fldChar w:fldCharType="separate"/>
            </w:r>
            <w:r>
              <w:rPr>
                <w:noProof/>
                <w:webHidden/>
              </w:rPr>
              <w:t>9</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67" w:history="1">
            <w:r w:rsidR="00586436" w:rsidRPr="00943123">
              <w:rPr>
                <w:rStyle w:val="Hyperlink"/>
                <w:noProof/>
              </w:rPr>
              <w:t>2.1 The importance of the early years</w:t>
            </w:r>
            <w:r w:rsidR="00586436">
              <w:rPr>
                <w:noProof/>
                <w:webHidden/>
              </w:rPr>
              <w:tab/>
            </w:r>
            <w:r w:rsidR="00586436">
              <w:rPr>
                <w:noProof/>
                <w:webHidden/>
              </w:rPr>
              <w:fldChar w:fldCharType="begin"/>
            </w:r>
            <w:r w:rsidR="00586436">
              <w:rPr>
                <w:noProof/>
                <w:webHidden/>
              </w:rPr>
              <w:instrText xml:space="preserve"> PAGEREF _Toc500850767 \h </w:instrText>
            </w:r>
            <w:r w:rsidR="00586436">
              <w:rPr>
                <w:noProof/>
                <w:webHidden/>
              </w:rPr>
            </w:r>
            <w:r w:rsidR="00586436">
              <w:rPr>
                <w:noProof/>
                <w:webHidden/>
              </w:rPr>
              <w:fldChar w:fldCharType="separate"/>
            </w:r>
            <w:r>
              <w:rPr>
                <w:noProof/>
                <w:webHidden/>
              </w:rPr>
              <w:t>12</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68" w:history="1">
            <w:r w:rsidR="00586436" w:rsidRPr="00943123">
              <w:rPr>
                <w:rStyle w:val="Hyperlink"/>
                <w:noProof/>
              </w:rPr>
              <w:t>2.2 Background to early childhood in Australia</w:t>
            </w:r>
            <w:r w:rsidR="00586436">
              <w:rPr>
                <w:noProof/>
                <w:webHidden/>
              </w:rPr>
              <w:tab/>
            </w:r>
            <w:r w:rsidR="00586436">
              <w:rPr>
                <w:noProof/>
                <w:webHidden/>
              </w:rPr>
              <w:fldChar w:fldCharType="begin"/>
            </w:r>
            <w:r w:rsidR="00586436">
              <w:rPr>
                <w:noProof/>
                <w:webHidden/>
              </w:rPr>
              <w:instrText xml:space="preserve"> PAGEREF _Toc500850768 \h </w:instrText>
            </w:r>
            <w:r w:rsidR="00586436">
              <w:rPr>
                <w:noProof/>
                <w:webHidden/>
              </w:rPr>
            </w:r>
            <w:r w:rsidR="00586436">
              <w:rPr>
                <w:noProof/>
                <w:webHidden/>
              </w:rPr>
              <w:fldChar w:fldCharType="separate"/>
            </w:r>
            <w:r>
              <w:rPr>
                <w:noProof/>
                <w:webHidden/>
              </w:rPr>
              <w:t>17</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69" w:history="1">
            <w:r w:rsidR="00586436" w:rsidRPr="00943123">
              <w:rPr>
                <w:rStyle w:val="Hyperlink"/>
                <w:noProof/>
              </w:rPr>
              <w:t>2.3 Early childhood education and care systems and settings in Australia</w:t>
            </w:r>
            <w:r w:rsidR="00586436">
              <w:rPr>
                <w:noProof/>
                <w:webHidden/>
              </w:rPr>
              <w:tab/>
            </w:r>
            <w:r w:rsidR="00586436">
              <w:rPr>
                <w:noProof/>
                <w:webHidden/>
              </w:rPr>
              <w:fldChar w:fldCharType="begin"/>
            </w:r>
            <w:r w:rsidR="00586436">
              <w:rPr>
                <w:noProof/>
                <w:webHidden/>
              </w:rPr>
              <w:instrText xml:space="preserve"> PAGEREF _Toc500850769 \h </w:instrText>
            </w:r>
            <w:r w:rsidR="00586436">
              <w:rPr>
                <w:noProof/>
                <w:webHidden/>
              </w:rPr>
            </w:r>
            <w:r w:rsidR="00586436">
              <w:rPr>
                <w:noProof/>
                <w:webHidden/>
              </w:rPr>
              <w:fldChar w:fldCharType="separate"/>
            </w:r>
            <w:r>
              <w:rPr>
                <w:noProof/>
                <w:webHidden/>
              </w:rPr>
              <w:t>20</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0" w:history="1">
            <w:r w:rsidR="00586436" w:rsidRPr="00943123">
              <w:rPr>
                <w:rStyle w:val="Hyperlink"/>
                <w:noProof/>
              </w:rPr>
              <w:t>2.4 How Australia is performing</w:t>
            </w:r>
            <w:r w:rsidR="00586436">
              <w:rPr>
                <w:noProof/>
                <w:webHidden/>
              </w:rPr>
              <w:tab/>
            </w:r>
            <w:r w:rsidR="00586436">
              <w:rPr>
                <w:noProof/>
                <w:webHidden/>
              </w:rPr>
              <w:fldChar w:fldCharType="begin"/>
            </w:r>
            <w:r w:rsidR="00586436">
              <w:rPr>
                <w:noProof/>
                <w:webHidden/>
              </w:rPr>
              <w:instrText xml:space="preserve"> PAGEREF _Toc500850770 \h </w:instrText>
            </w:r>
            <w:r w:rsidR="00586436">
              <w:rPr>
                <w:noProof/>
                <w:webHidden/>
              </w:rPr>
            </w:r>
            <w:r w:rsidR="00586436">
              <w:rPr>
                <w:noProof/>
                <w:webHidden/>
              </w:rPr>
              <w:fldChar w:fldCharType="separate"/>
            </w:r>
            <w:r>
              <w:rPr>
                <w:noProof/>
                <w:webHidden/>
              </w:rPr>
              <w:t>25</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1" w:history="1">
            <w:r w:rsidR="00586436" w:rsidRPr="00943123">
              <w:rPr>
                <w:rStyle w:val="Hyperlink"/>
                <w:noProof/>
              </w:rPr>
              <w:t>3.1 Impact of early childhood interventions on school outcomes</w:t>
            </w:r>
            <w:r w:rsidR="00586436">
              <w:rPr>
                <w:noProof/>
                <w:webHidden/>
              </w:rPr>
              <w:tab/>
            </w:r>
            <w:r w:rsidR="00586436">
              <w:rPr>
                <w:noProof/>
                <w:webHidden/>
              </w:rPr>
              <w:fldChar w:fldCharType="begin"/>
            </w:r>
            <w:r w:rsidR="00586436">
              <w:rPr>
                <w:noProof/>
                <w:webHidden/>
              </w:rPr>
              <w:instrText xml:space="preserve"> PAGEREF _Toc500850771 \h </w:instrText>
            </w:r>
            <w:r w:rsidR="00586436">
              <w:rPr>
                <w:noProof/>
                <w:webHidden/>
              </w:rPr>
            </w:r>
            <w:r w:rsidR="00586436">
              <w:rPr>
                <w:noProof/>
                <w:webHidden/>
              </w:rPr>
              <w:fldChar w:fldCharType="separate"/>
            </w:r>
            <w:r>
              <w:rPr>
                <w:noProof/>
                <w:webHidden/>
              </w:rPr>
              <w:t>30</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2" w:history="1">
            <w:r w:rsidR="00586436" w:rsidRPr="00943123">
              <w:rPr>
                <w:rStyle w:val="Hyperlink"/>
                <w:noProof/>
              </w:rPr>
              <w:t>3.2 Other benefits of early childhood interventions</w:t>
            </w:r>
            <w:r w:rsidR="00586436">
              <w:rPr>
                <w:noProof/>
                <w:webHidden/>
              </w:rPr>
              <w:tab/>
            </w:r>
            <w:r w:rsidR="00586436">
              <w:rPr>
                <w:noProof/>
                <w:webHidden/>
              </w:rPr>
              <w:fldChar w:fldCharType="begin"/>
            </w:r>
            <w:r w:rsidR="00586436">
              <w:rPr>
                <w:noProof/>
                <w:webHidden/>
              </w:rPr>
              <w:instrText xml:space="preserve"> PAGEREF _Toc500850772 \h </w:instrText>
            </w:r>
            <w:r w:rsidR="00586436">
              <w:rPr>
                <w:noProof/>
                <w:webHidden/>
              </w:rPr>
            </w:r>
            <w:r w:rsidR="00586436">
              <w:rPr>
                <w:noProof/>
                <w:webHidden/>
              </w:rPr>
              <w:fldChar w:fldCharType="separate"/>
            </w:r>
            <w:r>
              <w:rPr>
                <w:noProof/>
                <w:webHidden/>
              </w:rPr>
              <w:t>37</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3" w:history="1">
            <w:r w:rsidR="00586436" w:rsidRPr="00943123">
              <w:rPr>
                <w:rStyle w:val="Hyperlink"/>
                <w:noProof/>
              </w:rPr>
              <w:t>3.3 The return on investment from quality early childhood education</w:t>
            </w:r>
            <w:r w:rsidR="00586436">
              <w:rPr>
                <w:noProof/>
                <w:webHidden/>
              </w:rPr>
              <w:tab/>
            </w:r>
            <w:r w:rsidR="00586436">
              <w:rPr>
                <w:noProof/>
                <w:webHidden/>
              </w:rPr>
              <w:fldChar w:fldCharType="begin"/>
            </w:r>
            <w:r w:rsidR="00586436">
              <w:rPr>
                <w:noProof/>
                <w:webHidden/>
              </w:rPr>
              <w:instrText xml:space="preserve"> PAGEREF _Toc500850773 \h </w:instrText>
            </w:r>
            <w:r w:rsidR="00586436">
              <w:rPr>
                <w:noProof/>
                <w:webHidden/>
              </w:rPr>
            </w:r>
            <w:r w:rsidR="00586436">
              <w:rPr>
                <w:noProof/>
                <w:webHidden/>
              </w:rPr>
              <w:fldChar w:fldCharType="separate"/>
            </w:r>
            <w:r>
              <w:rPr>
                <w:noProof/>
                <w:webHidden/>
              </w:rPr>
              <w:t>40</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4" w:history="1">
            <w:r w:rsidR="00586436" w:rsidRPr="00943123">
              <w:rPr>
                <w:rStyle w:val="Hyperlink"/>
                <w:noProof/>
              </w:rPr>
              <w:t>3.4 How Australia compares to the rest of the world</w:t>
            </w:r>
            <w:r w:rsidR="00586436">
              <w:rPr>
                <w:noProof/>
                <w:webHidden/>
              </w:rPr>
              <w:tab/>
            </w:r>
            <w:r w:rsidR="00586436">
              <w:rPr>
                <w:noProof/>
                <w:webHidden/>
              </w:rPr>
              <w:fldChar w:fldCharType="begin"/>
            </w:r>
            <w:r w:rsidR="00586436">
              <w:rPr>
                <w:noProof/>
                <w:webHidden/>
              </w:rPr>
              <w:instrText xml:space="preserve"> PAGEREF _Toc500850774 \h </w:instrText>
            </w:r>
            <w:r w:rsidR="00586436">
              <w:rPr>
                <w:noProof/>
                <w:webHidden/>
              </w:rPr>
            </w:r>
            <w:r w:rsidR="00586436">
              <w:rPr>
                <w:noProof/>
                <w:webHidden/>
              </w:rPr>
              <w:fldChar w:fldCharType="separate"/>
            </w:r>
            <w:r>
              <w:rPr>
                <w:noProof/>
                <w:webHidden/>
              </w:rPr>
              <w:t>45</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5" w:history="1">
            <w:r w:rsidR="00586436" w:rsidRPr="00943123">
              <w:rPr>
                <w:rStyle w:val="Hyperlink"/>
                <w:noProof/>
              </w:rPr>
              <w:t>4.1 The importance of quality and the workforce</w:t>
            </w:r>
            <w:r w:rsidR="00586436">
              <w:rPr>
                <w:noProof/>
                <w:webHidden/>
              </w:rPr>
              <w:tab/>
            </w:r>
            <w:r w:rsidR="00586436">
              <w:rPr>
                <w:noProof/>
                <w:webHidden/>
              </w:rPr>
              <w:fldChar w:fldCharType="begin"/>
            </w:r>
            <w:r w:rsidR="00586436">
              <w:rPr>
                <w:noProof/>
                <w:webHidden/>
              </w:rPr>
              <w:instrText xml:space="preserve"> PAGEREF _Toc500850775 \h </w:instrText>
            </w:r>
            <w:r w:rsidR="00586436">
              <w:rPr>
                <w:noProof/>
                <w:webHidden/>
              </w:rPr>
            </w:r>
            <w:r w:rsidR="00586436">
              <w:rPr>
                <w:noProof/>
                <w:webHidden/>
              </w:rPr>
              <w:fldChar w:fldCharType="separate"/>
            </w:r>
            <w:r>
              <w:rPr>
                <w:noProof/>
                <w:webHidden/>
              </w:rPr>
              <w:t>49</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6" w:history="1">
            <w:r w:rsidR="00586436" w:rsidRPr="00943123">
              <w:rPr>
                <w:rStyle w:val="Hyperlink"/>
                <w:noProof/>
              </w:rPr>
              <w:t>4.2 Expanding access to early childhood education to all three year olds</w:t>
            </w:r>
            <w:r w:rsidR="00586436">
              <w:rPr>
                <w:noProof/>
                <w:webHidden/>
              </w:rPr>
              <w:tab/>
            </w:r>
            <w:r w:rsidR="00586436">
              <w:rPr>
                <w:noProof/>
                <w:webHidden/>
              </w:rPr>
              <w:fldChar w:fldCharType="begin"/>
            </w:r>
            <w:r w:rsidR="00586436">
              <w:rPr>
                <w:noProof/>
                <w:webHidden/>
              </w:rPr>
              <w:instrText xml:space="preserve"> PAGEREF _Toc500850776 \h </w:instrText>
            </w:r>
            <w:r w:rsidR="00586436">
              <w:rPr>
                <w:noProof/>
                <w:webHidden/>
              </w:rPr>
            </w:r>
            <w:r w:rsidR="00586436">
              <w:rPr>
                <w:noProof/>
                <w:webHidden/>
              </w:rPr>
              <w:fldChar w:fldCharType="separate"/>
            </w:r>
            <w:r>
              <w:rPr>
                <w:noProof/>
                <w:webHidden/>
              </w:rPr>
              <w:t>53</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7" w:history="1">
            <w:r w:rsidR="00586436" w:rsidRPr="00943123">
              <w:rPr>
                <w:rStyle w:val="Hyperlink"/>
                <w:noProof/>
              </w:rPr>
              <w:t>4.3 Education, care and the opportunity for a ‘double dividend’</w:t>
            </w:r>
            <w:r w:rsidR="00586436">
              <w:rPr>
                <w:noProof/>
                <w:webHidden/>
              </w:rPr>
              <w:tab/>
            </w:r>
            <w:r w:rsidR="00586436">
              <w:rPr>
                <w:noProof/>
                <w:webHidden/>
              </w:rPr>
              <w:fldChar w:fldCharType="begin"/>
            </w:r>
            <w:r w:rsidR="00586436">
              <w:rPr>
                <w:noProof/>
                <w:webHidden/>
              </w:rPr>
              <w:instrText xml:space="preserve"> PAGEREF _Toc500850777 \h </w:instrText>
            </w:r>
            <w:r w:rsidR="00586436">
              <w:rPr>
                <w:noProof/>
                <w:webHidden/>
              </w:rPr>
            </w:r>
            <w:r w:rsidR="00586436">
              <w:rPr>
                <w:noProof/>
                <w:webHidden/>
              </w:rPr>
              <w:fldChar w:fldCharType="separate"/>
            </w:r>
            <w:r>
              <w:rPr>
                <w:noProof/>
                <w:webHidden/>
              </w:rPr>
              <w:t>56</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78" w:history="1">
            <w:r w:rsidR="00586436" w:rsidRPr="00943123">
              <w:rPr>
                <w:rStyle w:val="Hyperlink"/>
                <w:noProof/>
              </w:rPr>
              <w:t>4.4 Findings and recommendations</w:t>
            </w:r>
            <w:r w:rsidR="00586436">
              <w:rPr>
                <w:noProof/>
                <w:webHidden/>
              </w:rPr>
              <w:tab/>
            </w:r>
            <w:r w:rsidR="00586436">
              <w:rPr>
                <w:noProof/>
                <w:webHidden/>
              </w:rPr>
              <w:fldChar w:fldCharType="begin"/>
            </w:r>
            <w:r w:rsidR="00586436">
              <w:rPr>
                <w:noProof/>
                <w:webHidden/>
              </w:rPr>
              <w:instrText xml:space="preserve"> PAGEREF _Toc500850778 \h </w:instrText>
            </w:r>
            <w:r w:rsidR="00586436">
              <w:rPr>
                <w:noProof/>
                <w:webHidden/>
              </w:rPr>
            </w:r>
            <w:r w:rsidR="00586436">
              <w:rPr>
                <w:noProof/>
                <w:webHidden/>
              </w:rPr>
              <w:fldChar w:fldCharType="separate"/>
            </w:r>
            <w:r>
              <w:rPr>
                <w:noProof/>
                <w:webHidden/>
              </w:rPr>
              <w:t>58</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79" w:history="1">
            <w:r w:rsidR="00586436" w:rsidRPr="00943123">
              <w:rPr>
                <w:rStyle w:val="Hyperlink"/>
                <w:noProof/>
              </w:rPr>
              <w:t>Reform theme one: Embedding foundations for future reform</w:t>
            </w:r>
            <w:r w:rsidR="00586436">
              <w:rPr>
                <w:noProof/>
                <w:webHidden/>
              </w:rPr>
              <w:tab/>
            </w:r>
            <w:r w:rsidR="00586436">
              <w:rPr>
                <w:noProof/>
                <w:webHidden/>
              </w:rPr>
              <w:fldChar w:fldCharType="begin"/>
            </w:r>
            <w:r w:rsidR="00586436">
              <w:rPr>
                <w:noProof/>
                <w:webHidden/>
              </w:rPr>
              <w:instrText xml:space="preserve"> PAGEREF _Toc500850779 \h </w:instrText>
            </w:r>
            <w:r w:rsidR="00586436">
              <w:rPr>
                <w:noProof/>
                <w:webHidden/>
              </w:rPr>
            </w:r>
            <w:r w:rsidR="00586436">
              <w:rPr>
                <w:noProof/>
                <w:webHidden/>
              </w:rPr>
              <w:fldChar w:fldCharType="separate"/>
            </w:r>
            <w:r>
              <w:rPr>
                <w:noProof/>
                <w:webHidden/>
              </w:rPr>
              <w:t>59</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80" w:history="1">
            <w:r w:rsidR="00586436" w:rsidRPr="00943123">
              <w:rPr>
                <w:rStyle w:val="Hyperlink"/>
                <w:noProof/>
              </w:rPr>
              <w:t>Reform theme two: Early childhood education for all three year olds</w:t>
            </w:r>
            <w:r w:rsidR="00586436">
              <w:rPr>
                <w:noProof/>
                <w:webHidden/>
              </w:rPr>
              <w:tab/>
            </w:r>
            <w:r w:rsidR="00586436">
              <w:rPr>
                <w:noProof/>
                <w:webHidden/>
              </w:rPr>
              <w:fldChar w:fldCharType="begin"/>
            </w:r>
            <w:r w:rsidR="00586436">
              <w:rPr>
                <w:noProof/>
                <w:webHidden/>
              </w:rPr>
              <w:instrText xml:space="preserve"> PAGEREF _Toc500850780 \h </w:instrText>
            </w:r>
            <w:r w:rsidR="00586436">
              <w:rPr>
                <w:noProof/>
                <w:webHidden/>
              </w:rPr>
            </w:r>
            <w:r w:rsidR="00586436">
              <w:rPr>
                <w:noProof/>
                <w:webHidden/>
              </w:rPr>
              <w:fldChar w:fldCharType="separate"/>
            </w:r>
            <w:r>
              <w:rPr>
                <w:noProof/>
                <w:webHidden/>
              </w:rPr>
              <w:t>61</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81" w:history="1">
            <w:r w:rsidR="00586436" w:rsidRPr="00943123">
              <w:rPr>
                <w:rStyle w:val="Hyperlink"/>
                <w:noProof/>
              </w:rPr>
              <w:t>Reform theme three: Access, equity and inclusion – additional support for some children and families</w:t>
            </w:r>
            <w:r w:rsidR="00586436">
              <w:rPr>
                <w:noProof/>
                <w:webHidden/>
              </w:rPr>
              <w:tab/>
            </w:r>
            <w:r w:rsidR="00586436">
              <w:rPr>
                <w:noProof/>
                <w:webHidden/>
              </w:rPr>
              <w:fldChar w:fldCharType="begin"/>
            </w:r>
            <w:r w:rsidR="00586436">
              <w:rPr>
                <w:noProof/>
                <w:webHidden/>
              </w:rPr>
              <w:instrText xml:space="preserve"> PAGEREF _Toc500850781 \h </w:instrText>
            </w:r>
            <w:r w:rsidR="00586436">
              <w:rPr>
                <w:noProof/>
                <w:webHidden/>
              </w:rPr>
            </w:r>
            <w:r w:rsidR="00586436">
              <w:rPr>
                <w:noProof/>
                <w:webHidden/>
              </w:rPr>
              <w:fldChar w:fldCharType="separate"/>
            </w:r>
            <w:r>
              <w:rPr>
                <w:noProof/>
                <w:webHidden/>
              </w:rPr>
              <w:t>62</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82" w:history="1">
            <w:r w:rsidR="00586436" w:rsidRPr="00943123">
              <w:rPr>
                <w:rStyle w:val="Hyperlink"/>
                <w:noProof/>
              </w:rPr>
              <w:t>Reform theme four: Quality and workforce</w:t>
            </w:r>
            <w:r w:rsidR="00586436">
              <w:rPr>
                <w:noProof/>
                <w:webHidden/>
              </w:rPr>
              <w:tab/>
            </w:r>
            <w:r w:rsidR="00586436">
              <w:rPr>
                <w:noProof/>
                <w:webHidden/>
              </w:rPr>
              <w:fldChar w:fldCharType="begin"/>
            </w:r>
            <w:r w:rsidR="00586436">
              <w:rPr>
                <w:noProof/>
                <w:webHidden/>
              </w:rPr>
              <w:instrText xml:space="preserve"> PAGEREF _Toc500850782 \h </w:instrText>
            </w:r>
            <w:r w:rsidR="00586436">
              <w:rPr>
                <w:noProof/>
                <w:webHidden/>
              </w:rPr>
            </w:r>
            <w:r w:rsidR="00586436">
              <w:rPr>
                <w:noProof/>
                <w:webHidden/>
              </w:rPr>
              <w:fldChar w:fldCharType="separate"/>
            </w:r>
            <w:r>
              <w:rPr>
                <w:noProof/>
                <w:webHidden/>
              </w:rPr>
              <w:t>64</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83" w:history="1">
            <w:r w:rsidR="00586436" w:rsidRPr="00943123">
              <w:rPr>
                <w:rStyle w:val="Hyperlink"/>
                <w:noProof/>
              </w:rPr>
              <w:t>Reform theme five: Parent and community engagement</w:t>
            </w:r>
            <w:r w:rsidR="00586436">
              <w:rPr>
                <w:noProof/>
                <w:webHidden/>
              </w:rPr>
              <w:tab/>
            </w:r>
            <w:r w:rsidR="00586436">
              <w:rPr>
                <w:noProof/>
                <w:webHidden/>
              </w:rPr>
              <w:fldChar w:fldCharType="begin"/>
            </w:r>
            <w:r w:rsidR="00586436">
              <w:rPr>
                <w:noProof/>
                <w:webHidden/>
              </w:rPr>
              <w:instrText xml:space="preserve"> PAGEREF _Toc500850783 \h </w:instrText>
            </w:r>
            <w:r w:rsidR="00586436">
              <w:rPr>
                <w:noProof/>
                <w:webHidden/>
              </w:rPr>
            </w:r>
            <w:r w:rsidR="00586436">
              <w:rPr>
                <w:noProof/>
                <w:webHidden/>
              </w:rPr>
              <w:fldChar w:fldCharType="separate"/>
            </w:r>
            <w:r>
              <w:rPr>
                <w:noProof/>
                <w:webHidden/>
              </w:rPr>
              <w:t>66</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84" w:history="1">
            <w:r w:rsidR="00586436" w:rsidRPr="00943123">
              <w:rPr>
                <w:rStyle w:val="Hyperlink"/>
                <w:noProof/>
              </w:rPr>
              <w:t>Reform theme six: Transparency and accountability</w:t>
            </w:r>
            <w:r w:rsidR="00586436">
              <w:rPr>
                <w:noProof/>
                <w:webHidden/>
              </w:rPr>
              <w:tab/>
            </w:r>
            <w:r w:rsidR="00586436">
              <w:rPr>
                <w:noProof/>
                <w:webHidden/>
              </w:rPr>
              <w:fldChar w:fldCharType="begin"/>
            </w:r>
            <w:r w:rsidR="00586436">
              <w:rPr>
                <w:noProof/>
                <w:webHidden/>
              </w:rPr>
              <w:instrText xml:space="preserve"> PAGEREF _Toc500850784 \h </w:instrText>
            </w:r>
            <w:r w:rsidR="00586436">
              <w:rPr>
                <w:noProof/>
                <w:webHidden/>
              </w:rPr>
            </w:r>
            <w:r w:rsidR="00586436">
              <w:rPr>
                <w:noProof/>
                <w:webHidden/>
              </w:rPr>
              <w:fldChar w:fldCharType="separate"/>
            </w:r>
            <w:r>
              <w:rPr>
                <w:noProof/>
                <w:webHidden/>
              </w:rPr>
              <w:t>67</w:t>
            </w:r>
            <w:r w:rsidR="00586436">
              <w:rPr>
                <w:noProof/>
                <w:webHidden/>
              </w:rPr>
              <w:fldChar w:fldCharType="end"/>
            </w:r>
          </w:hyperlink>
        </w:p>
        <w:p w:rsidR="00586436" w:rsidRDefault="003A6BCA">
          <w:pPr>
            <w:pStyle w:val="TOC2"/>
            <w:tabs>
              <w:tab w:val="right" w:leader="dot" w:pos="9016"/>
            </w:tabs>
            <w:rPr>
              <w:rFonts w:eastAsiaTheme="minorEastAsia"/>
              <w:noProof/>
              <w:lang w:eastAsia="en-AU"/>
            </w:rPr>
          </w:pPr>
          <w:hyperlink w:anchor="_Toc500850785" w:history="1">
            <w:r w:rsidR="00586436" w:rsidRPr="00943123">
              <w:rPr>
                <w:rStyle w:val="Hyperlink"/>
                <w:noProof/>
              </w:rPr>
              <w:t>Implementation</w:t>
            </w:r>
            <w:r w:rsidR="00586436">
              <w:rPr>
                <w:noProof/>
                <w:webHidden/>
              </w:rPr>
              <w:tab/>
            </w:r>
            <w:r w:rsidR="00586436">
              <w:rPr>
                <w:noProof/>
                <w:webHidden/>
              </w:rPr>
              <w:fldChar w:fldCharType="begin"/>
            </w:r>
            <w:r w:rsidR="00586436">
              <w:rPr>
                <w:noProof/>
                <w:webHidden/>
              </w:rPr>
              <w:instrText xml:space="preserve"> PAGEREF _Toc500850785 \h </w:instrText>
            </w:r>
            <w:r w:rsidR="00586436">
              <w:rPr>
                <w:noProof/>
                <w:webHidden/>
              </w:rPr>
            </w:r>
            <w:r w:rsidR="00586436">
              <w:rPr>
                <w:noProof/>
                <w:webHidden/>
              </w:rPr>
              <w:fldChar w:fldCharType="separate"/>
            </w:r>
            <w:r>
              <w:rPr>
                <w:noProof/>
                <w:webHidden/>
              </w:rPr>
              <w:t>69</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86" w:history="1">
            <w:r w:rsidR="00586436" w:rsidRPr="00943123">
              <w:rPr>
                <w:rStyle w:val="Hyperlink"/>
                <w:noProof/>
              </w:rPr>
              <w:t>Glossary</w:t>
            </w:r>
            <w:r w:rsidR="00586436">
              <w:rPr>
                <w:noProof/>
                <w:webHidden/>
              </w:rPr>
              <w:tab/>
            </w:r>
            <w:r w:rsidR="00586436">
              <w:rPr>
                <w:noProof/>
                <w:webHidden/>
              </w:rPr>
              <w:fldChar w:fldCharType="begin"/>
            </w:r>
            <w:r w:rsidR="00586436">
              <w:rPr>
                <w:noProof/>
                <w:webHidden/>
              </w:rPr>
              <w:instrText xml:space="preserve"> PAGEREF _Toc500850786 \h </w:instrText>
            </w:r>
            <w:r w:rsidR="00586436">
              <w:rPr>
                <w:noProof/>
                <w:webHidden/>
              </w:rPr>
            </w:r>
            <w:r w:rsidR="00586436">
              <w:rPr>
                <w:noProof/>
                <w:webHidden/>
              </w:rPr>
              <w:fldChar w:fldCharType="separate"/>
            </w:r>
            <w:r>
              <w:rPr>
                <w:noProof/>
                <w:webHidden/>
              </w:rPr>
              <w:t>71</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87" w:history="1">
            <w:r w:rsidR="00586436" w:rsidRPr="00943123">
              <w:rPr>
                <w:rStyle w:val="Hyperlink"/>
                <w:noProof/>
              </w:rPr>
              <w:t>Review process</w:t>
            </w:r>
            <w:r w:rsidR="00586436">
              <w:rPr>
                <w:noProof/>
                <w:webHidden/>
              </w:rPr>
              <w:tab/>
            </w:r>
            <w:r w:rsidR="00586436">
              <w:rPr>
                <w:noProof/>
                <w:webHidden/>
              </w:rPr>
              <w:fldChar w:fldCharType="begin"/>
            </w:r>
            <w:r w:rsidR="00586436">
              <w:rPr>
                <w:noProof/>
                <w:webHidden/>
              </w:rPr>
              <w:instrText xml:space="preserve"> PAGEREF _Toc500850787 \h </w:instrText>
            </w:r>
            <w:r w:rsidR="00586436">
              <w:rPr>
                <w:noProof/>
                <w:webHidden/>
              </w:rPr>
            </w:r>
            <w:r w:rsidR="00586436">
              <w:rPr>
                <w:noProof/>
                <w:webHidden/>
              </w:rPr>
              <w:fldChar w:fldCharType="separate"/>
            </w:r>
            <w:r>
              <w:rPr>
                <w:noProof/>
                <w:webHidden/>
              </w:rPr>
              <w:t>73</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88" w:history="1">
            <w:r w:rsidR="00586436" w:rsidRPr="00943123">
              <w:rPr>
                <w:rStyle w:val="Hyperlink"/>
                <w:noProof/>
              </w:rPr>
              <w:t>About the Reviewers</w:t>
            </w:r>
            <w:r w:rsidR="00586436">
              <w:rPr>
                <w:noProof/>
                <w:webHidden/>
              </w:rPr>
              <w:tab/>
            </w:r>
            <w:r w:rsidR="00586436">
              <w:rPr>
                <w:noProof/>
                <w:webHidden/>
              </w:rPr>
              <w:fldChar w:fldCharType="begin"/>
            </w:r>
            <w:r w:rsidR="00586436">
              <w:rPr>
                <w:noProof/>
                <w:webHidden/>
              </w:rPr>
              <w:instrText xml:space="preserve"> PAGEREF _Toc500850788 \h </w:instrText>
            </w:r>
            <w:r w:rsidR="00586436">
              <w:rPr>
                <w:noProof/>
                <w:webHidden/>
              </w:rPr>
            </w:r>
            <w:r w:rsidR="00586436">
              <w:rPr>
                <w:noProof/>
                <w:webHidden/>
              </w:rPr>
              <w:fldChar w:fldCharType="separate"/>
            </w:r>
            <w:r>
              <w:rPr>
                <w:noProof/>
                <w:webHidden/>
              </w:rPr>
              <w:t>74</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89" w:history="1">
            <w:r w:rsidR="00586436" w:rsidRPr="00943123">
              <w:rPr>
                <w:rStyle w:val="Hyperlink"/>
                <w:noProof/>
              </w:rPr>
              <w:t>Terms of reference</w:t>
            </w:r>
            <w:r w:rsidR="00586436">
              <w:rPr>
                <w:noProof/>
                <w:webHidden/>
              </w:rPr>
              <w:tab/>
            </w:r>
            <w:r w:rsidR="00586436">
              <w:rPr>
                <w:noProof/>
                <w:webHidden/>
              </w:rPr>
              <w:fldChar w:fldCharType="begin"/>
            </w:r>
            <w:r w:rsidR="00586436">
              <w:rPr>
                <w:noProof/>
                <w:webHidden/>
              </w:rPr>
              <w:instrText xml:space="preserve"> PAGEREF _Toc500850789 \h </w:instrText>
            </w:r>
            <w:r w:rsidR="00586436">
              <w:rPr>
                <w:noProof/>
                <w:webHidden/>
              </w:rPr>
            </w:r>
            <w:r w:rsidR="00586436">
              <w:rPr>
                <w:noProof/>
                <w:webHidden/>
              </w:rPr>
              <w:fldChar w:fldCharType="separate"/>
            </w:r>
            <w:r>
              <w:rPr>
                <w:noProof/>
                <w:webHidden/>
              </w:rPr>
              <w:t>75</w:t>
            </w:r>
            <w:r w:rsidR="00586436">
              <w:rPr>
                <w:noProof/>
                <w:webHidden/>
              </w:rPr>
              <w:fldChar w:fldCharType="end"/>
            </w:r>
          </w:hyperlink>
        </w:p>
        <w:p w:rsidR="00586436" w:rsidRDefault="003A6BCA">
          <w:pPr>
            <w:pStyle w:val="TOC1"/>
            <w:tabs>
              <w:tab w:val="right" w:leader="dot" w:pos="9016"/>
            </w:tabs>
            <w:rPr>
              <w:rFonts w:eastAsiaTheme="minorEastAsia"/>
              <w:noProof/>
              <w:lang w:eastAsia="en-AU"/>
            </w:rPr>
          </w:pPr>
          <w:hyperlink w:anchor="_Toc500850790" w:history="1">
            <w:r w:rsidR="00586436" w:rsidRPr="00943123">
              <w:rPr>
                <w:rStyle w:val="Hyperlink"/>
                <w:noProof/>
              </w:rPr>
              <w:t>Endnotes</w:t>
            </w:r>
            <w:r w:rsidR="00586436">
              <w:rPr>
                <w:noProof/>
                <w:webHidden/>
              </w:rPr>
              <w:tab/>
            </w:r>
            <w:r w:rsidR="00586436">
              <w:rPr>
                <w:noProof/>
                <w:webHidden/>
              </w:rPr>
              <w:fldChar w:fldCharType="begin"/>
            </w:r>
            <w:r w:rsidR="00586436">
              <w:rPr>
                <w:noProof/>
                <w:webHidden/>
              </w:rPr>
              <w:instrText xml:space="preserve"> PAGEREF _Toc500850790 \h </w:instrText>
            </w:r>
            <w:r w:rsidR="00586436">
              <w:rPr>
                <w:noProof/>
                <w:webHidden/>
              </w:rPr>
            </w:r>
            <w:r w:rsidR="00586436">
              <w:rPr>
                <w:noProof/>
                <w:webHidden/>
              </w:rPr>
              <w:fldChar w:fldCharType="separate"/>
            </w:r>
            <w:r>
              <w:rPr>
                <w:noProof/>
                <w:webHidden/>
              </w:rPr>
              <w:t>76</w:t>
            </w:r>
            <w:r w:rsidR="00586436">
              <w:rPr>
                <w:noProof/>
                <w:webHidden/>
              </w:rPr>
              <w:fldChar w:fldCharType="end"/>
            </w:r>
          </w:hyperlink>
        </w:p>
        <w:p w:rsidR="00375FB1" w:rsidRDefault="00375FB1" w:rsidP="00375FB1">
          <w:pPr>
            <w:rPr>
              <w:noProof/>
            </w:rPr>
          </w:pPr>
          <w:r w:rsidRPr="00F017AC">
            <w:rPr>
              <w:b/>
              <w:bCs/>
              <w:noProof/>
              <w:sz w:val="20"/>
            </w:rPr>
            <w:fldChar w:fldCharType="end"/>
          </w:r>
        </w:p>
      </w:sdtContent>
    </w:sdt>
    <w:p w:rsidR="00375FB1" w:rsidRPr="00820AA7" w:rsidRDefault="00375FB1" w:rsidP="00375FB1">
      <w:pPr>
        <w:rPr>
          <w:rFonts w:asciiTheme="majorHAnsi" w:eastAsiaTheme="majorEastAsia" w:hAnsiTheme="majorHAnsi" w:cstheme="majorBidi"/>
          <w:b/>
          <w:bCs/>
          <w:color w:val="365F91" w:themeColor="accent1" w:themeShade="BF"/>
          <w:sz w:val="28"/>
          <w:szCs w:val="28"/>
        </w:rPr>
      </w:pPr>
      <w:r w:rsidRPr="00336A43">
        <w:br w:type="page"/>
      </w:r>
      <w:bookmarkStart w:id="2" w:name="_GoBack"/>
      <w:bookmarkEnd w:id="2"/>
    </w:p>
    <w:p w:rsidR="00375FB1" w:rsidRDefault="00375FB1" w:rsidP="00375FB1">
      <w:pPr>
        <w:pStyle w:val="Heading1"/>
      </w:pPr>
      <w:bookmarkStart w:id="3" w:name="_Toc373586247"/>
      <w:bookmarkStart w:id="4" w:name="_Toc500850765"/>
      <w:r>
        <w:t>Executive summary</w:t>
      </w:r>
      <w:bookmarkEnd w:id="3"/>
      <w:bookmarkEnd w:id="4"/>
      <w:r>
        <w:t xml:space="preserve"> </w:t>
      </w:r>
    </w:p>
    <w:p w:rsidR="00375FB1" w:rsidRDefault="00375FB1" w:rsidP="00375FB1">
      <w:r>
        <w:t xml:space="preserve">The Review has been asked to consider, and make recommendations on, the most effective interventions to be deployed in early childhood, with a focus on school readiness, improving achievement in schools and future success in employment or further education. (See terms of reference, </w:t>
      </w:r>
      <w:r w:rsidR="00892296" w:rsidRPr="00B20811">
        <w:t>page</w:t>
      </w:r>
      <w:r w:rsidRPr="00B20811">
        <w:t xml:space="preserve"> </w:t>
      </w:r>
      <w:r w:rsidR="00845D6F">
        <w:t>7</w:t>
      </w:r>
      <w:r w:rsidR="006727FC">
        <w:t>5</w:t>
      </w:r>
      <w:r>
        <w:t>.) It addresses these vital issues in full awareness of the range of policy goals served by early childhood provision and the efforts across jurisdictions to overcome historical divisions between care-focused and education-focused services.</w:t>
      </w:r>
    </w:p>
    <w:p w:rsidR="00B20605" w:rsidRDefault="00093386" w:rsidP="00375FB1">
      <w:r w:rsidRPr="00A33316">
        <w:t>Senior officials from all states and territories commissioned this Review</w:t>
      </w:r>
      <w:r w:rsidR="00663A8C">
        <w:t>.</w:t>
      </w:r>
      <w:r w:rsidR="000E0470">
        <w:t xml:space="preserve"> It </w:t>
      </w:r>
      <w:r w:rsidR="008961B8">
        <w:t>comes at a time when long-term national funding arrangements for early childhood education</w:t>
      </w:r>
      <w:r w:rsidR="008961B8" w:rsidRPr="00AD6FB3">
        <w:t xml:space="preserve"> </w:t>
      </w:r>
      <w:r w:rsidR="008961B8">
        <w:t xml:space="preserve">are uncertain, and significant community discussion and governmental inquiry is occurring on how to improve Australia’s educational performance. </w:t>
      </w:r>
      <w:r w:rsidRPr="004475BD">
        <w:t>Despite funding increases</w:t>
      </w:r>
      <w:r w:rsidR="00B20605">
        <w:t xml:space="preserve">, </w:t>
      </w:r>
      <w:r w:rsidR="00B20605" w:rsidRPr="00177632">
        <w:t>Australian</w:t>
      </w:r>
      <w:r w:rsidR="00B20605" w:rsidRPr="008F2D4E">
        <w:t xml:space="preserve"> </w:t>
      </w:r>
      <w:r w:rsidRPr="00423D14">
        <w:t>school</w:t>
      </w:r>
      <w:r w:rsidR="00B20605" w:rsidRPr="00177632">
        <w:t xml:space="preserve"> students’ performance in national and international assessments has declined in real and relative terms</w:t>
      </w:r>
      <w:r w:rsidR="00B20605">
        <w:t>.</w:t>
      </w:r>
    </w:p>
    <w:p w:rsidR="00B20605" w:rsidRDefault="00375FB1" w:rsidP="00375FB1">
      <w:r>
        <w:t xml:space="preserve">The Review finds that quality early childhood education makes a significant contribution to achieving educational excellence in schools. There is </w:t>
      </w:r>
      <w:r w:rsidR="004F67AB">
        <w:t xml:space="preserve">growing </w:t>
      </w:r>
      <w:r>
        <w:t xml:space="preserve">evidence that participation in quality early </w:t>
      </w:r>
      <w:r w:rsidR="00663A8C">
        <w:t xml:space="preserve">childhood </w:t>
      </w:r>
      <w:r>
        <w:t xml:space="preserve">education </w:t>
      </w:r>
      <w:r w:rsidR="00CE303A">
        <w:t xml:space="preserve">improves school readiness and </w:t>
      </w:r>
      <w:r w:rsidR="00A605F1">
        <w:t xml:space="preserve">lifts </w:t>
      </w:r>
      <w:r w:rsidR="00852F0A">
        <w:t xml:space="preserve">NAPLAN </w:t>
      </w:r>
      <w:r>
        <w:t xml:space="preserve">results and </w:t>
      </w:r>
      <w:r w:rsidR="00852F0A">
        <w:t xml:space="preserve">PISA </w:t>
      </w:r>
      <w:r>
        <w:t xml:space="preserve">scores. Children who participate in high quality early </w:t>
      </w:r>
      <w:r w:rsidR="00663A8C">
        <w:t xml:space="preserve">childhood </w:t>
      </w:r>
      <w:r>
        <w:t xml:space="preserve">education are more likely to complete year 12 and are less likely to repeat grades or require additional support. High quality early </w:t>
      </w:r>
      <w:r w:rsidR="00663A8C">
        <w:t xml:space="preserve">childhood </w:t>
      </w:r>
      <w:r>
        <w:t xml:space="preserve">education also has </w:t>
      </w:r>
      <w:r w:rsidR="00852F0A">
        <w:t>broader</w:t>
      </w:r>
      <w:r>
        <w:t xml:space="preserve"> impacts</w:t>
      </w:r>
      <w:r w:rsidR="00B3255A" w:rsidRPr="00492CB6">
        <w:t>;</w:t>
      </w:r>
      <w:r>
        <w:t xml:space="preserve"> it is linked with high</w:t>
      </w:r>
      <w:r w:rsidR="00CB28F2">
        <w:t>er</w:t>
      </w:r>
      <w:r>
        <w:t xml:space="preserve"> levels of employment, income and financial security, improved health outcomes and reduced crime. </w:t>
      </w:r>
      <w:r w:rsidR="00960FB0">
        <w:t xml:space="preserve">It helps build the skills children will need for the jobs of the future. </w:t>
      </w:r>
    </w:p>
    <w:p w:rsidR="00B20605" w:rsidRDefault="007F22AB" w:rsidP="00375FB1">
      <w:r>
        <w:t>Quality early childhood education</w:t>
      </w:r>
      <w:r w:rsidR="000D07F4">
        <w:t xml:space="preserve"> </w:t>
      </w:r>
      <w:r>
        <w:t xml:space="preserve">and care </w:t>
      </w:r>
      <w:r w:rsidR="005B3EE4">
        <w:t xml:space="preserve">is best considered </w:t>
      </w:r>
      <w:r>
        <w:t>as a</w:t>
      </w:r>
      <w:r w:rsidR="004F67AB">
        <w:t xml:space="preserve">n investment, not a </w:t>
      </w:r>
      <w:r>
        <w:t xml:space="preserve">cost. </w:t>
      </w:r>
      <w:r w:rsidR="00375FB1">
        <w:t xml:space="preserve">Investment in early childhood education provides a </w:t>
      </w:r>
      <w:r w:rsidR="004F67AB">
        <w:t xml:space="preserve">strong </w:t>
      </w:r>
      <w:r w:rsidR="00375FB1">
        <w:t>return</w:t>
      </w:r>
      <w:r w:rsidR="00892296">
        <w:t>, with a variety of studies indicating benefits of 2-4 times the costs</w:t>
      </w:r>
      <w:r w:rsidR="00B20605">
        <w:t xml:space="preserve">. Significant fiscal benefits flow to both </w:t>
      </w:r>
      <w:r w:rsidR="001752FD">
        <w:t xml:space="preserve">the </w:t>
      </w:r>
      <w:r w:rsidR="005617ED">
        <w:t>Commonwealth</w:t>
      </w:r>
      <w:r w:rsidR="001752FD" w:rsidRPr="006D49E8">
        <w:t xml:space="preserve"> </w:t>
      </w:r>
      <w:r w:rsidR="00B20605">
        <w:t xml:space="preserve">and </w:t>
      </w:r>
      <w:r w:rsidR="001752FD">
        <w:t>s</w:t>
      </w:r>
      <w:r w:rsidR="00B20605">
        <w:t xml:space="preserve">tate and </w:t>
      </w:r>
      <w:r w:rsidR="001752FD">
        <w:t>t</w:t>
      </w:r>
      <w:r w:rsidR="00B20605" w:rsidRPr="006D49E8">
        <w:t xml:space="preserve">erritory </w:t>
      </w:r>
      <w:r w:rsidR="0066544A" w:rsidRPr="003C2B68">
        <w:t>g</w:t>
      </w:r>
      <w:r w:rsidR="00B20605">
        <w:t>overnments</w:t>
      </w:r>
      <w:r w:rsidR="004F67AB">
        <w:t>.</w:t>
      </w:r>
      <w:r w:rsidR="00CD049F">
        <w:t xml:space="preserve"> </w:t>
      </w:r>
    </w:p>
    <w:p w:rsidR="00375FB1" w:rsidRDefault="00B20605" w:rsidP="00375FB1">
      <w:r>
        <w:t>The</w:t>
      </w:r>
      <w:r w:rsidR="00CD049F">
        <w:t>se</w:t>
      </w:r>
      <w:r>
        <w:t xml:space="preserve"> benefits are </w:t>
      </w:r>
      <w:r w:rsidR="0066544A" w:rsidRPr="00EF50D9">
        <w:t xml:space="preserve">greater </w:t>
      </w:r>
      <w:r>
        <w:t xml:space="preserve">– often substantially </w:t>
      </w:r>
      <w:r w:rsidR="00B3255A" w:rsidRPr="00947C7A">
        <w:t>so</w:t>
      </w:r>
      <w:r>
        <w:t xml:space="preserve"> </w:t>
      </w:r>
      <w:r w:rsidR="00A605F1">
        <w:t>– for</w:t>
      </w:r>
      <w:r w:rsidR="00892296">
        <w:t xml:space="preserve"> </w:t>
      </w:r>
      <w:r>
        <w:t>programs targeted at vulnerable or disadvantaged children. Support for these children is vital – children who start school behind their peers stay behind. Quality early childhood education</w:t>
      </w:r>
      <w:r w:rsidR="000D07F4">
        <w:t xml:space="preserve"> </w:t>
      </w:r>
      <w:r>
        <w:t xml:space="preserve">can help stop this from happening, and break the cycle of disadvantage. </w:t>
      </w:r>
    </w:p>
    <w:p w:rsidR="00375FB1" w:rsidRDefault="00375FB1" w:rsidP="00375FB1">
      <w:r>
        <w:t>A key explanation</w:t>
      </w:r>
      <w:r w:rsidRPr="0093513F">
        <w:t xml:space="preserve"> for these </w:t>
      </w:r>
      <w:r>
        <w:t xml:space="preserve">broad and significant </w:t>
      </w:r>
      <w:r w:rsidRPr="0093513F">
        <w:t>benefits lie</w:t>
      </w:r>
      <w:r>
        <w:t>s</w:t>
      </w:r>
      <w:r w:rsidRPr="0093513F">
        <w:t xml:space="preserve"> in neuroscience. </w:t>
      </w:r>
      <w:r>
        <w:t xml:space="preserve">A substantial amount of brain development occurs in the years before school. This is the period when children learn to communicate, get along with others and control and adapt their behaviour, emotions and thinking. These skills and behaviours establish the foundations for future life skills and success. </w:t>
      </w:r>
      <w:r w:rsidR="004F67AB">
        <w:t xml:space="preserve">They are provided in most, but not all, homes. </w:t>
      </w:r>
      <w:r>
        <w:t xml:space="preserve">Quality early childhood education gives </w:t>
      </w:r>
      <w:r w:rsidR="004F67AB">
        <w:t xml:space="preserve">all </w:t>
      </w:r>
      <w:r>
        <w:t>children the best chance of establishing these capabilities. Without these foundations in place, children often struggle in school, and then often go on to become adults who struggle in life.</w:t>
      </w:r>
      <w:r w:rsidRPr="0093513F">
        <w:t xml:space="preserve"> </w:t>
      </w:r>
    </w:p>
    <w:p w:rsidR="00CD049F" w:rsidRDefault="00CD049F" w:rsidP="00375FB1">
      <w:r>
        <w:t xml:space="preserve">The benefits of quality early childhood education are </w:t>
      </w:r>
      <w:r w:rsidR="005B3EE4">
        <w:t xml:space="preserve">widely accepted </w:t>
      </w:r>
      <w:r w:rsidR="00A605F1">
        <w:t>internationally</w:t>
      </w:r>
      <w:r>
        <w:t xml:space="preserve">. The evidence is extensive and consistent. </w:t>
      </w:r>
      <w:r w:rsidR="004D4812">
        <w:t>Most comparable countries recognise</w:t>
      </w:r>
      <w:r>
        <w:t xml:space="preserve"> this, and invest accordingly. </w:t>
      </w:r>
      <w:r w:rsidR="00443AD1">
        <w:t xml:space="preserve">In contrast, </w:t>
      </w:r>
      <w:r>
        <w:t xml:space="preserve">Australia is below </w:t>
      </w:r>
      <w:r w:rsidR="004D4812">
        <w:t xml:space="preserve">the </w:t>
      </w:r>
      <w:r>
        <w:t xml:space="preserve">OECD average in terms of investment in early childhood education </w:t>
      </w:r>
      <w:r w:rsidR="004D4812">
        <w:t xml:space="preserve">and </w:t>
      </w:r>
      <w:r>
        <w:t>participation</w:t>
      </w:r>
      <w:r w:rsidRPr="00CD049F">
        <w:t xml:space="preserve"> </w:t>
      </w:r>
      <w:r>
        <w:t xml:space="preserve">in early childhood education. It </w:t>
      </w:r>
      <w:r w:rsidR="00443AD1">
        <w:t xml:space="preserve">is </w:t>
      </w:r>
      <w:r>
        <w:t xml:space="preserve">not surprising that Australia’s school </w:t>
      </w:r>
      <w:r w:rsidR="00FD715D">
        <w:t xml:space="preserve">outcomes are of concern – Australia fails to invest early, and </w:t>
      </w:r>
      <w:r w:rsidR="00443AD1">
        <w:t xml:space="preserve">pays </w:t>
      </w:r>
      <w:r w:rsidR="00FD715D">
        <w:t xml:space="preserve">for it later. </w:t>
      </w:r>
    </w:p>
    <w:p w:rsidR="00CD049F" w:rsidRPr="00CD049F" w:rsidRDefault="00CD049F" w:rsidP="00375FB1">
      <w:r>
        <w:t xml:space="preserve">Australia </w:t>
      </w:r>
      <w:r w:rsidR="005167A7">
        <w:t xml:space="preserve">can </w:t>
      </w:r>
      <w:r w:rsidR="0047340F">
        <w:t xml:space="preserve">and should </w:t>
      </w:r>
      <w:r w:rsidR="005167A7">
        <w:t xml:space="preserve">do more for its children. Early childhood </w:t>
      </w:r>
      <w:r w:rsidR="00A605F1">
        <w:t>education</w:t>
      </w:r>
      <w:r w:rsidR="005167A7">
        <w:t xml:space="preserve"> offers a great </w:t>
      </w:r>
      <w:r w:rsidR="00A605F1">
        <w:t>opportunity</w:t>
      </w:r>
      <w:r w:rsidR="005167A7">
        <w:t xml:space="preserve"> for Australia to lift its game. </w:t>
      </w:r>
    </w:p>
    <w:p w:rsidR="00CD049F" w:rsidRPr="00CD049F" w:rsidRDefault="00CD049F" w:rsidP="00375FB1">
      <w:pPr>
        <w:rPr>
          <w:i/>
        </w:rPr>
      </w:pPr>
      <w:r>
        <w:rPr>
          <w:i/>
        </w:rPr>
        <w:t>A way forward</w:t>
      </w:r>
    </w:p>
    <w:p w:rsidR="00CB28F2" w:rsidRDefault="00375FB1" w:rsidP="00375FB1">
      <w:r>
        <w:t>Many of the essential elements of a strong early childhood system are already in place in Australia. The reforms of the past decade have been substantial</w:t>
      </w:r>
      <w:r w:rsidR="00D325F3">
        <w:t>, supported by significant effort and investment from all governments</w:t>
      </w:r>
      <w:r>
        <w:t xml:space="preserve">. Universal Access </w:t>
      </w:r>
      <w:r w:rsidR="00CE303A">
        <w:t xml:space="preserve">to early childhood education </w:t>
      </w:r>
      <w:r>
        <w:t>for all children in the year before school and the National Quality Framework</w:t>
      </w:r>
      <w:r w:rsidR="005617ED">
        <w:t xml:space="preserve"> </w:t>
      </w:r>
      <w:r w:rsidR="00CB28F2">
        <w:t xml:space="preserve">provide national consistency and a foundation of quality assurance. They </w:t>
      </w:r>
      <w:r>
        <w:t xml:space="preserve">are vital </w:t>
      </w:r>
      <w:r w:rsidR="00443AD1">
        <w:t xml:space="preserve">features </w:t>
      </w:r>
      <w:r>
        <w:t xml:space="preserve">of the system and must be retained and </w:t>
      </w:r>
      <w:r w:rsidR="00CE303A">
        <w:t xml:space="preserve">properly </w:t>
      </w:r>
      <w:r>
        <w:t xml:space="preserve">resourced. </w:t>
      </w:r>
    </w:p>
    <w:p w:rsidR="00375FB1" w:rsidRDefault="00375FB1" w:rsidP="00375FB1">
      <w:r>
        <w:t>The diversity of early childhood settings and services</w:t>
      </w:r>
      <w:r w:rsidR="009F1B43" w:rsidRPr="009703EC">
        <w:t>,</w:t>
      </w:r>
      <w:r>
        <w:t xml:space="preserve"> and the flexibility for services to be tailored to the circumstances of different children, communities and jurisdictions</w:t>
      </w:r>
      <w:r w:rsidR="009F1B43" w:rsidRPr="00E818EB">
        <w:t>,</w:t>
      </w:r>
      <w:r>
        <w:t xml:space="preserve"> are also strengths of the system. However, the Review</w:t>
      </w:r>
      <w:r w:rsidR="00CC0042">
        <w:t xml:space="preserve"> also</w:t>
      </w:r>
      <w:r>
        <w:t xml:space="preserve"> noted the </w:t>
      </w:r>
      <w:r w:rsidR="00443AD1">
        <w:t xml:space="preserve">lack of alignment between objectives of </w:t>
      </w:r>
      <w:r w:rsidR="00A605F1">
        <w:t>different</w:t>
      </w:r>
      <w:r w:rsidR="00443AD1">
        <w:t xml:space="preserve"> levels of government, inconsistencies in relation to service eligibility and subsidies, and the </w:t>
      </w:r>
      <w:r>
        <w:t xml:space="preserve">complexity </w:t>
      </w:r>
      <w:r w:rsidR="00443AD1">
        <w:t xml:space="preserve">that </w:t>
      </w:r>
      <w:r>
        <w:t>parents</w:t>
      </w:r>
      <w:r w:rsidR="008E4B77">
        <w:rPr>
          <w:rStyle w:val="FootnoteReference"/>
        </w:rPr>
        <w:footnoteReference w:id="2"/>
      </w:r>
      <w:r>
        <w:t xml:space="preserve"> </w:t>
      </w:r>
      <w:r w:rsidR="00443AD1">
        <w:t xml:space="preserve">face in </w:t>
      </w:r>
      <w:r>
        <w:t xml:space="preserve">navigating their way through a mixed market sector with multiple funders and settings. </w:t>
      </w:r>
    </w:p>
    <w:p w:rsidR="009D186A" w:rsidRDefault="009D186A" w:rsidP="009D186A">
      <w:r>
        <w:t>Given the impacts of early childhood interventions on school and other life outcomes, the Review encourages Australian governments to take a broader view of education, to encompass both early childhood and schools. Early childhood education is one of many steps in the journey of lifelong learning</w:t>
      </w:r>
      <w:r w:rsidR="009D2152" w:rsidRPr="003C30CF">
        <w:t>;</w:t>
      </w:r>
      <w:r>
        <w:t xml:space="preserve"> what happens in early childhood affects what happens in schools. If Australia is to improve school outcomes, a holistic approach to education must be taken. </w:t>
      </w:r>
    </w:p>
    <w:p w:rsidR="009D186A" w:rsidRDefault="009D186A" w:rsidP="009D186A">
      <w:r>
        <w:t>For many families, access to early childhood education is combined with child care.</w:t>
      </w:r>
      <w:r w:rsidR="00AD4E3E">
        <w:t xml:space="preserve"> </w:t>
      </w:r>
      <w:r w:rsidR="00315247">
        <w:t xml:space="preserve">Investing </w:t>
      </w:r>
      <w:r w:rsidR="00643253">
        <w:t xml:space="preserve">in integrating </w:t>
      </w:r>
      <w:r w:rsidR="00A605F1">
        <w:t>education</w:t>
      </w:r>
      <w:r w:rsidR="00643253">
        <w:t xml:space="preserve"> and care creates the potential for </w:t>
      </w:r>
      <w:r>
        <w:t xml:space="preserve">a double dividend – promoting children’s wellbeing, learning and development, </w:t>
      </w:r>
      <w:r w:rsidRPr="00051D6A">
        <w:rPr>
          <w:i/>
        </w:rPr>
        <w:t>and</w:t>
      </w:r>
      <w:r>
        <w:t xml:space="preserve"> supporting parental workforce participation. </w:t>
      </w:r>
      <w:r w:rsidR="00643253">
        <w:t xml:space="preserve">If supporting workforce participation eclipses children’s education, this opportunity is lost. </w:t>
      </w:r>
      <w:r>
        <w:t>Attending to these dual possibilities offers Australian governments the opportunity to maximise their investment.</w:t>
      </w:r>
      <w:r w:rsidR="004D4812">
        <w:t xml:space="preserve"> This means a change from the mindset of separating the concept of education from care.</w:t>
      </w:r>
    </w:p>
    <w:p w:rsidR="00375FB1" w:rsidRDefault="00375FB1" w:rsidP="00375FB1">
      <w:r>
        <w:t xml:space="preserve">There are </w:t>
      </w:r>
      <w:r w:rsidR="00CE303A">
        <w:t xml:space="preserve">clear </w:t>
      </w:r>
      <w:r>
        <w:t>ways for early childhood interventions to make a greater contribution to educational excellence in Australi</w:t>
      </w:r>
      <w:r w:rsidR="00725329">
        <w:t>an schools, as well as improve</w:t>
      </w:r>
      <w:r>
        <w:t xml:space="preserve"> child and community outcomes across a range of areas. The Review makes a series of recommendations </w:t>
      </w:r>
      <w:r w:rsidR="009D2152" w:rsidRPr="00492CB6">
        <w:t>as to</w:t>
      </w:r>
      <w:r>
        <w:t xml:space="preserve"> how Australian governments can achieve this.</w:t>
      </w:r>
    </w:p>
    <w:p w:rsidR="00375FB1" w:rsidRDefault="00375FB1" w:rsidP="00375FB1">
      <w:r>
        <w:t xml:space="preserve">The Review’s recommendations </w:t>
      </w:r>
      <w:r w:rsidR="009D2152" w:rsidRPr="003F19D3">
        <w:t>embrace</w:t>
      </w:r>
      <w:r>
        <w:t xml:space="preserve"> six key themes: </w:t>
      </w:r>
    </w:p>
    <w:p w:rsidR="00375FB1" w:rsidRDefault="00375FB1" w:rsidP="00375FB1">
      <w:pPr>
        <w:pStyle w:val="ListParagraph"/>
        <w:numPr>
          <w:ilvl w:val="0"/>
          <w:numId w:val="22"/>
        </w:numPr>
        <w:ind w:left="284" w:hanging="284"/>
      </w:pPr>
      <w:r w:rsidRPr="00487555">
        <w:rPr>
          <w:b/>
        </w:rPr>
        <w:t>Embedding foundations for</w:t>
      </w:r>
      <w:r>
        <w:rPr>
          <w:b/>
        </w:rPr>
        <w:t xml:space="preserve"> </w:t>
      </w:r>
      <w:r w:rsidR="001E25C7">
        <w:rPr>
          <w:b/>
        </w:rPr>
        <w:t xml:space="preserve">future reform and </w:t>
      </w:r>
      <w:r>
        <w:rPr>
          <w:b/>
        </w:rPr>
        <w:t>improved education and life outcomes</w:t>
      </w:r>
      <w:r w:rsidRPr="00487555">
        <w:rPr>
          <w:b/>
        </w:rPr>
        <w:t xml:space="preserve"> </w:t>
      </w:r>
      <w:r w:rsidR="00FD715D">
        <w:t xml:space="preserve">through a </w:t>
      </w:r>
      <w:r>
        <w:t xml:space="preserve">commitment to </w:t>
      </w:r>
      <w:r w:rsidR="00FD715D">
        <w:t xml:space="preserve">ongoing, adequate funding </w:t>
      </w:r>
      <w:r w:rsidR="004156CD" w:rsidRPr="000F4D2B">
        <w:t xml:space="preserve">of </w:t>
      </w:r>
      <w:r>
        <w:t>Universal Access in the year before school and the National Quality Framework</w:t>
      </w:r>
      <w:r w:rsidR="00FD715D">
        <w:t xml:space="preserve">. </w:t>
      </w:r>
      <w:r w:rsidR="00643253">
        <w:t>F</w:t>
      </w:r>
      <w:r>
        <w:t>lexible arrangements for implementation and delivery of early childhood education to reflect local contexts</w:t>
      </w:r>
      <w:r w:rsidR="00643253">
        <w:t xml:space="preserve"> should be preserved</w:t>
      </w:r>
      <w:r w:rsidR="00FD715D">
        <w:t xml:space="preserve">. Further, governments should make </w:t>
      </w:r>
      <w:r>
        <w:t>commitment</w:t>
      </w:r>
      <w:r w:rsidR="00FD715D">
        <w:t>s</w:t>
      </w:r>
      <w:r>
        <w:t xml:space="preserve"> to future reform and investment</w:t>
      </w:r>
      <w:r w:rsidR="00FD715D">
        <w:t>, embedding the early years as the foundation for education in Australia</w:t>
      </w:r>
      <w:r>
        <w:t xml:space="preserve">. </w:t>
      </w:r>
    </w:p>
    <w:p w:rsidR="00375FB1" w:rsidRDefault="00375FB1" w:rsidP="00375FB1">
      <w:pPr>
        <w:pStyle w:val="ListParagraph"/>
        <w:numPr>
          <w:ilvl w:val="0"/>
          <w:numId w:val="22"/>
        </w:numPr>
        <w:ind w:left="284" w:hanging="284"/>
      </w:pPr>
      <w:r w:rsidRPr="00487555">
        <w:rPr>
          <w:b/>
        </w:rPr>
        <w:t xml:space="preserve">Progressively expanding access to </w:t>
      </w:r>
      <w:r w:rsidR="0080793D">
        <w:rPr>
          <w:b/>
        </w:rPr>
        <w:t xml:space="preserve">quality early childhood education, </w:t>
      </w:r>
      <w:r w:rsidR="00AC2FC5">
        <w:rPr>
          <w:b/>
        </w:rPr>
        <w:t>for example</w:t>
      </w:r>
      <w:r w:rsidR="0080793D">
        <w:rPr>
          <w:b/>
        </w:rPr>
        <w:t xml:space="preserve"> preschool, </w:t>
      </w:r>
      <w:r w:rsidRPr="00487555">
        <w:rPr>
          <w:b/>
        </w:rPr>
        <w:t xml:space="preserve">for </w:t>
      </w:r>
      <w:r>
        <w:rPr>
          <w:b/>
        </w:rPr>
        <w:t xml:space="preserve">all </w:t>
      </w:r>
      <w:r w:rsidRPr="00487555">
        <w:rPr>
          <w:b/>
        </w:rPr>
        <w:t>three year olds</w:t>
      </w:r>
      <w:r w:rsidR="0080793D">
        <w:rPr>
          <w:b/>
        </w:rPr>
        <w:t>.</w:t>
      </w:r>
      <w:r w:rsidR="00AF4F0D">
        <w:rPr>
          <w:b/>
        </w:rPr>
        <w:t xml:space="preserve"> </w:t>
      </w:r>
      <w:r w:rsidR="00AF4F0D" w:rsidRPr="00AF4F0D">
        <w:t>In terms of improving school outcomes through early childhood interventions, the evidence points to this as the single most impactful reform Australia could</w:t>
      </w:r>
      <w:r w:rsidR="00AF4F0D">
        <w:t xml:space="preserve"> undertake</w:t>
      </w:r>
      <w:r w:rsidR="00AF4F0D" w:rsidRPr="00AF4F0D">
        <w:t xml:space="preserve">, </w:t>
      </w:r>
      <w:r w:rsidR="004156CD" w:rsidRPr="008F3AA6">
        <w:t xml:space="preserve">with </w:t>
      </w:r>
      <w:r w:rsidR="00AF4F0D" w:rsidRPr="00AF4F0D">
        <w:t xml:space="preserve">international comparisons </w:t>
      </w:r>
      <w:r w:rsidR="00AF4F0D" w:rsidRPr="001D7109">
        <w:t>highlight</w:t>
      </w:r>
      <w:r w:rsidR="004156CD" w:rsidRPr="00BE60ED">
        <w:t>ing</w:t>
      </w:r>
      <w:r w:rsidR="00AF4F0D" w:rsidRPr="00AF4F0D">
        <w:t xml:space="preserve"> it as the biggest gap</w:t>
      </w:r>
      <w:r w:rsidR="00AF4F0D">
        <w:t xml:space="preserve"> in the current system</w:t>
      </w:r>
      <w:r w:rsidR="00AF4F0D" w:rsidRPr="00AF4F0D">
        <w:t xml:space="preserve">. </w:t>
      </w:r>
      <w:r w:rsidR="0080793D">
        <w:t>The case for this investment is compelling</w:t>
      </w:r>
      <w:r w:rsidR="00DC2807">
        <w:t xml:space="preserve">. </w:t>
      </w:r>
    </w:p>
    <w:p w:rsidR="00375FB1" w:rsidRDefault="00375FB1" w:rsidP="00375FB1">
      <w:pPr>
        <w:pStyle w:val="ListParagraph"/>
        <w:numPr>
          <w:ilvl w:val="0"/>
          <w:numId w:val="22"/>
        </w:numPr>
        <w:ind w:left="284" w:hanging="284"/>
      </w:pPr>
      <w:r w:rsidRPr="00487555">
        <w:rPr>
          <w:b/>
        </w:rPr>
        <w:t>Targeting additional support for some children and families to promote access, equity and inclusion</w:t>
      </w:r>
      <w:r>
        <w:rPr>
          <w:b/>
        </w:rPr>
        <w:t xml:space="preserve">, </w:t>
      </w:r>
      <w:r>
        <w:t xml:space="preserve">recognising that some children and their families require </w:t>
      </w:r>
      <w:r w:rsidR="004156CD" w:rsidRPr="00AE12E9">
        <w:t>it</w:t>
      </w:r>
      <w:r>
        <w:t xml:space="preserve"> in order to thrive.</w:t>
      </w:r>
      <w:r w:rsidR="00861E4F">
        <w:t xml:space="preserve"> Nowhere is the evidence </w:t>
      </w:r>
      <w:r w:rsidR="00315247">
        <w:t xml:space="preserve">clearer </w:t>
      </w:r>
      <w:r w:rsidR="00861E4F">
        <w:t xml:space="preserve">than in the benefits of early intervention. </w:t>
      </w:r>
      <w:r w:rsidR="004156CD" w:rsidRPr="00D616AA">
        <w:t>A child who starts behind stays behind, which comes</w:t>
      </w:r>
      <w:r w:rsidR="00861E4F">
        <w:t xml:space="preserve"> at enormous cost to </w:t>
      </w:r>
      <w:r w:rsidR="004156CD" w:rsidRPr="00A331CD">
        <w:t>him or her</w:t>
      </w:r>
      <w:r w:rsidR="00861E4F">
        <w:t xml:space="preserve">, the community and governments. Targeted, evidence-based early childhood interventions can prevent this from happening, and break intergenerational cycles of disadvantage. </w:t>
      </w:r>
    </w:p>
    <w:p w:rsidR="00375FB1" w:rsidRDefault="00375FB1" w:rsidP="00375FB1">
      <w:pPr>
        <w:pStyle w:val="ListParagraph"/>
        <w:numPr>
          <w:ilvl w:val="0"/>
          <w:numId w:val="22"/>
        </w:numPr>
        <w:ind w:left="284" w:hanging="284"/>
      </w:pPr>
      <w:r>
        <w:rPr>
          <w:b/>
        </w:rPr>
        <w:t xml:space="preserve">Focussing </w:t>
      </w:r>
      <w:r w:rsidRPr="00487555">
        <w:rPr>
          <w:b/>
        </w:rPr>
        <w:t>on quality improvement and workforce issues</w:t>
      </w:r>
      <w:r>
        <w:rPr>
          <w:b/>
        </w:rPr>
        <w:t>,</w:t>
      </w:r>
      <w:r w:rsidRPr="00487555">
        <w:t xml:space="preserve"> given the importance</w:t>
      </w:r>
      <w:r>
        <w:t xml:space="preserve"> of</w:t>
      </w:r>
      <w:r w:rsidRPr="00487555">
        <w:t xml:space="preserve"> quality to child outcomes, and</w:t>
      </w:r>
      <w:r w:rsidR="00B946A2">
        <w:t xml:space="preserve"> </w:t>
      </w:r>
      <w:r w:rsidRPr="00487555">
        <w:t xml:space="preserve">the importance of a skilled </w:t>
      </w:r>
      <w:r w:rsidR="00910BF0">
        <w:t xml:space="preserve">and stable </w:t>
      </w:r>
      <w:r w:rsidRPr="00487555">
        <w:t xml:space="preserve">workforce </w:t>
      </w:r>
      <w:r w:rsidR="00910BF0">
        <w:t xml:space="preserve">in </w:t>
      </w:r>
      <w:r w:rsidRPr="00487555">
        <w:t>deliver</w:t>
      </w:r>
      <w:r w:rsidR="00910BF0">
        <w:t>ing</w:t>
      </w:r>
      <w:r w:rsidRPr="00487555">
        <w:t xml:space="preserve"> this. Dedicated, strategic approaches to both issues are required</w:t>
      </w:r>
      <w:r>
        <w:t>.</w:t>
      </w:r>
      <w:r w:rsidR="00521A2D">
        <w:t xml:space="preserve"> </w:t>
      </w:r>
      <w:r w:rsidR="00910BF0">
        <w:t xml:space="preserve">Investing in quality and a stable, well-supported and professional </w:t>
      </w:r>
      <w:r w:rsidR="00AC7B6D" w:rsidRPr="00F86F35">
        <w:t>workforce is</w:t>
      </w:r>
      <w:r w:rsidR="00910BF0">
        <w:t xml:space="preserve"> vital. </w:t>
      </w:r>
    </w:p>
    <w:p w:rsidR="00375FB1" w:rsidRDefault="00375FB1" w:rsidP="00375FB1">
      <w:pPr>
        <w:pStyle w:val="ListParagraph"/>
        <w:numPr>
          <w:ilvl w:val="0"/>
          <w:numId w:val="22"/>
        </w:numPr>
        <w:ind w:left="284" w:hanging="284"/>
      </w:pPr>
      <w:r w:rsidRPr="00487555">
        <w:rPr>
          <w:b/>
        </w:rPr>
        <w:t>Improving parent and community engagement</w:t>
      </w:r>
      <w:r>
        <w:rPr>
          <w:b/>
        </w:rPr>
        <w:t xml:space="preserve">, </w:t>
      </w:r>
      <w:r w:rsidR="00910BF0" w:rsidRPr="00051D6A">
        <w:t xml:space="preserve">to build community consensus about the importance of the early years, and </w:t>
      </w:r>
      <w:r w:rsidRPr="00910BF0">
        <w:t xml:space="preserve">the </w:t>
      </w:r>
      <w:r w:rsidR="004D4812" w:rsidRPr="00910BF0">
        <w:t>fun</w:t>
      </w:r>
      <w:r w:rsidR="004D4812">
        <w:t xml:space="preserve">damental </w:t>
      </w:r>
      <w:r>
        <w:t xml:space="preserve">role </w:t>
      </w:r>
      <w:r w:rsidR="004D4812">
        <w:t xml:space="preserve">of parents as first and ongoing educators </w:t>
      </w:r>
      <w:r>
        <w:t xml:space="preserve">of their children. </w:t>
      </w:r>
      <w:r w:rsidR="00EA37A8">
        <w:t>More support for parents will help them in thi</w:t>
      </w:r>
      <w:r w:rsidR="00DE399B">
        <w:t>s</w:t>
      </w:r>
      <w:r w:rsidR="00EA37A8">
        <w:t xml:space="preserve"> role. B</w:t>
      </w:r>
      <w:r w:rsidR="00521A2D">
        <w:t>uilding community and parent understand</w:t>
      </w:r>
      <w:r w:rsidR="00EA37A8">
        <w:t>ing</w:t>
      </w:r>
      <w:r w:rsidR="00521A2D">
        <w:t xml:space="preserve"> of the importance of </w:t>
      </w:r>
      <w:r w:rsidR="00EA37A8">
        <w:t xml:space="preserve">the early years will have significant benefits, including </w:t>
      </w:r>
      <w:r w:rsidR="00AC7B6D" w:rsidRPr="006619DB">
        <w:t xml:space="preserve">a deeper </w:t>
      </w:r>
      <w:r w:rsidR="00DE399B">
        <w:t xml:space="preserve">understanding of the role of the </w:t>
      </w:r>
      <w:r w:rsidR="00F47D4C">
        <w:t xml:space="preserve">workforce. </w:t>
      </w:r>
    </w:p>
    <w:p w:rsidR="00375FB1" w:rsidRDefault="00CE303A" w:rsidP="00375FB1">
      <w:pPr>
        <w:pStyle w:val="ListParagraph"/>
        <w:numPr>
          <w:ilvl w:val="0"/>
          <w:numId w:val="22"/>
        </w:numPr>
        <w:ind w:left="284" w:hanging="284"/>
      </w:pPr>
      <w:r>
        <w:rPr>
          <w:b/>
        </w:rPr>
        <w:t xml:space="preserve">Supporting </w:t>
      </w:r>
      <w:r w:rsidR="00375FB1">
        <w:rPr>
          <w:b/>
        </w:rPr>
        <w:t>a</w:t>
      </w:r>
      <w:r w:rsidR="00375FB1" w:rsidRPr="00487555">
        <w:rPr>
          <w:b/>
        </w:rPr>
        <w:t xml:space="preserve">ssociated transparency and accountability </w:t>
      </w:r>
      <w:r>
        <w:rPr>
          <w:b/>
        </w:rPr>
        <w:t>measures</w:t>
      </w:r>
      <w:r w:rsidR="00375FB1">
        <w:rPr>
          <w:b/>
        </w:rPr>
        <w:t>,</w:t>
      </w:r>
      <w:r w:rsidR="00375FB1">
        <w:t xml:space="preserve"> to better understand early childhood education in Australia, assist with policy making and implementation, and enable better targeting of services and support. </w:t>
      </w:r>
    </w:p>
    <w:p w:rsidR="00375FB1" w:rsidRDefault="00375FB1" w:rsidP="00375FB1">
      <w:r>
        <w:t>Delivering the proposed reforms will take time and investment, but they are well supported by evidence</w:t>
      </w:r>
      <w:r w:rsidR="00AC7B6D" w:rsidRPr="00A8320D">
        <w:t>,</w:t>
      </w:r>
      <w:r>
        <w:t xml:space="preserve"> and the return on investment </w:t>
      </w:r>
      <w:r w:rsidR="00F367DC">
        <w:t>will be</w:t>
      </w:r>
      <w:r>
        <w:t xml:space="preserve"> high. They will make a significant, cost effective contribution to children’s lives in the present, their future</w:t>
      </w:r>
      <w:r w:rsidDel="00B33419">
        <w:t xml:space="preserve"> </w:t>
      </w:r>
      <w:r>
        <w:t xml:space="preserve">school performance and </w:t>
      </w:r>
      <w:r w:rsidR="00537D3A" w:rsidRPr="00D969D6">
        <w:t>their</w:t>
      </w:r>
      <w:r w:rsidRPr="00E65F46">
        <w:t xml:space="preserve"> </w:t>
      </w:r>
      <w:r w:rsidR="00AC7B6D" w:rsidRPr="008D1B57">
        <w:t>long-term</w:t>
      </w:r>
      <w:r>
        <w:t xml:space="preserve"> outcomes</w:t>
      </w:r>
      <w:r w:rsidR="00AC7B6D" w:rsidRPr="00E8787B">
        <w:t xml:space="preserve">, </w:t>
      </w:r>
      <w:r w:rsidR="00537D3A" w:rsidRPr="00E8787B">
        <w:t>as well as</w:t>
      </w:r>
      <w:r w:rsidR="00AC7B6D" w:rsidRPr="00E8787B">
        <w:t xml:space="preserve"> </w:t>
      </w:r>
      <w:r>
        <w:t xml:space="preserve">to Australia’s economy and community more broadly. </w:t>
      </w:r>
      <w:r w:rsidR="00D325F3">
        <w:t xml:space="preserve">The benefits will flow </w:t>
      </w:r>
      <w:r w:rsidR="00725329">
        <w:t xml:space="preserve">to </w:t>
      </w:r>
      <w:r w:rsidR="00D325F3">
        <w:t>children and their families, the community and</w:t>
      </w:r>
      <w:r w:rsidR="005D7572">
        <w:t xml:space="preserve"> both the </w:t>
      </w:r>
      <w:r w:rsidR="005617ED">
        <w:t>Commonwealth</w:t>
      </w:r>
      <w:r w:rsidR="005D7572">
        <w:t xml:space="preserve"> and state and territory governments.</w:t>
      </w:r>
      <w:r w:rsidR="00D325F3">
        <w:t xml:space="preserve"> </w:t>
      </w:r>
    </w:p>
    <w:p w:rsidR="009D186A" w:rsidRDefault="00232FAE" w:rsidP="009D186A">
      <w:r w:rsidRPr="00363A56">
        <w:t xml:space="preserve">An ongoing commitment to </w:t>
      </w:r>
      <w:r>
        <w:t xml:space="preserve">adequate </w:t>
      </w:r>
      <w:r w:rsidRPr="00363A56">
        <w:t xml:space="preserve">funding </w:t>
      </w:r>
      <w:r w:rsidR="00537D3A" w:rsidRPr="007F4279">
        <w:t xml:space="preserve">of </w:t>
      </w:r>
      <w:r w:rsidRPr="00363A56">
        <w:t xml:space="preserve">Universal Access in the year before school and the National Quality Framework must be the </w:t>
      </w:r>
      <w:r>
        <w:t xml:space="preserve">first </w:t>
      </w:r>
      <w:r w:rsidRPr="00363A56">
        <w:t>priority for all Australian governments.</w:t>
      </w:r>
      <w:r w:rsidR="009D186A" w:rsidRPr="00363A56">
        <w:t xml:space="preserve"> Without this, </w:t>
      </w:r>
      <w:r w:rsidR="00725329" w:rsidRPr="00363A56">
        <w:t xml:space="preserve">there is </w:t>
      </w:r>
      <w:r w:rsidR="00725329">
        <w:t>the risk of a reduction in</w:t>
      </w:r>
      <w:r w:rsidR="004D4812">
        <w:t xml:space="preserve"> the</w:t>
      </w:r>
      <w:r w:rsidR="00725329">
        <w:t xml:space="preserve"> current level and quality of early childhood education in Australia. </w:t>
      </w:r>
      <w:r w:rsidR="009D186A" w:rsidRPr="00363A56">
        <w:t xml:space="preserve">Some of the other recommendations may take longer to fully deliver, but aspects can be commenced quickly, including starting to address workforce issues, planning </w:t>
      </w:r>
      <w:r w:rsidR="00F77936">
        <w:t xml:space="preserve">for </w:t>
      </w:r>
      <w:r w:rsidR="009D186A" w:rsidRPr="00363A56">
        <w:t xml:space="preserve">and targeted delivery </w:t>
      </w:r>
      <w:r w:rsidR="006D11A2">
        <w:t xml:space="preserve">of </w:t>
      </w:r>
      <w:r w:rsidR="009D186A" w:rsidRPr="00363A56">
        <w:t xml:space="preserve">early childhood education for three year olds, and initiatives to improve </w:t>
      </w:r>
      <w:r w:rsidR="004D4812">
        <w:t xml:space="preserve">support </w:t>
      </w:r>
      <w:r w:rsidR="00A605F1">
        <w:t xml:space="preserve">to </w:t>
      </w:r>
      <w:r w:rsidR="009D186A" w:rsidRPr="00363A56">
        <w:t>parent</w:t>
      </w:r>
      <w:r w:rsidR="004D4812">
        <w:t>s</w:t>
      </w:r>
      <w:r w:rsidR="009D186A" w:rsidRPr="00363A56">
        <w:t>.</w:t>
      </w:r>
      <w:r w:rsidR="009D186A">
        <w:t xml:space="preserve"> </w:t>
      </w:r>
    </w:p>
    <w:p w:rsidR="00375FB1" w:rsidRPr="00F91E53" w:rsidRDefault="00375FB1" w:rsidP="00375FB1">
      <w:r>
        <w:t xml:space="preserve">In arriving at these findings and recommendations, the </w:t>
      </w:r>
      <w:r w:rsidR="00D5515C">
        <w:t>R</w:t>
      </w:r>
      <w:r>
        <w:t xml:space="preserve">eview has considered the extensive national and international evidence, and consulted with Australian and international experts and stakeholders. Further detail on the Review’s process is </w:t>
      </w:r>
      <w:r w:rsidR="00892296">
        <w:t xml:space="preserve">on </w:t>
      </w:r>
      <w:r w:rsidR="00892296" w:rsidRPr="00B20811">
        <w:t xml:space="preserve">page </w:t>
      </w:r>
      <w:r w:rsidR="00845D6F">
        <w:t>7</w:t>
      </w:r>
      <w:r w:rsidR="006727FC">
        <w:t>3</w:t>
      </w:r>
      <w:r w:rsidR="006D11A2" w:rsidRPr="00B20811">
        <w:t>.</w:t>
      </w:r>
    </w:p>
    <w:p w:rsidR="00375FB1" w:rsidRDefault="00537D3A" w:rsidP="00375FB1">
      <w:pPr>
        <w:rPr>
          <w:i/>
        </w:rPr>
      </w:pPr>
      <w:r w:rsidRPr="003C30CF">
        <w:rPr>
          <w:i/>
        </w:rPr>
        <w:t>Navig</w:t>
      </w:r>
      <w:r w:rsidRPr="00A33316">
        <w:rPr>
          <w:i/>
        </w:rPr>
        <w:t xml:space="preserve">ating this </w:t>
      </w:r>
      <w:r w:rsidR="00375FB1">
        <w:rPr>
          <w:i/>
        </w:rPr>
        <w:t xml:space="preserve">report </w:t>
      </w:r>
    </w:p>
    <w:p w:rsidR="00892296" w:rsidRDefault="00375FB1" w:rsidP="00375FB1">
      <w:r>
        <w:t>This</w:t>
      </w:r>
      <w:r w:rsidRPr="00470D18">
        <w:t xml:space="preserve"> </w:t>
      </w:r>
      <w:r>
        <w:t>report</w:t>
      </w:r>
      <w:r w:rsidR="00892296">
        <w:t xml:space="preserve"> is divided into four parts.</w:t>
      </w:r>
    </w:p>
    <w:p w:rsidR="00892296" w:rsidRDefault="00892296" w:rsidP="00375FB1">
      <w:r>
        <w:t xml:space="preserve">Part 1 provides an overview of the report, including this Executive Summary and </w:t>
      </w:r>
      <w:r w:rsidR="006D11A2">
        <w:t xml:space="preserve">a </w:t>
      </w:r>
      <w:r>
        <w:t>list of recommendations.</w:t>
      </w:r>
    </w:p>
    <w:p w:rsidR="00CE303A" w:rsidRPr="00B20811" w:rsidRDefault="00892296" w:rsidP="00892296">
      <w:r>
        <w:t xml:space="preserve">Part 2 provides context to early childhood interventions, </w:t>
      </w:r>
      <w:r w:rsidR="00537D3A" w:rsidRPr="009861C7">
        <w:t>detailing</w:t>
      </w:r>
      <w:r w:rsidR="006D11A2">
        <w:t xml:space="preserve"> why </w:t>
      </w:r>
      <w:r w:rsidR="00375FB1">
        <w:t xml:space="preserve">early childhood is so </w:t>
      </w:r>
      <w:r w:rsidR="00375FB1" w:rsidRPr="00B20811">
        <w:t>important</w:t>
      </w:r>
      <w:r w:rsidR="00537D3A" w:rsidRPr="00B20811">
        <w:t xml:space="preserve"> and describing</w:t>
      </w:r>
      <w:r w:rsidR="00375FB1" w:rsidRPr="00B20811">
        <w:t xml:space="preserve"> </w:t>
      </w:r>
      <w:r w:rsidRPr="00B20811">
        <w:t xml:space="preserve">early childhood </w:t>
      </w:r>
      <w:r w:rsidR="006D11A2" w:rsidRPr="00B20811">
        <w:t xml:space="preserve">systems and services </w:t>
      </w:r>
      <w:r w:rsidRPr="00B20811">
        <w:t>in Australia.</w:t>
      </w:r>
    </w:p>
    <w:p w:rsidR="00892296" w:rsidRPr="00B20811" w:rsidRDefault="00892296" w:rsidP="00892296">
      <w:r w:rsidRPr="00B20811">
        <w:t xml:space="preserve">Part 3 outlines the evidence of the impact of early childhood on school outcomes (page </w:t>
      </w:r>
      <w:r w:rsidR="007220C9" w:rsidRPr="00B20811">
        <w:t>3</w:t>
      </w:r>
      <w:r w:rsidR="00845D6F">
        <w:t>0</w:t>
      </w:r>
      <w:r w:rsidRPr="00B20811">
        <w:t xml:space="preserve">) and other </w:t>
      </w:r>
      <w:r w:rsidR="006D11A2" w:rsidRPr="00B20811">
        <w:t xml:space="preserve">areas </w:t>
      </w:r>
      <w:r w:rsidRPr="00B20811">
        <w:t xml:space="preserve">(page </w:t>
      </w:r>
      <w:r w:rsidR="00845D6F">
        <w:t>3</w:t>
      </w:r>
      <w:r w:rsidR="006727FC">
        <w:t>7</w:t>
      </w:r>
      <w:r w:rsidRPr="00B20811">
        <w:t xml:space="preserve">). It also considers the overall return on investment </w:t>
      </w:r>
      <w:r w:rsidR="00586436" w:rsidRPr="00B20811">
        <w:t xml:space="preserve">of </w:t>
      </w:r>
      <w:r w:rsidRPr="00B20811">
        <w:t xml:space="preserve">early childhood (page </w:t>
      </w:r>
      <w:r w:rsidR="007220C9" w:rsidRPr="00B20811">
        <w:t>4</w:t>
      </w:r>
      <w:r w:rsidR="006727FC">
        <w:t>0</w:t>
      </w:r>
      <w:r w:rsidRPr="00B20811">
        <w:t>) and how other</w:t>
      </w:r>
      <w:r w:rsidR="00077385" w:rsidRPr="00B20811">
        <w:t xml:space="preserve"> </w:t>
      </w:r>
      <w:r w:rsidRPr="00B20811">
        <w:t xml:space="preserve">countries invest in early childhood compared </w:t>
      </w:r>
      <w:r w:rsidR="00537D3A" w:rsidRPr="00B20811">
        <w:t xml:space="preserve">with </w:t>
      </w:r>
      <w:r w:rsidRPr="00B20811">
        <w:t xml:space="preserve">Australia (page </w:t>
      </w:r>
      <w:r w:rsidR="00845D6F">
        <w:t>4</w:t>
      </w:r>
      <w:r w:rsidR="006727FC">
        <w:t>5</w:t>
      </w:r>
      <w:r w:rsidRPr="00B20811">
        <w:t>).</w:t>
      </w:r>
    </w:p>
    <w:p w:rsidR="00375FB1" w:rsidRDefault="00892296" w:rsidP="00375FB1">
      <w:r w:rsidRPr="00B20811">
        <w:t xml:space="preserve">Part 4 contains the Review’s analysis of three key issues </w:t>
      </w:r>
      <w:r w:rsidR="00375FB1" w:rsidRPr="00B20811">
        <w:t>that are prominent in the literature and that featured in the consultations</w:t>
      </w:r>
      <w:r w:rsidR="00F16007" w:rsidRPr="00B20811">
        <w:t>:</w:t>
      </w:r>
      <w:r w:rsidR="00375FB1" w:rsidRPr="00B20811">
        <w:t xml:space="preserve"> the role of the workforce in delivering quality early childhood education (page </w:t>
      </w:r>
      <w:r w:rsidR="006727FC">
        <w:t>49</w:t>
      </w:r>
      <w:r w:rsidR="00375FB1" w:rsidRPr="00B20811">
        <w:t xml:space="preserve">), the </w:t>
      </w:r>
      <w:r w:rsidR="00C21B33" w:rsidRPr="00B20811">
        <w:t xml:space="preserve">opportunity </w:t>
      </w:r>
      <w:r w:rsidR="00F16007" w:rsidRPr="00B20811">
        <w:t xml:space="preserve">to </w:t>
      </w:r>
      <w:r w:rsidR="00C21B33" w:rsidRPr="00B20811">
        <w:t xml:space="preserve">expand access to </w:t>
      </w:r>
      <w:r w:rsidR="00277917" w:rsidRPr="00B20811">
        <w:t xml:space="preserve">early childhood education </w:t>
      </w:r>
      <w:r w:rsidR="00C21B33" w:rsidRPr="00B20811">
        <w:t xml:space="preserve">programs to </w:t>
      </w:r>
      <w:r w:rsidR="00181266" w:rsidRPr="00B20811">
        <w:t xml:space="preserve">all </w:t>
      </w:r>
      <w:r w:rsidR="00C21B33" w:rsidRPr="00B20811">
        <w:t>three year olds (</w:t>
      </w:r>
      <w:r w:rsidR="00375FB1" w:rsidRPr="00B20811">
        <w:t xml:space="preserve">page </w:t>
      </w:r>
      <w:r w:rsidR="006727FC">
        <w:t>53</w:t>
      </w:r>
      <w:r w:rsidR="00375FB1" w:rsidRPr="00B20811">
        <w:t>)</w:t>
      </w:r>
      <w:r w:rsidR="00C21B33" w:rsidRPr="00B20811">
        <w:t xml:space="preserve"> and the </w:t>
      </w:r>
      <w:r w:rsidR="00375FB1" w:rsidRPr="00B20811">
        <w:t xml:space="preserve">opportunity for </w:t>
      </w:r>
      <w:r w:rsidR="00C21B33" w:rsidRPr="00B20811">
        <w:t>investment in education and care to deliver a double dividend to governments</w:t>
      </w:r>
      <w:r w:rsidR="00D5515C" w:rsidRPr="00B20811">
        <w:t xml:space="preserve"> (page </w:t>
      </w:r>
      <w:r w:rsidR="00845D6F">
        <w:t>5</w:t>
      </w:r>
      <w:r w:rsidR="006727FC">
        <w:t>6</w:t>
      </w:r>
      <w:r w:rsidR="00D5515C" w:rsidRPr="00B20811">
        <w:t>)</w:t>
      </w:r>
      <w:r w:rsidR="00C21B33" w:rsidRPr="00B20811">
        <w:t>.</w:t>
      </w:r>
      <w:r w:rsidR="00B946A2" w:rsidRPr="00B20811">
        <w:t xml:space="preserve"> </w:t>
      </w:r>
      <w:r w:rsidRPr="00B20811">
        <w:t xml:space="preserve">It then </w:t>
      </w:r>
      <w:r w:rsidR="00C21B33" w:rsidRPr="00B20811">
        <w:t xml:space="preserve">concludes with </w:t>
      </w:r>
      <w:r w:rsidRPr="00B20811">
        <w:t xml:space="preserve">the Review’s overall </w:t>
      </w:r>
      <w:r w:rsidR="00375FB1" w:rsidRPr="00B20811">
        <w:t>findings and recommendations (</w:t>
      </w:r>
      <w:r w:rsidR="00D5515C" w:rsidRPr="00B20811">
        <w:t>page</w:t>
      </w:r>
      <w:r w:rsidR="00375FB1" w:rsidRPr="00B20811">
        <w:t xml:space="preserve"> </w:t>
      </w:r>
      <w:r w:rsidR="006727FC">
        <w:t>58</w:t>
      </w:r>
      <w:r w:rsidR="00375FB1" w:rsidRPr="00B20811">
        <w:t>).</w:t>
      </w:r>
    </w:p>
    <w:p w:rsidR="0080505A" w:rsidRDefault="00375FB1" w:rsidP="00C21B33">
      <w:r>
        <w:t>Throughout the report, a number of case studies from across Australia are included, highlighting areas of i</w:t>
      </w:r>
      <w:r w:rsidR="00C21B33">
        <w:t>nterest or promising practice.</w:t>
      </w:r>
    </w:p>
    <w:p w:rsidR="00375FB1" w:rsidRPr="00845D6F" w:rsidRDefault="00375FB1" w:rsidP="00845D6F">
      <w:pPr>
        <w:rPr>
          <w:b/>
        </w:rPr>
      </w:pPr>
      <w:r>
        <w:br w:type="page"/>
      </w:r>
    </w:p>
    <w:p w:rsidR="00F367DC" w:rsidRDefault="00F77936" w:rsidP="00F367DC">
      <w:pPr>
        <w:pStyle w:val="Heading1"/>
      </w:pPr>
      <w:bookmarkStart w:id="5" w:name="_Toc373586248"/>
      <w:bookmarkStart w:id="6" w:name="_Toc500850766"/>
      <w:r>
        <w:t>R</w:t>
      </w:r>
      <w:r w:rsidR="00F367DC">
        <w:t>ecommendations</w:t>
      </w:r>
      <w:bookmarkEnd w:id="5"/>
      <w:bookmarkEnd w:id="6"/>
      <w:r w:rsidR="00F367DC">
        <w:t xml:space="preserve"> </w:t>
      </w:r>
    </w:p>
    <w:p w:rsidR="007A364A" w:rsidRDefault="007A364A" w:rsidP="00F367DC">
      <w:pPr>
        <w:rPr>
          <w:b/>
          <w:sz w:val="24"/>
          <w:szCs w:val="24"/>
        </w:rPr>
      </w:pPr>
    </w:p>
    <w:p w:rsidR="007A364A" w:rsidRPr="00D75EFF" w:rsidRDefault="007A364A" w:rsidP="007A364A">
      <w:pPr>
        <w:rPr>
          <w:b/>
          <w:sz w:val="24"/>
          <w:szCs w:val="24"/>
        </w:rPr>
      </w:pPr>
      <w:r w:rsidRPr="00D75EFF">
        <w:rPr>
          <w:b/>
          <w:sz w:val="24"/>
          <w:szCs w:val="24"/>
        </w:rPr>
        <w:t>Embedding foundations for future reform</w:t>
      </w:r>
    </w:p>
    <w:p w:rsidR="007A364A" w:rsidRDefault="007A364A" w:rsidP="007A364A">
      <w:pPr>
        <w:pStyle w:val="ListParagraph"/>
        <w:numPr>
          <w:ilvl w:val="0"/>
          <w:numId w:val="5"/>
        </w:numPr>
        <w:pBdr>
          <w:top w:val="nil"/>
          <w:left w:val="nil"/>
          <w:bottom w:val="nil"/>
          <w:right w:val="nil"/>
          <w:between w:val="nil"/>
          <w:bar w:val="nil"/>
        </w:pBdr>
      </w:pPr>
      <w:r>
        <w:t>Australian governments</w:t>
      </w:r>
      <w:r w:rsidR="00C25B6F" w:rsidRPr="00FB2506">
        <w:rPr>
          <w:vertAlign w:val="superscript"/>
        </w:rPr>
        <w:footnoteReference w:id="3"/>
      </w:r>
      <w:r>
        <w:t xml:space="preserve"> </w:t>
      </w:r>
      <w:r w:rsidR="00062FBF">
        <w:t xml:space="preserve">agree </w:t>
      </w:r>
      <w:r>
        <w:t>to permanent, adequate funding for Universal Access in the year before school and the National Quality Framework.</w:t>
      </w:r>
    </w:p>
    <w:p w:rsidR="007A364A" w:rsidRDefault="007A364A" w:rsidP="007A364A">
      <w:pPr>
        <w:pStyle w:val="ListParagraph"/>
        <w:numPr>
          <w:ilvl w:val="0"/>
          <w:numId w:val="5"/>
        </w:numPr>
        <w:pBdr>
          <w:top w:val="nil"/>
          <w:left w:val="nil"/>
          <w:bottom w:val="nil"/>
          <w:right w:val="nil"/>
          <w:between w:val="nil"/>
          <w:bar w:val="nil"/>
        </w:pBdr>
      </w:pPr>
      <w:r>
        <w:t xml:space="preserve">Australian governments preserve flexible early childhood education </w:t>
      </w:r>
      <w:r w:rsidR="006707C6">
        <w:t xml:space="preserve">and care </w:t>
      </w:r>
      <w:r>
        <w:t>delivery on a jurisdictional basis, within nationally agreed objectives and standards.</w:t>
      </w:r>
    </w:p>
    <w:p w:rsidR="00C25B6F" w:rsidRDefault="00C25B6F" w:rsidP="00C25B6F">
      <w:pPr>
        <w:pStyle w:val="ListParagraph"/>
        <w:numPr>
          <w:ilvl w:val="0"/>
          <w:numId w:val="5"/>
        </w:numPr>
      </w:pPr>
      <w:r w:rsidRPr="00782A8B">
        <w:t xml:space="preserve">Australian governments review the Melbourne Declaration on Educational Goals for Young Australians to </w:t>
      </w:r>
      <w:r>
        <w:t xml:space="preserve">embed </w:t>
      </w:r>
      <w:r w:rsidRPr="00782A8B">
        <w:t>the importance of the early years as the foundation for learning</w:t>
      </w:r>
      <w:r>
        <w:t xml:space="preserve"> in core education frameworks and policies</w:t>
      </w:r>
      <w:r w:rsidR="00DE399B">
        <w:t>, including articulating governments’ objectives for child outcomes</w:t>
      </w:r>
      <w:r w:rsidRPr="00782A8B">
        <w:t>.</w:t>
      </w:r>
    </w:p>
    <w:p w:rsidR="007A364A" w:rsidRDefault="007A364A" w:rsidP="007A364A">
      <w:pPr>
        <w:pStyle w:val="ListParagraph"/>
        <w:numPr>
          <w:ilvl w:val="0"/>
          <w:numId w:val="5"/>
        </w:numPr>
        <w:pBdr>
          <w:top w:val="nil"/>
          <w:left w:val="nil"/>
          <w:bottom w:val="nil"/>
          <w:right w:val="nil"/>
          <w:between w:val="nil"/>
          <w:bar w:val="nil"/>
        </w:pBdr>
        <w:contextualSpacing w:val="0"/>
        <w:jc w:val="both"/>
      </w:pPr>
      <w:r w:rsidRPr="00782A8B">
        <w:t xml:space="preserve">Australian governments </w:t>
      </w:r>
      <w:r>
        <w:t xml:space="preserve">work towards </w:t>
      </w:r>
      <w:r w:rsidRPr="00782A8B">
        <w:t xml:space="preserve">early childhood education investment </w:t>
      </w:r>
      <w:r>
        <w:t xml:space="preserve">reaching </w:t>
      </w:r>
      <w:r w:rsidRPr="00782A8B">
        <w:t>at least the OECD average, as a proportion of GDP.</w:t>
      </w:r>
      <w:r w:rsidRPr="00FB2506">
        <w:rPr>
          <w:vertAlign w:val="superscript"/>
        </w:rPr>
        <w:footnoteReference w:id="4"/>
      </w:r>
      <w:r>
        <w:t xml:space="preserve"> </w:t>
      </w:r>
    </w:p>
    <w:p w:rsidR="007A364A" w:rsidRPr="007A364A" w:rsidRDefault="007A364A" w:rsidP="007A364A">
      <w:pPr>
        <w:rPr>
          <w:b/>
          <w:sz w:val="24"/>
          <w:szCs w:val="24"/>
        </w:rPr>
      </w:pPr>
      <w:r w:rsidRPr="007A364A">
        <w:rPr>
          <w:b/>
          <w:sz w:val="24"/>
          <w:szCs w:val="24"/>
        </w:rPr>
        <w:t>Early childhood education for</w:t>
      </w:r>
      <w:r w:rsidR="00B25C94">
        <w:rPr>
          <w:b/>
          <w:sz w:val="24"/>
          <w:szCs w:val="24"/>
        </w:rPr>
        <w:t xml:space="preserve"> all</w:t>
      </w:r>
      <w:r w:rsidRPr="007A364A">
        <w:rPr>
          <w:b/>
          <w:sz w:val="24"/>
          <w:szCs w:val="24"/>
        </w:rPr>
        <w:t xml:space="preserve"> three year olds</w:t>
      </w:r>
    </w:p>
    <w:p w:rsidR="007A364A" w:rsidRPr="00FB2506" w:rsidRDefault="007A364A" w:rsidP="007A364A">
      <w:pPr>
        <w:pStyle w:val="ListParagraph"/>
        <w:numPr>
          <w:ilvl w:val="0"/>
          <w:numId w:val="5"/>
        </w:numPr>
        <w:pBdr>
          <w:top w:val="nil"/>
          <w:left w:val="nil"/>
          <w:bottom w:val="nil"/>
          <w:right w:val="nil"/>
          <w:between w:val="nil"/>
          <w:bar w:val="nil"/>
        </w:pBdr>
        <w:contextualSpacing w:val="0"/>
      </w:pPr>
      <w:r w:rsidRPr="00782A8B">
        <w:t xml:space="preserve">Australian governments progressively implement universal access to </w:t>
      </w:r>
      <w:r>
        <w:t xml:space="preserve">600 hours per year of a quality early childhood education program, </w:t>
      </w:r>
      <w:r w:rsidR="00AC2FC5">
        <w:t>for example</w:t>
      </w:r>
      <w:r>
        <w:t xml:space="preserve"> preschool, </w:t>
      </w:r>
      <w:r w:rsidRPr="00782A8B">
        <w:t xml:space="preserve">for </w:t>
      </w:r>
      <w:r w:rsidR="0047340F">
        <w:t xml:space="preserve">all </w:t>
      </w:r>
      <w:r w:rsidRPr="00782A8B">
        <w:t xml:space="preserve">three year olds, with access </w:t>
      </w:r>
      <w:r w:rsidR="00A623F0" w:rsidRPr="00835C89">
        <w:t xml:space="preserve">prioritised </w:t>
      </w:r>
      <w:r w:rsidRPr="00782A8B">
        <w:t>for disadvantaged children, families and communities</w:t>
      </w:r>
      <w:r w:rsidR="004F7C5B">
        <w:t xml:space="preserve"> during roll out</w:t>
      </w:r>
      <w:r>
        <w:t>.</w:t>
      </w:r>
    </w:p>
    <w:p w:rsidR="007A364A" w:rsidRPr="007A364A" w:rsidRDefault="007A364A" w:rsidP="007A364A">
      <w:pPr>
        <w:rPr>
          <w:b/>
          <w:sz w:val="24"/>
          <w:szCs w:val="24"/>
        </w:rPr>
      </w:pPr>
      <w:r w:rsidRPr="007A364A">
        <w:rPr>
          <w:b/>
          <w:sz w:val="24"/>
          <w:szCs w:val="24"/>
        </w:rPr>
        <w:t xml:space="preserve">Access, </w:t>
      </w:r>
      <w:r w:rsidR="00DE399B">
        <w:rPr>
          <w:b/>
          <w:sz w:val="24"/>
          <w:szCs w:val="24"/>
        </w:rPr>
        <w:t>e</w:t>
      </w:r>
      <w:r w:rsidRPr="007A364A">
        <w:rPr>
          <w:b/>
          <w:sz w:val="24"/>
          <w:szCs w:val="24"/>
        </w:rPr>
        <w:t xml:space="preserve">quity and </w:t>
      </w:r>
      <w:r w:rsidR="00DE399B">
        <w:rPr>
          <w:b/>
          <w:sz w:val="24"/>
          <w:szCs w:val="24"/>
        </w:rPr>
        <w:t>i</w:t>
      </w:r>
      <w:r w:rsidRPr="007A364A">
        <w:rPr>
          <w:b/>
          <w:sz w:val="24"/>
          <w:szCs w:val="24"/>
        </w:rPr>
        <w:t>nclusion – additional support for some children and families</w:t>
      </w:r>
    </w:p>
    <w:p w:rsidR="00181266" w:rsidRDefault="00181266" w:rsidP="009D04C4">
      <w:pPr>
        <w:pStyle w:val="ListParagraph"/>
        <w:numPr>
          <w:ilvl w:val="0"/>
          <w:numId w:val="5"/>
        </w:numPr>
        <w:pBdr>
          <w:top w:val="nil"/>
          <w:left w:val="nil"/>
          <w:bottom w:val="nil"/>
          <w:right w:val="nil"/>
          <w:between w:val="nil"/>
          <w:bar w:val="nil"/>
        </w:pBdr>
      </w:pPr>
      <w:r w:rsidRPr="00181266">
        <w:t xml:space="preserve">Future early childhood education investment and reform include a range of additional, targeted interventions for both children and their families, to ensure all children can fully benefit from  a quality early childhood education and have the skills and attributes needed for school and later life. These interventions should be for children and their families both prior to, and during, their participation in early childhood education. </w:t>
      </w:r>
    </w:p>
    <w:p w:rsidR="007A364A" w:rsidRPr="00637667" w:rsidRDefault="007A364A" w:rsidP="009D04C4">
      <w:pPr>
        <w:pStyle w:val="ListParagraph"/>
        <w:numPr>
          <w:ilvl w:val="0"/>
          <w:numId w:val="5"/>
        </w:numPr>
        <w:pBdr>
          <w:top w:val="nil"/>
          <w:left w:val="nil"/>
          <w:bottom w:val="nil"/>
          <w:right w:val="nil"/>
          <w:between w:val="nil"/>
          <w:bar w:val="nil"/>
        </w:pBdr>
      </w:pPr>
      <w:r>
        <w:t>Australian governments promote and support full participation by three and four year olds in quality early childhood education programs, in particular to maximise participation by vulnerable or disadvantaged children.</w:t>
      </w:r>
      <w:r w:rsidR="009D04C4" w:rsidRPr="009D04C4">
        <w:t xml:space="preserve"> </w:t>
      </w:r>
    </w:p>
    <w:p w:rsidR="007A364A" w:rsidRPr="007A364A" w:rsidRDefault="007A364A" w:rsidP="007A364A">
      <w:pPr>
        <w:rPr>
          <w:b/>
          <w:sz w:val="24"/>
          <w:szCs w:val="24"/>
        </w:rPr>
      </w:pPr>
      <w:r w:rsidRPr="007A364A">
        <w:rPr>
          <w:b/>
          <w:sz w:val="24"/>
          <w:szCs w:val="24"/>
        </w:rPr>
        <w:t>Quality and workforce</w:t>
      </w:r>
    </w:p>
    <w:p w:rsidR="007A364A" w:rsidRDefault="007A364A" w:rsidP="007A364A">
      <w:pPr>
        <w:pStyle w:val="ListParagraph"/>
        <w:numPr>
          <w:ilvl w:val="0"/>
          <w:numId w:val="5"/>
        </w:numPr>
      </w:pPr>
      <w:r>
        <w:t>Future early childhood education</w:t>
      </w:r>
      <w:r w:rsidRPr="00081839">
        <w:t xml:space="preserve"> reform</w:t>
      </w:r>
      <w:r w:rsidR="005A3F83" w:rsidRPr="00081839">
        <w:t>s</w:t>
      </w:r>
      <w:r>
        <w:t xml:space="preserve"> emphasise quality, with targeted investment to support improvement, and the incremental strengthening of minimum standards under the National Quality Framework.</w:t>
      </w:r>
    </w:p>
    <w:p w:rsidR="007A364A" w:rsidRDefault="007A364A" w:rsidP="007A364A">
      <w:pPr>
        <w:pStyle w:val="ListParagraph"/>
        <w:numPr>
          <w:ilvl w:val="0"/>
          <w:numId w:val="5"/>
        </w:numPr>
      </w:pPr>
      <w:r>
        <w:t>Australia</w:t>
      </w:r>
      <w:r w:rsidR="00977108">
        <w:t>n</w:t>
      </w:r>
      <w:r>
        <w:t xml:space="preserve"> governments consider opportunities to use funding levers to provide incentives for quality improvement by service providers, and consequences for services repeatedly failing to meet</w:t>
      </w:r>
      <w:r w:rsidR="00164927">
        <w:t xml:space="preserve"> the</w:t>
      </w:r>
      <w:r>
        <w:t xml:space="preserve"> N</w:t>
      </w:r>
      <w:r w:rsidR="00164927">
        <w:t>ational Quality Standard</w:t>
      </w:r>
      <w:r w:rsidRPr="00B75413">
        <w:t>.</w:t>
      </w:r>
    </w:p>
    <w:p w:rsidR="007A364A" w:rsidRDefault="007A364A" w:rsidP="007A364A">
      <w:pPr>
        <w:pStyle w:val="ListParagraph"/>
        <w:numPr>
          <w:ilvl w:val="0"/>
          <w:numId w:val="5"/>
        </w:numPr>
        <w:pBdr>
          <w:top w:val="nil"/>
          <w:left w:val="nil"/>
          <w:bottom w:val="nil"/>
          <w:right w:val="nil"/>
          <w:between w:val="nil"/>
          <w:bar w:val="nil"/>
        </w:pBdr>
      </w:pPr>
      <w:r>
        <w:t xml:space="preserve">Australian governments agree to a new national early childhood education and care workforce strategy </w:t>
      </w:r>
      <w:r w:rsidR="00DE399B">
        <w:t xml:space="preserve">to support the recruitment, retention, sustainability and enhanced </w:t>
      </w:r>
      <w:r w:rsidR="00A605F1">
        <w:t>professionalisation</w:t>
      </w:r>
      <w:r w:rsidR="00DE399B">
        <w:t xml:space="preserve"> of the workforce, thereby improving service quality and children’s outcomes. </w:t>
      </w:r>
    </w:p>
    <w:p w:rsidR="007A364A" w:rsidRDefault="007A364A" w:rsidP="007A364A">
      <w:pPr>
        <w:pStyle w:val="ListParagraph"/>
        <w:numPr>
          <w:ilvl w:val="0"/>
          <w:numId w:val="5"/>
        </w:numPr>
        <w:pBdr>
          <w:top w:val="nil"/>
          <w:left w:val="nil"/>
          <w:bottom w:val="nil"/>
          <w:right w:val="nil"/>
          <w:between w:val="nil"/>
          <w:bar w:val="nil"/>
        </w:pBdr>
      </w:pPr>
      <w:r>
        <w:t>The strategy should consider, at a minimum, opportunities to improve:</w:t>
      </w:r>
    </w:p>
    <w:p w:rsidR="007A364A" w:rsidRDefault="007A364A" w:rsidP="007A364A">
      <w:pPr>
        <w:pStyle w:val="ListParagraph"/>
        <w:numPr>
          <w:ilvl w:val="1"/>
          <w:numId w:val="5"/>
        </w:numPr>
        <w:pBdr>
          <w:top w:val="nil"/>
          <w:left w:val="nil"/>
          <w:bottom w:val="nil"/>
          <w:right w:val="nil"/>
          <w:between w:val="nil"/>
          <w:bar w:val="nil"/>
        </w:pBdr>
      </w:pPr>
      <w:r>
        <w:t>service leadership capability</w:t>
      </w:r>
    </w:p>
    <w:p w:rsidR="007A364A" w:rsidRDefault="007A364A" w:rsidP="007A364A">
      <w:pPr>
        <w:pStyle w:val="ListParagraph"/>
        <w:numPr>
          <w:ilvl w:val="1"/>
          <w:numId w:val="5"/>
        </w:numPr>
        <w:pBdr>
          <w:top w:val="nil"/>
          <w:left w:val="nil"/>
          <w:bottom w:val="nil"/>
          <w:right w:val="nil"/>
          <w:between w:val="nil"/>
          <w:bar w:val="nil"/>
        </w:pBdr>
      </w:pPr>
      <w:r>
        <w:t>pre-service training quality and content</w:t>
      </w:r>
    </w:p>
    <w:p w:rsidR="007A364A" w:rsidRDefault="007A364A" w:rsidP="007A364A">
      <w:pPr>
        <w:pStyle w:val="ListParagraph"/>
        <w:numPr>
          <w:ilvl w:val="1"/>
          <w:numId w:val="5"/>
        </w:numPr>
        <w:pBdr>
          <w:top w:val="nil"/>
          <w:left w:val="nil"/>
          <w:bottom w:val="nil"/>
          <w:right w:val="nil"/>
          <w:between w:val="nil"/>
          <w:bar w:val="nil"/>
        </w:pBdr>
      </w:pPr>
      <w:r>
        <w:t>ongoing professional development of the workforce</w:t>
      </w:r>
    </w:p>
    <w:p w:rsidR="007A364A" w:rsidRDefault="007A364A" w:rsidP="007A364A">
      <w:pPr>
        <w:pStyle w:val="ListParagraph"/>
        <w:numPr>
          <w:ilvl w:val="1"/>
          <w:numId w:val="5"/>
        </w:numPr>
        <w:pBdr>
          <w:top w:val="nil"/>
          <w:left w:val="nil"/>
          <w:bottom w:val="nil"/>
          <w:right w:val="nil"/>
          <w:between w:val="nil"/>
          <w:bar w:val="nil"/>
        </w:pBdr>
      </w:pPr>
      <w:r>
        <w:t>responsiveness of pre-service training and ongoing professional development providers to the sector</w:t>
      </w:r>
    </w:p>
    <w:p w:rsidR="007A364A" w:rsidRDefault="007A364A" w:rsidP="007A364A">
      <w:pPr>
        <w:pStyle w:val="ListParagraph"/>
        <w:numPr>
          <w:ilvl w:val="1"/>
          <w:numId w:val="5"/>
        </w:numPr>
        <w:pBdr>
          <w:top w:val="nil"/>
          <w:left w:val="nil"/>
          <w:bottom w:val="nil"/>
          <w:right w:val="nil"/>
          <w:between w:val="nil"/>
          <w:bar w:val="nil"/>
        </w:pBdr>
      </w:pPr>
      <w:r>
        <w:t>consistency and applicability of workforce registration and professional standards</w:t>
      </w:r>
    </w:p>
    <w:p w:rsidR="007A364A" w:rsidRDefault="007A364A" w:rsidP="007A364A">
      <w:pPr>
        <w:pStyle w:val="ListParagraph"/>
        <w:numPr>
          <w:ilvl w:val="1"/>
          <w:numId w:val="5"/>
        </w:numPr>
        <w:pBdr>
          <w:top w:val="nil"/>
          <w:left w:val="nil"/>
          <w:bottom w:val="nil"/>
          <w:right w:val="nil"/>
          <w:between w:val="nil"/>
          <w:bar w:val="nil"/>
        </w:pBdr>
      </w:pPr>
      <w:r>
        <w:t>workforce attraction, stability and retention, including medium and long-term career paths</w:t>
      </w:r>
    </w:p>
    <w:p w:rsidR="007A364A" w:rsidRDefault="00977108" w:rsidP="007A364A">
      <w:pPr>
        <w:pStyle w:val="ListParagraph"/>
        <w:numPr>
          <w:ilvl w:val="1"/>
          <w:numId w:val="5"/>
        </w:numPr>
        <w:pBdr>
          <w:top w:val="nil"/>
          <w:left w:val="nil"/>
          <w:bottom w:val="nil"/>
          <w:right w:val="nil"/>
          <w:between w:val="nil"/>
          <w:bar w:val="nil"/>
        </w:pBdr>
      </w:pPr>
      <w:r>
        <w:t xml:space="preserve">the </w:t>
      </w:r>
      <w:r w:rsidR="007A364A">
        <w:t>impact of remuneration and conditions on workforce stability and retention, and quality of practice</w:t>
      </w:r>
    </w:p>
    <w:p w:rsidR="007A364A" w:rsidRDefault="007A364A" w:rsidP="007A364A">
      <w:pPr>
        <w:pStyle w:val="ListParagraph"/>
        <w:numPr>
          <w:ilvl w:val="1"/>
          <w:numId w:val="5"/>
        </w:numPr>
        <w:pBdr>
          <w:top w:val="nil"/>
          <w:left w:val="nil"/>
          <w:bottom w:val="nil"/>
          <w:right w:val="nil"/>
          <w:between w:val="nil"/>
          <w:bar w:val="nil"/>
        </w:pBdr>
      </w:pPr>
      <w:r>
        <w:t>workforce diversity</w:t>
      </w:r>
      <w:r w:rsidR="00DE399B">
        <w:t>, including Indigenous</w:t>
      </w:r>
      <w:r w:rsidR="00DE399B">
        <w:rPr>
          <w:rStyle w:val="FootnoteReference"/>
        </w:rPr>
        <w:footnoteReference w:id="5"/>
      </w:r>
      <w:r w:rsidR="00DE399B">
        <w:t xml:space="preserve"> communities</w:t>
      </w:r>
    </w:p>
    <w:p w:rsidR="007A364A" w:rsidRDefault="00977108" w:rsidP="007A364A">
      <w:pPr>
        <w:pStyle w:val="ListParagraph"/>
        <w:numPr>
          <w:ilvl w:val="1"/>
          <w:numId w:val="5"/>
        </w:numPr>
        <w:pBdr>
          <w:top w:val="nil"/>
          <w:left w:val="nil"/>
          <w:bottom w:val="nil"/>
          <w:right w:val="nil"/>
          <w:between w:val="nil"/>
          <w:bar w:val="nil"/>
        </w:pBdr>
      </w:pPr>
      <w:r>
        <w:t xml:space="preserve">the </w:t>
      </w:r>
      <w:r w:rsidR="007A364A">
        <w:t>status of the profession</w:t>
      </w:r>
    </w:p>
    <w:p w:rsidR="007A364A" w:rsidRDefault="007A364A" w:rsidP="007A364A">
      <w:pPr>
        <w:pStyle w:val="ListParagraph"/>
        <w:numPr>
          <w:ilvl w:val="1"/>
          <w:numId w:val="5"/>
        </w:numPr>
        <w:pBdr>
          <w:top w:val="nil"/>
          <w:left w:val="nil"/>
          <w:bottom w:val="nil"/>
          <w:right w:val="nil"/>
          <w:between w:val="nil"/>
          <w:bar w:val="nil"/>
        </w:pBdr>
      </w:pPr>
      <w:r>
        <w:t>responses to localised issues, including in regional and remote areas</w:t>
      </w:r>
    </w:p>
    <w:p w:rsidR="007A364A" w:rsidRDefault="007A364A" w:rsidP="007A364A">
      <w:pPr>
        <w:pStyle w:val="ListParagraph"/>
        <w:numPr>
          <w:ilvl w:val="1"/>
          <w:numId w:val="5"/>
        </w:numPr>
        <w:pBdr>
          <w:top w:val="nil"/>
          <w:left w:val="nil"/>
          <w:bottom w:val="nil"/>
          <w:right w:val="nil"/>
          <w:between w:val="nil"/>
          <w:bar w:val="nil"/>
        </w:pBdr>
      </w:pPr>
      <w:r>
        <w:t>engagement with parents.</w:t>
      </w:r>
    </w:p>
    <w:p w:rsidR="007A364A" w:rsidRPr="007A364A" w:rsidRDefault="007A364A" w:rsidP="007A364A">
      <w:pPr>
        <w:rPr>
          <w:b/>
          <w:sz w:val="24"/>
          <w:szCs w:val="24"/>
        </w:rPr>
      </w:pPr>
      <w:r w:rsidRPr="007A364A">
        <w:rPr>
          <w:b/>
          <w:sz w:val="24"/>
          <w:szCs w:val="24"/>
        </w:rPr>
        <w:t>Parent and community engagement</w:t>
      </w:r>
    </w:p>
    <w:p w:rsidR="00F109EA" w:rsidRDefault="00F109EA" w:rsidP="00F109EA">
      <w:pPr>
        <w:pStyle w:val="ListParagraph"/>
        <w:numPr>
          <w:ilvl w:val="0"/>
          <w:numId w:val="5"/>
        </w:numPr>
      </w:pPr>
      <w:r>
        <w:t>In recognition of</w:t>
      </w:r>
      <w:r w:rsidRPr="002978B4">
        <w:t xml:space="preserve"> the role of parents as </w:t>
      </w:r>
      <w:r>
        <w:t>the first and ongoing educator of their children</w:t>
      </w:r>
      <w:r w:rsidRPr="002978B4">
        <w:t>, and as advocate</w:t>
      </w:r>
      <w:r w:rsidR="00317DEA">
        <w:t>s</w:t>
      </w:r>
      <w:r w:rsidRPr="002978B4">
        <w:t xml:space="preserve"> for their child</w:t>
      </w:r>
      <w:r w:rsidR="00317DEA">
        <w:t>ren</w:t>
      </w:r>
      <w:r w:rsidRPr="002978B4">
        <w:t xml:space="preserve">, </w:t>
      </w:r>
      <w:r>
        <w:t>Australian governments</w:t>
      </w:r>
      <w:r w:rsidRPr="002978B4">
        <w:t xml:space="preserve"> undertake a</w:t>
      </w:r>
      <w:r>
        <w:t>n ongoing</w:t>
      </w:r>
      <w:r w:rsidRPr="002978B4">
        <w:t xml:space="preserve"> campaign to improve community understanding of the importance of the early years</w:t>
      </w:r>
      <w:r>
        <w:t xml:space="preserve"> and all who care for and educate children</w:t>
      </w:r>
      <w:r w:rsidRPr="002978B4">
        <w:t>, and to improve parent understanding of service quality</w:t>
      </w:r>
      <w:r>
        <w:t>.</w:t>
      </w:r>
    </w:p>
    <w:p w:rsidR="007A364A" w:rsidRDefault="007A364A" w:rsidP="00A516DA">
      <w:pPr>
        <w:pStyle w:val="ListParagraph"/>
        <w:numPr>
          <w:ilvl w:val="0"/>
          <w:numId w:val="5"/>
        </w:numPr>
      </w:pPr>
      <w:r>
        <w:t xml:space="preserve">Australian governments develop and invest in strategies to </w:t>
      </w:r>
      <w:r w:rsidR="00657C1E">
        <w:t xml:space="preserve">support early learning in </w:t>
      </w:r>
      <w:r>
        <w:t xml:space="preserve">the home environment, including programs to </w:t>
      </w:r>
      <w:r w:rsidR="00657C1E">
        <w:t>support parents in their</w:t>
      </w:r>
      <w:r w:rsidRPr="002978B4">
        <w:t xml:space="preserve"> educative role.</w:t>
      </w:r>
    </w:p>
    <w:p w:rsidR="007A364A" w:rsidRPr="007A364A" w:rsidRDefault="007A364A" w:rsidP="007A364A">
      <w:pPr>
        <w:rPr>
          <w:b/>
          <w:sz w:val="24"/>
          <w:szCs w:val="24"/>
        </w:rPr>
      </w:pPr>
      <w:r w:rsidRPr="007A364A">
        <w:rPr>
          <w:b/>
          <w:sz w:val="24"/>
          <w:szCs w:val="24"/>
        </w:rPr>
        <w:t>Transparency and accountability</w:t>
      </w:r>
    </w:p>
    <w:p w:rsidR="007A364A" w:rsidRDefault="007A364A" w:rsidP="007A364A">
      <w:pPr>
        <w:pStyle w:val="ListParagraph"/>
        <w:numPr>
          <w:ilvl w:val="0"/>
          <w:numId w:val="5"/>
        </w:numPr>
        <w:pBdr>
          <w:top w:val="nil"/>
          <w:left w:val="nil"/>
          <w:bottom w:val="nil"/>
          <w:right w:val="nil"/>
          <w:between w:val="nil"/>
          <w:bar w:val="nil"/>
        </w:pBdr>
      </w:pPr>
      <w:r>
        <w:t>Australian governments, in support of their investments in early childhood, develop and invest in an early childhood information strategy. The strategy should encompass all aspects of early childhood data, information and evidence</w:t>
      </w:r>
      <w:r w:rsidR="00B344E6" w:rsidRPr="00A20C15">
        <w:t>,</w:t>
      </w:r>
      <w:r>
        <w:t xml:space="preserve"> and aim to make </w:t>
      </w:r>
      <w:r w:rsidR="005A3F83" w:rsidRPr="006619DB">
        <w:t xml:space="preserve">a greater amount of </w:t>
      </w:r>
      <w:r>
        <w:t xml:space="preserve">information more accessible to more people. </w:t>
      </w:r>
    </w:p>
    <w:p w:rsidR="007A364A" w:rsidRDefault="007A364A" w:rsidP="007A364A">
      <w:pPr>
        <w:pStyle w:val="ListParagraph"/>
        <w:numPr>
          <w:ilvl w:val="0"/>
          <w:numId w:val="5"/>
        </w:numPr>
        <w:pBdr>
          <w:top w:val="nil"/>
          <w:left w:val="nil"/>
          <w:bottom w:val="nil"/>
          <w:right w:val="nil"/>
          <w:between w:val="nil"/>
          <w:bar w:val="nil"/>
        </w:pBdr>
      </w:pPr>
      <w:r>
        <w:t xml:space="preserve">The early childhood </w:t>
      </w:r>
      <w:r w:rsidR="009A4C03">
        <w:t xml:space="preserve">data and </w:t>
      </w:r>
      <w:r>
        <w:t xml:space="preserve">information strategy </w:t>
      </w:r>
      <w:r w:rsidRPr="00907B03">
        <w:t>include</w:t>
      </w:r>
      <w:r>
        <w:t xml:space="preserve"> better use of existing </w:t>
      </w:r>
      <w:r w:rsidR="009A4C03">
        <w:t xml:space="preserve">data and </w:t>
      </w:r>
      <w:r>
        <w:t xml:space="preserve">information, more frequent collection, the collection of new </w:t>
      </w:r>
      <w:r w:rsidR="009A4C03">
        <w:t xml:space="preserve">data and </w:t>
      </w:r>
      <w:r>
        <w:t xml:space="preserve">information, improved </w:t>
      </w:r>
      <w:r w:rsidR="009A4C03">
        <w:t xml:space="preserve">data and </w:t>
      </w:r>
      <w:r>
        <w:t xml:space="preserve">information sharing, and appropriate national governance arrangements to support the strategy and future reform. </w:t>
      </w:r>
    </w:p>
    <w:p w:rsidR="007A364A" w:rsidRDefault="007A364A" w:rsidP="007A364A">
      <w:pPr>
        <w:pStyle w:val="ListParagraph"/>
        <w:numPr>
          <w:ilvl w:val="0"/>
          <w:numId w:val="5"/>
        </w:numPr>
        <w:pBdr>
          <w:top w:val="nil"/>
          <w:left w:val="nil"/>
          <w:bottom w:val="nil"/>
          <w:right w:val="nil"/>
          <w:between w:val="nil"/>
          <w:bar w:val="nil"/>
        </w:pBdr>
        <w:contextualSpacing w:val="0"/>
        <w:jc w:val="both"/>
      </w:pPr>
      <w:r w:rsidRPr="002978B4">
        <w:t xml:space="preserve">Australian governments consider the optimal allocation of roles and responsibilities between levels of government for early childhood </w:t>
      </w:r>
      <w:r w:rsidR="00977108">
        <w:t xml:space="preserve">in order </w:t>
      </w:r>
      <w:r w:rsidRPr="002978B4">
        <w:t>to address policy and delivery issues, improve clarity and reduce complexity for families, providers and governments, and thereby improve outcomes for children.</w:t>
      </w:r>
    </w:p>
    <w:p w:rsidR="007A364A" w:rsidRPr="007A364A" w:rsidRDefault="007A364A" w:rsidP="007A364A">
      <w:pPr>
        <w:rPr>
          <w:b/>
          <w:sz w:val="24"/>
          <w:szCs w:val="24"/>
        </w:rPr>
      </w:pPr>
      <w:r w:rsidRPr="007A364A">
        <w:rPr>
          <w:b/>
          <w:sz w:val="24"/>
          <w:szCs w:val="24"/>
        </w:rPr>
        <w:t>Implementation</w:t>
      </w:r>
    </w:p>
    <w:p w:rsidR="00977108" w:rsidRPr="00924A05" w:rsidRDefault="0071198F" w:rsidP="00A516DA">
      <w:pPr>
        <w:pStyle w:val="ListParagraph"/>
        <w:numPr>
          <w:ilvl w:val="0"/>
          <w:numId w:val="5"/>
        </w:numPr>
        <w:pBdr>
          <w:top w:val="nil"/>
          <w:left w:val="nil"/>
          <w:bottom w:val="nil"/>
          <w:right w:val="nil"/>
          <w:between w:val="nil"/>
          <w:bar w:val="nil"/>
        </w:pBdr>
        <w:contextualSpacing w:val="0"/>
        <w:jc w:val="both"/>
      </w:pPr>
      <w:r>
        <w:t>Australian governments develop, through the Council of Australian Governments</w:t>
      </w:r>
      <w:r w:rsidRPr="002978B4">
        <w:t xml:space="preserve">, </w:t>
      </w:r>
      <w:r w:rsidR="00977108" w:rsidRPr="002978B4">
        <w:t xml:space="preserve">a plan identifying short, medium and </w:t>
      </w:r>
      <w:r w:rsidR="00977108" w:rsidRPr="00D41DEB">
        <w:t>long-</w:t>
      </w:r>
      <w:r w:rsidR="00977108" w:rsidRPr="002978B4">
        <w:t>term actions for phased implementation of these recommendations</w:t>
      </w:r>
      <w:r w:rsidR="00977108" w:rsidRPr="00230CBA">
        <w:t xml:space="preserve">. </w:t>
      </w:r>
    </w:p>
    <w:p w:rsidR="00F367DC" w:rsidRDefault="00F367DC" w:rsidP="00A516DA">
      <w:pPr>
        <w:pStyle w:val="ListParagraph"/>
        <w:numPr>
          <w:ilvl w:val="0"/>
          <w:numId w:val="5"/>
        </w:numPr>
        <w:pBdr>
          <w:top w:val="nil"/>
          <w:left w:val="nil"/>
          <w:bottom w:val="nil"/>
          <w:right w:val="nil"/>
          <w:between w:val="nil"/>
          <w:bar w:val="nil"/>
        </w:pBdr>
        <w:ind w:left="426" w:hanging="426"/>
      </w:pPr>
      <w:r>
        <w:br w:type="page"/>
      </w:r>
    </w:p>
    <w:p w:rsidR="00E32B27" w:rsidRPr="00DD76E7" w:rsidRDefault="00E32B27" w:rsidP="00E32B27">
      <w:pPr>
        <w:pBdr>
          <w:top w:val="single" w:sz="4" w:space="1" w:color="auto"/>
          <w:left w:val="single" w:sz="4" w:space="4" w:color="auto"/>
          <w:bottom w:val="single" w:sz="4" w:space="1" w:color="auto"/>
          <w:right w:val="single" w:sz="4" w:space="4" w:color="auto"/>
        </w:pBdr>
      </w:pPr>
      <w:r w:rsidRPr="00487555">
        <w:rPr>
          <w:b/>
        </w:rPr>
        <w:t xml:space="preserve">What </w:t>
      </w:r>
      <w:r>
        <w:rPr>
          <w:b/>
        </w:rPr>
        <w:t xml:space="preserve">is early childhood? </w:t>
      </w:r>
    </w:p>
    <w:p w:rsidR="00E32B27" w:rsidRDefault="00E32B27" w:rsidP="00E32B27">
      <w:pPr>
        <w:pBdr>
          <w:top w:val="single" w:sz="4" w:space="1" w:color="auto"/>
          <w:left w:val="single" w:sz="4" w:space="4" w:color="auto"/>
          <w:bottom w:val="single" w:sz="4" w:space="1" w:color="auto"/>
          <w:right w:val="single" w:sz="4" w:space="4" w:color="auto"/>
        </w:pBdr>
      </w:pPr>
      <w:r>
        <w:t>As outlined in the</w:t>
      </w:r>
      <w:r w:rsidR="00F77936">
        <w:t xml:space="preserve"> t</w:t>
      </w:r>
      <w:r>
        <w:t xml:space="preserve">erms of </w:t>
      </w:r>
      <w:r w:rsidR="00F77936">
        <w:t>r</w:t>
      </w:r>
      <w:r>
        <w:t xml:space="preserve">eference, and in line with the Early Years Learning Framework, the Review considers early childhood </w:t>
      </w:r>
      <w:r w:rsidR="00EF4FEC" w:rsidRPr="00FF5B19">
        <w:t xml:space="preserve">to be </w:t>
      </w:r>
      <w:r>
        <w:t>the period from birth until the commencement of formal schooling</w:t>
      </w:r>
      <w:r w:rsidR="00EF4FEC" w:rsidRPr="007F4279">
        <w:t>;</w:t>
      </w:r>
      <w:r>
        <w:t xml:space="preserve"> broadly 0-5 years. </w:t>
      </w:r>
    </w:p>
    <w:p w:rsidR="00E32B27" w:rsidRDefault="00E32B27" w:rsidP="00E32B27">
      <w:pPr>
        <w:pBdr>
          <w:top w:val="single" w:sz="4" w:space="1" w:color="auto"/>
          <w:left w:val="single" w:sz="4" w:space="4" w:color="auto"/>
          <w:bottom w:val="single" w:sz="4" w:space="1" w:color="auto"/>
          <w:right w:val="single" w:sz="4" w:space="4" w:color="auto"/>
        </w:pBdr>
      </w:pPr>
      <w:r>
        <w:t xml:space="preserve">Other widely accepted definitions extend the concept of early childhood into the early years of school (0-8) but a more restricted definition is appropriate here, particularly given that the </w:t>
      </w:r>
      <w:r w:rsidRPr="001A7366">
        <w:t>Review to Achieve Educational Excellence in Australian Schools</w:t>
      </w:r>
      <w:r>
        <w:t xml:space="preserve"> is considering education for children </w:t>
      </w:r>
      <w:r w:rsidR="00EF4FEC" w:rsidRPr="007C5127">
        <w:t xml:space="preserve">from </w:t>
      </w:r>
      <w:r>
        <w:t xml:space="preserve">the </w:t>
      </w:r>
      <w:r w:rsidRPr="00403E8F">
        <w:t>commence</w:t>
      </w:r>
      <w:r w:rsidR="00EF4FEC" w:rsidRPr="00403E8F">
        <w:t>ment of</w:t>
      </w:r>
      <w:r>
        <w:t xml:space="preserve"> school. </w:t>
      </w:r>
    </w:p>
    <w:p w:rsidR="00E32B27" w:rsidRPr="00721C5D" w:rsidRDefault="00E32B27" w:rsidP="00E32B27"/>
    <w:p w:rsidR="00E32B27" w:rsidRPr="00DD76E7" w:rsidRDefault="00E32B27" w:rsidP="00E32B27">
      <w:pPr>
        <w:pBdr>
          <w:top w:val="single" w:sz="4" w:space="1" w:color="auto"/>
          <w:left w:val="single" w:sz="4" w:space="4" w:color="auto"/>
          <w:bottom w:val="single" w:sz="4" w:space="1" w:color="auto"/>
          <w:right w:val="single" w:sz="4" w:space="4" w:color="auto"/>
        </w:pBdr>
      </w:pPr>
      <w:r w:rsidRPr="00487555">
        <w:rPr>
          <w:b/>
        </w:rPr>
        <w:t xml:space="preserve">What is early childhood education? </w:t>
      </w:r>
    </w:p>
    <w:p w:rsidR="00E32B27" w:rsidRDefault="00E32B27" w:rsidP="00E32B27">
      <w:pPr>
        <w:pBdr>
          <w:top w:val="single" w:sz="4" w:space="1" w:color="auto"/>
          <w:left w:val="single" w:sz="4" w:space="4" w:color="auto"/>
          <w:bottom w:val="single" w:sz="4" w:space="1" w:color="auto"/>
          <w:right w:val="single" w:sz="4" w:space="4" w:color="auto"/>
        </w:pBdr>
      </w:pPr>
      <w:r w:rsidRPr="007570DF">
        <w:t xml:space="preserve">Early </w:t>
      </w:r>
      <w:r>
        <w:t>childhood education is the planned support of early learning by a qualified</w:t>
      </w:r>
      <w:r w:rsidRPr="007570DF">
        <w:t xml:space="preserve"> ear</w:t>
      </w:r>
      <w:r>
        <w:t>ly childhood educator</w:t>
      </w:r>
      <w:r>
        <w:rPr>
          <w:rStyle w:val="EndnoteReference"/>
        </w:rPr>
        <w:endnoteReference w:id="2"/>
      </w:r>
      <w:r>
        <w:t xml:space="preserve"> through a deliberate focus on the key elements that contribute to </w:t>
      </w:r>
      <w:r w:rsidR="00EF4FEC" w:rsidRPr="00820AA7">
        <w:t xml:space="preserve">a child’s </w:t>
      </w:r>
      <w:r>
        <w:t>learning, development and wellbeing.</w:t>
      </w:r>
      <w:r w:rsidRPr="003E368E">
        <w:t xml:space="preserve"> </w:t>
      </w:r>
      <w:r>
        <w:t xml:space="preserve">It is generally delivered in a venue away from the child’s home in </w:t>
      </w:r>
      <w:r w:rsidRPr="007570DF">
        <w:t xml:space="preserve">formal, government regulated </w:t>
      </w:r>
      <w:r w:rsidR="00EF4FEC" w:rsidRPr="004475BD">
        <w:t>and non</w:t>
      </w:r>
      <w:r w:rsidRPr="007570DF">
        <w:t xml:space="preserve">-compulsory early childhood education and care </w:t>
      </w:r>
      <w:r>
        <w:t>settings.</w:t>
      </w:r>
      <w:r>
        <w:rPr>
          <w:rStyle w:val="EndnoteReference"/>
        </w:rPr>
        <w:endnoteReference w:id="3"/>
      </w:r>
      <w:r>
        <w:t xml:space="preserve"> The Review acknowledges that a great deal of learning also takes place outside these formal settings</w:t>
      </w:r>
      <w:r w:rsidR="00657C1E">
        <w:t>, especially in the home</w:t>
      </w:r>
      <w:r>
        <w:t xml:space="preserve">. Parents are </w:t>
      </w:r>
      <w:r w:rsidR="00354B29" w:rsidRPr="00030983">
        <w:t xml:space="preserve">a child’s </w:t>
      </w:r>
      <w:r>
        <w:t xml:space="preserve">first teachers and play a vital role in the development and education of children. </w:t>
      </w:r>
    </w:p>
    <w:p w:rsidR="00E32B27" w:rsidRDefault="00E32B27" w:rsidP="00E32B27">
      <w:pPr>
        <w:pBdr>
          <w:top w:val="single" w:sz="4" w:space="1" w:color="auto"/>
          <w:left w:val="single" w:sz="4" w:space="4" w:color="auto"/>
          <w:bottom w:val="single" w:sz="4" w:space="1" w:color="auto"/>
          <w:right w:val="single" w:sz="4" w:space="4" w:color="auto"/>
        </w:pBdr>
      </w:pPr>
      <w:r>
        <w:t xml:space="preserve">Early childhood education is not the same as school education. Early childhood education is delivered through play-based learning, and skilled educators use </w:t>
      </w:r>
      <w:r w:rsidR="00657C1E">
        <w:t>intentional</w:t>
      </w:r>
      <w:r>
        <w:t xml:space="preserve"> play-based learning to </w:t>
      </w:r>
      <w:r w:rsidRPr="009D0ED4">
        <w:t xml:space="preserve">introduce concepts </w:t>
      </w:r>
      <w:r>
        <w:t>in ways that connect</w:t>
      </w:r>
      <w:r w:rsidRPr="009D0ED4">
        <w:t xml:space="preserve"> with </w:t>
      </w:r>
      <w:r>
        <w:t xml:space="preserve">a </w:t>
      </w:r>
      <w:r w:rsidRPr="009D0ED4">
        <w:t xml:space="preserve">child’s </w:t>
      </w:r>
      <w:r>
        <w:t>interest</w:t>
      </w:r>
      <w:r w:rsidRPr="009D0ED4">
        <w:t>.</w:t>
      </w:r>
      <w:r>
        <w:rPr>
          <w:rStyle w:val="EndnoteReference"/>
        </w:rPr>
        <w:endnoteReference w:id="4"/>
      </w:r>
      <w:r w:rsidRPr="00810A26">
        <w:t xml:space="preserve"> </w:t>
      </w:r>
    </w:p>
    <w:p w:rsidR="00E32B27" w:rsidRDefault="00E32B27" w:rsidP="00E32B27">
      <w:pPr>
        <w:pBdr>
          <w:top w:val="single" w:sz="4" w:space="1" w:color="auto"/>
          <w:left w:val="single" w:sz="4" w:space="4" w:color="auto"/>
          <w:bottom w:val="single" w:sz="4" w:space="1" w:color="auto"/>
          <w:right w:val="single" w:sz="4" w:space="4" w:color="auto"/>
        </w:pBdr>
      </w:pPr>
      <w:r>
        <w:t>Play</w:t>
      </w:r>
      <w:r w:rsidR="00354B29" w:rsidRPr="003C30CF">
        <w:t>-</w:t>
      </w:r>
      <w:r>
        <w:t xml:space="preserve">based learning </w:t>
      </w:r>
      <w:r w:rsidR="00DA7E6E">
        <w:t xml:space="preserve">(including in a group setting) </w:t>
      </w:r>
      <w:r>
        <w:t>builds on a child’s natural sense of</w:t>
      </w:r>
      <w:r w:rsidRPr="006B6CCB">
        <w:t xml:space="preserve"> </w:t>
      </w:r>
      <w:r w:rsidR="00586436">
        <w:t>e</w:t>
      </w:r>
      <w:r w:rsidRPr="006B6CCB">
        <w:t>nquiry and discovery through hands-on exploration of the world around them</w:t>
      </w:r>
      <w:r>
        <w:t>.</w:t>
      </w:r>
      <w:r>
        <w:rPr>
          <w:rStyle w:val="EndnoteReference"/>
        </w:rPr>
        <w:endnoteReference w:id="5"/>
      </w:r>
      <w:r>
        <w:t xml:space="preserve"> The evidence shows young children learn best when they are active decision-makers in their learning.</w:t>
      </w:r>
      <w:r w:rsidR="00FD6932">
        <w:rPr>
          <w:rStyle w:val="EndnoteReference"/>
        </w:rPr>
        <w:endnoteReference w:id="6"/>
      </w:r>
      <w:r>
        <w:t xml:space="preserve"> Children’s natural curiosity drives learning, and their expanded </w:t>
      </w:r>
      <w:r w:rsidRPr="004528B6">
        <w:t>experience</w:t>
      </w:r>
      <w:r>
        <w:t xml:space="preserve">s in social contexts </w:t>
      </w:r>
      <w:r w:rsidRPr="004528B6">
        <w:t xml:space="preserve">stimulate neural </w:t>
      </w:r>
      <w:r w:rsidR="00354B29" w:rsidRPr="00470D18">
        <w:t>activity that</w:t>
      </w:r>
      <w:r w:rsidRPr="004528B6">
        <w:t xml:space="preserve"> </w:t>
      </w:r>
      <w:r>
        <w:t>s</w:t>
      </w:r>
      <w:r w:rsidRPr="00E3392F">
        <w:t xml:space="preserve">hapes </w:t>
      </w:r>
      <w:r>
        <w:t>brain development.</w:t>
      </w:r>
      <w:r>
        <w:rPr>
          <w:rStyle w:val="EndnoteReference"/>
          <w:rFonts w:ascii="ArialMT" w:hAnsi="ArialMT" w:cs="ArialMT"/>
          <w:sz w:val="20"/>
        </w:rPr>
        <w:endnoteReference w:id="7"/>
      </w:r>
      <w:r>
        <w:t xml:space="preserve"> Purposeful play-based learning supports children to make sense of their world.</w:t>
      </w:r>
      <w:r>
        <w:rPr>
          <w:rStyle w:val="EndnoteReference"/>
        </w:rPr>
        <w:endnoteReference w:id="8"/>
      </w:r>
    </w:p>
    <w:p w:rsidR="00E32B27" w:rsidRDefault="00E32B27">
      <w:pPr>
        <w:spacing w:line="276" w:lineRule="auto"/>
        <w:rPr>
          <w:rFonts w:asciiTheme="majorHAnsi" w:eastAsiaTheme="majorEastAsia" w:hAnsiTheme="majorHAnsi" w:cstheme="majorBidi"/>
          <w:b/>
          <w:bCs/>
          <w:color w:val="365F91" w:themeColor="accent1" w:themeShade="BF"/>
          <w:sz w:val="28"/>
          <w:szCs w:val="28"/>
        </w:rPr>
      </w:pPr>
      <w:r>
        <w:br w:type="page"/>
      </w:r>
    </w:p>
    <w:p w:rsidR="00375FB1" w:rsidRDefault="0063470E" w:rsidP="00375FB1">
      <w:pPr>
        <w:pStyle w:val="Heading1"/>
      </w:pPr>
      <w:bookmarkStart w:id="7" w:name="_Toc373586249"/>
      <w:bookmarkStart w:id="8" w:name="_Toc500850767"/>
      <w:r>
        <w:t xml:space="preserve">2.1 </w:t>
      </w:r>
      <w:r w:rsidR="00093386" w:rsidRPr="00A33316">
        <w:t>The importance of the early years</w:t>
      </w:r>
      <w:bookmarkEnd w:id="7"/>
      <w:bookmarkEnd w:id="8"/>
      <w:r w:rsidR="00375FB1">
        <w:t xml:space="preserve"> </w:t>
      </w:r>
    </w:p>
    <w:p w:rsidR="00375FB1" w:rsidRDefault="00375FB1" w:rsidP="00375FB1">
      <w:r>
        <w:t xml:space="preserve">Educators have understood the importance of the early years for well over a century. In the </w:t>
      </w:r>
      <w:r w:rsidR="00E836B6" w:rsidRPr="004475BD">
        <w:t>past</w:t>
      </w:r>
      <w:r>
        <w:t xml:space="preserve"> two decades, neuroscience has introduced powerful new evidence, helping us to understand why the early years are so important in establishing the underlying skills and behaviours that are essential to </w:t>
      </w:r>
      <w:r w:rsidR="00FF67D6" w:rsidRPr="00830DA1">
        <w:t xml:space="preserve">a child’s </w:t>
      </w:r>
      <w:r>
        <w:t>lifelong learning, behaviour and health.</w:t>
      </w:r>
    </w:p>
    <w:p w:rsidR="00375FB1" w:rsidRDefault="00375FB1" w:rsidP="00375FB1">
      <w:r>
        <w:t xml:space="preserve">A child’s environment and experiences in </w:t>
      </w:r>
      <w:r w:rsidR="00FF67D6" w:rsidRPr="009D0B2F">
        <w:t>his or her</w:t>
      </w:r>
      <w:r>
        <w:t xml:space="preserve"> early years set key pathways for life.</w:t>
      </w:r>
      <w:r w:rsidRPr="008600FC">
        <w:t xml:space="preserve"> </w:t>
      </w:r>
      <w:r>
        <w:t xml:space="preserve">Children’s learning commences long before they enter school </w:t>
      </w:r>
      <w:r w:rsidR="00374457">
        <w:t>–</w:t>
      </w:r>
      <w:r>
        <w:t xml:space="preserve"> </w:t>
      </w:r>
      <w:r w:rsidR="00374457">
        <w:t>children are born ready to learn</w:t>
      </w:r>
      <w:r>
        <w:t>. E</w:t>
      </w:r>
      <w:r w:rsidRPr="00BA41FA">
        <w:t xml:space="preserve">ach stage of brain development </w:t>
      </w:r>
      <w:r>
        <w:t xml:space="preserve">is </w:t>
      </w:r>
      <w:r w:rsidRPr="00BA41FA">
        <w:t>cumulative</w:t>
      </w:r>
      <w:r w:rsidR="00502F0E">
        <w:rPr>
          <w:rStyle w:val="EndnoteReference"/>
        </w:rPr>
        <w:endnoteReference w:id="9"/>
      </w:r>
      <w:r>
        <w:t xml:space="preserve"> and</w:t>
      </w:r>
      <w:r w:rsidR="00FF67D6" w:rsidRPr="00336A43">
        <w:t>,</w:t>
      </w:r>
      <w:r>
        <w:t xml:space="preserve"> as</w:t>
      </w:r>
      <w:r w:rsidRPr="00BA41FA">
        <w:t xml:space="preserve"> a consequence, children can enter school with clear differences in</w:t>
      </w:r>
      <w:r w:rsidRPr="003C30CF">
        <w:t xml:space="preserve"> </w:t>
      </w:r>
      <w:r w:rsidR="00FF67D6" w:rsidRPr="00A33316">
        <w:t>the</w:t>
      </w:r>
      <w:r w:rsidRPr="00BA41FA">
        <w:t xml:space="preserve"> cognitive and non-cognitive skills needed for school success</w:t>
      </w:r>
      <w:r>
        <w:t>.</w:t>
      </w:r>
      <w:r w:rsidRPr="00BA41FA">
        <w:rPr>
          <w:vertAlign w:val="superscript"/>
        </w:rPr>
        <w:endnoteReference w:id="10"/>
      </w:r>
      <w:r w:rsidRPr="00BA41FA">
        <w:t xml:space="preserve"> </w:t>
      </w:r>
      <w:r>
        <w:t>These</w:t>
      </w:r>
      <w:r w:rsidRPr="00BA41FA">
        <w:t xml:space="preserve"> differences predict later academic achievements</w:t>
      </w:r>
      <w:r w:rsidRPr="00BA41FA">
        <w:rPr>
          <w:vertAlign w:val="superscript"/>
        </w:rPr>
        <w:endnoteReference w:id="11"/>
      </w:r>
      <w:r>
        <w:t xml:space="preserve"> and</w:t>
      </w:r>
      <w:r w:rsidR="00FF67D6" w:rsidRPr="00336A43">
        <w:t>,</w:t>
      </w:r>
      <w:r w:rsidR="00A14B4B">
        <w:t xml:space="preserve"> once</w:t>
      </w:r>
      <w:r w:rsidRPr="00BA41FA">
        <w:t xml:space="preserve"> </w:t>
      </w:r>
      <w:r w:rsidR="00FD6932">
        <w:t xml:space="preserve">patterns are </w:t>
      </w:r>
      <w:r>
        <w:t xml:space="preserve">established, </w:t>
      </w:r>
      <w:r w:rsidR="00FD6932">
        <w:t xml:space="preserve">they become </w:t>
      </w:r>
      <w:r>
        <w:t>more difficult and expensive to change.</w:t>
      </w:r>
      <w:r w:rsidR="00F55E9F">
        <w:rPr>
          <w:rStyle w:val="EndnoteReference"/>
        </w:rPr>
        <w:endnoteReference w:id="12"/>
      </w:r>
      <w:r>
        <w:t xml:space="preserve"> </w:t>
      </w:r>
    </w:p>
    <w:tbl>
      <w:tblPr>
        <w:tblStyle w:val="TableGrid"/>
        <w:tblW w:w="0" w:type="auto"/>
        <w:tblLook w:val="04A0" w:firstRow="1" w:lastRow="0" w:firstColumn="1" w:lastColumn="0" w:noHBand="0" w:noVBand="1"/>
      </w:tblPr>
      <w:tblGrid>
        <w:gridCol w:w="9242"/>
      </w:tblGrid>
      <w:tr w:rsidR="008E4B77" w:rsidTr="008E4B77">
        <w:tc>
          <w:tcPr>
            <w:tcW w:w="9242" w:type="dxa"/>
          </w:tcPr>
          <w:p w:rsidR="008E4B77" w:rsidRDefault="008E4B77" w:rsidP="008E4B77">
            <w:pPr>
              <w:rPr>
                <w:b/>
              </w:rPr>
            </w:pPr>
            <w:proofErr w:type="spellStart"/>
            <w:r>
              <w:rPr>
                <w:b/>
              </w:rPr>
              <w:t>KindiLink</w:t>
            </w:r>
            <w:proofErr w:type="spellEnd"/>
            <w:r w:rsidR="00A20C15">
              <w:rPr>
                <w:b/>
              </w:rPr>
              <w:t xml:space="preserve">, </w:t>
            </w:r>
            <w:r w:rsidR="004952BD">
              <w:rPr>
                <w:b/>
              </w:rPr>
              <w:t>Western Australia</w:t>
            </w:r>
          </w:p>
          <w:p w:rsidR="008E4B77" w:rsidRDefault="008E4B77" w:rsidP="008E4B77">
            <w:proofErr w:type="spellStart"/>
            <w:r w:rsidRPr="00487555">
              <w:rPr>
                <w:rFonts w:eastAsiaTheme="majorEastAsia"/>
              </w:rPr>
              <w:t>KindiLink</w:t>
            </w:r>
            <w:proofErr w:type="spellEnd"/>
            <w:r w:rsidRPr="00C2786F">
              <w:rPr>
                <w:sz w:val="18"/>
              </w:rPr>
              <w:t xml:space="preserve"> </w:t>
            </w:r>
            <w:r w:rsidRPr="00C2786F">
              <w:t xml:space="preserve">is a play-and-learn initiative for </w:t>
            </w:r>
            <w:r w:rsidR="00A331CD">
              <w:t>three</w:t>
            </w:r>
            <w:r w:rsidR="00663A8C">
              <w:t xml:space="preserve"> </w:t>
            </w:r>
            <w:r w:rsidR="00A331CD">
              <w:t>year</w:t>
            </w:r>
            <w:r w:rsidR="00663A8C">
              <w:t xml:space="preserve"> </w:t>
            </w:r>
            <w:r w:rsidR="00A331CD">
              <w:t>old</w:t>
            </w:r>
            <w:r w:rsidRPr="00C2786F">
              <w:t xml:space="preserve"> </w:t>
            </w:r>
            <w:r>
              <w:t>Indigenous</w:t>
            </w:r>
            <w:r w:rsidRPr="00C2786F">
              <w:t xml:space="preserve"> children </w:t>
            </w:r>
            <w:r w:rsidR="00FF67D6" w:rsidRPr="00030983">
              <w:t>and their parents</w:t>
            </w:r>
            <w:r w:rsidRPr="00470D18">
              <w:t xml:space="preserve"> </w:t>
            </w:r>
            <w:r w:rsidRPr="00C2786F">
              <w:t xml:space="preserve">in Western </w:t>
            </w:r>
            <w:r>
              <w:t>Australia, operating free of charge at 37 public schools.</w:t>
            </w:r>
            <w:r w:rsidR="003C37BA">
              <w:t xml:space="preserve"> </w:t>
            </w:r>
            <w:r>
              <w:t>The sessions run for a minimum of six hours per week and are planned and conducted jointly by early childhood teachers and Aboriginal and Islander Education Officers.</w:t>
            </w:r>
            <w:r w:rsidR="00B946A2">
              <w:t xml:space="preserve"> </w:t>
            </w:r>
            <w:r>
              <w:t xml:space="preserve">Session activities reflect local contexts, interests, strengths and needs, </w:t>
            </w:r>
            <w:r w:rsidRPr="005E4DC6">
              <w:t>draw</w:t>
            </w:r>
            <w:r w:rsidR="00FF67D6" w:rsidRPr="00315517">
              <w:t>ing</w:t>
            </w:r>
            <w:r>
              <w:t xml:space="preserve"> on Learning Games</w:t>
            </w:r>
            <w:r w:rsidRPr="000F5FA4">
              <w:t>®</w:t>
            </w:r>
            <w:r w:rsidR="00FF67D6" w:rsidRPr="00436B18">
              <w:t xml:space="preserve"> and</w:t>
            </w:r>
            <w:r>
              <w:t xml:space="preserve"> conversational reading</w:t>
            </w:r>
            <w:r w:rsidR="00FF67D6" w:rsidRPr="003A365F">
              <w:t>,</w:t>
            </w:r>
            <w:r>
              <w:t xml:space="preserve"> and have a clear focus on oral language.</w:t>
            </w:r>
            <w:r w:rsidR="00B946A2">
              <w:t xml:space="preserve"> </w:t>
            </w:r>
          </w:p>
          <w:p w:rsidR="008E4B77" w:rsidRDefault="008E4B77" w:rsidP="008E4B77">
            <w:pPr>
              <w:pStyle w:val="ListBullet"/>
              <w:spacing w:before="120"/>
            </w:pPr>
          </w:p>
          <w:p w:rsidR="008E4B77" w:rsidRDefault="008E4B77" w:rsidP="008E4B77">
            <w:pPr>
              <w:pStyle w:val="ListBullet"/>
              <w:spacing w:before="120"/>
            </w:pPr>
            <w:r>
              <w:t xml:space="preserve">The initiative aims </w:t>
            </w:r>
            <w:r w:rsidR="00A84732">
              <w:t xml:space="preserve">to </w:t>
            </w:r>
            <w:r>
              <w:t xml:space="preserve">enhance </w:t>
            </w:r>
            <w:r w:rsidR="00FF67D6" w:rsidRPr="00492CB6">
              <w:t xml:space="preserve">a child’s </w:t>
            </w:r>
            <w:r>
              <w:t>development and learning,</w:t>
            </w:r>
            <w:r w:rsidR="00B946A2">
              <w:t xml:space="preserve"> </w:t>
            </w:r>
            <w:r>
              <w:t>support the confidence and capabilities of</w:t>
            </w:r>
            <w:r w:rsidRPr="003F19D3">
              <w:t xml:space="preserve"> </w:t>
            </w:r>
            <w:r w:rsidR="00FF67D6" w:rsidRPr="004677DC">
              <w:t>their</w:t>
            </w:r>
            <w:r>
              <w:t xml:space="preserve"> parents and positively influence home learning environments. </w:t>
            </w:r>
            <w:proofErr w:type="spellStart"/>
            <w:r>
              <w:t>KindiLink</w:t>
            </w:r>
            <w:proofErr w:type="spellEnd"/>
            <w:r>
              <w:t xml:space="preserve"> also aims to foster productive home-school partnerships and future school attendance, leading into part-time kindergarten at school for 15 hours per week (in the year before schooling) and then full-time schooling.</w:t>
            </w:r>
          </w:p>
          <w:p w:rsidR="008E4B77" w:rsidRDefault="008E4B77" w:rsidP="008E4B77">
            <w:r w:rsidRPr="00AC238B">
              <w:t xml:space="preserve">Source: </w:t>
            </w:r>
            <w:r w:rsidR="00AC238B">
              <w:t xml:space="preserve">Department of Education, </w:t>
            </w:r>
            <w:r w:rsidRPr="00AC238B">
              <w:t>WA</w:t>
            </w:r>
          </w:p>
        </w:tc>
      </w:tr>
    </w:tbl>
    <w:p w:rsidR="00F03B1E" w:rsidRDefault="00F03B1E" w:rsidP="00375FB1"/>
    <w:p w:rsidR="00375FB1" w:rsidRDefault="00375FB1" w:rsidP="00375FB1">
      <w:r>
        <w:t>A child’s brain develops rapidly in the early years, with around 85 to 90 per cent of brain development occurring in the first five years of life.</w:t>
      </w:r>
      <w:r>
        <w:rPr>
          <w:rStyle w:val="EndnoteReference"/>
          <w:rFonts w:cstheme="minorHAnsi"/>
        </w:rPr>
        <w:endnoteReference w:id="13"/>
      </w:r>
      <w:r w:rsidRPr="008F79F1">
        <w:t xml:space="preserve"> </w:t>
      </w:r>
      <w:r>
        <w:t>A child’s environment</w:t>
      </w:r>
      <w:r w:rsidR="00725329">
        <w:t>,</w:t>
      </w:r>
      <w:r>
        <w:t xml:space="preserve"> experiences </w:t>
      </w:r>
      <w:r w:rsidR="00725329">
        <w:t xml:space="preserve">and relationships </w:t>
      </w:r>
      <w:r>
        <w:t>in the first 1</w:t>
      </w:r>
      <w:r w:rsidR="00C21C11">
        <w:t>,</w:t>
      </w:r>
      <w:r>
        <w:t>000 days (from conception to age two) are particularly significant for brain development.</w:t>
      </w:r>
      <w:r>
        <w:rPr>
          <w:rStyle w:val="EndnoteReference"/>
        </w:rPr>
        <w:endnoteReference w:id="14"/>
      </w:r>
    </w:p>
    <w:p w:rsidR="00375FB1" w:rsidRDefault="00375FB1" w:rsidP="00375FB1">
      <w:r>
        <w:t>During the early years, children develop key skills required for posi</w:t>
      </w:r>
      <w:r w:rsidR="00B66F6D">
        <w:t>tive learning and life outcomes,</w:t>
      </w:r>
      <w:r>
        <w:t xml:space="preserve"> such as skills to solve problems, think, communicate, control their emotions and form relationships.</w:t>
      </w:r>
      <w:r>
        <w:rPr>
          <w:rStyle w:val="EndnoteReference"/>
          <w:rFonts w:cstheme="minorHAnsi"/>
        </w:rPr>
        <w:endnoteReference w:id="15"/>
      </w:r>
      <w:r w:rsidR="0094711A">
        <w:rPr>
          <w:vertAlign w:val="superscript"/>
        </w:rPr>
        <w:t xml:space="preserve"> </w:t>
      </w:r>
      <w:r>
        <w:t>In particular, self-regulation skills enable children to control their behaviour, emotion and thinking</w:t>
      </w:r>
      <w:r w:rsidR="00F55E9F">
        <w:rPr>
          <w:rStyle w:val="EndnoteReference"/>
        </w:rPr>
        <w:endnoteReference w:id="16"/>
      </w:r>
      <w:r>
        <w:t xml:space="preserve"> so that they can focus attention,</w:t>
      </w:r>
      <w:r w:rsidRPr="00E35FA3">
        <w:t xml:space="preserve"> </w:t>
      </w:r>
      <w:r>
        <w:t>be enthusiastic learners, persist in completing tasks, and work in teams as well as independently</w:t>
      </w:r>
      <w:r w:rsidR="00B21765">
        <w:t>.</w:t>
      </w:r>
      <w:r>
        <w:t xml:space="preserve"> </w:t>
      </w:r>
      <w:r w:rsidR="0085213A">
        <w:t>A key period in the development of s</w:t>
      </w:r>
      <w:r>
        <w:t xml:space="preserve">elf-regulation </w:t>
      </w:r>
      <w:r w:rsidR="0085213A">
        <w:t>is</w:t>
      </w:r>
      <w:r>
        <w:t xml:space="preserve"> between the ages of 3-5</w:t>
      </w:r>
      <w:r w:rsidR="0085213A">
        <w:t xml:space="preserve"> as children expand their social world outside the family. F</w:t>
      </w:r>
      <w:r>
        <w:t>ocussed interventions during this period support their healthy development.</w:t>
      </w:r>
      <w:r w:rsidR="009C4BA4">
        <w:rPr>
          <w:rStyle w:val="EndnoteReference"/>
        </w:rPr>
        <w:endnoteReference w:id="17"/>
      </w:r>
      <w:r>
        <w:t xml:space="preserve"> </w:t>
      </w:r>
    </w:p>
    <w:p w:rsidR="00375FB1" w:rsidRDefault="00375FB1" w:rsidP="00375FB1">
      <w:pPr>
        <w:rPr>
          <w:rFonts w:cs="Open Sans"/>
          <w:color w:val="000000"/>
        </w:rPr>
      </w:pPr>
      <w:r>
        <w:rPr>
          <w:rStyle w:val="A7"/>
          <w:rFonts w:cstheme="minorHAnsi"/>
          <w:sz w:val="22"/>
          <w:szCs w:val="22"/>
        </w:rPr>
        <w:t>Social</w:t>
      </w:r>
      <w:r w:rsidRPr="00DC66BF">
        <w:rPr>
          <w:rStyle w:val="A7"/>
          <w:rFonts w:cstheme="minorHAnsi"/>
          <w:sz w:val="22"/>
          <w:szCs w:val="22"/>
        </w:rPr>
        <w:t xml:space="preserve"> and emotional skills </w:t>
      </w:r>
      <w:r>
        <w:rPr>
          <w:rStyle w:val="A7"/>
          <w:rFonts w:cstheme="minorHAnsi"/>
          <w:sz w:val="22"/>
          <w:szCs w:val="22"/>
        </w:rPr>
        <w:t xml:space="preserve">are critical to enable children to thrive in the future economy. </w:t>
      </w:r>
      <w:r w:rsidRPr="00C2405C">
        <w:rPr>
          <w:rFonts w:cs="Helv"/>
          <w:color w:val="000000"/>
        </w:rPr>
        <w:t xml:space="preserve">While </w:t>
      </w:r>
      <w:r w:rsidR="00D5515C">
        <w:rPr>
          <w:rFonts w:cs="Helv"/>
          <w:color w:val="000000"/>
        </w:rPr>
        <w:t xml:space="preserve">it is difficult to predict the </w:t>
      </w:r>
      <w:r w:rsidRPr="00C2405C">
        <w:rPr>
          <w:rFonts w:cs="Helv"/>
          <w:color w:val="000000"/>
        </w:rPr>
        <w:t xml:space="preserve">jobs </w:t>
      </w:r>
      <w:r>
        <w:rPr>
          <w:rFonts w:cs="Helv"/>
          <w:color w:val="000000"/>
        </w:rPr>
        <w:t xml:space="preserve">that </w:t>
      </w:r>
      <w:r w:rsidRPr="00C2405C">
        <w:rPr>
          <w:rFonts w:cs="Helv"/>
          <w:color w:val="000000"/>
        </w:rPr>
        <w:t xml:space="preserve">children will undertake in the future, it is clear that the nature of work is changing with </w:t>
      </w:r>
      <w:r>
        <w:rPr>
          <w:rFonts w:cs="Helv"/>
          <w:color w:val="000000"/>
        </w:rPr>
        <w:t>increased</w:t>
      </w:r>
      <w:r w:rsidRPr="00C2405C">
        <w:rPr>
          <w:rFonts w:cs="Helv"/>
          <w:color w:val="000000"/>
        </w:rPr>
        <w:t xml:space="preserve"> automation and </w:t>
      </w:r>
      <w:r>
        <w:rPr>
          <w:rFonts w:cs="Helv"/>
          <w:color w:val="000000"/>
        </w:rPr>
        <w:t xml:space="preserve">global interconnectedness. </w:t>
      </w:r>
      <w:r w:rsidRPr="00C2405C">
        <w:rPr>
          <w:rFonts w:cs="Helv"/>
          <w:color w:val="000000"/>
        </w:rPr>
        <w:t>The Foundation for Young Australians predicts that in 2030, workers will spend 100 per cent more time solving problems, 77 per cent more time using science and maths skills and 17 per cent more time using verbal communi</w:t>
      </w:r>
      <w:r>
        <w:rPr>
          <w:rFonts w:cs="Helv"/>
          <w:color w:val="000000"/>
        </w:rPr>
        <w:t>cation and interpersonal skills.</w:t>
      </w:r>
      <w:r w:rsidRPr="00C2405C">
        <w:rPr>
          <w:rStyle w:val="EndnoteReference"/>
          <w:rFonts w:cs="Helv"/>
          <w:color w:val="000000"/>
        </w:rPr>
        <w:endnoteReference w:id="18"/>
      </w:r>
      <w:r>
        <w:rPr>
          <w:rFonts w:cs="Helv"/>
          <w:color w:val="000000"/>
        </w:rPr>
        <w:t xml:space="preserve"> </w:t>
      </w:r>
      <w:r>
        <w:rPr>
          <w:rFonts w:cs="Open Sans"/>
          <w:color w:val="000000"/>
        </w:rPr>
        <w:t>In order</w:t>
      </w:r>
      <w:r w:rsidRPr="00663870">
        <w:rPr>
          <w:rFonts w:cs="Open Sans"/>
          <w:color w:val="000000"/>
        </w:rPr>
        <w:t xml:space="preserve"> to thrive in </w:t>
      </w:r>
      <w:r>
        <w:rPr>
          <w:rFonts w:cs="Open Sans"/>
          <w:color w:val="000000"/>
        </w:rPr>
        <w:t>the</w:t>
      </w:r>
      <w:r w:rsidRPr="00663870">
        <w:rPr>
          <w:rFonts w:cs="Open Sans"/>
          <w:color w:val="000000"/>
        </w:rPr>
        <w:t xml:space="preserve"> workplaces</w:t>
      </w:r>
      <w:r>
        <w:rPr>
          <w:rFonts w:cs="Open Sans"/>
          <w:color w:val="000000"/>
        </w:rPr>
        <w:t xml:space="preserve"> of the future</w:t>
      </w:r>
      <w:r w:rsidRPr="00663870">
        <w:rPr>
          <w:rFonts w:cs="Open Sans"/>
          <w:color w:val="000000"/>
        </w:rPr>
        <w:t xml:space="preserve">, </w:t>
      </w:r>
      <w:r>
        <w:rPr>
          <w:rFonts w:cs="Open Sans"/>
          <w:color w:val="000000"/>
        </w:rPr>
        <w:t>today’s children</w:t>
      </w:r>
      <w:r w:rsidRPr="00663870">
        <w:rPr>
          <w:rFonts w:cs="Open Sans"/>
          <w:color w:val="000000"/>
        </w:rPr>
        <w:t xml:space="preserve"> will need to develop </w:t>
      </w:r>
      <w:r>
        <w:rPr>
          <w:rFonts w:cs="Open Sans"/>
          <w:color w:val="000000"/>
        </w:rPr>
        <w:t>high level</w:t>
      </w:r>
      <w:r w:rsidRPr="00663870">
        <w:rPr>
          <w:rFonts w:cs="Open Sans"/>
          <w:color w:val="000000"/>
        </w:rPr>
        <w:t xml:space="preserve"> cognitive and emotional skills, </w:t>
      </w:r>
      <w:r>
        <w:rPr>
          <w:rFonts w:cs="Open Sans"/>
          <w:color w:val="000000"/>
        </w:rPr>
        <w:t>as well as</w:t>
      </w:r>
      <w:r w:rsidRPr="00663870">
        <w:rPr>
          <w:rFonts w:cs="Open Sans"/>
          <w:color w:val="000000"/>
        </w:rPr>
        <w:t xml:space="preserve"> the </w:t>
      </w:r>
      <w:r>
        <w:rPr>
          <w:rFonts w:cs="Open Sans"/>
          <w:color w:val="000000"/>
        </w:rPr>
        <w:t>ability</w:t>
      </w:r>
      <w:r w:rsidRPr="00663870">
        <w:rPr>
          <w:rFonts w:cs="Open Sans"/>
          <w:color w:val="000000"/>
        </w:rPr>
        <w:t xml:space="preserve"> to deploy </w:t>
      </w:r>
      <w:r>
        <w:rPr>
          <w:rFonts w:cs="Open Sans"/>
          <w:color w:val="000000"/>
        </w:rPr>
        <w:t>these</w:t>
      </w:r>
      <w:r w:rsidRPr="00663870">
        <w:rPr>
          <w:rFonts w:cs="Open Sans"/>
          <w:color w:val="000000"/>
        </w:rPr>
        <w:t xml:space="preserve"> skills in an enterprising way</w:t>
      </w:r>
      <w:r>
        <w:rPr>
          <w:rFonts w:cs="Open Sans"/>
          <w:color w:val="000000"/>
        </w:rPr>
        <w:t>. They will need to be</w:t>
      </w:r>
      <w:r w:rsidRPr="00663870">
        <w:rPr>
          <w:rFonts w:cs="Open Sans"/>
          <w:color w:val="000000"/>
        </w:rPr>
        <w:t xml:space="preserve"> active problem solvers and communicators of ideas, with a</w:t>
      </w:r>
      <w:r>
        <w:rPr>
          <w:rFonts w:cs="Open Sans"/>
          <w:color w:val="000000"/>
        </w:rPr>
        <w:t>n appetite for ongoing learning</w:t>
      </w:r>
      <w:r w:rsidR="00B21765">
        <w:rPr>
          <w:rFonts w:cs="Open Sans"/>
          <w:color w:val="000000"/>
        </w:rPr>
        <w:t>.</w:t>
      </w:r>
      <w:r w:rsidRPr="00663870">
        <w:rPr>
          <w:rStyle w:val="EndnoteReference"/>
          <w:rFonts w:cs="Helv"/>
          <w:color w:val="000000"/>
        </w:rPr>
        <w:endnoteReference w:id="19"/>
      </w:r>
    </w:p>
    <w:p w:rsidR="00375FB1" w:rsidRPr="00863219" w:rsidRDefault="00375FB1" w:rsidP="00375FB1">
      <w:r>
        <w:t xml:space="preserve">Early childhood education helps children to develop these key skills, in an </w:t>
      </w:r>
      <w:r w:rsidR="00FF67D6" w:rsidRPr="003C30CF">
        <w:t>environment that</w:t>
      </w:r>
      <w:r>
        <w:t xml:space="preserve"> focuses specifically on </w:t>
      </w:r>
      <w:r w:rsidR="00B66F6D">
        <w:t xml:space="preserve">them as </w:t>
      </w:r>
      <w:r>
        <w:t>children, bringing together their present and future needs.</w:t>
      </w:r>
      <w:r w:rsidR="00452B77">
        <w:t xml:space="preserve"> Collaboration between parents, communities and early childhood professionals </w:t>
      </w:r>
      <w:r w:rsidR="00657C1E">
        <w:t xml:space="preserve">ensures </w:t>
      </w:r>
      <w:r w:rsidR="00452B77">
        <w:t xml:space="preserve">optimal </w:t>
      </w:r>
      <w:r w:rsidR="00657C1E">
        <w:t xml:space="preserve">opportunities are available </w:t>
      </w:r>
      <w:r w:rsidR="00452B77">
        <w:t>for enhancing children’s development in this formative stage of life.</w:t>
      </w:r>
      <w:r w:rsidR="00452B77">
        <w:rPr>
          <w:rStyle w:val="EndnoteReference"/>
        </w:rPr>
        <w:endnoteReference w:id="20"/>
      </w:r>
    </w:p>
    <w:p w:rsidR="00375FB1" w:rsidRDefault="00375FB1" w:rsidP="00375FB1">
      <w:pPr>
        <w:rPr>
          <w:b/>
          <w:color w:val="000000" w:themeColor="text1"/>
        </w:rPr>
      </w:pPr>
      <w:r>
        <w:rPr>
          <w:rFonts w:ascii="Calibri" w:hAnsi="Calibri" w:cs="Calibri"/>
          <w:color w:val="000000"/>
        </w:rPr>
        <w:t>The early years provide a key window of opportunity to support children to develop the foundations of cognitive, creative,</w:t>
      </w:r>
      <w:r w:rsidR="00FF67D6" w:rsidRPr="00A33316">
        <w:rPr>
          <w:rFonts w:ascii="Calibri" w:hAnsi="Calibri" w:cs="Calibri"/>
          <w:color w:val="000000"/>
        </w:rPr>
        <w:t xml:space="preserve"> </w:t>
      </w:r>
      <w:r>
        <w:rPr>
          <w:rFonts w:ascii="Calibri" w:hAnsi="Calibri" w:cs="Calibri"/>
          <w:color w:val="000000"/>
        </w:rPr>
        <w:t>emotional, literacy and language skills that they will need for future success in education, work and life.</w:t>
      </w:r>
      <w:r w:rsidR="00F55E9F">
        <w:rPr>
          <w:rStyle w:val="EndnoteReference"/>
          <w:rFonts w:ascii="Calibri" w:hAnsi="Calibri" w:cs="Calibri"/>
          <w:color w:val="000000"/>
        </w:rPr>
        <w:endnoteReference w:id="21"/>
      </w:r>
      <w:r>
        <w:rPr>
          <w:rFonts w:ascii="Calibri" w:hAnsi="Calibri" w:cs="Calibri"/>
          <w:color w:val="000000"/>
        </w:rPr>
        <w:t xml:space="preserve"> Early years science</w:t>
      </w:r>
      <w:r w:rsidR="00B66F6D">
        <w:rPr>
          <w:rFonts w:ascii="Calibri" w:hAnsi="Calibri" w:cs="Calibri"/>
          <w:color w:val="000000"/>
        </w:rPr>
        <w:t>,</w:t>
      </w:r>
      <w:r>
        <w:rPr>
          <w:rFonts w:ascii="Calibri" w:hAnsi="Calibri" w:cs="Calibri"/>
          <w:color w:val="000000"/>
        </w:rPr>
        <w:t xml:space="preserve"> technology</w:t>
      </w:r>
      <w:r w:rsidR="00B66F6D">
        <w:rPr>
          <w:rFonts w:ascii="Calibri" w:hAnsi="Calibri" w:cs="Calibri"/>
          <w:color w:val="000000"/>
        </w:rPr>
        <w:t>,</w:t>
      </w:r>
      <w:r>
        <w:rPr>
          <w:rFonts w:ascii="Calibri" w:hAnsi="Calibri" w:cs="Calibri"/>
          <w:color w:val="000000"/>
        </w:rPr>
        <w:t xml:space="preserve"> engineering and mathematics</w:t>
      </w:r>
      <w:r w:rsidRPr="00663870">
        <w:rPr>
          <w:rFonts w:ascii="Calibri" w:hAnsi="Calibri" w:cs="Calibri"/>
          <w:color w:val="000000"/>
        </w:rPr>
        <w:t xml:space="preserve"> education builds </w:t>
      </w:r>
      <w:r w:rsidR="00FF67D6" w:rsidRPr="00470D18">
        <w:rPr>
          <w:rFonts w:ascii="Calibri" w:hAnsi="Calibri" w:cs="Calibri"/>
          <w:color w:val="000000"/>
        </w:rPr>
        <w:t>up</w:t>
      </w:r>
      <w:r w:rsidRPr="00FC0EC5">
        <w:rPr>
          <w:rFonts w:ascii="Calibri" w:hAnsi="Calibri" w:cs="Calibri"/>
          <w:color w:val="000000"/>
        </w:rPr>
        <w:t>on</w:t>
      </w:r>
      <w:r w:rsidRPr="00663870">
        <w:rPr>
          <w:rFonts w:ascii="Calibri" w:hAnsi="Calibri" w:cs="Calibri"/>
          <w:color w:val="000000"/>
        </w:rPr>
        <w:t xml:space="preserve"> </w:t>
      </w:r>
      <w:r w:rsidR="00FF67D6" w:rsidRPr="004475BD">
        <w:rPr>
          <w:rFonts w:ascii="Calibri" w:hAnsi="Calibri" w:cs="Calibri"/>
          <w:color w:val="000000"/>
        </w:rPr>
        <w:t>the child’s</w:t>
      </w:r>
      <w:r w:rsidRPr="00663870">
        <w:rPr>
          <w:rFonts w:ascii="Calibri" w:hAnsi="Calibri" w:cs="Calibri"/>
          <w:color w:val="000000"/>
        </w:rPr>
        <w:t xml:space="preserve"> natural curiosity and sense of enquiry about the world</w:t>
      </w:r>
      <w:r>
        <w:rPr>
          <w:rFonts w:ascii="Calibri" w:hAnsi="Calibri" w:cs="Calibri"/>
          <w:color w:val="000000"/>
        </w:rPr>
        <w:t>, promotes positive experience</w:t>
      </w:r>
      <w:r w:rsidR="00725329">
        <w:rPr>
          <w:rFonts w:ascii="Calibri" w:hAnsi="Calibri" w:cs="Calibri"/>
          <w:color w:val="000000"/>
        </w:rPr>
        <w:t>s</w:t>
      </w:r>
      <w:r>
        <w:rPr>
          <w:rFonts w:ascii="Calibri" w:hAnsi="Calibri" w:cs="Calibri"/>
          <w:color w:val="000000"/>
        </w:rPr>
        <w:t xml:space="preserve"> in science</w:t>
      </w:r>
      <w:r w:rsidR="00657C1E">
        <w:rPr>
          <w:rFonts w:ascii="Calibri" w:hAnsi="Calibri" w:cs="Calibri"/>
          <w:color w:val="000000"/>
        </w:rPr>
        <w:t>,</w:t>
      </w:r>
      <w:r>
        <w:rPr>
          <w:rFonts w:ascii="Calibri" w:hAnsi="Calibri" w:cs="Calibri"/>
          <w:color w:val="000000"/>
        </w:rPr>
        <w:t xml:space="preserve"> mathematics</w:t>
      </w:r>
      <w:r w:rsidR="00657C1E">
        <w:rPr>
          <w:rFonts w:ascii="Calibri" w:hAnsi="Calibri" w:cs="Calibri"/>
          <w:color w:val="000000"/>
        </w:rPr>
        <w:t xml:space="preserve"> and technology</w:t>
      </w:r>
      <w:r>
        <w:rPr>
          <w:rFonts w:ascii="Calibri" w:hAnsi="Calibri" w:cs="Calibri"/>
          <w:color w:val="000000"/>
        </w:rPr>
        <w:t xml:space="preserve">, and lays </w:t>
      </w:r>
      <w:r w:rsidRPr="00663870">
        <w:rPr>
          <w:rFonts w:ascii="Calibri" w:hAnsi="Calibri" w:cs="Calibri"/>
          <w:color w:val="000000"/>
        </w:rPr>
        <w:t xml:space="preserve">strong foundations </w:t>
      </w:r>
      <w:r>
        <w:rPr>
          <w:rFonts w:ascii="Calibri" w:hAnsi="Calibri" w:cs="Calibri"/>
          <w:color w:val="000000"/>
        </w:rPr>
        <w:t>in critical skills</w:t>
      </w:r>
      <w:r w:rsidR="0094711A">
        <w:rPr>
          <w:rFonts w:ascii="Calibri" w:hAnsi="Calibri" w:cs="Calibri"/>
          <w:color w:val="000000"/>
        </w:rPr>
        <w:t>.</w:t>
      </w:r>
      <w:r>
        <w:rPr>
          <w:rStyle w:val="EndnoteReference"/>
          <w:rFonts w:ascii="Calibri" w:hAnsi="Calibri" w:cs="Calibri"/>
          <w:color w:val="000000"/>
        </w:rPr>
        <w:endnoteReference w:id="22"/>
      </w:r>
      <w:r w:rsidRPr="00663870">
        <w:rPr>
          <w:rFonts w:ascii="Calibri" w:hAnsi="Calibri" w:cs="Calibri"/>
          <w:color w:val="000000"/>
        </w:rPr>
        <w:t xml:space="preserve"> </w:t>
      </w:r>
    </w:p>
    <w:p w:rsidR="00375FB1" w:rsidRPr="000C297E" w:rsidRDefault="00BB1920" w:rsidP="00375FB1">
      <w:pPr>
        <w:rPr>
          <w:b/>
          <w:color w:val="000000" w:themeColor="text1"/>
        </w:rPr>
      </w:pPr>
      <w:r>
        <w:rPr>
          <w:b/>
          <w:color w:val="000000" w:themeColor="text1"/>
        </w:rPr>
        <w:t xml:space="preserve">Chart 1: </w:t>
      </w:r>
      <w:r w:rsidR="00375FB1" w:rsidRPr="000C297E">
        <w:rPr>
          <w:b/>
          <w:color w:val="000000" w:themeColor="text1"/>
        </w:rPr>
        <w:t>Sensitive periods in early brain development</w:t>
      </w:r>
    </w:p>
    <w:p w:rsidR="00375FB1" w:rsidRDefault="00783230" w:rsidP="00375FB1">
      <w:pPr>
        <w:rPr>
          <w:rFonts w:ascii="Arial" w:hAnsi="Arial" w:cs="Arial"/>
          <w:b/>
          <w:bCs/>
          <w:i/>
          <w:iCs/>
          <w:color w:val="000000"/>
          <w:sz w:val="18"/>
          <w:szCs w:val="18"/>
        </w:rPr>
      </w:pPr>
      <w:r>
        <w:rPr>
          <w:noProof/>
          <w:lang w:eastAsia="en-AU"/>
        </w:rPr>
        <w:drawing>
          <wp:inline distT="0" distB="0" distL="0" distR="0" wp14:anchorId="5052AF69" wp14:editId="0F2029D0">
            <wp:extent cx="2452495" cy="1176473"/>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52495" cy="1176473"/>
                    </a:xfrm>
                    <a:prstGeom prst="rect">
                      <a:avLst/>
                    </a:prstGeom>
                  </pic:spPr>
                </pic:pic>
              </a:graphicData>
            </a:graphic>
          </wp:inline>
        </w:drawing>
      </w:r>
      <w:r w:rsidR="00375FB1" w:rsidRPr="000C297E">
        <w:rPr>
          <w:rFonts w:ascii="Arial" w:hAnsi="Arial" w:cs="Arial"/>
          <w:b/>
          <w:bCs/>
          <w:i/>
          <w:iCs/>
          <w:color w:val="000000"/>
          <w:sz w:val="18"/>
          <w:szCs w:val="18"/>
        </w:rPr>
        <w:t xml:space="preserve"> </w:t>
      </w:r>
    </w:p>
    <w:p w:rsidR="00656801" w:rsidRDefault="00375FB1" w:rsidP="00375FB1">
      <w:pPr>
        <w:rPr>
          <w:rFonts w:ascii="Arial" w:eastAsia="Times New Roman" w:hAnsi="Arial" w:cs="Arial"/>
          <w:color w:val="000000"/>
          <w:sz w:val="16"/>
          <w:szCs w:val="16"/>
          <w:lang w:eastAsia="en-AU"/>
        </w:rPr>
      </w:pPr>
      <w:r w:rsidRPr="00A516DA">
        <w:rPr>
          <w:rFonts w:ascii="Calibri" w:eastAsia="Times New Roman" w:hAnsi="Calibri" w:cs="Arial"/>
          <w:b/>
          <w:bCs/>
          <w:i/>
          <w:iCs/>
          <w:color w:val="000000"/>
          <w:sz w:val="16"/>
          <w:szCs w:val="16"/>
          <w:lang w:eastAsia="en-AU"/>
        </w:rPr>
        <w:t>Source</w:t>
      </w:r>
      <w:r w:rsidRPr="00A516DA">
        <w:rPr>
          <w:rFonts w:ascii="Calibri" w:eastAsia="Times New Roman" w:hAnsi="Calibri" w:cs="Arial"/>
          <w:b/>
          <w:bCs/>
          <w:color w:val="000000"/>
          <w:sz w:val="16"/>
          <w:szCs w:val="16"/>
          <w:lang w:eastAsia="en-AU"/>
        </w:rPr>
        <w:t xml:space="preserve">: </w:t>
      </w:r>
      <w:r w:rsidRPr="00A516DA">
        <w:rPr>
          <w:rFonts w:ascii="Calibri" w:eastAsia="Times New Roman" w:hAnsi="Calibri" w:cs="Arial"/>
          <w:color w:val="000000"/>
          <w:sz w:val="16"/>
          <w:szCs w:val="16"/>
          <w:lang w:eastAsia="en-AU"/>
        </w:rPr>
        <w:t>Adapted from Council for Early Childhood Development (2010)</w:t>
      </w:r>
      <w:r w:rsidR="009E1C04">
        <w:rPr>
          <w:rStyle w:val="EndnoteReference"/>
          <w:rFonts w:ascii="Calibri" w:eastAsia="Times New Roman" w:hAnsi="Calibri" w:cs="Arial"/>
          <w:color w:val="000000"/>
          <w:sz w:val="16"/>
          <w:szCs w:val="16"/>
          <w:lang w:eastAsia="en-AU"/>
        </w:rPr>
        <w:endnoteReference w:id="23"/>
      </w:r>
      <w:r w:rsidRPr="000C297E">
        <w:rPr>
          <w:rFonts w:ascii="Arial" w:eastAsia="Times New Roman" w:hAnsi="Arial" w:cs="Arial"/>
          <w:color w:val="000000"/>
          <w:sz w:val="16"/>
          <w:szCs w:val="16"/>
          <w:lang w:eastAsia="en-AU"/>
        </w:rPr>
        <w:t xml:space="preserve"> </w:t>
      </w:r>
    </w:p>
    <w:p w:rsidR="00375FB1" w:rsidRDefault="00375FB1" w:rsidP="00375FB1">
      <w:r w:rsidRPr="009A76CD">
        <w:rPr>
          <w:i/>
        </w:rPr>
        <w:t>Factors influencing development and life outcomes</w:t>
      </w:r>
    </w:p>
    <w:p w:rsidR="00375FB1" w:rsidRDefault="00375FB1" w:rsidP="00827ED9">
      <w:pPr>
        <w:rPr>
          <w:rFonts w:cstheme="minorHAnsi"/>
        </w:rPr>
      </w:pPr>
      <w:r>
        <w:rPr>
          <w:rFonts w:cstheme="minorHAnsi"/>
        </w:rPr>
        <w:t>T</w:t>
      </w:r>
      <w:r w:rsidRPr="00CD0555">
        <w:rPr>
          <w:rFonts w:cstheme="minorHAnsi"/>
        </w:rPr>
        <w:t>he first 1</w:t>
      </w:r>
      <w:r w:rsidR="00C21C11">
        <w:rPr>
          <w:rFonts w:cstheme="minorHAnsi"/>
        </w:rPr>
        <w:t>,</w:t>
      </w:r>
      <w:r w:rsidRPr="00CD0555">
        <w:rPr>
          <w:rFonts w:cstheme="minorHAnsi"/>
        </w:rPr>
        <w:t>000 days</w:t>
      </w:r>
      <w:r>
        <w:rPr>
          <w:rFonts w:cstheme="minorHAnsi"/>
        </w:rPr>
        <w:t xml:space="preserve"> of life are the period in which</w:t>
      </w:r>
      <w:r w:rsidRPr="00CD0555">
        <w:rPr>
          <w:rFonts w:cstheme="minorHAnsi"/>
        </w:rPr>
        <w:t xml:space="preserve"> </w:t>
      </w:r>
      <w:r>
        <w:rPr>
          <w:rFonts w:cstheme="minorHAnsi"/>
        </w:rPr>
        <w:t xml:space="preserve">children are </w:t>
      </w:r>
      <w:r w:rsidRPr="00CD0555">
        <w:rPr>
          <w:rFonts w:cstheme="minorHAnsi"/>
        </w:rPr>
        <w:t>at their most adaptable, but also their most vulnerable</w:t>
      </w:r>
      <w:r w:rsidR="00B21765">
        <w:rPr>
          <w:rFonts w:cstheme="minorHAnsi"/>
        </w:rPr>
        <w:t>.</w:t>
      </w:r>
      <w:r>
        <w:rPr>
          <w:rStyle w:val="EndnoteReference"/>
          <w:rFonts w:cstheme="minorHAnsi"/>
        </w:rPr>
        <w:endnoteReference w:id="24"/>
      </w:r>
      <w:r>
        <w:rPr>
          <w:rFonts w:cstheme="minorHAnsi"/>
        </w:rPr>
        <w:t xml:space="preserve"> The external stressors experienced by a mother can be transferred to a child in utero, and the social circumstances of the family can directly influence the child’s long-term health and wellbeing. C</w:t>
      </w:r>
      <w:r w:rsidRPr="00441AB2">
        <w:rPr>
          <w:rFonts w:cstheme="minorHAnsi"/>
        </w:rPr>
        <w:t>hildren born into poverty, with mental health problems, affected by homelessness</w:t>
      </w:r>
      <w:r>
        <w:rPr>
          <w:rFonts w:cstheme="minorHAnsi"/>
        </w:rPr>
        <w:t xml:space="preserve"> or abuse and neglect are at a higher risk of poor developmental outcomes.</w:t>
      </w:r>
      <w:r w:rsidRPr="00441AB2">
        <w:rPr>
          <w:rFonts w:cstheme="minorHAnsi"/>
        </w:rPr>
        <w:t xml:space="preserve"> </w:t>
      </w:r>
    </w:p>
    <w:tbl>
      <w:tblPr>
        <w:tblStyle w:val="TableGrid"/>
        <w:tblW w:w="0" w:type="auto"/>
        <w:tblLook w:val="04A0" w:firstRow="1" w:lastRow="0" w:firstColumn="1" w:lastColumn="0" w:noHBand="0" w:noVBand="1"/>
      </w:tblPr>
      <w:tblGrid>
        <w:gridCol w:w="9242"/>
      </w:tblGrid>
      <w:tr w:rsidR="00531ED1" w:rsidTr="00531ED1">
        <w:tc>
          <w:tcPr>
            <w:tcW w:w="9242" w:type="dxa"/>
          </w:tcPr>
          <w:p w:rsidR="00531ED1" w:rsidRDefault="00531ED1" w:rsidP="00531ED1">
            <w:r>
              <w:t>The First Thousand Days – An Evidence Paper</w:t>
            </w:r>
          </w:p>
          <w:p w:rsidR="00C22445" w:rsidRDefault="00C22445" w:rsidP="00531ED1">
            <w:pPr>
              <w:rPr>
                <w:i/>
              </w:rPr>
            </w:pPr>
          </w:p>
          <w:p w:rsidR="00C22445" w:rsidRDefault="00531ED1" w:rsidP="00531ED1">
            <w:r w:rsidRPr="00A572E4">
              <w:rPr>
                <w:i/>
              </w:rPr>
              <w:t xml:space="preserve">The First </w:t>
            </w:r>
            <w:r>
              <w:rPr>
                <w:i/>
              </w:rPr>
              <w:t>Thousand</w:t>
            </w:r>
            <w:r w:rsidRPr="00A572E4">
              <w:rPr>
                <w:i/>
              </w:rPr>
              <w:t xml:space="preserve"> Days – An </w:t>
            </w:r>
            <w:r>
              <w:rPr>
                <w:i/>
              </w:rPr>
              <w:t xml:space="preserve">Evidence Paper, </w:t>
            </w:r>
            <w:r>
              <w:t>published by the Centre for Community Child Health in 2017, provides a compelling and comprehensive summary of the significance of the first 1</w:t>
            </w:r>
            <w:r w:rsidR="00C21C11">
              <w:t>,</w:t>
            </w:r>
            <w:r>
              <w:t>000 days</w:t>
            </w:r>
            <w:r w:rsidRPr="008E688A">
              <w:t>.</w:t>
            </w:r>
            <w:r w:rsidR="00C22445">
              <w:t xml:space="preserve"> </w:t>
            </w:r>
            <w:r>
              <w:t xml:space="preserve">It finds there are multiple influences on children’s development from conception to age two, including the family, community and broader society. </w:t>
            </w:r>
          </w:p>
          <w:p w:rsidR="0007159A" w:rsidRDefault="0007159A" w:rsidP="0007159A"/>
          <w:p w:rsidR="0007159A" w:rsidRPr="0007159A" w:rsidRDefault="0007159A" w:rsidP="0007159A">
            <w:r w:rsidRPr="0007159A">
              <w:t xml:space="preserve">Parents and the home </w:t>
            </w:r>
            <w:r w:rsidR="00A605F1" w:rsidRPr="0007159A">
              <w:t>environment</w:t>
            </w:r>
            <w:r w:rsidRPr="0007159A">
              <w:t xml:space="preserve"> affect a child’s development, health and wellbeing. Early adverse experiences lead the brain to place emphasis on developing neuronal pathways associated with survival, ahead of those that are essential to future learning and growth. What happens in the first 1</w:t>
            </w:r>
            <w:r w:rsidR="00C21C11">
              <w:t>,</w:t>
            </w:r>
            <w:r w:rsidRPr="0007159A">
              <w:t>000 days can continue to affect the individual over their life. Adult health conditions like coronary heart disease, stroke, diabetes and cancer are often linked to pathways that originated during the first 1</w:t>
            </w:r>
            <w:r w:rsidR="00C21C11">
              <w:t>,</w:t>
            </w:r>
            <w:r w:rsidRPr="0007159A">
              <w:t>000 days.</w:t>
            </w:r>
          </w:p>
          <w:p w:rsidR="0007159A" w:rsidRPr="0007159A" w:rsidRDefault="0007159A" w:rsidP="0007159A"/>
          <w:p w:rsidR="00531ED1" w:rsidRDefault="0007159A" w:rsidP="00531ED1">
            <w:r w:rsidRPr="0007159A">
              <w:t xml:space="preserve">The paper illustrates that as </w:t>
            </w:r>
            <w:r w:rsidR="007930D3" w:rsidRPr="00392FCE">
              <w:t>a child grows</w:t>
            </w:r>
            <w:r w:rsidRPr="0007159A">
              <w:t xml:space="preserve">, </w:t>
            </w:r>
            <w:r w:rsidR="007930D3" w:rsidRPr="003F0B40">
              <w:t>his or her</w:t>
            </w:r>
            <w:r w:rsidRPr="0007159A">
              <w:t xml:space="preserve"> ability to alter and change to make up for negative experiences and environments in the first 1</w:t>
            </w:r>
            <w:r w:rsidR="00C21C11">
              <w:t>,</w:t>
            </w:r>
            <w:r w:rsidRPr="0007159A">
              <w:t>000 days becomes more difficult. While it is never too late to make changes, the first 1</w:t>
            </w:r>
            <w:r w:rsidR="00C21C11">
              <w:t>,</w:t>
            </w:r>
            <w:r w:rsidRPr="0007159A">
              <w:t xml:space="preserve">000 </w:t>
            </w:r>
            <w:r w:rsidR="00A605F1" w:rsidRPr="0007159A">
              <w:t>days are</w:t>
            </w:r>
            <w:r w:rsidRPr="0007159A">
              <w:t xml:space="preserve"> an opportunity to build strong foundations for optimal development.</w:t>
            </w:r>
            <w:r>
              <w:rPr>
                <w:rStyle w:val="EndnoteReference"/>
              </w:rPr>
              <w:t xml:space="preserve"> </w:t>
            </w:r>
            <w:r>
              <w:rPr>
                <w:rStyle w:val="EndnoteReference"/>
              </w:rPr>
              <w:endnoteReference w:id="25"/>
            </w:r>
          </w:p>
        </w:tc>
      </w:tr>
    </w:tbl>
    <w:p w:rsidR="00531ED1" w:rsidRDefault="00531ED1" w:rsidP="00531ED1">
      <w:pPr>
        <w:rPr>
          <w:rFonts w:cstheme="minorHAnsi"/>
        </w:rPr>
      </w:pPr>
    </w:p>
    <w:p w:rsidR="00375FB1" w:rsidRDefault="00375FB1" w:rsidP="00531ED1">
      <w:pPr>
        <w:rPr>
          <w:rFonts w:cstheme="minorHAnsi"/>
        </w:rPr>
      </w:pPr>
      <w:r w:rsidRPr="00441AB2">
        <w:rPr>
          <w:rFonts w:cstheme="minorHAnsi"/>
        </w:rPr>
        <w:t xml:space="preserve">Poor health outcomes </w:t>
      </w:r>
      <w:r w:rsidR="00B21765">
        <w:rPr>
          <w:rFonts w:cstheme="minorHAnsi"/>
        </w:rPr>
        <w:t xml:space="preserve">are </w:t>
      </w:r>
      <w:r w:rsidRPr="00441AB2">
        <w:rPr>
          <w:rFonts w:cstheme="minorHAnsi"/>
        </w:rPr>
        <w:t>linked to poverty</w:t>
      </w:r>
      <w:r w:rsidR="00657C1E">
        <w:rPr>
          <w:rFonts w:cstheme="minorHAnsi"/>
        </w:rPr>
        <w:t>,</w:t>
      </w:r>
      <w:r w:rsidRPr="00441AB2">
        <w:rPr>
          <w:rFonts w:cstheme="minorHAnsi"/>
        </w:rPr>
        <w:t xml:space="preserve"> and reduced life chances generally commence at birth and continue throughout the life cycle</w:t>
      </w:r>
      <w:r w:rsidR="00B21765">
        <w:rPr>
          <w:rFonts w:cstheme="minorHAnsi"/>
        </w:rPr>
        <w:t>.</w:t>
      </w:r>
      <w:r>
        <w:rPr>
          <w:rStyle w:val="EndnoteReference"/>
          <w:rFonts w:cstheme="minorHAnsi"/>
        </w:rPr>
        <w:endnoteReference w:id="26"/>
      </w:r>
      <w:r>
        <w:rPr>
          <w:rFonts w:cstheme="minorHAnsi"/>
        </w:rPr>
        <w:t xml:space="preserve"> Families experiencing poverty or socio-economic disadvantage</w:t>
      </w:r>
      <w:r w:rsidRPr="00173C4F">
        <w:rPr>
          <w:rFonts w:cstheme="minorHAnsi"/>
        </w:rPr>
        <w:t xml:space="preserve"> often lack the financial, social and educational support </w:t>
      </w:r>
      <w:r>
        <w:rPr>
          <w:rFonts w:cstheme="minorHAnsi"/>
        </w:rPr>
        <w:t>experienced by</w:t>
      </w:r>
      <w:r w:rsidRPr="00173C4F">
        <w:rPr>
          <w:rFonts w:cstheme="minorHAnsi"/>
        </w:rPr>
        <w:t xml:space="preserve"> families with high</w:t>
      </w:r>
      <w:r>
        <w:rPr>
          <w:rFonts w:cstheme="minorHAnsi"/>
        </w:rPr>
        <w:t>er</w:t>
      </w:r>
      <w:r w:rsidRPr="00173C4F">
        <w:rPr>
          <w:rFonts w:cstheme="minorHAnsi"/>
        </w:rPr>
        <w:t xml:space="preserve"> socio</w:t>
      </w:r>
      <w:r>
        <w:rPr>
          <w:rFonts w:cstheme="minorHAnsi"/>
        </w:rPr>
        <w:t>-</w:t>
      </w:r>
      <w:r w:rsidRPr="00173C4F">
        <w:rPr>
          <w:rFonts w:cstheme="minorHAnsi"/>
        </w:rPr>
        <w:t xml:space="preserve">economic status. </w:t>
      </w:r>
      <w:r>
        <w:rPr>
          <w:rFonts w:cstheme="minorHAnsi"/>
        </w:rPr>
        <w:t>They may also</w:t>
      </w:r>
      <w:r w:rsidRPr="00173C4F">
        <w:rPr>
          <w:rFonts w:cstheme="minorHAnsi"/>
        </w:rPr>
        <w:t xml:space="preserve"> have inadequate or limited access to community resources that promote and support children’s development and school readiness</w:t>
      </w:r>
      <w:r w:rsidR="00B21765">
        <w:rPr>
          <w:rFonts w:cstheme="minorHAnsi"/>
        </w:rPr>
        <w:t>.</w:t>
      </w:r>
      <w:r>
        <w:rPr>
          <w:rStyle w:val="EndnoteReference"/>
          <w:rFonts w:cstheme="minorHAnsi"/>
        </w:rPr>
        <w:endnoteReference w:id="27"/>
      </w:r>
      <w:r>
        <w:rPr>
          <w:rFonts w:cstheme="minorHAnsi"/>
        </w:rPr>
        <w:t xml:space="preserve"> </w:t>
      </w:r>
    </w:p>
    <w:p w:rsidR="00375FB1" w:rsidRPr="0047519E" w:rsidRDefault="00375FB1" w:rsidP="00827ED9">
      <w:pPr>
        <w:rPr>
          <w:rFonts w:cstheme="minorHAnsi"/>
        </w:rPr>
      </w:pPr>
      <w:r w:rsidRPr="0047519E">
        <w:rPr>
          <w:rFonts w:cstheme="minorHAnsi"/>
        </w:rPr>
        <w:t xml:space="preserve">In Australia, </w:t>
      </w:r>
      <w:r>
        <w:rPr>
          <w:rFonts w:cstheme="minorHAnsi"/>
        </w:rPr>
        <w:t xml:space="preserve">children of </w:t>
      </w:r>
      <w:r w:rsidRPr="0047519E">
        <w:rPr>
          <w:rFonts w:cstheme="minorHAnsi"/>
        </w:rPr>
        <w:t xml:space="preserve">parents </w:t>
      </w:r>
      <w:r>
        <w:rPr>
          <w:rFonts w:cstheme="minorHAnsi"/>
        </w:rPr>
        <w:t xml:space="preserve">with higher incomes </w:t>
      </w:r>
      <w:r w:rsidRPr="0047519E">
        <w:rPr>
          <w:rFonts w:cstheme="minorHAnsi"/>
        </w:rPr>
        <w:t xml:space="preserve">and </w:t>
      </w:r>
      <w:r>
        <w:rPr>
          <w:rFonts w:cstheme="minorHAnsi"/>
        </w:rPr>
        <w:t>higher</w:t>
      </w:r>
      <w:r w:rsidRPr="0047519E">
        <w:rPr>
          <w:rFonts w:cstheme="minorHAnsi"/>
        </w:rPr>
        <w:t xml:space="preserve"> education</w:t>
      </w:r>
      <w:r>
        <w:rPr>
          <w:rFonts w:cstheme="minorHAnsi"/>
        </w:rPr>
        <w:t>al attainment score</w:t>
      </w:r>
      <w:r w:rsidRPr="0047519E">
        <w:rPr>
          <w:rFonts w:cstheme="minorHAnsi"/>
        </w:rPr>
        <w:t xml:space="preserve"> </w:t>
      </w:r>
      <w:r w:rsidR="00993759">
        <w:rPr>
          <w:rFonts w:cstheme="minorHAnsi"/>
        </w:rPr>
        <w:t>higher</w:t>
      </w:r>
      <w:r w:rsidRPr="0047519E">
        <w:rPr>
          <w:rFonts w:cstheme="minorHAnsi"/>
        </w:rPr>
        <w:t xml:space="preserve"> on measures of early child development</w:t>
      </w:r>
      <w:r w:rsidR="00B21765">
        <w:rPr>
          <w:rFonts w:cstheme="minorHAnsi"/>
        </w:rPr>
        <w:t>.</w:t>
      </w:r>
      <w:r>
        <w:rPr>
          <w:rStyle w:val="EndnoteReference"/>
          <w:rFonts w:cstheme="minorHAnsi"/>
        </w:rPr>
        <w:endnoteReference w:id="28"/>
      </w:r>
      <w:r w:rsidRPr="0047519E">
        <w:rPr>
          <w:rFonts w:cstheme="minorHAnsi"/>
        </w:rPr>
        <w:t xml:space="preserve"> </w:t>
      </w:r>
      <w:r>
        <w:rPr>
          <w:rFonts w:cstheme="minorHAnsi"/>
        </w:rPr>
        <w:t xml:space="preserve">Research conducted in the United Kingdom by Professor Sir Michael Marmot found </w:t>
      </w:r>
      <w:r w:rsidRPr="0047519E">
        <w:rPr>
          <w:rFonts w:cstheme="minorHAnsi"/>
        </w:rPr>
        <w:t>the more economically deprived a neighbourhood is, the lower the proportion o</w:t>
      </w:r>
      <w:r>
        <w:rPr>
          <w:rFonts w:cstheme="minorHAnsi"/>
        </w:rPr>
        <w:t xml:space="preserve">f children, at age </w:t>
      </w:r>
      <w:r w:rsidR="00835C89">
        <w:rPr>
          <w:rFonts w:cstheme="minorHAnsi"/>
        </w:rPr>
        <w:t>five</w:t>
      </w:r>
      <w:r>
        <w:rPr>
          <w:rFonts w:cstheme="minorHAnsi"/>
        </w:rPr>
        <w:t>, with a good level of development across a range of areas including</w:t>
      </w:r>
      <w:r w:rsidRPr="0047519E">
        <w:rPr>
          <w:rFonts w:cstheme="minorHAnsi"/>
        </w:rPr>
        <w:t xml:space="preserve"> cognitive, linguistic, social, emotional and behavioural</w:t>
      </w:r>
      <w:r>
        <w:rPr>
          <w:rFonts w:cstheme="minorHAnsi"/>
        </w:rPr>
        <w:t xml:space="preserve"> skills</w:t>
      </w:r>
      <w:r w:rsidRPr="0047519E">
        <w:rPr>
          <w:rFonts w:cstheme="minorHAnsi"/>
        </w:rPr>
        <w:t>.</w:t>
      </w:r>
      <w:r w:rsidR="003C37BA">
        <w:rPr>
          <w:rFonts w:cstheme="minorHAnsi"/>
        </w:rPr>
        <w:t xml:space="preserve"> </w:t>
      </w:r>
      <w:r w:rsidR="004E78BE">
        <w:rPr>
          <w:rFonts w:cstheme="minorHAnsi"/>
        </w:rPr>
        <w:t>Australia</w:t>
      </w:r>
      <w:r w:rsidR="00F77936">
        <w:rPr>
          <w:rFonts w:cstheme="minorHAnsi"/>
        </w:rPr>
        <w:t>n</w:t>
      </w:r>
      <w:r w:rsidR="004E78BE">
        <w:rPr>
          <w:rFonts w:cstheme="minorHAnsi"/>
        </w:rPr>
        <w:t xml:space="preserve"> Early Development Census data confirms this is the case with Australian communities.</w:t>
      </w:r>
    </w:p>
    <w:p w:rsidR="00375FB1" w:rsidRPr="00A516DA" w:rsidRDefault="00375FB1" w:rsidP="00827ED9">
      <w:r w:rsidRPr="0047519E">
        <w:rPr>
          <w:rFonts w:cstheme="minorHAnsi"/>
        </w:rPr>
        <w:t xml:space="preserve">Early child development is influenced in part by </w:t>
      </w:r>
      <w:r>
        <w:rPr>
          <w:rFonts w:cstheme="minorHAnsi"/>
        </w:rPr>
        <w:t>the quality of parenting</w:t>
      </w:r>
      <w:r w:rsidR="007930D3" w:rsidRPr="00AD6FB3">
        <w:rPr>
          <w:rFonts w:cstheme="minorHAnsi"/>
        </w:rPr>
        <w:t>,</w:t>
      </w:r>
      <w:r>
        <w:rPr>
          <w:rFonts w:cstheme="minorHAnsi"/>
        </w:rPr>
        <w:t xml:space="preserve"> which is</w:t>
      </w:r>
      <w:r w:rsidRPr="0047519E">
        <w:rPr>
          <w:rFonts w:cstheme="minorHAnsi"/>
        </w:rPr>
        <w:t xml:space="preserve"> </w:t>
      </w:r>
      <w:r w:rsidR="00725329">
        <w:rPr>
          <w:rFonts w:cstheme="minorHAnsi"/>
        </w:rPr>
        <w:t xml:space="preserve">in turn </w:t>
      </w:r>
      <w:r w:rsidRPr="0047519E">
        <w:rPr>
          <w:rFonts w:cstheme="minorHAnsi"/>
        </w:rPr>
        <w:t>influenced by the circumstances in which parenting takes place</w:t>
      </w:r>
      <w:r w:rsidR="00B21765">
        <w:rPr>
          <w:rFonts w:cstheme="minorHAnsi"/>
        </w:rPr>
        <w:t>.</w:t>
      </w:r>
      <w:r>
        <w:rPr>
          <w:rFonts w:cstheme="minorHAnsi"/>
        </w:rPr>
        <w:t xml:space="preserve"> </w:t>
      </w:r>
      <w:r w:rsidRPr="007B5434">
        <w:rPr>
          <w:rFonts w:cstheme="minorHAnsi"/>
        </w:rPr>
        <w:t>Parents and their parenting decisions directly influence a child’s early development</w:t>
      </w:r>
      <w:r>
        <w:rPr>
          <w:rFonts w:cstheme="minorHAnsi"/>
        </w:rPr>
        <w:t xml:space="preserve"> and</w:t>
      </w:r>
      <w:r w:rsidRPr="007B5434">
        <w:rPr>
          <w:rFonts w:cstheme="minorHAnsi"/>
        </w:rPr>
        <w:t xml:space="preserve"> can </w:t>
      </w:r>
      <w:r>
        <w:rPr>
          <w:rFonts w:cstheme="minorHAnsi"/>
        </w:rPr>
        <w:t>establish</w:t>
      </w:r>
      <w:r w:rsidRPr="007B5434">
        <w:rPr>
          <w:rFonts w:cstheme="minorHAnsi"/>
        </w:rPr>
        <w:t xml:space="preserve"> patterns </w:t>
      </w:r>
      <w:r>
        <w:rPr>
          <w:rFonts w:cstheme="minorHAnsi"/>
        </w:rPr>
        <w:t>that affect a</w:t>
      </w:r>
      <w:r w:rsidRPr="007B5434">
        <w:rPr>
          <w:rFonts w:cstheme="minorHAnsi"/>
        </w:rPr>
        <w:t xml:space="preserve"> child’s future health and wellbeing outcomes.</w:t>
      </w:r>
      <w:r>
        <w:rPr>
          <w:rFonts w:cstheme="minorHAnsi"/>
        </w:rPr>
        <w:t xml:space="preserve"> </w:t>
      </w:r>
      <w:r w:rsidRPr="00A516DA">
        <w:t>Positive family bonds characterised by nu</w:t>
      </w:r>
      <w:r w:rsidR="00FD6932" w:rsidRPr="00A516DA">
        <w:t>rturing relationships, language-</w:t>
      </w:r>
      <w:r w:rsidRPr="00A516DA">
        <w:t>rich interactions and shared customs and routines provide a sense of safety and security for a child, and contribute to the development of skills for effe</w:t>
      </w:r>
      <w:r w:rsidR="00B40BE6" w:rsidRPr="00A516DA">
        <w:t>ctive participation in society.</w:t>
      </w:r>
      <w:r w:rsidR="00B40BE6" w:rsidRPr="00B40BE6">
        <w:rPr>
          <w:rStyle w:val="EndnoteReference"/>
          <w:rFonts w:cstheme="minorHAnsi"/>
        </w:rPr>
        <w:t xml:space="preserve"> </w:t>
      </w:r>
      <w:r w:rsidR="00B40BE6">
        <w:rPr>
          <w:rStyle w:val="EndnoteReference"/>
          <w:rFonts w:cstheme="minorHAnsi"/>
        </w:rPr>
        <w:endnoteReference w:id="29"/>
      </w:r>
    </w:p>
    <w:p w:rsidR="00375FB1" w:rsidRPr="00A516DA" w:rsidRDefault="00375FB1" w:rsidP="00827ED9">
      <w:r>
        <w:rPr>
          <w:rFonts w:cstheme="minorHAnsi"/>
        </w:rPr>
        <w:t>Internationally, governments are increasingly directing investment towards strategies</w:t>
      </w:r>
      <w:r w:rsidRPr="00A348A7">
        <w:rPr>
          <w:rFonts w:cstheme="minorHAnsi"/>
        </w:rPr>
        <w:t xml:space="preserve"> </w:t>
      </w:r>
      <w:r>
        <w:rPr>
          <w:rFonts w:cstheme="minorHAnsi"/>
        </w:rPr>
        <w:t>or interventions aimed at</w:t>
      </w:r>
      <w:r w:rsidRPr="00A348A7">
        <w:rPr>
          <w:rFonts w:cstheme="minorHAnsi"/>
        </w:rPr>
        <w:t xml:space="preserve"> address</w:t>
      </w:r>
      <w:r>
        <w:rPr>
          <w:rFonts w:cstheme="minorHAnsi"/>
        </w:rPr>
        <w:t xml:space="preserve">ing </w:t>
      </w:r>
      <w:r w:rsidRPr="00A348A7">
        <w:rPr>
          <w:rFonts w:cstheme="minorHAnsi"/>
        </w:rPr>
        <w:t>complex social issues such as low educational a</w:t>
      </w:r>
      <w:r>
        <w:rPr>
          <w:rFonts w:cstheme="minorHAnsi"/>
        </w:rPr>
        <w:t>chievement, criminal behaviour</w:t>
      </w:r>
      <w:r w:rsidRPr="00A348A7">
        <w:rPr>
          <w:rFonts w:cstheme="minorHAnsi"/>
        </w:rPr>
        <w:t>, welfare dependence, family conflict and instability, unemployment and poverty</w:t>
      </w:r>
      <w:r w:rsidR="00B21765">
        <w:rPr>
          <w:rFonts w:cstheme="minorHAnsi"/>
        </w:rPr>
        <w:t>.</w:t>
      </w:r>
      <w:r w:rsidRPr="00A348A7">
        <w:rPr>
          <w:rStyle w:val="EndnoteReference"/>
          <w:rFonts w:cstheme="minorHAnsi"/>
        </w:rPr>
        <w:endnoteReference w:id="30"/>
      </w:r>
      <w:r>
        <w:rPr>
          <w:rFonts w:cstheme="minorHAnsi"/>
        </w:rPr>
        <w:t xml:space="preserve"> Investments that occur </w:t>
      </w:r>
      <w:r w:rsidRPr="00A348A7">
        <w:rPr>
          <w:rFonts w:cstheme="minorHAnsi"/>
        </w:rPr>
        <w:t xml:space="preserve">early </w:t>
      </w:r>
      <w:r>
        <w:rPr>
          <w:rFonts w:cstheme="minorHAnsi"/>
        </w:rPr>
        <w:t xml:space="preserve">in a child’s life have the potential not only to increase health, happiness and wellbeing in the here and now but also to </w:t>
      </w:r>
      <w:r w:rsidRPr="00A348A7">
        <w:rPr>
          <w:rFonts w:cstheme="minorHAnsi"/>
        </w:rPr>
        <w:t>offset future costs associated</w:t>
      </w:r>
      <w:r>
        <w:rPr>
          <w:rFonts w:cstheme="minorHAnsi"/>
        </w:rPr>
        <w:t xml:space="preserve"> with remediating potential negative </w:t>
      </w:r>
      <w:r w:rsidRPr="00A348A7">
        <w:rPr>
          <w:rFonts w:cstheme="minorHAnsi"/>
        </w:rPr>
        <w:t>impacts.</w:t>
      </w:r>
      <w:r w:rsidRPr="00A516DA">
        <w:rPr>
          <w:lang w:val="en"/>
        </w:rPr>
        <w:t xml:space="preserve"> </w:t>
      </w:r>
      <w:r w:rsidRPr="00A516DA">
        <w:t>Such interventions range across health, education and community service provision. They include pre</w:t>
      </w:r>
      <w:r w:rsidR="007930D3" w:rsidRPr="00A516DA">
        <w:t>-</w:t>
      </w:r>
      <w:r w:rsidRPr="00A516DA">
        <w:t>natal and infant home-visitation programs, family-focused parenting programs and high quality early childhood education and care provision.</w:t>
      </w:r>
    </w:p>
    <w:tbl>
      <w:tblPr>
        <w:tblStyle w:val="TableGrid"/>
        <w:tblW w:w="0" w:type="auto"/>
        <w:tblLook w:val="04A0" w:firstRow="1" w:lastRow="0" w:firstColumn="1" w:lastColumn="0" w:noHBand="0" w:noVBand="1"/>
      </w:tblPr>
      <w:tblGrid>
        <w:gridCol w:w="9242"/>
      </w:tblGrid>
      <w:tr w:rsidR="00375FB1" w:rsidTr="00852F0A">
        <w:tc>
          <w:tcPr>
            <w:tcW w:w="9242" w:type="dxa"/>
          </w:tcPr>
          <w:p w:rsidR="00375FB1" w:rsidRPr="00DD76E7" w:rsidRDefault="00375FB1" w:rsidP="00852F0A">
            <w:r w:rsidRPr="00487555">
              <w:rPr>
                <w:b/>
              </w:rPr>
              <w:t xml:space="preserve">Pathways for </w:t>
            </w:r>
            <w:r w:rsidR="00B21765">
              <w:rPr>
                <w:b/>
              </w:rPr>
              <w:t>Early Learning and Development</w:t>
            </w:r>
            <w:r w:rsidR="007D5763">
              <w:rPr>
                <w:b/>
              </w:rPr>
              <w:t>, Queensland</w:t>
            </w:r>
          </w:p>
          <w:p w:rsidR="00375FB1" w:rsidRPr="00B30D2A" w:rsidRDefault="00375FB1" w:rsidP="00852F0A">
            <w:pPr>
              <w:spacing w:before="120" w:after="120"/>
              <w:jc w:val="both"/>
              <w:rPr>
                <w:rFonts w:cs="Arial"/>
              </w:rPr>
            </w:pPr>
            <w:r>
              <w:rPr>
                <w:rFonts w:cs="Arial"/>
              </w:rPr>
              <w:t>T</w:t>
            </w:r>
            <w:r w:rsidRPr="00B30D2A">
              <w:rPr>
                <w:rFonts w:cs="Arial"/>
              </w:rPr>
              <w:t>he Pathways for Early Learning and Development program</w:t>
            </w:r>
            <w:r>
              <w:rPr>
                <w:rFonts w:cs="Arial"/>
              </w:rPr>
              <w:t xml:space="preserve">, recently launched by the </w:t>
            </w:r>
            <w:r w:rsidRPr="00B30D2A">
              <w:rPr>
                <w:rFonts w:cs="Arial"/>
              </w:rPr>
              <w:t>Queensland Department of Education and Training</w:t>
            </w:r>
            <w:r>
              <w:rPr>
                <w:rFonts w:cs="Arial"/>
              </w:rPr>
              <w:t>,</w:t>
            </w:r>
            <w:r w:rsidRPr="00B30D2A">
              <w:rPr>
                <w:rFonts w:cs="Arial"/>
              </w:rPr>
              <w:t xml:space="preserve"> </w:t>
            </w:r>
            <w:r>
              <w:rPr>
                <w:rFonts w:cs="Arial"/>
              </w:rPr>
              <w:t xml:space="preserve">provides intensive service provision to vulnerable children and families to support early childhood learning, health and </w:t>
            </w:r>
            <w:r w:rsidRPr="00B30D2A">
              <w:rPr>
                <w:rFonts w:cs="Arial"/>
              </w:rPr>
              <w:t xml:space="preserve">broader </w:t>
            </w:r>
            <w:r>
              <w:rPr>
                <w:rFonts w:cs="Arial"/>
              </w:rPr>
              <w:t xml:space="preserve">family </w:t>
            </w:r>
            <w:r w:rsidRPr="00B30D2A">
              <w:rPr>
                <w:rFonts w:cs="Arial"/>
              </w:rPr>
              <w:t>needs</w:t>
            </w:r>
            <w:r>
              <w:rPr>
                <w:rFonts w:cs="Arial"/>
              </w:rPr>
              <w:t>, including:</w:t>
            </w:r>
          </w:p>
          <w:p w:rsidR="00375FB1" w:rsidRPr="001A3D3D" w:rsidRDefault="00375FB1" w:rsidP="00375FB1">
            <w:pPr>
              <w:pStyle w:val="ListParagraph"/>
              <w:numPr>
                <w:ilvl w:val="0"/>
                <w:numId w:val="9"/>
              </w:numPr>
              <w:spacing w:before="120" w:after="120"/>
              <w:ind w:left="714" w:hanging="357"/>
              <w:jc w:val="both"/>
              <w:rPr>
                <w:rFonts w:cs="Arial"/>
              </w:rPr>
            </w:pPr>
            <w:r w:rsidRPr="001A3D3D">
              <w:rPr>
                <w:rFonts w:cs="Arial"/>
              </w:rPr>
              <w:t>evidence-based early learning and development programs, with low staff</w:t>
            </w:r>
            <w:r w:rsidR="007930D3" w:rsidRPr="00FC0EC5">
              <w:rPr>
                <w:rFonts w:cs="Arial"/>
              </w:rPr>
              <w:t>-</w:t>
            </w:r>
            <w:r w:rsidRPr="001A3D3D">
              <w:rPr>
                <w:rFonts w:cs="Arial"/>
              </w:rPr>
              <w:t>to</w:t>
            </w:r>
            <w:r w:rsidR="007930D3" w:rsidRPr="00121163">
              <w:rPr>
                <w:rFonts w:cs="Arial"/>
              </w:rPr>
              <w:t>-</w:t>
            </w:r>
            <w:r w:rsidRPr="001A3D3D">
              <w:rPr>
                <w:rFonts w:cs="Arial"/>
              </w:rPr>
              <w:t>child ratios, and early childhood educator</w:t>
            </w:r>
            <w:r>
              <w:rPr>
                <w:rFonts w:cs="Arial"/>
              </w:rPr>
              <w:t>s</w:t>
            </w:r>
            <w:r w:rsidRPr="001A3D3D">
              <w:rPr>
                <w:rFonts w:cs="Arial"/>
              </w:rPr>
              <w:t xml:space="preserve"> working alongside human service staff</w:t>
            </w:r>
          </w:p>
          <w:p w:rsidR="00375FB1" w:rsidRPr="001A3D3D" w:rsidRDefault="00375FB1" w:rsidP="00375FB1">
            <w:pPr>
              <w:pStyle w:val="ListParagraph"/>
              <w:numPr>
                <w:ilvl w:val="0"/>
                <w:numId w:val="9"/>
              </w:numPr>
              <w:spacing w:before="120" w:after="120"/>
              <w:ind w:left="714" w:hanging="357"/>
              <w:jc w:val="both"/>
              <w:rPr>
                <w:rFonts w:cs="Arial"/>
              </w:rPr>
            </w:pPr>
            <w:r w:rsidRPr="001A3D3D">
              <w:rPr>
                <w:rFonts w:cs="Arial"/>
              </w:rPr>
              <w:t>a combination of group (i.e. supported playgroup) and individual (i.e. home visiting) support, including facilitated activities to ensure parents’ active and regular involvement</w:t>
            </w:r>
          </w:p>
          <w:p w:rsidR="00375FB1" w:rsidRPr="00B30D2A" w:rsidRDefault="00375FB1" w:rsidP="00375FB1">
            <w:pPr>
              <w:pStyle w:val="ListParagraph"/>
              <w:numPr>
                <w:ilvl w:val="0"/>
                <w:numId w:val="9"/>
              </w:numPr>
              <w:spacing w:before="120" w:after="120"/>
              <w:ind w:left="714" w:hanging="357"/>
              <w:jc w:val="both"/>
              <w:rPr>
                <w:rFonts w:cs="Arial"/>
              </w:rPr>
            </w:pPr>
            <w:r w:rsidRPr="00B30D2A">
              <w:rPr>
                <w:rFonts w:cs="Arial"/>
              </w:rPr>
              <w:t>supported access to child health special</w:t>
            </w:r>
            <w:r>
              <w:rPr>
                <w:rFonts w:cs="Arial"/>
              </w:rPr>
              <w:t>ists, such as speech pathologists.</w:t>
            </w:r>
          </w:p>
          <w:p w:rsidR="00375FB1" w:rsidRDefault="00375FB1" w:rsidP="00852F0A">
            <w:pPr>
              <w:jc w:val="both"/>
              <w:rPr>
                <w:rFonts w:cs="Arial"/>
              </w:rPr>
            </w:pPr>
            <w:r>
              <w:rPr>
                <w:rFonts w:cs="Arial"/>
              </w:rPr>
              <w:t>The program is delivered</w:t>
            </w:r>
            <w:r w:rsidR="00C91D04">
              <w:rPr>
                <w:rFonts w:cs="Arial"/>
              </w:rPr>
              <w:t xml:space="preserve"> by non-government organisations</w:t>
            </w:r>
            <w:r>
              <w:rPr>
                <w:rFonts w:cs="Arial"/>
              </w:rPr>
              <w:t xml:space="preserve"> across twelve locations</w:t>
            </w:r>
            <w:r w:rsidR="00C91D04">
              <w:rPr>
                <w:rFonts w:cs="Arial"/>
              </w:rPr>
              <w:t xml:space="preserve">. </w:t>
            </w:r>
            <w:r w:rsidR="00C91D04">
              <w:rPr>
                <w:rFonts w:ascii="Calibri" w:eastAsia="Calibri" w:hAnsi="Calibri" w:cs="Arial"/>
              </w:rPr>
              <w:t>An</w:t>
            </w:r>
            <w:r w:rsidR="00C91D04" w:rsidRPr="00D06CC9">
              <w:rPr>
                <w:rFonts w:ascii="Calibri" w:eastAsia="Calibri" w:hAnsi="Calibri" w:cs="Arial"/>
              </w:rPr>
              <w:t xml:space="preserve"> early childhood educator </w:t>
            </w:r>
            <w:r w:rsidR="00C91D04">
              <w:rPr>
                <w:rFonts w:ascii="Calibri" w:eastAsia="Calibri" w:hAnsi="Calibri" w:cs="Arial"/>
              </w:rPr>
              <w:t xml:space="preserve">is integrated </w:t>
            </w:r>
            <w:r w:rsidR="00C91D04" w:rsidRPr="00D06CC9">
              <w:rPr>
                <w:rFonts w:ascii="Calibri" w:eastAsia="Calibri" w:hAnsi="Calibri" w:cs="Arial"/>
              </w:rPr>
              <w:t xml:space="preserve">into existing intensive family support services for families experiencing multiple </w:t>
            </w:r>
            <w:r w:rsidR="00C91D04">
              <w:rPr>
                <w:rFonts w:ascii="Calibri" w:eastAsia="Calibri" w:hAnsi="Calibri" w:cs="Arial"/>
              </w:rPr>
              <w:t xml:space="preserve">or </w:t>
            </w:r>
            <w:r w:rsidR="00C91D04" w:rsidRPr="00D06CC9">
              <w:rPr>
                <w:rFonts w:ascii="Calibri" w:eastAsia="Calibri" w:hAnsi="Calibri" w:cs="Arial"/>
              </w:rPr>
              <w:t xml:space="preserve">complex </w:t>
            </w:r>
            <w:r w:rsidR="00C91D04">
              <w:rPr>
                <w:rFonts w:ascii="Calibri" w:eastAsia="Calibri" w:hAnsi="Calibri" w:cs="Arial"/>
              </w:rPr>
              <w:t xml:space="preserve">forms of </w:t>
            </w:r>
            <w:r w:rsidR="00C91D04" w:rsidRPr="00D06CC9">
              <w:rPr>
                <w:rFonts w:ascii="Calibri" w:eastAsia="Calibri" w:hAnsi="Calibri" w:cs="Arial"/>
              </w:rPr>
              <w:t>disadvantage</w:t>
            </w:r>
            <w:r>
              <w:rPr>
                <w:rFonts w:cs="Arial"/>
              </w:rPr>
              <w:t xml:space="preserve">, with </w:t>
            </w:r>
            <w:r w:rsidR="00C91D04">
              <w:rPr>
                <w:rFonts w:cs="Arial"/>
              </w:rPr>
              <w:t xml:space="preserve">the </w:t>
            </w:r>
            <w:r w:rsidRPr="00B30D2A">
              <w:rPr>
                <w:rFonts w:cs="Arial"/>
              </w:rPr>
              <w:t>service provision tailored to local context</w:t>
            </w:r>
            <w:r>
              <w:rPr>
                <w:rFonts w:cs="Arial"/>
              </w:rPr>
              <w:t>s</w:t>
            </w:r>
            <w:r w:rsidRPr="00B30D2A">
              <w:rPr>
                <w:rFonts w:cs="Arial"/>
              </w:rPr>
              <w:t xml:space="preserve"> and specific client group needs. </w:t>
            </w:r>
          </w:p>
          <w:p w:rsidR="00454FF8" w:rsidRDefault="00454FF8" w:rsidP="00852F0A">
            <w:pPr>
              <w:jc w:val="both"/>
              <w:rPr>
                <w:rFonts w:cs="Arial"/>
              </w:rPr>
            </w:pPr>
          </w:p>
          <w:p w:rsidR="00375FB1" w:rsidRPr="00B30D2A" w:rsidRDefault="00375FB1" w:rsidP="00852F0A">
            <w:pPr>
              <w:jc w:val="both"/>
              <w:rPr>
                <w:rFonts w:cs="Arial"/>
              </w:rPr>
            </w:pPr>
            <w:r>
              <w:rPr>
                <w:rFonts w:cs="Arial"/>
              </w:rPr>
              <w:t xml:space="preserve">Implementation of the program follows a successful </w:t>
            </w:r>
            <w:r w:rsidRPr="00B30D2A">
              <w:rPr>
                <w:rFonts w:cs="Arial"/>
              </w:rPr>
              <w:t>Intensive Early Childhood Development pilot</w:t>
            </w:r>
            <w:r>
              <w:rPr>
                <w:rFonts w:cs="Arial"/>
              </w:rPr>
              <w:t xml:space="preserve"> (by the Departments of Education and Training</w:t>
            </w:r>
            <w:r w:rsidR="00454FF8">
              <w:rPr>
                <w:rFonts w:cs="Arial"/>
              </w:rPr>
              <w:t>,</w:t>
            </w:r>
            <w:r>
              <w:rPr>
                <w:rFonts w:cs="Arial"/>
              </w:rPr>
              <w:t xml:space="preserve"> and </w:t>
            </w:r>
            <w:r w:rsidRPr="00B30D2A">
              <w:rPr>
                <w:rFonts w:cs="Arial"/>
              </w:rPr>
              <w:t>Communities, Child Safety and Disability Services</w:t>
            </w:r>
            <w:r w:rsidR="000744F8" w:rsidRPr="00B23BC2">
              <w:rPr>
                <w:rFonts w:cs="Arial"/>
              </w:rPr>
              <w:t>), which</w:t>
            </w:r>
            <w:r w:rsidRPr="00B30D2A">
              <w:rPr>
                <w:rFonts w:cs="Arial"/>
              </w:rPr>
              <w:t xml:space="preserve"> embedd</w:t>
            </w:r>
            <w:r>
              <w:rPr>
                <w:rFonts w:cs="Arial"/>
              </w:rPr>
              <w:t>ed</w:t>
            </w:r>
            <w:r w:rsidRPr="00B30D2A">
              <w:rPr>
                <w:rFonts w:cs="Arial"/>
              </w:rPr>
              <w:t xml:space="preserve"> an early childhood learning and development focus </w:t>
            </w:r>
            <w:r>
              <w:rPr>
                <w:rFonts w:cs="Arial"/>
              </w:rPr>
              <w:t>in</w:t>
            </w:r>
            <w:r w:rsidRPr="00B30D2A">
              <w:rPr>
                <w:rFonts w:cs="Arial"/>
              </w:rPr>
              <w:t xml:space="preserve"> family support services. </w:t>
            </w:r>
            <w:r>
              <w:rPr>
                <w:rFonts w:cs="Arial"/>
              </w:rPr>
              <w:t>An independent evaluation found that the pilot had benefits for parents and children engaged in the pilot, including:</w:t>
            </w:r>
          </w:p>
          <w:p w:rsidR="00375FB1" w:rsidRPr="00B30D2A" w:rsidRDefault="00375FB1" w:rsidP="00375FB1">
            <w:pPr>
              <w:pStyle w:val="ListParagraph"/>
              <w:numPr>
                <w:ilvl w:val="0"/>
                <w:numId w:val="10"/>
              </w:numPr>
              <w:jc w:val="both"/>
              <w:rPr>
                <w:rFonts w:cs="Arial"/>
              </w:rPr>
            </w:pPr>
            <w:r w:rsidRPr="00B30D2A">
              <w:rPr>
                <w:rFonts w:cs="Arial"/>
              </w:rPr>
              <w:t xml:space="preserve">45% improvement in </w:t>
            </w:r>
            <w:r>
              <w:rPr>
                <w:rFonts w:cs="Arial"/>
              </w:rPr>
              <w:t xml:space="preserve">children’s </w:t>
            </w:r>
            <w:r w:rsidRPr="00B30D2A">
              <w:rPr>
                <w:rFonts w:cs="Arial"/>
              </w:rPr>
              <w:t>social/behavioural issues</w:t>
            </w:r>
          </w:p>
          <w:p w:rsidR="00375FB1" w:rsidRPr="00B30D2A" w:rsidRDefault="00375FB1" w:rsidP="00375FB1">
            <w:pPr>
              <w:pStyle w:val="ListParagraph"/>
              <w:numPr>
                <w:ilvl w:val="0"/>
                <w:numId w:val="10"/>
              </w:numPr>
              <w:jc w:val="both"/>
              <w:rPr>
                <w:rFonts w:cs="Arial"/>
              </w:rPr>
            </w:pPr>
            <w:r w:rsidRPr="00B30D2A">
              <w:rPr>
                <w:rFonts w:cs="Arial"/>
              </w:rPr>
              <w:t xml:space="preserve">40% improvement in </w:t>
            </w:r>
            <w:r>
              <w:rPr>
                <w:rFonts w:cs="Arial"/>
              </w:rPr>
              <w:t xml:space="preserve">children’s </w:t>
            </w:r>
            <w:r w:rsidRPr="00B30D2A">
              <w:rPr>
                <w:rFonts w:cs="Arial"/>
              </w:rPr>
              <w:t>speech/language delays</w:t>
            </w:r>
          </w:p>
          <w:p w:rsidR="00375FB1" w:rsidRPr="00B30D2A" w:rsidRDefault="00375FB1" w:rsidP="00375FB1">
            <w:pPr>
              <w:pStyle w:val="ListParagraph"/>
              <w:numPr>
                <w:ilvl w:val="0"/>
                <w:numId w:val="10"/>
              </w:numPr>
              <w:spacing w:before="120"/>
              <w:ind w:left="697" w:hanging="357"/>
              <w:jc w:val="both"/>
              <w:rPr>
                <w:rFonts w:cs="Arial"/>
              </w:rPr>
            </w:pPr>
            <w:r w:rsidRPr="00B30D2A">
              <w:rPr>
                <w:rFonts w:cs="Arial"/>
              </w:rPr>
              <w:t>37% impro</w:t>
            </w:r>
            <w:r>
              <w:rPr>
                <w:rFonts w:cs="Arial"/>
              </w:rPr>
              <w:t>vement in child safety concerns</w:t>
            </w:r>
          </w:p>
          <w:p w:rsidR="00375FB1" w:rsidRPr="00B30D2A" w:rsidRDefault="00375FB1" w:rsidP="00375FB1">
            <w:pPr>
              <w:pStyle w:val="ListParagraph"/>
              <w:numPr>
                <w:ilvl w:val="0"/>
                <w:numId w:val="11"/>
              </w:numPr>
              <w:jc w:val="both"/>
              <w:rPr>
                <w:rFonts w:cs="Arial"/>
              </w:rPr>
            </w:pPr>
            <w:r w:rsidRPr="00B30D2A">
              <w:rPr>
                <w:rFonts w:cs="Arial"/>
              </w:rPr>
              <w:t xml:space="preserve">39% </w:t>
            </w:r>
            <w:r>
              <w:rPr>
                <w:rFonts w:cs="Arial"/>
              </w:rPr>
              <w:t xml:space="preserve">improvement </w:t>
            </w:r>
            <w:r w:rsidRPr="00B30D2A">
              <w:rPr>
                <w:rFonts w:cs="Arial"/>
              </w:rPr>
              <w:t>in parenting confidence</w:t>
            </w:r>
          </w:p>
          <w:p w:rsidR="00375FB1" w:rsidRDefault="00375FB1" w:rsidP="00375FB1">
            <w:pPr>
              <w:pStyle w:val="ListParagraph"/>
              <w:numPr>
                <w:ilvl w:val="0"/>
                <w:numId w:val="11"/>
              </w:numPr>
              <w:jc w:val="both"/>
              <w:rPr>
                <w:rFonts w:cs="Arial"/>
              </w:rPr>
            </w:pPr>
            <w:r w:rsidRPr="00B30D2A">
              <w:rPr>
                <w:rFonts w:cs="Arial"/>
              </w:rPr>
              <w:t>34%</w:t>
            </w:r>
            <w:r>
              <w:rPr>
                <w:rFonts w:cs="Arial"/>
              </w:rPr>
              <w:t xml:space="preserve"> improvement in parent-child interactions</w:t>
            </w:r>
          </w:p>
          <w:p w:rsidR="00375FB1" w:rsidRPr="0042573B" w:rsidRDefault="00375FB1" w:rsidP="00375FB1">
            <w:pPr>
              <w:pStyle w:val="ListParagraph"/>
              <w:numPr>
                <w:ilvl w:val="0"/>
                <w:numId w:val="11"/>
              </w:numPr>
              <w:jc w:val="both"/>
              <w:rPr>
                <w:rFonts w:cs="Arial"/>
              </w:rPr>
            </w:pPr>
            <w:r w:rsidRPr="0042573B">
              <w:rPr>
                <w:rFonts w:cs="Arial"/>
              </w:rPr>
              <w:t>85% of children were at an ‘adequate or better’ level of school readiness.</w:t>
            </w:r>
          </w:p>
          <w:p w:rsidR="00375FB1" w:rsidRDefault="00375FB1" w:rsidP="00AC238B">
            <w:pPr>
              <w:spacing w:before="120" w:after="120"/>
              <w:jc w:val="both"/>
            </w:pPr>
            <w:r>
              <w:rPr>
                <w:rFonts w:cs="Arial"/>
              </w:rPr>
              <w:t>Source: Department of Education</w:t>
            </w:r>
            <w:r w:rsidR="00454FF8">
              <w:rPr>
                <w:rFonts w:cs="Arial"/>
              </w:rPr>
              <w:t xml:space="preserve"> and Training, </w:t>
            </w:r>
            <w:r w:rsidR="00AC238B">
              <w:rPr>
                <w:rFonts w:cs="Arial"/>
              </w:rPr>
              <w:t>QLD</w:t>
            </w:r>
          </w:p>
        </w:tc>
      </w:tr>
    </w:tbl>
    <w:p w:rsidR="005B1E63" w:rsidRDefault="005B1E63">
      <w:pPr>
        <w:spacing w:line="276" w:lineRule="auto"/>
        <w:rPr>
          <w:i/>
        </w:rPr>
      </w:pPr>
      <w:r>
        <w:rPr>
          <w:i/>
        </w:rPr>
        <w:br w:type="page"/>
      </w:r>
    </w:p>
    <w:p w:rsidR="00192CBE" w:rsidRPr="007A3F66" w:rsidRDefault="00192CBE" w:rsidP="00375FB1">
      <w:pPr>
        <w:rPr>
          <w:i/>
        </w:rPr>
      </w:pPr>
      <w:r>
        <w:rPr>
          <w:i/>
        </w:rPr>
        <w:t xml:space="preserve">The </w:t>
      </w:r>
      <w:r w:rsidRPr="007A3F66">
        <w:rPr>
          <w:i/>
        </w:rPr>
        <w:t>power of parenting</w:t>
      </w:r>
    </w:p>
    <w:p w:rsidR="00192CBE" w:rsidRPr="007A3F66" w:rsidRDefault="009A4C03" w:rsidP="00192CBE">
      <w:pPr>
        <w:autoSpaceDE w:val="0"/>
        <w:autoSpaceDN w:val="0"/>
        <w:adjustRightInd w:val="0"/>
        <w:spacing w:after="0"/>
        <w:rPr>
          <w:rFonts w:cstheme="minorHAnsi"/>
        </w:rPr>
      </w:pPr>
      <w:r>
        <w:rPr>
          <w:rFonts w:cstheme="minorHAnsi"/>
          <w:bCs/>
        </w:rPr>
        <w:t xml:space="preserve">Children’s </w:t>
      </w:r>
      <w:r w:rsidR="00192CBE" w:rsidRPr="007A3F66">
        <w:rPr>
          <w:rFonts w:cstheme="minorHAnsi"/>
          <w:bCs/>
        </w:rPr>
        <w:t xml:space="preserve">early experiences </w:t>
      </w:r>
      <w:r w:rsidR="00725329">
        <w:rPr>
          <w:rFonts w:cstheme="minorHAnsi"/>
          <w:bCs/>
        </w:rPr>
        <w:t xml:space="preserve">can </w:t>
      </w:r>
      <w:r w:rsidR="00192CBE" w:rsidRPr="007A3F66">
        <w:rPr>
          <w:rFonts w:cstheme="minorHAnsi"/>
          <w:bCs/>
        </w:rPr>
        <w:t xml:space="preserve">enhance or </w:t>
      </w:r>
      <w:r w:rsidR="00657C1E">
        <w:rPr>
          <w:rFonts w:cstheme="minorHAnsi"/>
          <w:bCs/>
        </w:rPr>
        <w:t xml:space="preserve">impede </w:t>
      </w:r>
      <w:r w:rsidR="00192CBE" w:rsidRPr="007A3F66">
        <w:rPr>
          <w:rFonts w:cstheme="minorHAnsi"/>
          <w:bCs/>
        </w:rPr>
        <w:t>their potential</w:t>
      </w:r>
      <w:r w:rsidR="00192CBE" w:rsidRPr="007A3F66">
        <w:rPr>
          <w:rFonts w:cstheme="minorHAnsi"/>
        </w:rPr>
        <w:t xml:space="preserve">, establishing either a robust or tenuous foundation </w:t>
      </w:r>
      <w:r w:rsidR="00586436">
        <w:rPr>
          <w:rFonts w:cstheme="minorHAnsi"/>
        </w:rPr>
        <w:t>up</w:t>
      </w:r>
      <w:r w:rsidR="00192CBE" w:rsidRPr="007A3F66">
        <w:rPr>
          <w:rFonts w:cstheme="minorHAnsi"/>
        </w:rPr>
        <w:t xml:space="preserve">on which all further development and learning is formed. The longer children spend in adverse environments, the more pervasive and resistant to recovery are the effects. This points to the importance of the quality of the home environment and parenting in supporting </w:t>
      </w:r>
      <w:r w:rsidR="000744F8" w:rsidRPr="009703EC">
        <w:rPr>
          <w:rFonts w:cstheme="minorHAnsi"/>
        </w:rPr>
        <w:t xml:space="preserve">a </w:t>
      </w:r>
      <w:r w:rsidR="000744F8" w:rsidRPr="00E818EB">
        <w:rPr>
          <w:rFonts w:cstheme="minorHAnsi"/>
        </w:rPr>
        <w:t xml:space="preserve">child’s </w:t>
      </w:r>
      <w:r w:rsidR="00192CBE" w:rsidRPr="007A3F66">
        <w:rPr>
          <w:rFonts w:cstheme="minorHAnsi"/>
        </w:rPr>
        <w:t xml:space="preserve">development. The US National Institute of Child Health and Human Development study concluded that parenting is the primary influence on </w:t>
      </w:r>
      <w:r w:rsidR="000744F8" w:rsidRPr="00D969D6">
        <w:rPr>
          <w:rFonts w:cstheme="minorHAnsi"/>
        </w:rPr>
        <w:t xml:space="preserve">a child’s </w:t>
      </w:r>
      <w:r w:rsidR="00192CBE" w:rsidRPr="007A3F66">
        <w:rPr>
          <w:rFonts w:cstheme="minorHAnsi"/>
        </w:rPr>
        <w:t>development.</w:t>
      </w:r>
      <w:r w:rsidR="00192CBE" w:rsidRPr="007A3F66">
        <w:rPr>
          <w:rStyle w:val="EndnoteReference"/>
          <w:rFonts w:cstheme="minorHAnsi"/>
        </w:rPr>
        <w:endnoteReference w:id="31"/>
      </w:r>
    </w:p>
    <w:p w:rsidR="00192CBE" w:rsidRPr="007A3F66" w:rsidRDefault="00192CBE" w:rsidP="00192CBE">
      <w:pPr>
        <w:autoSpaceDE w:val="0"/>
        <w:autoSpaceDN w:val="0"/>
        <w:adjustRightInd w:val="0"/>
        <w:spacing w:after="0"/>
        <w:rPr>
          <w:rFonts w:ascii="Times-Roman" w:hAnsi="Times-Roman" w:cs="Times-Roman"/>
        </w:rPr>
      </w:pPr>
    </w:p>
    <w:p w:rsidR="00192CBE" w:rsidRPr="007A3F66" w:rsidRDefault="00192CBE" w:rsidP="00192CBE">
      <w:pPr>
        <w:autoSpaceDE w:val="0"/>
        <w:autoSpaceDN w:val="0"/>
        <w:adjustRightInd w:val="0"/>
        <w:spacing w:after="0"/>
        <w:rPr>
          <w:rFonts w:cstheme="minorHAnsi"/>
        </w:rPr>
      </w:pPr>
      <w:r w:rsidRPr="007A3F66">
        <w:rPr>
          <w:rFonts w:cstheme="minorHAnsi"/>
        </w:rPr>
        <w:t>Family factors such as parents’ education and socio-economic status are important influences on the quality of the home environment</w:t>
      </w:r>
      <w:r w:rsidR="000744F8" w:rsidRPr="00A33316">
        <w:rPr>
          <w:rFonts w:cstheme="minorHAnsi"/>
        </w:rPr>
        <w:t>. H</w:t>
      </w:r>
      <w:r w:rsidRPr="007A3F66">
        <w:rPr>
          <w:rFonts w:cstheme="minorHAnsi"/>
        </w:rPr>
        <w:t>owever</w:t>
      </w:r>
      <w:r w:rsidR="000744F8" w:rsidRPr="00FC0EC5">
        <w:rPr>
          <w:rFonts w:cstheme="minorHAnsi"/>
        </w:rPr>
        <w:t>,</w:t>
      </w:r>
      <w:r w:rsidRPr="007A3F66">
        <w:rPr>
          <w:rFonts w:cstheme="minorHAnsi"/>
        </w:rPr>
        <w:t xml:space="preserve"> what parents do with their children has been found to exert a greater and independent influence on </w:t>
      </w:r>
      <w:r w:rsidR="00725329">
        <w:rPr>
          <w:rFonts w:cstheme="minorHAnsi"/>
        </w:rPr>
        <w:t xml:space="preserve">their </w:t>
      </w:r>
      <w:r w:rsidRPr="007A3F66">
        <w:rPr>
          <w:rFonts w:cstheme="minorHAnsi"/>
        </w:rPr>
        <w:t>educational attainment.</w:t>
      </w:r>
      <w:r w:rsidRPr="007A3F66">
        <w:rPr>
          <w:rStyle w:val="EndnoteReference"/>
          <w:rFonts w:ascii="Times-Roman" w:hAnsi="Times-Roman" w:cs="Times-Roman"/>
        </w:rPr>
        <w:endnoteReference w:id="32"/>
      </w:r>
      <w:r w:rsidRPr="007A3F66">
        <w:rPr>
          <w:rFonts w:ascii="Times-Roman" w:hAnsi="Times-Roman" w:cs="Times-Roman"/>
        </w:rPr>
        <w:t xml:space="preserve"> </w:t>
      </w:r>
      <w:r w:rsidRPr="007A3F66">
        <w:rPr>
          <w:rFonts w:cstheme="minorHAnsi"/>
        </w:rPr>
        <w:t>Children whose parents engaged regularly in home learning activities were found to be less likely to be at risk for special educational intervention.</w:t>
      </w:r>
      <w:r w:rsidRPr="007A3F66">
        <w:rPr>
          <w:rStyle w:val="EndnoteReference"/>
          <w:rFonts w:cstheme="minorHAnsi"/>
        </w:rPr>
        <w:endnoteReference w:id="33"/>
      </w:r>
    </w:p>
    <w:p w:rsidR="00192CBE" w:rsidRPr="007A3F66" w:rsidRDefault="00192CBE" w:rsidP="00192CBE">
      <w:pPr>
        <w:autoSpaceDE w:val="0"/>
        <w:autoSpaceDN w:val="0"/>
        <w:adjustRightInd w:val="0"/>
        <w:spacing w:after="0"/>
        <w:ind w:firstLine="720"/>
        <w:rPr>
          <w:rFonts w:cstheme="minorHAnsi"/>
        </w:rPr>
      </w:pPr>
    </w:p>
    <w:p w:rsidR="00725329" w:rsidRDefault="00192CBE" w:rsidP="00192CBE">
      <w:pPr>
        <w:autoSpaceDE w:val="0"/>
        <w:autoSpaceDN w:val="0"/>
        <w:adjustRightInd w:val="0"/>
        <w:spacing w:after="0"/>
        <w:rPr>
          <w:rFonts w:cstheme="minorHAnsi"/>
        </w:rPr>
      </w:pPr>
      <w:r w:rsidRPr="007A3F66">
        <w:rPr>
          <w:rFonts w:cstheme="minorHAnsi"/>
        </w:rPr>
        <w:t>The value of effective parenting in enhancing children’s learning and development</w:t>
      </w:r>
      <w:r w:rsidR="00426F8E" w:rsidRPr="003C30CF">
        <w:rPr>
          <w:rFonts w:cstheme="minorHAnsi"/>
        </w:rPr>
        <w:t>,</w:t>
      </w:r>
      <w:r w:rsidRPr="007A3F66">
        <w:rPr>
          <w:rFonts w:cstheme="minorHAnsi"/>
        </w:rPr>
        <w:t xml:space="preserve"> and establishing positive attitudes to learning</w:t>
      </w:r>
      <w:r w:rsidR="00426F8E" w:rsidRPr="00470D18">
        <w:rPr>
          <w:rFonts w:cstheme="minorHAnsi"/>
        </w:rPr>
        <w:t>,</w:t>
      </w:r>
      <w:r w:rsidRPr="007A3F66">
        <w:rPr>
          <w:rFonts w:cstheme="minorHAnsi"/>
        </w:rPr>
        <w:t xml:space="preserve"> is clear. Importantly, socio-economic status ought </w:t>
      </w:r>
      <w:r w:rsidR="00A605F1" w:rsidRPr="007A3F66">
        <w:rPr>
          <w:rFonts w:cstheme="minorHAnsi"/>
        </w:rPr>
        <w:t>not to</w:t>
      </w:r>
      <w:r w:rsidRPr="007A3F66">
        <w:rPr>
          <w:rFonts w:cstheme="minorHAnsi"/>
        </w:rPr>
        <w:t xml:space="preserve"> be a barrier to positive child development. Parents armed with knowledge </w:t>
      </w:r>
      <w:r w:rsidR="00FD6932">
        <w:rPr>
          <w:rFonts w:cstheme="minorHAnsi"/>
        </w:rPr>
        <w:t xml:space="preserve">about </w:t>
      </w:r>
      <w:r w:rsidRPr="007A3F66">
        <w:rPr>
          <w:rFonts w:cstheme="minorHAnsi"/>
        </w:rPr>
        <w:t xml:space="preserve">how to support their child’s development through positive and nurturing interactions can make a difference to their child’s current and future learning and development. </w:t>
      </w:r>
    </w:p>
    <w:p w:rsidR="00725329" w:rsidRDefault="00725329" w:rsidP="00192CBE">
      <w:pPr>
        <w:autoSpaceDE w:val="0"/>
        <w:autoSpaceDN w:val="0"/>
        <w:adjustRightInd w:val="0"/>
        <w:spacing w:after="0"/>
        <w:rPr>
          <w:rFonts w:cstheme="minorHAnsi"/>
        </w:rPr>
      </w:pPr>
    </w:p>
    <w:p w:rsidR="00192CBE" w:rsidRDefault="00192CBE" w:rsidP="00192CBE">
      <w:pPr>
        <w:autoSpaceDE w:val="0"/>
        <w:autoSpaceDN w:val="0"/>
        <w:adjustRightInd w:val="0"/>
        <w:spacing w:after="0"/>
        <w:rPr>
          <w:rFonts w:ascii="ArialMT" w:hAnsi="ArialMT" w:cs="ArialMT"/>
        </w:rPr>
      </w:pPr>
      <w:r w:rsidRPr="007A3F66">
        <w:rPr>
          <w:rFonts w:cstheme="minorHAnsi"/>
        </w:rPr>
        <w:t>The Effective Provision of Preschool Education study (UK) found that mothers with few qualifications and from low socio-economic backgrounds can improve their children’s progress and give them a better start at school by participating in activities at home that engage and stretch the child’s mind</w:t>
      </w:r>
      <w:r w:rsidR="00725329">
        <w:rPr>
          <w:rFonts w:cstheme="minorHAnsi"/>
        </w:rPr>
        <w:t xml:space="preserve">. This includes </w:t>
      </w:r>
      <w:r w:rsidRPr="007A3F66">
        <w:rPr>
          <w:rFonts w:cstheme="minorHAnsi"/>
        </w:rPr>
        <w:t>reading with the child, teaching songs and nursery rhymes, painting and drawing, playing with letters and numbers, visiting the library, teaching the alphabet and numbers, taking children on visits and creating regular opportunities for them to play with their friends at home</w:t>
      </w:r>
      <w:r w:rsidRPr="007A3F66">
        <w:rPr>
          <w:rFonts w:ascii="ArialMT" w:hAnsi="ArialMT" w:cs="ArialMT"/>
        </w:rPr>
        <w:t>.</w:t>
      </w:r>
      <w:r w:rsidRPr="007A3F66">
        <w:rPr>
          <w:rStyle w:val="EndnoteReference"/>
          <w:rFonts w:ascii="ArialMT" w:hAnsi="ArialMT" w:cs="ArialMT"/>
        </w:rPr>
        <w:endnoteReference w:id="34"/>
      </w:r>
      <w:r w:rsidRPr="007A3F66">
        <w:rPr>
          <w:rFonts w:ascii="ArialMT" w:hAnsi="ArialMT" w:cs="ArialMT"/>
        </w:rPr>
        <w:t xml:space="preserve"> </w:t>
      </w:r>
    </w:p>
    <w:p w:rsidR="004E455A" w:rsidRDefault="004E455A" w:rsidP="00192CBE">
      <w:pPr>
        <w:autoSpaceDE w:val="0"/>
        <w:autoSpaceDN w:val="0"/>
        <w:adjustRightInd w:val="0"/>
        <w:spacing w:after="0"/>
        <w:rPr>
          <w:rFonts w:ascii="ArialMT" w:hAnsi="ArialMT" w:cs="ArialMT"/>
        </w:rPr>
      </w:pPr>
    </w:p>
    <w:p w:rsidR="004E455A" w:rsidRPr="00A516DA" w:rsidRDefault="004E455A" w:rsidP="00192CBE">
      <w:pPr>
        <w:autoSpaceDE w:val="0"/>
        <w:autoSpaceDN w:val="0"/>
        <w:adjustRightInd w:val="0"/>
        <w:spacing w:after="0"/>
        <w:rPr>
          <w:rFonts w:cstheme="minorHAnsi"/>
        </w:rPr>
      </w:pPr>
      <w:r w:rsidRPr="00A516DA">
        <w:rPr>
          <w:rFonts w:cstheme="minorHAnsi"/>
        </w:rPr>
        <w:t xml:space="preserve">A child’s home environment can significantly influence later academic performance. For example, </w:t>
      </w:r>
      <w:r w:rsidR="00161C97">
        <w:rPr>
          <w:rFonts w:cstheme="minorHAnsi"/>
        </w:rPr>
        <w:t>a</w:t>
      </w:r>
      <w:r w:rsidRPr="00A516DA">
        <w:rPr>
          <w:rFonts w:cstheme="minorHAnsi"/>
        </w:rPr>
        <w:t xml:space="preserve"> stimulating home learning environment at the age of 2–3 years is associated with better language development and school readiness at 4–5 years and, in turn, better academic performance at Year 3 as measured by NAPLAN scores. Growing up in a stimulating home learning environment has been found to benefit children’s Year 3 NAPLAN scores by the equivalent of more than four months of schooling or 17.0 points for reading and </w:t>
      </w:r>
      <w:r w:rsidR="00586436">
        <w:rPr>
          <w:rFonts w:cstheme="minorHAnsi"/>
        </w:rPr>
        <w:t>eight</w:t>
      </w:r>
      <w:r w:rsidRPr="00A516DA">
        <w:rPr>
          <w:rFonts w:cstheme="minorHAnsi"/>
        </w:rPr>
        <w:t xml:space="preserve"> weeks of schooling or 10.8 points for numeracy.</w:t>
      </w:r>
      <w:r w:rsidR="0054415A">
        <w:rPr>
          <w:rStyle w:val="EndnoteReference"/>
          <w:rFonts w:cstheme="minorHAnsi"/>
        </w:rPr>
        <w:endnoteReference w:id="35"/>
      </w:r>
    </w:p>
    <w:p w:rsidR="004E455A" w:rsidRDefault="0054415A" w:rsidP="00192CBE">
      <w:pPr>
        <w:autoSpaceDE w:val="0"/>
        <w:autoSpaceDN w:val="0"/>
        <w:adjustRightInd w:val="0"/>
        <w:spacing w:after="0"/>
        <w:rPr>
          <w:rFonts w:cstheme="minorHAnsi"/>
        </w:rPr>
      </w:pPr>
      <w:r>
        <w:rPr>
          <w:rFonts w:cstheme="minorHAnsi"/>
        </w:rPr>
        <w:t>E</w:t>
      </w:r>
      <w:r w:rsidR="00192CBE" w:rsidRPr="007A3F66">
        <w:rPr>
          <w:rFonts w:cstheme="minorHAnsi"/>
        </w:rPr>
        <w:t>ngagement between parents and children build</w:t>
      </w:r>
      <w:r w:rsidR="00725329">
        <w:rPr>
          <w:rFonts w:cstheme="minorHAnsi"/>
        </w:rPr>
        <w:t>s</w:t>
      </w:r>
      <w:r w:rsidR="00192CBE" w:rsidRPr="007A3F66">
        <w:rPr>
          <w:rFonts w:cstheme="minorHAnsi"/>
        </w:rPr>
        <w:t xml:space="preserve"> </w:t>
      </w:r>
      <w:r w:rsidR="00F955C4">
        <w:rPr>
          <w:rFonts w:cstheme="minorHAnsi"/>
        </w:rPr>
        <w:t xml:space="preserve">cognitive </w:t>
      </w:r>
      <w:r w:rsidR="00192CBE" w:rsidRPr="007A3F66">
        <w:rPr>
          <w:rFonts w:cstheme="minorHAnsi"/>
        </w:rPr>
        <w:t xml:space="preserve">and language skills, positive dispositions to learning, thinking and reasoning skills while </w:t>
      </w:r>
      <w:r w:rsidR="00725329" w:rsidRPr="004475BD">
        <w:rPr>
          <w:rFonts w:cstheme="minorHAnsi"/>
        </w:rPr>
        <w:t>strengthen</w:t>
      </w:r>
      <w:r w:rsidR="00CA29CD" w:rsidRPr="00121163">
        <w:rPr>
          <w:rFonts w:cstheme="minorHAnsi"/>
        </w:rPr>
        <w:t>ing</w:t>
      </w:r>
      <w:r w:rsidR="00725329">
        <w:rPr>
          <w:rFonts w:cstheme="minorHAnsi"/>
        </w:rPr>
        <w:t xml:space="preserve"> the</w:t>
      </w:r>
      <w:r w:rsidR="00192CBE" w:rsidRPr="007A3F66">
        <w:rPr>
          <w:rFonts w:cstheme="minorHAnsi"/>
        </w:rPr>
        <w:t xml:space="preserve"> social relationship between the parent and child</w:t>
      </w:r>
      <w:r w:rsidR="00725329">
        <w:rPr>
          <w:rFonts w:cstheme="minorHAnsi"/>
        </w:rPr>
        <w:t>,</w:t>
      </w:r>
      <w:r w:rsidR="00192CBE" w:rsidRPr="007A3F66">
        <w:rPr>
          <w:rFonts w:cstheme="minorHAnsi"/>
        </w:rPr>
        <w:t xml:space="preserve"> helping to counteract possible negative impacts associated with poor parental engagement. </w:t>
      </w:r>
    </w:p>
    <w:p w:rsidR="004E455A" w:rsidRDefault="004E455A" w:rsidP="00192CBE">
      <w:pPr>
        <w:autoSpaceDE w:val="0"/>
        <w:autoSpaceDN w:val="0"/>
        <w:adjustRightInd w:val="0"/>
        <w:spacing w:after="0"/>
        <w:rPr>
          <w:rFonts w:cstheme="minorHAnsi"/>
        </w:rPr>
      </w:pPr>
    </w:p>
    <w:p w:rsidR="00192CBE" w:rsidRPr="007A3F66" w:rsidRDefault="00192CBE" w:rsidP="00192CBE">
      <w:pPr>
        <w:autoSpaceDE w:val="0"/>
        <w:autoSpaceDN w:val="0"/>
        <w:adjustRightInd w:val="0"/>
        <w:spacing w:after="0"/>
        <w:rPr>
          <w:rFonts w:cstheme="minorHAnsi"/>
        </w:rPr>
      </w:pPr>
      <w:r w:rsidRPr="007A3F66">
        <w:rPr>
          <w:rFonts w:cstheme="minorHAnsi"/>
        </w:rPr>
        <w:t xml:space="preserve">A study using data from the UK Millennium Cohort Study found that positive parenting can counteract the effects of poverty, with children experiencing positive parenting but growing up in persistent poverty more likely to be developmentally on track than </w:t>
      </w:r>
      <w:r w:rsidR="00725329">
        <w:rPr>
          <w:rFonts w:cstheme="minorHAnsi"/>
        </w:rPr>
        <w:t xml:space="preserve">those </w:t>
      </w:r>
      <w:r w:rsidRPr="007A3F66">
        <w:rPr>
          <w:rFonts w:cstheme="minorHAnsi"/>
        </w:rPr>
        <w:t>not in poverty but experi</w:t>
      </w:r>
      <w:r w:rsidR="00725329">
        <w:rPr>
          <w:rFonts w:cstheme="minorHAnsi"/>
        </w:rPr>
        <w:t xml:space="preserve">encing low skilled parenting </w:t>
      </w:r>
      <w:r w:rsidRPr="007A3F66">
        <w:rPr>
          <w:rFonts w:cstheme="minorHAnsi"/>
        </w:rPr>
        <w:t xml:space="preserve">(see </w:t>
      </w:r>
      <w:r w:rsidR="005B1D85" w:rsidRPr="00C10820">
        <w:t>C</w:t>
      </w:r>
      <w:r w:rsidR="005B1D85" w:rsidRPr="006910ED">
        <w:t>hart</w:t>
      </w:r>
      <w:r w:rsidR="005B1D85">
        <w:t xml:space="preserve"> 2</w:t>
      </w:r>
      <w:r w:rsidRPr="007A3F66">
        <w:rPr>
          <w:rFonts w:cstheme="minorHAnsi"/>
        </w:rPr>
        <w:t>).</w:t>
      </w:r>
      <w:r w:rsidRPr="007A3F66">
        <w:rPr>
          <w:rStyle w:val="EndnoteReference"/>
          <w:rFonts w:cstheme="minorHAnsi"/>
        </w:rPr>
        <w:endnoteReference w:id="36"/>
      </w:r>
    </w:p>
    <w:p w:rsidR="00865EBE" w:rsidRDefault="00865EBE" w:rsidP="00192CBE">
      <w:pPr>
        <w:autoSpaceDE w:val="0"/>
        <w:autoSpaceDN w:val="0"/>
        <w:adjustRightInd w:val="0"/>
        <w:spacing w:after="0"/>
        <w:rPr>
          <w:b/>
          <w:noProof/>
          <w:lang w:eastAsia="en-AU"/>
        </w:rPr>
      </w:pPr>
    </w:p>
    <w:p w:rsidR="00865EBE" w:rsidRDefault="00865EBE">
      <w:pPr>
        <w:spacing w:line="276" w:lineRule="auto"/>
        <w:rPr>
          <w:b/>
          <w:noProof/>
          <w:lang w:eastAsia="en-AU"/>
        </w:rPr>
      </w:pPr>
      <w:r>
        <w:rPr>
          <w:b/>
          <w:noProof/>
          <w:lang w:eastAsia="en-AU"/>
        </w:rPr>
        <w:br w:type="page"/>
      </w:r>
    </w:p>
    <w:p w:rsidR="00192CBE" w:rsidRDefault="00BB1920" w:rsidP="00192CBE">
      <w:pPr>
        <w:autoSpaceDE w:val="0"/>
        <w:autoSpaceDN w:val="0"/>
        <w:adjustRightInd w:val="0"/>
        <w:spacing w:after="0"/>
        <w:rPr>
          <w:b/>
          <w:noProof/>
          <w:lang w:eastAsia="en-AU"/>
        </w:rPr>
      </w:pPr>
      <w:r w:rsidRPr="00A516DA">
        <w:rPr>
          <w:b/>
          <w:noProof/>
          <w:lang w:eastAsia="en-AU"/>
        </w:rPr>
        <w:t xml:space="preserve">Chart 2: </w:t>
      </w:r>
      <w:r w:rsidR="00656801" w:rsidRPr="00A516DA">
        <w:rPr>
          <w:b/>
          <w:noProof/>
          <w:lang w:eastAsia="en-AU"/>
        </w:rPr>
        <w:t>Proportion of children developmentally on track</w:t>
      </w:r>
    </w:p>
    <w:p w:rsidR="00783230" w:rsidRDefault="00783230" w:rsidP="00192CBE">
      <w:pPr>
        <w:autoSpaceDE w:val="0"/>
        <w:autoSpaceDN w:val="0"/>
        <w:adjustRightInd w:val="0"/>
        <w:spacing w:after="0"/>
        <w:rPr>
          <w:b/>
          <w:noProof/>
          <w:lang w:eastAsia="en-AU"/>
        </w:rPr>
      </w:pPr>
    </w:p>
    <w:p w:rsidR="00192CBE" w:rsidRPr="00783230" w:rsidRDefault="00783230" w:rsidP="00192CBE">
      <w:pPr>
        <w:autoSpaceDE w:val="0"/>
        <w:autoSpaceDN w:val="0"/>
        <w:adjustRightInd w:val="0"/>
        <w:spacing w:after="0"/>
        <w:rPr>
          <w:b/>
          <w:noProof/>
          <w:lang w:eastAsia="en-AU"/>
        </w:rPr>
      </w:pPr>
      <w:r>
        <w:rPr>
          <w:noProof/>
          <w:lang w:eastAsia="en-AU"/>
        </w:rPr>
        <w:drawing>
          <wp:inline distT="0" distB="0" distL="0" distR="0" wp14:anchorId="43600C8A" wp14:editId="32090C24">
            <wp:extent cx="3520740" cy="1316102"/>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20843" cy="1316141"/>
                    </a:xfrm>
                    <a:prstGeom prst="rect">
                      <a:avLst/>
                    </a:prstGeom>
                  </pic:spPr>
                </pic:pic>
              </a:graphicData>
            </a:graphic>
          </wp:inline>
        </w:drawing>
      </w:r>
    </w:p>
    <w:p w:rsidR="00192CBE" w:rsidRPr="00A516DA" w:rsidRDefault="00192CBE" w:rsidP="00192CBE">
      <w:pPr>
        <w:autoSpaceDE w:val="0"/>
        <w:autoSpaceDN w:val="0"/>
        <w:adjustRightInd w:val="0"/>
        <w:spacing w:after="0"/>
        <w:rPr>
          <w:rFonts w:cs="ArialMT"/>
          <w:sz w:val="16"/>
          <w:szCs w:val="20"/>
        </w:rPr>
      </w:pPr>
      <w:r w:rsidRPr="00A516DA">
        <w:rPr>
          <w:rFonts w:cs="ArialMT"/>
          <w:b/>
          <w:i/>
          <w:sz w:val="16"/>
          <w:szCs w:val="20"/>
        </w:rPr>
        <w:t>Source:</w:t>
      </w:r>
      <w:r w:rsidRPr="00A516DA">
        <w:rPr>
          <w:rFonts w:cs="ArialMT"/>
          <w:sz w:val="16"/>
          <w:szCs w:val="20"/>
        </w:rPr>
        <w:t xml:space="preserve"> Kiernan &amp; Mensah (2011)</w:t>
      </w:r>
    </w:p>
    <w:p w:rsidR="00192CBE" w:rsidRDefault="00192CBE" w:rsidP="00192CBE">
      <w:pPr>
        <w:autoSpaceDE w:val="0"/>
        <w:autoSpaceDN w:val="0"/>
        <w:adjustRightInd w:val="0"/>
        <w:spacing w:after="0"/>
        <w:rPr>
          <w:rFonts w:cstheme="minorHAnsi"/>
          <w:sz w:val="20"/>
          <w:szCs w:val="20"/>
        </w:rPr>
      </w:pPr>
    </w:p>
    <w:p w:rsidR="00827ED9" w:rsidRPr="007A3F66" w:rsidRDefault="00827ED9" w:rsidP="00375FB1">
      <w:pPr>
        <w:rPr>
          <w:i/>
        </w:rPr>
      </w:pPr>
      <w:r w:rsidRPr="007A3F66">
        <w:rPr>
          <w:i/>
        </w:rPr>
        <w:t xml:space="preserve">Importance of childhood </w:t>
      </w:r>
    </w:p>
    <w:p w:rsidR="00385F6B" w:rsidRPr="007A3F66" w:rsidRDefault="00B20DBB" w:rsidP="00827ED9">
      <w:r>
        <w:t>C</w:t>
      </w:r>
      <w:r w:rsidR="00827ED9" w:rsidRPr="007A3F66">
        <w:t xml:space="preserve">hildren are not just future, productive </w:t>
      </w:r>
      <w:r w:rsidR="00287441" w:rsidRPr="007A3F66">
        <w:t>members</w:t>
      </w:r>
      <w:r w:rsidR="00F955C4">
        <w:t xml:space="preserve"> of an economy.</w:t>
      </w:r>
      <w:r w:rsidR="00827ED9" w:rsidRPr="007A3F66">
        <w:t xml:space="preserve"> While the focus of this Review has been on the impacts of early childhood on future outcomes, it is </w:t>
      </w:r>
      <w:r w:rsidR="00287441" w:rsidRPr="007A3F66">
        <w:t>vital to consider child</w:t>
      </w:r>
      <w:r w:rsidR="00F955C4">
        <w:t>ren</w:t>
      </w:r>
      <w:r w:rsidR="00287441" w:rsidRPr="007A3F66">
        <w:t xml:space="preserve"> as they are today, </w:t>
      </w:r>
      <w:r w:rsidR="00827ED9" w:rsidRPr="007A3F66">
        <w:t xml:space="preserve">with rights to their own unique childhood. </w:t>
      </w:r>
      <w:r w:rsidR="00385F6B" w:rsidRPr="007A3F66">
        <w:t xml:space="preserve">The child must be at the centre of early childhood services and policy. </w:t>
      </w:r>
    </w:p>
    <w:p w:rsidR="005B4279" w:rsidRDefault="00827ED9" w:rsidP="00375FB1">
      <w:r w:rsidRPr="007A3F66">
        <w:t xml:space="preserve">By design, </w:t>
      </w:r>
      <w:r w:rsidR="00807DCB" w:rsidRPr="007A3F66">
        <w:t xml:space="preserve">quality </w:t>
      </w:r>
      <w:r w:rsidRPr="007A3F66">
        <w:t xml:space="preserve">early childhood education and care services are focused on nurturing children in an environment in which the children are agents of their own learning. </w:t>
      </w:r>
      <w:r w:rsidR="00807DCB" w:rsidRPr="007A3F66">
        <w:t xml:space="preserve">This </w:t>
      </w:r>
      <w:r w:rsidRPr="007A3F66">
        <w:t xml:space="preserve">recognises and celebrates what it means to be a child. Educators work with and plan for the child who is, rather than the adult to come. Acknowledging and prioritising the unique strengths and capabilities of each child gives them the gift of becoming themselves. Learning takes place in a social context where </w:t>
      </w:r>
      <w:r w:rsidR="00F955C4">
        <w:t xml:space="preserve">learning to make </w:t>
      </w:r>
      <w:r w:rsidRPr="007A3F66">
        <w:t xml:space="preserve">friends is as important as knowledge. By acknowledging the importance and uniqueness of childhood, the Review seeks to position quality early childhood education as relevant and appropriate for children now, and </w:t>
      </w:r>
      <w:r w:rsidR="00F955C4">
        <w:t xml:space="preserve">for </w:t>
      </w:r>
      <w:r w:rsidRPr="007A3F66">
        <w:t>establishing the foundations f</w:t>
      </w:r>
      <w:r w:rsidR="00807DCB" w:rsidRPr="007A3F66">
        <w:t>or success in later schooling</w:t>
      </w:r>
      <w:r w:rsidR="00906059">
        <w:t xml:space="preserve"> and life</w:t>
      </w:r>
      <w:r w:rsidR="00807DCB" w:rsidRPr="007A3F66">
        <w:t>.</w:t>
      </w:r>
    </w:p>
    <w:p w:rsidR="00865EBE" w:rsidRDefault="00865EBE">
      <w:pPr>
        <w:ind w:left="720"/>
      </w:pPr>
    </w:p>
    <w:p w:rsidR="00375FB1" w:rsidRPr="00051D6A" w:rsidRDefault="00375FB1" w:rsidP="00375FB1">
      <w:pPr>
        <w:rPr>
          <w:i/>
        </w:rPr>
      </w:pPr>
      <w:r w:rsidRPr="00051D6A">
        <w:rPr>
          <w:i/>
        </w:rPr>
        <w:br w:type="page"/>
      </w:r>
    </w:p>
    <w:p w:rsidR="00375FB1" w:rsidRDefault="0063470E" w:rsidP="00375FB1">
      <w:pPr>
        <w:pStyle w:val="Heading1"/>
      </w:pPr>
      <w:bookmarkStart w:id="9" w:name="_Toc373586250"/>
      <w:bookmarkStart w:id="10" w:name="_Toc500850768"/>
      <w:r>
        <w:t xml:space="preserve">2.2 </w:t>
      </w:r>
      <w:r w:rsidR="00375FB1">
        <w:t>Background to early childhood in Australia</w:t>
      </w:r>
      <w:bookmarkEnd w:id="9"/>
      <w:bookmarkEnd w:id="10"/>
      <w:r w:rsidR="00375FB1">
        <w:t xml:space="preserve"> </w:t>
      </w:r>
    </w:p>
    <w:p w:rsidR="00EB5A93" w:rsidRDefault="00EB5A93" w:rsidP="00375FB1"/>
    <w:p w:rsidR="00B20DBB" w:rsidRDefault="00B20DBB" w:rsidP="00A105F5">
      <w:pPr>
        <w:spacing w:before="120" w:after="120" w:line="240" w:lineRule="atLeast"/>
      </w:pPr>
      <w:r>
        <w:t>Education-focused</w:t>
      </w:r>
      <w:r w:rsidRPr="007D5055">
        <w:t xml:space="preserve"> and care</w:t>
      </w:r>
      <w:r>
        <w:t>-focused</w:t>
      </w:r>
      <w:r w:rsidRPr="007D5055">
        <w:t xml:space="preserve"> </w:t>
      </w:r>
      <w:r>
        <w:t xml:space="preserve">services for young children developed separately </w:t>
      </w:r>
      <w:r w:rsidRPr="007D5055">
        <w:t>in Australia</w:t>
      </w:r>
      <w:r>
        <w:t xml:space="preserve"> as in many other countries</w:t>
      </w:r>
      <w:r>
        <w:rPr>
          <w:rStyle w:val="Heading3Char"/>
        </w:rPr>
        <w:t>.</w:t>
      </w:r>
      <w:r w:rsidRPr="00B20DBB">
        <w:rPr>
          <w:rStyle w:val="EndnoteReference"/>
        </w:rPr>
        <w:t xml:space="preserve"> </w:t>
      </w:r>
      <w:r w:rsidRPr="007D5055">
        <w:rPr>
          <w:rStyle w:val="EndnoteReference"/>
        </w:rPr>
        <w:endnoteReference w:id="37"/>
      </w:r>
      <w:r>
        <w:t xml:space="preserve"> </w:t>
      </w:r>
      <w:r w:rsidRPr="007D5055">
        <w:t>Th</w:t>
      </w:r>
      <w:r>
        <w:t>e</w:t>
      </w:r>
      <w:r w:rsidRPr="007D5055">
        <w:t xml:space="preserve"> division stems from the late </w:t>
      </w:r>
      <w:r>
        <w:t>19</w:t>
      </w:r>
      <w:r w:rsidRPr="000444FA">
        <w:rPr>
          <w:vertAlign w:val="superscript"/>
        </w:rPr>
        <w:t>th</w:t>
      </w:r>
      <w:r>
        <w:t xml:space="preserve"> century</w:t>
      </w:r>
      <w:r w:rsidRPr="007D5055">
        <w:t xml:space="preserve"> </w:t>
      </w:r>
      <w:r>
        <w:t>when</w:t>
      </w:r>
      <w:r w:rsidRPr="007D5055">
        <w:t xml:space="preserve"> kindergarten</w:t>
      </w:r>
      <w:r>
        <w:t xml:space="preserve">s </w:t>
      </w:r>
      <w:r w:rsidRPr="007D5055">
        <w:t>(</w:t>
      </w:r>
      <w:r>
        <w:t>which later became</w:t>
      </w:r>
      <w:r w:rsidRPr="007D5055">
        <w:t xml:space="preserve"> preschools)</w:t>
      </w:r>
      <w:r>
        <w:t xml:space="preserve"> and day nurseries (which evolved into long day care centres) were established under </w:t>
      </w:r>
      <w:r w:rsidRPr="00764F44">
        <w:t>distinct</w:t>
      </w:r>
      <w:r>
        <w:t xml:space="preserve"> auspices. Kindergartens operated for relatively short hours and were broadly focussed on providing</w:t>
      </w:r>
      <w:r w:rsidRPr="007D5055">
        <w:t xml:space="preserve"> educational experiences </w:t>
      </w:r>
      <w:r>
        <w:t>for children in the year or two before school, while d</w:t>
      </w:r>
      <w:r w:rsidRPr="007D5055">
        <w:t xml:space="preserve">ay nurseries </w:t>
      </w:r>
      <w:r>
        <w:t>focussed on children’s health and wellbeing</w:t>
      </w:r>
      <w:r w:rsidR="00BA3E57" w:rsidRPr="004475BD">
        <w:t>,</w:t>
      </w:r>
      <w:r>
        <w:t xml:space="preserve"> and operated</w:t>
      </w:r>
      <w:r w:rsidRPr="007D5055">
        <w:t xml:space="preserve"> for longer hours </w:t>
      </w:r>
      <w:r>
        <w:t>to support</w:t>
      </w:r>
      <w:r w:rsidRPr="007D5055">
        <w:t xml:space="preserve"> mothers’ employment.</w:t>
      </w:r>
      <w:r w:rsidRPr="00B20DBB">
        <w:rPr>
          <w:rStyle w:val="EndnoteReference"/>
        </w:rPr>
        <w:t xml:space="preserve"> </w:t>
      </w:r>
      <w:r w:rsidRPr="007D5055">
        <w:rPr>
          <w:rStyle w:val="EndnoteReference"/>
        </w:rPr>
        <w:endnoteReference w:id="38"/>
      </w:r>
      <w:r w:rsidRPr="007D5055">
        <w:t xml:space="preserve"> </w:t>
      </w:r>
      <w:r>
        <w:t xml:space="preserve">The founders of these early services took a broad view of how best to support children and families. </w:t>
      </w:r>
      <w:r w:rsidRPr="00A516DA">
        <w:rPr>
          <w:color w:val="000000"/>
          <w:lang w:val="en-GB"/>
        </w:rPr>
        <w:t>Their work included home visits to the families of the children enrolled in their services and the establishment of supervised playgrounds in the inner suburbs</w:t>
      </w:r>
      <w:r w:rsidRPr="00A516DA">
        <w:rPr>
          <w:color w:val="000000"/>
        </w:rPr>
        <w:t>.</w:t>
      </w:r>
      <w:r w:rsidRPr="00A516DA">
        <w:rPr>
          <w:rStyle w:val="EndnoteReference"/>
          <w:color w:val="000000"/>
        </w:rPr>
        <w:endnoteReference w:id="39"/>
      </w:r>
      <w:r w:rsidRPr="00A516DA">
        <w:rPr>
          <w:color w:val="000000"/>
        </w:rPr>
        <w:t xml:space="preserve"> </w:t>
      </w:r>
      <w:r>
        <w:t xml:space="preserve">Most </w:t>
      </w:r>
      <w:r w:rsidR="0037370A">
        <w:t>states</w:t>
      </w:r>
      <w:r w:rsidRPr="005F3410">
        <w:t xml:space="preserve"> and territories became involved in </w:t>
      </w:r>
      <w:r>
        <w:t>early childhood education</w:t>
      </w:r>
      <w:r w:rsidRPr="005F3410">
        <w:t xml:space="preserve"> from the 1960s and 1970s</w:t>
      </w:r>
      <w:r>
        <w:t>, as preschools became integrated with or supported by the education sector. T</w:t>
      </w:r>
      <w:r w:rsidRPr="00CE2648">
        <w:t>he</w:t>
      </w:r>
      <w:r>
        <w:t xml:space="preserve"> Commonwealth </w:t>
      </w:r>
      <w:r w:rsidR="00BA3E57" w:rsidRPr="00FC0EC5">
        <w:t>Government</w:t>
      </w:r>
      <w:r>
        <w:t xml:space="preserve"> supported integrated demonstration services (the Gowrie centres) in the six state capitals but it was not until the 1970s, with the passage of the</w:t>
      </w:r>
      <w:r>
        <w:rPr>
          <w:i/>
        </w:rPr>
        <w:t xml:space="preserve"> </w:t>
      </w:r>
      <w:r w:rsidRPr="005F3410">
        <w:rPr>
          <w:i/>
        </w:rPr>
        <w:t>Child Care Act 1972</w:t>
      </w:r>
      <w:r w:rsidRPr="00051D6A">
        <w:t>,</w:t>
      </w:r>
      <w:r>
        <w:t xml:space="preserve"> that the Commonwealth Government became involved in the sector in a substantive way, by providing funds to long day care centres to support maternal employment</w:t>
      </w:r>
      <w:r w:rsidRPr="005F3410">
        <w:t>.</w:t>
      </w:r>
      <w:r w:rsidRPr="00B20DBB">
        <w:rPr>
          <w:rStyle w:val="EndnoteReference"/>
        </w:rPr>
        <w:t xml:space="preserve"> </w:t>
      </w:r>
      <w:r w:rsidRPr="005F3410">
        <w:rPr>
          <w:rStyle w:val="EndnoteReference"/>
        </w:rPr>
        <w:endnoteReference w:id="40"/>
      </w:r>
    </w:p>
    <w:p w:rsidR="00A105F5" w:rsidRPr="005F3410" w:rsidRDefault="00A105F5" w:rsidP="00A105F5">
      <w:pPr>
        <w:spacing w:before="120" w:after="120" w:line="240" w:lineRule="atLeast"/>
      </w:pPr>
      <w:r>
        <w:t xml:space="preserve">These </w:t>
      </w:r>
      <w:r w:rsidR="00B20DBB">
        <w:t xml:space="preserve">early </w:t>
      </w:r>
      <w:r>
        <w:t xml:space="preserve">arrangements </w:t>
      </w:r>
      <w:r w:rsidR="00B20DBB">
        <w:t xml:space="preserve">established </w:t>
      </w:r>
      <w:r>
        <w:t xml:space="preserve">a division between education and </w:t>
      </w:r>
      <w:r w:rsidR="00BA3E57" w:rsidRPr="00121163">
        <w:t>care that</w:t>
      </w:r>
      <w:r w:rsidR="00B20DBB">
        <w:t xml:space="preserve"> remains largely in place</w:t>
      </w:r>
      <w:r>
        <w:t xml:space="preserve">. </w:t>
      </w:r>
      <w:r w:rsidRPr="005F3410">
        <w:t xml:space="preserve">As a result, states and territories have generally been responsible for </w:t>
      </w:r>
      <w:r w:rsidR="004B2777">
        <w:t xml:space="preserve">funding </w:t>
      </w:r>
      <w:r w:rsidRPr="005F3410">
        <w:t>early learning</w:t>
      </w:r>
      <w:r>
        <w:t xml:space="preserve"> </w:t>
      </w:r>
      <w:r w:rsidR="004B2777">
        <w:t xml:space="preserve">(including preschool) </w:t>
      </w:r>
      <w:r>
        <w:t xml:space="preserve">and the regulation of </w:t>
      </w:r>
      <w:r w:rsidRPr="005F3410">
        <w:t>early childhoo</w:t>
      </w:r>
      <w:r>
        <w:t>d services</w:t>
      </w:r>
      <w:r w:rsidRPr="005F3410">
        <w:t xml:space="preserve">, while </w:t>
      </w:r>
      <w:r w:rsidR="00B20DBB">
        <w:t xml:space="preserve">the Commonwealth retains responsibility for </w:t>
      </w:r>
      <w:r w:rsidRPr="005F3410">
        <w:t xml:space="preserve">fee </w:t>
      </w:r>
      <w:r w:rsidR="00B20DBB">
        <w:t xml:space="preserve">subsidies </w:t>
      </w:r>
      <w:r w:rsidRPr="005F3410">
        <w:t xml:space="preserve">to support workforce participation. </w:t>
      </w:r>
      <w:r w:rsidR="00B20DBB">
        <w:t xml:space="preserve">There has been some blurring of these </w:t>
      </w:r>
      <w:r w:rsidRPr="005F3410">
        <w:t xml:space="preserve">roles </w:t>
      </w:r>
      <w:r>
        <w:t xml:space="preserve">with recent </w:t>
      </w:r>
      <w:r w:rsidR="00B20DBB">
        <w:t xml:space="preserve">initiatives </w:t>
      </w:r>
      <w:r>
        <w:t xml:space="preserve">to integrate quality </w:t>
      </w:r>
      <w:r w:rsidR="00B20DBB">
        <w:t>regulation across the sector</w:t>
      </w:r>
      <w:r>
        <w:t>.</w:t>
      </w:r>
      <w:r w:rsidRPr="005F3410">
        <w:rPr>
          <w:rStyle w:val="EndnoteReference"/>
        </w:rPr>
        <w:endnoteReference w:id="41"/>
      </w:r>
      <w:r w:rsidRPr="005F3410">
        <w:t xml:space="preserve"> </w:t>
      </w:r>
    </w:p>
    <w:p w:rsidR="00375FB1" w:rsidRDefault="00B20DBB" w:rsidP="00375FB1">
      <w:r>
        <w:t>T</w:t>
      </w:r>
      <w:r w:rsidR="00375FB1">
        <w:t xml:space="preserve">he past decade has seen momentous reform in early childhood education and care in Australia. This has involved all levels of government and all service types, and has aimed to deliver greater integration between education-focused and care-focused forms of provision. </w:t>
      </w:r>
    </w:p>
    <w:p w:rsidR="00375FB1" w:rsidRDefault="00375FB1" w:rsidP="00375FB1">
      <w:r>
        <w:t xml:space="preserve">Early childhood reforms agreed </w:t>
      </w:r>
      <w:r w:rsidR="00BA3E57" w:rsidRPr="00030983">
        <w:t xml:space="preserve">to </w:t>
      </w:r>
      <w:r>
        <w:t>by the Council of Australian Governments (COAG) have led to significant sector change</w:t>
      </w:r>
      <w:r w:rsidR="00BA3E57" w:rsidRPr="00AD6FB3">
        <w:t xml:space="preserve">, </w:t>
      </w:r>
      <w:r w:rsidRPr="00121163">
        <w:t>draw</w:t>
      </w:r>
      <w:r w:rsidR="00BA3E57" w:rsidRPr="008F2D4E">
        <w:t>ing</w:t>
      </w:r>
      <w:r>
        <w:t xml:space="preserve"> Australia closer to the evidence-informed baseline international standards and frameworks. These reforms include </w:t>
      </w:r>
      <w:r w:rsidR="0037370A">
        <w:t>Universal Access</w:t>
      </w:r>
      <w:r>
        <w:t xml:space="preserve"> to early childhood education for children in the year before school and a consistent National Quality Framework, supported by higher investment. This supports children’s l</w:t>
      </w:r>
      <w:r w:rsidR="006606B3">
        <w:t>earning and development, parent</w:t>
      </w:r>
      <w:r>
        <w:t>s</w:t>
      </w:r>
      <w:r w:rsidR="006606B3">
        <w:t>’</w:t>
      </w:r>
      <w:r>
        <w:t xml:space="preserve"> workforce participation, and promotes consistency and quality improvement across early childhood services in Australia. </w:t>
      </w:r>
      <w:r w:rsidR="00B20DBB">
        <w:t xml:space="preserve">Nevertheless, the continued separation of functions between the states and territories and the </w:t>
      </w:r>
      <w:r w:rsidR="00753863">
        <w:t xml:space="preserve">Commonwealth </w:t>
      </w:r>
      <w:r w:rsidR="00B20DBB">
        <w:t>can sometimes lead to duplication and frustrate innovation as well as contribut</w:t>
      </w:r>
      <w:r w:rsidR="00586436">
        <w:t>e</w:t>
      </w:r>
      <w:r w:rsidR="00B20DBB">
        <w:t xml:space="preserve"> to a lack of planning and coordination.</w:t>
      </w:r>
    </w:p>
    <w:p w:rsidR="00375FB1" w:rsidRPr="007401CF" w:rsidRDefault="00375FB1" w:rsidP="00375FB1">
      <w:pPr>
        <w:rPr>
          <w:i/>
        </w:rPr>
      </w:pPr>
      <w:r>
        <w:rPr>
          <w:i/>
        </w:rPr>
        <w:t>Brief overview of recent reforms</w:t>
      </w:r>
    </w:p>
    <w:p w:rsidR="00375FB1" w:rsidRDefault="00375FB1" w:rsidP="00375FB1">
      <w:r w:rsidRPr="0085089E">
        <w:t xml:space="preserve">The </w:t>
      </w:r>
      <w:r w:rsidRPr="0085089E">
        <w:rPr>
          <w:i/>
        </w:rPr>
        <w:t>National Early Childhood Development Strategy – Investing in the Early Years</w:t>
      </w:r>
      <w:r>
        <w:rPr>
          <w:i/>
        </w:rPr>
        <w:t xml:space="preserve"> </w:t>
      </w:r>
      <w:r w:rsidRPr="00233CB2">
        <w:t>(the Strategy),</w:t>
      </w:r>
      <w:r w:rsidRPr="0085089E">
        <w:rPr>
          <w:i/>
        </w:rPr>
        <w:t xml:space="preserve"> </w:t>
      </w:r>
      <w:r w:rsidRPr="0085089E">
        <w:t>endorsed by</w:t>
      </w:r>
      <w:r w:rsidRPr="007570DF">
        <w:t xml:space="preserve"> </w:t>
      </w:r>
      <w:r>
        <w:t>C</w:t>
      </w:r>
      <w:r w:rsidRPr="007570DF">
        <w:t xml:space="preserve">OAG in 2009, </w:t>
      </w:r>
      <w:r>
        <w:t>expressed the commitment of</w:t>
      </w:r>
      <w:r w:rsidR="00A2620B">
        <w:t xml:space="preserve"> all governments to the vision ‘</w:t>
      </w:r>
      <w:r>
        <w:t>that by 2020 all children have the best start in life to create a better future for themselves and for the nation</w:t>
      </w:r>
      <w:r w:rsidR="00A2620B">
        <w:t>’</w:t>
      </w:r>
      <w:r>
        <w:t>.</w:t>
      </w:r>
      <w:r>
        <w:rPr>
          <w:rStyle w:val="EndnoteReference"/>
        </w:rPr>
        <w:endnoteReference w:id="42"/>
      </w:r>
      <w:r>
        <w:t xml:space="preserve"> The Strategy aims for improved outcomes (health, cognitive and social) for all children </w:t>
      </w:r>
      <w:r w:rsidRPr="00FA30F0">
        <w:t>by building a better early childhood development system </w:t>
      </w:r>
      <w:r>
        <w:t xml:space="preserve">that responds to the needs of all young children and their families, particularly the vulnerable or disadvantaged. </w:t>
      </w:r>
    </w:p>
    <w:p w:rsidR="00375FB1" w:rsidRDefault="00375FB1" w:rsidP="00375FB1">
      <w:r>
        <w:t xml:space="preserve">The Strategy also envisaged that a permanent National Agreement on Early Childhood Development would be developed for collaborative and comprehensive early childhood reform across the Commonwealth and </w:t>
      </w:r>
      <w:r w:rsidR="00C5354F" w:rsidRPr="00470D18">
        <w:t>s</w:t>
      </w:r>
      <w:r>
        <w:t xml:space="preserve">tates and </w:t>
      </w:r>
      <w:r w:rsidR="00C5354F" w:rsidRPr="004475BD">
        <w:t>t</w:t>
      </w:r>
      <w:r>
        <w:t xml:space="preserve">erritories. This has not yet occurred, with a succession of short-term National Partnerships instead being offered by the Commonwealth Government to support both </w:t>
      </w:r>
      <w:r w:rsidR="00F955C4">
        <w:t>U</w:t>
      </w:r>
      <w:r>
        <w:t xml:space="preserve">niversal </w:t>
      </w:r>
      <w:r w:rsidR="00F955C4">
        <w:t>A</w:t>
      </w:r>
      <w:r>
        <w:t xml:space="preserve">ccess and the National Quality Framework (further detail on these is outlined below). </w:t>
      </w:r>
    </w:p>
    <w:p w:rsidR="00375FB1" w:rsidRPr="007401CF" w:rsidRDefault="00375FB1" w:rsidP="00375FB1">
      <w:pPr>
        <w:rPr>
          <w:i/>
        </w:rPr>
      </w:pPr>
      <w:r>
        <w:rPr>
          <w:i/>
        </w:rPr>
        <w:t xml:space="preserve">Universal </w:t>
      </w:r>
      <w:r w:rsidR="00EB5A93">
        <w:rPr>
          <w:i/>
        </w:rPr>
        <w:t>A</w:t>
      </w:r>
      <w:r>
        <w:rPr>
          <w:i/>
        </w:rPr>
        <w:t xml:space="preserve">ccess </w:t>
      </w:r>
    </w:p>
    <w:p w:rsidR="00F668E1" w:rsidRDefault="00375FB1" w:rsidP="00375FB1">
      <w:r>
        <w:t xml:space="preserve">The first </w:t>
      </w:r>
      <w:r w:rsidRPr="00FA30F0">
        <w:rPr>
          <w:i/>
        </w:rPr>
        <w:t>National Partnership Agreement on Early Childhood Education</w:t>
      </w:r>
      <w:r>
        <w:t xml:space="preserve"> was </w:t>
      </w:r>
      <w:r w:rsidR="00EB5A93">
        <w:t xml:space="preserve">agreed </w:t>
      </w:r>
      <w:r>
        <w:t xml:space="preserve">by COAG in November 2008. Through </w:t>
      </w:r>
      <w:r w:rsidR="004A1375">
        <w:t xml:space="preserve">that and four </w:t>
      </w:r>
      <w:r>
        <w:t xml:space="preserve">subsequent </w:t>
      </w:r>
      <w:r w:rsidR="004A1375">
        <w:t xml:space="preserve">short-term </w:t>
      </w:r>
      <w:r>
        <w:t>agreements</w:t>
      </w:r>
      <w:r w:rsidR="004A1375">
        <w:t>,</w:t>
      </w:r>
      <w:r>
        <w:t xml:space="preserve"> it has provided funding to </w:t>
      </w:r>
      <w:r w:rsidR="00C5354F" w:rsidRPr="00B46A74">
        <w:t>s</w:t>
      </w:r>
      <w:r>
        <w:t xml:space="preserve">tates and </w:t>
      </w:r>
      <w:r w:rsidR="00C5354F" w:rsidRPr="00492CB6">
        <w:t>t</w:t>
      </w:r>
      <w:r>
        <w:t>erritories to support quality early childhood programs for all children in the year before school for 600 hours per year (or 15 hours per week), delivered by a qualified early childhood teacher.</w:t>
      </w:r>
      <w:r>
        <w:rPr>
          <w:rStyle w:val="EndnoteReference"/>
        </w:rPr>
        <w:endnoteReference w:id="43"/>
      </w:r>
      <w:r>
        <w:t xml:space="preserve"> </w:t>
      </w:r>
      <w:r w:rsidR="00E32B27">
        <w:t xml:space="preserve">Prior to this, states and territories provided support for a variety of early childhood education programs. Universal Access has brought a degree of national consistency and Commonwealth </w:t>
      </w:r>
      <w:r w:rsidR="001752FD">
        <w:t>G</w:t>
      </w:r>
      <w:r w:rsidR="00E32B27">
        <w:t xml:space="preserve">overnment funding to support this. </w:t>
      </w:r>
    </w:p>
    <w:p w:rsidR="00375FB1" w:rsidRDefault="00F668E1" w:rsidP="00375FB1">
      <w:r>
        <w:t xml:space="preserve">On average, the Commonwealth’s contribution </w:t>
      </w:r>
      <w:r w:rsidR="006B7CDA">
        <w:t xml:space="preserve">has </w:t>
      </w:r>
      <w:r>
        <w:t>represent</w:t>
      </w:r>
      <w:r w:rsidR="006B7CDA">
        <w:t>ed</w:t>
      </w:r>
      <w:r>
        <w:t xml:space="preserve"> about 31 per cent of total government expenditure on preschool. However, b</w:t>
      </w:r>
      <w:r w:rsidR="00F55E9F">
        <w:t xml:space="preserve">ecause the </w:t>
      </w:r>
      <w:r w:rsidR="00375FB1">
        <w:t xml:space="preserve">systems and finances vary from jurisdiction to jurisdiction, </w:t>
      </w:r>
      <w:r w:rsidR="00F55E9F">
        <w:t xml:space="preserve">the </w:t>
      </w:r>
      <w:r>
        <w:t>Commonwealth</w:t>
      </w:r>
      <w:r w:rsidR="00FD6932">
        <w:t>’</w:t>
      </w:r>
      <w:r>
        <w:t>s</w:t>
      </w:r>
      <w:r w:rsidR="00F55E9F">
        <w:t xml:space="preserve"> </w:t>
      </w:r>
      <w:r>
        <w:t>contribution</w:t>
      </w:r>
      <w:r w:rsidR="00F55E9F">
        <w:t xml:space="preserve"> represents between </w:t>
      </w:r>
      <w:r>
        <w:t xml:space="preserve">14.3 per cent and 62 per cent of </w:t>
      </w:r>
      <w:r w:rsidR="00906059">
        <w:t>the total spending of individual jurisdictions on preschool programs</w:t>
      </w:r>
      <w:r>
        <w:t>.</w:t>
      </w:r>
      <w:r>
        <w:rPr>
          <w:rStyle w:val="EndnoteReference"/>
        </w:rPr>
        <w:endnoteReference w:id="44"/>
      </w:r>
      <w:r w:rsidR="00B946A2">
        <w:t xml:space="preserve"> </w:t>
      </w:r>
    </w:p>
    <w:p w:rsidR="004B37CC" w:rsidRDefault="004B37CC" w:rsidP="00375FB1">
      <w:r>
        <w:t xml:space="preserve">The </w:t>
      </w:r>
      <w:r w:rsidR="00FD6932">
        <w:t xml:space="preserve">most recent agreement, </w:t>
      </w:r>
      <w:r w:rsidR="00372E7E">
        <w:t>which is not yet finalised</w:t>
      </w:r>
      <w:r w:rsidR="00FD6932">
        <w:t>, will lapse</w:t>
      </w:r>
      <w:r>
        <w:t xml:space="preserve"> at the end of 2018. </w:t>
      </w:r>
    </w:p>
    <w:p w:rsidR="00375FB1" w:rsidRDefault="00375FB1" w:rsidP="00375FB1">
      <w:pPr>
        <w:rPr>
          <w:i/>
        </w:rPr>
      </w:pPr>
      <w:r>
        <w:rPr>
          <w:i/>
        </w:rPr>
        <w:t>National Quality Agenda</w:t>
      </w:r>
    </w:p>
    <w:p w:rsidR="00375FB1" w:rsidRPr="00EC0C1D" w:rsidRDefault="00375FB1" w:rsidP="00EC0C1D">
      <w:pPr>
        <w:autoSpaceDE w:val="0"/>
        <w:autoSpaceDN w:val="0"/>
        <w:adjustRightInd w:val="0"/>
        <w:spacing w:after="0"/>
        <w:rPr>
          <w:rFonts w:ascii="Tms Rmn" w:hAnsi="Tms Rmn"/>
          <w:sz w:val="24"/>
          <w:szCs w:val="24"/>
        </w:rPr>
      </w:pPr>
      <w:r w:rsidRPr="00A54652">
        <w:t xml:space="preserve">The </w:t>
      </w:r>
      <w:r w:rsidRPr="00A54652">
        <w:rPr>
          <w:i/>
        </w:rPr>
        <w:t>National Partnership Agreement on the National Quality Ag</w:t>
      </w:r>
      <w:r w:rsidRPr="00FA30F0">
        <w:rPr>
          <w:i/>
        </w:rPr>
        <w:t>enda</w:t>
      </w:r>
      <w:r w:rsidRPr="00FC0EC5">
        <w:t>,</w:t>
      </w:r>
      <w:r>
        <w:t xml:space="preserve"> </w:t>
      </w:r>
      <w:r w:rsidRPr="003D05F8">
        <w:t xml:space="preserve">agreed by </w:t>
      </w:r>
      <w:r w:rsidR="00EB5A93">
        <w:t xml:space="preserve">COAG </w:t>
      </w:r>
      <w:r w:rsidRPr="003D05F8">
        <w:t xml:space="preserve">in </w:t>
      </w:r>
      <w:r w:rsidR="00EB5A93">
        <w:t>December </w:t>
      </w:r>
      <w:r>
        <w:t xml:space="preserve">2009, establishes the National Quality Framework. The National Quality Framework aims to </w:t>
      </w:r>
      <w:r w:rsidRPr="00356422">
        <w:t>deliver an integrated and unified national</w:t>
      </w:r>
      <w:r>
        <w:t xml:space="preserve"> quality</w:t>
      </w:r>
      <w:r w:rsidRPr="00356422">
        <w:t xml:space="preserve"> </w:t>
      </w:r>
      <w:r>
        <w:t xml:space="preserve">and regulatory </w:t>
      </w:r>
      <w:r w:rsidRPr="00356422">
        <w:t xml:space="preserve">system for </w:t>
      </w:r>
      <w:r>
        <w:t>early childhood education and care across most</w:t>
      </w:r>
      <w:r w:rsidR="00EA521D">
        <w:rPr>
          <w:rStyle w:val="FootnoteReference"/>
        </w:rPr>
        <w:footnoteReference w:id="6"/>
      </w:r>
      <w:r>
        <w:t xml:space="preserve"> preschools</w:t>
      </w:r>
      <w:r w:rsidR="0094711A">
        <w:t>,</w:t>
      </w:r>
      <w:r w:rsidR="00352B2C">
        <w:t xml:space="preserve"> </w:t>
      </w:r>
      <w:r>
        <w:t>long day care, family day care and outside school hours care</w:t>
      </w:r>
      <w:r w:rsidR="006606B3">
        <w:t xml:space="preserve"> services</w:t>
      </w:r>
      <w:r>
        <w:t xml:space="preserve">. It drives continuous quality improvement of services </w:t>
      </w:r>
      <w:r w:rsidR="00221598">
        <w:t>through</w:t>
      </w:r>
      <w:r>
        <w:t>:</w:t>
      </w:r>
    </w:p>
    <w:p w:rsidR="00375FB1" w:rsidRDefault="00375FB1" w:rsidP="00375FB1">
      <w:pPr>
        <w:pStyle w:val="ListParagraph"/>
        <w:numPr>
          <w:ilvl w:val="0"/>
          <w:numId w:val="14"/>
        </w:numPr>
      </w:pPr>
      <w:r>
        <w:t>a national legislative framework</w:t>
      </w:r>
    </w:p>
    <w:p w:rsidR="00375FB1" w:rsidRDefault="00375FB1" w:rsidP="00375FB1">
      <w:pPr>
        <w:pStyle w:val="ListParagraph"/>
        <w:numPr>
          <w:ilvl w:val="0"/>
          <w:numId w:val="14"/>
        </w:numPr>
      </w:pPr>
      <w:r>
        <w:t xml:space="preserve">a National Quality Standard </w:t>
      </w:r>
      <w:r w:rsidR="00AE1FE4" w:rsidRPr="00423D14">
        <w:t>that</w:t>
      </w:r>
      <w:r>
        <w:t xml:space="preserve"> sets a national benchmark for quality </w:t>
      </w:r>
      <w:r w:rsidR="00136B4A">
        <w:t>early childhood education and care</w:t>
      </w:r>
      <w:r>
        <w:t xml:space="preserve"> (including minimum educator-to-child ratios and educator qualifications)</w:t>
      </w:r>
    </w:p>
    <w:p w:rsidR="00375FB1" w:rsidRDefault="00375FB1" w:rsidP="00375FB1">
      <w:pPr>
        <w:pStyle w:val="ListParagraph"/>
        <w:numPr>
          <w:ilvl w:val="0"/>
          <w:numId w:val="14"/>
        </w:numPr>
      </w:pPr>
      <w:r w:rsidRPr="003E5889">
        <w:rPr>
          <w:i/>
          <w:iCs/>
        </w:rPr>
        <w:t>Belonging,</w:t>
      </w:r>
      <w:r>
        <w:rPr>
          <w:i/>
          <w:iCs/>
        </w:rPr>
        <w:t xml:space="preserve"> Being, </w:t>
      </w:r>
      <w:r w:rsidRPr="003E5889">
        <w:rPr>
          <w:i/>
          <w:iCs/>
        </w:rPr>
        <w:t>Becoming: the Early Years Learning Framework</w:t>
      </w:r>
      <w:r w:rsidR="00AE1FE4" w:rsidRPr="004F62A2">
        <w:rPr>
          <w:iCs/>
        </w:rPr>
        <w:t>,</w:t>
      </w:r>
      <w:r w:rsidRPr="003E5889">
        <w:rPr>
          <w:i/>
          <w:iCs/>
        </w:rPr>
        <w:t xml:space="preserve"> </w:t>
      </w:r>
      <w:r w:rsidRPr="00FA30F0">
        <w:t xml:space="preserve">which provides a nationally consistent </w:t>
      </w:r>
      <w:r>
        <w:t>early years curriculum</w:t>
      </w:r>
      <w:r w:rsidR="00F668E1">
        <w:t xml:space="preserve"> framework</w:t>
      </w:r>
    </w:p>
    <w:p w:rsidR="00375FB1" w:rsidRDefault="00375FB1" w:rsidP="00375FB1">
      <w:pPr>
        <w:pStyle w:val="ListParagraph"/>
        <w:numPr>
          <w:ilvl w:val="0"/>
          <w:numId w:val="14"/>
        </w:numPr>
      </w:pPr>
      <w:r>
        <w:t xml:space="preserve">a quality assessment and rating system </w:t>
      </w:r>
      <w:r w:rsidR="00AE1FE4" w:rsidRPr="00FE0C75">
        <w:t xml:space="preserve">that </w:t>
      </w:r>
      <w:r>
        <w:t>promotes transparency and accountability</w:t>
      </w:r>
    </w:p>
    <w:p w:rsidR="00375FB1" w:rsidRDefault="00375FB1" w:rsidP="00375FB1">
      <w:pPr>
        <w:pStyle w:val="ListParagraph"/>
        <w:numPr>
          <w:ilvl w:val="0"/>
          <w:numId w:val="14"/>
        </w:numPr>
      </w:pPr>
      <w:r>
        <w:t xml:space="preserve">a regulatory authority in each </w:t>
      </w:r>
      <w:r w:rsidR="0037370A">
        <w:t>state</w:t>
      </w:r>
      <w:r>
        <w:t xml:space="preserve"> and </w:t>
      </w:r>
      <w:r w:rsidR="0037370A">
        <w:t>territory</w:t>
      </w:r>
      <w:r>
        <w:t xml:space="preserve"> </w:t>
      </w:r>
      <w:r w:rsidR="00AE1FE4" w:rsidRPr="008B7815">
        <w:t xml:space="preserve">that </w:t>
      </w:r>
      <w:r>
        <w:t>administers the National Quality Framework, including approval, compliance monitoring and rating of services</w:t>
      </w:r>
    </w:p>
    <w:p w:rsidR="00375FB1" w:rsidRDefault="00375FB1" w:rsidP="00A36840">
      <w:pPr>
        <w:pStyle w:val="ListParagraph"/>
        <w:numPr>
          <w:ilvl w:val="0"/>
          <w:numId w:val="14"/>
        </w:numPr>
      </w:pPr>
      <w:r>
        <w:t>a national body, the Australian Children’s Educat</w:t>
      </w:r>
      <w:r w:rsidR="00EB5A93">
        <w:t>ion and Care Quality Authority</w:t>
      </w:r>
      <w:r>
        <w:t xml:space="preserve">, which </w:t>
      </w:r>
      <w:r w:rsidR="00A36840" w:rsidRPr="00A36840">
        <w:t xml:space="preserve">works with the state and territory regulatory authorities to implement and administer the </w:t>
      </w:r>
      <w:r w:rsidR="00E95A60">
        <w:t>National Quality Framework</w:t>
      </w:r>
      <w:r>
        <w:t xml:space="preserve">. </w:t>
      </w:r>
    </w:p>
    <w:p w:rsidR="00375FB1" w:rsidRDefault="00375FB1" w:rsidP="00375FB1">
      <w:r>
        <w:t xml:space="preserve">The National Quality Standard aims to promote the safety, health and wellbeing of children </w:t>
      </w:r>
      <w:r w:rsidR="00735D57">
        <w:t xml:space="preserve">and </w:t>
      </w:r>
      <w:r>
        <w:t xml:space="preserve">their </w:t>
      </w:r>
      <w:r w:rsidRPr="00356422">
        <w:t xml:space="preserve">educational and developmental outcomes </w:t>
      </w:r>
      <w:r>
        <w:t>through high-quality educational programs</w:t>
      </w:r>
      <w:r w:rsidR="00735D57">
        <w:t xml:space="preserve">. It also aims to promote </w:t>
      </w:r>
      <w:r>
        <w:t>families’ understanding of what distinguishes a quality service.</w:t>
      </w:r>
      <w:r>
        <w:rPr>
          <w:rStyle w:val="EndnoteReference"/>
        </w:rPr>
        <w:endnoteReference w:id="45"/>
      </w:r>
    </w:p>
    <w:p w:rsidR="00375FB1" w:rsidRDefault="00375FB1" w:rsidP="00375FB1">
      <w:pPr>
        <w:rPr>
          <w:rStyle w:val="CommentReference"/>
        </w:rPr>
      </w:pPr>
      <w:r>
        <w:t xml:space="preserve">All governments have worked together to support the implementation of this historic reform, </w:t>
      </w:r>
      <w:r w:rsidR="00A36840">
        <w:t xml:space="preserve">which replaced separate state and territory licensing regimes. </w:t>
      </w:r>
      <w:r w:rsidR="00612F61">
        <w:t>The Review heard that states and t</w:t>
      </w:r>
      <w:r w:rsidR="00457BB4">
        <w:t>erritories have made a significant contribution towards regulation</w:t>
      </w:r>
      <w:r w:rsidR="00612F61">
        <w:t xml:space="preserve">, </w:t>
      </w:r>
      <w:r w:rsidR="00A36840">
        <w:t>in addition to the approximately</w:t>
      </w:r>
      <w:r>
        <w:t xml:space="preserve"> $141.4 million</w:t>
      </w:r>
      <w:r w:rsidR="00EB5A93">
        <w:rPr>
          <w:rStyle w:val="EndnoteReference"/>
        </w:rPr>
        <w:endnoteReference w:id="46"/>
      </w:r>
      <w:r w:rsidR="00EB5A93">
        <w:t xml:space="preserve"> </w:t>
      </w:r>
      <w:r>
        <w:t xml:space="preserve">made available to them by the </w:t>
      </w:r>
      <w:r w:rsidR="00A36840">
        <w:t xml:space="preserve">Commonwealth </w:t>
      </w:r>
      <w:r>
        <w:t xml:space="preserve">Government since 2010 to progress the objectives under the </w:t>
      </w:r>
      <w:r w:rsidR="00735D57">
        <w:t xml:space="preserve">National Quality Agenda </w:t>
      </w:r>
      <w:r>
        <w:t>until June 2018.</w:t>
      </w:r>
      <w:r>
        <w:rPr>
          <w:rStyle w:val="EndnoteReference"/>
        </w:rPr>
        <w:endnoteReference w:id="47"/>
      </w:r>
      <w:r w:rsidR="00B946A2">
        <w:t xml:space="preserve"> </w:t>
      </w:r>
    </w:p>
    <w:p w:rsidR="006F1863" w:rsidRPr="006F1863" w:rsidRDefault="006F1863" w:rsidP="006F1863">
      <w:r>
        <w:t>Regulatory authorities within each s</w:t>
      </w:r>
      <w:r w:rsidR="0013465B">
        <w:t>tate</w:t>
      </w:r>
      <w:r>
        <w:t xml:space="preserve"> </w:t>
      </w:r>
      <w:r w:rsidR="0013465B">
        <w:t xml:space="preserve">and </w:t>
      </w:r>
      <w:r>
        <w:t>t</w:t>
      </w:r>
      <w:r w:rsidR="0013465B">
        <w:t xml:space="preserve">erritory carry out the regulatory activities (including assessing and rating services), </w:t>
      </w:r>
      <w:r>
        <w:t xml:space="preserve">and </w:t>
      </w:r>
      <w:r w:rsidRPr="006F1863">
        <w:t xml:space="preserve">authorised officers are vested with specific powers to monitor services, issue compliance directions and investigate legislative breaches. The </w:t>
      </w:r>
      <w:r w:rsidR="00735D57">
        <w:t>National Partnership Agreement</w:t>
      </w:r>
      <w:r w:rsidRPr="006F1863">
        <w:t xml:space="preserve"> </w:t>
      </w:r>
      <w:r w:rsidR="00277DD6">
        <w:t xml:space="preserve">includes an ‘ultimate intention’ of </w:t>
      </w:r>
      <w:r w:rsidR="00277DD6" w:rsidRPr="00423D14">
        <w:t>states</w:t>
      </w:r>
      <w:r w:rsidR="00AE1FE4" w:rsidRPr="00830DA1">
        <w:t>’</w:t>
      </w:r>
      <w:r w:rsidR="00277DD6" w:rsidRPr="006F1863">
        <w:t xml:space="preserve"> </w:t>
      </w:r>
      <w:r w:rsidR="00277DD6">
        <w:t xml:space="preserve">and </w:t>
      </w:r>
      <w:r w:rsidR="00277DD6" w:rsidRPr="00E502FD">
        <w:t>territories</w:t>
      </w:r>
      <w:r w:rsidR="00AE1FE4" w:rsidRPr="008E688A">
        <w:t>’</w:t>
      </w:r>
      <w:r w:rsidR="000F321B">
        <w:t xml:space="preserve"> funding around </w:t>
      </w:r>
      <w:r w:rsidR="00277DD6" w:rsidRPr="006F1863">
        <w:t xml:space="preserve">60 per cent </w:t>
      </w:r>
      <w:r w:rsidR="00277DD6">
        <w:t xml:space="preserve">and </w:t>
      </w:r>
      <w:r w:rsidRPr="006F1863">
        <w:t>the Commonwealth fundi</w:t>
      </w:r>
      <w:r w:rsidR="00277DD6">
        <w:t>ng 40 </w:t>
      </w:r>
      <w:r w:rsidRPr="006F1863">
        <w:t xml:space="preserve">per cent of </w:t>
      </w:r>
      <w:r w:rsidR="00457BB4">
        <w:t xml:space="preserve">the </w:t>
      </w:r>
      <w:r w:rsidRPr="006F1863">
        <w:t xml:space="preserve">agreed </w:t>
      </w:r>
      <w:r w:rsidR="00457BB4">
        <w:t xml:space="preserve">nationally </w:t>
      </w:r>
      <w:r w:rsidRPr="006F1863">
        <w:t>efficient cost from 2020</w:t>
      </w:r>
      <w:r w:rsidR="00277DD6">
        <w:t xml:space="preserve">. </w:t>
      </w:r>
    </w:p>
    <w:p w:rsidR="00EC0C1D" w:rsidRPr="006F1863" w:rsidRDefault="00EC0C1D" w:rsidP="006F1863">
      <w:r w:rsidRPr="00914834">
        <w:t xml:space="preserve">The current </w:t>
      </w:r>
      <w:r w:rsidR="00457BB4">
        <w:t xml:space="preserve">National Partnership Agreement on the </w:t>
      </w:r>
      <w:r w:rsidR="00735D57">
        <w:t xml:space="preserve">National Quality Agenda </w:t>
      </w:r>
      <w:r w:rsidR="00535B7A">
        <w:t>expects all services to be assessed and rated every three years, but only re</w:t>
      </w:r>
      <w:r w:rsidRPr="00914834">
        <w:t>quires 15 per cent of services to b</w:t>
      </w:r>
      <w:r w:rsidR="00535B7A">
        <w:t>e assessed and rated each year</w:t>
      </w:r>
      <w:r w:rsidR="00221598">
        <w:t xml:space="preserve"> </w:t>
      </w:r>
      <w:r w:rsidR="006534DC">
        <w:t xml:space="preserve">for jurisdictions </w:t>
      </w:r>
      <w:r w:rsidR="00221598">
        <w:t xml:space="preserve">to receive </w:t>
      </w:r>
      <w:r w:rsidR="006B7CDA">
        <w:t xml:space="preserve">all available </w:t>
      </w:r>
      <w:r w:rsidR="00221598">
        <w:t>Commonwealth funding</w:t>
      </w:r>
      <w:r w:rsidR="00535B7A">
        <w:t>.</w:t>
      </w:r>
      <w:r w:rsidR="00535B7A" w:rsidRPr="006F1863">
        <w:rPr>
          <w:vertAlign w:val="superscript"/>
        </w:rPr>
        <w:endnoteReference w:id="48"/>
      </w:r>
      <w:r w:rsidR="00535B7A">
        <w:t xml:space="preserve"> </w:t>
      </w:r>
      <w:r w:rsidRPr="00914834">
        <w:t xml:space="preserve">This </w:t>
      </w:r>
      <w:r w:rsidR="003E29E0">
        <w:t xml:space="preserve">would </w:t>
      </w:r>
      <w:r w:rsidRPr="00914834">
        <w:t xml:space="preserve">equate to </w:t>
      </w:r>
      <w:r w:rsidR="003E29E0">
        <w:t xml:space="preserve">all </w:t>
      </w:r>
      <w:r w:rsidRPr="00914834">
        <w:t xml:space="preserve">services being reassessed approximately every seven years, although the Review heard that in practice </w:t>
      </w:r>
      <w:r w:rsidR="003E29E0">
        <w:t>services are often reass</w:t>
      </w:r>
      <w:r w:rsidR="00586436">
        <w:t>ess</w:t>
      </w:r>
      <w:r w:rsidR="003E29E0">
        <w:t xml:space="preserve">ed more frequently – for example, </w:t>
      </w:r>
      <w:r w:rsidRPr="00914834">
        <w:t>lower quality services, and those otherwise considered higher risk (</w:t>
      </w:r>
      <w:r w:rsidR="0065166D" w:rsidRPr="00030983">
        <w:t>for example,</w:t>
      </w:r>
      <w:r w:rsidRPr="00914834">
        <w:t xml:space="preserve"> due to complaints), are prioritised for re-rating</w:t>
      </w:r>
      <w:r>
        <w:t>.</w:t>
      </w:r>
      <w:r w:rsidR="00535B7A">
        <w:t xml:space="preserve"> </w:t>
      </w:r>
    </w:p>
    <w:p w:rsidR="00375FB1" w:rsidRPr="007401CF" w:rsidRDefault="00375FB1" w:rsidP="00375FB1">
      <w:pPr>
        <w:rPr>
          <w:i/>
        </w:rPr>
      </w:pPr>
      <w:r w:rsidRPr="007401CF">
        <w:rPr>
          <w:i/>
        </w:rPr>
        <w:t xml:space="preserve">Investment </w:t>
      </w:r>
    </w:p>
    <w:p w:rsidR="00375FB1" w:rsidRDefault="00375FB1" w:rsidP="00375FB1">
      <w:r>
        <w:t>Total Commonwealth</w:t>
      </w:r>
      <w:r w:rsidRPr="008F2D4E">
        <w:t xml:space="preserve">, </w:t>
      </w:r>
      <w:r w:rsidR="001752FD">
        <w:t>s</w:t>
      </w:r>
      <w:r>
        <w:t xml:space="preserve">tate and </w:t>
      </w:r>
      <w:r w:rsidR="001752FD">
        <w:t>t</w:t>
      </w:r>
      <w:r>
        <w:t xml:space="preserve">erritory government expenditure on </w:t>
      </w:r>
      <w:r w:rsidR="00962315">
        <w:t xml:space="preserve">early childhood education and care </w:t>
      </w:r>
      <w:r>
        <w:t xml:space="preserve">services has grown rapidly over the </w:t>
      </w:r>
      <w:r w:rsidR="00586436">
        <w:t xml:space="preserve">past </w:t>
      </w:r>
      <w:r>
        <w:t>decade, from around $3.03 billion in 2006-07</w:t>
      </w:r>
      <w:r>
        <w:rPr>
          <w:rStyle w:val="EndnoteReference"/>
        </w:rPr>
        <w:endnoteReference w:id="49"/>
      </w:r>
      <w:r>
        <w:t xml:space="preserve"> to $9.1 billion in 2015-16. The vast majority of this funding has been to subsidise child care</w:t>
      </w:r>
      <w:r w:rsidR="00AD4E3E">
        <w:t xml:space="preserve"> </w:t>
      </w:r>
      <w:r>
        <w:t>to support workforce participation, and is provided by the Commonwealth Government.</w:t>
      </w:r>
      <w:r>
        <w:rPr>
          <w:rStyle w:val="EndnoteReference"/>
        </w:rPr>
        <w:endnoteReference w:id="50"/>
      </w:r>
      <w:r>
        <w:t xml:space="preserve"> </w:t>
      </w:r>
    </w:p>
    <w:p w:rsidR="002E5D34" w:rsidRDefault="00375FB1" w:rsidP="00375FB1">
      <w:r>
        <w:t xml:space="preserve">As part of the 2017-18 Budget, the </w:t>
      </w:r>
      <w:r w:rsidR="00753863">
        <w:t xml:space="preserve">Commonwealth </w:t>
      </w:r>
      <w:r>
        <w:t>Government announced it will invest around $37 billion on child</w:t>
      </w:r>
      <w:r w:rsidR="00EA521D">
        <w:t xml:space="preserve"> </w:t>
      </w:r>
      <w:r>
        <w:t xml:space="preserve">care support over the next four years, which includes an increase of around $2.5 billion to support the implementation of the new </w:t>
      </w:r>
      <w:r w:rsidRPr="003D5F7E">
        <w:rPr>
          <w:i/>
        </w:rPr>
        <w:t>Jobs for Families</w:t>
      </w:r>
      <w:r>
        <w:t xml:space="preserve"> child</w:t>
      </w:r>
      <w:r w:rsidR="00EA521D">
        <w:t xml:space="preserve"> </w:t>
      </w:r>
      <w:r>
        <w:t>care package.</w:t>
      </w:r>
      <w:r>
        <w:rPr>
          <w:rStyle w:val="EndnoteReference"/>
        </w:rPr>
        <w:endnoteReference w:id="51"/>
      </w:r>
      <w:r>
        <w:t xml:space="preserve"> </w:t>
      </w:r>
    </w:p>
    <w:p w:rsidR="002E5D34" w:rsidRDefault="002E5D34" w:rsidP="002E5D34">
      <w:r>
        <w:t>In terms of preschool expenditure, around $1.</w:t>
      </w:r>
      <w:r w:rsidR="004B37CC">
        <w:t>35</w:t>
      </w:r>
      <w:r>
        <w:t xml:space="preserve"> billion was spent on preschool in 2015-16</w:t>
      </w:r>
      <w:r w:rsidR="004B37CC">
        <w:t xml:space="preserve"> by governments</w:t>
      </w:r>
      <w:r>
        <w:t xml:space="preserve">. The Commonwealth contributed about 30 per cent ($408 million), with </w:t>
      </w:r>
      <w:r w:rsidR="00B63619">
        <w:t>the</w:t>
      </w:r>
      <w:r w:rsidRPr="00FC0EC5">
        <w:t xml:space="preserve"> </w:t>
      </w:r>
      <w:r w:rsidR="0037370A">
        <w:t>states</w:t>
      </w:r>
      <w:r>
        <w:t xml:space="preserve"> and </w:t>
      </w:r>
      <w:r w:rsidR="0037370A">
        <w:t>territories</w:t>
      </w:r>
      <w:r>
        <w:t xml:space="preserve"> providing 70 per cent ($944 million). Since 2007-08, state and territory contributions to preschool funding have grown by about 67 per cent.</w:t>
      </w:r>
      <w:r>
        <w:rPr>
          <w:rStyle w:val="EndnoteReference"/>
        </w:rPr>
        <w:endnoteReference w:id="52"/>
      </w:r>
      <w:r>
        <w:t xml:space="preserve"> </w:t>
      </w:r>
    </w:p>
    <w:p w:rsidR="00375FB1" w:rsidRDefault="004A1375" w:rsidP="00375FB1">
      <w:r>
        <w:t xml:space="preserve">More broadly, </w:t>
      </w:r>
      <w:r w:rsidRPr="004A1375">
        <w:t xml:space="preserve">total government expenditure on school education </w:t>
      </w:r>
      <w:r>
        <w:t xml:space="preserve">in 2015 </w:t>
      </w:r>
      <w:r w:rsidRPr="004A1375">
        <w:t xml:space="preserve">was $53 billion. The </w:t>
      </w:r>
      <w:r w:rsidR="0037370A">
        <w:t>states</w:t>
      </w:r>
      <w:r w:rsidR="00334B7E">
        <w:t>’</w:t>
      </w:r>
      <w:r w:rsidRPr="004A1375">
        <w:t xml:space="preserve"> and </w:t>
      </w:r>
      <w:r w:rsidR="0037370A">
        <w:t>territories</w:t>
      </w:r>
      <w:r w:rsidR="00334B7E">
        <w:t>’</w:t>
      </w:r>
      <w:r w:rsidRPr="004A1375">
        <w:t xml:space="preserve"> </w:t>
      </w:r>
      <w:r>
        <w:t xml:space="preserve">contribution </w:t>
      </w:r>
      <w:r w:rsidRPr="004A1375">
        <w:t xml:space="preserve">was $38.1 billion (71.9 per cent) and the </w:t>
      </w:r>
      <w:r>
        <w:t xml:space="preserve">Commonwealth </w:t>
      </w:r>
      <w:r w:rsidRPr="004A1375">
        <w:t>Government share was $14.9 billion (28.1 per cent).</w:t>
      </w:r>
      <w:r>
        <w:rPr>
          <w:rStyle w:val="EndnoteReference"/>
        </w:rPr>
        <w:endnoteReference w:id="53"/>
      </w:r>
      <w:r>
        <w:t xml:space="preserve"> </w:t>
      </w:r>
      <w:r w:rsidR="00375FB1">
        <w:t xml:space="preserve">The Commonwealth has also announced an additional $23.4 billion in funding for Australian schools over the next 10 years through its </w:t>
      </w:r>
      <w:r w:rsidR="00375FB1">
        <w:rPr>
          <w:i/>
        </w:rPr>
        <w:t xml:space="preserve">Quality Schools </w:t>
      </w:r>
      <w:r w:rsidR="00375FB1">
        <w:t>package.</w:t>
      </w:r>
      <w:r w:rsidR="00EB5A93">
        <w:rPr>
          <w:rStyle w:val="EndnoteReference"/>
        </w:rPr>
        <w:endnoteReference w:id="54"/>
      </w:r>
      <w:r w:rsidR="00457BB4">
        <w:t xml:space="preserve"> </w:t>
      </w:r>
      <w:r w:rsidR="00BD5771">
        <w:t xml:space="preserve">While this package is still being negotiated, </w:t>
      </w:r>
      <w:r w:rsidR="00962315">
        <w:t>states and t</w:t>
      </w:r>
      <w:r w:rsidR="00457BB4">
        <w:t xml:space="preserve">erritories will </w:t>
      </w:r>
      <w:r w:rsidR="000C11C6">
        <w:t xml:space="preserve">be required to </w:t>
      </w:r>
      <w:r w:rsidR="00457BB4">
        <w:t xml:space="preserve">continue </w:t>
      </w:r>
      <w:r w:rsidR="000C11C6">
        <w:t>making</w:t>
      </w:r>
      <w:r w:rsidR="00457BB4">
        <w:t xml:space="preserve"> significant investments in schools.</w:t>
      </w:r>
    </w:p>
    <w:p w:rsidR="00E40A61" w:rsidRDefault="00E40A61" w:rsidP="00375FB1">
      <w:pPr>
        <w:rPr>
          <w:i/>
        </w:rPr>
      </w:pPr>
      <w:r w:rsidRPr="00FA30F0">
        <w:rPr>
          <w:i/>
        </w:rPr>
        <w:t xml:space="preserve">Australian Early Development Census </w:t>
      </w:r>
      <w:r w:rsidR="00E65F46">
        <w:rPr>
          <w:i/>
        </w:rPr>
        <w:t>(AEDC)</w:t>
      </w:r>
    </w:p>
    <w:p w:rsidR="00375FB1" w:rsidRDefault="00375FB1" w:rsidP="00375FB1">
      <w:r>
        <w:t>In</w:t>
      </w:r>
      <w:r w:rsidRPr="004635C6">
        <w:t xml:space="preserve"> 2009</w:t>
      </w:r>
      <w:r>
        <w:t>,</w:t>
      </w:r>
      <w:r w:rsidRPr="00523084">
        <w:t xml:space="preserve"> Australia became the first country in the world to collect national data on the developmental health and wellbeing of all</w:t>
      </w:r>
      <w:r>
        <w:t xml:space="preserve"> </w:t>
      </w:r>
      <w:r w:rsidRPr="00523084">
        <w:t>children as they start school</w:t>
      </w:r>
      <w:r>
        <w:t xml:space="preserve">. The </w:t>
      </w:r>
      <w:r w:rsidRPr="00AE4990">
        <w:t>AEDC</w:t>
      </w:r>
      <w:r>
        <w:t xml:space="preserve"> </w:t>
      </w:r>
      <w:r w:rsidRPr="001E15C4">
        <w:t xml:space="preserve">collects data </w:t>
      </w:r>
      <w:r>
        <w:t>triennially on five domains of early childhood development</w:t>
      </w:r>
      <w:r w:rsidRPr="00AE4990">
        <w:t>.</w:t>
      </w:r>
      <w:r>
        <w:rPr>
          <w:rStyle w:val="EndnoteReference"/>
        </w:rPr>
        <w:endnoteReference w:id="55"/>
      </w:r>
      <w:r>
        <w:t xml:space="preserve"> It is a very useful data set on Australian children’s developmental progress at school entry, and has been found to </w:t>
      </w:r>
      <w:r w:rsidR="00011DA5">
        <w:t xml:space="preserve">be a good predictor of </w:t>
      </w:r>
      <w:r>
        <w:t>children’s later academic and behavioural outcomes. All five AEDC domains have been found to</w:t>
      </w:r>
      <w:r w:rsidR="00011DA5">
        <w:t xml:space="preserve"> be good </w:t>
      </w:r>
      <w:r>
        <w:t>predict</w:t>
      </w:r>
      <w:r w:rsidR="00011DA5">
        <w:t>ors</w:t>
      </w:r>
      <w:r>
        <w:t xml:space="preserve"> </w:t>
      </w:r>
      <w:r w:rsidR="00645F67">
        <w:t xml:space="preserve">of </w:t>
      </w:r>
      <w:r>
        <w:t>later numeracy and literacy outcomes of children as measured by NAPLAN. Of the five AEDC domains, the “language and cognitive development” and the “communication skills and general knowledge” domains are the best predictors of scores on the NAPLAN assessments.</w:t>
      </w:r>
      <w:r>
        <w:rPr>
          <w:rStyle w:val="EndnoteReference"/>
        </w:rPr>
        <w:endnoteReference w:id="56"/>
      </w:r>
      <w:r>
        <w:t xml:space="preserve"> </w:t>
      </w:r>
    </w:p>
    <w:p w:rsidR="00EC0C1D" w:rsidRDefault="00EC0C1D">
      <w:pPr>
        <w:spacing w:line="276" w:lineRule="auto"/>
        <w:rPr>
          <w:rFonts w:asciiTheme="majorHAnsi" w:eastAsiaTheme="majorEastAsia" w:hAnsiTheme="majorHAnsi" w:cstheme="majorBidi"/>
          <w:b/>
          <w:bCs/>
          <w:color w:val="365F91" w:themeColor="accent1" w:themeShade="BF"/>
          <w:sz w:val="28"/>
          <w:szCs w:val="28"/>
        </w:rPr>
      </w:pPr>
      <w:r>
        <w:br w:type="page"/>
      </w:r>
    </w:p>
    <w:p w:rsidR="00375FB1" w:rsidRPr="005C5719" w:rsidRDefault="0063470E" w:rsidP="00375FB1">
      <w:pPr>
        <w:pStyle w:val="Heading1"/>
      </w:pPr>
      <w:bookmarkStart w:id="11" w:name="_Toc373586251"/>
      <w:bookmarkStart w:id="12" w:name="_Toc500850769"/>
      <w:r>
        <w:t xml:space="preserve">2.3 </w:t>
      </w:r>
      <w:r w:rsidR="00375FB1">
        <w:t>Early</w:t>
      </w:r>
      <w:r w:rsidR="00375FB1" w:rsidRPr="005C5719">
        <w:t xml:space="preserve"> childhood education </w:t>
      </w:r>
      <w:r w:rsidR="00FF3257">
        <w:t xml:space="preserve">and care </w:t>
      </w:r>
      <w:r w:rsidR="00375FB1" w:rsidRPr="005C5719">
        <w:t>systems</w:t>
      </w:r>
      <w:r w:rsidR="00375FB1">
        <w:t xml:space="preserve"> and</w:t>
      </w:r>
      <w:r w:rsidR="00375FB1" w:rsidRPr="005C5719">
        <w:t xml:space="preserve"> settings in Australia</w:t>
      </w:r>
      <w:bookmarkEnd w:id="11"/>
      <w:bookmarkEnd w:id="12"/>
      <w:r w:rsidR="00375FB1" w:rsidRPr="005C5719">
        <w:t xml:space="preserve"> </w:t>
      </w:r>
    </w:p>
    <w:p w:rsidR="00375FB1" w:rsidRDefault="00375FB1" w:rsidP="00375FB1"/>
    <w:p w:rsidR="00375FB1" w:rsidRDefault="00375FB1" w:rsidP="00375FB1">
      <w:r>
        <w:t>The structure of early childhood education and care in Australia is complex</w:t>
      </w:r>
      <w:r w:rsidR="00FF3257">
        <w:t>.</w:t>
      </w:r>
      <w:r w:rsidR="00FF3257" w:rsidRPr="00FF3257">
        <w:t xml:space="preserve"> </w:t>
      </w:r>
      <w:r w:rsidR="00FF3257">
        <w:t>Australia’s federated system of government has resulted in</w:t>
      </w:r>
      <w:r w:rsidR="00FF3257" w:rsidRPr="00767875">
        <w:t xml:space="preserve"> </w:t>
      </w:r>
      <w:r w:rsidR="00FF3257">
        <w:t xml:space="preserve">varied terminology, configuration of services and administrative and funding arrangements related to </w:t>
      </w:r>
      <w:r w:rsidR="00962315">
        <w:t>early childhood education and care</w:t>
      </w:r>
      <w:r w:rsidR="00FF3257">
        <w:t xml:space="preserve"> across jurisdictions. T</w:t>
      </w:r>
      <w:r w:rsidR="00E545CE">
        <w:t xml:space="preserve">he Review heard that </w:t>
      </w:r>
      <w:r w:rsidR="00FF3257">
        <w:t xml:space="preserve">many parents find it challenging </w:t>
      </w:r>
      <w:r>
        <w:t>to understand and navigate</w:t>
      </w:r>
      <w:r w:rsidR="00E545CE">
        <w:t xml:space="preserve"> </w:t>
      </w:r>
      <w:r w:rsidR="00FF3257">
        <w:t>the system, and this view</w:t>
      </w:r>
      <w:r w:rsidR="000D50C3">
        <w:t xml:space="preserve"> is</w:t>
      </w:r>
      <w:r w:rsidR="00FF3257">
        <w:t xml:space="preserve"> supported by research.</w:t>
      </w:r>
      <w:r w:rsidR="00FF3257">
        <w:rPr>
          <w:rStyle w:val="EndnoteReference"/>
        </w:rPr>
        <w:endnoteReference w:id="57"/>
      </w:r>
      <w:r w:rsidR="00FF3257">
        <w:t xml:space="preserve"> </w:t>
      </w:r>
    </w:p>
    <w:p w:rsidR="00375FB1" w:rsidRDefault="00221598" w:rsidP="00375FB1">
      <w:r>
        <w:t>A</w:t>
      </w:r>
      <w:r w:rsidR="00375FB1" w:rsidRPr="007570DF">
        <w:t xml:space="preserve"> range of government and non-government organisations </w:t>
      </w:r>
      <w:r>
        <w:t>deliver</w:t>
      </w:r>
      <w:r w:rsidR="00586436">
        <w:t>s</w:t>
      </w:r>
      <w:r>
        <w:t xml:space="preserve"> early learning programs </w:t>
      </w:r>
      <w:r w:rsidR="00375FB1" w:rsidRPr="007570DF">
        <w:t xml:space="preserve">through </w:t>
      </w:r>
      <w:r>
        <w:t xml:space="preserve">a variety of </w:t>
      </w:r>
      <w:r w:rsidR="00375FB1" w:rsidRPr="007570DF">
        <w:t>settings</w:t>
      </w:r>
      <w:r w:rsidR="00375FB1">
        <w:t xml:space="preserve"> </w:t>
      </w:r>
      <w:r w:rsidR="00375FB1" w:rsidRPr="007570DF">
        <w:t>including schools, community-based and privately owned centres, outreach programs in shared or temporary premises and family or home care settings.</w:t>
      </w:r>
      <w:r w:rsidR="00375FB1">
        <w:t xml:space="preserve"> Mobile services operate in some rural and remote communities and some jurisdictions offer distance preschool programs.</w:t>
      </w:r>
      <w:r w:rsidR="00F668E1">
        <w:rPr>
          <w:rStyle w:val="EndnoteReference"/>
        </w:rPr>
        <w:endnoteReference w:id="58"/>
      </w:r>
      <w:r w:rsidR="00375FB1">
        <w:t xml:space="preserve"> </w:t>
      </w:r>
    </w:p>
    <w:p w:rsidR="00375FB1" w:rsidRPr="00487555" w:rsidRDefault="00375FB1" w:rsidP="00375FB1">
      <w:pPr>
        <w:rPr>
          <w:i/>
        </w:rPr>
      </w:pPr>
      <w:r>
        <w:rPr>
          <w:i/>
        </w:rPr>
        <w:t>Earl</w:t>
      </w:r>
      <w:r w:rsidRPr="00487555">
        <w:rPr>
          <w:i/>
        </w:rPr>
        <w:t xml:space="preserve">y </w:t>
      </w:r>
      <w:r>
        <w:rPr>
          <w:i/>
        </w:rPr>
        <w:t>childhood education and care services</w:t>
      </w:r>
    </w:p>
    <w:p w:rsidR="00375FB1" w:rsidRDefault="00375FB1" w:rsidP="00375FB1">
      <w:pPr>
        <w:autoSpaceDE w:val="0"/>
        <w:autoSpaceDN w:val="0"/>
        <w:adjustRightInd w:val="0"/>
        <w:spacing w:after="0"/>
      </w:pPr>
      <w:r w:rsidRPr="001127C8">
        <w:t xml:space="preserve">At the end of </w:t>
      </w:r>
      <w:r w:rsidR="00F668E1">
        <w:t>September</w:t>
      </w:r>
      <w:r w:rsidRPr="001127C8">
        <w:t xml:space="preserve"> 2017 there were 15</w:t>
      </w:r>
      <w:r>
        <w:t>,5</w:t>
      </w:r>
      <w:r w:rsidR="00F668E1">
        <w:t>74</w:t>
      </w:r>
      <w:r>
        <w:t xml:space="preserve"> </w:t>
      </w:r>
      <w:r w:rsidRPr="001127C8">
        <w:t xml:space="preserve">education and care services </w:t>
      </w:r>
      <w:r w:rsidR="000D50C3">
        <w:t xml:space="preserve">approved </w:t>
      </w:r>
      <w:r>
        <w:t xml:space="preserve">under the National Quality Framework in </w:t>
      </w:r>
      <w:r w:rsidRPr="001127C8">
        <w:t>Australia</w:t>
      </w:r>
      <w:r>
        <w:t>. These services comprised 46 per cent long day care (which may or may not provide a preschool program), 20 per cent preschool, 28 per cent out</w:t>
      </w:r>
      <w:r w:rsidR="00221598">
        <w:t>side</w:t>
      </w:r>
      <w:r>
        <w:t xml:space="preserve"> school hours care, and </w:t>
      </w:r>
      <w:r w:rsidR="00835C89">
        <w:t>five</w:t>
      </w:r>
      <w:r>
        <w:t xml:space="preserve"> per cent family day care. There </w:t>
      </w:r>
      <w:r w:rsidR="00F668E1">
        <w:t>were 7</w:t>
      </w:r>
      <w:r w:rsidR="00586436">
        <w:t>,</w:t>
      </w:r>
      <w:r w:rsidR="00F668E1">
        <w:t>403</w:t>
      </w:r>
      <w:r>
        <w:t xml:space="preserve"> approved provider</w:t>
      </w:r>
      <w:r w:rsidR="00F668E1">
        <w:t>s operating these services</w:t>
      </w:r>
      <w:r w:rsidR="00586436">
        <w:t>;</w:t>
      </w:r>
      <w:r w:rsidR="00F668E1">
        <w:t xml:space="preserve"> 6</w:t>
      </w:r>
      <w:r w:rsidR="00586436">
        <w:t>,</w:t>
      </w:r>
      <w:r w:rsidR="00F668E1">
        <w:t>141</w:t>
      </w:r>
      <w:r>
        <w:t xml:space="preserve"> (83 per cent) providers operated only one children’s education and care service, while </w:t>
      </w:r>
      <w:r w:rsidR="00835C89">
        <w:t>one</w:t>
      </w:r>
      <w:r>
        <w:t xml:space="preserve"> per cen</w:t>
      </w:r>
      <w:r w:rsidR="00A42E9A">
        <w:t>t operated 25 or more services.</w:t>
      </w:r>
      <w:r>
        <w:rPr>
          <w:rStyle w:val="EndnoteReference"/>
        </w:rPr>
        <w:endnoteReference w:id="59"/>
      </w:r>
      <w:r>
        <w:t xml:space="preserve"> There </w:t>
      </w:r>
      <w:r w:rsidR="00E603EA" w:rsidRPr="00820AA7">
        <w:t>was</w:t>
      </w:r>
      <w:r>
        <w:t xml:space="preserve"> a range of provider management types</w:t>
      </w:r>
      <w:r w:rsidR="001214FD">
        <w:t xml:space="preserve"> (see Table 1).</w:t>
      </w:r>
    </w:p>
    <w:p w:rsidR="00375FB1" w:rsidRDefault="00375FB1" w:rsidP="00375FB1">
      <w:pPr>
        <w:autoSpaceDE w:val="0"/>
        <w:autoSpaceDN w:val="0"/>
        <w:adjustRightInd w:val="0"/>
        <w:spacing w:after="0"/>
      </w:pPr>
    </w:p>
    <w:p w:rsidR="00375FB1" w:rsidRPr="00A516DA" w:rsidRDefault="00375FB1" w:rsidP="00375FB1">
      <w:pPr>
        <w:autoSpaceDE w:val="0"/>
        <w:autoSpaceDN w:val="0"/>
        <w:adjustRightInd w:val="0"/>
        <w:spacing w:after="0"/>
        <w:rPr>
          <w:b/>
        </w:rPr>
      </w:pPr>
      <w:r w:rsidRPr="00A516DA">
        <w:rPr>
          <w:b/>
        </w:rPr>
        <w:t xml:space="preserve">Table </w:t>
      </w:r>
      <w:r w:rsidR="007A1E11" w:rsidRPr="00A516DA">
        <w:rPr>
          <w:b/>
        </w:rPr>
        <w:t>1</w:t>
      </w:r>
      <w:r w:rsidR="0032188A">
        <w:rPr>
          <w:b/>
        </w:rPr>
        <w:t>:</w:t>
      </w:r>
      <w:r w:rsidRPr="00A516DA">
        <w:rPr>
          <w:b/>
        </w:rPr>
        <w:t xml:space="preserve">Number and proportion of approved </w:t>
      </w:r>
      <w:r w:rsidR="000D39F3" w:rsidRPr="00A516DA">
        <w:rPr>
          <w:b/>
        </w:rPr>
        <w:t xml:space="preserve">early childhood </w:t>
      </w:r>
      <w:r w:rsidRPr="00A516DA">
        <w:rPr>
          <w:b/>
        </w:rPr>
        <w:t>services by provider management type</w:t>
      </w:r>
    </w:p>
    <w:tbl>
      <w:tblPr>
        <w:tblStyle w:val="TableGrid"/>
        <w:tblW w:w="0" w:type="auto"/>
        <w:tblLook w:val="04A0" w:firstRow="1" w:lastRow="0" w:firstColumn="1" w:lastColumn="0" w:noHBand="0" w:noVBand="1"/>
      </w:tblPr>
      <w:tblGrid>
        <w:gridCol w:w="4361"/>
        <w:gridCol w:w="2126"/>
        <w:gridCol w:w="2410"/>
      </w:tblGrid>
      <w:tr w:rsidR="00375FB1" w:rsidRPr="008E7CB6" w:rsidTr="00852F0A">
        <w:tc>
          <w:tcPr>
            <w:tcW w:w="4361" w:type="dxa"/>
            <w:vAlign w:val="center"/>
          </w:tcPr>
          <w:p w:rsidR="00375FB1" w:rsidRPr="008E7CB6" w:rsidRDefault="00375FB1" w:rsidP="00852F0A">
            <w:pPr>
              <w:rPr>
                <w:b/>
                <w:sz w:val="20"/>
                <w:szCs w:val="20"/>
              </w:rPr>
            </w:pPr>
            <w:r w:rsidRPr="008E7CB6">
              <w:rPr>
                <w:b/>
                <w:sz w:val="20"/>
                <w:szCs w:val="20"/>
              </w:rPr>
              <w:t>Provider management type</w:t>
            </w:r>
          </w:p>
        </w:tc>
        <w:tc>
          <w:tcPr>
            <w:tcW w:w="2126" w:type="dxa"/>
            <w:vAlign w:val="center"/>
          </w:tcPr>
          <w:p w:rsidR="00375FB1" w:rsidRPr="008E7CB6" w:rsidRDefault="00375FB1" w:rsidP="00852F0A">
            <w:pPr>
              <w:rPr>
                <w:b/>
                <w:sz w:val="20"/>
                <w:szCs w:val="20"/>
              </w:rPr>
            </w:pPr>
            <w:r w:rsidRPr="008E7CB6">
              <w:rPr>
                <w:b/>
                <w:sz w:val="20"/>
                <w:szCs w:val="20"/>
              </w:rPr>
              <w:t>Number of services</w:t>
            </w:r>
          </w:p>
        </w:tc>
        <w:tc>
          <w:tcPr>
            <w:tcW w:w="2410" w:type="dxa"/>
            <w:vAlign w:val="center"/>
          </w:tcPr>
          <w:p w:rsidR="00375FB1" w:rsidRPr="008E7CB6" w:rsidRDefault="00375FB1" w:rsidP="00852F0A">
            <w:pPr>
              <w:rPr>
                <w:b/>
                <w:sz w:val="20"/>
                <w:szCs w:val="20"/>
              </w:rPr>
            </w:pPr>
            <w:r w:rsidRPr="008E7CB6">
              <w:rPr>
                <w:b/>
                <w:sz w:val="20"/>
                <w:szCs w:val="20"/>
              </w:rPr>
              <w:t>Proportion of services</w:t>
            </w:r>
            <w:r>
              <w:rPr>
                <w:b/>
                <w:sz w:val="20"/>
                <w:szCs w:val="20"/>
              </w:rPr>
              <w:t xml:space="preserve"> </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Private for profit</w:t>
            </w:r>
          </w:p>
        </w:tc>
        <w:tc>
          <w:tcPr>
            <w:tcW w:w="2126" w:type="dxa"/>
            <w:vAlign w:val="center"/>
          </w:tcPr>
          <w:p w:rsidR="00375FB1" w:rsidRPr="008E7CB6" w:rsidRDefault="00F668E1" w:rsidP="00F668E1">
            <w:pPr>
              <w:jc w:val="right"/>
              <w:rPr>
                <w:sz w:val="20"/>
                <w:szCs w:val="20"/>
              </w:rPr>
            </w:pPr>
            <w:r>
              <w:rPr>
                <w:sz w:val="20"/>
                <w:szCs w:val="20"/>
              </w:rPr>
              <w:t>7</w:t>
            </w:r>
            <w:r w:rsidR="00586436">
              <w:rPr>
                <w:sz w:val="20"/>
                <w:szCs w:val="20"/>
              </w:rPr>
              <w:t>,</w:t>
            </w:r>
            <w:r>
              <w:rPr>
                <w:sz w:val="20"/>
                <w:szCs w:val="20"/>
              </w:rPr>
              <w:t>282</w:t>
            </w:r>
          </w:p>
        </w:tc>
        <w:tc>
          <w:tcPr>
            <w:tcW w:w="2410" w:type="dxa"/>
            <w:vAlign w:val="center"/>
          </w:tcPr>
          <w:p w:rsidR="00375FB1" w:rsidRPr="008E7CB6" w:rsidRDefault="00375FB1" w:rsidP="00852F0A">
            <w:pPr>
              <w:jc w:val="right"/>
              <w:rPr>
                <w:sz w:val="20"/>
                <w:szCs w:val="20"/>
              </w:rPr>
            </w:pPr>
            <w:r>
              <w:rPr>
                <w:sz w:val="20"/>
                <w:szCs w:val="20"/>
              </w:rPr>
              <w:t>47%</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Private not for profit community managed</w:t>
            </w:r>
          </w:p>
        </w:tc>
        <w:tc>
          <w:tcPr>
            <w:tcW w:w="2126" w:type="dxa"/>
            <w:vAlign w:val="center"/>
          </w:tcPr>
          <w:p w:rsidR="00375FB1" w:rsidRPr="008E7CB6" w:rsidRDefault="00F668E1" w:rsidP="00852F0A">
            <w:pPr>
              <w:jc w:val="right"/>
              <w:rPr>
                <w:sz w:val="20"/>
                <w:szCs w:val="20"/>
              </w:rPr>
            </w:pPr>
            <w:r>
              <w:rPr>
                <w:sz w:val="20"/>
                <w:szCs w:val="20"/>
              </w:rPr>
              <w:t>3</w:t>
            </w:r>
            <w:r w:rsidR="00586436">
              <w:rPr>
                <w:sz w:val="20"/>
                <w:szCs w:val="20"/>
              </w:rPr>
              <w:t>,</w:t>
            </w:r>
            <w:r>
              <w:rPr>
                <w:sz w:val="20"/>
                <w:szCs w:val="20"/>
              </w:rPr>
              <w:t>554</w:t>
            </w:r>
          </w:p>
        </w:tc>
        <w:tc>
          <w:tcPr>
            <w:tcW w:w="2410" w:type="dxa"/>
            <w:vAlign w:val="center"/>
          </w:tcPr>
          <w:p w:rsidR="00375FB1" w:rsidRPr="008E7CB6" w:rsidRDefault="00F668E1" w:rsidP="00852F0A">
            <w:pPr>
              <w:jc w:val="right"/>
              <w:rPr>
                <w:sz w:val="20"/>
                <w:szCs w:val="20"/>
              </w:rPr>
            </w:pPr>
            <w:r>
              <w:rPr>
                <w:sz w:val="20"/>
                <w:szCs w:val="20"/>
              </w:rPr>
              <w:t>23%</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Private not for profit other organisations</w:t>
            </w:r>
          </w:p>
        </w:tc>
        <w:tc>
          <w:tcPr>
            <w:tcW w:w="2126" w:type="dxa"/>
            <w:vAlign w:val="center"/>
          </w:tcPr>
          <w:p w:rsidR="00375FB1" w:rsidRPr="008E7CB6" w:rsidRDefault="00F668E1" w:rsidP="00852F0A">
            <w:pPr>
              <w:jc w:val="right"/>
              <w:rPr>
                <w:sz w:val="20"/>
                <w:szCs w:val="20"/>
              </w:rPr>
            </w:pPr>
            <w:r>
              <w:rPr>
                <w:sz w:val="20"/>
                <w:szCs w:val="20"/>
              </w:rPr>
              <w:t>2</w:t>
            </w:r>
            <w:r w:rsidR="00586436">
              <w:rPr>
                <w:sz w:val="20"/>
                <w:szCs w:val="20"/>
              </w:rPr>
              <w:t>,</w:t>
            </w:r>
            <w:r>
              <w:rPr>
                <w:sz w:val="20"/>
                <w:szCs w:val="20"/>
              </w:rPr>
              <w:t>070</w:t>
            </w:r>
          </w:p>
        </w:tc>
        <w:tc>
          <w:tcPr>
            <w:tcW w:w="2410" w:type="dxa"/>
            <w:vAlign w:val="center"/>
          </w:tcPr>
          <w:p w:rsidR="00375FB1" w:rsidRPr="008E7CB6" w:rsidRDefault="00F668E1" w:rsidP="00852F0A">
            <w:pPr>
              <w:jc w:val="right"/>
              <w:rPr>
                <w:sz w:val="20"/>
                <w:szCs w:val="20"/>
              </w:rPr>
            </w:pPr>
            <w:r>
              <w:rPr>
                <w:sz w:val="20"/>
                <w:szCs w:val="20"/>
              </w:rPr>
              <w:t>13%</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State/</w:t>
            </w:r>
            <w:r w:rsidR="0037370A">
              <w:rPr>
                <w:sz w:val="20"/>
                <w:szCs w:val="20"/>
              </w:rPr>
              <w:t>territory</w:t>
            </w:r>
            <w:r>
              <w:rPr>
                <w:sz w:val="20"/>
                <w:szCs w:val="20"/>
              </w:rPr>
              <w:t xml:space="preserve"> and </w:t>
            </w:r>
            <w:r w:rsidR="000E54EA">
              <w:rPr>
                <w:sz w:val="20"/>
                <w:szCs w:val="20"/>
              </w:rPr>
              <w:t>local</w:t>
            </w:r>
            <w:r w:rsidRPr="0037370A">
              <w:rPr>
                <w:sz w:val="20"/>
                <w:szCs w:val="20"/>
              </w:rPr>
              <w:t xml:space="preserve"> </w:t>
            </w:r>
            <w:r w:rsidR="000E54EA">
              <w:rPr>
                <w:sz w:val="20"/>
                <w:szCs w:val="20"/>
              </w:rPr>
              <w:t>government</w:t>
            </w:r>
            <w:r>
              <w:rPr>
                <w:sz w:val="20"/>
                <w:szCs w:val="20"/>
              </w:rPr>
              <w:t xml:space="preserve"> managed</w:t>
            </w:r>
          </w:p>
        </w:tc>
        <w:tc>
          <w:tcPr>
            <w:tcW w:w="2126" w:type="dxa"/>
            <w:vAlign w:val="center"/>
          </w:tcPr>
          <w:p w:rsidR="00375FB1" w:rsidRPr="008E7CB6" w:rsidRDefault="00F668E1" w:rsidP="00852F0A">
            <w:pPr>
              <w:jc w:val="right"/>
              <w:rPr>
                <w:sz w:val="20"/>
                <w:szCs w:val="20"/>
              </w:rPr>
            </w:pPr>
            <w:r>
              <w:rPr>
                <w:sz w:val="20"/>
                <w:szCs w:val="20"/>
              </w:rPr>
              <w:t>1</w:t>
            </w:r>
            <w:r w:rsidR="00586436">
              <w:rPr>
                <w:sz w:val="20"/>
                <w:szCs w:val="20"/>
              </w:rPr>
              <w:t>,</w:t>
            </w:r>
            <w:r>
              <w:rPr>
                <w:sz w:val="20"/>
                <w:szCs w:val="20"/>
              </w:rPr>
              <w:t>292</w:t>
            </w:r>
          </w:p>
        </w:tc>
        <w:tc>
          <w:tcPr>
            <w:tcW w:w="2410" w:type="dxa"/>
            <w:vAlign w:val="center"/>
          </w:tcPr>
          <w:p w:rsidR="00375FB1" w:rsidRPr="008E7CB6" w:rsidRDefault="00375FB1" w:rsidP="00852F0A">
            <w:pPr>
              <w:jc w:val="right"/>
              <w:rPr>
                <w:sz w:val="20"/>
                <w:szCs w:val="20"/>
              </w:rPr>
            </w:pPr>
            <w:r>
              <w:rPr>
                <w:sz w:val="20"/>
                <w:szCs w:val="20"/>
              </w:rPr>
              <w:t>8%</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State/</w:t>
            </w:r>
            <w:r w:rsidR="0037370A">
              <w:rPr>
                <w:sz w:val="20"/>
                <w:szCs w:val="20"/>
              </w:rPr>
              <w:t>territory</w:t>
            </w:r>
            <w:r>
              <w:rPr>
                <w:sz w:val="20"/>
                <w:szCs w:val="20"/>
              </w:rPr>
              <w:t xml:space="preserve"> government schools</w:t>
            </w:r>
          </w:p>
        </w:tc>
        <w:tc>
          <w:tcPr>
            <w:tcW w:w="2126" w:type="dxa"/>
            <w:vAlign w:val="center"/>
          </w:tcPr>
          <w:p w:rsidR="00375FB1" w:rsidRPr="008E7CB6" w:rsidRDefault="00F668E1" w:rsidP="00852F0A">
            <w:pPr>
              <w:jc w:val="right"/>
              <w:rPr>
                <w:sz w:val="20"/>
                <w:szCs w:val="20"/>
              </w:rPr>
            </w:pPr>
            <w:r>
              <w:rPr>
                <w:sz w:val="20"/>
                <w:szCs w:val="20"/>
              </w:rPr>
              <w:t>720</w:t>
            </w:r>
          </w:p>
        </w:tc>
        <w:tc>
          <w:tcPr>
            <w:tcW w:w="2410" w:type="dxa"/>
            <w:vAlign w:val="center"/>
          </w:tcPr>
          <w:p w:rsidR="00375FB1" w:rsidRPr="008E7CB6" w:rsidRDefault="00375FB1" w:rsidP="00852F0A">
            <w:pPr>
              <w:jc w:val="right"/>
              <w:rPr>
                <w:sz w:val="20"/>
                <w:szCs w:val="20"/>
              </w:rPr>
            </w:pPr>
            <w:r>
              <w:rPr>
                <w:sz w:val="20"/>
                <w:szCs w:val="20"/>
              </w:rPr>
              <w:t>5%</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Independent schools</w:t>
            </w:r>
          </w:p>
        </w:tc>
        <w:tc>
          <w:tcPr>
            <w:tcW w:w="2126" w:type="dxa"/>
            <w:vAlign w:val="center"/>
          </w:tcPr>
          <w:p w:rsidR="00375FB1" w:rsidRPr="008E7CB6" w:rsidRDefault="00F668E1" w:rsidP="00852F0A">
            <w:pPr>
              <w:jc w:val="right"/>
              <w:rPr>
                <w:sz w:val="20"/>
                <w:szCs w:val="20"/>
              </w:rPr>
            </w:pPr>
            <w:r>
              <w:rPr>
                <w:sz w:val="20"/>
                <w:szCs w:val="20"/>
              </w:rPr>
              <w:t>471</w:t>
            </w:r>
          </w:p>
        </w:tc>
        <w:tc>
          <w:tcPr>
            <w:tcW w:w="2410" w:type="dxa"/>
            <w:vAlign w:val="center"/>
          </w:tcPr>
          <w:p w:rsidR="00375FB1" w:rsidRPr="008E7CB6" w:rsidRDefault="00375FB1" w:rsidP="00852F0A">
            <w:pPr>
              <w:jc w:val="right"/>
              <w:rPr>
                <w:sz w:val="20"/>
                <w:szCs w:val="20"/>
              </w:rPr>
            </w:pPr>
            <w:r>
              <w:rPr>
                <w:sz w:val="20"/>
                <w:szCs w:val="20"/>
              </w:rPr>
              <w:t>3%</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Catholic schools</w:t>
            </w:r>
          </w:p>
        </w:tc>
        <w:tc>
          <w:tcPr>
            <w:tcW w:w="2126" w:type="dxa"/>
            <w:vAlign w:val="center"/>
          </w:tcPr>
          <w:p w:rsidR="00375FB1" w:rsidRPr="008E7CB6" w:rsidRDefault="00F668E1" w:rsidP="00852F0A">
            <w:pPr>
              <w:jc w:val="right"/>
              <w:rPr>
                <w:sz w:val="20"/>
                <w:szCs w:val="20"/>
              </w:rPr>
            </w:pPr>
            <w:r>
              <w:rPr>
                <w:sz w:val="20"/>
                <w:szCs w:val="20"/>
              </w:rPr>
              <w:t>170</w:t>
            </w:r>
          </w:p>
        </w:tc>
        <w:tc>
          <w:tcPr>
            <w:tcW w:w="2410" w:type="dxa"/>
            <w:vAlign w:val="center"/>
          </w:tcPr>
          <w:p w:rsidR="00375FB1" w:rsidRPr="008E7CB6" w:rsidRDefault="00375FB1" w:rsidP="00852F0A">
            <w:pPr>
              <w:jc w:val="right"/>
              <w:rPr>
                <w:sz w:val="20"/>
                <w:szCs w:val="20"/>
              </w:rPr>
            </w:pPr>
            <w:r>
              <w:rPr>
                <w:sz w:val="20"/>
                <w:szCs w:val="20"/>
              </w:rPr>
              <w:t>1%</w:t>
            </w:r>
          </w:p>
        </w:tc>
      </w:tr>
      <w:tr w:rsidR="00375FB1" w:rsidRPr="008E7CB6" w:rsidTr="00852F0A">
        <w:tc>
          <w:tcPr>
            <w:tcW w:w="4361" w:type="dxa"/>
            <w:vAlign w:val="center"/>
          </w:tcPr>
          <w:p w:rsidR="00375FB1" w:rsidRPr="008E7CB6" w:rsidRDefault="00375FB1" w:rsidP="00852F0A">
            <w:pPr>
              <w:rPr>
                <w:sz w:val="20"/>
                <w:szCs w:val="20"/>
              </w:rPr>
            </w:pPr>
            <w:r>
              <w:rPr>
                <w:sz w:val="20"/>
                <w:szCs w:val="20"/>
              </w:rPr>
              <w:t>Not stated/Other</w:t>
            </w:r>
          </w:p>
        </w:tc>
        <w:tc>
          <w:tcPr>
            <w:tcW w:w="2126" w:type="dxa"/>
            <w:vAlign w:val="center"/>
          </w:tcPr>
          <w:p w:rsidR="00375FB1" w:rsidRPr="008E7CB6" w:rsidRDefault="00F668E1" w:rsidP="00852F0A">
            <w:pPr>
              <w:jc w:val="right"/>
              <w:rPr>
                <w:sz w:val="20"/>
                <w:szCs w:val="20"/>
              </w:rPr>
            </w:pPr>
            <w:r>
              <w:rPr>
                <w:sz w:val="20"/>
                <w:szCs w:val="20"/>
              </w:rPr>
              <w:t>15</w:t>
            </w:r>
          </w:p>
        </w:tc>
        <w:tc>
          <w:tcPr>
            <w:tcW w:w="2410" w:type="dxa"/>
            <w:vAlign w:val="center"/>
          </w:tcPr>
          <w:p w:rsidR="00375FB1" w:rsidRPr="008E7CB6" w:rsidRDefault="00375FB1" w:rsidP="00852F0A">
            <w:pPr>
              <w:jc w:val="right"/>
              <w:rPr>
                <w:sz w:val="20"/>
                <w:szCs w:val="20"/>
              </w:rPr>
            </w:pPr>
            <w:r>
              <w:rPr>
                <w:sz w:val="20"/>
                <w:szCs w:val="20"/>
              </w:rPr>
              <w:t>0%</w:t>
            </w:r>
          </w:p>
        </w:tc>
      </w:tr>
      <w:tr w:rsidR="00375FB1" w:rsidRPr="008E7CB6" w:rsidTr="00852F0A">
        <w:tc>
          <w:tcPr>
            <w:tcW w:w="4361" w:type="dxa"/>
            <w:vAlign w:val="center"/>
          </w:tcPr>
          <w:p w:rsidR="00375FB1" w:rsidRPr="008E7CB6" w:rsidRDefault="00375FB1" w:rsidP="00852F0A">
            <w:pPr>
              <w:rPr>
                <w:b/>
                <w:sz w:val="20"/>
                <w:szCs w:val="20"/>
              </w:rPr>
            </w:pPr>
            <w:r w:rsidRPr="008E7CB6">
              <w:rPr>
                <w:b/>
                <w:sz w:val="20"/>
                <w:szCs w:val="20"/>
              </w:rPr>
              <w:t>Total</w:t>
            </w:r>
          </w:p>
        </w:tc>
        <w:tc>
          <w:tcPr>
            <w:tcW w:w="2126" w:type="dxa"/>
            <w:vAlign w:val="center"/>
          </w:tcPr>
          <w:p w:rsidR="00375FB1" w:rsidRPr="008E7CB6" w:rsidRDefault="00F668E1" w:rsidP="00852F0A">
            <w:pPr>
              <w:jc w:val="right"/>
              <w:rPr>
                <w:b/>
                <w:sz w:val="20"/>
                <w:szCs w:val="20"/>
              </w:rPr>
            </w:pPr>
            <w:r>
              <w:rPr>
                <w:b/>
                <w:sz w:val="20"/>
                <w:szCs w:val="20"/>
              </w:rPr>
              <w:t>15</w:t>
            </w:r>
            <w:r w:rsidR="00586436">
              <w:rPr>
                <w:b/>
                <w:sz w:val="20"/>
                <w:szCs w:val="20"/>
              </w:rPr>
              <w:t>,</w:t>
            </w:r>
            <w:r>
              <w:rPr>
                <w:b/>
                <w:sz w:val="20"/>
                <w:szCs w:val="20"/>
              </w:rPr>
              <w:t>574</w:t>
            </w:r>
          </w:p>
        </w:tc>
        <w:tc>
          <w:tcPr>
            <w:tcW w:w="2410" w:type="dxa"/>
            <w:vAlign w:val="center"/>
          </w:tcPr>
          <w:p w:rsidR="00375FB1" w:rsidRPr="008E7CB6" w:rsidRDefault="00375FB1" w:rsidP="00852F0A">
            <w:pPr>
              <w:jc w:val="right"/>
              <w:rPr>
                <w:b/>
                <w:sz w:val="20"/>
                <w:szCs w:val="20"/>
              </w:rPr>
            </w:pPr>
            <w:r>
              <w:rPr>
                <w:b/>
                <w:sz w:val="20"/>
                <w:szCs w:val="20"/>
              </w:rPr>
              <w:t>100%</w:t>
            </w:r>
          </w:p>
        </w:tc>
      </w:tr>
    </w:tbl>
    <w:p w:rsidR="00375FB1" w:rsidRPr="00487555" w:rsidRDefault="00375FB1" w:rsidP="00375FB1">
      <w:pPr>
        <w:autoSpaceDE w:val="0"/>
        <w:autoSpaceDN w:val="0"/>
        <w:adjustRightInd w:val="0"/>
        <w:spacing w:after="0"/>
        <w:rPr>
          <w:sz w:val="16"/>
          <w:szCs w:val="16"/>
        </w:rPr>
      </w:pPr>
      <w:r w:rsidRPr="00A516DA">
        <w:rPr>
          <w:b/>
          <w:i/>
          <w:sz w:val="16"/>
          <w:szCs w:val="16"/>
        </w:rPr>
        <w:t>Source:</w:t>
      </w:r>
      <w:r>
        <w:rPr>
          <w:sz w:val="16"/>
          <w:szCs w:val="16"/>
        </w:rPr>
        <w:t xml:space="preserve"> </w:t>
      </w:r>
      <w:r w:rsidR="00805E18">
        <w:rPr>
          <w:sz w:val="16"/>
          <w:szCs w:val="16"/>
        </w:rPr>
        <w:t>ACECQA Q3 Snapshot 2017</w:t>
      </w:r>
    </w:p>
    <w:p w:rsidR="00375FB1" w:rsidRDefault="00375FB1" w:rsidP="00375FB1">
      <w:pPr>
        <w:autoSpaceDE w:val="0"/>
        <w:autoSpaceDN w:val="0"/>
        <w:adjustRightInd w:val="0"/>
        <w:spacing w:after="0"/>
      </w:pPr>
    </w:p>
    <w:p w:rsidR="00375FB1" w:rsidRPr="006A3853" w:rsidRDefault="00976383" w:rsidP="00375FB1">
      <w:pPr>
        <w:rPr>
          <w:i/>
        </w:rPr>
      </w:pPr>
      <w:r w:rsidRPr="00D41DEB">
        <w:t xml:space="preserve"> </w:t>
      </w:r>
      <w:r w:rsidR="00375FB1" w:rsidRPr="006A3853">
        <w:rPr>
          <w:i/>
        </w:rPr>
        <w:t xml:space="preserve">Early learning programs </w:t>
      </w:r>
    </w:p>
    <w:p w:rsidR="00375FB1" w:rsidRDefault="00375FB1" w:rsidP="00375FB1">
      <w:r>
        <w:t>Formal early learning is generally delivered through a preschool program. A</w:t>
      </w:r>
      <w:r w:rsidRPr="00A812F1">
        <w:t xml:space="preserve"> preschool program is a </w:t>
      </w:r>
      <w:r w:rsidR="00A2620B">
        <w:t>‘</w:t>
      </w:r>
      <w:r w:rsidRPr="00A812F1">
        <w:t>structured, play-based learning program</w:t>
      </w:r>
      <w:r w:rsidRPr="00C669D9">
        <w:t xml:space="preserve"> </w:t>
      </w:r>
      <w:r w:rsidRPr="00A812F1">
        <w:t xml:space="preserve">delivered by a </w:t>
      </w:r>
      <w:r>
        <w:t xml:space="preserve">degree </w:t>
      </w:r>
      <w:r w:rsidRPr="00A812F1">
        <w:t>qualified teacher</w:t>
      </w:r>
      <w:r>
        <w:t xml:space="preserve"> </w:t>
      </w:r>
      <w:r w:rsidRPr="00A812F1">
        <w:t xml:space="preserve">aimed </w:t>
      </w:r>
      <w:r w:rsidR="00805E18">
        <w:t xml:space="preserve">primarily </w:t>
      </w:r>
      <w:r w:rsidRPr="00A812F1">
        <w:t>at children in the year or two before they commence full time schooling</w:t>
      </w:r>
      <w:r w:rsidR="00A2620B">
        <w:t>’</w:t>
      </w:r>
      <w:r>
        <w:t>.</w:t>
      </w:r>
      <w:r>
        <w:rPr>
          <w:rStyle w:val="EndnoteReference"/>
        </w:rPr>
        <w:endnoteReference w:id="60"/>
      </w:r>
      <w:r>
        <w:t xml:space="preserve"> It </w:t>
      </w:r>
      <w:r w:rsidR="000D50C3">
        <w:t xml:space="preserve">is </w:t>
      </w:r>
      <w:r>
        <w:t>a</w:t>
      </w:r>
      <w:r w:rsidRPr="00190C15">
        <w:t xml:space="preserve"> </w:t>
      </w:r>
      <w:r w:rsidR="00221598">
        <w:t>‘</w:t>
      </w:r>
      <w:r w:rsidRPr="00190C15">
        <w:t xml:space="preserve">coherent learning and </w:t>
      </w:r>
      <w:r w:rsidRPr="00836B04">
        <w:t>development</w:t>
      </w:r>
      <w:r w:rsidR="00586436">
        <w:t>-</w:t>
      </w:r>
      <w:r w:rsidRPr="00836B04">
        <w:t>focus</w:t>
      </w:r>
      <w:r w:rsidR="00A14B4B">
        <w:t>ed program</w:t>
      </w:r>
      <w:r>
        <w:t xml:space="preserve"> that uses</w:t>
      </w:r>
      <w:r w:rsidR="00805E18">
        <w:t xml:space="preserve"> </w:t>
      </w:r>
      <w:r w:rsidR="00221598">
        <w:t xml:space="preserve">intentional teaching strategies, </w:t>
      </w:r>
      <w:r w:rsidR="00805E18">
        <w:t>appropriate</w:t>
      </w:r>
      <w:r w:rsidR="00221598">
        <w:t xml:space="preserve"> for young children’</w:t>
      </w:r>
      <w:r w:rsidR="00221598" w:rsidRPr="00836B04">
        <w:rPr>
          <w:rStyle w:val="EndnoteReference"/>
        </w:rPr>
        <w:endnoteReference w:id="61"/>
      </w:r>
      <w:r>
        <w:t xml:space="preserve"> and is </w:t>
      </w:r>
      <w:r w:rsidRPr="00836B04">
        <w:t>equally concerned with the development of children’s emotional and social wellbeing as the foundations for literacy, numeracy and science</w:t>
      </w:r>
      <w:r>
        <w:t>, knowledge and understanding</w:t>
      </w:r>
      <w:r w:rsidRPr="00836B04">
        <w:t>.</w:t>
      </w:r>
      <w:r w:rsidR="00805E18" w:rsidRPr="00836B04">
        <w:rPr>
          <w:rStyle w:val="EndnoteReference"/>
        </w:rPr>
        <w:endnoteReference w:id="62"/>
      </w:r>
    </w:p>
    <w:p w:rsidR="00375FB1" w:rsidRDefault="00375FB1" w:rsidP="00375FB1">
      <w:r>
        <w:t>P</w:t>
      </w:r>
      <w:r w:rsidRPr="00523084">
        <w:t>reschool programs are delivered in</w:t>
      </w:r>
      <w:r>
        <w:t xml:space="preserve"> a range of settings including </w:t>
      </w:r>
      <w:r w:rsidRPr="00523084">
        <w:t>dedicated preschool</w:t>
      </w:r>
      <w:r>
        <w:t>s</w:t>
      </w:r>
      <w:r w:rsidRPr="00523084">
        <w:t xml:space="preserve"> </w:t>
      </w:r>
      <w:r>
        <w:t>and long day care centres</w:t>
      </w:r>
      <w:r w:rsidRPr="00523084">
        <w:t>.</w:t>
      </w:r>
      <w:r>
        <w:t xml:space="preserve"> </w:t>
      </w:r>
      <w:r w:rsidR="00262CB8" w:rsidRPr="00470D18">
        <w:t>G</w:t>
      </w:r>
      <w:r w:rsidRPr="00FC0EC5">
        <w:t>overnment (</w:t>
      </w:r>
      <w:r w:rsidR="00262CB8" w:rsidRPr="00AD6FB3">
        <w:t>s</w:t>
      </w:r>
      <w:r w:rsidRPr="00121163">
        <w:t xml:space="preserve">tate, </w:t>
      </w:r>
      <w:r w:rsidR="00262CB8" w:rsidRPr="008F2D4E">
        <w:t>t</w:t>
      </w:r>
      <w:r w:rsidRPr="00523084">
        <w:t>erritory or local), the community sector, the private sector or non-government schools</w:t>
      </w:r>
      <w:r w:rsidR="00262CB8" w:rsidRPr="009D0B2F">
        <w:t xml:space="preserve"> can manage these services.</w:t>
      </w:r>
    </w:p>
    <w:p w:rsidR="006748DF" w:rsidRDefault="00375FB1" w:rsidP="00375FB1">
      <w:r w:rsidRPr="00190C15">
        <w:t>Dedicated preschool services are often funded by state governments with a small parent fee o</w:t>
      </w:r>
      <w:r>
        <w:t>r</w:t>
      </w:r>
      <w:r w:rsidRPr="00190C15">
        <w:t xml:space="preserve"> fee-free and have hours similar to school settings. In contrast, preschool programs delivered through </w:t>
      </w:r>
      <w:r w:rsidR="00805E18">
        <w:t>non-government</w:t>
      </w:r>
      <w:r w:rsidRPr="00190C15">
        <w:t xml:space="preserve"> school early learning centres, </w:t>
      </w:r>
      <w:r>
        <w:t xml:space="preserve">and </w:t>
      </w:r>
      <w:r w:rsidRPr="00190C15">
        <w:t xml:space="preserve">community and privately provided </w:t>
      </w:r>
      <w:r>
        <w:t>long day care</w:t>
      </w:r>
      <w:r w:rsidRPr="00523084">
        <w:t xml:space="preserve"> </w:t>
      </w:r>
      <w:r w:rsidRPr="00190C15">
        <w:t>services</w:t>
      </w:r>
      <w:r w:rsidR="00FF6C35" w:rsidRPr="002E15C6">
        <w:t>,</w:t>
      </w:r>
      <w:r w:rsidRPr="00190C15">
        <w:t xml:space="preserve"> often offer extended hours to meet the workforce participation needs of families</w:t>
      </w:r>
      <w:r>
        <w:t xml:space="preserve">. These </w:t>
      </w:r>
      <w:r w:rsidRPr="00190C15">
        <w:t xml:space="preserve">services </w:t>
      </w:r>
      <w:r>
        <w:t>may</w:t>
      </w:r>
      <w:r w:rsidRPr="00190C15">
        <w:t xml:space="preserve"> spread </w:t>
      </w:r>
      <w:r>
        <w:t xml:space="preserve">the preschool program </w:t>
      </w:r>
      <w:r w:rsidRPr="00190C15">
        <w:t xml:space="preserve">across the whole day or </w:t>
      </w:r>
      <w:r>
        <w:t>concentrate it in</w:t>
      </w:r>
      <w:r w:rsidRPr="00190C15">
        <w:t xml:space="preserve"> certain hours. </w:t>
      </w:r>
      <w:r w:rsidR="00D40B61">
        <w:t xml:space="preserve">Fees in long day care can be substantial, although part of the cost is offset by Commonwealth, and sometimes </w:t>
      </w:r>
      <w:r w:rsidR="0037370A">
        <w:t>state</w:t>
      </w:r>
      <w:r w:rsidR="00D40B61">
        <w:t xml:space="preserve">, subsidies. </w:t>
      </w:r>
    </w:p>
    <w:p w:rsidR="00EC2F5E" w:rsidRDefault="00EC2F5E" w:rsidP="00375FB1">
      <w:r>
        <w:t>In 2016, there were 11,070 service providers delivering a preschool program – 38 per cent were a preschool (either stand-alone or as part of a school) and 62 per cent were</w:t>
      </w:r>
      <w:r w:rsidRPr="00CA24EA">
        <w:t xml:space="preserve"> within a</w:t>
      </w:r>
      <w:r>
        <w:t xml:space="preserve"> long day care</w:t>
      </w:r>
      <w:r w:rsidRPr="00CA24EA">
        <w:t xml:space="preserve"> </w:t>
      </w:r>
      <w:r>
        <w:t>service.</w:t>
      </w:r>
      <w:r>
        <w:rPr>
          <w:rStyle w:val="EndnoteReference"/>
        </w:rPr>
        <w:endnoteReference w:id="63"/>
      </w:r>
      <w:r>
        <w:t xml:space="preserve"> Around 51 per cent</w:t>
      </w:r>
      <w:r w:rsidRPr="00257CA7">
        <w:t xml:space="preserve"> of children enrolled in a preschool program </w:t>
      </w:r>
      <w:r>
        <w:t>in the year before school were</w:t>
      </w:r>
      <w:r w:rsidRPr="00257CA7">
        <w:t xml:space="preserve"> enrolled within a </w:t>
      </w:r>
      <w:r>
        <w:t>long day care</w:t>
      </w:r>
      <w:r w:rsidRPr="00257CA7">
        <w:t xml:space="preserve"> </w:t>
      </w:r>
      <w:r>
        <w:t>centre</w:t>
      </w:r>
      <w:r w:rsidRPr="00257CA7">
        <w:t>, an</w:t>
      </w:r>
      <w:r>
        <w:t>d 43 per cent received their program in a preschool.</w:t>
      </w:r>
      <w:r>
        <w:rPr>
          <w:rStyle w:val="EndnoteReference"/>
        </w:rPr>
        <w:endnoteReference w:id="64"/>
      </w:r>
      <w:r>
        <w:t xml:space="preserve"> Their enrolment across the range of providers of preschool programs was as follows: 16.9 per cent</w:t>
      </w:r>
      <w:r w:rsidRPr="00A31662">
        <w:t xml:space="preserve"> </w:t>
      </w:r>
      <w:r>
        <w:t xml:space="preserve">in </w:t>
      </w:r>
      <w:r w:rsidRPr="00A31662">
        <w:t>government preschool, 25.6</w:t>
      </w:r>
      <w:r>
        <w:t xml:space="preserve"> per cent in non-government preschool, 3.3 per cent</w:t>
      </w:r>
      <w:r w:rsidRPr="00A31662">
        <w:t xml:space="preserve"> </w:t>
      </w:r>
      <w:r>
        <w:t xml:space="preserve">in </w:t>
      </w:r>
      <w:r w:rsidRPr="00A31662">
        <w:t>gov</w:t>
      </w:r>
      <w:r>
        <w:t>ernment long day care, and 46.5 per cent</w:t>
      </w:r>
      <w:r w:rsidRPr="00A31662">
        <w:t xml:space="preserve"> </w:t>
      </w:r>
      <w:r>
        <w:t>in non-government long day care (including both for profit and not for profit).</w:t>
      </w:r>
      <w:r>
        <w:rPr>
          <w:rStyle w:val="EndnoteReference"/>
        </w:rPr>
        <w:endnoteReference w:id="65"/>
      </w:r>
    </w:p>
    <w:p w:rsidR="006748DF" w:rsidRDefault="006748DF" w:rsidP="00375FB1">
      <w:r>
        <w:t xml:space="preserve">It is useful to distinguish between preschool programs for four year olds (or in the year before school), and preschool programs for three year olds. </w:t>
      </w:r>
    </w:p>
    <w:p w:rsidR="00375FB1" w:rsidRPr="00190C15" w:rsidRDefault="00FF6C35" w:rsidP="00375FB1">
      <w:r w:rsidRPr="004164F8">
        <w:t xml:space="preserve">Through the Universal Access National Partnership, </w:t>
      </w:r>
      <w:r w:rsidR="00A705E5">
        <w:t>Commonwealth</w:t>
      </w:r>
      <w:r w:rsidRPr="00B505BF">
        <w:t>,</w:t>
      </w:r>
      <w:r w:rsidRPr="00392FCE">
        <w:t xml:space="preserve"> state and territory governments support four</w:t>
      </w:r>
      <w:r w:rsidR="00663A8C">
        <w:t xml:space="preserve"> </w:t>
      </w:r>
      <w:r w:rsidRPr="00392FCE">
        <w:t>year</w:t>
      </w:r>
      <w:r w:rsidR="00663A8C">
        <w:t xml:space="preserve"> </w:t>
      </w:r>
      <w:r w:rsidRPr="00392FCE">
        <w:t>old preschool</w:t>
      </w:r>
      <w:r w:rsidR="00D40B61" w:rsidRPr="003F19D3">
        <w:t>.</w:t>
      </w:r>
      <w:r w:rsidR="00D40B61">
        <w:t xml:space="preserve"> Parents </w:t>
      </w:r>
      <w:r w:rsidRPr="003F0B40">
        <w:t>may</w:t>
      </w:r>
      <w:r w:rsidR="00D40B61">
        <w:t xml:space="preserve"> pay a contribution, although i</w:t>
      </w:r>
      <w:r w:rsidR="00375FB1">
        <w:t>n 2016, 24 per cent</w:t>
      </w:r>
      <w:r w:rsidR="00375FB1" w:rsidRPr="00190C15">
        <w:t xml:space="preserve"> of children enrolled in a preschool were in preschool programs that were fee-free.</w:t>
      </w:r>
      <w:r w:rsidR="00375FB1" w:rsidRPr="00190C15">
        <w:rPr>
          <w:rStyle w:val="EndnoteReference"/>
        </w:rPr>
        <w:endnoteReference w:id="66"/>
      </w:r>
      <w:r w:rsidR="00375FB1" w:rsidRPr="00190C15">
        <w:t xml:space="preserve"> </w:t>
      </w:r>
    </w:p>
    <w:p w:rsidR="001F5FA8" w:rsidRDefault="00375FB1" w:rsidP="00375FB1">
      <w:r>
        <w:t xml:space="preserve">Across Australia, there are wide variations in how and where </w:t>
      </w:r>
      <w:r w:rsidR="00FF6C35" w:rsidRPr="00A33316">
        <w:t>four</w:t>
      </w:r>
      <w:r w:rsidR="00663A8C">
        <w:t xml:space="preserve"> </w:t>
      </w:r>
      <w:r w:rsidR="00FF6C35" w:rsidRPr="00A33316">
        <w:t>year</w:t>
      </w:r>
      <w:r w:rsidR="00663A8C">
        <w:t xml:space="preserve"> </w:t>
      </w:r>
      <w:r w:rsidR="00FF6C35" w:rsidRPr="00A33316">
        <w:t>old</w:t>
      </w:r>
      <w:r w:rsidR="00D40B61">
        <w:t xml:space="preserve"> </w:t>
      </w:r>
      <w:r>
        <w:t xml:space="preserve">preschool programs are delivered. In South Australia, Western Australia, Tasmania, Northern Territory and the Australian Capital Territory, government preschools are the main providers </w:t>
      </w:r>
      <w:r w:rsidR="006748DF">
        <w:t xml:space="preserve">of preschool in the year before school. </w:t>
      </w:r>
      <w:r>
        <w:t xml:space="preserve">By contrast, most children in New South Wales, Victoria and Queensland receive a preschool program </w:t>
      </w:r>
      <w:r w:rsidR="00D40B61">
        <w:t>in the year before school</w:t>
      </w:r>
      <w:r w:rsidR="006748DF">
        <w:t xml:space="preserve"> </w:t>
      </w:r>
      <w:r>
        <w:t>through long day care services and non-government preschools</w:t>
      </w:r>
      <w:r w:rsidR="0094711A">
        <w:t>.</w:t>
      </w:r>
      <w:r>
        <w:rPr>
          <w:rStyle w:val="EndnoteReference"/>
        </w:rPr>
        <w:endnoteReference w:id="67"/>
      </w:r>
      <w:r>
        <w:t xml:space="preserve"> </w:t>
      </w:r>
    </w:p>
    <w:p w:rsidR="001F5FA8" w:rsidRDefault="001F5FA8" w:rsidP="00375FB1">
      <w:r w:rsidRPr="00A516DA">
        <w:rPr>
          <w:b/>
        </w:rPr>
        <w:t xml:space="preserve">Table </w:t>
      </w:r>
      <w:r w:rsidR="00B33530" w:rsidRPr="00A516DA">
        <w:rPr>
          <w:b/>
        </w:rPr>
        <w:t>2</w:t>
      </w:r>
      <w:r w:rsidRPr="00A516DA">
        <w:rPr>
          <w:b/>
        </w:rPr>
        <w:t xml:space="preserve">: </w:t>
      </w:r>
      <w:r w:rsidR="00B33530" w:rsidRPr="00BA7AF9">
        <w:rPr>
          <w:b/>
        </w:rPr>
        <w:t>P</w:t>
      </w:r>
      <w:r w:rsidRPr="00A516DA">
        <w:rPr>
          <w:b/>
        </w:rPr>
        <w:t>roportion of preschool enrolments by service type</w:t>
      </w:r>
      <w:r w:rsidR="00FF20AE">
        <w:t xml:space="preserve"> </w:t>
      </w:r>
    </w:p>
    <w:tbl>
      <w:tblPr>
        <w:tblStyle w:val="TableGrid"/>
        <w:tblW w:w="0" w:type="auto"/>
        <w:tblLook w:val="04A0" w:firstRow="1" w:lastRow="0" w:firstColumn="1" w:lastColumn="0" w:noHBand="0" w:noVBand="1"/>
      </w:tblPr>
      <w:tblGrid>
        <w:gridCol w:w="2489"/>
        <w:gridCol w:w="751"/>
        <w:gridCol w:w="751"/>
        <w:gridCol w:w="751"/>
        <w:gridCol w:w="750"/>
        <w:gridCol w:w="750"/>
        <w:gridCol w:w="750"/>
        <w:gridCol w:w="750"/>
        <w:gridCol w:w="750"/>
      </w:tblGrid>
      <w:tr w:rsidR="00E14E47" w:rsidRPr="001F5FA8" w:rsidTr="00D51254">
        <w:trPr>
          <w:trHeight w:val="300"/>
        </w:trPr>
        <w:tc>
          <w:tcPr>
            <w:tcW w:w="2489" w:type="dxa"/>
            <w:noWrap/>
            <w:hideMark/>
          </w:tcPr>
          <w:p w:rsidR="00E14E47" w:rsidRPr="001F5FA8" w:rsidRDefault="00E14E47"/>
        </w:tc>
        <w:tc>
          <w:tcPr>
            <w:tcW w:w="751" w:type="dxa"/>
            <w:hideMark/>
          </w:tcPr>
          <w:p w:rsidR="00E14E47" w:rsidRPr="001F5FA8" w:rsidRDefault="00E14E47" w:rsidP="001F5FA8">
            <w:pPr>
              <w:rPr>
                <w:b/>
                <w:bCs/>
              </w:rPr>
            </w:pPr>
            <w:r w:rsidRPr="001F5FA8">
              <w:rPr>
                <w:b/>
                <w:bCs/>
              </w:rPr>
              <w:t>NSW</w:t>
            </w:r>
          </w:p>
        </w:tc>
        <w:tc>
          <w:tcPr>
            <w:tcW w:w="751" w:type="dxa"/>
            <w:hideMark/>
          </w:tcPr>
          <w:p w:rsidR="00E14E47" w:rsidRPr="001F5FA8" w:rsidRDefault="00E14E47" w:rsidP="001F5FA8">
            <w:pPr>
              <w:rPr>
                <w:b/>
                <w:bCs/>
              </w:rPr>
            </w:pPr>
            <w:r w:rsidRPr="001F5FA8">
              <w:rPr>
                <w:b/>
                <w:bCs/>
              </w:rPr>
              <w:t>Vic.</w:t>
            </w:r>
          </w:p>
        </w:tc>
        <w:tc>
          <w:tcPr>
            <w:tcW w:w="751" w:type="dxa"/>
            <w:hideMark/>
          </w:tcPr>
          <w:p w:rsidR="00E14E47" w:rsidRPr="001F5FA8" w:rsidRDefault="00E14E47" w:rsidP="001F5FA8">
            <w:pPr>
              <w:rPr>
                <w:b/>
                <w:bCs/>
              </w:rPr>
            </w:pPr>
            <w:r w:rsidRPr="001F5FA8">
              <w:rPr>
                <w:b/>
                <w:bCs/>
              </w:rPr>
              <w:t>Qld</w:t>
            </w:r>
          </w:p>
        </w:tc>
        <w:tc>
          <w:tcPr>
            <w:tcW w:w="750" w:type="dxa"/>
            <w:hideMark/>
          </w:tcPr>
          <w:p w:rsidR="00E14E47" w:rsidRPr="001F5FA8" w:rsidRDefault="00E14E47" w:rsidP="001F5FA8">
            <w:pPr>
              <w:rPr>
                <w:b/>
                <w:bCs/>
              </w:rPr>
            </w:pPr>
            <w:r w:rsidRPr="001F5FA8">
              <w:rPr>
                <w:b/>
                <w:bCs/>
              </w:rPr>
              <w:t>SA</w:t>
            </w:r>
          </w:p>
        </w:tc>
        <w:tc>
          <w:tcPr>
            <w:tcW w:w="750" w:type="dxa"/>
            <w:hideMark/>
          </w:tcPr>
          <w:p w:rsidR="00E14E47" w:rsidRPr="001F5FA8" w:rsidRDefault="00E14E47" w:rsidP="001F5FA8">
            <w:pPr>
              <w:rPr>
                <w:b/>
                <w:bCs/>
              </w:rPr>
            </w:pPr>
            <w:r w:rsidRPr="001F5FA8">
              <w:rPr>
                <w:b/>
                <w:bCs/>
              </w:rPr>
              <w:t>WA</w:t>
            </w:r>
          </w:p>
        </w:tc>
        <w:tc>
          <w:tcPr>
            <w:tcW w:w="750" w:type="dxa"/>
            <w:hideMark/>
          </w:tcPr>
          <w:p w:rsidR="00E14E47" w:rsidRPr="001F5FA8" w:rsidRDefault="00E14E47" w:rsidP="001F5FA8">
            <w:pPr>
              <w:rPr>
                <w:b/>
                <w:bCs/>
              </w:rPr>
            </w:pPr>
            <w:r w:rsidRPr="001F5FA8">
              <w:rPr>
                <w:b/>
                <w:bCs/>
              </w:rPr>
              <w:t>Tas.</w:t>
            </w:r>
          </w:p>
        </w:tc>
        <w:tc>
          <w:tcPr>
            <w:tcW w:w="750" w:type="dxa"/>
            <w:hideMark/>
          </w:tcPr>
          <w:p w:rsidR="00E14E47" w:rsidRPr="001F5FA8" w:rsidRDefault="00E14E47" w:rsidP="001F5FA8">
            <w:pPr>
              <w:rPr>
                <w:b/>
                <w:bCs/>
              </w:rPr>
            </w:pPr>
            <w:r w:rsidRPr="001F5FA8">
              <w:rPr>
                <w:b/>
                <w:bCs/>
              </w:rPr>
              <w:t>NT</w:t>
            </w:r>
          </w:p>
        </w:tc>
        <w:tc>
          <w:tcPr>
            <w:tcW w:w="750" w:type="dxa"/>
            <w:hideMark/>
          </w:tcPr>
          <w:p w:rsidR="00E14E47" w:rsidRPr="001F5FA8" w:rsidRDefault="00E14E47" w:rsidP="001F5FA8">
            <w:pPr>
              <w:rPr>
                <w:b/>
                <w:bCs/>
              </w:rPr>
            </w:pPr>
            <w:r w:rsidRPr="001F5FA8">
              <w:rPr>
                <w:b/>
                <w:bCs/>
              </w:rPr>
              <w:t>ACT</w:t>
            </w:r>
          </w:p>
        </w:tc>
      </w:tr>
      <w:tr w:rsidR="00E14E47" w:rsidRPr="001F5FA8" w:rsidTr="00D51254">
        <w:trPr>
          <w:trHeight w:val="300"/>
        </w:trPr>
        <w:tc>
          <w:tcPr>
            <w:tcW w:w="2489" w:type="dxa"/>
            <w:noWrap/>
            <w:hideMark/>
          </w:tcPr>
          <w:p w:rsidR="00E14E47" w:rsidRPr="001F5FA8" w:rsidRDefault="00E14E47">
            <w:r w:rsidRPr="001F5FA8">
              <w:t>Government preschool</w:t>
            </w:r>
          </w:p>
        </w:tc>
        <w:tc>
          <w:tcPr>
            <w:tcW w:w="751" w:type="dxa"/>
            <w:noWrap/>
            <w:hideMark/>
          </w:tcPr>
          <w:p w:rsidR="00E14E47" w:rsidRPr="001F5FA8" w:rsidRDefault="00E14E47" w:rsidP="001F5FA8">
            <w:r w:rsidRPr="001F5FA8">
              <w:t>5%</w:t>
            </w:r>
          </w:p>
        </w:tc>
        <w:tc>
          <w:tcPr>
            <w:tcW w:w="751" w:type="dxa"/>
            <w:noWrap/>
            <w:hideMark/>
          </w:tcPr>
          <w:p w:rsidR="00E14E47" w:rsidRPr="001F5FA8" w:rsidRDefault="00E14E47" w:rsidP="001F5FA8">
            <w:r w:rsidRPr="001F5FA8">
              <w:t>12%</w:t>
            </w:r>
          </w:p>
        </w:tc>
        <w:tc>
          <w:tcPr>
            <w:tcW w:w="751" w:type="dxa"/>
            <w:noWrap/>
            <w:hideMark/>
          </w:tcPr>
          <w:p w:rsidR="00E14E47" w:rsidRPr="001F5FA8" w:rsidRDefault="00E14E47" w:rsidP="001F5FA8">
            <w:r w:rsidRPr="001F5FA8">
              <w:t>2%</w:t>
            </w:r>
          </w:p>
        </w:tc>
        <w:tc>
          <w:tcPr>
            <w:tcW w:w="750" w:type="dxa"/>
            <w:noWrap/>
            <w:hideMark/>
          </w:tcPr>
          <w:p w:rsidR="00E14E47" w:rsidRPr="001F5FA8" w:rsidRDefault="00E14E47" w:rsidP="001F5FA8">
            <w:r w:rsidRPr="001F5FA8">
              <w:t>58%</w:t>
            </w:r>
          </w:p>
        </w:tc>
        <w:tc>
          <w:tcPr>
            <w:tcW w:w="750" w:type="dxa"/>
            <w:noWrap/>
            <w:hideMark/>
          </w:tcPr>
          <w:p w:rsidR="00E14E47" w:rsidRPr="001F5FA8" w:rsidRDefault="00E14E47" w:rsidP="001F5FA8">
            <w:r w:rsidRPr="001F5FA8">
              <w:t>67%</w:t>
            </w:r>
          </w:p>
        </w:tc>
        <w:tc>
          <w:tcPr>
            <w:tcW w:w="750" w:type="dxa"/>
            <w:noWrap/>
            <w:hideMark/>
          </w:tcPr>
          <w:p w:rsidR="00E14E47" w:rsidRPr="001F5FA8" w:rsidRDefault="00E14E47" w:rsidP="001F5FA8">
            <w:r w:rsidRPr="001F5FA8">
              <w:t>58%</w:t>
            </w:r>
          </w:p>
        </w:tc>
        <w:tc>
          <w:tcPr>
            <w:tcW w:w="750" w:type="dxa"/>
            <w:noWrap/>
            <w:hideMark/>
          </w:tcPr>
          <w:p w:rsidR="00E14E47" w:rsidRPr="001F5FA8" w:rsidRDefault="00E14E47" w:rsidP="001F5FA8">
            <w:r w:rsidRPr="001F5FA8">
              <w:t>77%</w:t>
            </w:r>
          </w:p>
        </w:tc>
        <w:tc>
          <w:tcPr>
            <w:tcW w:w="750" w:type="dxa"/>
            <w:noWrap/>
            <w:hideMark/>
          </w:tcPr>
          <w:p w:rsidR="00E14E47" w:rsidRPr="001F5FA8" w:rsidRDefault="00E14E47" w:rsidP="001F5FA8">
            <w:r w:rsidRPr="001F5FA8">
              <w:t>56%</w:t>
            </w:r>
          </w:p>
        </w:tc>
      </w:tr>
      <w:tr w:rsidR="00E14E47" w:rsidRPr="001F5FA8" w:rsidTr="00D51254">
        <w:trPr>
          <w:trHeight w:val="300"/>
        </w:trPr>
        <w:tc>
          <w:tcPr>
            <w:tcW w:w="2489" w:type="dxa"/>
            <w:noWrap/>
            <w:hideMark/>
          </w:tcPr>
          <w:p w:rsidR="00E14E47" w:rsidRPr="001F5FA8" w:rsidRDefault="00E14E47">
            <w:r w:rsidRPr="001F5FA8">
              <w:t xml:space="preserve">Non-government preschool </w:t>
            </w:r>
          </w:p>
        </w:tc>
        <w:tc>
          <w:tcPr>
            <w:tcW w:w="751" w:type="dxa"/>
            <w:noWrap/>
            <w:hideMark/>
          </w:tcPr>
          <w:p w:rsidR="00E14E47" w:rsidRPr="001F5FA8" w:rsidRDefault="00E14E47" w:rsidP="001F5FA8">
            <w:r w:rsidRPr="001F5FA8">
              <w:t>27%</w:t>
            </w:r>
          </w:p>
        </w:tc>
        <w:tc>
          <w:tcPr>
            <w:tcW w:w="751" w:type="dxa"/>
            <w:noWrap/>
            <w:hideMark/>
          </w:tcPr>
          <w:p w:rsidR="00E14E47" w:rsidRPr="001F5FA8" w:rsidRDefault="00E14E47" w:rsidP="001F5FA8">
            <w:r w:rsidRPr="001F5FA8">
              <w:t>39%</w:t>
            </w:r>
          </w:p>
        </w:tc>
        <w:tc>
          <w:tcPr>
            <w:tcW w:w="751" w:type="dxa"/>
            <w:noWrap/>
            <w:hideMark/>
          </w:tcPr>
          <w:p w:rsidR="00E14E47" w:rsidRPr="001F5FA8" w:rsidRDefault="00E14E47" w:rsidP="001F5FA8">
            <w:r w:rsidRPr="001F5FA8">
              <w:t>25%</w:t>
            </w:r>
          </w:p>
        </w:tc>
        <w:tc>
          <w:tcPr>
            <w:tcW w:w="750" w:type="dxa"/>
            <w:noWrap/>
            <w:hideMark/>
          </w:tcPr>
          <w:p w:rsidR="00E14E47" w:rsidRPr="001F5FA8" w:rsidRDefault="00E14E47" w:rsidP="001F5FA8">
            <w:r w:rsidRPr="001F5FA8">
              <w:t>5%</w:t>
            </w:r>
          </w:p>
        </w:tc>
        <w:tc>
          <w:tcPr>
            <w:tcW w:w="750" w:type="dxa"/>
            <w:noWrap/>
            <w:hideMark/>
          </w:tcPr>
          <w:p w:rsidR="00E14E47" w:rsidRPr="001F5FA8" w:rsidRDefault="00E14E47" w:rsidP="001F5FA8">
            <w:r w:rsidRPr="001F5FA8">
              <w:t>26%</w:t>
            </w:r>
          </w:p>
        </w:tc>
        <w:tc>
          <w:tcPr>
            <w:tcW w:w="750" w:type="dxa"/>
            <w:noWrap/>
            <w:hideMark/>
          </w:tcPr>
          <w:p w:rsidR="00E14E47" w:rsidRPr="001F5FA8" w:rsidRDefault="00E14E47" w:rsidP="001F5FA8">
            <w:r w:rsidRPr="001F5FA8">
              <w:t>17%</w:t>
            </w:r>
          </w:p>
        </w:tc>
        <w:tc>
          <w:tcPr>
            <w:tcW w:w="750" w:type="dxa"/>
            <w:noWrap/>
            <w:hideMark/>
          </w:tcPr>
          <w:p w:rsidR="00E14E47" w:rsidRPr="001F5FA8" w:rsidRDefault="00E14E47" w:rsidP="001F5FA8">
            <w:r w:rsidRPr="001F5FA8">
              <w:t>5%</w:t>
            </w:r>
          </w:p>
        </w:tc>
        <w:tc>
          <w:tcPr>
            <w:tcW w:w="750" w:type="dxa"/>
            <w:noWrap/>
            <w:hideMark/>
          </w:tcPr>
          <w:p w:rsidR="00E14E47" w:rsidRPr="001F5FA8" w:rsidRDefault="00E14E47" w:rsidP="001F5FA8">
            <w:r w:rsidRPr="001F5FA8">
              <w:t>3%</w:t>
            </w:r>
          </w:p>
        </w:tc>
      </w:tr>
      <w:tr w:rsidR="00E14E47" w:rsidRPr="001F5FA8" w:rsidTr="00D51254">
        <w:trPr>
          <w:trHeight w:val="300"/>
        </w:trPr>
        <w:tc>
          <w:tcPr>
            <w:tcW w:w="2489" w:type="dxa"/>
            <w:noWrap/>
            <w:hideMark/>
          </w:tcPr>
          <w:p w:rsidR="00E14E47" w:rsidRPr="001F5FA8" w:rsidRDefault="00E14E47">
            <w:r w:rsidRPr="001F5FA8">
              <w:t>Long day care</w:t>
            </w:r>
          </w:p>
        </w:tc>
        <w:tc>
          <w:tcPr>
            <w:tcW w:w="751" w:type="dxa"/>
            <w:noWrap/>
            <w:hideMark/>
          </w:tcPr>
          <w:p w:rsidR="00E14E47" w:rsidRPr="001F5FA8" w:rsidRDefault="00E14E47" w:rsidP="001F5FA8">
            <w:r w:rsidRPr="001F5FA8">
              <w:t>68%</w:t>
            </w:r>
          </w:p>
        </w:tc>
        <w:tc>
          <w:tcPr>
            <w:tcW w:w="751" w:type="dxa"/>
            <w:noWrap/>
            <w:hideMark/>
          </w:tcPr>
          <w:p w:rsidR="00E14E47" w:rsidRPr="001F5FA8" w:rsidRDefault="00E14E47" w:rsidP="001F5FA8">
            <w:r w:rsidRPr="001F5FA8">
              <w:t>49%</w:t>
            </w:r>
          </w:p>
        </w:tc>
        <w:tc>
          <w:tcPr>
            <w:tcW w:w="751" w:type="dxa"/>
            <w:noWrap/>
            <w:hideMark/>
          </w:tcPr>
          <w:p w:rsidR="00E14E47" w:rsidRPr="001F5FA8" w:rsidRDefault="00E14E47" w:rsidP="001F5FA8">
            <w:r w:rsidRPr="001F5FA8">
              <w:t>73%</w:t>
            </w:r>
          </w:p>
        </w:tc>
        <w:tc>
          <w:tcPr>
            <w:tcW w:w="750" w:type="dxa"/>
            <w:noWrap/>
            <w:hideMark/>
          </w:tcPr>
          <w:p w:rsidR="00E14E47" w:rsidRPr="001F5FA8" w:rsidRDefault="00E14E47" w:rsidP="001F5FA8">
            <w:r w:rsidRPr="001F5FA8">
              <w:t>37%</w:t>
            </w:r>
          </w:p>
        </w:tc>
        <w:tc>
          <w:tcPr>
            <w:tcW w:w="750" w:type="dxa"/>
            <w:noWrap/>
            <w:hideMark/>
          </w:tcPr>
          <w:p w:rsidR="00E14E47" w:rsidRPr="001F5FA8" w:rsidRDefault="00E14E47" w:rsidP="001F5FA8">
            <w:r w:rsidRPr="001F5FA8">
              <w:t>8%</w:t>
            </w:r>
          </w:p>
        </w:tc>
        <w:tc>
          <w:tcPr>
            <w:tcW w:w="750" w:type="dxa"/>
            <w:noWrap/>
            <w:hideMark/>
          </w:tcPr>
          <w:p w:rsidR="00E14E47" w:rsidRPr="001F5FA8" w:rsidRDefault="00E14E47" w:rsidP="001F5FA8">
            <w:r w:rsidRPr="001F5FA8">
              <w:t>25%</w:t>
            </w:r>
          </w:p>
        </w:tc>
        <w:tc>
          <w:tcPr>
            <w:tcW w:w="750" w:type="dxa"/>
            <w:noWrap/>
            <w:hideMark/>
          </w:tcPr>
          <w:p w:rsidR="00E14E47" w:rsidRPr="001F5FA8" w:rsidRDefault="00E14E47" w:rsidP="001F5FA8">
            <w:r w:rsidRPr="001F5FA8">
              <w:t>18%</w:t>
            </w:r>
          </w:p>
        </w:tc>
        <w:tc>
          <w:tcPr>
            <w:tcW w:w="750" w:type="dxa"/>
            <w:noWrap/>
            <w:hideMark/>
          </w:tcPr>
          <w:p w:rsidR="00E14E47" w:rsidRPr="001F5FA8" w:rsidRDefault="00E14E47" w:rsidP="001F5FA8">
            <w:r w:rsidRPr="001F5FA8">
              <w:t>41%</w:t>
            </w:r>
          </w:p>
        </w:tc>
      </w:tr>
    </w:tbl>
    <w:p w:rsidR="001F5FA8" w:rsidRPr="00A516DA" w:rsidRDefault="001F5FA8" w:rsidP="00375FB1">
      <w:pPr>
        <w:rPr>
          <w:sz w:val="16"/>
        </w:rPr>
      </w:pPr>
      <w:r w:rsidRPr="00A516DA">
        <w:rPr>
          <w:b/>
          <w:i/>
          <w:sz w:val="16"/>
        </w:rPr>
        <w:t>Source:</w:t>
      </w:r>
      <w:r w:rsidRPr="00A516DA">
        <w:rPr>
          <w:sz w:val="16"/>
        </w:rPr>
        <w:t xml:space="preserve"> ABS 4240, Review analysis. Excludes children enrolled in multiple preschools or multiple service types.</w:t>
      </w:r>
      <w:r w:rsidR="0054415A" w:rsidRPr="00A516DA">
        <w:rPr>
          <w:sz w:val="16"/>
        </w:rPr>
        <w:t xml:space="preserve"> ABS data may differ from jurisdictional analysis due to collection anomalies.</w:t>
      </w:r>
    </w:p>
    <w:p w:rsidR="00375FB1" w:rsidRDefault="00375FB1" w:rsidP="00375FB1">
      <w:r>
        <w:t xml:space="preserve">Jurisdictions also provide a range of programs offering early learning and development opportunities for younger children. </w:t>
      </w:r>
      <w:r w:rsidR="008C7AD0">
        <w:t>Most</w:t>
      </w:r>
      <w:r>
        <w:t xml:space="preserve"> offer highly targeted programs that provide access to </w:t>
      </w:r>
      <w:r w:rsidR="00D40B61">
        <w:t>three</w:t>
      </w:r>
      <w:r w:rsidR="00663A8C">
        <w:t xml:space="preserve"> </w:t>
      </w:r>
      <w:r>
        <w:t>year</w:t>
      </w:r>
      <w:r w:rsidR="00663A8C">
        <w:t xml:space="preserve"> </w:t>
      </w:r>
      <w:r>
        <w:t>old preschool</w:t>
      </w:r>
      <w:r w:rsidR="00FF6C35" w:rsidRPr="00D41DEB">
        <w:t xml:space="preserve"> –</w:t>
      </w:r>
      <w:r>
        <w:t xml:space="preserve"> for example Indigenous children</w:t>
      </w:r>
      <w:r w:rsidR="00FF6C35" w:rsidRPr="00D41DEB">
        <w:t xml:space="preserve"> –</w:t>
      </w:r>
      <w:r>
        <w:t xml:space="preserve"> or children in the child protection system.</w:t>
      </w:r>
    </w:p>
    <w:p w:rsidR="00375FB1" w:rsidRDefault="00375FB1" w:rsidP="00375FB1">
      <w:r>
        <w:t xml:space="preserve">Jurisdictions also offer a range of innovative delivery models to meet the unique needs of rural and remote communities, such as mobile services and online programs. These programs are important as they maximise early educational opportunities for children who might not otherwise have the opportunity available to them. </w:t>
      </w:r>
      <w:r w:rsidR="003D1131">
        <w:t>Technological changes and digital delivery will continue to support innovation in home and community learning.</w:t>
      </w:r>
    </w:p>
    <w:p w:rsidR="003F5120" w:rsidRDefault="003F5120" w:rsidP="003F5120"/>
    <w:tbl>
      <w:tblPr>
        <w:tblStyle w:val="TableGrid"/>
        <w:tblW w:w="0" w:type="auto"/>
        <w:tblLook w:val="04A0" w:firstRow="1" w:lastRow="0" w:firstColumn="1" w:lastColumn="0" w:noHBand="0" w:noVBand="1"/>
      </w:tblPr>
      <w:tblGrid>
        <w:gridCol w:w="9242"/>
      </w:tblGrid>
      <w:tr w:rsidR="003F5120" w:rsidTr="002303A4">
        <w:tc>
          <w:tcPr>
            <w:tcW w:w="9242" w:type="dxa"/>
          </w:tcPr>
          <w:p w:rsidR="003F5120" w:rsidRPr="008149F0" w:rsidRDefault="003F5120" w:rsidP="002303A4">
            <w:pPr>
              <w:rPr>
                <w:b/>
              </w:rPr>
            </w:pPr>
            <w:bookmarkStart w:id="13" w:name="_Toc497240015"/>
            <w:r w:rsidRPr="008149F0">
              <w:rPr>
                <w:b/>
              </w:rPr>
              <w:t xml:space="preserve">Rural Care </w:t>
            </w:r>
            <w:bookmarkEnd w:id="13"/>
            <w:r w:rsidRPr="008149F0">
              <w:rPr>
                <w:b/>
              </w:rPr>
              <w:t>program</w:t>
            </w:r>
            <w:r w:rsidR="00A20C15">
              <w:rPr>
                <w:b/>
              </w:rPr>
              <w:t xml:space="preserve">, </w:t>
            </w:r>
            <w:r w:rsidR="004952BD">
              <w:rPr>
                <w:b/>
              </w:rPr>
              <w:t>South Australia</w:t>
            </w:r>
          </w:p>
          <w:p w:rsidR="003F5120" w:rsidRPr="008149F0" w:rsidRDefault="003F5120" w:rsidP="002303A4"/>
          <w:p w:rsidR="003F5120" w:rsidRPr="008149F0" w:rsidRDefault="003F5120" w:rsidP="002303A4">
            <w:r w:rsidRPr="008149F0">
              <w:t xml:space="preserve">The South Australian Department </w:t>
            </w:r>
            <w:r w:rsidR="006C46E6">
              <w:t>for</w:t>
            </w:r>
            <w:r w:rsidR="006C46E6" w:rsidRPr="008149F0">
              <w:t xml:space="preserve"> </w:t>
            </w:r>
            <w:r w:rsidRPr="008149F0">
              <w:t>Education and Child Development (DECD) Rural Care program provides child care to around 450 children per year in rural and remote communities, where the traditional model of centre</w:t>
            </w:r>
            <w:r w:rsidR="002824F7" w:rsidRPr="007C75B1">
              <w:t>-</w:t>
            </w:r>
            <w:r w:rsidRPr="008149F0">
              <w:t xml:space="preserve">based long day care would not be viable due to the small numbers of children requiring care. </w:t>
            </w:r>
            <w:r w:rsidR="0054415A">
              <w:t xml:space="preserve">The </w:t>
            </w:r>
            <w:r w:rsidRPr="008149F0">
              <w:t xml:space="preserve">Rural Care program is designed to support </w:t>
            </w:r>
            <w:r w:rsidR="00735D57" w:rsidRPr="008149F0">
              <w:t xml:space="preserve">the </w:t>
            </w:r>
            <w:r w:rsidRPr="008149F0">
              <w:t>workforce participation and economic wellbeing of parents and communities that may not otherwise have access to long day care.</w:t>
            </w:r>
          </w:p>
          <w:p w:rsidR="003F5120" w:rsidRPr="008149F0" w:rsidRDefault="003F5120" w:rsidP="002303A4"/>
          <w:p w:rsidR="003F5120" w:rsidRPr="008149F0" w:rsidRDefault="003F5120" w:rsidP="002303A4">
            <w:r w:rsidRPr="008149F0">
              <w:t xml:space="preserve">The program is offered alongside DECD preschools (with leadership from the preschool director or school principal) to achieve economies of scale. Further efficiencies are achieved through the centralised administration of fees and the child care management system. </w:t>
            </w:r>
          </w:p>
          <w:p w:rsidR="003F5120" w:rsidRPr="008149F0" w:rsidRDefault="003F5120" w:rsidP="002303A4"/>
          <w:p w:rsidR="003F5120" w:rsidRPr="008149F0" w:rsidRDefault="003F5120" w:rsidP="002303A4">
            <w:r w:rsidRPr="008149F0">
              <w:t xml:space="preserve">Rural Care services can offer care for a minimum of seven child places at any one time and depending on demand from communities, additional places are made available. Services offer care for 10 hours per day, five days a week for 50 weeks per year, to children aged 0-12 years through long day care, after preschool and school care, and respite care for families. </w:t>
            </w:r>
          </w:p>
          <w:p w:rsidR="003F5120" w:rsidRPr="008149F0" w:rsidRDefault="003F5120" w:rsidP="002303A4"/>
          <w:p w:rsidR="003F5120" w:rsidRPr="008149F0" w:rsidRDefault="003F5120" w:rsidP="008149F0">
            <w:r w:rsidRPr="008149F0">
              <w:t xml:space="preserve">Source: Department </w:t>
            </w:r>
            <w:r w:rsidR="008149F0" w:rsidRPr="008149F0">
              <w:t xml:space="preserve">for Education and Child Development, </w:t>
            </w:r>
            <w:r w:rsidR="004952BD">
              <w:t>SA</w:t>
            </w:r>
            <w:r w:rsidR="008149F0" w:rsidRPr="008149F0">
              <w:t xml:space="preserve"> </w:t>
            </w:r>
          </w:p>
        </w:tc>
      </w:tr>
    </w:tbl>
    <w:p w:rsidR="003F5120" w:rsidRDefault="003F5120" w:rsidP="00375FB1"/>
    <w:p w:rsidR="00375FB1" w:rsidRDefault="00FF3257" w:rsidP="00375FB1">
      <w:r>
        <w:t>O</w:t>
      </w:r>
      <w:r w:rsidR="00375FB1">
        <w:t xml:space="preserve">ther informal programs </w:t>
      </w:r>
      <w:r>
        <w:t xml:space="preserve">are </w:t>
      </w:r>
      <w:r w:rsidR="00375FB1">
        <w:t xml:space="preserve">offered to families to support </w:t>
      </w:r>
      <w:r w:rsidR="006B1004" w:rsidRPr="00D41DEB">
        <w:t>a child’s</w:t>
      </w:r>
      <w:r w:rsidR="00375FB1">
        <w:t xml:space="preserve"> early learning and development from birth through to school. For example, p</w:t>
      </w:r>
      <w:r w:rsidR="00375FB1" w:rsidRPr="00FA30F0">
        <w:t>laygroups provide a safe environment for children to learn through unstructured</w:t>
      </w:r>
      <w:r w:rsidR="009C5326">
        <w:t>, free</w:t>
      </w:r>
      <w:r w:rsidR="00375FB1" w:rsidRPr="00FA30F0">
        <w:t xml:space="preserve"> play with similar aged children</w:t>
      </w:r>
      <w:r w:rsidR="00375FB1" w:rsidRPr="007D1F8E">
        <w:t xml:space="preserve"> </w:t>
      </w:r>
      <w:r w:rsidR="00375FB1" w:rsidRPr="00D565D5">
        <w:t>on a regular basis</w:t>
      </w:r>
      <w:r w:rsidR="009C5326">
        <w:t xml:space="preserve"> prior to starting school</w:t>
      </w:r>
      <w:r w:rsidR="00375FB1" w:rsidRPr="00FA30F0">
        <w:t xml:space="preserve">. </w:t>
      </w:r>
      <w:r w:rsidR="00375FB1">
        <w:t xml:space="preserve">They also </w:t>
      </w:r>
      <w:r w:rsidR="00375FB1" w:rsidRPr="00FA30F0">
        <w:t xml:space="preserve">provide an opportunity for parents to </w:t>
      </w:r>
      <w:r w:rsidR="009C5326">
        <w:t xml:space="preserve">help </w:t>
      </w:r>
      <w:r w:rsidR="00C332DF">
        <w:t>support</w:t>
      </w:r>
      <w:r w:rsidR="009C5326">
        <w:t xml:space="preserve"> </w:t>
      </w:r>
      <w:r w:rsidR="00375FB1" w:rsidRPr="00FA30F0">
        <w:t xml:space="preserve">their child’s development, and </w:t>
      </w:r>
      <w:r w:rsidR="00221598">
        <w:t>assist</w:t>
      </w:r>
      <w:r w:rsidR="009C5326">
        <w:t xml:space="preserve"> </w:t>
      </w:r>
      <w:r w:rsidR="00375FB1" w:rsidRPr="00FA30F0">
        <w:t xml:space="preserve">parents to develop social </w:t>
      </w:r>
      <w:r w:rsidR="009C5326">
        <w:t xml:space="preserve">connections </w:t>
      </w:r>
      <w:r w:rsidR="00375FB1" w:rsidRPr="00FA30F0">
        <w:t>and their parenting skills</w:t>
      </w:r>
      <w:r w:rsidR="009C5326">
        <w:t xml:space="preserve"> and confidence</w:t>
      </w:r>
      <w:r w:rsidR="00375FB1">
        <w:t>.</w:t>
      </w:r>
      <w:r w:rsidR="00375FB1" w:rsidRPr="0094711A">
        <w:rPr>
          <w:rStyle w:val="EndnoteReference"/>
          <w:rFonts w:eastAsiaTheme="minorEastAsia"/>
          <w:bCs/>
        </w:rPr>
        <w:endnoteReference w:id="68"/>
      </w:r>
      <w:r w:rsidR="00375FB1" w:rsidRPr="0094711A">
        <w:t xml:space="preserve"> </w:t>
      </w:r>
      <w:r w:rsidR="00375FB1">
        <w:t>Community playgroups</w:t>
      </w:r>
      <w:r w:rsidR="00375FB1" w:rsidRPr="00D565D5">
        <w:t xml:space="preserve"> </w:t>
      </w:r>
      <w:r w:rsidR="00375FB1">
        <w:t xml:space="preserve">are </w:t>
      </w:r>
      <w:r w:rsidR="00375FB1" w:rsidRPr="00D565D5">
        <w:t>set up and run by parents and caregivers</w:t>
      </w:r>
      <w:r w:rsidR="00375FB1">
        <w:t xml:space="preserve">. Supported playgroups </w:t>
      </w:r>
      <w:r w:rsidR="00375FB1" w:rsidRPr="00D565D5">
        <w:t>are facilitated by a tr</w:t>
      </w:r>
      <w:r w:rsidR="00375FB1">
        <w:t xml:space="preserve">ained early childhood </w:t>
      </w:r>
      <w:r w:rsidR="00221598">
        <w:t>professional</w:t>
      </w:r>
      <w:r w:rsidR="00375FB1">
        <w:t xml:space="preserve"> </w:t>
      </w:r>
      <w:r w:rsidR="00375FB1" w:rsidRPr="00D565D5">
        <w:t xml:space="preserve">and aim to support </w:t>
      </w:r>
      <w:r w:rsidR="00375FB1">
        <w:t xml:space="preserve">children and </w:t>
      </w:r>
      <w:r w:rsidR="00375FB1" w:rsidRPr="00D565D5">
        <w:t>families with particular needs or vulnerabilities</w:t>
      </w:r>
      <w:r w:rsidR="00375FB1">
        <w:t>.</w:t>
      </w:r>
      <w:r w:rsidR="00375FB1" w:rsidRPr="0094711A">
        <w:rPr>
          <w:rStyle w:val="EndnoteReference"/>
          <w:rFonts w:eastAsiaTheme="minorEastAsia"/>
          <w:bCs/>
        </w:rPr>
        <w:endnoteReference w:id="69"/>
      </w:r>
      <w:r w:rsidR="00B946A2">
        <w:t xml:space="preserve"> </w:t>
      </w:r>
    </w:p>
    <w:p w:rsidR="00D404D6" w:rsidRDefault="00D404D6" w:rsidP="00375FB1">
      <w:r w:rsidRPr="00051D6A">
        <w:t>A desire for flexibility is also reflected in the growth of family day care in Australia. Some parents are seeking a home-based and ‘family-like’ environment for their children. Providing small group sizes, home-like routines and a consistent educator, family day care can provide an option for parents seeking an alternative to centre-based education and care. Family day care providers and educators are subject to same National Quality Framework, and may also be eligible for Commonwealth Government fee subsidies.</w:t>
      </w:r>
    </w:p>
    <w:p w:rsidR="00D219F0" w:rsidRPr="005B1E63" w:rsidRDefault="00FA590C" w:rsidP="00FA590C">
      <w:r>
        <w:t>The importance of transition to school is reflected in the National Quality Standard</w:t>
      </w:r>
      <w:r w:rsidR="00586436">
        <w:t>,</w:t>
      </w:r>
      <w:r>
        <w:t xml:space="preserve"> which requires</w:t>
      </w:r>
      <w:r w:rsidR="003C37BA">
        <w:t xml:space="preserve"> </w:t>
      </w:r>
      <w:r>
        <w:t>services to collaborate with other organisations to enhance children's learning and wellbeing. It also requires that continuity of learning and transitions for each child are supported by the sharing of relevant information.</w:t>
      </w:r>
      <w:r w:rsidR="00596AA5">
        <w:t xml:space="preserve"> </w:t>
      </w:r>
      <w:r>
        <w:t>Ensuring effective and positive transitions also supports the continuity of a child's learning and development and supports professionals to quickly develop effective and respectful relationships with families. Placing greater emphasis on the continuity of learning recognises that building on children's prior and current experiences helps them to feel secure, confident and connected.</w:t>
      </w:r>
      <w:r w:rsidR="00280F3A">
        <w:t xml:space="preserve"> </w:t>
      </w:r>
    </w:p>
    <w:p w:rsidR="00192CBE" w:rsidRPr="003F5120" w:rsidRDefault="000729EE" w:rsidP="00375FB1">
      <w:pPr>
        <w:rPr>
          <w:i/>
        </w:rPr>
      </w:pPr>
      <w:r>
        <w:rPr>
          <w:i/>
        </w:rPr>
        <w:t>Supporting parents and parenting</w:t>
      </w:r>
    </w:p>
    <w:p w:rsidR="000729EE" w:rsidRDefault="00192CBE" w:rsidP="000729EE">
      <w:r w:rsidRPr="007A3F66">
        <w:rPr>
          <w:rFonts w:cstheme="minorHAnsi"/>
        </w:rPr>
        <w:t xml:space="preserve">The </w:t>
      </w:r>
      <w:r w:rsidR="00990CEA">
        <w:rPr>
          <w:rFonts w:cstheme="minorHAnsi"/>
        </w:rPr>
        <w:t>Commonwealth</w:t>
      </w:r>
      <w:r w:rsidR="00990CEA" w:rsidRPr="007A3F66">
        <w:rPr>
          <w:rFonts w:cstheme="minorHAnsi"/>
        </w:rPr>
        <w:t xml:space="preserve"> </w:t>
      </w:r>
      <w:r w:rsidRPr="007A3F66">
        <w:rPr>
          <w:rFonts w:cstheme="minorHAnsi"/>
        </w:rPr>
        <w:t xml:space="preserve">and </w:t>
      </w:r>
      <w:r w:rsidR="0037370A">
        <w:rPr>
          <w:rFonts w:cstheme="minorHAnsi"/>
        </w:rPr>
        <w:t>state</w:t>
      </w:r>
      <w:r w:rsidRPr="007A3F66">
        <w:rPr>
          <w:rFonts w:cstheme="minorHAnsi"/>
        </w:rPr>
        <w:t xml:space="preserve"> and </w:t>
      </w:r>
      <w:r w:rsidR="0037370A">
        <w:rPr>
          <w:rFonts w:cstheme="minorHAnsi"/>
        </w:rPr>
        <w:t>territory</w:t>
      </w:r>
      <w:r w:rsidRPr="008F2D4E">
        <w:rPr>
          <w:rFonts w:cstheme="minorHAnsi"/>
        </w:rPr>
        <w:t xml:space="preserve"> </w:t>
      </w:r>
      <w:r w:rsidR="000E54EA">
        <w:rPr>
          <w:rFonts w:cstheme="minorHAnsi"/>
        </w:rPr>
        <w:t>government</w:t>
      </w:r>
      <w:r w:rsidRPr="00830DA1">
        <w:rPr>
          <w:rFonts w:cstheme="minorHAnsi"/>
        </w:rPr>
        <w:t>s</w:t>
      </w:r>
      <w:r w:rsidRPr="007A3F66">
        <w:rPr>
          <w:rFonts w:cstheme="minorHAnsi"/>
        </w:rPr>
        <w:t xml:space="preserve"> </w:t>
      </w:r>
      <w:r w:rsidR="007A3F66">
        <w:rPr>
          <w:rFonts w:cstheme="minorHAnsi"/>
        </w:rPr>
        <w:t>invest</w:t>
      </w:r>
      <w:r w:rsidRPr="007A3F66">
        <w:rPr>
          <w:rFonts w:cstheme="minorHAnsi"/>
        </w:rPr>
        <w:t xml:space="preserve"> in a range of programs and initiatives to </w:t>
      </w:r>
      <w:r w:rsidR="003F5120">
        <w:rPr>
          <w:rFonts w:cstheme="minorHAnsi"/>
        </w:rPr>
        <w:t>support parents. This includes maternal, family and child health services (known by a variety of names across Australia) that offer a mix of service based, outreach and home visiting services</w:t>
      </w:r>
      <w:r w:rsidR="00586436">
        <w:rPr>
          <w:rFonts w:cstheme="minorHAnsi"/>
        </w:rPr>
        <w:t>.</w:t>
      </w:r>
      <w:r w:rsidR="00586436" w:rsidRPr="00586436">
        <w:t xml:space="preserve"> </w:t>
      </w:r>
      <w:r w:rsidR="00586436" w:rsidRPr="00586436">
        <w:rPr>
          <w:rFonts w:cstheme="minorHAnsi"/>
        </w:rPr>
        <w:t>There are also parenting help and advice phone lines, parenting programs and different types of integrated service centres that welcome children and their families for play, support or care.</w:t>
      </w:r>
      <w:r w:rsidR="000729EE">
        <w:t xml:space="preserve"> </w:t>
      </w:r>
    </w:p>
    <w:p w:rsidR="007A3F66" w:rsidRDefault="007A3F66" w:rsidP="00192CBE">
      <w:pPr>
        <w:autoSpaceDE w:val="0"/>
        <w:autoSpaceDN w:val="0"/>
        <w:adjustRightInd w:val="0"/>
        <w:spacing w:after="0"/>
        <w:rPr>
          <w:rFonts w:cstheme="minorHAnsi"/>
        </w:rPr>
      </w:pPr>
    </w:p>
    <w:p w:rsidR="000729EE" w:rsidRPr="00F7764E" w:rsidRDefault="000729EE" w:rsidP="000729EE">
      <w:pPr>
        <w:pBdr>
          <w:top w:val="single" w:sz="4" w:space="1" w:color="auto"/>
          <w:left w:val="single" w:sz="4" w:space="4" w:color="auto"/>
          <w:bottom w:val="single" w:sz="4" w:space="1" w:color="auto"/>
          <w:right w:val="single" w:sz="4" w:space="4" w:color="auto"/>
        </w:pBdr>
        <w:rPr>
          <w:b/>
        </w:rPr>
      </w:pPr>
      <w:r w:rsidRPr="00F7764E">
        <w:rPr>
          <w:b/>
        </w:rPr>
        <w:t>Child and Family Centres</w:t>
      </w:r>
      <w:r w:rsidR="006B1004" w:rsidRPr="004164F8">
        <w:rPr>
          <w:b/>
        </w:rPr>
        <w:t>, Tasmania</w:t>
      </w:r>
    </w:p>
    <w:p w:rsidR="000729EE" w:rsidRPr="00602D41" w:rsidRDefault="000729EE" w:rsidP="000729EE">
      <w:pPr>
        <w:pBdr>
          <w:top w:val="single" w:sz="4" w:space="1" w:color="auto"/>
          <w:left w:val="single" w:sz="4" w:space="4" w:color="auto"/>
          <w:bottom w:val="single" w:sz="4" w:space="1" w:color="auto"/>
          <w:right w:val="single" w:sz="4" w:space="4" w:color="auto"/>
        </w:pBdr>
        <w:rPr>
          <w:rFonts w:ascii="Calibri" w:hAnsi="Calibri"/>
        </w:rPr>
      </w:pPr>
      <w:r w:rsidRPr="00602D41">
        <w:rPr>
          <w:rFonts w:ascii="Calibri" w:hAnsi="Calibri"/>
        </w:rPr>
        <w:t xml:space="preserve">Tasmania’s Child and Family Centres (CFCs) are designed for children from birth to age </w:t>
      </w:r>
      <w:r>
        <w:rPr>
          <w:rFonts w:ascii="Calibri" w:hAnsi="Calibri"/>
        </w:rPr>
        <w:t>five</w:t>
      </w:r>
      <w:r w:rsidRPr="00602D41">
        <w:rPr>
          <w:rFonts w:ascii="Calibri" w:hAnsi="Calibri"/>
        </w:rPr>
        <w:t xml:space="preserve"> and their families. CFCs are a collaborative service delivery model that bring together service providers from different disciplines, professions, government agencies, organisations and the community to achieve a common purpose — to engage, support and work with families to improve the education, health and wellbeing of young children and their families.</w:t>
      </w:r>
    </w:p>
    <w:p w:rsidR="000729EE" w:rsidRPr="00602D41" w:rsidRDefault="000729EE" w:rsidP="000729EE">
      <w:pPr>
        <w:pBdr>
          <w:top w:val="single" w:sz="4" w:space="1" w:color="auto"/>
          <w:left w:val="single" w:sz="4" w:space="4" w:color="auto"/>
          <w:bottom w:val="single" w:sz="4" w:space="1" w:color="auto"/>
          <w:right w:val="single" w:sz="4" w:space="4" w:color="auto"/>
        </w:pBdr>
        <w:rPr>
          <w:rFonts w:ascii="Calibri" w:hAnsi="Calibri"/>
        </w:rPr>
      </w:pPr>
      <w:r w:rsidRPr="00602D41">
        <w:rPr>
          <w:rFonts w:ascii="Calibri" w:hAnsi="Calibri"/>
        </w:rPr>
        <w:t xml:space="preserve">The services offered in each CFC are based on local needs, and may include antenatal services, early learning, child and family health, oral health, </w:t>
      </w:r>
      <w:r>
        <w:rPr>
          <w:rFonts w:ascii="Calibri" w:hAnsi="Calibri"/>
        </w:rPr>
        <w:t xml:space="preserve">general </w:t>
      </w:r>
      <w:r w:rsidRPr="00602D41">
        <w:rPr>
          <w:rFonts w:ascii="Calibri" w:hAnsi="Calibri"/>
        </w:rPr>
        <w:t>health, immunisation, nutrition, playgroups and children's therapies. Each CFC has the Child Health and Parenting Service as a collaborative service partner to provide child health, growth and development assessments, parent support and information, and early intervention services.</w:t>
      </w:r>
    </w:p>
    <w:p w:rsidR="000729EE" w:rsidRDefault="000729EE" w:rsidP="000729EE">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One of their </w:t>
      </w:r>
      <w:r w:rsidR="006B1004" w:rsidRPr="003F0B40">
        <w:rPr>
          <w:rFonts w:ascii="Calibri" w:hAnsi="Calibri"/>
        </w:rPr>
        <w:t>mai</w:t>
      </w:r>
      <w:r w:rsidR="006B1004" w:rsidRPr="00413084">
        <w:rPr>
          <w:rFonts w:ascii="Calibri" w:hAnsi="Calibri"/>
        </w:rPr>
        <w:t>n goals</w:t>
      </w:r>
      <w:r>
        <w:rPr>
          <w:rFonts w:ascii="Calibri" w:hAnsi="Calibri"/>
        </w:rPr>
        <w:t xml:space="preserve"> is to ensure children have the best possible start in life. This is particularly important in Tasmania, where the cycle of disadvantage within families and across generations remains a barrier and continues to prevent many children from realising their potential. Breaking this cycle is one of the most persistent challenges facing the state. </w:t>
      </w:r>
    </w:p>
    <w:p w:rsidR="000729EE" w:rsidRPr="00FC22F4" w:rsidRDefault="000729EE" w:rsidP="000729EE">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Early q</w:t>
      </w:r>
      <w:r w:rsidRPr="00602D41">
        <w:rPr>
          <w:rFonts w:ascii="Calibri" w:hAnsi="Calibri"/>
        </w:rPr>
        <w:t>ualitative evidence suggests that</w:t>
      </w:r>
      <w:r>
        <w:rPr>
          <w:rFonts w:ascii="Calibri" w:hAnsi="Calibri"/>
        </w:rPr>
        <w:t xml:space="preserve"> the collaborative service delivery model is successfully engaging </w:t>
      </w:r>
      <w:r w:rsidRPr="00FC22F4">
        <w:rPr>
          <w:rFonts w:ascii="Calibri" w:hAnsi="Calibri"/>
        </w:rPr>
        <w:t>families to give children the best start in life</w:t>
      </w:r>
      <w:r>
        <w:rPr>
          <w:rFonts w:ascii="Calibri" w:hAnsi="Calibri"/>
        </w:rPr>
        <w:t>, and p</w:t>
      </w:r>
      <w:r w:rsidRPr="00FC22F4">
        <w:rPr>
          <w:rFonts w:ascii="Calibri" w:hAnsi="Calibri"/>
        </w:rPr>
        <w:t xml:space="preserve">arents </w:t>
      </w:r>
      <w:r>
        <w:rPr>
          <w:rFonts w:ascii="Calibri" w:hAnsi="Calibri"/>
        </w:rPr>
        <w:t>found the</w:t>
      </w:r>
      <w:r w:rsidRPr="00FC22F4">
        <w:rPr>
          <w:rFonts w:ascii="Calibri" w:hAnsi="Calibri"/>
        </w:rPr>
        <w:t xml:space="preserve"> </w:t>
      </w:r>
      <w:r>
        <w:rPr>
          <w:rFonts w:ascii="Calibri" w:hAnsi="Calibri"/>
        </w:rPr>
        <w:t>centres</w:t>
      </w:r>
      <w:r w:rsidRPr="00FC22F4">
        <w:rPr>
          <w:rFonts w:ascii="Calibri" w:hAnsi="Calibri"/>
        </w:rPr>
        <w:t xml:space="preserve"> welcoming, respectful and inclusive. </w:t>
      </w:r>
    </w:p>
    <w:p w:rsidR="000729EE" w:rsidRPr="005E2899" w:rsidRDefault="000729EE" w:rsidP="000729EE">
      <w:pPr>
        <w:pBdr>
          <w:top w:val="single" w:sz="4" w:space="1" w:color="auto"/>
          <w:left w:val="single" w:sz="4" w:space="4" w:color="auto"/>
          <w:bottom w:val="single" w:sz="4" w:space="1" w:color="auto"/>
          <w:right w:val="single" w:sz="4" w:space="4" w:color="auto"/>
        </w:pBdr>
        <w:rPr>
          <w:rFonts w:ascii="Calibri" w:hAnsi="Calibri"/>
        </w:rPr>
      </w:pPr>
      <w:r w:rsidRPr="00602D41">
        <w:rPr>
          <w:rFonts w:ascii="Calibri" w:hAnsi="Calibri"/>
        </w:rPr>
        <w:t xml:space="preserve">Source: Department of </w:t>
      </w:r>
      <w:r>
        <w:rPr>
          <w:rFonts w:ascii="Calibri" w:hAnsi="Calibri"/>
        </w:rPr>
        <w:t>Education</w:t>
      </w:r>
      <w:r w:rsidR="00FF3257">
        <w:rPr>
          <w:rFonts w:ascii="Calibri" w:hAnsi="Calibri"/>
        </w:rPr>
        <w:t xml:space="preserve">, </w:t>
      </w:r>
      <w:r w:rsidR="00AC238B">
        <w:rPr>
          <w:rFonts w:ascii="Calibri" w:hAnsi="Calibri"/>
        </w:rPr>
        <w:t>TAS</w:t>
      </w:r>
    </w:p>
    <w:p w:rsidR="000729EE" w:rsidRDefault="000729EE" w:rsidP="000729EE">
      <w:pPr>
        <w:rPr>
          <w:i/>
        </w:rPr>
      </w:pPr>
    </w:p>
    <w:p w:rsidR="00192CBE" w:rsidRPr="007A3F66" w:rsidRDefault="00FF3257" w:rsidP="00192CBE">
      <w:pPr>
        <w:autoSpaceDE w:val="0"/>
        <w:autoSpaceDN w:val="0"/>
        <w:adjustRightInd w:val="0"/>
        <w:spacing w:after="0"/>
        <w:rPr>
          <w:rFonts w:cstheme="minorHAnsi"/>
        </w:rPr>
      </w:pPr>
      <w:r>
        <w:rPr>
          <w:rFonts w:cstheme="minorHAnsi"/>
        </w:rPr>
        <w:t>Governments and non-government organisations also support a</w:t>
      </w:r>
      <w:r w:rsidR="00192CBE" w:rsidRPr="007A3F66">
        <w:rPr>
          <w:rFonts w:cstheme="minorHAnsi"/>
        </w:rPr>
        <w:t xml:space="preserve"> range of targeted parenting programs. These programs can be focused on</w:t>
      </w:r>
      <w:r w:rsidR="00A657A0">
        <w:rPr>
          <w:rFonts w:cstheme="minorHAnsi"/>
        </w:rPr>
        <w:t xml:space="preserve"> skills for </w:t>
      </w:r>
      <w:r w:rsidR="00192CBE" w:rsidRPr="007A3F66">
        <w:rPr>
          <w:rFonts w:cstheme="minorHAnsi"/>
        </w:rPr>
        <w:t xml:space="preserve">managing </w:t>
      </w:r>
      <w:r w:rsidR="006B1004" w:rsidRPr="003C2B68">
        <w:rPr>
          <w:rFonts w:cstheme="minorHAnsi"/>
        </w:rPr>
        <w:t xml:space="preserve">a child’s </w:t>
      </w:r>
      <w:r w:rsidR="00192CBE" w:rsidRPr="007A3F66">
        <w:rPr>
          <w:rFonts w:cstheme="minorHAnsi"/>
        </w:rPr>
        <w:t xml:space="preserve">behaviour, understanding </w:t>
      </w:r>
      <w:r w:rsidR="007F7AFA">
        <w:rPr>
          <w:rFonts w:cstheme="minorHAnsi"/>
        </w:rPr>
        <w:t>a child’s</w:t>
      </w:r>
      <w:r w:rsidR="007F7AFA" w:rsidRPr="007A3F66">
        <w:rPr>
          <w:rFonts w:cstheme="minorHAnsi"/>
        </w:rPr>
        <w:t xml:space="preserve"> </w:t>
      </w:r>
      <w:r w:rsidR="00192CBE" w:rsidRPr="007A3F66">
        <w:rPr>
          <w:rFonts w:cstheme="minorHAnsi"/>
        </w:rPr>
        <w:t>development</w:t>
      </w:r>
      <w:r w:rsidR="007F7AFA">
        <w:rPr>
          <w:rFonts w:cstheme="minorHAnsi"/>
        </w:rPr>
        <w:t>,</w:t>
      </w:r>
      <w:r w:rsidR="00192CBE" w:rsidRPr="007A3F66">
        <w:rPr>
          <w:rFonts w:cstheme="minorHAnsi"/>
        </w:rPr>
        <w:t xml:space="preserve"> </w:t>
      </w:r>
      <w:r w:rsidR="006B1004" w:rsidRPr="00DB5AE5">
        <w:rPr>
          <w:rFonts w:cstheme="minorHAnsi"/>
        </w:rPr>
        <w:t>promoting</w:t>
      </w:r>
      <w:r w:rsidR="00192CBE" w:rsidRPr="007A3F66">
        <w:rPr>
          <w:rFonts w:cstheme="minorHAnsi"/>
        </w:rPr>
        <w:t xml:space="preserve"> positive development, forming attachment and maintaining strong bonds between children and parents</w:t>
      </w:r>
      <w:r w:rsidR="006B1004" w:rsidRPr="002828F0">
        <w:rPr>
          <w:rFonts w:cstheme="minorHAnsi"/>
        </w:rPr>
        <w:t>,</w:t>
      </w:r>
      <w:r w:rsidR="00192CBE" w:rsidRPr="007A3F66">
        <w:rPr>
          <w:rFonts w:cstheme="minorHAnsi"/>
        </w:rPr>
        <w:t xml:space="preserve"> </w:t>
      </w:r>
      <w:r w:rsidR="006B1004" w:rsidRPr="007458FB">
        <w:rPr>
          <w:rFonts w:cstheme="minorHAnsi"/>
        </w:rPr>
        <w:t xml:space="preserve">along with </w:t>
      </w:r>
      <w:r w:rsidR="00192CBE" w:rsidRPr="007A3F66">
        <w:rPr>
          <w:rFonts w:cstheme="minorHAnsi"/>
        </w:rPr>
        <w:t>health</w:t>
      </w:r>
      <w:r w:rsidR="006B1004" w:rsidRPr="00EF50D9">
        <w:rPr>
          <w:rFonts w:cstheme="minorHAnsi"/>
        </w:rPr>
        <w:t>-</w:t>
      </w:r>
      <w:r w:rsidR="00192CBE" w:rsidRPr="007A3F66">
        <w:rPr>
          <w:rFonts w:cstheme="minorHAnsi"/>
        </w:rPr>
        <w:t>related skills such as good nutrition. These programs often reside in, or are funded by</w:t>
      </w:r>
      <w:r w:rsidR="006B1004" w:rsidRPr="008F3AA6">
        <w:rPr>
          <w:rFonts w:cstheme="minorHAnsi"/>
        </w:rPr>
        <w:t>,</w:t>
      </w:r>
      <w:r w:rsidR="007A3F66">
        <w:rPr>
          <w:rFonts w:cstheme="minorHAnsi"/>
        </w:rPr>
        <w:t xml:space="preserve"> a range of government agencies, including h</w:t>
      </w:r>
      <w:r w:rsidR="00192CBE" w:rsidRPr="007A3F66">
        <w:rPr>
          <w:rFonts w:cstheme="minorHAnsi"/>
        </w:rPr>
        <w:t xml:space="preserve">ealth, </w:t>
      </w:r>
      <w:r w:rsidR="007A3F66">
        <w:rPr>
          <w:rFonts w:cstheme="minorHAnsi"/>
        </w:rPr>
        <w:t>education and s</w:t>
      </w:r>
      <w:r w:rsidR="00192CBE" w:rsidRPr="007A3F66">
        <w:rPr>
          <w:rFonts w:cstheme="minorHAnsi"/>
        </w:rPr>
        <w:t xml:space="preserve">ocial </w:t>
      </w:r>
      <w:r w:rsidR="007A3F66">
        <w:rPr>
          <w:rFonts w:cstheme="minorHAnsi"/>
        </w:rPr>
        <w:t>s</w:t>
      </w:r>
      <w:r w:rsidR="00192CBE" w:rsidRPr="007A3F66">
        <w:rPr>
          <w:rFonts w:cstheme="minorHAnsi"/>
        </w:rPr>
        <w:t>ervices</w:t>
      </w:r>
      <w:r w:rsidR="007A3F66">
        <w:rPr>
          <w:rFonts w:cstheme="minorHAnsi"/>
        </w:rPr>
        <w:t xml:space="preserve"> portfolios</w:t>
      </w:r>
      <w:r w:rsidR="00192CBE" w:rsidRPr="007A3F66">
        <w:rPr>
          <w:rFonts w:cstheme="minorHAnsi"/>
        </w:rPr>
        <w:t>. The Review heard of numerous examples of successful programs</w:t>
      </w:r>
      <w:r w:rsidR="007A3F66">
        <w:rPr>
          <w:rFonts w:cstheme="minorHAnsi"/>
        </w:rPr>
        <w:t xml:space="preserve"> focussed on</w:t>
      </w:r>
      <w:r w:rsidR="00A657A0">
        <w:rPr>
          <w:rFonts w:cstheme="minorHAnsi"/>
        </w:rPr>
        <w:t xml:space="preserve"> supporting</w:t>
      </w:r>
      <w:r w:rsidR="007A3F66">
        <w:rPr>
          <w:rFonts w:cstheme="minorHAnsi"/>
        </w:rPr>
        <w:t xml:space="preserve"> parents, or both parents and children</w:t>
      </w:r>
      <w:r w:rsidR="00192CBE" w:rsidRPr="007A3F66">
        <w:rPr>
          <w:rFonts w:cstheme="minorHAnsi"/>
        </w:rPr>
        <w:t xml:space="preserve">. Contributing to the success of these programs was a commitment to engaging with parents in an authentic manner, recognising </w:t>
      </w:r>
      <w:r w:rsidR="00A657A0">
        <w:rPr>
          <w:rFonts w:cstheme="minorHAnsi"/>
        </w:rPr>
        <w:t xml:space="preserve">and respecting </w:t>
      </w:r>
      <w:r w:rsidR="00192CBE" w:rsidRPr="007A3F66">
        <w:rPr>
          <w:rFonts w:cstheme="minorHAnsi"/>
        </w:rPr>
        <w:t>the complexities and challenges faced by many families</w:t>
      </w:r>
      <w:r w:rsidR="007A3F66">
        <w:rPr>
          <w:rFonts w:cstheme="minorHAnsi"/>
        </w:rPr>
        <w:t>,</w:t>
      </w:r>
      <w:r w:rsidR="00192CBE" w:rsidRPr="007A3F66">
        <w:rPr>
          <w:rFonts w:cstheme="minorHAnsi"/>
        </w:rPr>
        <w:t xml:space="preserve"> and showing respect for the culture and backgrounds of families and communities by adjusting programs to reflect local contexts.</w:t>
      </w:r>
    </w:p>
    <w:p w:rsidR="00CF09C2" w:rsidRDefault="00CF09C2" w:rsidP="00375FB1">
      <w:pPr>
        <w:spacing w:line="276" w:lineRule="auto"/>
      </w:pPr>
    </w:p>
    <w:p w:rsidR="00CF09C2" w:rsidRPr="00411820" w:rsidRDefault="00CF09C2" w:rsidP="00CF09C2">
      <w:pPr>
        <w:pBdr>
          <w:top w:val="single" w:sz="4" w:space="1" w:color="auto"/>
          <w:left w:val="single" w:sz="4" w:space="4" w:color="auto"/>
          <w:bottom w:val="single" w:sz="4" w:space="1" w:color="auto"/>
          <w:right w:val="single" w:sz="4" w:space="4" w:color="auto"/>
        </w:pBdr>
      </w:pPr>
      <w:r w:rsidRPr="009725F4">
        <w:rPr>
          <w:b/>
        </w:rPr>
        <w:t>Families as First Teachers</w:t>
      </w:r>
      <w:r w:rsidR="006B1004" w:rsidRPr="0037370A">
        <w:rPr>
          <w:b/>
        </w:rPr>
        <w:t>, Northern Territory</w:t>
      </w:r>
    </w:p>
    <w:p w:rsidR="00CF09C2" w:rsidRPr="00A516DA" w:rsidRDefault="00CF09C2" w:rsidP="00CF09C2">
      <w:pPr>
        <w:pBdr>
          <w:top w:val="single" w:sz="4" w:space="1" w:color="auto"/>
          <w:left w:val="single" w:sz="4" w:space="4" w:color="auto"/>
          <w:bottom w:val="single" w:sz="4" w:space="1" w:color="auto"/>
          <w:right w:val="single" w:sz="4" w:space="4" w:color="auto"/>
        </w:pBdr>
      </w:pPr>
      <w:r w:rsidRPr="00A516DA">
        <w:t>Families as First Teachers (</w:t>
      </w:r>
      <w:proofErr w:type="spellStart"/>
      <w:r w:rsidRPr="00A516DA">
        <w:t>FaFT</w:t>
      </w:r>
      <w:proofErr w:type="spellEnd"/>
      <w:r w:rsidRPr="00A516DA">
        <w:t>) is an evidenced</w:t>
      </w:r>
      <w:r w:rsidR="006B1004" w:rsidRPr="00A516DA">
        <w:t>-</w:t>
      </w:r>
      <w:r w:rsidRPr="00A516DA">
        <w:t xml:space="preserve">based early childhood program that improves lifelong education, health and wellbeing for children (from birth to the year before school), and their families. </w:t>
      </w:r>
    </w:p>
    <w:p w:rsidR="00CF09C2" w:rsidRPr="00A516DA" w:rsidRDefault="00CF09C2" w:rsidP="00CF09C2">
      <w:pPr>
        <w:pBdr>
          <w:top w:val="single" w:sz="4" w:space="1" w:color="auto"/>
          <w:left w:val="single" w:sz="4" w:space="4" w:color="auto"/>
          <w:bottom w:val="single" w:sz="4" w:space="1" w:color="auto"/>
          <w:right w:val="single" w:sz="4" w:space="4" w:color="auto"/>
        </w:pBdr>
      </w:pPr>
      <w:r w:rsidRPr="00A516DA">
        <w:t xml:space="preserve">Children and families attending </w:t>
      </w:r>
      <w:proofErr w:type="spellStart"/>
      <w:r w:rsidRPr="00A516DA">
        <w:t>FaFT</w:t>
      </w:r>
      <w:proofErr w:type="spellEnd"/>
      <w:r w:rsidRPr="00A516DA">
        <w:t xml:space="preserve"> participate in programs delivered by a qualified early childhood teacher and a qualified Abecedarian educator. The program includes </w:t>
      </w:r>
      <w:r w:rsidR="006B1004" w:rsidRPr="00A516DA">
        <w:t>play-based</w:t>
      </w:r>
      <w:r w:rsidRPr="00A516DA">
        <w:t xml:space="preserve"> activities designed to increase </w:t>
      </w:r>
      <w:r w:rsidR="006B1004" w:rsidRPr="00A516DA">
        <w:t xml:space="preserve">a child’s </w:t>
      </w:r>
      <w:r w:rsidRPr="00A516DA">
        <w:t xml:space="preserve">learning and development by building the capacity of parents and </w:t>
      </w:r>
      <w:r w:rsidR="006B1004" w:rsidRPr="00A516DA">
        <w:t>caregivers</w:t>
      </w:r>
      <w:r w:rsidRPr="00A516DA">
        <w:t xml:space="preserve"> to become an integral part of school</w:t>
      </w:r>
      <w:r w:rsidR="006B1004" w:rsidRPr="00A516DA">
        <w:t>,</w:t>
      </w:r>
      <w:r w:rsidRPr="00A516DA">
        <w:t xml:space="preserve"> and local community partners who are invested in early childhood.</w:t>
      </w:r>
      <w:r w:rsidRPr="00A516DA">
        <w:rPr>
          <w:lang w:val="en-US"/>
        </w:rPr>
        <w:t xml:space="preserve"> </w:t>
      </w:r>
      <w:r w:rsidR="006B1004" w:rsidRPr="00A516DA">
        <w:t>67</w:t>
      </w:r>
      <w:r w:rsidRPr="00A516DA">
        <w:t xml:space="preserve"> </w:t>
      </w:r>
      <w:r w:rsidRPr="00602D41">
        <w:rPr>
          <w:rFonts w:eastAsia="Calibri"/>
        </w:rPr>
        <w:t xml:space="preserve">per cent of educators employed for the program are </w:t>
      </w:r>
      <w:r>
        <w:rPr>
          <w:rFonts w:eastAsia="Calibri"/>
        </w:rPr>
        <w:t>Indigenous</w:t>
      </w:r>
      <w:r w:rsidRPr="00602D41">
        <w:rPr>
          <w:rFonts w:eastAsia="Calibri"/>
        </w:rPr>
        <w:t xml:space="preserve"> community members.</w:t>
      </w:r>
    </w:p>
    <w:p w:rsidR="00CF09C2" w:rsidRPr="00A516DA" w:rsidRDefault="00CF09C2" w:rsidP="00CF09C2">
      <w:pPr>
        <w:pBdr>
          <w:top w:val="single" w:sz="4" w:space="1" w:color="auto"/>
          <w:left w:val="single" w:sz="4" w:space="4" w:color="auto"/>
          <w:bottom w:val="single" w:sz="4" w:space="1" w:color="auto"/>
          <w:right w:val="single" w:sz="4" w:space="4" w:color="auto"/>
        </w:pBdr>
        <w:rPr>
          <w:lang w:val="en-US"/>
        </w:rPr>
      </w:pPr>
      <w:r w:rsidRPr="00A516DA">
        <w:rPr>
          <w:lang w:val="en-US"/>
        </w:rPr>
        <w:t xml:space="preserve">The </w:t>
      </w:r>
      <w:proofErr w:type="spellStart"/>
      <w:r w:rsidRPr="00A516DA">
        <w:rPr>
          <w:lang w:val="en-US"/>
        </w:rPr>
        <w:t>FaFT</w:t>
      </w:r>
      <w:proofErr w:type="spellEnd"/>
      <w:r w:rsidRPr="00A516DA">
        <w:rPr>
          <w:lang w:val="en-US"/>
        </w:rPr>
        <w:t xml:space="preserve"> program operated in 32 sites in 2016-17, </w:t>
      </w:r>
      <w:r w:rsidRPr="00A516DA">
        <w:t xml:space="preserve">primarily in remote Indigenous communities, </w:t>
      </w:r>
      <w:r w:rsidRPr="00A516DA">
        <w:rPr>
          <w:lang w:val="en-US"/>
        </w:rPr>
        <w:t>with 1</w:t>
      </w:r>
      <w:r w:rsidR="00586436">
        <w:rPr>
          <w:lang w:val="en-US"/>
        </w:rPr>
        <w:t>,</w:t>
      </w:r>
      <w:r w:rsidRPr="00A516DA">
        <w:rPr>
          <w:lang w:val="en-US"/>
        </w:rPr>
        <w:t>887 children and 1</w:t>
      </w:r>
      <w:r w:rsidR="00586436">
        <w:rPr>
          <w:lang w:val="en-US"/>
        </w:rPr>
        <w:t>,</w:t>
      </w:r>
      <w:r w:rsidRPr="00A516DA">
        <w:rPr>
          <w:lang w:val="en-US"/>
        </w:rPr>
        <w:t>792 parent</w:t>
      </w:r>
      <w:r w:rsidR="00E14E47">
        <w:rPr>
          <w:lang w:val="en-US"/>
        </w:rPr>
        <w:t>s</w:t>
      </w:r>
      <w:r w:rsidRPr="00A516DA">
        <w:t xml:space="preserve"> and carers</w:t>
      </w:r>
      <w:r w:rsidRPr="00A516DA">
        <w:rPr>
          <w:lang w:val="en-US"/>
        </w:rPr>
        <w:t xml:space="preserve"> participating in the program </w:t>
      </w:r>
      <w:r w:rsidRPr="00A516DA">
        <w:t xml:space="preserve">for </w:t>
      </w:r>
      <w:r w:rsidRPr="00A516DA">
        <w:rPr>
          <w:lang w:val="en-US"/>
        </w:rPr>
        <w:t>an average of one day a week.</w:t>
      </w:r>
    </w:p>
    <w:p w:rsidR="00CF09C2" w:rsidRPr="00602D41" w:rsidRDefault="00CF09C2" w:rsidP="00CF09C2">
      <w:pPr>
        <w:pBdr>
          <w:top w:val="single" w:sz="4" w:space="1" w:color="auto"/>
          <w:left w:val="single" w:sz="4" w:space="4" w:color="auto"/>
          <w:bottom w:val="single" w:sz="4" w:space="1" w:color="auto"/>
          <w:right w:val="single" w:sz="4" w:space="4" w:color="auto"/>
        </w:pBdr>
      </w:pPr>
      <w:proofErr w:type="spellStart"/>
      <w:r w:rsidRPr="00A516DA">
        <w:t>FaFT</w:t>
      </w:r>
      <w:proofErr w:type="spellEnd"/>
      <w:r w:rsidRPr="00A516DA">
        <w:t xml:space="preserve"> is also an employment pathway. </w:t>
      </w:r>
      <w:r w:rsidRPr="00602D41">
        <w:rPr>
          <w:rFonts w:eastAsia="Calibri"/>
        </w:rPr>
        <w:t>In one community</w:t>
      </w:r>
      <w:r>
        <w:rPr>
          <w:rFonts w:eastAsia="Calibri"/>
        </w:rPr>
        <w:t>,</w:t>
      </w:r>
      <w:r w:rsidRPr="00602D41">
        <w:rPr>
          <w:rFonts w:eastAsia="Calibri"/>
        </w:rPr>
        <w:t xml:space="preserve"> </w:t>
      </w:r>
      <w:r w:rsidRPr="00051D6A">
        <w:rPr>
          <w:rFonts w:eastAsia="Calibri"/>
          <w:b/>
        </w:rPr>
        <w:t xml:space="preserve">eight parents who have graduated from the </w:t>
      </w:r>
      <w:proofErr w:type="spellStart"/>
      <w:r w:rsidRPr="00051D6A">
        <w:rPr>
          <w:rFonts w:eastAsia="Calibri"/>
          <w:b/>
        </w:rPr>
        <w:t>FaFT</w:t>
      </w:r>
      <w:proofErr w:type="spellEnd"/>
      <w:r w:rsidRPr="00051D6A">
        <w:rPr>
          <w:rFonts w:eastAsia="Calibri"/>
          <w:b/>
        </w:rPr>
        <w:t xml:space="preserve"> program are now employed in early learning programs</w:t>
      </w:r>
      <w:r w:rsidRPr="00602D41">
        <w:rPr>
          <w:rFonts w:eastAsia="Calibri"/>
        </w:rPr>
        <w:t xml:space="preserve">. </w:t>
      </w:r>
    </w:p>
    <w:p w:rsidR="00CF09C2" w:rsidRPr="00A516DA" w:rsidRDefault="00CF09C2" w:rsidP="00CF09C2">
      <w:pPr>
        <w:pBdr>
          <w:top w:val="single" w:sz="4" w:space="1" w:color="auto"/>
          <w:left w:val="single" w:sz="4" w:space="4" w:color="auto"/>
          <w:bottom w:val="single" w:sz="4" w:space="1" w:color="auto"/>
          <w:right w:val="single" w:sz="4" w:space="4" w:color="auto"/>
        </w:pBdr>
      </w:pPr>
      <w:r>
        <w:t>A</w:t>
      </w:r>
      <w:r w:rsidRPr="00602D41">
        <w:t xml:space="preserve"> survey of 530 </w:t>
      </w:r>
      <w:r>
        <w:t xml:space="preserve">participating </w:t>
      </w:r>
      <w:r w:rsidRPr="00602D41">
        <w:t xml:space="preserve">parents found </w:t>
      </w:r>
      <w:r>
        <w:t xml:space="preserve">that </w:t>
      </w:r>
      <w:r w:rsidRPr="00602D41">
        <w:t xml:space="preserve">495 knew more about how to help and support their child to learn and develop as a result of attending </w:t>
      </w:r>
      <w:proofErr w:type="spellStart"/>
      <w:r w:rsidRPr="00602D41">
        <w:t>FaFT</w:t>
      </w:r>
      <w:proofErr w:type="spellEnd"/>
      <w:r w:rsidRPr="00602D41">
        <w:t xml:space="preserve">. Respondents also believed that </w:t>
      </w:r>
      <w:r>
        <w:t xml:space="preserve">the </w:t>
      </w:r>
      <w:r w:rsidRPr="00602D41">
        <w:t xml:space="preserve">early learning activities the </w:t>
      </w:r>
      <w:proofErr w:type="spellStart"/>
      <w:r w:rsidRPr="00602D41">
        <w:t>FaFT</w:t>
      </w:r>
      <w:proofErr w:type="spellEnd"/>
      <w:r w:rsidRPr="00602D41">
        <w:t xml:space="preserve"> program delivered helped their children to be ready for school.</w:t>
      </w:r>
      <w:r w:rsidR="003C37BA">
        <w:t xml:space="preserve"> </w:t>
      </w:r>
      <w:r>
        <w:t xml:space="preserve">Not only does this program model improve outcomes for children and engage parents, it also provides an education, training and employment pathway. </w:t>
      </w:r>
    </w:p>
    <w:p w:rsidR="00CF09C2" w:rsidRDefault="00CF09C2" w:rsidP="00CF09C2">
      <w:pPr>
        <w:pBdr>
          <w:top w:val="single" w:sz="4" w:space="1" w:color="auto"/>
          <w:left w:val="single" w:sz="4" w:space="4" w:color="auto"/>
          <w:bottom w:val="single" w:sz="4" w:space="1" w:color="auto"/>
          <w:right w:val="single" w:sz="4" w:space="4" w:color="auto"/>
        </w:pBdr>
        <w:spacing w:line="276" w:lineRule="auto"/>
      </w:pPr>
      <w:r w:rsidRPr="00602D41">
        <w:t xml:space="preserve">Source: Department of </w:t>
      </w:r>
      <w:r>
        <w:t>E</w:t>
      </w:r>
      <w:r w:rsidRPr="00602D41">
        <w:t>ducation</w:t>
      </w:r>
      <w:r w:rsidR="00AC238B">
        <w:t>, NT</w:t>
      </w:r>
    </w:p>
    <w:p w:rsidR="00375FB1" w:rsidRPr="00487555" w:rsidRDefault="00375FB1" w:rsidP="00375FB1">
      <w:pPr>
        <w:spacing w:line="276" w:lineRule="auto"/>
      </w:pPr>
      <w:r>
        <w:br w:type="page"/>
      </w:r>
    </w:p>
    <w:p w:rsidR="00375FB1" w:rsidRPr="00B276F4" w:rsidRDefault="0063470E" w:rsidP="00375FB1">
      <w:pPr>
        <w:pStyle w:val="Heading1"/>
      </w:pPr>
      <w:bookmarkStart w:id="14" w:name="_Toc373586252"/>
      <w:bookmarkStart w:id="15" w:name="_Toc500850770"/>
      <w:r>
        <w:t xml:space="preserve">2.4 </w:t>
      </w:r>
      <w:r w:rsidR="00081839">
        <w:t xml:space="preserve">How </w:t>
      </w:r>
      <w:r w:rsidR="00375FB1">
        <w:t xml:space="preserve">Australia </w:t>
      </w:r>
      <w:r w:rsidR="00081839">
        <w:t>is</w:t>
      </w:r>
      <w:r w:rsidR="00375FB1" w:rsidRPr="003A365F">
        <w:t xml:space="preserve"> perform</w:t>
      </w:r>
      <w:r w:rsidR="00081839">
        <w:t>ing</w:t>
      </w:r>
      <w:bookmarkEnd w:id="14"/>
      <w:bookmarkEnd w:id="15"/>
    </w:p>
    <w:p w:rsidR="008D1452" w:rsidRDefault="008D1452" w:rsidP="00375FB1"/>
    <w:p w:rsidR="00375FB1" w:rsidRDefault="00375FB1" w:rsidP="00375FB1">
      <w:r>
        <w:t xml:space="preserve">All Australian governments are investing in </w:t>
      </w:r>
      <w:r w:rsidR="00D219F0">
        <w:t xml:space="preserve">the </w:t>
      </w:r>
      <w:r>
        <w:t xml:space="preserve">early childhood system to ensure the best possible start for Australia’s children. </w:t>
      </w:r>
      <w:r w:rsidR="001B796C">
        <w:t xml:space="preserve">Initiatives </w:t>
      </w:r>
      <w:r>
        <w:t xml:space="preserve">include </w:t>
      </w:r>
      <w:r w:rsidR="0037370A">
        <w:t>Universal Access</w:t>
      </w:r>
      <w:r>
        <w:t xml:space="preserve"> to preschool, the </w:t>
      </w:r>
      <w:r w:rsidR="00DC32C0">
        <w:t>National Quality Framework</w:t>
      </w:r>
      <w:r>
        <w:t>, and new data collections to inform early childhood development policy and practice.</w:t>
      </w:r>
    </w:p>
    <w:p w:rsidR="00375FB1" w:rsidRPr="00A36FA2" w:rsidRDefault="00375FB1" w:rsidP="00375FB1">
      <w:r>
        <w:t>While these initiatives are improving outcomes, there are quality gaps and opportunities to do more to ensure all children participate in quality education and care irrespective of background or loc</w:t>
      </w:r>
      <w:r w:rsidR="00011DA5">
        <w:t>ation.</w:t>
      </w:r>
    </w:p>
    <w:p w:rsidR="00375FB1" w:rsidRPr="008E370A" w:rsidRDefault="008E370A" w:rsidP="00375FB1">
      <w:pPr>
        <w:rPr>
          <w:i/>
        </w:rPr>
      </w:pPr>
      <w:r>
        <w:rPr>
          <w:i/>
        </w:rPr>
        <w:t>Progress is being made</w:t>
      </w:r>
    </w:p>
    <w:p w:rsidR="00375FB1" w:rsidRPr="00137889" w:rsidRDefault="00375FB1" w:rsidP="00375FB1">
      <w:pPr>
        <w:rPr>
          <w:rFonts w:ascii="Arial" w:hAnsi="Arial" w:cs="Arial"/>
          <w:shd w:val="clear" w:color="auto" w:fill="FFFFFF"/>
        </w:rPr>
      </w:pPr>
      <w:r>
        <w:t xml:space="preserve">As a result of </w:t>
      </w:r>
      <w:r w:rsidRPr="00B174C1">
        <w:t xml:space="preserve">the Universal Access initiative, all children </w:t>
      </w:r>
      <w:r>
        <w:t xml:space="preserve">now </w:t>
      </w:r>
      <w:r w:rsidRPr="00B174C1">
        <w:t xml:space="preserve">have access to a </w:t>
      </w:r>
      <w:r>
        <w:t>preschool program in the year before full-time school</w:t>
      </w:r>
      <w:r>
        <w:rPr>
          <w:bCs/>
          <w:i/>
          <w:iCs/>
        </w:rPr>
        <w:t xml:space="preserve">. </w:t>
      </w:r>
      <w:r>
        <w:rPr>
          <w:color w:val="000000" w:themeColor="text1"/>
        </w:rPr>
        <w:t xml:space="preserve">In 2015, all </w:t>
      </w:r>
      <w:r w:rsidR="0037370A">
        <w:rPr>
          <w:color w:val="000000" w:themeColor="text1"/>
        </w:rPr>
        <w:t>states</w:t>
      </w:r>
      <w:r>
        <w:rPr>
          <w:color w:val="000000" w:themeColor="text1"/>
        </w:rPr>
        <w:t xml:space="preserve"> and </w:t>
      </w:r>
      <w:r w:rsidR="0037370A">
        <w:rPr>
          <w:color w:val="000000" w:themeColor="text1"/>
        </w:rPr>
        <w:t>territories</w:t>
      </w:r>
      <w:r>
        <w:rPr>
          <w:color w:val="000000" w:themeColor="text1"/>
        </w:rPr>
        <w:t xml:space="preserve"> exceeded the 95 per cent</w:t>
      </w:r>
      <w:r w:rsidRPr="00137889">
        <w:rPr>
          <w:color w:val="000000" w:themeColor="text1"/>
        </w:rPr>
        <w:t xml:space="preserve"> benchmark for children enrolled in a preschool program</w:t>
      </w:r>
      <w:r>
        <w:rPr>
          <w:color w:val="000000" w:themeColor="text1"/>
        </w:rPr>
        <w:t xml:space="preserve"> </w:t>
      </w:r>
      <w:r w:rsidR="00A657A0">
        <w:rPr>
          <w:color w:val="000000" w:themeColor="text1"/>
        </w:rPr>
        <w:t>in</w:t>
      </w:r>
      <w:r>
        <w:rPr>
          <w:color w:val="000000" w:themeColor="text1"/>
        </w:rPr>
        <w:t xml:space="preserve"> the year before formal schooling</w:t>
      </w:r>
      <w:r w:rsidR="001F7C7D">
        <w:rPr>
          <w:color w:val="000000" w:themeColor="text1"/>
        </w:rPr>
        <w:t xml:space="preserve">, up from </w:t>
      </w:r>
      <w:r>
        <w:t>77 per cent</w:t>
      </w:r>
      <w:r w:rsidRPr="00A01ACF">
        <w:t xml:space="preserve"> </w:t>
      </w:r>
      <w:r w:rsidRPr="00137889">
        <w:t>in 2008.</w:t>
      </w:r>
      <w:r w:rsidRPr="00383968">
        <w:t xml:space="preserve"> </w:t>
      </w:r>
      <w:r w:rsidR="001F7C7D">
        <w:t xml:space="preserve">Importantly, the proportion of children </w:t>
      </w:r>
      <w:r w:rsidRPr="00137889">
        <w:t>enrolled in 600 hours of pres</w:t>
      </w:r>
      <w:r>
        <w:t xml:space="preserve">chool </w:t>
      </w:r>
      <w:r w:rsidR="001F7C7D">
        <w:t>has increased significantly</w:t>
      </w:r>
      <w:r>
        <w:t>, from 12 per cent in 2008 to 91 per cent</w:t>
      </w:r>
      <w:r w:rsidRPr="00137889">
        <w:t xml:space="preserve"> in 2015</w:t>
      </w:r>
      <w:r>
        <w:t>.</w:t>
      </w:r>
      <w:r w:rsidRPr="00A01ACF">
        <w:rPr>
          <w:rStyle w:val="EndnoteReference"/>
        </w:rPr>
        <w:endnoteReference w:id="70"/>
      </w:r>
      <w:r w:rsidR="00B946A2">
        <w:rPr>
          <w:rStyle w:val="EndnoteReference"/>
          <w:color w:val="000000" w:themeColor="text1"/>
        </w:rPr>
        <w:t xml:space="preserve"> </w:t>
      </w:r>
      <w:r>
        <w:t>Increasing population and enrolment</w:t>
      </w:r>
      <w:r w:rsidR="009C5326">
        <w:t xml:space="preserve">, and the qualification requirements under the National Quality Framework, have </w:t>
      </w:r>
      <w:r>
        <w:t xml:space="preserve">driven workforce growth, with the number of </w:t>
      </w:r>
      <w:r w:rsidRPr="0018703E">
        <w:rPr>
          <w:rFonts w:cstheme="minorHAnsi"/>
        </w:rPr>
        <w:t>early childhood teacher</w:t>
      </w:r>
      <w:r>
        <w:rPr>
          <w:rFonts w:cstheme="minorHAnsi"/>
        </w:rPr>
        <w:t>s having increased 48 per cent</w:t>
      </w:r>
      <w:r w:rsidRPr="0018703E">
        <w:rPr>
          <w:rFonts w:cstheme="minorHAnsi"/>
        </w:rPr>
        <w:t xml:space="preserve"> between 2011 and 2016</w:t>
      </w:r>
      <w:r>
        <w:rPr>
          <w:rFonts w:cstheme="minorHAnsi"/>
        </w:rPr>
        <w:t xml:space="preserve">, making this </w:t>
      </w:r>
      <w:r w:rsidRPr="0018703E">
        <w:rPr>
          <w:rFonts w:cstheme="minorHAnsi"/>
        </w:rPr>
        <w:t>one of the highest growth occupations</w:t>
      </w:r>
      <w:r>
        <w:rPr>
          <w:rFonts w:cstheme="minorHAnsi"/>
        </w:rPr>
        <w:t xml:space="preserve"> in Australia in recent years</w:t>
      </w:r>
      <w:r w:rsidR="008E370A">
        <w:rPr>
          <w:rFonts w:cstheme="minorHAnsi"/>
        </w:rPr>
        <w:t>.</w:t>
      </w:r>
      <w:r>
        <w:rPr>
          <w:rStyle w:val="EndnoteReference"/>
          <w:rFonts w:cstheme="minorHAnsi"/>
        </w:rPr>
        <w:endnoteReference w:id="71"/>
      </w:r>
    </w:p>
    <w:p w:rsidR="00375FB1" w:rsidRDefault="001B796C" w:rsidP="00375FB1">
      <w:r>
        <w:t>P</w:t>
      </w:r>
      <w:r w:rsidR="00375FB1" w:rsidRPr="00B174C1">
        <w:t xml:space="preserve">articipation in </w:t>
      </w:r>
      <w:r w:rsidR="00375FB1">
        <w:t xml:space="preserve">long day </w:t>
      </w:r>
      <w:r w:rsidR="00375FB1" w:rsidRPr="00B174C1">
        <w:t>care and preschool services has been steadily increasin</w:t>
      </w:r>
      <w:r w:rsidR="00375FB1">
        <w:t>g</w:t>
      </w:r>
      <w:r>
        <w:t>, and in a growing number of areas f</w:t>
      </w:r>
      <w:r w:rsidRPr="00B174C1">
        <w:t xml:space="preserve">amilies have a range of </w:t>
      </w:r>
      <w:r w:rsidR="00ED4317">
        <w:t xml:space="preserve">early childhood education and care </w:t>
      </w:r>
      <w:r w:rsidRPr="00B174C1">
        <w:t>services available to support their needs</w:t>
      </w:r>
      <w:r>
        <w:t xml:space="preserve">. </w:t>
      </w:r>
      <w:r w:rsidR="00C722B7" w:rsidRPr="00FC0EC5">
        <w:t>However, g</w:t>
      </w:r>
      <w:r>
        <w:t>aps remain in some geographical areas, especially for parents seeking early childhood education and care for babies and toddlers. In some communities, only one type of service is available, such as a preschool or a long day care centre</w:t>
      </w:r>
      <w:r w:rsidR="00375FB1">
        <w:t>. Across Australia around 35 per cent</w:t>
      </w:r>
      <w:r w:rsidR="00375FB1" w:rsidRPr="00B8378E">
        <w:t xml:space="preserve"> of children from birth to two years of age and almost two thirds of </w:t>
      </w:r>
      <w:r w:rsidR="00375FB1">
        <w:t>three</w:t>
      </w:r>
      <w:r w:rsidR="00375FB1" w:rsidRPr="00B8378E">
        <w:t xml:space="preserve"> year olds </w:t>
      </w:r>
      <w:r w:rsidR="00375FB1">
        <w:t>participate in</w:t>
      </w:r>
      <w:r w:rsidR="00375FB1" w:rsidRPr="00B8378E">
        <w:t xml:space="preserve"> early education and care</w:t>
      </w:r>
      <w:r w:rsidR="00134BEA">
        <w:t xml:space="preserve"> programs</w:t>
      </w:r>
      <w:r w:rsidR="00375FB1">
        <w:t>.</w:t>
      </w:r>
      <w:r w:rsidR="00A657A0" w:rsidRPr="00A657A0">
        <w:rPr>
          <w:rStyle w:val="EndnoteReference"/>
        </w:rPr>
        <w:t xml:space="preserve"> </w:t>
      </w:r>
      <w:r w:rsidR="00A657A0">
        <w:rPr>
          <w:rStyle w:val="EndnoteReference"/>
        </w:rPr>
        <w:endnoteReference w:id="72"/>
      </w:r>
      <w:r w:rsidR="00375FB1">
        <w:t xml:space="preserve"> Around 21 per cent</w:t>
      </w:r>
      <w:r w:rsidR="00375FB1" w:rsidRPr="00B8378E">
        <w:t xml:space="preserve"> of three year olds</w:t>
      </w:r>
      <w:r w:rsidR="00375FB1">
        <w:t xml:space="preserve"> attending an education and care service</w:t>
      </w:r>
      <w:r w:rsidR="00375FB1" w:rsidRPr="00B8378E">
        <w:t xml:space="preserve"> receive a preschool program </w:t>
      </w:r>
      <w:r w:rsidR="00375FB1">
        <w:t xml:space="preserve">(provided in either </w:t>
      </w:r>
      <w:r w:rsidR="00375FB1" w:rsidRPr="00B8378E">
        <w:t>long day care or sessional preschool</w:t>
      </w:r>
      <w:r w:rsidR="00A657A0">
        <w:t>)</w:t>
      </w:r>
      <w:r w:rsidR="00375FB1">
        <w:t>.</w:t>
      </w:r>
      <w:r w:rsidR="009C5326" w:rsidRPr="009C5326">
        <w:rPr>
          <w:rStyle w:val="EndnoteReference"/>
        </w:rPr>
        <w:t xml:space="preserve"> </w:t>
      </w:r>
      <w:r w:rsidR="009C5326">
        <w:rPr>
          <w:rStyle w:val="EndnoteReference"/>
        </w:rPr>
        <w:endnoteReference w:id="73"/>
      </w:r>
      <w:r w:rsidR="00375FB1" w:rsidRPr="00AB2F16">
        <w:t xml:space="preserve"> </w:t>
      </w:r>
      <w:r w:rsidR="00375FB1">
        <w:t>The increase in three year olds benefitting from preschool reflects the introduction of targeted</w:t>
      </w:r>
      <w:r w:rsidR="00EB5A93">
        <w:t xml:space="preserve"> </w:t>
      </w:r>
      <w:r w:rsidR="0037370A">
        <w:t>state</w:t>
      </w:r>
      <w:r w:rsidR="00EB5A93">
        <w:t xml:space="preserve"> and </w:t>
      </w:r>
      <w:r w:rsidR="0037370A">
        <w:t>territory</w:t>
      </w:r>
      <w:r w:rsidR="00EB5A93" w:rsidRPr="003C30CF">
        <w:t xml:space="preserve"> </w:t>
      </w:r>
      <w:r w:rsidR="000E54EA">
        <w:t>government</w:t>
      </w:r>
      <w:r w:rsidR="00EB5A93">
        <w:t xml:space="preserve"> </w:t>
      </w:r>
      <w:r w:rsidR="00375FB1">
        <w:t xml:space="preserve">support for some children in this age cohort, plus the fact that some parents enrol their children in preschool programs without additional subsidy. </w:t>
      </w:r>
      <w:r w:rsidR="009C5326">
        <w:t xml:space="preserve">AEDC data from </w:t>
      </w:r>
      <w:r w:rsidR="00375FB1">
        <w:t xml:space="preserve">2015 </w:t>
      </w:r>
      <w:r w:rsidR="009C5326">
        <w:t xml:space="preserve">indicated that </w:t>
      </w:r>
      <w:r w:rsidR="00375FB1">
        <w:t>around 35.5 per cent</w:t>
      </w:r>
      <w:r w:rsidR="00375FB1" w:rsidRPr="00B8378E">
        <w:t xml:space="preserve"> of children attend</w:t>
      </w:r>
      <w:r w:rsidR="00375FB1">
        <w:t>ed</w:t>
      </w:r>
      <w:r w:rsidR="00375FB1" w:rsidRPr="00B8378E">
        <w:t xml:space="preserve"> playgroups prior to starting school</w:t>
      </w:r>
      <w:r w:rsidR="00375FB1">
        <w:t xml:space="preserve">, </w:t>
      </w:r>
      <w:r w:rsidR="00375FB1" w:rsidRPr="00B8378E">
        <w:t>with attendance higher among children livi</w:t>
      </w:r>
      <w:r w:rsidR="00375FB1">
        <w:t>ng in regional and remote areas</w:t>
      </w:r>
      <w:r w:rsidR="008E370A">
        <w:t>.</w:t>
      </w:r>
      <w:r w:rsidR="00375FB1">
        <w:rPr>
          <w:rStyle w:val="EndnoteReference"/>
        </w:rPr>
        <w:endnoteReference w:id="74"/>
      </w:r>
      <w:r w:rsidR="00375FB1">
        <w:t xml:space="preserve"> </w:t>
      </w:r>
    </w:p>
    <w:p w:rsidR="00375FB1" w:rsidRDefault="00375FB1" w:rsidP="00375FB1">
      <w:r w:rsidRPr="00A516DA">
        <w:rPr>
          <w:u w:color="000000"/>
          <w:bdr w:val="nil"/>
        </w:rPr>
        <w:t>While AEDC results identify many areas for improvement, there are some positive trends.</w:t>
      </w:r>
      <w:r>
        <w:t xml:space="preserve"> T</w:t>
      </w:r>
      <w:r w:rsidRPr="00DD76E0">
        <w:t>he</w:t>
      </w:r>
      <w:r>
        <w:t>re has been a steady increase in the</w:t>
      </w:r>
      <w:r w:rsidRPr="00DD76E0">
        <w:t xml:space="preserve"> proportion of children </w:t>
      </w:r>
      <w:r w:rsidRPr="00B8378E">
        <w:t xml:space="preserve">developmentally on track </w:t>
      </w:r>
      <w:r w:rsidRPr="00DD76E0">
        <w:t>in the</w:t>
      </w:r>
      <w:r>
        <w:t xml:space="preserve"> ‘language and cognitive skills’ and the ‘c</w:t>
      </w:r>
      <w:r w:rsidRPr="00B8378E">
        <w:t>ommunication skills and general knowledge</w:t>
      </w:r>
      <w:r>
        <w:t>’</w:t>
      </w:r>
      <w:r w:rsidRPr="00B8378E">
        <w:t xml:space="preserve"> domain</w:t>
      </w:r>
      <w:r>
        <w:t>s</w:t>
      </w:r>
      <w:r w:rsidR="008E370A">
        <w:t>.</w:t>
      </w:r>
      <w:r w:rsidRPr="00B8378E">
        <w:rPr>
          <w:rStyle w:val="EndnoteReference"/>
        </w:rPr>
        <w:endnoteReference w:id="75"/>
      </w:r>
      <w:r w:rsidRPr="00B8378E">
        <w:t xml:space="preserve"> </w:t>
      </w:r>
    </w:p>
    <w:p w:rsidR="00375FB1" w:rsidRPr="005265A2" w:rsidRDefault="00375FB1" w:rsidP="00375FB1">
      <w:r w:rsidRPr="005265A2">
        <w:rPr>
          <w:rFonts w:eastAsiaTheme="minorEastAsia"/>
        </w:rPr>
        <w:t>The National Quality Framework is establishing strong foundations for a quality early chil</w:t>
      </w:r>
      <w:r w:rsidRPr="00487555">
        <w:rPr>
          <w:rFonts w:eastAsiaTheme="minorEastAsia"/>
          <w:bCs/>
          <w:iCs/>
        </w:rPr>
        <w:t xml:space="preserve">dhood education and care system. </w:t>
      </w:r>
      <w:r w:rsidRPr="005265A2">
        <w:t>A</w:t>
      </w:r>
      <w:r>
        <w:t xml:space="preserve">t the end of </w:t>
      </w:r>
      <w:r w:rsidR="009C5326">
        <w:t>September</w:t>
      </w:r>
      <w:r>
        <w:t xml:space="preserve"> 2017, 9</w:t>
      </w:r>
      <w:r w:rsidR="009C5326">
        <w:t>3</w:t>
      </w:r>
      <w:r>
        <w:t xml:space="preserve"> per cent</w:t>
      </w:r>
      <w:r w:rsidRPr="005265A2">
        <w:t xml:space="preserve"> of early childhood education and care services under the N</w:t>
      </w:r>
      <w:r>
        <w:t xml:space="preserve">ational </w:t>
      </w:r>
      <w:r w:rsidRPr="005265A2">
        <w:t>Q</w:t>
      </w:r>
      <w:r>
        <w:t xml:space="preserve">uality </w:t>
      </w:r>
      <w:r w:rsidRPr="005265A2">
        <w:t>F</w:t>
      </w:r>
      <w:r>
        <w:t>ram</w:t>
      </w:r>
      <w:r w:rsidR="009C5326">
        <w:t>ework had been assessed, with 75</w:t>
      </w:r>
      <w:r>
        <w:t xml:space="preserve"> per cent</w:t>
      </w:r>
      <w:r w:rsidRPr="005265A2">
        <w:t xml:space="preserve"> ‘meeting’ or ‘exceeding’ the National Quality Standard</w:t>
      </w:r>
      <w:r w:rsidR="009C5326">
        <w:t>, and 25</w:t>
      </w:r>
      <w:r>
        <w:t xml:space="preserve"> per cent</w:t>
      </w:r>
      <w:r w:rsidRPr="005265A2">
        <w:t xml:space="preserve"> ‘working towards’ </w:t>
      </w:r>
      <w:r w:rsidR="008149F0">
        <w:t>(</w:t>
      </w:r>
      <w:r w:rsidR="001C3893">
        <w:t>i.e.</w:t>
      </w:r>
      <w:r w:rsidR="008149F0">
        <w:t xml:space="preserve"> not meeting) </w:t>
      </w:r>
      <w:r w:rsidRPr="005265A2">
        <w:t>the</w:t>
      </w:r>
      <w:r w:rsidRPr="007A73D1">
        <w:t xml:space="preserve"> </w:t>
      </w:r>
      <w:r w:rsidRPr="005265A2">
        <w:t>National Quality Standard.</w:t>
      </w:r>
      <w:r w:rsidR="009C5326" w:rsidRPr="00B8378E">
        <w:rPr>
          <w:rStyle w:val="EndnoteReference"/>
        </w:rPr>
        <w:endnoteReference w:id="76"/>
      </w:r>
    </w:p>
    <w:p w:rsidR="00375FB1" w:rsidRDefault="00375FB1" w:rsidP="00375FB1">
      <w:r>
        <w:t xml:space="preserve">There is evidence that the </w:t>
      </w:r>
      <w:r w:rsidRPr="005265A2">
        <w:t>N</w:t>
      </w:r>
      <w:r>
        <w:t xml:space="preserve">ational </w:t>
      </w:r>
      <w:r w:rsidRPr="005265A2">
        <w:t>Q</w:t>
      </w:r>
      <w:r>
        <w:t xml:space="preserve">uality </w:t>
      </w:r>
      <w:r w:rsidRPr="005265A2">
        <w:t>F</w:t>
      </w:r>
      <w:r>
        <w:t>ramework is promoting con</w:t>
      </w:r>
      <w:r w:rsidR="009C5326">
        <w:t>tinuous quality improvement – 57</w:t>
      </w:r>
      <w:r>
        <w:t xml:space="preserve"> per cent</w:t>
      </w:r>
      <w:r w:rsidRPr="00B8378E">
        <w:t xml:space="preserve"> </w:t>
      </w:r>
      <w:r>
        <w:t xml:space="preserve">of services </w:t>
      </w:r>
      <w:r w:rsidRPr="00B8378E">
        <w:t>have improved their quality rating</w:t>
      </w:r>
      <w:r w:rsidR="009C5326">
        <w:t xml:space="preserve"> when reassessed</w:t>
      </w:r>
      <w:r w:rsidR="0094711A">
        <w:t>.</w:t>
      </w:r>
      <w:r w:rsidRPr="00B8378E">
        <w:rPr>
          <w:rStyle w:val="EndnoteReference"/>
        </w:rPr>
        <w:endnoteReference w:id="77"/>
      </w:r>
      <w:r>
        <w:t xml:space="preserve"> The general trend over time has been for an increasing proportion of servi</w:t>
      </w:r>
      <w:r w:rsidR="009C5326">
        <w:t>ces to meet or exceed the</w:t>
      </w:r>
      <w:r>
        <w:t xml:space="preserve"> </w:t>
      </w:r>
      <w:r w:rsidRPr="005265A2">
        <w:t>National Quality Standard</w:t>
      </w:r>
      <w:r>
        <w:t xml:space="preserve">, and a declining proportion </w:t>
      </w:r>
      <w:r w:rsidR="008149F0">
        <w:t xml:space="preserve">to be not meeting </w:t>
      </w:r>
      <w:r>
        <w:t xml:space="preserve">it. </w:t>
      </w:r>
    </w:p>
    <w:p w:rsidR="00BB1920" w:rsidRDefault="00BB1920">
      <w:pPr>
        <w:spacing w:line="276" w:lineRule="auto"/>
      </w:pPr>
      <w:r>
        <w:br w:type="page"/>
      </w:r>
    </w:p>
    <w:p w:rsidR="00BB1920" w:rsidRPr="00A516DA" w:rsidRDefault="00BB1920" w:rsidP="00375FB1">
      <w:pPr>
        <w:rPr>
          <w:b/>
        </w:rPr>
      </w:pPr>
      <w:r w:rsidRPr="00A516DA">
        <w:rPr>
          <w:b/>
        </w:rPr>
        <w:t>Chart 3</w:t>
      </w:r>
      <w:r w:rsidR="006910ED">
        <w:rPr>
          <w:b/>
        </w:rPr>
        <w:t>: Proportion of services by rating</w:t>
      </w:r>
    </w:p>
    <w:p w:rsidR="00375FB1" w:rsidRDefault="00AC3E45" w:rsidP="00375FB1">
      <w:pPr>
        <w:spacing w:before="120" w:after="120"/>
        <w:rPr>
          <w:sz w:val="23"/>
          <w:szCs w:val="23"/>
        </w:rPr>
      </w:pPr>
      <w:r>
        <w:rPr>
          <w:noProof/>
          <w:lang w:eastAsia="en-AU"/>
        </w:rPr>
        <w:drawing>
          <wp:inline distT="0" distB="0" distL="0" distR="0" wp14:anchorId="454138AC" wp14:editId="0511DB70">
            <wp:extent cx="3229182" cy="1675519"/>
            <wp:effectExtent l="0" t="0" r="0" b="1270"/>
            <wp:docPr id="1151154413" name="Picture 115115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32919" cy="1677458"/>
                    </a:xfrm>
                    <a:prstGeom prst="rect">
                      <a:avLst/>
                    </a:prstGeom>
                  </pic:spPr>
                </pic:pic>
              </a:graphicData>
            </a:graphic>
          </wp:inline>
        </w:drawing>
      </w:r>
    </w:p>
    <w:p w:rsidR="00375FB1" w:rsidRPr="00A516DA" w:rsidRDefault="00375FB1" w:rsidP="00375FB1">
      <w:pPr>
        <w:spacing w:before="120" w:after="120"/>
        <w:rPr>
          <w:sz w:val="16"/>
          <w:szCs w:val="18"/>
        </w:rPr>
      </w:pPr>
      <w:r w:rsidRPr="00A516DA">
        <w:rPr>
          <w:b/>
          <w:i/>
          <w:sz w:val="16"/>
          <w:szCs w:val="18"/>
        </w:rPr>
        <w:t>Source:</w:t>
      </w:r>
      <w:r w:rsidRPr="00A516DA">
        <w:rPr>
          <w:sz w:val="16"/>
          <w:szCs w:val="18"/>
        </w:rPr>
        <w:t xml:space="preserve"> ACECQA </w:t>
      </w:r>
      <w:r w:rsidR="00E14E47">
        <w:rPr>
          <w:sz w:val="16"/>
          <w:szCs w:val="18"/>
        </w:rPr>
        <w:t>S</w:t>
      </w:r>
      <w:r w:rsidRPr="00A516DA">
        <w:rPr>
          <w:sz w:val="16"/>
          <w:szCs w:val="18"/>
        </w:rPr>
        <w:t>napshots Q2, 2013, 2014, 2015, 2106, 2017</w:t>
      </w:r>
      <w:r w:rsidRPr="00A516DA">
        <w:rPr>
          <w:rStyle w:val="EndnoteReference"/>
          <w:sz w:val="16"/>
          <w:szCs w:val="18"/>
        </w:rPr>
        <w:endnoteReference w:id="78"/>
      </w:r>
    </w:p>
    <w:p w:rsidR="00375FB1" w:rsidRPr="00DA3BD1" w:rsidRDefault="00375FB1" w:rsidP="00375FB1">
      <w:pPr>
        <w:autoSpaceDE w:val="0"/>
        <w:autoSpaceDN w:val="0"/>
        <w:adjustRightInd w:val="0"/>
        <w:spacing w:before="120" w:after="120" w:line="240" w:lineRule="atLeast"/>
        <w:rPr>
          <w:i/>
        </w:rPr>
      </w:pPr>
      <w:r>
        <w:rPr>
          <w:i/>
        </w:rPr>
        <w:t>Attendance and participation</w:t>
      </w:r>
    </w:p>
    <w:p w:rsidR="00375FB1" w:rsidRPr="00FB6BAB" w:rsidRDefault="00375FB1" w:rsidP="00375FB1">
      <w:r w:rsidRPr="00FB6BAB">
        <w:t xml:space="preserve">As of 2015, all jurisdictions are meeting their </w:t>
      </w:r>
      <w:r w:rsidR="00A657A0">
        <w:t xml:space="preserve">preschool </w:t>
      </w:r>
      <w:r w:rsidRPr="00FB6BAB">
        <w:t>enrolment t</w:t>
      </w:r>
      <w:r>
        <w:t>argets of 95 per cent</w:t>
      </w:r>
      <w:r w:rsidR="008E370A">
        <w:t>,</w:t>
      </w:r>
      <w:r w:rsidRPr="00FB6BAB">
        <w:rPr>
          <w:rStyle w:val="EndnoteReference"/>
        </w:rPr>
        <w:endnoteReference w:id="79"/>
      </w:r>
      <w:r w:rsidRPr="00FB6BAB">
        <w:t xml:space="preserve"> however those who are not enrolled are disproportionately children </w:t>
      </w:r>
      <w:r>
        <w:t>who are experiencing disadvantage</w:t>
      </w:r>
      <w:r w:rsidRPr="00FB6BAB">
        <w:t xml:space="preserve"> or </w:t>
      </w:r>
      <w:r>
        <w:t xml:space="preserve">whose family or community </w:t>
      </w:r>
      <w:r w:rsidRPr="00FB6BAB">
        <w:t>circumstances</w:t>
      </w:r>
      <w:r>
        <w:t xml:space="preserve"> render them vulnerable to exclusion and disadvantage.</w:t>
      </w:r>
      <w:r w:rsidRPr="00FB6BAB">
        <w:t xml:space="preserve"> </w:t>
      </w:r>
      <w:r>
        <w:t>C</w:t>
      </w:r>
      <w:r w:rsidRPr="00FB6BAB">
        <w:t xml:space="preserve">hildren from a non-English speaking background, </w:t>
      </w:r>
      <w:r w:rsidR="00BC01A6">
        <w:t xml:space="preserve">Indigenous </w:t>
      </w:r>
      <w:r w:rsidRPr="00FB6BAB">
        <w:t>children, children with a disability, children from remote areas</w:t>
      </w:r>
      <w:r>
        <w:t xml:space="preserve"> and children residing in the most disadvantaged areas </w:t>
      </w:r>
      <w:r w:rsidRPr="00FB6BAB">
        <w:t xml:space="preserve">are all </w:t>
      </w:r>
      <w:r>
        <w:t xml:space="preserve">less </w:t>
      </w:r>
      <w:r w:rsidRPr="00FB6BAB">
        <w:t xml:space="preserve">likely </w:t>
      </w:r>
      <w:r>
        <w:t xml:space="preserve">to </w:t>
      </w:r>
      <w:r w:rsidRPr="00FB6BAB">
        <w:t>be enrol</w:t>
      </w:r>
      <w:r>
        <w:t>led than the general population</w:t>
      </w:r>
      <w:r w:rsidR="008E370A">
        <w:t>.</w:t>
      </w:r>
      <w:r w:rsidRPr="00FB6BAB">
        <w:rPr>
          <w:rStyle w:val="EndnoteReference"/>
        </w:rPr>
        <w:endnoteReference w:id="80"/>
      </w:r>
      <w:r w:rsidRPr="00FB6BAB">
        <w:t xml:space="preserve"> </w:t>
      </w:r>
    </w:p>
    <w:p w:rsidR="00E631AF" w:rsidRPr="00E631AF" w:rsidRDefault="00E631AF" w:rsidP="00E631AF">
      <w:r w:rsidRPr="00E631AF">
        <w:t xml:space="preserve">There </w:t>
      </w:r>
      <w:r w:rsidR="0080244E" w:rsidRPr="003C30CF">
        <w:t>is</w:t>
      </w:r>
      <w:r w:rsidR="0080244E" w:rsidRPr="00A33316">
        <w:t xml:space="preserve"> </w:t>
      </w:r>
      <w:r w:rsidRPr="00E631AF">
        <w:t xml:space="preserve">a range of potential barriers that may influence </w:t>
      </w:r>
      <w:r w:rsidR="0080244E" w:rsidRPr="00FC0EC5">
        <w:t>children</w:t>
      </w:r>
      <w:r w:rsidRPr="00E631AF">
        <w:t xml:space="preserve"> and families’ participation in </w:t>
      </w:r>
      <w:r w:rsidR="002F577E">
        <w:t xml:space="preserve">early childhood education and care </w:t>
      </w:r>
      <w:r w:rsidRPr="00E631AF">
        <w:t xml:space="preserve">services. </w:t>
      </w:r>
      <w:r>
        <w:t xml:space="preserve">These can include cost, </w:t>
      </w:r>
      <w:r w:rsidRPr="00E631AF">
        <w:t xml:space="preserve">parents’ preferences and understandings about the </w:t>
      </w:r>
      <w:r w:rsidR="009C5326">
        <w:t>benefits</w:t>
      </w:r>
      <w:r w:rsidRPr="00E631AF">
        <w:t xml:space="preserve"> of early education and child development</w:t>
      </w:r>
      <w:r>
        <w:t xml:space="preserve">, service </w:t>
      </w:r>
      <w:r w:rsidRPr="00E631AF">
        <w:t>operating hours</w:t>
      </w:r>
      <w:r>
        <w:t xml:space="preserve"> and </w:t>
      </w:r>
      <w:r w:rsidRPr="00E631AF">
        <w:t xml:space="preserve">location, </w:t>
      </w:r>
      <w:r w:rsidR="00134BEA">
        <w:t>limited</w:t>
      </w:r>
      <w:r w:rsidR="008149F0">
        <w:t xml:space="preserve"> transport options </w:t>
      </w:r>
      <w:r>
        <w:t xml:space="preserve">to and from services, </w:t>
      </w:r>
      <w:r w:rsidRPr="00E631AF">
        <w:t xml:space="preserve">services not meeting </w:t>
      </w:r>
      <w:r w:rsidRPr="00E502FD">
        <w:t>need</w:t>
      </w:r>
      <w:r w:rsidR="0080244E" w:rsidRPr="008E688A">
        <w:t>s</w:t>
      </w:r>
      <w:r>
        <w:t xml:space="preserve"> or being inclusive, </w:t>
      </w:r>
      <w:r w:rsidRPr="00E631AF">
        <w:t>lack of awareness of available services</w:t>
      </w:r>
      <w:r>
        <w:t xml:space="preserve"> and administrative complexity.</w:t>
      </w:r>
      <w:r w:rsidRPr="00E631AF">
        <w:rPr>
          <w:vertAlign w:val="superscript"/>
        </w:rPr>
        <w:endnoteReference w:id="81"/>
      </w:r>
      <w:r w:rsidRPr="00E631AF">
        <w:t xml:space="preserve"> </w:t>
      </w:r>
    </w:p>
    <w:p w:rsidR="00E631AF" w:rsidRDefault="00E631AF" w:rsidP="00E631AF">
      <w:r>
        <w:t>L</w:t>
      </w:r>
      <w:r w:rsidRPr="00E631AF">
        <w:t>ow</w:t>
      </w:r>
      <w:r>
        <w:t>er</w:t>
      </w:r>
      <w:r w:rsidRPr="00E631AF">
        <w:t xml:space="preserve"> participation of Indigenous families in early learning programs may also relate to cultural issues, fear of racism or being negatively judged, </w:t>
      </w:r>
      <w:r w:rsidR="009C5326">
        <w:t>distrust of government and early childhood services,</w:t>
      </w:r>
      <w:r w:rsidRPr="00E631AF">
        <w:t xml:space="preserve"> and also staffing issues such as recruiting and retaining </w:t>
      </w:r>
      <w:r w:rsidR="00BC01A6">
        <w:t>Indigenous</w:t>
      </w:r>
      <w:r w:rsidRPr="00E631AF">
        <w:t xml:space="preserve"> staff.</w:t>
      </w:r>
      <w:r w:rsidRPr="00E631AF">
        <w:rPr>
          <w:vertAlign w:val="superscript"/>
        </w:rPr>
        <w:endnoteReference w:id="82"/>
      </w:r>
      <w:r w:rsidRPr="00E631AF">
        <w:t xml:space="preserve"> </w:t>
      </w:r>
    </w:p>
    <w:p w:rsidR="00E631AF" w:rsidRPr="00E631AF" w:rsidRDefault="00E631AF" w:rsidP="00E631AF">
      <w:r w:rsidRPr="00E631AF">
        <w:t>Strategies to promote preschool participation among</w:t>
      </w:r>
      <w:r w:rsidR="00347452">
        <w:t xml:space="preserve"> Indigenous children</w:t>
      </w:r>
      <w:r w:rsidRPr="00E631AF">
        <w:t xml:space="preserve"> have included</w:t>
      </w:r>
      <w:r>
        <w:t xml:space="preserve"> i</w:t>
      </w:r>
      <w:r w:rsidRPr="00E631AF">
        <w:t>ncreased employment of Indigenous staff in preschool services</w:t>
      </w:r>
      <w:r>
        <w:t xml:space="preserve">, </w:t>
      </w:r>
      <w:r w:rsidRPr="00E631AF">
        <w:t>mobile and outreach pre</w:t>
      </w:r>
      <w:r>
        <w:t xml:space="preserve">schools for children in </w:t>
      </w:r>
      <w:r w:rsidR="002F0CE7">
        <w:t xml:space="preserve">rural and regional </w:t>
      </w:r>
      <w:r w:rsidRPr="00E631AF">
        <w:t>communities</w:t>
      </w:r>
      <w:r>
        <w:t xml:space="preserve">, </w:t>
      </w:r>
      <w:r w:rsidRPr="00E631AF">
        <w:t>programs for Indigenous families</w:t>
      </w:r>
      <w:r>
        <w:t xml:space="preserve"> that provide</w:t>
      </w:r>
      <w:r w:rsidR="00347452">
        <w:t xml:space="preserve"> culturally safe environment</w:t>
      </w:r>
      <w:r w:rsidR="00155B61">
        <w:t>s and</w:t>
      </w:r>
      <w:r w:rsidRPr="00E631AF">
        <w:t xml:space="preserve"> </w:t>
      </w:r>
      <w:r w:rsidR="00347452">
        <w:t>support</w:t>
      </w:r>
      <w:r w:rsidRPr="00E631AF">
        <w:t xml:space="preserve"> parental engagement and participation</w:t>
      </w:r>
      <w:r>
        <w:t xml:space="preserve">, and </w:t>
      </w:r>
      <w:r w:rsidRPr="00E631AF">
        <w:t>increased financial assistance.</w:t>
      </w:r>
      <w:r w:rsidRPr="00E631AF">
        <w:rPr>
          <w:vertAlign w:val="superscript"/>
        </w:rPr>
        <w:endnoteReference w:id="83"/>
      </w:r>
      <w:r w:rsidRPr="00E631AF">
        <w:t xml:space="preserve"> </w:t>
      </w:r>
    </w:p>
    <w:p w:rsidR="00E63EEB" w:rsidRDefault="00375FB1" w:rsidP="00375FB1">
      <w:pPr>
        <w:rPr>
          <w:rFonts w:cstheme="minorHAnsi"/>
        </w:rPr>
      </w:pPr>
      <w:r>
        <w:t>Australian data on preschool</w:t>
      </w:r>
      <w:r w:rsidRPr="00FB6BAB">
        <w:t xml:space="preserve"> attendance</w:t>
      </w:r>
      <w:r w:rsidR="00F623BA">
        <w:t xml:space="preserve"> (</w:t>
      </w:r>
      <w:r w:rsidR="008E370A">
        <w:t xml:space="preserve">distinct from </w:t>
      </w:r>
      <w:r w:rsidR="00F623BA">
        <w:t>enrolment)</w:t>
      </w:r>
      <w:r w:rsidRPr="00FB6BAB">
        <w:t xml:space="preserve"> </w:t>
      </w:r>
      <w:r>
        <w:t xml:space="preserve">is limited. </w:t>
      </w:r>
      <w:r w:rsidR="008149F0" w:rsidRPr="00FB6BAB">
        <w:t xml:space="preserve">However, the available data shows around a quarter of those enrolled were not attending for the full </w:t>
      </w:r>
      <w:r w:rsidR="0080244E" w:rsidRPr="00121163">
        <w:t xml:space="preserve">15 </w:t>
      </w:r>
      <w:r w:rsidR="008149F0" w:rsidRPr="00FB6BAB">
        <w:t xml:space="preserve">hours, with that proportion higher for </w:t>
      </w:r>
      <w:r w:rsidR="008149F0">
        <w:t>Indigenous children.</w:t>
      </w:r>
      <w:r w:rsidR="008149F0" w:rsidRPr="00FB6BAB">
        <w:rPr>
          <w:rStyle w:val="EndnoteReference"/>
          <w:rFonts w:cstheme="minorHAnsi"/>
        </w:rPr>
        <w:endnoteReference w:id="84"/>
      </w:r>
      <w:r w:rsidR="008149F0">
        <w:t xml:space="preserve"> </w:t>
      </w:r>
      <w:r w:rsidR="00D40B61">
        <w:t xml:space="preserve">Some </w:t>
      </w:r>
      <w:r w:rsidR="00C332DF">
        <w:t>jurisdictions</w:t>
      </w:r>
      <w:r w:rsidR="00D40B61">
        <w:t xml:space="preserve"> have data from </w:t>
      </w:r>
      <w:r w:rsidR="002770A2">
        <w:t>government</w:t>
      </w:r>
      <w:r w:rsidR="00D40B61">
        <w:t>-run preschools, but n</w:t>
      </w:r>
      <w:r w:rsidRPr="00FB6BAB">
        <w:t>ational data come</w:t>
      </w:r>
      <w:r>
        <w:t>s</w:t>
      </w:r>
      <w:r w:rsidRPr="00FB6BAB">
        <w:t xml:space="preserve"> from </w:t>
      </w:r>
      <w:r>
        <w:t>an</w:t>
      </w:r>
      <w:r w:rsidRPr="00FB6BAB">
        <w:t xml:space="preserve"> annual survey conducted in the middle of winter when </w:t>
      </w:r>
      <w:r>
        <w:t>many</w:t>
      </w:r>
      <w:r w:rsidRPr="00FB6BAB">
        <w:t xml:space="preserve"> children are likely absent due to illness. </w:t>
      </w:r>
      <w:r w:rsidR="008149F0">
        <w:t>Notwithstanding the absence of reliable data, it is clear that t</w:t>
      </w:r>
      <w:r>
        <w:rPr>
          <w:rFonts w:cstheme="minorHAnsi"/>
        </w:rPr>
        <w:t>here is room to improve the full participation of all children in their early education setting</w:t>
      </w:r>
      <w:r w:rsidR="008149F0">
        <w:rPr>
          <w:rFonts w:cstheme="minorHAnsi"/>
        </w:rPr>
        <w:t xml:space="preserve">. It is likely that better data would support planning for </w:t>
      </w:r>
      <w:r w:rsidR="00F623BA">
        <w:rPr>
          <w:rFonts w:cstheme="minorHAnsi"/>
        </w:rPr>
        <w:t>effective interventions</w:t>
      </w:r>
      <w:r>
        <w:rPr>
          <w:rFonts w:cstheme="minorHAnsi"/>
        </w:rPr>
        <w:t>.</w:t>
      </w:r>
    </w:p>
    <w:tbl>
      <w:tblPr>
        <w:tblStyle w:val="TableGrid"/>
        <w:tblW w:w="0" w:type="auto"/>
        <w:tblLook w:val="04A0" w:firstRow="1" w:lastRow="0" w:firstColumn="1" w:lastColumn="0" w:noHBand="0" w:noVBand="1"/>
      </w:tblPr>
      <w:tblGrid>
        <w:gridCol w:w="9242"/>
      </w:tblGrid>
      <w:tr w:rsidR="00136E82" w:rsidTr="00136E82">
        <w:tc>
          <w:tcPr>
            <w:tcW w:w="9242" w:type="dxa"/>
          </w:tcPr>
          <w:p w:rsidR="00136E82" w:rsidRDefault="00136E82" w:rsidP="00136E82">
            <w:pPr>
              <w:rPr>
                <w:b/>
              </w:rPr>
            </w:pPr>
            <w:r>
              <w:rPr>
                <w:b/>
              </w:rPr>
              <w:t>Start Strong</w:t>
            </w:r>
            <w:r w:rsidR="00F5716C">
              <w:rPr>
                <w:b/>
              </w:rPr>
              <w:t>, New South Wales</w:t>
            </w:r>
          </w:p>
          <w:p w:rsidR="00136E82" w:rsidRDefault="00136E82" w:rsidP="00136E82">
            <w:pPr>
              <w:rPr>
                <w:b/>
              </w:rPr>
            </w:pPr>
          </w:p>
          <w:p w:rsidR="00136E82" w:rsidRDefault="00136E82" w:rsidP="00136E82">
            <w:r>
              <w:t xml:space="preserve">In 2014, NSW implemented the Preschool Funding Model (PFM), which introduced funding for two years of preschool for disadvantaged and Indigenous children, in addition to preschool funding for all children in the year before school. Between 2013 and 2016, the number of children in the lowest SEIFA quintile enrolled in early childhood education increased by 27%, and </w:t>
            </w:r>
            <w:r w:rsidR="000F57E9">
              <w:t xml:space="preserve">the number of </w:t>
            </w:r>
            <w:r>
              <w:t>Indigenous children enrolled increased by 52%.</w:t>
            </w:r>
          </w:p>
          <w:p w:rsidR="00136E82" w:rsidRDefault="00136E82" w:rsidP="00136E82"/>
          <w:p w:rsidR="00136E82" w:rsidRDefault="00136E82" w:rsidP="00136E82">
            <w:r>
              <w:t xml:space="preserve">Start Strong is building on the success of the PFM and making 600 hours of preschool participation more affordable through increased investment. Start Strong allocates the highest base rate to children who are from low income or Indigenous backgrounds aged </w:t>
            </w:r>
            <w:r w:rsidR="000F57E9">
              <w:t>three</w:t>
            </w:r>
            <w:r>
              <w:t xml:space="preserve"> years and above, with an increase of funding of up to 64 per cent. Additional loadings are also available to provide English language assistance and to support participation in regional and remote services. </w:t>
            </w:r>
          </w:p>
          <w:p w:rsidR="00136E82" w:rsidRDefault="00136E82" w:rsidP="00136E82"/>
          <w:p w:rsidR="00136E82" w:rsidRDefault="00136E82" w:rsidP="00136E82">
            <w:r>
              <w:t>Under Start Strong, preschools must pass on 75 per cent of any funding increase to reduce fees, with priority to be given to lower</w:t>
            </w:r>
            <w:r w:rsidR="000F57E9">
              <w:t>ing fees for Indigenous and low-</w:t>
            </w:r>
            <w:r>
              <w:t xml:space="preserve">income families. The majority of community preschools have received an increase in funding under Start Strong, which is allowing preschools to reduce fees and increase accessibility. </w:t>
            </w:r>
          </w:p>
          <w:p w:rsidR="00136E82" w:rsidRDefault="00136E82" w:rsidP="00136E82"/>
          <w:p w:rsidR="00136E82" w:rsidRDefault="00136E82" w:rsidP="00136E82">
            <w:r>
              <w:t>Gosford Preschool, for example, has extended its operating hours and has lowered its fees to the same level as 25 years ago. The presc</w:t>
            </w:r>
            <w:r w:rsidR="000F57E9">
              <w:t>hool has also increased its 600-</w:t>
            </w:r>
            <w:r>
              <w:t>hour enrolments, doubling the number of equity children enrolled. In the New England region, Wee Waa and District Preschool has used increased funding under Start Strong to offer two fee-free days for Indigenous children, employ additional staff and expand its preschool bus service. These examples illustrate sect</w:t>
            </w:r>
            <w:r w:rsidR="000F57E9">
              <w:t>or-wide trends of increased 600-</w:t>
            </w:r>
            <w:r>
              <w:t xml:space="preserve">hour participation and lower daily fees, which are shown in preliminary data from the 2017 NSW Community Preschool Census, including a reduction in fees by 25% on average. </w:t>
            </w:r>
          </w:p>
          <w:p w:rsidR="00136E82" w:rsidRDefault="00136E82" w:rsidP="00136E82"/>
          <w:p w:rsidR="00136E82" w:rsidRDefault="00136E82" w:rsidP="00136E82">
            <w:r w:rsidRPr="005A3B66">
              <w:t>Source: Department of Education</w:t>
            </w:r>
            <w:r w:rsidR="00AC238B">
              <w:t>, NSW</w:t>
            </w:r>
            <w:r w:rsidRPr="005A3B66">
              <w:t xml:space="preserve"> </w:t>
            </w:r>
          </w:p>
          <w:p w:rsidR="00136E82" w:rsidRDefault="00136E82" w:rsidP="00375FB1">
            <w:pPr>
              <w:rPr>
                <w:rFonts w:cstheme="minorHAnsi"/>
              </w:rPr>
            </w:pPr>
          </w:p>
        </w:tc>
      </w:tr>
    </w:tbl>
    <w:p w:rsidR="00136E82" w:rsidRDefault="00136E82" w:rsidP="00375FB1">
      <w:pPr>
        <w:rPr>
          <w:rFonts w:cstheme="minorHAnsi"/>
        </w:rPr>
      </w:pPr>
    </w:p>
    <w:p w:rsidR="00375FB1" w:rsidRDefault="008735D5" w:rsidP="00375FB1">
      <w:pPr>
        <w:rPr>
          <w:rFonts w:cstheme="minorHAnsi"/>
          <w:i/>
        </w:rPr>
      </w:pPr>
      <w:r>
        <w:rPr>
          <w:rFonts w:cstheme="minorHAnsi"/>
          <w:i/>
        </w:rPr>
        <w:t>Service quality and equity</w:t>
      </w:r>
    </w:p>
    <w:p w:rsidR="00375FB1" w:rsidRDefault="00375FB1" w:rsidP="00375FB1">
      <w:r>
        <w:t xml:space="preserve">While great progress has been made in raising the </w:t>
      </w:r>
      <w:r w:rsidR="00DA0A28">
        <w:t xml:space="preserve">assessed </w:t>
      </w:r>
      <w:r>
        <w:t xml:space="preserve">standard of </w:t>
      </w:r>
      <w:r w:rsidR="002006E7">
        <w:t xml:space="preserve">early childhood education and care </w:t>
      </w:r>
      <w:r>
        <w:t xml:space="preserve">services, </w:t>
      </w:r>
      <w:r w:rsidR="00906059">
        <w:t>25</w:t>
      </w:r>
      <w:r>
        <w:t xml:space="preserve"> per cent of services are not meeting the </w:t>
      </w:r>
      <w:r w:rsidR="00C332DF">
        <w:t>N</w:t>
      </w:r>
      <w:r>
        <w:t xml:space="preserve">ational </w:t>
      </w:r>
      <w:r w:rsidR="00C332DF">
        <w:t>Q</w:t>
      </w:r>
      <w:r>
        <w:t xml:space="preserve">uality </w:t>
      </w:r>
      <w:r w:rsidR="00C332DF">
        <w:t>S</w:t>
      </w:r>
      <w:r>
        <w:t>tandard. Of concern</w:t>
      </w:r>
      <w:r w:rsidR="00D219F0">
        <w:t xml:space="preserve">, </w:t>
      </w:r>
      <w:r w:rsidR="0080244E" w:rsidRPr="004164F8">
        <w:t>19</w:t>
      </w:r>
      <w:r w:rsidR="0080244E" w:rsidRPr="00B90C06">
        <w:t xml:space="preserve"> per cent</w:t>
      </w:r>
      <w:r w:rsidR="001C3893">
        <w:t xml:space="preserve"> of services </w:t>
      </w:r>
      <w:r w:rsidR="0080244E" w:rsidRPr="00B505BF">
        <w:t>are</w:t>
      </w:r>
      <w:r>
        <w:t xml:space="preserve"> not meeting the standard relating to educational program and practice (the most important element from an early childhood education perspective).</w:t>
      </w:r>
    </w:p>
    <w:p w:rsidR="00375FB1" w:rsidRPr="00BA7AF9" w:rsidRDefault="00D40B61" w:rsidP="00375FB1">
      <w:r>
        <w:t xml:space="preserve">Of services assessed and rated, </w:t>
      </w:r>
      <w:r w:rsidR="00A657A0">
        <w:t xml:space="preserve">Catholic </w:t>
      </w:r>
      <w:r w:rsidR="001C3893">
        <w:t>schools,</w:t>
      </w:r>
      <w:r w:rsidR="00A657A0">
        <w:t xml:space="preserve"> </w:t>
      </w:r>
      <w:r>
        <w:t>p</w:t>
      </w:r>
      <w:r w:rsidR="00375FB1">
        <w:t>rivate for</w:t>
      </w:r>
      <w:r w:rsidR="0080244E" w:rsidRPr="00A45E21">
        <w:t>-</w:t>
      </w:r>
      <w:r w:rsidR="00375FB1">
        <w:t xml:space="preserve">profit services </w:t>
      </w:r>
      <w:r w:rsidR="00A657A0">
        <w:t xml:space="preserve">and </w:t>
      </w:r>
      <w:r w:rsidR="00375FB1">
        <w:t xml:space="preserve">government schools are </w:t>
      </w:r>
      <w:r w:rsidR="008149F0">
        <w:t xml:space="preserve">not meeting </w:t>
      </w:r>
      <w:r w:rsidR="00347452">
        <w:t>the N</w:t>
      </w:r>
      <w:r w:rsidR="00375FB1">
        <w:t xml:space="preserve">ational </w:t>
      </w:r>
      <w:r w:rsidR="00347452">
        <w:t>Q</w:t>
      </w:r>
      <w:r w:rsidR="00375FB1">
        <w:t xml:space="preserve">uality </w:t>
      </w:r>
      <w:r w:rsidR="00347452">
        <w:t>S</w:t>
      </w:r>
      <w:r w:rsidR="00375FB1">
        <w:t xml:space="preserve">tandard at above average rates. </w:t>
      </w:r>
      <w:r w:rsidR="00040DD8">
        <w:rPr>
          <w:rFonts w:ascii="Segoe UI" w:hAnsi="Segoe UI" w:cs="Segoe UI"/>
          <w:color w:val="000000"/>
          <w:sz w:val="20"/>
          <w:szCs w:val="20"/>
        </w:rPr>
        <w:t xml:space="preserve">Government managed services (of which there are more) perform better, with the lowest proportion of these services not meeting the National Quality Standard when compared with all other provider types. </w:t>
      </w:r>
      <w:r w:rsidR="00375FB1">
        <w:t xml:space="preserve">Long day care services (some of which provide a preschool service, some of which do not) are significantly </w:t>
      </w:r>
      <w:r w:rsidR="008149F0">
        <w:t xml:space="preserve">more </w:t>
      </w:r>
      <w:r w:rsidR="00375FB1">
        <w:t xml:space="preserve">likely to </w:t>
      </w:r>
      <w:r w:rsidR="008149F0">
        <w:t>not meet the N</w:t>
      </w:r>
      <w:r w:rsidR="00375FB1">
        <w:t xml:space="preserve">ational </w:t>
      </w:r>
      <w:r w:rsidR="008149F0">
        <w:t>Q</w:t>
      </w:r>
      <w:r w:rsidR="00375FB1">
        <w:t xml:space="preserve">uality </w:t>
      </w:r>
      <w:r w:rsidR="008149F0">
        <w:t>S</w:t>
      </w:r>
      <w:r w:rsidR="00375FB1">
        <w:t>tandard than standalone preschool services (</w:t>
      </w:r>
      <w:r w:rsidR="00155B61">
        <w:t>25</w:t>
      </w:r>
      <w:r w:rsidR="00375FB1">
        <w:t xml:space="preserve"> per cent compared </w:t>
      </w:r>
      <w:r w:rsidR="00507A57">
        <w:t xml:space="preserve">with </w:t>
      </w:r>
      <w:r w:rsidR="009C5326">
        <w:t>8</w:t>
      </w:r>
      <w:r w:rsidR="00375FB1">
        <w:t xml:space="preserve"> per cent) and significantly less likely to exceed </w:t>
      </w:r>
      <w:r w:rsidR="00C332DF">
        <w:t>the National Quality Standard</w:t>
      </w:r>
      <w:r w:rsidR="00347452">
        <w:t xml:space="preserve"> </w:t>
      </w:r>
      <w:r w:rsidR="00375FB1">
        <w:t>(</w:t>
      </w:r>
      <w:r w:rsidR="009C5326">
        <w:t>31</w:t>
      </w:r>
      <w:r w:rsidR="00375FB1">
        <w:t xml:space="preserve"> per cent compared </w:t>
      </w:r>
      <w:r w:rsidR="00507A57">
        <w:t xml:space="preserve">with </w:t>
      </w:r>
      <w:r w:rsidR="00375FB1" w:rsidRPr="00BA7AF9">
        <w:t>58 per cent).</w:t>
      </w:r>
      <w:r w:rsidR="00375FB1" w:rsidRPr="00BA7AF9">
        <w:rPr>
          <w:rStyle w:val="EndnoteReference"/>
        </w:rPr>
        <w:endnoteReference w:id="85"/>
      </w:r>
    </w:p>
    <w:p w:rsidR="00375FB1" w:rsidRPr="00A516DA" w:rsidRDefault="00375FB1" w:rsidP="00375FB1">
      <w:pPr>
        <w:rPr>
          <w:b/>
        </w:rPr>
      </w:pPr>
      <w:r w:rsidRPr="00A516DA">
        <w:rPr>
          <w:b/>
        </w:rPr>
        <w:t xml:space="preserve">Table </w:t>
      </w:r>
      <w:r w:rsidR="0032188A" w:rsidRPr="00A516DA">
        <w:rPr>
          <w:b/>
        </w:rPr>
        <w:t>3</w:t>
      </w:r>
      <w:r w:rsidR="0032188A" w:rsidRPr="00BA7AF9">
        <w:rPr>
          <w:b/>
        </w:rPr>
        <w:t>:</w:t>
      </w:r>
      <w:r w:rsidR="0032188A" w:rsidRPr="00A516DA">
        <w:rPr>
          <w:b/>
        </w:rPr>
        <w:t xml:space="preserve"> </w:t>
      </w:r>
      <w:r w:rsidRPr="00A516DA">
        <w:rPr>
          <w:b/>
        </w:rPr>
        <w:t>Quality ratings by provider type</w:t>
      </w:r>
      <w:r w:rsidR="000D39F3" w:rsidRPr="00A516DA">
        <w:rPr>
          <w:b/>
        </w:rPr>
        <w:t xml:space="preserve"> – all early childhood services</w:t>
      </w:r>
    </w:p>
    <w:tbl>
      <w:tblPr>
        <w:tblStyle w:val="TableGrid"/>
        <w:tblW w:w="0" w:type="auto"/>
        <w:tblLook w:val="04A0" w:firstRow="1" w:lastRow="0" w:firstColumn="1" w:lastColumn="0" w:noHBand="0" w:noVBand="1"/>
      </w:tblPr>
      <w:tblGrid>
        <w:gridCol w:w="2310"/>
        <w:gridCol w:w="2051"/>
        <w:gridCol w:w="2126"/>
        <w:gridCol w:w="1985"/>
      </w:tblGrid>
      <w:tr w:rsidR="00375FB1" w:rsidTr="00852F0A">
        <w:tc>
          <w:tcPr>
            <w:tcW w:w="2310" w:type="dxa"/>
          </w:tcPr>
          <w:p w:rsidR="00375FB1" w:rsidRPr="007107A7" w:rsidRDefault="00375FB1" w:rsidP="00852F0A">
            <w:pPr>
              <w:rPr>
                <w:b/>
                <w:sz w:val="20"/>
                <w:szCs w:val="20"/>
              </w:rPr>
            </w:pPr>
            <w:r>
              <w:rPr>
                <w:b/>
                <w:sz w:val="20"/>
                <w:szCs w:val="20"/>
              </w:rPr>
              <w:t>Provider type</w:t>
            </w:r>
          </w:p>
        </w:tc>
        <w:tc>
          <w:tcPr>
            <w:tcW w:w="2051" w:type="dxa"/>
          </w:tcPr>
          <w:p w:rsidR="00375FB1" w:rsidRPr="007107A7" w:rsidRDefault="00375FB1" w:rsidP="00852F0A">
            <w:pPr>
              <w:rPr>
                <w:sz w:val="20"/>
                <w:szCs w:val="20"/>
              </w:rPr>
            </w:pPr>
            <w:r w:rsidRPr="007107A7">
              <w:rPr>
                <w:sz w:val="20"/>
                <w:szCs w:val="20"/>
              </w:rPr>
              <w:t>Working towards National Quality Standard (%)</w:t>
            </w:r>
          </w:p>
        </w:tc>
        <w:tc>
          <w:tcPr>
            <w:tcW w:w="2126" w:type="dxa"/>
          </w:tcPr>
          <w:p w:rsidR="00375FB1" w:rsidRPr="007107A7" w:rsidRDefault="00375FB1" w:rsidP="00852F0A">
            <w:pPr>
              <w:rPr>
                <w:sz w:val="20"/>
                <w:szCs w:val="20"/>
              </w:rPr>
            </w:pPr>
            <w:r w:rsidRPr="007107A7">
              <w:rPr>
                <w:sz w:val="20"/>
                <w:szCs w:val="20"/>
              </w:rPr>
              <w:t>Meeting National Quality Standard (%)</w:t>
            </w:r>
          </w:p>
        </w:tc>
        <w:tc>
          <w:tcPr>
            <w:tcW w:w="1985" w:type="dxa"/>
          </w:tcPr>
          <w:p w:rsidR="00375FB1" w:rsidRPr="007107A7" w:rsidRDefault="00375FB1" w:rsidP="00852F0A">
            <w:pPr>
              <w:rPr>
                <w:sz w:val="20"/>
                <w:szCs w:val="20"/>
              </w:rPr>
            </w:pPr>
            <w:r w:rsidRPr="007107A7">
              <w:rPr>
                <w:sz w:val="20"/>
                <w:szCs w:val="20"/>
              </w:rPr>
              <w:t>Exceeding National Quality Standard (%)</w:t>
            </w:r>
          </w:p>
        </w:tc>
      </w:tr>
      <w:tr w:rsidR="009C5326" w:rsidTr="00852F0A">
        <w:tc>
          <w:tcPr>
            <w:tcW w:w="2310" w:type="dxa"/>
            <w:vAlign w:val="center"/>
          </w:tcPr>
          <w:p w:rsidR="009C5326" w:rsidRPr="007107A7" w:rsidRDefault="009C5326" w:rsidP="00852F0A">
            <w:pPr>
              <w:rPr>
                <w:sz w:val="20"/>
                <w:szCs w:val="20"/>
              </w:rPr>
            </w:pPr>
            <w:r w:rsidRPr="007107A7">
              <w:rPr>
                <w:sz w:val="20"/>
                <w:szCs w:val="20"/>
              </w:rPr>
              <w:t>Private for profit</w:t>
            </w:r>
          </w:p>
        </w:tc>
        <w:tc>
          <w:tcPr>
            <w:tcW w:w="2051" w:type="dxa"/>
            <w:vAlign w:val="center"/>
          </w:tcPr>
          <w:p w:rsidR="009C5326" w:rsidRPr="007107A7" w:rsidRDefault="009C5326" w:rsidP="009D186A">
            <w:pPr>
              <w:rPr>
                <w:sz w:val="20"/>
                <w:szCs w:val="20"/>
              </w:rPr>
            </w:pPr>
            <w:r>
              <w:rPr>
                <w:sz w:val="20"/>
                <w:szCs w:val="20"/>
              </w:rPr>
              <w:t>33</w:t>
            </w:r>
          </w:p>
        </w:tc>
        <w:tc>
          <w:tcPr>
            <w:tcW w:w="2126" w:type="dxa"/>
            <w:vAlign w:val="center"/>
          </w:tcPr>
          <w:p w:rsidR="009C5326" w:rsidRPr="007107A7" w:rsidRDefault="009C5326" w:rsidP="009D186A">
            <w:pPr>
              <w:rPr>
                <w:sz w:val="20"/>
                <w:szCs w:val="20"/>
              </w:rPr>
            </w:pPr>
            <w:r>
              <w:rPr>
                <w:sz w:val="20"/>
                <w:szCs w:val="20"/>
              </w:rPr>
              <w:t xml:space="preserve">45 </w:t>
            </w:r>
          </w:p>
        </w:tc>
        <w:tc>
          <w:tcPr>
            <w:tcW w:w="1985" w:type="dxa"/>
            <w:vAlign w:val="center"/>
          </w:tcPr>
          <w:p w:rsidR="009C5326" w:rsidRPr="007107A7" w:rsidRDefault="009C5326" w:rsidP="009D186A">
            <w:pPr>
              <w:rPr>
                <w:sz w:val="20"/>
                <w:szCs w:val="20"/>
              </w:rPr>
            </w:pPr>
            <w:r>
              <w:rPr>
                <w:sz w:val="20"/>
                <w:szCs w:val="20"/>
              </w:rPr>
              <w:t>20</w:t>
            </w:r>
          </w:p>
        </w:tc>
      </w:tr>
      <w:tr w:rsidR="009C5326" w:rsidTr="00852F0A">
        <w:tc>
          <w:tcPr>
            <w:tcW w:w="2310" w:type="dxa"/>
            <w:vAlign w:val="center"/>
          </w:tcPr>
          <w:p w:rsidR="009C5326" w:rsidRPr="007107A7" w:rsidRDefault="009C5326" w:rsidP="00852F0A">
            <w:pPr>
              <w:rPr>
                <w:sz w:val="20"/>
                <w:szCs w:val="20"/>
              </w:rPr>
            </w:pPr>
            <w:r w:rsidRPr="007107A7">
              <w:rPr>
                <w:sz w:val="20"/>
                <w:szCs w:val="20"/>
              </w:rPr>
              <w:t>Private not for profit community managed</w:t>
            </w:r>
          </w:p>
        </w:tc>
        <w:tc>
          <w:tcPr>
            <w:tcW w:w="2051" w:type="dxa"/>
            <w:vAlign w:val="center"/>
          </w:tcPr>
          <w:p w:rsidR="009C5326" w:rsidRPr="007107A7" w:rsidRDefault="009C5326" w:rsidP="009D186A">
            <w:pPr>
              <w:rPr>
                <w:sz w:val="20"/>
                <w:szCs w:val="20"/>
              </w:rPr>
            </w:pPr>
            <w:r>
              <w:rPr>
                <w:sz w:val="20"/>
                <w:szCs w:val="20"/>
              </w:rPr>
              <w:t>17</w:t>
            </w:r>
          </w:p>
        </w:tc>
        <w:tc>
          <w:tcPr>
            <w:tcW w:w="2126" w:type="dxa"/>
            <w:vAlign w:val="center"/>
          </w:tcPr>
          <w:p w:rsidR="009C5326" w:rsidRPr="007107A7" w:rsidRDefault="009C5326" w:rsidP="009D186A">
            <w:pPr>
              <w:rPr>
                <w:sz w:val="20"/>
                <w:szCs w:val="20"/>
              </w:rPr>
            </w:pPr>
            <w:r>
              <w:rPr>
                <w:sz w:val="20"/>
                <w:szCs w:val="20"/>
              </w:rPr>
              <w:t>40</w:t>
            </w:r>
          </w:p>
        </w:tc>
        <w:tc>
          <w:tcPr>
            <w:tcW w:w="1985" w:type="dxa"/>
            <w:vAlign w:val="center"/>
          </w:tcPr>
          <w:p w:rsidR="009C5326" w:rsidRPr="007107A7" w:rsidRDefault="009C5326" w:rsidP="009D186A">
            <w:pPr>
              <w:rPr>
                <w:sz w:val="20"/>
                <w:szCs w:val="20"/>
              </w:rPr>
            </w:pPr>
            <w:r>
              <w:rPr>
                <w:sz w:val="20"/>
                <w:szCs w:val="20"/>
              </w:rPr>
              <w:t>42</w:t>
            </w:r>
          </w:p>
        </w:tc>
      </w:tr>
      <w:tr w:rsidR="009C5326" w:rsidTr="00852F0A">
        <w:tc>
          <w:tcPr>
            <w:tcW w:w="2310" w:type="dxa"/>
            <w:vAlign w:val="center"/>
          </w:tcPr>
          <w:p w:rsidR="009C5326" w:rsidRPr="007107A7" w:rsidRDefault="009C5326" w:rsidP="00852F0A">
            <w:pPr>
              <w:rPr>
                <w:sz w:val="20"/>
                <w:szCs w:val="20"/>
              </w:rPr>
            </w:pPr>
            <w:r w:rsidRPr="007107A7">
              <w:rPr>
                <w:sz w:val="20"/>
                <w:szCs w:val="20"/>
              </w:rPr>
              <w:t xml:space="preserve">Private not for profit other organisations </w:t>
            </w:r>
          </w:p>
        </w:tc>
        <w:tc>
          <w:tcPr>
            <w:tcW w:w="2051" w:type="dxa"/>
            <w:vAlign w:val="center"/>
          </w:tcPr>
          <w:p w:rsidR="009C5326" w:rsidRPr="007107A7" w:rsidRDefault="009C5326" w:rsidP="009D186A">
            <w:pPr>
              <w:rPr>
                <w:sz w:val="20"/>
                <w:szCs w:val="20"/>
              </w:rPr>
            </w:pPr>
            <w:r>
              <w:rPr>
                <w:sz w:val="20"/>
                <w:szCs w:val="20"/>
              </w:rPr>
              <w:t>17</w:t>
            </w:r>
          </w:p>
        </w:tc>
        <w:tc>
          <w:tcPr>
            <w:tcW w:w="2126" w:type="dxa"/>
            <w:vAlign w:val="center"/>
          </w:tcPr>
          <w:p w:rsidR="009C5326" w:rsidRPr="007107A7" w:rsidRDefault="009C5326" w:rsidP="009D186A">
            <w:pPr>
              <w:rPr>
                <w:sz w:val="20"/>
                <w:szCs w:val="20"/>
              </w:rPr>
            </w:pPr>
            <w:r>
              <w:rPr>
                <w:sz w:val="20"/>
                <w:szCs w:val="20"/>
              </w:rPr>
              <w:t>50</w:t>
            </w:r>
          </w:p>
        </w:tc>
        <w:tc>
          <w:tcPr>
            <w:tcW w:w="1985" w:type="dxa"/>
            <w:vAlign w:val="center"/>
          </w:tcPr>
          <w:p w:rsidR="009C5326" w:rsidRPr="007107A7" w:rsidRDefault="009C5326" w:rsidP="009D186A">
            <w:pPr>
              <w:rPr>
                <w:sz w:val="20"/>
                <w:szCs w:val="20"/>
              </w:rPr>
            </w:pPr>
            <w:r>
              <w:rPr>
                <w:sz w:val="20"/>
                <w:szCs w:val="20"/>
              </w:rPr>
              <w:t>33</w:t>
            </w:r>
          </w:p>
        </w:tc>
      </w:tr>
      <w:tr w:rsidR="009C5326" w:rsidTr="00852F0A">
        <w:tc>
          <w:tcPr>
            <w:tcW w:w="2310" w:type="dxa"/>
            <w:vAlign w:val="center"/>
          </w:tcPr>
          <w:p w:rsidR="009C5326" w:rsidRPr="007107A7" w:rsidRDefault="009C5326" w:rsidP="00852F0A">
            <w:pPr>
              <w:rPr>
                <w:sz w:val="20"/>
                <w:szCs w:val="20"/>
              </w:rPr>
            </w:pPr>
            <w:r w:rsidRPr="007107A7">
              <w:rPr>
                <w:sz w:val="20"/>
                <w:szCs w:val="20"/>
              </w:rPr>
              <w:t>State/</w:t>
            </w:r>
            <w:r w:rsidR="0037370A">
              <w:rPr>
                <w:sz w:val="20"/>
                <w:szCs w:val="20"/>
              </w:rPr>
              <w:t>territory</w:t>
            </w:r>
            <w:r w:rsidRPr="007107A7">
              <w:rPr>
                <w:sz w:val="20"/>
                <w:szCs w:val="20"/>
              </w:rPr>
              <w:t xml:space="preserve"> and </w:t>
            </w:r>
            <w:r w:rsidR="000E54EA">
              <w:rPr>
                <w:sz w:val="20"/>
                <w:szCs w:val="20"/>
              </w:rPr>
              <w:t>local</w:t>
            </w:r>
            <w:r w:rsidRPr="0037370A">
              <w:rPr>
                <w:sz w:val="20"/>
                <w:szCs w:val="20"/>
              </w:rPr>
              <w:t xml:space="preserve"> </w:t>
            </w:r>
            <w:r w:rsidR="000E54EA">
              <w:rPr>
                <w:sz w:val="20"/>
                <w:szCs w:val="20"/>
              </w:rPr>
              <w:t>government</w:t>
            </w:r>
            <w:r w:rsidRPr="007107A7">
              <w:rPr>
                <w:sz w:val="20"/>
                <w:szCs w:val="20"/>
              </w:rPr>
              <w:t xml:space="preserve"> managed</w:t>
            </w:r>
          </w:p>
        </w:tc>
        <w:tc>
          <w:tcPr>
            <w:tcW w:w="2051" w:type="dxa"/>
            <w:vAlign w:val="center"/>
          </w:tcPr>
          <w:p w:rsidR="009C5326" w:rsidRPr="007107A7" w:rsidRDefault="009C5326" w:rsidP="009D186A">
            <w:pPr>
              <w:rPr>
                <w:sz w:val="20"/>
                <w:szCs w:val="20"/>
              </w:rPr>
            </w:pPr>
            <w:r>
              <w:rPr>
                <w:sz w:val="20"/>
                <w:szCs w:val="20"/>
              </w:rPr>
              <w:t>10</w:t>
            </w:r>
          </w:p>
        </w:tc>
        <w:tc>
          <w:tcPr>
            <w:tcW w:w="2126" w:type="dxa"/>
            <w:vAlign w:val="center"/>
          </w:tcPr>
          <w:p w:rsidR="009C5326" w:rsidRPr="007107A7" w:rsidRDefault="009C5326" w:rsidP="009D186A">
            <w:pPr>
              <w:rPr>
                <w:sz w:val="20"/>
                <w:szCs w:val="20"/>
              </w:rPr>
            </w:pPr>
            <w:r>
              <w:rPr>
                <w:sz w:val="20"/>
                <w:szCs w:val="20"/>
              </w:rPr>
              <w:t xml:space="preserve">30 </w:t>
            </w:r>
          </w:p>
        </w:tc>
        <w:tc>
          <w:tcPr>
            <w:tcW w:w="1985" w:type="dxa"/>
            <w:vAlign w:val="center"/>
          </w:tcPr>
          <w:p w:rsidR="009C5326" w:rsidRPr="007107A7" w:rsidRDefault="009C5326" w:rsidP="009D186A">
            <w:pPr>
              <w:rPr>
                <w:sz w:val="20"/>
                <w:szCs w:val="20"/>
              </w:rPr>
            </w:pPr>
            <w:r>
              <w:rPr>
                <w:sz w:val="20"/>
                <w:szCs w:val="20"/>
              </w:rPr>
              <w:t>59</w:t>
            </w:r>
          </w:p>
        </w:tc>
      </w:tr>
      <w:tr w:rsidR="009C5326" w:rsidTr="00852F0A">
        <w:tc>
          <w:tcPr>
            <w:tcW w:w="2310" w:type="dxa"/>
            <w:vAlign w:val="center"/>
          </w:tcPr>
          <w:p w:rsidR="009C5326" w:rsidRPr="007107A7" w:rsidRDefault="009C5326" w:rsidP="0054415A">
            <w:pPr>
              <w:rPr>
                <w:sz w:val="20"/>
                <w:szCs w:val="20"/>
              </w:rPr>
            </w:pPr>
            <w:r w:rsidRPr="007107A7">
              <w:rPr>
                <w:sz w:val="20"/>
                <w:szCs w:val="20"/>
              </w:rPr>
              <w:t>State/</w:t>
            </w:r>
            <w:r w:rsidR="0037370A">
              <w:rPr>
                <w:sz w:val="20"/>
                <w:szCs w:val="20"/>
              </w:rPr>
              <w:t>territory</w:t>
            </w:r>
            <w:r w:rsidRPr="007107A7">
              <w:rPr>
                <w:sz w:val="20"/>
                <w:szCs w:val="20"/>
              </w:rPr>
              <w:t xml:space="preserve"> government schools</w:t>
            </w:r>
          </w:p>
        </w:tc>
        <w:tc>
          <w:tcPr>
            <w:tcW w:w="2051" w:type="dxa"/>
            <w:vAlign w:val="center"/>
          </w:tcPr>
          <w:p w:rsidR="009C5326" w:rsidRPr="007107A7" w:rsidRDefault="009C5326" w:rsidP="009D186A">
            <w:pPr>
              <w:rPr>
                <w:sz w:val="20"/>
                <w:szCs w:val="20"/>
              </w:rPr>
            </w:pPr>
            <w:r>
              <w:rPr>
                <w:sz w:val="20"/>
                <w:szCs w:val="20"/>
              </w:rPr>
              <w:t>30</w:t>
            </w:r>
          </w:p>
        </w:tc>
        <w:tc>
          <w:tcPr>
            <w:tcW w:w="2126" w:type="dxa"/>
            <w:vAlign w:val="center"/>
          </w:tcPr>
          <w:p w:rsidR="009C5326" w:rsidRPr="007107A7" w:rsidRDefault="00906059" w:rsidP="009D186A">
            <w:pPr>
              <w:rPr>
                <w:sz w:val="20"/>
                <w:szCs w:val="20"/>
              </w:rPr>
            </w:pPr>
            <w:r>
              <w:rPr>
                <w:sz w:val="20"/>
                <w:szCs w:val="20"/>
              </w:rPr>
              <w:t>39</w:t>
            </w:r>
          </w:p>
        </w:tc>
        <w:tc>
          <w:tcPr>
            <w:tcW w:w="1985" w:type="dxa"/>
            <w:vAlign w:val="center"/>
          </w:tcPr>
          <w:p w:rsidR="009C5326" w:rsidRPr="007107A7" w:rsidRDefault="009C5326" w:rsidP="009D186A">
            <w:pPr>
              <w:rPr>
                <w:sz w:val="20"/>
                <w:szCs w:val="20"/>
              </w:rPr>
            </w:pPr>
            <w:r>
              <w:rPr>
                <w:sz w:val="20"/>
                <w:szCs w:val="20"/>
              </w:rPr>
              <w:t>31</w:t>
            </w:r>
          </w:p>
        </w:tc>
      </w:tr>
      <w:tr w:rsidR="009C5326" w:rsidTr="00852F0A">
        <w:tc>
          <w:tcPr>
            <w:tcW w:w="2310" w:type="dxa"/>
            <w:vAlign w:val="center"/>
          </w:tcPr>
          <w:p w:rsidR="009C5326" w:rsidRPr="007107A7" w:rsidRDefault="009C5326" w:rsidP="00852F0A">
            <w:pPr>
              <w:rPr>
                <w:sz w:val="20"/>
                <w:szCs w:val="20"/>
              </w:rPr>
            </w:pPr>
            <w:r w:rsidRPr="007107A7">
              <w:rPr>
                <w:sz w:val="20"/>
                <w:szCs w:val="20"/>
              </w:rPr>
              <w:t xml:space="preserve">Independent schools </w:t>
            </w:r>
          </w:p>
        </w:tc>
        <w:tc>
          <w:tcPr>
            <w:tcW w:w="2051" w:type="dxa"/>
            <w:vAlign w:val="center"/>
          </w:tcPr>
          <w:p w:rsidR="009C5326" w:rsidRPr="007107A7" w:rsidRDefault="009C5326" w:rsidP="009D186A">
            <w:pPr>
              <w:rPr>
                <w:sz w:val="20"/>
                <w:szCs w:val="20"/>
              </w:rPr>
            </w:pPr>
            <w:r>
              <w:rPr>
                <w:sz w:val="20"/>
                <w:szCs w:val="20"/>
              </w:rPr>
              <w:t>22</w:t>
            </w:r>
          </w:p>
        </w:tc>
        <w:tc>
          <w:tcPr>
            <w:tcW w:w="2126" w:type="dxa"/>
            <w:vAlign w:val="center"/>
          </w:tcPr>
          <w:p w:rsidR="009C5326" w:rsidRPr="007107A7" w:rsidRDefault="009C5326" w:rsidP="009D186A">
            <w:pPr>
              <w:rPr>
                <w:sz w:val="20"/>
                <w:szCs w:val="20"/>
              </w:rPr>
            </w:pPr>
            <w:r>
              <w:rPr>
                <w:sz w:val="20"/>
                <w:szCs w:val="20"/>
              </w:rPr>
              <w:t>26</w:t>
            </w:r>
          </w:p>
        </w:tc>
        <w:tc>
          <w:tcPr>
            <w:tcW w:w="1985" w:type="dxa"/>
            <w:vAlign w:val="center"/>
          </w:tcPr>
          <w:p w:rsidR="009C5326" w:rsidRPr="007107A7" w:rsidRDefault="009C5326" w:rsidP="009D186A">
            <w:pPr>
              <w:rPr>
                <w:sz w:val="20"/>
                <w:szCs w:val="20"/>
              </w:rPr>
            </w:pPr>
            <w:r>
              <w:rPr>
                <w:sz w:val="20"/>
                <w:szCs w:val="20"/>
              </w:rPr>
              <w:t>50</w:t>
            </w:r>
          </w:p>
        </w:tc>
      </w:tr>
      <w:tr w:rsidR="009C5326" w:rsidTr="00852F0A">
        <w:tc>
          <w:tcPr>
            <w:tcW w:w="2310" w:type="dxa"/>
            <w:vAlign w:val="center"/>
          </w:tcPr>
          <w:p w:rsidR="009C5326" w:rsidRPr="007107A7" w:rsidRDefault="009C5326" w:rsidP="00852F0A">
            <w:pPr>
              <w:rPr>
                <w:sz w:val="20"/>
                <w:szCs w:val="20"/>
              </w:rPr>
            </w:pPr>
            <w:r w:rsidRPr="007107A7">
              <w:rPr>
                <w:sz w:val="20"/>
                <w:szCs w:val="20"/>
              </w:rPr>
              <w:t xml:space="preserve">Catholic </w:t>
            </w:r>
            <w:r w:rsidR="0080244E" w:rsidRPr="00D41DEB">
              <w:rPr>
                <w:sz w:val="20"/>
                <w:szCs w:val="20"/>
              </w:rPr>
              <w:t>s</w:t>
            </w:r>
            <w:r w:rsidRPr="007107A7">
              <w:rPr>
                <w:sz w:val="20"/>
                <w:szCs w:val="20"/>
              </w:rPr>
              <w:t xml:space="preserve">chools </w:t>
            </w:r>
          </w:p>
        </w:tc>
        <w:tc>
          <w:tcPr>
            <w:tcW w:w="2051" w:type="dxa"/>
            <w:vAlign w:val="center"/>
          </w:tcPr>
          <w:p w:rsidR="009C5326" w:rsidRPr="007107A7" w:rsidRDefault="009C5326" w:rsidP="009D186A">
            <w:pPr>
              <w:rPr>
                <w:sz w:val="20"/>
                <w:szCs w:val="20"/>
              </w:rPr>
            </w:pPr>
            <w:r>
              <w:rPr>
                <w:sz w:val="20"/>
                <w:szCs w:val="20"/>
              </w:rPr>
              <w:t>36</w:t>
            </w:r>
          </w:p>
        </w:tc>
        <w:tc>
          <w:tcPr>
            <w:tcW w:w="2126" w:type="dxa"/>
            <w:vAlign w:val="center"/>
          </w:tcPr>
          <w:p w:rsidR="009C5326" w:rsidRPr="007107A7" w:rsidRDefault="009C5326" w:rsidP="009D186A">
            <w:pPr>
              <w:rPr>
                <w:sz w:val="20"/>
                <w:szCs w:val="20"/>
              </w:rPr>
            </w:pPr>
            <w:r>
              <w:rPr>
                <w:sz w:val="20"/>
                <w:szCs w:val="20"/>
              </w:rPr>
              <w:t>36</w:t>
            </w:r>
          </w:p>
        </w:tc>
        <w:tc>
          <w:tcPr>
            <w:tcW w:w="1985" w:type="dxa"/>
            <w:vAlign w:val="center"/>
          </w:tcPr>
          <w:p w:rsidR="009C5326" w:rsidRPr="007107A7" w:rsidRDefault="009C5326" w:rsidP="009D186A">
            <w:pPr>
              <w:rPr>
                <w:sz w:val="20"/>
                <w:szCs w:val="20"/>
              </w:rPr>
            </w:pPr>
            <w:r>
              <w:rPr>
                <w:sz w:val="20"/>
                <w:szCs w:val="20"/>
              </w:rPr>
              <w:t>28</w:t>
            </w:r>
          </w:p>
        </w:tc>
      </w:tr>
    </w:tbl>
    <w:p w:rsidR="0067291C" w:rsidRDefault="00375FB1" w:rsidP="00375FB1">
      <w:pPr>
        <w:rPr>
          <w:sz w:val="16"/>
          <w:szCs w:val="16"/>
        </w:rPr>
      </w:pPr>
      <w:r w:rsidRPr="00A516DA">
        <w:rPr>
          <w:b/>
          <w:i/>
          <w:sz w:val="16"/>
          <w:szCs w:val="16"/>
        </w:rPr>
        <w:t>Source:</w:t>
      </w:r>
      <w:r w:rsidRPr="007107A7">
        <w:rPr>
          <w:sz w:val="16"/>
          <w:szCs w:val="16"/>
        </w:rPr>
        <w:t xml:space="preserve"> ACECQA </w:t>
      </w:r>
      <w:r w:rsidR="00E14E47">
        <w:rPr>
          <w:sz w:val="16"/>
          <w:szCs w:val="16"/>
        </w:rPr>
        <w:t>S</w:t>
      </w:r>
      <w:r w:rsidRPr="007107A7">
        <w:rPr>
          <w:sz w:val="16"/>
          <w:szCs w:val="16"/>
        </w:rPr>
        <w:t>napshot</w:t>
      </w:r>
      <w:r w:rsidR="009C5326">
        <w:rPr>
          <w:sz w:val="16"/>
          <w:szCs w:val="16"/>
        </w:rPr>
        <w:t xml:space="preserve"> Q3</w:t>
      </w:r>
      <w:r w:rsidR="00E14E47">
        <w:rPr>
          <w:sz w:val="16"/>
          <w:szCs w:val="16"/>
        </w:rPr>
        <w:t xml:space="preserve"> 2017</w:t>
      </w:r>
      <w:r w:rsidR="001214FD">
        <w:rPr>
          <w:sz w:val="16"/>
          <w:szCs w:val="16"/>
        </w:rPr>
        <w:t>.</w:t>
      </w:r>
      <w:r w:rsidR="0054415A">
        <w:rPr>
          <w:sz w:val="16"/>
          <w:szCs w:val="16"/>
        </w:rPr>
        <w:t xml:space="preserve"> </w:t>
      </w:r>
      <w:r w:rsidR="004239E1">
        <w:rPr>
          <w:sz w:val="16"/>
          <w:szCs w:val="16"/>
        </w:rPr>
        <w:t xml:space="preserve">Note </w:t>
      </w:r>
      <w:r w:rsidR="0054415A">
        <w:rPr>
          <w:sz w:val="16"/>
          <w:szCs w:val="16"/>
        </w:rPr>
        <w:t xml:space="preserve">this includes all assessed early childhood services (for example, </w:t>
      </w:r>
      <w:r w:rsidR="004239E1">
        <w:rPr>
          <w:sz w:val="16"/>
          <w:szCs w:val="16"/>
        </w:rPr>
        <w:t>outside school hours care</w:t>
      </w:r>
      <w:r w:rsidR="0054415A">
        <w:rPr>
          <w:sz w:val="16"/>
          <w:szCs w:val="16"/>
        </w:rPr>
        <w:t>).</w:t>
      </w:r>
      <w:r w:rsidR="004239E1">
        <w:rPr>
          <w:sz w:val="16"/>
          <w:szCs w:val="16"/>
        </w:rPr>
        <w:t xml:space="preserve"> </w:t>
      </w:r>
    </w:p>
    <w:p w:rsidR="00375FB1" w:rsidRPr="00A516DA" w:rsidRDefault="00375FB1" w:rsidP="00375FB1">
      <w:pPr>
        <w:rPr>
          <w:b/>
        </w:rPr>
      </w:pPr>
      <w:r w:rsidRPr="00A516DA">
        <w:rPr>
          <w:b/>
        </w:rPr>
        <w:t xml:space="preserve">Table </w:t>
      </w:r>
      <w:r w:rsidR="0032188A" w:rsidRPr="00A516DA">
        <w:rPr>
          <w:b/>
        </w:rPr>
        <w:t>4:</w:t>
      </w:r>
      <w:r w:rsidRPr="00A516DA">
        <w:rPr>
          <w:b/>
        </w:rPr>
        <w:t xml:space="preserve"> Quality ratings for long day care and preschool</w:t>
      </w:r>
      <w:r w:rsidR="000D39F3" w:rsidRPr="00A516DA">
        <w:rPr>
          <w:b/>
        </w:rPr>
        <w:t xml:space="preserve"> services</w:t>
      </w:r>
    </w:p>
    <w:tbl>
      <w:tblPr>
        <w:tblStyle w:val="TableGrid"/>
        <w:tblW w:w="0" w:type="auto"/>
        <w:tblLook w:val="04A0" w:firstRow="1" w:lastRow="0" w:firstColumn="1" w:lastColumn="0" w:noHBand="0" w:noVBand="1"/>
      </w:tblPr>
      <w:tblGrid>
        <w:gridCol w:w="2376"/>
        <w:gridCol w:w="1985"/>
        <w:gridCol w:w="2126"/>
        <w:gridCol w:w="1985"/>
      </w:tblGrid>
      <w:tr w:rsidR="00375FB1" w:rsidRPr="007107A7" w:rsidTr="00852F0A">
        <w:tc>
          <w:tcPr>
            <w:tcW w:w="2376" w:type="dxa"/>
          </w:tcPr>
          <w:p w:rsidR="00375FB1" w:rsidRPr="007107A7" w:rsidRDefault="00375FB1" w:rsidP="00852F0A">
            <w:pPr>
              <w:rPr>
                <w:b/>
                <w:sz w:val="20"/>
                <w:szCs w:val="20"/>
              </w:rPr>
            </w:pPr>
            <w:r w:rsidRPr="007107A7">
              <w:rPr>
                <w:b/>
                <w:sz w:val="20"/>
                <w:szCs w:val="20"/>
              </w:rPr>
              <w:t>Service type</w:t>
            </w:r>
          </w:p>
          <w:p w:rsidR="00375FB1" w:rsidRPr="007107A7" w:rsidRDefault="00375FB1" w:rsidP="00852F0A">
            <w:pPr>
              <w:rPr>
                <w:sz w:val="20"/>
                <w:szCs w:val="20"/>
              </w:rPr>
            </w:pPr>
          </w:p>
        </w:tc>
        <w:tc>
          <w:tcPr>
            <w:tcW w:w="1985" w:type="dxa"/>
          </w:tcPr>
          <w:p w:rsidR="00375FB1" w:rsidRPr="007107A7" w:rsidRDefault="00375FB1" w:rsidP="00852F0A">
            <w:pPr>
              <w:rPr>
                <w:sz w:val="20"/>
                <w:szCs w:val="20"/>
              </w:rPr>
            </w:pPr>
            <w:r w:rsidRPr="007107A7">
              <w:rPr>
                <w:sz w:val="20"/>
                <w:szCs w:val="20"/>
              </w:rPr>
              <w:t>Working towards National Quality Standard (%)</w:t>
            </w:r>
          </w:p>
        </w:tc>
        <w:tc>
          <w:tcPr>
            <w:tcW w:w="2126" w:type="dxa"/>
          </w:tcPr>
          <w:p w:rsidR="00375FB1" w:rsidRPr="007107A7" w:rsidRDefault="00375FB1" w:rsidP="00852F0A">
            <w:pPr>
              <w:rPr>
                <w:sz w:val="20"/>
                <w:szCs w:val="20"/>
              </w:rPr>
            </w:pPr>
            <w:r w:rsidRPr="007107A7">
              <w:rPr>
                <w:sz w:val="20"/>
                <w:szCs w:val="20"/>
              </w:rPr>
              <w:t>Meeting National Quality Standard</w:t>
            </w:r>
            <w:r w:rsidR="00AD4E3E">
              <w:rPr>
                <w:sz w:val="20"/>
                <w:szCs w:val="20"/>
              </w:rPr>
              <w:t xml:space="preserve"> </w:t>
            </w:r>
            <w:r w:rsidRPr="007107A7">
              <w:rPr>
                <w:sz w:val="20"/>
                <w:szCs w:val="20"/>
              </w:rPr>
              <w:t>(%)</w:t>
            </w:r>
          </w:p>
        </w:tc>
        <w:tc>
          <w:tcPr>
            <w:tcW w:w="1985" w:type="dxa"/>
          </w:tcPr>
          <w:p w:rsidR="00375FB1" w:rsidRPr="007107A7" w:rsidRDefault="00375FB1" w:rsidP="00852F0A">
            <w:pPr>
              <w:rPr>
                <w:sz w:val="20"/>
                <w:szCs w:val="20"/>
              </w:rPr>
            </w:pPr>
            <w:r w:rsidRPr="007107A7">
              <w:rPr>
                <w:sz w:val="20"/>
                <w:szCs w:val="20"/>
              </w:rPr>
              <w:t>Exceeding National Quality Standard (%)</w:t>
            </w:r>
          </w:p>
        </w:tc>
      </w:tr>
      <w:tr w:rsidR="00D23DEB" w:rsidRPr="007107A7" w:rsidTr="00852F0A">
        <w:tc>
          <w:tcPr>
            <w:tcW w:w="2376" w:type="dxa"/>
          </w:tcPr>
          <w:p w:rsidR="00D23DEB" w:rsidRPr="007107A7" w:rsidRDefault="00D23DEB" w:rsidP="00852F0A">
            <w:pPr>
              <w:rPr>
                <w:sz w:val="20"/>
                <w:szCs w:val="20"/>
              </w:rPr>
            </w:pPr>
            <w:r>
              <w:rPr>
                <w:sz w:val="20"/>
                <w:szCs w:val="20"/>
              </w:rPr>
              <w:t>Long Day Care</w:t>
            </w:r>
          </w:p>
        </w:tc>
        <w:tc>
          <w:tcPr>
            <w:tcW w:w="1985" w:type="dxa"/>
          </w:tcPr>
          <w:p w:rsidR="00D23DEB" w:rsidRPr="007107A7" w:rsidRDefault="00D23DEB" w:rsidP="009D186A">
            <w:pPr>
              <w:rPr>
                <w:sz w:val="20"/>
                <w:szCs w:val="20"/>
              </w:rPr>
            </w:pPr>
            <w:r>
              <w:rPr>
                <w:sz w:val="20"/>
                <w:szCs w:val="20"/>
              </w:rPr>
              <w:t>25</w:t>
            </w:r>
          </w:p>
        </w:tc>
        <w:tc>
          <w:tcPr>
            <w:tcW w:w="2126" w:type="dxa"/>
          </w:tcPr>
          <w:p w:rsidR="00D23DEB" w:rsidRPr="007107A7" w:rsidRDefault="00D23DEB" w:rsidP="00D23DEB">
            <w:pPr>
              <w:rPr>
                <w:sz w:val="20"/>
                <w:szCs w:val="20"/>
              </w:rPr>
            </w:pPr>
            <w:r>
              <w:rPr>
                <w:sz w:val="20"/>
                <w:szCs w:val="20"/>
              </w:rPr>
              <w:t>44</w:t>
            </w:r>
          </w:p>
        </w:tc>
        <w:tc>
          <w:tcPr>
            <w:tcW w:w="1985" w:type="dxa"/>
          </w:tcPr>
          <w:p w:rsidR="00D23DEB" w:rsidRPr="007107A7" w:rsidRDefault="00D23DEB" w:rsidP="009D186A">
            <w:pPr>
              <w:rPr>
                <w:sz w:val="20"/>
                <w:szCs w:val="20"/>
              </w:rPr>
            </w:pPr>
            <w:r>
              <w:rPr>
                <w:sz w:val="20"/>
                <w:szCs w:val="20"/>
              </w:rPr>
              <w:t>31</w:t>
            </w:r>
          </w:p>
        </w:tc>
      </w:tr>
      <w:tr w:rsidR="00D23DEB" w:rsidRPr="007107A7" w:rsidTr="00852F0A">
        <w:tc>
          <w:tcPr>
            <w:tcW w:w="2376" w:type="dxa"/>
          </w:tcPr>
          <w:p w:rsidR="00D23DEB" w:rsidRPr="007107A7" w:rsidRDefault="00D23DEB" w:rsidP="00852F0A">
            <w:pPr>
              <w:rPr>
                <w:sz w:val="20"/>
                <w:szCs w:val="20"/>
              </w:rPr>
            </w:pPr>
            <w:r>
              <w:rPr>
                <w:sz w:val="20"/>
                <w:szCs w:val="20"/>
              </w:rPr>
              <w:t>Preschools</w:t>
            </w:r>
          </w:p>
        </w:tc>
        <w:tc>
          <w:tcPr>
            <w:tcW w:w="1985" w:type="dxa"/>
          </w:tcPr>
          <w:p w:rsidR="00D23DEB" w:rsidRPr="007107A7" w:rsidRDefault="00D23DEB" w:rsidP="009D186A">
            <w:pPr>
              <w:rPr>
                <w:sz w:val="20"/>
                <w:szCs w:val="20"/>
              </w:rPr>
            </w:pPr>
            <w:r>
              <w:rPr>
                <w:sz w:val="20"/>
                <w:szCs w:val="20"/>
              </w:rPr>
              <w:t>8</w:t>
            </w:r>
          </w:p>
        </w:tc>
        <w:tc>
          <w:tcPr>
            <w:tcW w:w="2126" w:type="dxa"/>
          </w:tcPr>
          <w:p w:rsidR="00D23DEB" w:rsidRPr="007107A7" w:rsidRDefault="00D23DEB" w:rsidP="009D186A">
            <w:pPr>
              <w:rPr>
                <w:sz w:val="20"/>
                <w:szCs w:val="20"/>
              </w:rPr>
            </w:pPr>
            <w:r>
              <w:rPr>
                <w:sz w:val="20"/>
                <w:szCs w:val="20"/>
              </w:rPr>
              <w:t>33</w:t>
            </w:r>
          </w:p>
        </w:tc>
        <w:tc>
          <w:tcPr>
            <w:tcW w:w="1985" w:type="dxa"/>
          </w:tcPr>
          <w:p w:rsidR="00D23DEB" w:rsidRPr="007107A7" w:rsidRDefault="00D23DEB" w:rsidP="00D23DEB">
            <w:pPr>
              <w:rPr>
                <w:sz w:val="20"/>
                <w:szCs w:val="20"/>
              </w:rPr>
            </w:pPr>
            <w:r>
              <w:rPr>
                <w:sz w:val="20"/>
                <w:szCs w:val="20"/>
              </w:rPr>
              <w:t>58</w:t>
            </w:r>
          </w:p>
        </w:tc>
      </w:tr>
    </w:tbl>
    <w:p w:rsidR="00375FB1" w:rsidRPr="00C87D49" w:rsidRDefault="00D23DEB" w:rsidP="00375FB1">
      <w:pPr>
        <w:rPr>
          <w:sz w:val="16"/>
          <w:szCs w:val="16"/>
        </w:rPr>
      </w:pPr>
      <w:r w:rsidRPr="00A516DA">
        <w:rPr>
          <w:b/>
          <w:i/>
          <w:sz w:val="16"/>
          <w:szCs w:val="16"/>
        </w:rPr>
        <w:t>Source:</w:t>
      </w:r>
      <w:r>
        <w:rPr>
          <w:sz w:val="16"/>
          <w:szCs w:val="16"/>
        </w:rPr>
        <w:t xml:space="preserve"> ACECQA </w:t>
      </w:r>
      <w:r w:rsidR="00E14E47">
        <w:rPr>
          <w:sz w:val="16"/>
          <w:szCs w:val="16"/>
        </w:rPr>
        <w:t>S</w:t>
      </w:r>
      <w:r>
        <w:rPr>
          <w:sz w:val="16"/>
          <w:szCs w:val="16"/>
        </w:rPr>
        <w:t>napshot Q3</w:t>
      </w:r>
      <w:r w:rsidR="00E14E47">
        <w:rPr>
          <w:sz w:val="16"/>
          <w:szCs w:val="16"/>
        </w:rPr>
        <w:t xml:space="preserve"> 2017.</w:t>
      </w:r>
    </w:p>
    <w:p w:rsidR="00375FB1" w:rsidRDefault="00375FB1" w:rsidP="00375FB1">
      <w:r>
        <w:t>Long day care services are also more likely to be the subject of substantiated breaches arising from complaints to the regulatory authority</w:t>
      </w:r>
      <w:r w:rsidR="0080244E" w:rsidRPr="00D41DEB">
        <w:t xml:space="preserve"> –</w:t>
      </w:r>
      <w:r>
        <w:t>with 28 per cent of the 6</w:t>
      </w:r>
      <w:r w:rsidR="00627814">
        <w:t>,</w:t>
      </w:r>
      <w:r>
        <w:t>927</w:t>
      </w:r>
      <w:r w:rsidRPr="00D41DEB">
        <w:t xml:space="preserve"> </w:t>
      </w:r>
      <w:r>
        <w:t xml:space="preserve">long day care services in Australia subject to substantiated breaches in 2015-16 compared </w:t>
      </w:r>
      <w:r w:rsidR="0080244E" w:rsidRPr="00D41DEB">
        <w:t xml:space="preserve">with </w:t>
      </w:r>
      <w:r w:rsidR="00835C89">
        <w:t>two</w:t>
      </w:r>
      <w:r>
        <w:t xml:space="preserve"> per cent of the 3</w:t>
      </w:r>
      <w:r w:rsidR="00627814">
        <w:t>,</w:t>
      </w:r>
      <w:r>
        <w:t>962 preschools</w:t>
      </w:r>
      <w:r w:rsidR="0094711A">
        <w:t>.</w:t>
      </w:r>
      <w:r>
        <w:rPr>
          <w:rStyle w:val="EndnoteReference"/>
        </w:rPr>
        <w:endnoteReference w:id="86"/>
      </w:r>
      <w:r w:rsidR="0094711A">
        <w:t xml:space="preserve"> </w:t>
      </w:r>
      <w:r w:rsidR="00352B2C">
        <w:t>Although the materiality of a substantiated breach can vary, these figures are of real concern g</w:t>
      </w:r>
      <w:r>
        <w:t xml:space="preserve">iven the large number of children attending long day care services. </w:t>
      </w:r>
    </w:p>
    <w:p w:rsidR="00375FB1" w:rsidRDefault="00375FB1" w:rsidP="00375FB1">
      <w:r>
        <w:t xml:space="preserve">In addition, there are particular quality challenges facing children from a disadvantaged or remote background. Perhaps contributing to lower rates of participation, families </w:t>
      </w:r>
      <w:r w:rsidR="001B796C">
        <w:t xml:space="preserve">in low socio-economic areas </w:t>
      </w:r>
      <w:r>
        <w:t xml:space="preserve">generally </w:t>
      </w:r>
      <w:r w:rsidRPr="00E22BB4">
        <w:t xml:space="preserve">have fewer and lower quality early childhood education and care services available </w:t>
      </w:r>
      <w:r>
        <w:t>in their area</w:t>
      </w:r>
      <w:r w:rsidR="00362205">
        <w:t>.</w:t>
      </w:r>
      <w:r>
        <w:rPr>
          <w:rStyle w:val="EndnoteReference"/>
        </w:rPr>
        <w:endnoteReference w:id="87"/>
      </w:r>
      <w:r>
        <w:t xml:space="preserve"> Given the link between quality and outcomes (</w:t>
      </w:r>
      <w:r w:rsidRPr="00B20811">
        <w:t xml:space="preserve">see page </w:t>
      </w:r>
      <w:r w:rsidR="006727FC">
        <w:t>49</w:t>
      </w:r>
      <w:r>
        <w:t>), this is particularly concerning</w:t>
      </w:r>
      <w:r w:rsidR="001D245A">
        <w:t>. P</w:t>
      </w:r>
      <w:r>
        <w:t xml:space="preserve">roviding already disadvantaged children access to lower quality services </w:t>
      </w:r>
      <w:r w:rsidR="001B796C">
        <w:t>can</w:t>
      </w:r>
      <w:r w:rsidR="003C37BA">
        <w:t xml:space="preserve"> </w:t>
      </w:r>
      <w:r>
        <w:t xml:space="preserve">compound the effects of disadvantage, rather than </w:t>
      </w:r>
      <w:r w:rsidR="002F0CA9">
        <w:t xml:space="preserve">ameliorate </w:t>
      </w:r>
      <w:r w:rsidR="001B796C">
        <w:t>them</w:t>
      </w:r>
      <w:r>
        <w:t xml:space="preserve">. </w:t>
      </w:r>
    </w:p>
    <w:p w:rsidR="00375FB1" w:rsidRPr="00DA0874" w:rsidRDefault="00375FB1" w:rsidP="00375FB1">
      <w:pPr>
        <w:rPr>
          <w:rFonts w:cstheme="minorHAnsi"/>
        </w:rPr>
      </w:pPr>
      <w:r>
        <w:t xml:space="preserve">Likewise, families living in remote areas </w:t>
      </w:r>
      <w:r w:rsidR="00D23DEB">
        <w:t xml:space="preserve">tend to </w:t>
      </w:r>
      <w:r>
        <w:t xml:space="preserve">have lower quality </w:t>
      </w:r>
      <w:r w:rsidRPr="00E22BB4">
        <w:t>early childhood education and care services available</w:t>
      </w:r>
      <w:r>
        <w:t xml:space="preserve">, with only </w:t>
      </w:r>
      <w:r w:rsidR="00D23DEB">
        <w:t xml:space="preserve">25 per cent of remote </w:t>
      </w:r>
      <w:r>
        <w:t xml:space="preserve">services </w:t>
      </w:r>
      <w:r w:rsidR="00D23DEB">
        <w:t xml:space="preserve">and 17 per cent of very remote services </w:t>
      </w:r>
      <w:r>
        <w:t>exceeding the National Qu</w:t>
      </w:r>
      <w:r w:rsidR="00D23DEB">
        <w:t>ality Standard, compared with 33</w:t>
      </w:r>
      <w:r>
        <w:t xml:space="preserve"> per cent of services in major cities</w:t>
      </w:r>
      <w:r w:rsidR="00A657A0">
        <w:t xml:space="preserve"> and inner regional Australia</w:t>
      </w:r>
      <w:r>
        <w:t>.</w:t>
      </w:r>
    </w:p>
    <w:p w:rsidR="00C332DF" w:rsidRDefault="00C332DF" w:rsidP="00A516DA">
      <w:pPr>
        <w:spacing w:line="276" w:lineRule="auto"/>
        <w:rPr>
          <w:i/>
        </w:rPr>
      </w:pPr>
      <w:r>
        <w:rPr>
          <w:i/>
        </w:rPr>
        <w:t>Female workforce participation</w:t>
      </w:r>
    </w:p>
    <w:p w:rsidR="00C332DF" w:rsidRPr="00AE7C95" w:rsidRDefault="00C332DF" w:rsidP="00C332DF">
      <w:r>
        <w:t xml:space="preserve">Access to early childhood education and care for children increases opportunities for parents, especially mothers, to participate in the workforce. </w:t>
      </w:r>
      <w:r w:rsidR="00CB24A6" w:rsidRPr="00CB24A6">
        <w:t>Women’s disproportionate responsibility for caring for children, combined with the lack of appropriate, affordable early childhood education and care</w:t>
      </w:r>
      <w:r w:rsidR="00627814">
        <w:t>,</w:t>
      </w:r>
      <w:r w:rsidR="00CB24A6" w:rsidRPr="00CB24A6">
        <w:t xml:space="preserve"> is a significant barrier to women being employed, or working more</w:t>
      </w:r>
      <w:r w:rsidR="00CB24A6">
        <w:t>.</w:t>
      </w:r>
      <w:r w:rsidR="00CB24A6">
        <w:rPr>
          <w:rStyle w:val="EndnoteReference"/>
        </w:rPr>
        <w:endnoteReference w:id="88"/>
      </w:r>
      <w:r w:rsidR="00CB24A6" w:rsidRPr="00CB24A6">
        <w:t xml:space="preserve"> </w:t>
      </w:r>
      <w:r w:rsidRPr="00AE7C95">
        <w:t xml:space="preserve">The </w:t>
      </w:r>
      <w:r w:rsidR="000E083B">
        <w:t>Commonwealth</w:t>
      </w:r>
      <w:r w:rsidR="000E083B" w:rsidRPr="00AE7C95">
        <w:t xml:space="preserve"> </w:t>
      </w:r>
      <w:r>
        <w:t>G</w:t>
      </w:r>
      <w:r w:rsidRPr="00AE7C95">
        <w:t xml:space="preserve">overnment </w:t>
      </w:r>
      <w:r>
        <w:t>ha</w:t>
      </w:r>
      <w:r w:rsidRPr="00AE7C95">
        <w:t>s committed to reducing the gender gap in labour force participation between men and women and has recently announced a strategy to boost</w:t>
      </w:r>
      <w:r>
        <w:t xml:space="preserve"> </w:t>
      </w:r>
      <w:r w:rsidRPr="00AE7C95">
        <w:t>women’s labour force participation</w:t>
      </w:r>
      <w:r>
        <w:t>.</w:t>
      </w:r>
      <w:r>
        <w:rPr>
          <w:rStyle w:val="EndnoteReference"/>
        </w:rPr>
        <w:endnoteReference w:id="89"/>
      </w:r>
    </w:p>
    <w:p w:rsidR="00C332DF" w:rsidRPr="003C70CA" w:rsidRDefault="00C332DF" w:rsidP="00C332DF">
      <w:pPr>
        <w:rPr>
          <w:rStyle w:val="Heading2Char"/>
          <w:rFonts w:asciiTheme="minorHAnsi" w:eastAsiaTheme="minorHAnsi" w:hAnsiTheme="minorHAnsi" w:cstheme="minorBidi"/>
          <w:b w:val="0"/>
          <w:bCs w:val="0"/>
          <w:sz w:val="22"/>
          <w:szCs w:val="22"/>
        </w:rPr>
      </w:pPr>
      <w:r>
        <w:t>A</w:t>
      </w:r>
      <w:r w:rsidRPr="00AE7C95">
        <w:t>nalysis of Census data shows increased employment for mothers of children i</w:t>
      </w:r>
      <w:r>
        <w:t>n each of the years before children are school age.</w:t>
      </w:r>
      <w:r>
        <w:rPr>
          <w:rStyle w:val="EndnoteReference"/>
        </w:rPr>
        <w:endnoteReference w:id="90"/>
      </w:r>
      <w:r>
        <w:t xml:space="preserve"> </w:t>
      </w:r>
      <w:r w:rsidRPr="00AE7C95">
        <w:t>Although part-time work is more prevalent than full-time work for mothers with children below school age, some mothers work full-time from the time their children are infants</w:t>
      </w:r>
      <w:r w:rsidR="00916A4A" w:rsidRPr="00820AA7">
        <w:t>,</w:t>
      </w:r>
      <w:r w:rsidR="006F6429">
        <w:t xml:space="preserve"> and </w:t>
      </w:r>
      <w:r w:rsidR="006F6429" w:rsidRPr="00AE7C95">
        <w:t>around one in five mothers whose youngest child is four or five years old now works full-time</w:t>
      </w:r>
      <w:r w:rsidR="006F6429">
        <w:t>.</w:t>
      </w:r>
      <w:r w:rsidRPr="00AE7C95">
        <w:t xml:space="preserve"> The proportion of mothers in full-time employment increases in line with the age of the youngest child, with full time</w:t>
      </w:r>
      <w:r>
        <w:t>-employment fairly steady at 14 per cent</w:t>
      </w:r>
      <w:r w:rsidRPr="00AE7C95">
        <w:t xml:space="preserve"> for m</w:t>
      </w:r>
      <w:r>
        <w:t>others whose youngest child is one</w:t>
      </w:r>
      <w:r w:rsidRPr="00AE7C95">
        <w:t xml:space="preserve"> year old, 15-17</w:t>
      </w:r>
      <w:r>
        <w:t xml:space="preserve"> per cent</w:t>
      </w:r>
      <w:r w:rsidRPr="00AE7C95">
        <w:t xml:space="preserve"> for those whose younges</w:t>
      </w:r>
      <w:r>
        <w:t>t is two years old, and so on.</w:t>
      </w:r>
      <w:r w:rsidRPr="00AE7C95">
        <w:t xml:space="preserve"> </w:t>
      </w:r>
    </w:p>
    <w:p w:rsidR="00375FB1" w:rsidRPr="00DA3BD1" w:rsidRDefault="00E14E47" w:rsidP="00375FB1">
      <w:pPr>
        <w:rPr>
          <w:rFonts w:cstheme="minorHAnsi"/>
          <w:i/>
        </w:rPr>
      </w:pPr>
      <w:r>
        <w:rPr>
          <w:rFonts w:cstheme="minorHAnsi"/>
          <w:i/>
        </w:rPr>
        <w:t>Early childhood o</w:t>
      </w:r>
      <w:r w:rsidR="00375FB1">
        <w:rPr>
          <w:rFonts w:cstheme="minorHAnsi"/>
          <w:i/>
        </w:rPr>
        <w:t xml:space="preserve">utcomes </w:t>
      </w:r>
    </w:p>
    <w:p w:rsidR="00375FB1" w:rsidRDefault="00375FB1" w:rsidP="00375FB1">
      <w:r w:rsidRPr="00DA3BD1">
        <w:t>There has been very limited improvement in the proportion of children developmentally vulnerable across th</w:t>
      </w:r>
      <w:r>
        <w:t xml:space="preserve">e three collections of the AEDC. Overall, the </w:t>
      </w:r>
      <w:r w:rsidRPr="00B8378E">
        <w:t>2015</w:t>
      </w:r>
      <w:r>
        <w:t xml:space="preserve"> AEDC results are very similar to those of 2012, with </w:t>
      </w:r>
      <w:r w:rsidRPr="00B8378E">
        <w:t>22</w:t>
      </w:r>
      <w:r>
        <w:t xml:space="preserve"> </w:t>
      </w:r>
      <w:r w:rsidRPr="00B8378E">
        <w:t>per cent (or approximately one in five) children in their first year of full-time schooling developmentally vu</w:t>
      </w:r>
      <w:r>
        <w:t>lnerable on one or more domains.</w:t>
      </w:r>
      <w:r w:rsidRPr="00B8378E">
        <w:rPr>
          <w:rStyle w:val="EndnoteReference"/>
        </w:rPr>
        <w:endnoteReference w:id="91"/>
      </w:r>
      <w:r>
        <w:t xml:space="preserve"> This was the same as 2012, although lower than 2009 (23.6 per cent).</w:t>
      </w:r>
      <w:r>
        <w:rPr>
          <w:rStyle w:val="EndnoteReference"/>
        </w:rPr>
        <w:endnoteReference w:id="92"/>
      </w:r>
      <w:r>
        <w:t xml:space="preserve"> </w:t>
      </w:r>
    </w:p>
    <w:p w:rsidR="00375FB1" w:rsidRPr="00EA1916" w:rsidRDefault="00375FB1" w:rsidP="00375FB1">
      <w:r>
        <w:t xml:space="preserve">Some groups are significantly overrepresented in developmental vulnerability at school entry, as </w:t>
      </w:r>
      <w:r w:rsidRPr="00BA7AF9">
        <w:t xml:space="preserve">Table </w:t>
      </w:r>
      <w:r w:rsidR="00BA7AF9" w:rsidRPr="00BA7AF9">
        <w:t>5</w:t>
      </w:r>
      <w:r w:rsidR="00BA7AF9" w:rsidRPr="00E5794B">
        <w:t xml:space="preserve"> </w:t>
      </w:r>
      <w:r w:rsidRPr="00EA1916">
        <w:t xml:space="preserve">shows. Such significant inequality of outcomes is a large concern. </w:t>
      </w:r>
    </w:p>
    <w:p w:rsidR="00AA3B4F" w:rsidRDefault="00AA3B4F" w:rsidP="00375FB1">
      <w:pPr>
        <w:rPr>
          <w:b/>
        </w:rPr>
      </w:pPr>
    </w:p>
    <w:p w:rsidR="00375FB1" w:rsidRPr="00A516DA" w:rsidRDefault="00375FB1" w:rsidP="00375FB1">
      <w:pPr>
        <w:rPr>
          <w:b/>
        </w:rPr>
      </w:pPr>
      <w:r w:rsidRPr="00A516DA">
        <w:rPr>
          <w:b/>
        </w:rPr>
        <w:t xml:space="preserve">Table </w:t>
      </w:r>
      <w:r w:rsidR="00BA7AF9" w:rsidRPr="00A516DA">
        <w:rPr>
          <w:b/>
        </w:rPr>
        <w:t>5:</w:t>
      </w:r>
      <w:r w:rsidRPr="00A516DA">
        <w:rPr>
          <w:b/>
        </w:rPr>
        <w:t xml:space="preserve"> proporti</w:t>
      </w:r>
      <w:r w:rsidR="000D39F3" w:rsidRPr="00A516DA">
        <w:rPr>
          <w:b/>
        </w:rPr>
        <w:t>on of children vulnerable on AE</w:t>
      </w:r>
      <w:r w:rsidRPr="00A516DA">
        <w:rPr>
          <w:b/>
        </w:rPr>
        <w:t>D</w:t>
      </w:r>
      <w:r w:rsidR="000D39F3" w:rsidRPr="00A516DA">
        <w:rPr>
          <w:b/>
        </w:rPr>
        <w:t>C</w:t>
      </w:r>
      <w:r w:rsidRPr="00A516DA">
        <w:rPr>
          <w:b/>
        </w:rPr>
        <w:t xml:space="preserve"> domains, by characteristic</w:t>
      </w:r>
    </w:p>
    <w:tbl>
      <w:tblPr>
        <w:tblStyle w:val="TableGrid"/>
        <w:tblW w:w="0" w:type="auto"/>
        <w:tblLook w:val="04A0" w:firstRow="1" w:lastRow="0" w:firstColumn="1" w:lastColumn="0" w:noHBand="0" w:noVBand="1"/>
      </w:tblPr>
      <w:tblGrid>
        <w:gridCol w:w="3227"/>
        <w:gridCol w:w="2934"/>
        <w:gridCol w:w="3081"/>
      </w:tblGrid>
      <w:tr w:rsidR="00375FB1" w:rsidTr="00852F0A">
        <w:tc>
          <w:tcPr>
            <w:tcW w:w="3227" w:type="dxa"/>
          </w:tcPr>
          <w:p w:rsidR="00375FB1" w:rsidRPr="00DA0874" w:rsidRDefault="00375FB1" w:rsidP="00852F0A">
            <w:pPr>
              <w:rPr>
                <w:b/>
              </w:rPr>
            </w:pPr>
            <w:r w:rsidRPr="00DA0874">
              <w:rPr>
                <w:b/>
              </w:rPr>
              <w:t>Selected characteristics</w:t>
            </w:r>
          </w:p>
        </w:tc>
        <w:tc>
          <w:tcPr>
            <w:tcW w:w="2934" w:type="dxa"/>
          </w:tcPr>
          <w:p w:rsidR="00375FB1" w:rsidRPr="00DA0874" w:rsidRDefault="00375FB1" w:rsidP="00852F0A">
            <w:pPr>
              <w:rPr>
                <w:b/>
              </w:rPr>
            </w:pPr>
            <w:r w:rsidRPr="00FC0EC5">
              <w:rPr>
                <w:b/>
              </w:rPr>
              <w:t>Developmental</w:t>
            </w:r>
            <w:r w:rsidR="00916A4A" w:rsidRPr="00AD6FB3">
              <w:rPr>
                <w:b/>
              </w:rPr>
              <w:t>ly</w:t>
            </w:r>
            <w:r w:rsidRPr="00DA0874">
              <w:rPr>
                <w:b/>
              </w:rPr>
              <w:t xml:space="preserve"> vulnerable on one or more domains (%)</w:t>
            </w:r>
          </w:p>
        </w:tc>
        <w:tc>
          <w:tcPr>
            <w:tcW w:w="3081" w:type="dxa"/>
          </w:tcPr>
          <w:p w:rsidR="00375FB1" w:rsidRPr="00DA0874" w:rsidRDefault="00375FB1" w:rsidP="00852F0A">
            <w:pPr>
              <w:rPr>
                <w:b/>
              </w:rPr>
            </w:pPr>
            <w:r w:rsidRPr="00121163">
              <w:rPr>
                <w:b/>
              </w:rPr>
              <w:t>Developmental</w:t>
            </w:r>
            <w:r w:rsidR="00916A4A" w:rsidRPr="008F2D4E">
              <w:rPr>
                <w:b/>
              </w:rPr>
              <w:t>ly</w:t>
            </w:r>
            <w:r w:rsidRPr="00DA0874">
              <w:rPr>
                <w:b/>
              </w:rPr>
              <w:t xml:space="preserve"> vulnerable on </w:t>
            </w:r>
            <w:r>
              <w:rPr>
                <w:b/>
              </w:rPr>
              <w:t>two</w:t>
            </w:r>
            <w:r w:rsidRPr="00DA0874">
              <w:rPr>
                <w:b/>
              </w:rPr>
              <w:t xml:space="preserve"> or more domains (%)</w:t>
            </w:r>
          </w:p>
        </w:tc>
      </w:tr>
      <w:tr w:rsidR="00EB5A93" w:rsidTr="00852F0A">
        <w:tc>
          <w:tcPr>
            <w:tcW w:w="3227" w:type="dxa"/>
          </w:tcPr>
          <w:p w:rsidR="00EB5A93" w:rsidRDefault="00EB5A93" w:rsidP="00852F0A">
            <w:r>
              <w:t>Least disadvantage</w:t>
            </w:r>
            <w:r w:rsidR="006F6429">
              <w:t>d</w:t>
            </w:r>
            <w:r>
              <w:t xml:space="preserve"> quintile</w:t>
            </w:r>
          </w:p>
        </w:tc>
        <w:tc>
          <w:tcPr>
            <w:tcW w:w="2934" w:type="dxa"/>
          </w:tcPr>
          <w:p w:rsidR="00EB5A93" w:rsidRDefault="00EB5A93" w:rsidP="00852F0A">
            <w:r>
              <w:t>15.5</w:t>
            </w:r>
          </w:p>
        </w:tc>
        <w:tc>
          <w:tcPr>
            <w:tcW w:w="3081" w:type="dxa"/>
          </w:tcPr>
          <w:p w:rsidR="00EB5A93" w:rsidRDefault="00EB5A93" w:rsidP="00852F0A">
            <w:r>
              <w:t>6.7</w:t>
            </w:r>
          </w:p>
        </w:tc>
      </w:tr>
      <w:tr w:rsidR="00EB5A93" w:rsidTr="00852F0A">
        <w:tc>
          <w:tcPr>
            <w:tcW w:w="3227" w:type="dxa"/>
          </w:tcPr>
          <w:p w:rsidR="00EB5A93" w:rsidRDefault="00EB5A93" w:rsidP="00852F0A">
            <w:r>
              <w:t>Female</w:t>
            </w:r>
          </w:p>
        </w:tc>
        <w:tc>
          <w:tcPr>
            <w:tcW w:w="2934" w:type="dxa"/>
          </w:tcPr>
          <w:p w:rsidR="00EB5A93" w:rsidRDefault="00EB5A93" w:rsidP="00852F0A">
            <w:r>
              <w:t>15.5</w:t>
            </w:r>
          </w:p>
        </w:tc>
        <w:tc>
          <w:tcPr>
            <w:tcW w:w="3081" w:type="dxa"/>
          </w:tcPr>
          <w:p w:rsidR="00EB5A93" w:rsidRDefault="00EB5A93" w:rsidP="00852F0A">
            <w:r>
              <w:t>6.8</w:t>
            </w:r>
          </w:p>
        </w:tc>
      </w:tr>
      <w:tr w:rsidR="00EB5A93" w:rsidTr="00852F0A">
        <w:tc>
          <w:tcPr>
            <w:tcW w:w="3227" w:type="dxa"/>
          </w:tcPr>
          <w:p w:rsidR="00EB5A93" w:rsidRDefault="00EB5A93" w:rsidP="00852F0A">
            <w:r>
              <w:t xml:space="preserve">Speak </w:t>
            </w:r>
            <w:r w:rsidR="006F6429">
              <w:t xml:space="preserve">only </w:t>
            </w:r>
            <w:r>
              <w:t>English at home</w:t>
            </w:r>
          </w:p>
        </w:tc>
        <w:tc>
          <w:tcPr>
            <w:tcW w:w="2934" w:type="dxa"/>
          </w:tcPr>
          <w:p w:rsidR="00EB5A93" w:rsidRDefault="00EB5A93" w:rsidP="00852F0A">
            <w:r>
              <w:t>20.4</w:t>
            </w:r>
          </w:p>
        </w:tc>
        <w:tc>
          <w:tcPr>
            <w:tcW w:w="3081" w:type="dxa"/>
          </w:tcPr>
          <w:p w:rsidR="00EB5A93" w:rsidRDefault="00EB5A93" w:rsidP="00852F0A">
            <w:r>
              <w:t>10.2</w:t>
            </w:r>
          </w:p>
        </w:tc>
      </w:tr>
      <w:tr w:rsidR="00EB5A93" w:rsidTr="00852F0A">
        <w:tc>
          <w:tcPr>
            <w:tcW w:w="3227" w:type="dxa"/>
          </w:tcPr>
          <w:p w:rsidR="00EB5A93" w:rsidRDefault="00EB5A93" w:rsidP="00852F0A">
            <w:r>
              <w:t>Major city</w:t>
            </w:r>
          </w:p>
        </w:tc>
        <w:tc>
          <w:tcPr>
            <w:tcW w:w="2934" w:type="dxa"/>
          </w:tcPr>
          <w:p w:rsidR="00EB5A93" w:rsidRDefault="00EB5A93" w:rsidP="00852F0A">
            <w:r>
              <w:t>21.0</w:t>
            </w:r>
          </w:p>
        </w:tc>
        <w:tc>
          <w:tcPr>
            <w:tcW w:w="3081" w:type="dxa"/>
          </w:tcPr>
          <w:p w:rsidR="00EB5A93" w:rsidRDefault="00EB5A93" w:rsidP="00852F0A">
            <w:r>
              <w:t>10.2</w:t>
            </w:r>
          </w:p>
        </w:tc>
      </w:tr>
      <w:tr w:rsidR="00EB5A93" w:rsidTr="00852F0A">
        <w:tc>
          <w:tcPr>
            <w:tcW w:w="3227" w:type="dxa"/>
          </w:tcPr>
          <w:p w:rsidR="00EB5A93" w:rsidRPr="00DA0874" w:rsidRDefault="00EB5A93" w:rsidP="00852F0A">
            <w:pPr>
              <w:rPr>
                <w:b/>
              </w:rPr>
            </w:pPr>
            <w:r w:rsidRPr="00DA0874">
              <w:rPr>
                <w:b/>
              </w:rPr>
              <w:t>Overall population</w:t>
            </w:r>
          </w:p>
        </w:tc>
        <w:tc>
          <w:tcPr>
            <w:tcW w:w="2934" w:type="dxa"/>
          </w:tcPr>
          <w:p w:rsidR="00EB5A93" w:rsidRPr="00DA0874" w:rsidRDefault="00EB5A93" w:rsidP="00852F0A">
            <w:pPr>
              <w:rPr>
                <w:b/>
              </w:rPr>
            </w:pPr>
            <w:r w:rsidRPr="00DA0874">
              <w:rPr>
                <w:b/>
              </w:rPr>
              <w:t>22.0</w:t>
            </w:r>
          </w:p>
        </w:tc>
        <w:tc>
          <w:tcPr>
            <w:tcW w:w="3081" w:type="dxa"/>
          </w:tcPr>
          <w:p w:rsidR="00EB5A93" w:rsidRPr="00DA0874" w:rsidRDefault="00EB5A93" w:rsidP="00852F0A">
            <w:pPr>
              <w:rPr>
                <w:b/>
              </w:rPr>
            </w:pPr>
            <w:r w:rsidRPr="00DA0874">
              <w:rPr>
                <w:b/>
              </w:rPr>
              <w:t>11.1</w:t>
            </w:r>
          </w:p>
        </w:tc>
      </w:tr>
      <w:tr w:rsidR="00EB5A93" w:rsidTr="00852F0A">
        <w:tc>
          <w:tcPr>
            <w:tcW w:w="3227" w:type="dxa"/>
          </w:tcPr>
          <w:p w:rsidR="00EB5A93" w:rsidRDefault="00EB5A93" w:rsidP="00852F0A">
            <w:r>
              <w:t>Remote area</w:t>
            </w:r>
          </w:p>
        </w:tc>
        <w:tc>
          <w:tcPr>
            <w:tcW w:w="2934" w:type="dxa"/>
          </w:tcPr>
          <w:p w:rsidR="00EB5A93" w:rsidRDefault="00EB5A93" w:rsidP="00852F0A">
            <w:r>
              <w:t>27.5</w:t>
            </w:r>
          </w:p>
        </w:tc>
        <w:tc>
          <w:tcPr>
            <w:tcW w:w="3081" w:type="dxa"/>
          </w:tcPr>
          <w:p w:rsidR="00EB5A93" w:rsidRDefault="00EB5A93" w:rsidP="00852F0A">
            <w:r>
              <w:t>15.4</w:t>
            </w:r>
          </w:p>
        </w:tc>
      </w:tr>
      <w:tr w:rsidR="00EB5A93" w:rsidTr="00852F0A">
        <w:tc>
          <w:tcPr>
            <w:tcW w:w="3227" w:type="dxa"/>
          </w:tcPr>
          <w:p w:rsidR="00EB5A93" w:rsidRDefault="00D23DEB" w:rsidP="00852F0A">
            <w:r>
              <w:t>L</w:t>
            </w:r>
            <w:r w:rsidRPr="00D23DEB">
              <w:t>anguage background other than English</w:t>
            </w:r>
          </w:p>
        </w:tc>
        <w:tc>
          <w:tcPr>
            <w:tcW w:w="2934" w:type="dxa"/>
          </w:tcPr>
          <w:p w:rsidR="00EB5A93" w:rsidRDefault="00EB5A93" w:rsidP="00852F0A">
            <w:r>
              <w:t>27.8</w:t>
            </w:r>
          </w:p>
        </w:tc>
        <w:tc>
          <w:tcPr>
            <w:tcW w:w="3081" w:type="dxa"/>
          </w:tcPr>
          <w:p w:rsidR="00EB5A93" w:rsidRDefault="00EB5A93" w:rsidP="00852F0A">
            <w:r>
              <w:t>14.2</w:t>
            </w:r>
          </w:p>
        </w:tc>
      </w:tr>
      <w:tr w:rsidR="00EB5A93" w:rsidTr="00852F0A">
        <w:tc>
          <w:tcPr>
            <w:tcW w:w="3227" w:type="dxa"/>
          </w:tcPr>
          <w:p w:rsidR="00EB5A93" w:rsidRDefault="00EB5A93" w:rsidP="00852F0A">
            <w:r>
              <w:t>Male</w:t>
            </w:r>
          </w:p>
        </w:tc>
        <w:tc>
          <w:tcPr>
            <w:tcW w:w="2934" w:type="dxa"/>
          </w:tcPr>
          <w:p w:rsidR="00EB5A93" w:rsidRDefault="00EB5A93" w:rsidP="00852F0A">
            <w:r>
              <w:t>28.5</w:t>
            </w:r>
          </w:p>
        </w:tc>
        <w:tc>
          <w:tcPr>
            <w:tcW w:w="3081" w:type="dxa"/>
          </w:tcPr>
          <w:p w:rsidR="00EB5A93" w:rsidRDefault="00EB5A93" w:rsidP="00852F0A">
            <w:r>
              <w:t>15.3</w:t>
            </w:r>
          </w:p>
        </w:tc>
      </w:tr>
      <w:tr w:rsidR="00EB5A93" w:rsidTr="00852F0A">
        <w:tc>
          <w:tcPr>
            <w:tcW w:w="3227" w:type="dxa"/>
          </w:tcPr>
          <w:p w:rsidR="00EB5A93" w:rsidRDefault="00EB5A93" w:rsidP="00852F0A">
            <w:r>
              <w:t>Most disadvantaged quintile</w:t>
            </w:r>
          </w:p>
        </w:tc>
        <w:tc>
          <w:tcPr>
            <w:tcW w:w="2934" w:type="dxa"/>
          </w:tcPr>
          <w:p w:rsidR="00EB5A93" w:rsidRDefault="00EB5A93" w:rsidP="00852F0A">
            <w:r>
              <w:t>32.6</w:t>
            </w:r>
          </w:p>
        </w:tc>
        <w:tc>
          <w:tcPr>
            <w:tcW w:w="3081" w:type="dxa"/>
          </w:tcPr>
          <w:p w:rsidR="00EB5A93" w:rsidRDefault="00EB5A93" w:rsidP="00852F0A">
            <w:r>
              <w:t>18.4</w:t>
            </w:r>
          </w:p>
        </w:tc>
      </w:tr>
      <w:tr w:rsidR="00EB5A93" w:rsidTr="00852F0A">
        <w:tc>
          <w:tcPr>
            <w:tcW w:w="3227" w:type="dxa"/>
          </w:tcPr>
          <w:p w:rsidR="00EB5A93" w:rsidRDefault="00EB5A93" w:rsidP="00852F0A">
            <w:r>
              <w:t>Indigenous children</w:t>
            </w:r>
          </w:p>
        </w:tc>
        <w:tc>
          <w:tcPr>
            <w:tcW w:w="2934" w:type="dxa"/>
          </w:tcPr>
          <w:p w:rsidR="00EB5A93" w:rsidRDefault="00EB5A93" w:rsidP="00852F0A">
            <w:r>
              <w:t>42.1</w:t>
            </w:r>
          </w:p>
        </w:tc>
        <w:tc>
          <w:tcPr>
            <w:tcW w:w="3081" w:type="dxa"/>
          </w:tcPr>
          <w:p w:rsidR="00EB5A93" w:rsidRDefault="00EB5A93" w:rsidP="00852F0A">
            <w:r>
              <w:t>26.2</w:t>
            </w:r>
          </w:p>
        </w:tc>
      </w:tr>
      <w:tr w:rsidR="00EB5A93" w:rsidTr="00852F0A">
        <w:tc>
          <w:tcPr>
            <w:tcW w:w="3227" w:type="dxa"/>
          </w:tcPr>
          <w:p w:rsidR="00EB5A93" w:rsidRDefault="00EB5A93" w:rsidP="00852F0A">
            <w:r>
              <w:t>Very remote area</w:t>
            </w:r>
          </w:p>
        </w:tc>
        <w:tc>
          <w:tcPr>
            <w:tcW w:w="2934" w:type="dxa"/>
          </w:tcPr>
          <w:p w:rsidR="00EB5A93" w:rsidRDefault="00EB5A93" w:rsidP="00852F0A">
            <w:r>
              <w:t>47.0</w:t>
            </w:r>
          </w:p>
        </w:tc>
        <w:tc>
          <w:tcPr>
            <w:tcW w:w="3081" w:type="dxa"/>
          </w:tcPr>
          <w:p w:rsidR="00EB5A93" w:rsidRDefault="00EB5A93" w:rsidP="00852F0A">
            <w:r>
              <w:t>31.8</w:t>
            </w:r>
          </w:p>
        </w:tc>
      </w:tr>
    </w:tbl>
    <w:p w:rsidR="00375FB1" w:rsidRPr="00A516DA" w:rsidRDefault="00375FB1" w:rsidP="00375FB1">
      <w:pPr>
        <w:rPr>
          <w:sz w:val="16"/>
          <w:szCs w:val="20"/>
        </w:rPr>
      </w:pPr>
      <w:r w:rsidRPr="00A516DA">
        <w:rPr>
          <w:b/>
          <w:i/>
          <w:sz w:val="16"/>
          <w:szCs w:val="20"/>
        </w:rPr>
        <w:t>Source:</w:t>
      </w:r>
      <w:r w:rsidRPr="00A516DA">
        <w:rPr>
          <w:sz w:val="16"/>
          <w:szCs w:val="20"/>
        </w:rPr>
        <w:t xml:space="preserve"> AEDC 2015</w:t>
      </w:r>
      <w:r w:rsidR="00C34DE6" w:rsidRPr="00A516DA">
        <w:rPr>
          <w:sz w:val="16"/>
          <w:szCs w:val="20"/>
        </w:rPr>
        <w:t>.</w:t>
      </w:r>
      <w:r w:rsidRPr="00A516DA">
        <w:rPr>
          <w:rStyle w:val="EndnoteReference"/>
          <w:sz w:val="16"/>
          <w:szCs w:val="20"/>
        </w:rPr>
        <w:endnoteReference w:id="93"/>
      </w:r>
      <w:r w:rsidR="00C34DE6" w:rsidRPr="00A516DA">
        <w:rPr>
          <w:sz w:val="16"/>
          <w:szCs w:val="20"/>
        </w:rPr>
        <w:t xml:space="preserve"> </w:t>
      </w:r>
      <w:r w:rsidRPr="00A516DA">
        <w:rPr>
          <w:sz w:val="16"/>
          <w:szCs w:val="20"/>
        </w:rPr>
        <w:t xml:space="preserve">Note: </w:t>
      </w:r>
      <w:r w:rsidR="00627814">
        <w:rPr>
          <w:sz w:val="16"/>
          <w:szCs w:val="20"/>
        </w:rPr>
        <w:t>c</w:t>
      </w:r>
      <w:r w:rsidRPr="00A516DA">
        <w:rPr>
          <w:sz w:val="16"/>
          <w:szCs w:val="20"/>
        </w:rPr>
        <w:t>hildren can have multiple characteristics – for example, b</w:t>
      </w:r>
      <w:r w:rsidR="00B43247" w:rsidRPr="00A516DA">
        <w:rPr>
          <w:sz w:val="16"/>
          <w:szCs w:val="20"/>
        </w:rPr>
        <w:t xml:space="preserve">e male and from a remote area. </w:t>
      </w:r>
    </w:p>
    <w:p w:rsidR="000F321B" w:rsidRDefault="000F321B" w:rsidP="000F321B">
      <w:pPr>
        <w:jc w:val="both"/>
        <w:rPr>
          <w:i/>
        </w:rPr>
      </w:pPr>
      <w:r>
        <w:rPr>
          <w:i/>
        </w:rPr>
        <w:t>School outcomes</w:t>
      </w:r>
    </w:p>
    <w:p w:rsidR="000F321B" w:rsidRDefault="000F321B" w:rsidP="00A516DA">
      <w:r>
        <w:t xml:space="preserve">The most common international comparisons used for school education achievement are the OECD Programme for International Student Assessment (PISA) and the </w:t>
      </w:r>
      <w:r w:rsidRPr="00112DFC">
        <w:rPr>
          <w:rFonts w:cstheme="minorHAnsi"/>
        </w:rPr>
        <w:t>Trends in International Mathematics and Science Study</w:t>
      </w:r>
      <w:r>
        <w:rPr>
          <w:rFonts w:cstheme="minorHAnsi"/>
        </w:rPr>
        <w:t xml:space="preserve"> (TIMSS)</w:t>
      </w:r>
      <w:r>
        <w:t xml:space="preserve">. </w:t>
      </w:r>
    </w:p>
    <w:p w:rsidR="000F321B" w:rsidRDefault="000F321B" w:rsidP="00A516DA">
      <w:r>
        <w:t xml:space="preserve">PISA considers achievement at age 15. Australia continues to perform above the OECD average in PISA results, but in recent years has shown a consistent decline in performance across mathematics, reading and science. </w:t>
      </w:r>
    </w:p>
    <w:p w:rsidR="00BB1920" w:rsidRPr="00A516DA" w:rsidRDefault="00BB1920" w:rsidP="000F321B">
      <w:pPr>
        <w:jc w:val="both"/>
        <w:rPr>
          <w:b/>
        </w:rPr>
      </w:pPr>
      <w:r w:rsidRPr="00A516DA">
        <w:rPr>
          <w:b/>
        </w:rPr>
        <w:t>Chart 4:</w:t>
      </w:r>
      <w:r w:rsidR="00EA1916">
        <w:rPr>
          <w:b/>
        </w:rPr>
        <w:t xml:space="preserve"> Australia’s performance in PISA across math</w:t>
      </w:r>
      <w:r w:rsidR="001214FD">
        <w:rPr>
          <w:b/>
        </w:rPr>
        <w:t>s</w:t>
      </w:r>
      <w:r w:rsidR="00EA1916">
        <w:rPr>
          <w:b/>
        </w:rPr>
        <w:t>, reading and science</w:t>
      </w:r>
      <w:r w:rsidR="00D8282E">
        <w:rPr>
          <w:b/>
        </w:rPr>
        <w:t>, 2006 - 2015</w:t>
      </w:r>
      <w:r w:rsidR="00EA1916">
        <w:rPr>
          <w:b/>
        </w:rPr>
        <w:t xml:space="preserve"> </w:t>
      </w:r>
    </w:p>
    <w:p w:rsidR="000F321B" w:rsidRDefault="00AA3B4F" w:rsidP="000F321B">
      <w:pPr>
        <w:jc w:val="both"/>
      </w:pPr>
      <w:r>
        <w:rPr>
          <w:noProof/>
          <w:lang w:eastAsia="en-AU"/>
        </w:rPr>
        <w:drawing>
          <wp:inline distT="0" distB="0" distL="0" distR="0" wp14:anchorId="5C045255" wp14:editId="2CD770AE">
            <wp:extent cx="3012763" cy="16857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13875" cy="1686335"/>
                    </a:xfrm>
                    <a:prstGeom prst="rect">
                      <a:avLst/>
                    </a:prstGeom>
                  </pic:spPr>
                </pic:pic>
              </a:graphicData>
            </a:graphic>
          </wp:inline>
        </w:drawing>
      </w:r>
    </w:p>
    <w:p w:rsidR="000F321B" w:rsidRPr="00487555" w:rsidRDefault="000F321B" w:rsidP="000F321B">
      <w:pPr>
        <w:jc w:val="both"/>
        <w:rPr>
          <w:sz w:val="18"/>
          <w:szCs w:val="18"/>
        </w:rPr>
      </w:pPr>
      <w:r w:rsidRPr="00A516DA">
        <w:rPr>
          <w:b/>
          <w:i/>
          <w:sz w:val="16"/>
          <w:szCs w:val="18"/>
        </w:rPr>
        <w:t>Source</w:t>
      </w:r>
      <w:r w:rsidRPr="00A516DA">
        <w:rPr>
          <w:b/>
          <w:i/>
          <w:sz w:val="16"/>
          <w:szCs w:val="16"/>
        </w:rPr>
        <w:t>:</w:t>
      </w:r>
      <w:r w:rsidRPr="00A516DA">
        <w:rPr>
          <w:sz w:val="16"/>
          <w:szCs w:val="16"/>
        </w:rPr>
        <w:t xml:space="preserve"> PISA </w:t>
      </w:r>
      <w:r w:rsidR="00AE79C9" w:rsidRPr="00A516DA">
        <w:rPr>
          <w:sz w:val="16"/>
          <w:szCs w:val="16"/>
        </w:rPr>
        <w:t>2015</w:t>
      </w:r>
      <w:r w:rsidRPr="00487555">
        <w:rPr>
          <w:sz w:val="18"/>
          <w:szCs w:val="18"/>
        </w:rPr>
        <w:t xml:space="preserve"> </w:t>
      </w:r>
    </w:p>
    <w:p w:rsidR="000F321B" w:rsidRPr="00C81DAD" w:rsidRDefault="000F321B" w:rsidP="000F321B">
      <w:r>
        <w:t>In 2011, the Review of Funding for Schooling concluded that ‘over the last decade the performance of Australian students has declined at all levels of achievement’,</w:t>
      </w:r>
      <w:r>
        <w:rPr>
          <w:rStyle w:val="EndnoteReference"/>
        </w:rPr>
        <w:endnoteReference w:id="94"/>
      </w:r>
      <w:r>
        <w:t xml:space="preserve"> and results have fallen further since then. Australia’s PISA results </w:t>
      </w:r>
      <w:r w:rsidR="00041A11">
        <w:t xml:space="preserve">show that the gap between advantaged and disadvantaged students is more prominent than </w:t>
      </w:r>
      <w:r w:rsidR="00A1437E" w:rsidRPr="00A33316">
        <w:t xml:space="preserve">for </w:t>
      </w:r>
      <w:r w:rsidR="00041A11">
        <w:t>other nations, and Australia’s performance is</w:t>
      </w:r>
      <w:r>
        <w:t xml:space="preserve"> relatively weak compared with equally developed nations.</w:t>
      </w:r>
      <w:r>
        <w:rPr>
          <w:rStyle w:val="EndnoteReference"/>
        </w:rPr>
        <w:endnoteReference w:id="95"/>
      </w:r>
    </w:p>
    <w:p w:rsidR="00375FB1" w:rsidRPr="00181AE7" w:rsidRDefault="000F321B" w:rsidP="00375FB1">
      <w:r>
        <w:t xml:space="preserve">Additionally, Australian results in TIMMS have shown little improvement. Over the twenty years of the study, Australia has the same average achievement in </w:t>
      </w:r>
      <w:r w:rsidR="00297F0F">
        <w:t>Year</w:t>
      </w:r>
      <w:r w:rsidR="00A1437E" w:rsidRPr="00A33316">
        <w:t xml:space="preserve"> </w:t>
      </w:r>
      <w:r>
        <w:t xml:space="preserve">8 maths, </w:t>
      </w:r>
      <w:r w:rsidR="00297F0F">
        <w:t>Year</w:t>
      </w:r>
      <w:r w:rsidR="00A1437E" w:rsidRPr="00FC0EC5">
        <w:t xml:space="preserve"> </w:t>
      </w:r>
      <w:r>
        <w:t xml:space="preserve">4 science and </w:t>
      </w:r>
      <w:r w:rsidR="00297F0F">
        <w:t>Year</w:t>
      </w:r>
      <w:r w:rsidR="00A1437E" w:rsidRPr="00121163">
        <w:t xml:space="preserve"> </w:t>
      </w:r>
      <w:r>
        <w:t xml:space="preserve">8 science, although there has been improvement at </w:t>
      </w:r>
      <w:r w:rsidR="00297F0F">
        <w:t xml:space="preserve">Year </w:t>
      </w:r>
      <w:r>
        <w:t>4 maths.</w:t>
      </w:r>
      <w:r>
        <w:rPr>
          <w:rStyle w:val="EndnoteReference"/>
        </w:rPr>
        <w:endnoteReference w:id="96"/>
      </w:r>
      <w:r w:rsidR="004F68BB">
        <w:t xml:space="preserve"> </w:t>
      </w:r>
      <w:r w:rsidR="004F68BB" w:rsidRPr="004F68BB">
        <w:t>Around one-third of Year 4 students and around one-third of Year 8 students also fail to achieve the nationally agreed proficient standard, set by the Australian Curriculum, Assessment and Reporting Authority as the TIMSS intermediate benchmark.</w:t>
      </w:r>
      <w:r w:rsidR="004F68BB">
        <w:rPr>
          <w:rStyle w:val="EndnoteReference"/>
        </w:rPr>
        <w:endnoteReference w:id="97"/>
      </w:r>
      <w:r w:rsidR="004F68BB">
        <w:rPr>
          <w:rStyle w:val="apple-converted-space"/>
          <w:rFonts w:ascii="Georgia" w:hAnsi="Georgia"/>
          <w:color w:val="383838"/>
          <w:shd w:val="clear" w:color="auto" w:fill="FFFFFF"/>
        </w:rPr>
        <w:t> </w:t>
      </w:r>
      <w:r w:rsidR="00375FB1">
        <w:rPr>
          <w:b/>
        </w:rPr>
        <w:br w:type="page"/>
      </w:r>
    </w:p>
    <w:p w:rsidR="002D3DF1" w:rsidRDefault="0063470E" w:rsidP="002D3DF1">
      <w:pPr>
        <w:pStyle w:val="Heading1"/>
      </w:pPr>
      <w:bookmarkStart w:id="16" w:name="_Toc497671272"/>
      <w:bookmarkStart w:id="17" w:name="_Toc373586253"/>
      <w:bookmarkStart w:id="18" w:name="_Toc500850771"/>
      <w:r>
        <w:t xml:space="preserve">3.1 </w:t>
      </w:r>
      <w:r w:rsidR="002D3DF1">
        <w:t>Impact of early childhood interventions on school outcomes</w:t>
      </w:r>
      <w:bookmarkEnd w:id="16"/>
      <w:bookmarkEnd w:id="17"/>
      <w:bookmarkEnd w:id="18"/>
      <w:r w:rsidR="002D3DF1">
        <w:t xml:space="preserve"> </w:t>
      </w:r>
    </w:p>
    <w:p w:rsidR="002D3DF1" w:rsidRDefault="002D3DF1" w:rsidP="002D3DF1">
      <w:pPr>
        <w:spacing w:after="0"/>
        <w:rPr>
          <w:rFonts w:eastAsia="Times New Roman" w:cs="Times New Roman"/>
          <w:i/>
          <w:color w:val="000000" w:themeColor="text1"/>
          <w:lang w:eastAsia="en-AU"/>
        </w:rPr>
      </w:pPr>
    </w:p>
    <w:tbl>
      <w:tblPr>
        <w:tblStyle w:val="TableGrid"/>
        <w:tblW w:w="0" w:type="auto"/>
        <w:tblLook w:val="04A0" w:firstRow="1" w:lastRow="0" w:firstColumn="1" w:lastColumn="0" w:noHBand="0" w:noVBand="1"/>
      </w:tblPr>
      <w:tblGrid>
        <w:gridCol w:w="9242"/>
      </w:tblGrid>
      <w:tr w:rsidR="002D3DF1" w:rsidTr="00E805B6">
        <w:tc>
          <w:tcPr>
            <w:tcW w:w="9242" w:type="dxa"/>
          </w:tcPr>
          <w:p w:rsidR="002D3DF1" w:rsidRDefault="002D3DF1" w:rsidP="00E805B6">
            <w:pPr>
              <w:rPr>
                <w:rFonts w:eastAsia="Times New Roman" w:cs="Times New Roman"/>
                <w:i/>
                <w:color w:val="000000" w:themeColor="text1"/>
                <w:lang w:eastAsia="en-AU"/>
              </w:rPr>
            </w:pPr>
            <w:r>
              <w:rPr>
                <w:rFonts w:eastAsia="Times New Roman" w:cs="Times New Roman"/>
                <w:i/>
                <w:color w:val="000000" w:themeColor="text1"/>
                <w:lang w:eastAsia="en-AU"/>
              </w:rPr>
              <w:t>The Review’s analysis of international and Australian evidence found that high quality early childhood education has a substantial</w:t>
            </w:r>
            <w:r w:rsidR="001F7A4A">
              <w:rPr>
                <w:rFonts w:eastAsia="Times New Roman" w:cs="Times New Roman"/>
                <w:i/>
                <w:color w:val="000000" w:themeColor="text1"/>
                <w:lang w:eastAsia="en-AU"/>
              </w:rPr>
              <w:t>,</w:t>
            </w:r>
            <w:r>
              <w:rPr>
                <w:rFonts w:eastAsia="Times New Roman" w:cs="Times New Roman"/>
                <w:i/>
                <w:color w:val="000000" w:themeColor="text1"/>
                <w:lang w:eastAsia="en-AU"/>
              </w:rPr>
              <w:t xml:space="preserve"> positive impact on school outcomes for all children. It also found that two years of preschool has significantly increased benefits compared </w:t>
            </w:r>
            <w:r w:rsidR="00D578BE" w:rsidRPr="00423D14">
              <w:rPr>
                <w:rFonts w:eastAsia="Times New Roman" w:cs="Times New Roman"/>
                <w:i/>
                <w:color w:val="000000" w:themeColor="text1"/>
                <w:lang w:eastAsia="en-AU"/>
              </w:rPr>
              <w:t xml:space="preserve">with </w:t>
            </w:r>
            <w:r>
              <w:rPr>
                <w:rFonts w:eastAsia="Times New Roman" w:cs="Times New Roman"/>
                <w:i/>
                <w:color w:val="000000" w:themeColor="text1"/>
                <w:lang w:eastAsia="en-AU"/>
              </w:rPr>
              <w:t xml:space="preserve">one year, and that 15 hours a week is the minimum </w:t>
            </w:r>
            <w:r w:rsidR="00664C2C">
              <w:rPr>
                <w:rFonts w:eastAsia="Times New Roman" w:cs="Times New Roman"/>
                <w:i/>
                <w:color w:val="000000" w:themeColor="text1"/>
                <w:lang w:eastAsia="en-AU"/>
              </w:rPr>
              <w:t>dosage</w:t>
            </w:r>
            <w:r>
              <w:rPr>
                <w:rFonts w:eastAsia="Times New Roman" w:cs="Times New Roman"/>
                <w:i/>
                <w:color w:val="000000" w:themeColor="text1"/>
                <w:lang w:eastAsia="en-AU"/>
              </w:rPr>
              <w:t xml:space="preserve"> required for most children. </w:t>
            </w:r>
          </w:p>
          <w:p w:rsidR="002D3DF1" w:rsidRDefault="002D3DF1" w:rsidP="00E805B6">
            <w:pPr>
              <w:tabs>
                <w:tab w:val="left" w:pos="1942"/>
              </w:tabs>
              <w:rPr>
                <w:rFonts w:eastAsia="Times New Roman" w:cs="Times New Roman"/>
                <w:i/>
                <w:color w:val="000000" w:themeColor="text1"/>
                <w:lang w:eastAsia="en-AU"/>
              </w:rPr>
            </w:pPr>
            <w:r>
              <w:rPr>
                <w:rFonts w:eastAsia="Times New Roman" w:cs="Times New Roman"/>
                <w:i/>
                <w:color w:val="000000" w:themeColor="text1"/>
                <w:lang w:eastAsia="en-AU"/>
              </w:rPr>
              <w:tab/>
            </w:r>
          </w:p>
          <w:p w:rsidR="002D3DF1" w:rsidRPr="00F7764E" w:rsidRDefault="002D3DF1" w:rsidP="00E805B6">
            <w:pPr>
              <w:rPr>
                <w:i/>
                <w:color w:val="000000"/>
              </w:rPr>
            </w:pPr>
            <w:r w:rsidRPr="00F7764E">
              <w:rPr>
                <w:i/>
                <w:color w:val="000000"/>
              </w:rPr>
              <w:t xml:space="preserve">OECD </w:t>
            </w:r>
            <w:r>
              <w:rPr>
                <w:i/>
                <w:color w:val="000000"/>
              </w:rPr>
              <w:t>analysis of</w:t>
            </w:r>
            <w:r w:rsidRPr="00F7764E">
              <w:rPr>
                <w:i/>
                <w:color w:val="000000"/>
              </w:rPr>
              <w:t xml:space="preserve"> PISA results </w:t>
            </w:r>
            <w:r>
              <w:rPr>
                <w:i/>
                <w:color w:val="000000"/>
              </w:rPr>
              <w:t>has established</w:t>
            </w:r>
            <w:r w:rsidRPr="00F7764E">
              <w:rPr>
                <w:i/>
                <w:color w:val="000000"/>
              </w:rPr>
              <w:t xml:space="preserve"> that two years of early childhood education is the minimum d</w:t>
            </w:r>
            <w:r>
              <w:rPr>
                <w:i/>
                <w:color w:val="000000"/>
              </w:rPr>
              <w:t>uration needed to improve student</w:t>
            </w:r>
            <w:r w:rsidRPr="00F7764E">
              <w:rPr>
                <w:i/>
                <w:color w:val="000000"/>
              </w:rPr>
              <w:t xml:space="preserve"> performance at age 15</w:t>
            </w:r>
            <w:r>
              <w:rPr>
                <w:i/>
                <w:color w:val="000000"/>
              </w:rPr>
              <w:t>. A number of international research studies show that high quality early childhood education leads to</w:t>
            </w:r>
            <w:r>
              <w:rPr>
                <w:rFonts w:eastAsia="Times New Roman" w:cs="Times New Roman"/>
                <w:i/>
                <w:color w:val="000000" w:themeColor="text1"/>
                <w:lang w:eastAsia="en-AU"/>
              </w:rPr>
              <w:t>:</w:t>
            </w:r>
          </w:p>
          <w:p w:rsidR="002D3DF1" w:rsidRPr="0017191A" w:rsidRDefault="002D3DF1" w:rsidP="00E805B6">
            <w:pPr>
              <w:pStyle w:val="ListParagraph"/>
              <w:numPr>
                <w:ilvl w:val="0"/>
                <w:numId w:val="18"/>
              </w:numPr>
              <w:rPr>
                <w:rFonts w:eastAsia="Times New Roman" w:cs="Times New Roman"/>
                <w:i/>
                <w:color w:val="000000" w:themeColor="text1"/>
                <w:lang w:eastAsia="en-AU"/>
              </w:rPr>
            </w:pPr>
            <w:r>
              <w:rPr>
                <w:rFonts w:eastAsia="Times New Roman" w:cs="Times New Roman"/>
                <w:i/>
                <w:color w:val="000000" w:themeColor="text1"/>
                <w:lang w:eastAsia="en-AU"/>
              </w:rPr>
              <w:t>improved school readiness</w:t>
            </w:r>
          </w:p>
          <w:p w:rsidR="002D3DF1" w:rsidRDefault="002D3DF1" w:rsidP="00E805B6">
            <w:pPr>
              <w:pStyle w:val="ListParagraph"/>
              <w:numPr>
                <w:ilvl w:val="0"/>
                <w:numId w:val="18"/>
              </w:numPr>
              <w:spacing w:line="276" w:lineRule="auto"/>
              <w:rPr>
                <w:i/>
                <w:color w:val="000000"/>
              </w:rPr>
            </w:pPr>
            <w:r>
              <w:rPr>
                <w:i/>
                <w:color w:val="000000"/>
              </w:rPr>
              <w:t>higher achievement and commitment at school</w:t>
            </w:r>
          </w:p>
          <w:p w:rsidR="002D3DF1" w:rsidRPr="0017191A" w:rsidRDefault="002D3DF1" w:rsidP="00E805B6">
            <w:pPr>
              <w:pStyle w:val="ListParagraph"/>
              <w:numPr>
                <w:ilvl w:val="0"/>
                <w:numId w:val="18"/>
              </w:numPr>
              <w:spacing w:line="276" w:lineRule="auto"/>
              <w:rPr>
                <w:i/>
                <w:color w:val="000000"/>
              </w:rPr>
            </w:pPr>
            <w:r>
              <w:rPr>
                <w:i/>
                <w:color w:val="000000"/>
              </w:rPr>
              <w:t>decreased</w:t>
            </w:r>
            <w:r w:rsidRPr="0017191A">
              <w:rPr>
                <w:i/>
                <w:color w:val="000000"/>
              </w:rPr>
              <w:t xml:space="preserve"> special education placement</w:t>
            </w:r>
            <w:r>
              <w:rPr>
                <w:i/>
                <w:color w:val="000000"/>
              </w:rPr>
              <w:t>s</w:t>
            </w:r>
          </w:p>
          <w:p w:rsidR="002D3DF1" w:rsidRPr="0017191A" w:rsidRDefault="002D3DF1" w:rsidP="00E805B6">
            <w:pPr>
              <w:pStyle w:val="ListParagraph"/>
              <w:numPr>
                <w:ilvl w:val="0"/>
                <w:numId w:val="18"/>
              </w:numPr>
              <w:spacing w:line="276" w:lineRule="auto"/>
              <w:rPr>
                <w:i/>
                <w:color w:val="000000"/>
              </w:rPr>
            </w:pPr>
            <w:r>
              <w:rPr>
                <w:i/>
                <w:color w:val="000000"/>
              </w:rPr>
              <w:t>decreased</w:t>
            </w:r>
            <w:r w:rsidRPr="0017191A">
              <w:rPr>
                <w:i/>
                <w:color w:val="000000"/>
              </w:rPr>
              <w:t xml:space="preserve"> grade repetition</w:t>
            </w:r>
            <w:r>
              <w:rPr>
                <w:i/>
                <w:color w:val="000000"/>
              </w:rPr>
              <w:t>s</w:t>
            </w:r>
          </w:p>
          <w:p w:rsidR="002D3DF1" w:rsidRPr="0017191A" w:rsidRDefault="002D3DF1" w:rsidP="00E805B6">
            <w:pPr>
              <w:pStyle w:val="ListParagraph"/>
              <w:numPr>
                <w:ilvl w:val="0"/>
                <w:numId w:val="18"/>
              </w:numPr>
              <w:spacing w:line="276" w:lineRule="auto"/>
              <w:rPr>
                <w:i/>
                <w:color w:val="000000"/>
              </w:rPr>
            </w:pPr>
            <w:r>
              <w:rPr>
                <w:i/>
                <w:color w:val="000000"/>
              </w:rPr>
              <w:t>increased</w:t>
            </w:r>
            <w:r w:rsidRPr="0017191A">
              <w:rPr>
                <w:i/>
                <w:color w:val="000000"/>
              </w:rPr>
              <w:t xml:space="preserve"> </w:t>
            </w:r>
            <w:r>
              <w:rPr>
                <w:i/>
                <w:color w:val="000000"/>
              </w:rPr>
              <w:t xml:space="preserve">rates of </w:t>
            </w:r>
            <w:r w:rsidRPr="0017191A">
              <w:rPr>
                <w:i/>
                <w:color w:val="000000"/>
              </w:rPr>
              <w:t xml:space="preserve">high school </w:t>
            </w:r>
            <w:r>
              <w:rPr>
                <w:i/>
                <w:color w:val="000000"/>
              </w:rPr>
              <w:t>completion.</w:t>
            </w:r>
          </w:p>
          <w:p w:rsidR="002D3DF1" w:rsidRDefault="002D3DF1" w:rsidP="00E805B6">
            <w:pPr>
              <w:rPr>
                <w:rFonts w:eastAsia="Times New Roman" w:cs="Times New Roman"/>
                <w:i/>
                <w:color w:val="000000" w:themeColor="text1"/>
                <w:lang w:eastAsia="en-AU"/>
              </w:rPr>
            </w:pPr>
          </w:p>
          <w:p w:rsidR="002D3DF1" w:rsidRDefault="002D3DF1" w:rsidP="00E805B6">
            <w:pPr>
              <w:rPr>
                <w:color w:val="000000"/>
              </w:rPr>
            </w:pPr>
            <w:r>
              <w:rPr>
                <w:rFonts w:eastAsia="Times New Roman" w:cs="Times New Roman"/>
                <w:i/>
                <w:color w:val="000000" w:themeColor="text1"/>
                <w:lang w:eastAsia="en-AU"/>
              </w:rPr>
              <w:t>Research undertaken in Australia has confirmed</w:t>
            </w:r>
            <w:r w:rsidRPr="002D6CB6">
              <w:rPr>
                <w:color w:val="000000"/>
              </w:rPr>
              <w:t xml:space="preserve"> </w:t>
            </w:r>
            <w:r w:rsidRPr="00F7764E">
              <w:rPr>
                <w:i/>
                <w:color w:val="000000"/>
              </w:rPr>
              <w:t xml:space="preserve">that </w:t>
            </w:r>
            <w:r>
              <w:rPr>
                <w:i/>
                <w:color w:val="000000"/>
              </w:rPr>
              <w:t>p</w:t>
            </w:r>
            <w:r w:rsidRPr="00F5077B">
              <w:rPr>
                <w:i/>
                <w:color w:val="000000"/>
              </w:rPr>
              <w:t>reschool attendance promotes strong developmental outcomes and successful school transitions for all children</w:t>
            </w:r>
            <w:r>
              <w:rPr>
                <w:i/>
                <w:color w:val="000000"/>
              </w:rPr>
              <w:t xml:space="preserve">. In addition, </w:t>
            </w:r>
            <w:r w:rsidRPr="00F7764E">
              <w:rPr>
                <w:i/>
                <w:color w:val="000000"/>
              </w:rPr>
              <w:t xml:space="preserve">attendance at preschool </w:t>
            </w:r>
            <w:r w:rsidR="00BB200F">
              <w:rPr>
                <w:i/>
                <w:color w:val="000000"/>
              </w:rPr>
              <w:t>is associated with a</w:t>
            </w:r>
            <w:r w:rsidRPr="00F7764E">
              <w:rPr>
                <w:i/>
                <w:color w:val="000000"/>
              </w:rPr>
              <w:t xml:space="preserve"> significant positive </w:t>
            </w:r>
            <w:r w:rsidR="00F71C5E">
              <w:rPr>
                <w:i/>
                <w:color w:val="000000"/>
              </w:rPr>
              <w:t>association</w:t>
            </w:r>
            <w:r w:rsidR="00F71C5E" w:rsidRPr="00F7764E">
              <w:rPr>
                <w:i/>
                <w:color w:val="000000"/>
              </w:rPr>
              <w:t xml:space="preserve"> </w:t>
            </w:r>
            <w:r w:rsidR="001F7A4A">
              <w:rPr>
                <w:i/>
                <w:color w:val="000000"/>
              </w:rPr>
              <w:t>with</w:t>
            </w:r>
            <w:r w:rsidR="001F7A4A" w:rsidRPr="00F7764E">
              <w:rPr>
                <w:i/>
                <w:color w:val="000000"/>
              </w:rPr>
              <w:t xml:space="preserve"> </w:t>
            </w:r>
            <w:r w:rsidRPr="00F7764E">
              <w:rPr>
                <w:i/>
                <w:color w:val="000000"/>
              </w:rPr>
              <w:t>later NAPLAN outcomes, particularly in the domains of Numeracy, Reading and Spelling</w:t>
            </w:r>
            <w:r>
              <w:rPr>
                <w:i/>
                <w:color w:val="000000"/>
              </w:rPr>
              <w:t>.</w:t>
            </w:r>
            <w:r w:rsidRPr="004A4CB8">
              <w:rPr>
                <w:color w:val="000000"/>
              </w:rPr>
              <w:t xml:space="preserve"> </w:t>
            </w:r>
          </w:p>
          <w:p w:rsidR="002D3DF1" w:rsidRDefault="002D3DF1" w:rsidP="00E805B6">
            <w:pPr>
              <w:rPr>
                <w:color w:val="000000"/>
              </w:rPr>
            </w:pPr>
          </w:p>
          <w:p w:rsidR="002D3DF1" w:rsidRPr="00DD3E56" w:rsidRDefault="008C2FE3" w:rsidP="00E805B6">
            <w:pPr>
              <w:rPr>
                <w:i/>
                <w:color w:val="000000"/>
              </w:rPr>
            </w:pPr>
            <w:r>
              <w:rPr>
                <w:i/>
                <w:color w:val="000000"/>
              </w:rPr>
              <w:t>Early childhood education</w:t>
            </w:r>
            <w:r w:rsidR="002D3DF1">
              <w:rPr>
                <w:i/>
                <w:lang w:eastAsia="en-AU"/>
              </w:rPr>
              <w:t xml:space="preserve"> has the capacity to reduce the impact of disadvantage on educational outcomes and reduce cost pressures in schools by ensuring that fewer children start behind. </w:t>
            </w:r>
          </w:p>
          <w:p w:rsidR="002D3DF1" w:rsidRDefault="002D3DF1" w:rsidP="00E805B6">
            <w:pPr>
              <w:rPr>
                <w:rFonts w:eastAsia="Times New Roman" w:cs="Times New Roman"/>
                <w:i/>
                <w:color w:val="000000" w:themeColor="text1"/>
                <w:lang w:eastAsia="en-AU"/>
              </w:rPr>
            </w:pPr>
          </w:p>
          <w:p w:rsidR="002D3DF1" w:rsidRPr="00F7764E" w:rsidRDefault="002D3DF1" w:rsidP="00E805B6">
            <w:pPr>
              <w:rPr>
                <w:i/>
                <w:color w:val="000000"/>
              </w:rPr>
            </w:pPr>
            <w:r>
              <w:rPr>
                <w:i/>
                <w:color w:val="000000"/>
              </w:rPr>
              <w:t xml:space="preserve">Overall, the evidence base makes a clear case that </w:t>
            </w:r>
            <w:r w:rsidR="001C36C4">
              <w:rPr>
                <w:i/>
                <w:color w:val="000000"/>
              </w:rPr>
              <w:t xml:space="preserve">an important part of </w:t>
            </w:r>
            <w:r>
              <w:rPr>
                <w:i/>
                <w:color w:val="000000"/>
              </w:rPr>
              <w:t>educational success in school is invest</w:t>
            </w:r>
            <w:r w:rsidR="001C36C4">
              <w:rPr>
                <w:i/>
                <w:color w:val="000000"/>
              </w:rPr>
              <w:t>ing</w:t>
            </w:r>
            <w:r>
              <w:rPr>
                <w:i/>
                <w:color w:val="000000"/>
              </w:rPr>
              <w:t xml:space="preserve"> in high quality early childhood education for all Australian children.</w:t>
            </w:r>
          </w:p>
          <w:p w:rsidR="002D3DF1" w:rsidRDefault="002D3DF1" w:rsidP="00E805B6">
            <w:pPr>
              <w:rPr>
                <w:rFonts w:eastAsia="Times New Roman" w:cs="Times New Roman"/>
                <w:i/>
                <w:color w:val="000000" w:themeColor="text1"/>
                <w:lang w:eastAsia="en-AU"/>
              </w:rPr>
            </w:pPr>
          </w:p>
        </w:tc>
      </w:tr>
    </w:tbl>
    <w:p w:rsidR="002D3DF1" w:rsidRPr="009F0DEC" w:rsidRDefault="002D3DF1" w:rsidP="002D3DF1">
      <w:pPr>
        <w:spacing w:after="0"/>
        <w:rPr>
          <w:rFonts w:eastAsia="Times New Roman" w:cs="Times New Roman"/>
          <w:color w:val="000000" w:themeColor="text1"/>
          <w:u w:val="single"/>
          <w:lang w:eastAsia="en-AU"/>
        </w:rPr>
      </w:pPr>
    </w:p>
    <w:p w:rsidR="002D3DF1" w:rsidRPr="00177632" w:rsidRDefault="002D3DF1" w:rsidP="002D3DF1">
      <w:pPr>
        <w:rPr>
          <w:lang w:eastAsia="en-AU"/>
        </w:rPr>
      </w:pPr>
      <w:r>
        <w:rPr>
          <w:lang w:eastAsia="en-AU"/>
        </w:rPr>
        <w:t>There is</w:t>
      </w:r>
      <w:r w:rsidRPr="0066621F">
        <w:rPr>
          <w:lang w:eastAsia="en-AU"/>
        </w:rPr>
        <w:t xml:space="preserve"> compelling e</w:t>
      </w:r>
      <w:r w:rsidRPr="00652365">
        <w:rPr>
          <w:lang w:eastAsia="en-AU"/>
        </w:rPr>
        <w:t>vidence that early childhood education can improve Australia’s school performance and student achievement</w:t>
      </w:r>
      <w:r w:rsidRPr="00652365">
        <w:t xml:space="preserve">. High quality programs </w:t>
      </w:r>
      <w:r>
        <w:t xml:space="preserve">that are </w:t>
      </w:r>
      <w:r w:rsidRPr="00652365">
        <w:t>relevant to local communities and contexts help to build strong cognitive and non-cognitive skills, securing the foundations</w:t>
      </w:r>
      <w:r w:rsidRPr="00652365">
        <w:rPr>
          <w:color w:val="000000"/>
        </w:rPr>
        <w:t xml:space="preserve"> for future learning.</w:t>
      </w:r>
    </w:p>
    <w:tbl>
      <w:tblPr>
        <w:tblStyle w:val="TableGrid"/>
        <w:tblW w:w="0" w:type="auto"/>
        <w:tblLook w:val="04A0" w:firstRow="1" w:lastRow="0" w:firstColumn="1" w:lastColumn="0" w:noHBand="0" w:noVBand="1"/>
      </w:tblPr>
      <w:tblGrid>
        <w:gridCol w:w="9242"/>
      </w:tblGrid>
      <w:tr w:rsidR="00E51265" w:rsidTr="00E51265">
        <w:tc>
          <w:tcPr>
            <w:tcW w:w="9242" w:type="dxa"/>
          </w:tcPr>
          <w:p w:rsidR="00E51265" w:rsidRDefault="00E51265" w:rsidP="00E51265">
            <w:pPr>
              <w:ind w:left="284"/>
            </w:pPr>
            <w:r>
              <w:t>[Break out quote]</w:t>
            </w:r>
          </w:p>
          <w:p w:rsidR="008C2FE3" w:rsidRDefault="00E51265" w:rsidP="00E51265">
            <w:pPr>
              <w:ind w:left="284"/>
            </w:pPr>
            <w:r w:rsidRPr="00177632">
              <w:t xml:space="preserve">Learning starts in infancy, long before formal education begins, and continues throughout life. Early learning begets later learning and early success breeds later success, just as early failure breeds later failure. Success or failure at this stage lays the foundation for success or failure in school, which in turn leads to success or </w:t>
            </w:r>
            <w:r>
              <w:t>failure in post-school learning</w:t>
            </w:r>
          </w:p>
          <w:p w:rsidR="00E51265" w:rsidRPr="00177632" w:rsidRDefault="008C2FE3" w:rsidP="00D51254">
            <w:pPr>
              <w:pStyle w:val="ListParagraph"/>
              <w:numPr>
                <w:ilvl w:val="0"/>
                <w:numId w:val="47"/>
              </w:numPr>
              <w:rPr>
                <w:lang w:eastAsia="en-AU"/>
              </w:rPr>
            </w:pPr>
            <w:r>
              <w:t>James Heckman, Nobel Laureate</w:t>
            </w:r>
            <w:r w:rsidR="00E51265">
              <w:t>.</w:t>
            </w:r>
            <w:r w:rsidR="00E51265">
              <w:rPr>
                <w:rStyle w:val="EndnoteReference"/>
              </w:rPr>
              <w:endnoteReference w:id="98"/>
            </w:r>
          </w:p>
          <w:p w:rsidR="00E51265" w:rsidRDefault="00E51265" w:rsidP="002D3DF1">
            <w:pPr>
              <w:rPr>
                <w:lang w:eastAsia="en-AU"/>
              </w:rPr>
            </w:pPr>
          </w:p>
        </w:tc>
      </w:tr>
    </w:tbl>
    <w:p w:rsidR="002D3DF1" w:rsidRDefault="002D3DF1" w:rsidP="002D3DF1">
      <w:pPr>
        <w:rPr>
          <w:lang w:eastAsia="en-AU"/>
        </w:rPr>
      </w:pPr>
    </w:p>
    <w:p w:rsidR="002D3DF1" w:rsidRPr="00177632" w:rsidRDefault="002D3DF1" w:rsidP="002D3DF1">
      <w:pPr>
        <w:rPr>
          <w:lang w:eastAsia="en-AU"/>
        </w:rPr>
      </w:pPr>
      <w:r>
        <w:rPr>
          <w:lang w:eastAsia="en-AU"/>
        </w:rPr>
        <w:t xml:space="preserve">As noted </w:t>
      </w:r>
      <w:r w:rsidR="00924A05">
        <w:rPr>
          <w:lang w:eastAsia="en-AU"/>
        </w:rPr>
        <w:t>earlier</w:t>
      </w:r>
      <w:r>
        <w:rPr>
          <w:lang w:eastAsia="en-AU"/>
        </w:rPr>
        <w:t>, c</w:t>
      </w:r>
      <w:r w:rsidRPr="00177632">
        <w:rPr>
          <w:lang w:eastAsia="en-AU"/>
        </w:rPr>
        <w:t>hildren’s brains are developing rapidly in the early years.</w:t>
      </w:r>
      <w:r>
        <w:rPr>
          <w:lang w:eastAsia="en-AU"/>
        </w:rPr>
        <w:t xml:space="preserve"> Early</w:t>
      </w:r>
      <w:r w:rsidRPr="00177632">
        <w:rPr>
          <w:lang w:eastAsia="en-AU"/>
        </w:rPr>
        <w:t xml:space="preserve"> childhood education helps </w:t>
      </w:r>
      <w:r>
        <w:rPr>
          <w:lang w:eastAsia="en-AU"/>
        </w:rPr>
        <w:t>to enhance children’s learning at this critical stage</w:t>
      </w:r>
      <w:r w:rsidRPr="00177632">
        <w:rPr>
          <w:lang w:eastAsia="en-AU"/>
        </w:rPr>
        <w:t xml:space="preserve"> </w:t>
      </w:r>
      <w:r>
        <w:rPr>
          <w:lang w:eastAsia="en-AU"/>
        </w:rPr>
        <w:t xml:space="preserve">to </w:t>
      </w:r>
      <w:r w:rsidRPr="00177632">
        <w:rPr>
          <w:lang w:eastAsia="en-AU"/>
        </w:rPr>
        <w:t>create a foundation for lifelong learning, skill development and wellbeing</w:t>
      </w:r>
      <w:r>
        <w:rPr>
          <w:lang w:eastAsia="en-AU"/>
        </w:rPr>
        <w:t>.</w:t>
      </w:r>
      <w:r w:rsidRPr="00177632">
        <w:rPr>
          <w:rStyle w:val="EndnoteReference"/>
          <w:rFonts w:eastAsia="Times New Roman"/>
          <w:color w:val="000000" w:themeColor="text1"/>
        </w:rPr>
        <w:endnoteReference w:id="99"/>
      </w:r>
      <w:r w:rsidRPr="00177632">
        <w:rPr>
          <w:lang w:eastAsia="en-AU"/>
        </w:rPr>
        <w:t xml:space="preserve"> </w:t>
      </w:r>
      <w:r>
        <w:rPr>
          <w:lang w:eastAsia="en-AU"/>
        </w:rPr>
        <w:t>Experiences at preschool help children to develop their vocabulary, communication skills, maths skills and problem solving abilities, as well as the ability to concentrate, follow instructions and get along with others</w:t>
      </w:r>
      <w:r>
        <w:rPr>
          <w:rStyle w:val="EndnoteReference"/>
          <w:lang w:eastAsia="en-AU"/>
        </w:rPr>
        <w:endnoteReference w:id="100"/>
      </w:r>
      <w:r>
        <w:rPr>
          <w:lang w:eastAsia="en-AU"/>
        </w:rPr>
        <w:t xml:space="preserve"> </w:t>
      </w:r>
      <w:r w:rsidR="00407175" w:rsidRPr="00820AA7">
        <w:rPr>
          <w:lang w:eastAsia="en-AU"/>
        </w:rPr>
        <w:t xml:space="preserve">– </w:t>
      </w:r>
      <w:r>
        <w:rPr>
          <w:lang w:eastAsia="en-AU"/>
        </w:rPr>
        <w:t>skills that are critical to later success in a school classroom.</w:t>
      </w:r>
    </w:p>
    <w:p w:rsidR="002D3DF1" w:rsidRPr="00177632" w:rsidRDefault="002D3DF1" w:rsidP="002D3DF1">
      <w:pPr>
        <w:rPr>
          <w:lang w:eastAsia="en-AU"/>
        </w:rPr>
      </w:pPr>
      <w:r>
        <w:t>D</w:t>
      </w:r>
      <w:r w:rsidRPr="00177632">
        <w:t>espite significant increased government investment</w:t>
      </w:r>
      <w:r>
        <w:t xml:space="preserve"> in</w:t>
      </w:r>
      <w:r w:rsidRPr="00177632">
        <w:t xml:space="preserve"> school education, Australian students’ performance in national and international assessments has declined in real and relative terms</w:t>
      </w:r>
      <w:r>
        <w:t>.</w:t>
      </w:r>
      <w:r w:rsidRPr="00177632">
        <w:rPr>
          <w:rStyle w:val="EndnoteReference"/>
        </w:rPr>
        <w:endnoteReference w:id="101"/>
      </w:r>
      <w:r w:rsidRPr="00177632">
        <w:t xml:space="preserve"> This is evident in </w:t>
      </w:r>
      <w:r>
        <w:t xml:space="preserve">both </w:t>
      </w:r>
      <w:r w:rsidRPr="00177632">
        <w:t>NAPLAN and PISA results</w:t>
      </w:r>
      <w:r w:rsidR="005F79C9">
        <w:t xml:space="preserve">, and has been identified by the Commonwealth Government as one of the reasons it has established the current </w:t>
      </w:r>
      <w:r w:rsidR="0093057C" w:rsidRPr="001A7366">
        <w:t>Review to Achieve Educational Excellence in Australian Schools</w:t>
      </w:r>
      <w:r w:rsidRPr="00177632">
        <w:t>.</w:t>
      </w:r>
      <w:r>
        <w:t xml:space="preserve"> Investing in high quality </w:t>
      </w:r>
      <w:r w:rsidR="008C2FE3">
        <w:t xml:space="preserve">early childhood </w:t>
      </w:r>
      <w:r>
        <w:t xml:space="preserve">education has the capacity to reverse this decline. </w:t>
      </w:r>
    </w:p>
    <w:p w:rsidR="002D3DF1" w:rsidRPr="00177632" w:rsidRDefault="002D3DF1" w:rsidP="002D3DF1">
      <w:r>
        <w:rPr>
          <w:lang w:eastAsia="en-AU"/>
        </w:rPr>
        <w:t>Moreover, t</w:t>
      </w:r>
      <w:r w:rsidRPr="00177632">
        <w:rPr>
          <w:lang w:eastAsia="en-AU"/>
        </w:rPr>
        <w:t>he benefit</w:t>
      </w:r>
      <w:r>
        <w:rPr>
          <w:lang w:eastAsia="en-AU"/>
        </w:rPr>
        <w:t>s of investing in high quality early childhood e</w:t>
      </w:r>
      <w:r w:rsidRPr="00177632">
        <w:rPr>
          <w:lang w:eastAsia="en-AU"/>
        </w:rPr>
        <w:t xml:space="preserve">ducation extend beyond positive </w:t>
      </w:r>
      <w:r>
        <w:rPr>
          <w:lang w:eastAsia="en-AU"/>
        </w:rPr>
        <w:t xml:space="preserve">school </w:t>
      </w:r>
      <w:r w:rsidRPr="00177632">
        <w:rPr>
          <w:lang w:eastAsia="en-AU"/>
        </w:rPr>
        <w:t xml:space="preserve">performance. </w:t>
      </w:r>
      <w:r>
        <w:rPr>
          <w:lang w:eastAsia="en-AU"/>
        </w:rPr>
        <w:t>S</w:t>
      </w:r>
      <w:r w:rsidRPr="00177632">
        <w:rPr>
          <w:lang w:eastAsia="en-AU"/>
        </w:rPr>
        <w:t xml:space="preserve">tudies highlight that early childhood education breaks down the barriers to educational success </w:t>
      </w:r>
      <w:r w:rsidR="00CB24A6">
        <w:rPr>
          <w:lang w:eastAsia="en-AU"/>
        </w:rPr>
        <w:t xml:space="preserve">faced by </w:t>
      </w:r>
      <w:r w:rsidRPr="00177632">
        <w:rPr>
          <w:lang w:eastAsia="en-AU"/>
        </w:rPr>
        <w:t xml:space="preserve">children </w:t>
      </w:r>
      <w:r w:rsidR="00CB24A6">
        <w:rPr>
          <w:lang w:eastAsia="en-AU"/>
        </w:rPr>
        <w:t xml:space="preserve">in disadvantaged circumstances. </w:t>
      </w:r>
      <w:r w:rsidR="004E4D26" w:rsidRPr="00423D14">
        <w:t xml:space="preserve">A child </w:t>
      </w:r>
      <w:r w:rsidRPr="00177632">
        <w:t xml:space="preserve">who </w:t>
      </w:r>
      <w:r w:rsidRPr="00830DA1">
        <w:t>perform</w:t>
      </w:r>
      <w:r w:rsidR="004E4D26" w:rsidRPr="00E502FD">
        <w:t>s</w:t>
      </w:r>
      <w:r w:rsidRPr="00177632">
        <w:t xml:space="preserve"> well at school </w:t>
      </w:r>
      <w:r w:rsidR="004E4D26" w:rsidRPr="009D0B2F">
        <w:t>is</w:t>
      </w:r>
      <w:r w:rsidRPr="00177632">
        <w:t xml:space="preserve"> more likely to stay in school, go on to further study and have better employment prospects. </w:t>
      </w:r>
      <w:r w:rsidR="004E4D26" w:rsidRPr="00375442">
        <w:t xml:space="preserve">A child </w:t>
      </w:r>
      <w:r w:rsidRPr="00177632">
        <w:t xml:space="preserve">who </w:t>
      </w:r>
      <w:r w:rsidRPr="002E15C6">
        <w:t>do</w:t>
      </w:r>
      <w:r w:rsidR="004E4D26" w:rsidRPr="003A365F">
        <w:t>es</w:t>
      </w:r>
      <w:r w:rsidRPr="00177632">
        <w:t xml:space="preserve"> not perform well in school </w:t>
      </w:r>
      <w:r w:rsidR="004E4D26" w:rsidRPr="00451733">
        <w:t xml:space="preserve">is </w:t>
      </w:r>
      <w:r w:rsidRPr="00177632">
        <w:t xml:space="preserve">more likely to disengage from education and drop out of school altogether, leaving </w:t>
      </w:r>
      <w:r w:rsidR="004E4D26" w:rsidRPr="004164F8">
        <w:t>him or her</w:t>
      </w:r>
      <w:r w:rsidRPr="00177632">
        <w:t xml:space="preserve"> without </w:t>
      </w:r>
      <w:r w:rsidR="000211EF">
        <w:t xml:space="preserve">the </w:t>
      </w:r>
      <w:r w:rsidRPr="00177632">
        <w:t>basic skills they need</w:t>
      </w:r>
      <w:r>
        <w:t xml:space="preserve"> for life.</w:t>
      </w:r>
      <w:r w:rsidRPr="00177632">
        <w:rPr>
          <w:rStyle w:val="EndnoteReference"/>
        </w:rPr>
        <w:endnoteReference w:id="102"/>
      </w:r>
      <w:r>
        <w:t xml:space="preserve"> </w:t>
      </w:r>
      <w:r w:rsidRPr="00177632">
        <w:rPr>
          <w:lang w:eastAsia="en-AU"/>
        </w:rPr>
        <w:t xml:space="preserve">Other benefits include reducing the </w:t>
      </w:r>
      <w:r w:rsidRPr="00177632">
        <w:t>need for special educational placements and remedial education as children move through school, which reduces financial pressure on schools</w:t>
      </w:r>
      <w:r>
        <w:t xml:space="preserve"> and parents.</w:t>
      </w:r>
      <w:r w:rsidRPr="00177632">
        <w:rPr>
          <w:rStyle w:val="EndnoteReference"/>
        </w:rPr>
        <w:endnoteReference w:id="103"/>
      </w:r>
      <w:r w:rsidRPr="00177632">
        <w:t xml:space="preserve"> </w:t>
      </w:r>
    </w:p>
    <w:p w:rsidR="002D3DF1" w:rsidRPr="00177632" w:rsidRDefault="002D3DF1" w:rsidP="002D3DF1">
      <w:pPr>
        <w:rPr>
          <w:i/>
        </w:rPr>
      </w:pPr>
      <w:r w:rsidRPr="00177632">
        <w:rPr>
          <w:i/>
        </w:rPr>
        <w:t xml:space="preserve">Impact of early childhood education on school outcomes – </w:t>
      </w:r>
      <w:r>
        <w:rPr>
          <w:i/>
        </w:rPr>
        <w:t>i</w:t>
      </w:r>
      <w:r w:rsidRPr="00177632">
        <w:rPr>
          <w:i/>
        </w:rPr>
        <w:t>nternational</w:t>
      </w:r>
    </w:p>
    <w:p w:rsidR="002D3DF1" w:rsidRDefault="002D3DF1" w:rsidP="002D3DF1">
      <w:pPr>
        <w:rPr>
          <w:color w:val="000000"/>
        </w:rPr>
      </w:pPr>
      <w:r>
        <w:rPr>
          <w:color w:val="000000"/>
        </w:rPr>
        <w:t>A significant body of international evidence demonstrates that early childhood education has a positive impact on school outcomes. For example, a consensus statement from The Brookings Institution concludes:</w:t>
      </w:r>
    </w:p>
    <w:p w:rsidR="002D3DF1" w:rsidRDefault="004E4D26" w:rsidP="002D3DF1">
      <w:pPr>
        <w:ind w:left="709"/>
      </w:pPr>
      <w:r w:rsidRPr="008F2D4E">
        <w:t>Convincing</w:t>
      </w:r>
      <w:r w:rsidR="002D3DF1">
        <w:t xml:space="preserve"> evidence shows that children attending a diverse array of [preschool] programs are more ready for school at the end of their [preschool] year than children who do not attend [preschool]. Improvements in academic areas such as literacy and numeracy are most common</w:t>
      </w:r>
      <w:r w:rsidR="00F951E3">
        <w:t>.</w:t>
      </w:r>
      <w:r w:rsidR="002D3DF1">
        <w:rPr>
          <w:rStyle w:val="EndnoteReference"/>
        </w:rPr>
        <w:endnoteReference w:id="104"/>
      </w:r>
    </w:p>
    <w:p w:rsidR="002D3DF1" w:rsidRDefault="002D3DF1" w:rsidP="002D3DF1">
      <w:pPr>
        <w:rPr>
          <w:color w:val="000000"/>
        </w:rPr>
      </w:pPr>
      <w:r w:rsidRPr="00177632">
        <w:rPr>
          <w:color w:val="000000"/>
        </w:rPr>
        <w:t xml:space="preserve">The </w:t>
      </w:r>
      <w:r w:rsidRPr="003554FF">
        <w:rPr>
          <w:color w:val="000000"/>
        </w:rPr>
        <w:t>OECD</w:t>
      </w:r>
      <w:r>
        <w:rPr>
          <w:color w:val="000000"/>
        </w:rPr>
        <w:t xml:space="preserve"> similarly</w:t>
      </w:r>
      <w:r w:rsidRPr="00177632">
        <w:rPr>
          <w:i/>
          <w:color w:val="000000"/>
        </w:rPr>
        <w:t xml:space="preserve"> </w:t>
      </w:r>
      <w:r w:rsidRPr="00177632">
        <w:rPr>
          <w:color w:val="000000"/>
        </w:rPr>
        <w:t xml:space="preserve">identifies that </w:t>
      </w:r>
      <w:r>
        <w:rPr>
          <w:color w:val="000000"/>
        </w:rPr>
        <w:t xml:space="preserve">early childhood education </w:t>
      </w:r>
      <w:r w:rsidRPr="00177632">
        <w:rPr>
          <w:color w:val="000000"/>
        </w:rPr>
        <w:t xml:space="preserve">provides a crucial foundation for future learning by promoting key cognitive and non-cognitive skills that are important for success </w:t>
      </w:r>
      <w:r>
        <w:rPr>
          <w:color w:val="000000"/>
        </w:rPr>
        <w:t xml:space="preserve">in school, </w:t>
      </w:r>
      <w:r w:rsidRPr="00177632">
        <w:rPr>
          <w:color w:val="000000"/>
        </w:rPr>
        <w:t xml:space="preserve">particularly for disadvantaged children: </w:t>
      </w:r>
      <w:r w:rsidR="001C36C4">
        <w:rPr>
          <w:color w:val="000000"/>
        </w:rPr>
        <w:t>’</w:t>
      </w:r>
      <w:r w:rsidRPr="00177632">
        <w:rPr>
          <w:color w:val="000000"/>
        </w:rPr>
        <w:t>children who are already falling behind in the first few years of their childhood face greater obstacles to catch up a</w:t>
      </w:r>
      <w:r>
        <w:rPr>
          <w:color w:val="000000"/>
        </w:rPr>
        <w:t>nd succeed at school and beyond</w:t>
      </w:r>
      <w:r w:rsidR="001C36C4">
        <w:rPr>
          <w:color w:val="000000"/>
        </w:rPr>
        <w:t>’</w:t>
      </w:r>
      <w:r>
        <w:rPr>
          <w:color w:val="000000"/>
        </w:rPr>
        <w:t>.</w:t>
      </w:r>
      <w:r w:rsidRPr="00177632">
        <w:rPr>
          <w:rStyle w:val="EndnoteReference"/>
          <w:color w:val="000000"/>
        </w:rPr>
        <w:endnoteReference w:id="105"/>
      </w:r>
    </w:p>
    <w:p w:rsidR="002D3DF1" w:rsidRPr="00177632" w:rsidRDefault="002D3DF1" w:rsidP="002D3DF1">
      <w:pPr>
        <w:rPr>
          <w:color w:val="000000"/>
        </w:rPr>
      </w:pPr>
      <w:r w:rsidRPr="00177632">
        <w:rPr>
          <w:color w:val="000000"/>
        </w:rPr>
        <w:t xml:space="preserve">The </w:t>
      </w:r>
      <w:r>
        <w:rPr>
          <w:color w:val="000000"/>
        </w:rPr>
        <w:t xml:space="preserve">OECD analysed </w:t>
      </w:r>
      <w:r w:rsidRPr="00177632">
        <w:rPr>
          <w:color w:val="000000"/>
        </w:rPr>
        <w:t>data from the 72 countries that participated in PISA 2015</w:t>
      </w:r>
      <w:r>
        <w:rPr>
          <w:color w:val="000000"/>
        </w:rPr>
        <w:t xml:space="preserve"> to</w:t>
      </w:r>
      <w:r w:rsidRPr="00177632">
        <w:rPr>
          <w:color w:val="000000"/>
        </w:rPr>
        <w:t xml:space="preserve"> </w:t>
      </w:r>
      <w:r>
        <w:rPr>
          <w:color w:val="000000"/>
        </w:rPr>
        <w:t>examine the relationship between</w:t>
      </w:r>
      <w:r w:rsidRPr="00177632">
        <w:rPr>
          <w:color w:val="000000"/>
        </w:rPr>
        <w:t xml:space="preserve"> early childhood education and</w:t>
      </w:r>
      <w:r>
        <w:rPr>
          <w:color w:val="000000"/>
        </w:rPr>
        <w:t xml:space="preserve"> </w:t>
      </w:r>
      <w:r w:rsidRPr="00177632">
        <w:rPr>
          <w:color w:val="000000"/>
        </w:rPr>
        <w:t>academic performance at age 15. Key findings include:</w:t>
      </w:r>
    </w:p>
    <w:p w:rsidR="002D3DF1" w:rsidRPr="00C3292F" w:rsidRDefault="002D3DF1" w:rsidP="002D3DF1">
      <w:pPr>
        <w:pStyle w:val="ListParagraph"/>
        <w:numPr>
          <w:ilvl w:val="0"/>
          <w:numId w:val="15"/>
        </w:numPr>
        <w:rPr>
          <w:color w:val="000000"/>
        </w:rPr>
      </w:pPr>
      <w:r w:rsidRPr="00C3292F">
        <w:rPr>
          <w:color w:val="000000"/>
        </w:rPr>
        <w:t>students who attended early childhood education and care outperformed students who had not</w:t>
      </w:r>
    </w:p>
    <w:p w:rsidR="002D3DF1" w:rsidRDefault="002D3DF1" w:rsidP="002D3DF1">
      <w:pPr>
        <w:pStyle w:val="ListParagraph"/>
        <w:numPr>
          <w:ilvl w:val="0"/>
          <w:numId w:val="15"/>
        </w:numPr>
        <w:rPr>
          <w:color w:val="000000"/>
        </w:rPr>
      </w:pPr>
      <w:r w:rsidRPr="00177632">
        <w:rPr>
          <w:color w:val="000000"/>
        </w:rPr>
        <w:t xml:space="preserve">a child who has no pre-primary education is </w:t>
      </w:r>
      <w:r>
        <w:rPr>
          <w:color w:val="000000"/>
        </w:rPr>
        <w:t xml:space="preserve">nearly twice as </w:t>
      </w:r>
      <w:r w:rsidRPr="00177632">
        <w:rPr>
          <w:color w:val="000000"/>
        </w:rPr>
        <w:t xml:space="preserve">likely to perform poorly in education than a child who has attended more than </w:t>
      </w:r>
      <w:r>
        <w:rPr>
          <w:color w:val="000000"/>
        </w:rPr>
        <w:t xml:space="preserve">one </w:t>
      </w:r>
      <w:r w:rsidRPr="00177632">
        <w:rPr>
          <w:color w:val="000000"/>
        </w:rPr>
        <w:t>year of pre-primary education</w:t>
      </w:r>
    </w:p>
    <w:p w:rsidR="002D3DF1" w:rsidRPr="00ED7B01" w:rsidRDefault="002D3DF1" w:rsidP="002D3DF1">
      <w:pPr>
        <w:pStyle w:val="ListParagraph"/>
        <w:numPr>
          <w:ilvl w:val="0"/>
          <w:numId w:val="15"/>
        </w:numPr>
        <w:rPr>
          <w:color w:val="000000"/>
        </w:rPr>
      </w:pPr>
      <w:r w:rsidRPr="00C3292F">
        <w:rPr>
          <w:color w:val="000000"/>
        </w:rPr>
        <w:t>two years of early childhood education is the minimum duration needed to have a good chance of reaching a good level of performance at age 15</w:t>
      </w:r>
      <w:r w:rsidRPr="00ED7B01">
        <w:rPr>
          <w:color w:val="000000"/>
        </w:rPr>
        <w:t>.</w:t>
      </w:r>
      <w:r w:rsidRPr="00177632">
        <w:rPr>
          <w:rStyle w:val="EndnoteReference"/>
          <w:color w:val="000000"/>
        </w:rPr>
        <w:endnoteReference w:id="106"/>
      </w:r>
    </w:p>
    <w:p w:rsidR="002D3DF1" w:rsidRDefault="002D3DF1" w:rsidP="002D3DF1">
      <w:pPr>
        <w:rPr>
          <w:color w:val="000000"/>
        </w:rPr>
      </w:pPr>
      <w:r w:rsidRPr="00177632">
        <w:rPr>
          <w:color w:val="000000"/>
        </w:rPr>
        <w:t xml:space="preserve">PISA data shows that better student performance at age 15 is strongest in school systems that provide a longer duration of pre-primary education to a larger proportion of the student population, have smaller child-to-teacher ratios in pre-primary education and invest more per child at the pre-primary level of education. </w:t>
      </w:r>
    </w:p>
    <w:p w:rsidR="005B1E63" w:rsidRDefault="005B1E63">
      <w:pPr>
        <w:spacing w:line="276" w:lineRule="auto"/>
        <w:rPr>
          <w:color w:val="000000"/>
        </w:rPr>
      </w:pPr>
      <w:r>
        <w:rPr>
          <w:color w:val="000000"/>
        </w:rPr>
        <w:br w:type="page"/>
      </w:r>
    </w:p>
    <w:p w:rsidR="002D3DF1" w:rsidRPr="00A516DA" w:rsidRDefault="00BB1920" w:rsidP="002D3DF1">
      <w:pPr>
        <w:rPr>
          <w:b/>
          <w:color w:val="000000"/>
        </w:rPr>
      </w:pPr>
      <w:r w:rsidRPr="00A516DA">
        <w:rPr>
          <w:b/>
          <w:color w:val="000000"/>
        </w:rPr>
        <w:t>Chart 5:</w:t>
      </w:r>
      <w:r w:rsidR="00F31D09">
        <w:rPr>
          <w:b/>
          <w:color w:val="000000"/>
        </w:rPr>
        <w:t xml:space="preserve"> Early childhood education and care inputs that improve student performance at age 15</w:t>
      </w:r>
    </w:p>
    <w:p w:rsidR="00181AE7" w:rsidRPr="00181AE7" w:rsidRDefault="00181AE7" w:rsidP="002D3DF1">
      <w:pPr>
        <w:rPr>
          <w:noProof/>
          <w:lang w:eastAsia="en-AU"/>
        </w:rPr>
      </w:pPr>
      <w:r>
        <w:rPr>
          <w:noProof/>
          <w:lang w:eastAsia="en-AU"/>
        </w:rPr>
        <w:drawing>
          <wp:inline distT="0" distB="0" distL="0" distR="0" wp14:anchorId="3262A100" wp14:editId="0CC75365">
            <wp:extent cx="3120307" cy="1189249"/>
            <wp:effectExtent l="0" t="0" r="4445" b="0"/>
            <wp:docPr id="1151154414" name="Picture 115115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20648" cy="1189379"/>
                    </a:xfrm>
                    <a:prstGeom prst="rect">
                      <a:avLst/>
                    </a:prstGeom>
                  </pic:spPr>
                </pic:pic>
              </a:graphicData>
            </a:graphic>
          </wp:inline>
        </w:drawing>
      </w:r>
    </w:p>
    <w:p w:rsidR="00F31D09" w:rsidRPr="00A516DA" w:rsidRDefault="00F31D09" w:rsidP="002D3DF1">
      <w:pPr>
        <w:rPr>
          <w:color w:val="000000"/>
          <w:sz w:val="16"/>
          <w:szCs w:val="16"/>
        </w:rPr>
      </w:pPr>
      <w:r>
        <w:rPr>
          <w:b/>
          <w:i/>
          <w:color w:val="000000"/>
          <w:sz w:val="16"/>
          <w:szCs w:val="16"/>
        </w:rPr>
        <w:t xml:space="preserve">Source: </w:t>
      </w:r>
      <w:r>
        <w:rPr>
          <w:color w:val="000000"/>
          <w:sz w:val="16"/>
          <w:szCs w:val="16"/>
        </w:rPr>
        <w:t xml:space="preserve">OECD Starting Strong (2017) </w:t>
      </w:r>
    </w:p>
    <w:p w:rsidR="002D3DF1" w:rsidRDefault="002D3DF1" w:rsidP="002D3DF1">
      <w:pPr>
        <w:rPr>
          <w:color w:val="000000"/>
        </w:rPr>
      </w:pPr>
      <w:r>
        <w:rPr>
          <w:color w:val="000000"/>
        </w:rPr>
        <w:t xml:space="preserve">A comprehensive meta-analysis undertaken in 2017 and </w:t>
      </w:r>
      <w:r w:rsidRPr="00177632">
        <w:rPr>
          <w:color w:val="000000"/>
        </w:rPr>
        <w:t xml:space="preserve">provided to the </w:t>
      </w:r>
      <w:r>
        <w:rPr>
          <w:color w:val="000000"/>
        </w:rPr>
        <w:t xml:space="preserve">Review in advance of publication </w:t>
      </w:r>
      <w:r w:rsidRPr="00177632">
        <w:rPr>
          <w:color w:val="000000"/>
        </w:rPr>
        <w:t>consolidated</w:t>
      </w:r>
      <w:r>
        <w:rPr>
          <w:color w:val="000000"/>
        </w:rPr>
        <w:t xml:space="preserve"> the findings from 22 high </w:t>
      </w:r>
      <w:r w:rsidRPr="00177632">
        <w:rPr>
          <w:color w:val="000000"/>
        </w:rPr>
        <w:t>quality research studies</w:t>
      </w:r>
      <w:r>
        <w:rPr>
          <w:color w:val="000000"/>
        </w:rPr>
        <w:t xml:space="preserve"> in the United States. It </w:t>
      </w:r>
      <w:r w:rsidRPr="00177632">
        <w:rPr>
          <w:color w:val="000000"/>
        </w:rPr>
        <w:t>provide</w:t>
      </w:r>
      <w:r>
        <w:rPr>
          <w:color w:val="000000"/>
        </w:rPr>
        <w:t>s</w:t>
      </w:r>
      <w:r w:rsidRPr="00177632">
        <w:rPr>
          <w:color w:val="000000"/>
        </w:rPr>
        <w:t xml:space="preserve"> an up-to-date estimate of the overall impact of </w:t>
      </w:r>
      <w:r>
        <w:rPr>
          <w:color w:val="000000"/>
        </w:rPr>
        <w:t>participation in early childhood education</w:t>
      </w:r>
      <w:r w:rsidRPr="00177632">
        <w:rPr>
          <w:color w:val="000000"/>
        </w:rPr>
        <w:t xml:space="preserve"> program</w:t>
      </w:r>
      <w:r>
        <w:rPr>
          <w:color w:val="000000"/>
        </w:rPr>
        <w:t>s. The</w:t>
      </w:r>
      <w:r w:rsidRPr="00177632">
        <w:rPr>
          <w:color w:val="000000"/>
        </w:rPr>
        <w:t xml:space="preserve"> </w:t>
      </w:r>
      <w:r>
        <w:rPr>
          <w:color w:val="000000"/>
        </w:rPr>
        <w:t>meta-</w:t>
      </w:r>
      <w:r w:rsidRPr="00177632">
        <w:rPr>
          <w:color w:val="000000"/>
        </w:rPr>
        <w:t>analysis</w:t>
      </w:r>
      <w:r>
        <w:rPr>
          <w:color w:val="000000"/>
        </w:rPr>
        <w:t xml:space="preserve"> of the impact of both targeted and universal programs found that early childhood education plays a significant role in reducing the need for special education placements and grade repetitions, and in increasing high school graduation rates.</w:t>
      </w:r>
      <w:r w:rsidRPr="00177632">
        <w:rPr>
          <w:rStyle w:val="EndnoteReference"/>
          <w:color w:val="000000"/>
        </w:rPr>
        <w:endnoteReference w:id="107"/>
      </w:r>
      <w:r w:rsidR="00A21D73">
        <w:rPr>
          <w:color w:val="000000"/>
        </w:rPr>
        <w:t xml:space="preserve"> It shows</w:t>
      </w:r>
      <w:r>
        <w:rPr>
          <w:color w:val="000000"/>
        </w:rPr>
        <w:t xml:space="preserve"> that participation in early childhood education leads to an:</w:t>
      </w:r>
    </w:p>
    <w:p w:rsidR="002D3DF1" w:rsidRPr="000B249D" w:rsidRDefault="002D3DF1" w:rsidP="002D3DF1">
      <w:pPr>
        <w:pStyle w:val="ListParagraph"/>
        <w:numPr>
          <w:ilvl w:val="0"/>
          <w:numId w:val="18"/>
        </w:numPr>
        <w:spacing w:line="276" w:lineRule="auto"/>
        <w:rPr>
          <w:color w:val="000000"/>
        </w:rPr>
      </w:pPr>
      <w:r w:rsidRPr="000B249D">
        <w:rPr>
          <w:color w:val="000000"/>
        </w:rPr>
        <w:t>8.</w:t>
      </w:r>
      <w:r>
        <w:rPr>
          <w:color w:val="000000"/>
        </w:rPr>
        <w:t>1</w:t>
      </w:r>
      <w:r w:rsidRPr="000B249D">
        <w:rPr>
          <w:color w:val="000000"/>
        </w:rPr>
        <w:t xml:space="preserve"> percentage point decrease in special education placement</w:t>
      </w:r>
    </w:p>
    <w:p w:rsidR="002D3DF1" w:rsidRPr="000B249D" w:rsidRDefault="002D3DF1" w:rsidP="002D3DF1">
      <w:pPr>
        <w:pStyle w:val="ListParagraph"/>
        <w:numPr>
          <w:ilvl w:val="0"/>
          <w:numId w:val="18"/>
        </w:numPr>
        <w:spacing w:line="276" w:lineRule="auto"/>
        <w:rPr>
          <w:color w:val="000000"/>
        </w:rPr>
      </w:pPr>
      <w:r w:rsidRPr="000B249D">
        <w:rPr>
          <w:color w:val="000000"/>
        </w:rPr>
        <w:t>8.</w:t>
      </w:r>
      <w:r>
        <w:rPr>
          <w:color w:val="000000"/>
        </w:rPr>
        <w:t>3</w:t>
      </w:r>
      <w:r w:rsidRPr="000B249D">
        <w:rPr>
          <w:color w:val="000000"/>
        </w:rPr>
        <w:t xml:space="preserve"> percentage point decrease in grade repetition</w:t>
      </w:r>
    </w:p>
    <w:p w:rsidR="002D3DF1" w:rsidRDefault="002D3DF1" w:rsidP="002D3DF1">
      <w:pPr>
        <w:pStyle w:val="ListParagraph"/>
        <w:numPr>
          <w:ilvl w:val="0"/>
          <w:numId w:val="18"/>
        </w:numPr>
        <w:spacing w:line="276" w:lineRule="auto"/>
        <w:rPr>
          <w:color w:val="000000"/>
        </w:rPr>
      </w:pPr>
      <w:r w:rsidRPr="000B249D">
        <w:rPr>
          <w:color w:val="000000"/>
        </w:rPr>
        <w:t>11.4</w:t>
      </w:r>
      <w:r>
        <w:rPr>
          <w:color w:val="000000"/>
        </w:rPr>
        <w:t xml:space="preserve"> </w:t>
      </w:r>
      <w:r w:rsidRPr="000B249D">
        <w:rPr>
          <w:color w:val="000000"/>
        </w:rPr>
        <w:t>percentage point increase in high school graduation</w:t>
      </w:r>
      <w:r>
        <w:rPr>
          <w:color w:val="000000"/>
        </w:rPr>
        <w:t>.</w:t>
      </w:r>
      <w:r w:rsidRPr="00177632">
        <w:rPr>
          <w:rStyle w:val="EndnoteReference"/>
          <w:color w:val="000000"/>
        </w:rPr>
        <w:endnoteReference w:id="108"/>
      </w:r>
    </w:p>
    <w:p w:rsidR="002D3DF1" w:rsidRDefault="002D3DF1" w:rsidP="002D3DF1">
      <w:pPr>
        <w:rPr>
          <w:i/>
          <w:color w:val="000000"/>
        </w:rPr>
      </w:pPr>
      <w:r w:rsidRPr="00A407E5">
        <w:rPr>
          <w:color w:val="000000"/>
        </w:rPr>
        <w:t>The following summaries of key longitudinal studies from the U</w:t>
      </w:r>
      <w:r>
        <w:rPr>
          <w:color w:val="000000"/>
        </w:rPr>
        <w:t xml:space="preserve">nited </w:t>
      </w:r>
      <w:r w:rsidRPr="00A407E5">
        <w:rPr>
          <w:color w:val="000000"/>
        </w:rPr>
        <w:t>K</w:t>
      </w:r>
      <w:r>
        <w:rPr>
          <w:color w:val="000000"/>
        </w:rPr>
        <w:t>ingdom</w:t>
      </w:r>
      <w:r w:rsidRPr="00A407E5">
        <w:rPr>
          <w:color w:val="000000"/>
        </w:rPr>
        <w:t xml:space="preserve"> and the U</w:t>
      </w:r>
      <w:r>
        <w:rPr>
          <w:color w:val="000000"/>
        </w:rPr>
        <w:t xml:space="preserve">nited </w:t>
      </w:r>
      <w:r w:rsidRPr="00A407E5">
        <w:rPr>
          <w:color w:val="000000"/>
        </w:rPr>
        <w:t>S</w:t>
      </w:r>
      <w:r>
        <w:rPr>
          <w:color w:val="000000"/>
        </w:rPr>
        <w:t>tates</w:t>
      </w:r>
      <w:r w:rsidRPr="00A407E5">
        <w:rPr>
          <w:color w:val="000000"/>
        </w:rPr>
        <w:t xml:space="preserve"> further demonstrate how early childhood education improves the educational performance and outcomes of all students.</w:t>
      </w:r>
    </w:p>
    <w:p w:rsidR="002D3DF1" w:rsidRPr="00177632" w:rsidRDefault="002D3DF1" w:rsidP="002D3DF1">
      <w:pPr>
        <w:rPr>
          <w:i/>
          <w:color w:val="000000"/>
        </w:rPr>
      </w:pPr>
      <w:r w:rsidRPr="009D1481">
        <w:rPr>
          <w:i/>
          <w:color w:val="000000"/>
        </w:rPr>
        <w:t>Effective Provision of Preschool, Primary and Secondary Education</w:t>
      </w:r>
      <w:r w:rsidRPr="00A407E5">
        <w:rPr>
          <w:color w:val="000000"/>
        </w:rPr>
        <w:t xml:space="preserve"> (EPPSE) </w:t>
      </w:r>
      <w:r w:rsidRPr="009D1481">
        <w:rPr>
          <w:i/>
          <w:color w:val="000000"/>
        </w:rPr>
        <w:t>study</w:t>
      </w:r>
      <w:r>
        <w:rPr>
          <w:i/>
          <w:color w:val="000000"/>
        </w:rPr>
        <w:t xml:space="preserve"> (UK)</w:t>
      </w:r>
    </w:p>
    <w:p w:rsidR="002D3DF1" w:rsidRPr="00177632" w:rsidRDefault="002D3DF1" w:rsidP="002D3DF1">
      <w:pPr>
        <w:rPr>
          <w:color w:val="000000"/>
        </w:rPr>
      </w:pPr>
      <w:r w:rsidRPr="00177632">
        <w:rPr>
          <w:color w:val="000000"/>
        </w:rPr>
        <w:t xml:space="preserve">The EPPSE project investigated the influence of preschool on academic and social-behavioural outcomes for </w:t>
      </w:r>
      <w:r>
        <w:rPr>
          <w:color w:val="000000"/>
        </w:rPr>
        <w:t xml:space="preserve">children from </w:t>
      </w:r>
      <w:r w:rsidRPr="00177632">
        <w:rPr>
          <w:color w:val="000000"/>
        </w:rPr>
        <w:t xml:space="preserve">a range of </w:t>
      </w:r>
      <w:r>
        <w:rPr>
          <w:color w:val="000000"/>
        </w:rPr>
        <w:t>backgrounds</w:t>
      </w:r>
      <w:r w:rsidRPr="00177632">
        <w:rPr>
          <w:color w:val="000000"/>
        </w:rPr>
        <w:t xml:space="preserve"> in the UK from 1997 </w:t>
      </w:r>
      <w:r>
        <w:rPr>
          <w:color w:val="000000"/>
        </w:rPr>
        <w:t>to</w:t>
      </w:r>
      <w:r w:rsidRPr="00177632">
        <w:rPr>
          <w:color w:val="000000"/>
        </w:rPr>
        <w:t xml:space="preserve"> 2014. 2,800 children were recruite</w:t>
      </w:r>
      <w:r>
        <w:rPr>
          <w:color w:val="000000"/>
        </w:rPr>
        <w:t>d to the study from six English local a</w:t>
      </w:r>
      <w:r w:rsidRPr="00177632">
        <w:rPr>
          <w:color w:val="000000"/>
        </w:rPr>
        <w:t>uthorities</w:t>
      </w:r>
      <w:r>
        <w:rPr>
          <w:color w:val="000000"/>
        </w:rPr>
        <w:t>,</w:t>
      </w:r>
      <w:r w:rsidRPr="00177632">
        <w:rPr>
          <w:color w:val="000000"/>
        </w:rPr>
        <w:t xml:space="preserve"> which covered urban and regional areas, and a range of socio</w:t>
      </w:r>
      <w:r>
        <w:rPr>
          <w:color w:val="000000"/>
        </w:rPr>
        <w:t>-</w:t>
      </w:r>
      <w:r w:rsidRPr="00177632">
        <w:rPr>
          <w:color w:val="000000"/>
        </w:rPr>
        <w:t xml:space="preserve">economic levels. These children had attended 141 </w:t>
      </w:r>
      <w:r w:rsidR="00D70271">
        <w:rPr>
          <w:color w:val="000000"/>
        </w:rPr>
        <w:t xml:space="preserve">services </w:t>
      </w:r>
      <w:r w:rsidRPr="00177632">
        <w:rPr>
          <w:color w:val="000000"/>
        </w:rPr>
        <w:t>across the private, voluntary and local government sectors</w:t>
      </w:r>
      <w:r w:rsidR="00D70271">
        <w:rPr>
          <w:color w:val="000000"/>
        </w:rPr>
        <w:t>, including preschools and playgroups</w:t>
      </w:r>
      <w:r>
        <w:rPr>
          <w:color w:val="000000"/>
        </w:rPr>
        <w:t>.</w:t>
      </w:r>
      <w:r w:rsidRPr="00177632">
        <w:rPr>
          <w:rStyle w:val="EndnoteReference"/>
          <w:color w:val="000000"/>
        </w:rPr>
        <w:endnoteReference w:id="109"/>
      </w:r>
      <w:r w:rsidRPr="00177632">
        <w:rPr>
          <w:color w:val="000000"/>
        </w:rPr>
        <w:t xml:space="preserve"> </w:t>
      </w:r>
    </w:p>
    <w:p w:rsidR="002D3DF1" w:rsidRPr="00177632" w:rsidRDefault="002D3DF1" w:rsidP="002D3DF1">
      <w:pPr>
        <w:rPr>
          <w:color w:val="000000"/>
        </w:rPr>
      </w:pPr>
      <w:r>
        <w:rPr>
          <w:color w:val="000000"/>
        </w:rPr>
        <w:t>T</w:t>
      </w:r>
      <w:r w:rsidRPr="00177632">
        <w:rPr>
          <w:color w:val="000000"/>
        </w:rPr>
        <w:t xml:space="preserve">he </w:t>
      </w:r>
      <w:r>
        <w:rPr>
          <w:color w:val="000000"/>
        </w:rPr>
        <w:t xml:space="preserve">key finding from EPPSE is that </w:t>
      </w:r>
      <w:r w:rsidRPr="00177632">
        <w:rPr>
          <w:color w:val="000000"/>
        </w:rPr>
        <w:t>for all children</w:t>
      </w:r>
      <w:r>
        <w:rPr>
          <w:color w:val="000000"/>
        </w:rPr>
        <w:t>, regardless of their background or circumstance, pre</w:t>
      </w:r>
      <w:r w:rsidRPr="00177632">
        <w:rPr>
          <w:color w:val="000000"/>
        </w:rPr>
        <w:t xml:space="preserve">school has a positive and </w:t>
      </w:r>
      <w:r w:rsidR="005F3371" w:rsidRPr="00470D18">
        <w:rPr>
          <w:color w:val="000000"/>
        </w:rPr>
        <w:t>long-term</w:t>
      </w:r>
      <w:r w:rsidRPr="00177632">
        <w:rPr>
          <w:color w:val="000000"/>
        </w:rPr>
        <w:t xml:space="preserve"> impact on social-behavioural development</w:t>
      </w:r>
      <w:r>
        <w:rPr>
          <w:color w:val="000000"/>
        </w:rPr>
        <w:t xml:space="preserve">, and on </w:t>
      </w:r>
      <w:r w:rsidRPr="00177632">
        <w:rPr>
          <w:color w:val="000000"/>
        </w:rPr>
        <w:t>achievement and progress at school</w:t>
      </w:r>
      <w:r>
        <w:rPr>
          <w:color w:val="000000"/>
        </w:rPr>
        <w:t xml:space="preserve"> and beyond.</w:t>
      </w:r>
      <w:r w:rsidRPr="00177632">
        <w:rPr>
          <w:rStyle w:val="EndnoteReference"/>
          <w:color w:val="000000"/>
        </w:rPr>
        <w:endnoteReference w:id="110"/>
      </w:r>
      <w:r>
        <w:rPr>
          <w:color w:val="000000"/>
        </w:rPr>
        <w:t xml:space="preserve"> </w:t>
      </w:r>
    </w:p>
    <w:p w:rsidR="002D3DF1" w:rsidRDefault="002D3DF1" w:rsidP="002D3DF1">
      <w:pPr>
        <w:rPr>
          <w:color w:val="000000"/>
        </w:rPr>
      </w:pPr>
      <w:r w:rsidRPr="00177632">
        <w:rPr>
          <w:color w:val="000000"/>
        </w:rPr>
        <w:t xml:space="preserve">EPPSE found that children who had attended preschool had higher social and cognitive skills at school entry compared </w:t>
      </w:r>
      <w:r w:rsidR="005F3371" w:rsidRPr="00A33316">
        <w:rPr>
          <w:color w:val="000000"/>
        </w:rPr>
        <w:t xml:space="preserve">with </w:t>
      </w:r>
      <w:r w:rsidRPr="00177632">
        <w:rPr>
          <w:color w:val="000000"/>
        </w:rPr>
        <w:t>those who did not. Children who had attended a high quality preschool for two</w:t>
      </w:r>
      <w:r w:rsidR="008C2FE3">
        <w:rPr>
          <w:color w:val="000000"/>
        </w:rPr>
        <w:t xml:space="preserve"> </w:t>
      </w:r>
      <w:r w:rsidRPr="00177632">
        <w:rPr>
          <w:color w:val="000000"/>
        </w:rPr>
        <w:t>to</w:t>
      </w:r>
      <w:r w:rsidR="008C2FE3">
        <w:rPr>
          <w:color w:val="000000"/>
        </w:rPr>
        <w:t xml:space="preserve"> </w:t>
      </w:r>
      <w:r w:rsidRPr="00177632">
        <w:rPr>
          <w:color w:val="000000"/>
        </w:rPr>
        <w:t>three years showed better development in language, pre-reading, early number concepts and non-verbal reasoning</w:t>
      </w:r>
      <w:r>
        <w:rPr>
          <w:color w:val="000000"/>
        </w:rPr>
        <w:t>.</w:t>
      </w:r>
      <w:r w:rsidRPr="00177632">
        <w:rPr>
          <w:rStyle w:val="EndnoteReference"/>
          <w:color w:val="000000"/>
        </w:rPr>
        <w:endnoteReference w:id="111"/>
      </w:r>
      <w:r w:rsidRPr="00177632">
        <w:rPr>
          <w:color w:val="000000"/>
        </w:rPr>
        <w:t xml:space="preserve"> These children were nearly eight months ahead in their literacy development compared </w:t>
      </w:r>
      <w:r w:rsidR="005F3371" w:rsidRPr="00820AA7">
        <w:rPr>
          <w:color w:val="000000"/>
        </w:rPr>
        <w:t>with</w:t>
      </w:r>
      <w:r w:rsidR="005F3371" w:rsidRPr="003C30CF">
        <w:rPr>
          <w:color w:val="000000"/>
        </w:rPr>
        <w:t xml:space="preserve"> </w:t>
      </w:r>
      <w:r w:rsidRPr="00177632">
        <w:rPr>
          <w:color w:val="000000"/>
        </w:rPr>
        <w:t>those who had not attended preschool.</w:t>
      </w:r>
    </w:p>
    <w:p w:rsidR="00BB1920" w:rsidRDefault="00BB1920">
      <w:pPr>
        <w:spacing w:line="276" w:lineRule="auto"/>
        <w:rPr>
          <w:color w:val="000000"/>
        </w:rPr>
      </w:pPr>
      <w:r>
        <w:rPr>
          <w:color w:val="000000"/>
        </w:rPr>
        <w:br w:type="page"/>
      </w:r>
    </w:p>
    <w:p w:rsidR="00BB1920" w:rsidRPr="00A516DA" w:rsidRDefault="00BB1920" w:rsidP="002D3DF1">
      <w:pPr>
        <w:rPr>
          <w:b/>
          <w:color w:val="000000"/>
        </w:rPr>
      </w:pPr>
      <w:r w:rsidRPr="00A516DA">
        <w:rPr>
          <w:b/>
          <w:color w:val="000000"/>
        </w:rPr>
        <w:t>Chart 6:</w:t>
      </w:r>
      <w:r w:rsidR="00FC513D">
        <w:rPr>
          <w:b/>
          <w:color w:val="000000"/>
        </w:rPr>
        <w:t xml:space="preserve"> Developmental advantage (months) based on duration and quality of preschool </w:t>
      </w:r>
    </w:p>
    <w:p w:rsidR="002D3DF1" w:rsidRPr="00177632" w:rsidRDefault="00181AE7" w:rsidP="002D3DF1">
      <w:pPr>
        <w:rPr>
          <w:color w:val="000000"/>
        </w:rPr>
      </w:pPr>
      <w:r>
        <w:rPr>
          <w:noProof/>
          <w:lang w:eastAsia="en-AU"/>
        </w:rPr>
        <w:drawing>
          <wp:inline distT="0" distB="0" distL="0" distR="0" wp14:anchorId="45141413" wp14:editId="2E52E882">
            <wp:extent cx="3634641" cy="1723089"/>
            <wp:effectExtent l="0" t="0" r="4445" b="0"/>
            <wp:docPr id="1151154415" name="Picture 115115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37269" cy="1724335"/>
                    </a:xfrm>
                    <a:prstGeom prst="rect">
                      <a:avLst/>
                    </a:prstGeom>
                  </pic:spPr>
                </pic:pic>
              </a:graphicData>
            </a:graphic>
          </wp:inline>
        </w:drawing>
      </w:r>
    </w:p>
    <w:p w:rsidR="00FC513D" w:rsidRPr="00A516DA" w:rsidRDefault="00FC513D" w:rsidP="002D3DF1">
      <w:pPr>
        <w:rPr>
          <w:b/>
          <w:i/>
          <w:color w:val="000000"/>
          <w:sz w:val="16"/>
          <w:szCs w:val="16"/>
        </w:rPr>
      </w:pPr>
      <w:r w:rsidRPr="00FC513D">
        <w:rPr>
          <w:b/>
          <w:i/>
          <w:color w:val="000000"/>
          <w:sz w:val="16"/>
          <w:szCs w:val="16"/>
        </w:rPr>
        <w:t xml:space="preserve">Source: </w:t>
      </w:r>
      <w:r w:rsidRPr="00A516DA">
        <w:rPr>
          <w:color w:val="000000" w:themeColor="text1"/>
          <w:sz w:val="16"/>
          <w:szCs w:val="16"/>
        </w:rPr>
        <w:t xml:space="preserve">Taggart, B., Sylva, K., </w:t>
      </w:r>
      <w:proofErr w:type="spellStart"/>
      <w:r w:rsidRPr="00A516DA">
        <w:rPr>
          <w:color w:val="000000" w:themeColor="text1"/>
          <w:sz w:val="16"/>
          <w:szCs w:val="16"/>
        </w:rPr>
        <w:t>Melhuish</w:t>
      </w:r>
      <w:proofErr w:type="spellEnd"/>
      <w:r w:rsidRPr="00A516DA">
        <w:rPr>
          <w:color w:val="000000" w:themeColor="text1"/>
          <w:sz w:val="16"/>
          <w:szCs w:val="16"/>
        </w:rPr>
        <w:t xml:space="preserve">, E., Sammons, P., &amp; </w:t>
      </w:r>
      <w:proofErr w:type="spellStart"/>
      <w:r w:rsidRPr="00A516DA">
        <w:rPr>
          <w:color w:val="000000" w:themeColor="text1"/>
          <w:sz w:val="16"/>
          <w:szCs w:val="16"/>
        </w:rPr>
        <w:t>Siraj</w:t>
      </w:r>
      <w:proofErr w:type="spellEnd"/>
      <w:r w:rsidRPr="00A516DA">
        <w:rPr>
          <w:color w:val="000000" w:themeColor="text1"/>
          <w:sz w:val="16"/>
          <w:szCs w:val="16"/>
        </w:rPr>
        <w:t>, I. (2015).</w:t>
      </w:r>
    </w:p>
    <w:p w:rsidR="002D3DF1" w:rsidRDefault="002D3DF1" w:rsidP="002D3DF1">
      <w:pPr>
        <w:rPr>
          <w:color w:val="000000"/>
        </w:rPr>
      </w:pPr>
      <w:r>
        <w:rPr>
          <w:color w:val="000000"/>
        </w:rPr>
        <w:t xml:space="preserve">The study </w:t>
      </w:r>
      <w:r w:rsidRPr="00177632">
        <w:rPr>
          <w:color w:val="000000"/>
        </w:rPr>
        <w:t>found that hig</w:t>
      </w:r>
      <w:r>
        <w:rPr>
          <w:color w:val="000000"/>
        </w:rPr>
        <w:t>h quality pre</w:t>
      </w:r>
      <w:r w:rsidRPr="00177632">
        <w:rPr>
          <w:color w:val="000000"/>
        </w:rPr>
        <w:t>school continues to influence outcomes through</w:t>
      </w:r>
      <w:r>
        <w:rPr>
          <w:color w:val="000000"/>
        </w:rPr>
        <w:t>out</w:t>
      </w:r>
      <w:r w:rsidRPr="00177632">
        <w:rPr>
          <w:color w:val="000000"/>
        </w:rPr>
        <w:t xml:space="preserve"> school</w:t>
      </w:r>
      <w:r>
        <w:rPr>
          <w:color w:val="000000"/>
        </w:rPr>
        <w:t>ing. At ages six to eleven, children who had attended a high quality preschool had statistically significant better attainment in reading and maths.</w:t>
      </w:r>
      <w:r>
        <w:rPr>
          <w:rStyle w:val="EndnoteReference"/>
          <w:color w:val="000000"/>
        </w:rPr>
        <w:endnoteReference w:id="112"/>
      </w:r>
      <w:r>
        <w:rPr>
          <w:color w:val="000000"/>
        </w:rPr>
        <w:t xml:space="preserve"> At age 16, b</w:t>
      </w:r>
      <w:r w:rsidRPr="00177632">
        <w:rPr>
          <w:color w:val="000000"/>
        </w:rPr>
        <w:t xml:space="preserve">etter </w:t>
      </w:r>
      <w:r>
        <w:rPr>
          <w:color w:val="000000"/>
        </w:rPr>
        <w:t xml:space="preserve">school </w:t>
      </w:r>
      <w:r w:rsidRPr="00177632">
        <w:rPr>
          <w:color w:val="000000"/>
        </w:rPr>
        <w:t xml:space="preserve">results were attributed to those who had attended either a high quality preschool (49 score points), or preschool for two to three years (51 score points), compared </w:t>
      </w:r>
      <w:r w:rsidR="00B418DF" w:rsidRPr="00030983">
        <w:rPr>
          <w:color w:val="000000"/>
        </w:rPr>
        <w:t xml:space="preserve">with </w:t>
      </w:r>
      <w:r w:rsidRPr="00177632">
        <w:rPr>
          <w:color w:val="000000"/>
        </w:rPr>
        <w:t>those who had not attended preschool</w:t>
      </w:r>
      <w:r>
        <w:rPr>
          <w:color w:val="000000"/>
        </w:rPr>
        <w:t>.</w:t>
      </w:r>
      <w:r w:rsidRPr="00177632">
        <w:rPr>
          <w:rStyle w:val="EndnoteReference"/>
          <w:color w:val="000000"/>
        </w:rPr>
        <w:endnoteReference w:id="113"/>
      </w:r>
      <w:r w:rsidRPr="00177632">
        <w:rPr>
          <w:color w:val="000000"/>
        </w:rPr>
        <w:t xml:space="preserve"> The study also found</w:t>
      </w:r>
      <w:r>
        <w:rPr>
          <w:color w:val="000000"/>
        </w:rPr>
        <w:t xml:space="preserve"> that students who attended pre</w:t>
      </w:r>
      <w:r w:rsidRPr="00177632">
        <w:rPr>
          <w:color w:val="000000"/>
        </w:rPr>
        <w:t>school were more likely to go on</w:t>
      </w:r>
      <w:r>
        <w:rPr>
          <w:color w:val="000000"/>
        </w:rPr>
        <w:t xml:space="preserve"> </w:t>
      </w:r>
      <w:r w:rsidRPr="00177632">
        <w:rPr>
          <w:color w:val="000000"/>
        </w:rPr>
        <w:t>to higher academic study.</w:t>
      </w:r>
    </w:p>
    <w:p w:rsidR="002D3DF1" w:rsidRDefault="002D3DF1" w:rsidP="002D3DF1">
      <w:pPr>
        <w:rPr>
          <w:color w:val="000000"/>
        </w:rPr>
      </w:pPr>
      <w:r>
        <w:rPr>
          <w:color w:val="000000"/>
        </w:rPr>
        <w:t>While preschool was found to have improved outcomes for all children, EPPSE</w:t>
      </w:r>
      <w:r w:rsidRPr="00177632">
        <w:rPr>
          <w:color w:val="000000"/>
        </w:rPr>
        <w:t xml:space="preserve"> </w:t>
      </w:r>
      <w:r>
        <w:rPr>
          <w:color w:val="000000"/>
        </w:rPr>
        <w:t>concluded</w:t>
      </w:r>
      <w:r w:rsidRPr="00177632">
        <w:rPr>
          <w:color w:val="000000"/>
        </w:rPr>
        <w:t xml:space="preserve"> that high quality preschool particular</w:t>
      </w:r>
      <w:r>
        <w:rPr>
          <w:color w:val="000000"/>
        </w:rPr>
        <w:t>ly improves the</w:t>
      </w:r>
      <w:r w:rsidRPr="00177632">
        <w:rPr>
          <w:color w:val="000000"/>
        </w:rPr>
        <w:t xml:space="preserve"> educational outcomes </w:t>
      </w:r>
      <w:r>
        <w:rPr>
          <w:color w:val="000000"/>
        </w:rPr>
        <w:t>for</w:t>
      </w:r>
      <w:r w:rsidRPr="00177632">
        <w:rPr>
          <w:color w:val="000000"/>
        </w:rPr>
        <w:t xml:space="preserve"> disadvantaged children.</w:t>
      </w:r>
      <w:r w:rsidRPr="00177632">
        <w:rPr>
          <w:rStyle w:val="EndnoteReference"/>
          <w:color w:val="000000"/>
        </w:rPr>
        <w:endnoteReference w:id="114"/>
      </w:r>
      <w:r w:rsidRPr="00177632">
        <w:rPr>
          <w:color w:val="000000"/>
        </w:rPr>
        <w:t xml:space="preserve"> </w:t>
      </w:r>
      <w:r>
        <w:rPr>
          <w:color w:val="000000"/>
        </w:rPr>
        <w:t>For example, high quality preschool</w:t>
      </w:r>
      <w:r w:rsidRPr="00177632">
        <w:rPr>
          <w:color w:val="000000"/>
        </w:rPr>
        <w:t xml:space="preserve"> was specifically associated with enhancing maths outcomes for disadvantaged students at age 11.</w:t>
      </w:r>
      <w:r>
        <w:rPr>
          <w:color w:val="000000"/>
        </w:rPr>
        <w:t xml:space="preserve"> </w:t>
      </w:r>
      <w:r w:rsidRPr="00177632">
        <w:rPr>
          <w:color w:val="000000"/>
        </w:rPr>
        <w:t xml:space="preserve">Preschool also acted as an effective </w:t>
      </w:r>
      <w:r>
        <w:rPr>
          <w:color w:val="000000"/>
        </w:rPr>
        <w:t xml:space="preserve">preventative measure </w:t>
      </w:r>
      <w:r w:rsidRPr="00177632">
        <w:rPr>
          <w:color w:val="000000"/>
        </w:rPr>
        <w:t>for special education placements</w:t>
      </w:r>
      <w:r w:rsidR="00B418DF" w:rsidRPr="00FC0EC5">
        <w:rPr>
          <w:color w:val="000000"/>
        </w:rPr>
        <w:t xml:space="preserve">; </w:t>
      </w:r>
      <w:r>
        <w:rPr>
          <w:color w:val="000000"/>
        </w:rPr>
        <w:t>o</w:t>
      </w:r>
      <w:r w:rsidRPr="00177632">
        <w:rPr>
          <w:color w:val="000000"/>
        </w:rPr>
        <w:t>ne</w:t>
      </w:r>
      <w:r w:rsidR="008C2FE3">
        <w:rPr>
          <w:color w:val="000000"/>
        </w:rPr>
        <w:t xml:space="preserve"> </w:t>
      </w:r>
      <w:r w:rsidRPr="00177632">
        <w:rPr>
          <w:color w:val="000000"/>
        </w:rPr>
        <w:t>in</w:t>
      </w:r>
      <w:r w:rsidR="008C2FE3">
        <w:rPr>
          <w:color w:val="000000"/>
        </w:rPr>
        <w:t xml:space="preserve"> </w:t>
      </w:r>
      <w:r w:rsidRPr="00177632">
        <w:rPr>
          <w:color w:val="000000"/>
        </w:rPr>
        <w:t>three children were at risk of developing learning difficulties during preschool</w:t>
      </w:r>
      <w:r>
        <w:rPr>
          <w:color w:val="000000"/>
        </w:rPr>
        <w:t>, but t</w:t>
      </w:r>
      <w:r w:rsidRPr="00177632">
        <w:rPr>
          <w:color w:val="000000"/>
        </w:rPr>
        <w:t>his fell to one</w:t>
      </w:r>
      <w:r w:rsidR="008C2FE3">
        <w:rPr>
          <w:color w:val="000000"/>
        </w:rPr>
        <w:t xml:space="preserve"> </w:t>
      </w:r>
      <w:r w:rsidRPr="00177632">
        <w:rPr>
          <w:color w:val="000000"/>
        </w:rPr>
        <w:t>in</w:t>
      </w:r>
      <w:r w:rsidR="008C2FE3">
        <w:rPr>
          <w:color w:val="000000"/>
        </w:rPr>
        <w:t xml:space="preserve"> </w:t>
      </w:r>
      <w:r w:rsidRPr="00177632">
        <w:rPr>
          <w:color w:val="000000"/>
        </w:rPr>
        <w:t xml:space="preserve">five once </w:t>
      </w:r>
      <w:r>
        <w:rPr>
          <w:color w:val="000000"/>
        </w:rPr>
        <w:t>children</w:t>
      </w:r>
      <w:r w:rsidRPr="00177632">
        <w:rPr>
          <w:color w:val="000000"/>
        </w:rPr>
        <w:t xml:space="preserve"> started primary school</w:t>
      </w:r>
      <w:r>
        <w:rPr>
          <w:color w:val="000000"/>
        </w:rPr>
        <w:t>, due to the early intervention of preschool.</w:t>
      </w:r>
      <w:r w:rsidRPr="00177632">
        <w:rPr>
          <w:rStyle w:val="EndnoteReference"/>
          <w:color w:val="000000"/>
        </w:rPr>
        <w:endnoteReference w:id="115"/>
      </w:r>
    </w:p>
    <w:p w:rsidR="002D3DF1" w:rsidRDefault="002D3DF1" w:rsidP="002D3DF1">
      <w:pPr>
        <w:rPr>
          <w:color w:val="000000"/>
        </w:rPr>
      </w:pPr>
      <w:r>
        <w:rPr>
          <w:color w:val="000000"/>
        </w:rPr>
        <w:t>EPPSE has laid the foundation for major reforms in the UK early childhood system, including universal access to early childhood education for children aged three and four, as well as for the most disadvantaged 40 per cent of two year olds.</w:t>
      </w:r>
      <w:r>
        <w:rPr>
          <w:rStyle w:val="EndnoteReference"/>
          <w:color w:val="000000"/>
        </w:rPr>
        <w:endnoteReference w:id="116"/>
      </w:r>
    </w:p>
    <w:p w:rsidR="002D3DF1" w:rsidRPr="00ED7B01" w:rsidRDefault="002D3DF1" w:rsidP="002D3DF1">
      <w:pPr>
        <w:rPr>
          <w:i/>
          <w:color w:val="000000"/>
        </w:rPr>
      </w:pPr>
      <w:r w:rsidRPr="00ED7B01">
        <w:rPr>
          <w:i/>
          <w:color w:val="000000"/>
        </w:rPr>
        <w:t>US studies on high quality early childhood interventions for disadvantaged children</w:t>
      </w:r>
    </w:p>
    <w:p w:rsidR="002D3DF1" w:rsidRDefault="002D3DF1" w:rsidP="002D3DF1">
      <w:pPr>
        <w:rPr>
          <w:color w:val="000000"/>
        </w:rPr>
      </w:pPr>
      <w:r>
        <w:rPr>
          <w:color w:val="000000"/>
        </w:rPr>
        <w:t xml:space="preserve">A series of longitudinal studies conducted in the US </w:t>
      </w:r>
      <w:r w:rsidRPr="003C30CF">
        <w:rPr>
          <w:color w:val="000000"/>
        </w:rPr>
        <w:t>provide</w:t>
      </w:r>
      <w:r w:rsidR="00B418DF" w:rsidRPr="00A33316">
        <w:rPr>
          <w:color w:val="000000"/>
        </w:rPr>
        <w:t>s</w:t>
      </w:r>
      <w:r>
        <w:rPr>
          <w:color w:val="000000"/>
        </w:rPr>
        <w:t xml:space="preserve"> further evidence that </w:t>
      </w:r>
      <w:r w:rsidRPr="00177632">
        <w:rPr>
          <w:color w:val="000000"/>
        </w:rPr>
        <w:t xml:space="preserve">high quality early childhood education </w:t>
      </w:r>
      <w:r w:rsidR="00D97190" w:rsidRPr="00FC0EC5">
        <w:rPr>
          <w:color w:val="000000"/>
        </w:rPr>
        <w:t>offers</w:t>
      </w:r>
      <w:r w:rsidRPr="00177632">
        <w:rPr>
          <w:color w:val="000000"/>
        </w:rPr>
        <w:t xml:space="preserve"> enduring educational benefits</w:t>
      </w:r>
      <w:r>
        <w:rPr>
          <w:color w:val="000000"/>
        </w:rPr>
        <w:t xml:space="preserve">, particularly for children from disadvantaged backgrounds. </w:t>
      </w:r>
    </w:p>
    <w:p w:rsidR="001214FD" w:rsidRPr="00D51254" w:rsidRDefault="002D3DF1" w:rsidP="001214FD">
      <w:pPr>
        <w:autoSpaceDE w:val="0"/>
        <w:autoSpaceDN w:val="0"/>
        <w:adjustRightInd w:val="0"/>
        <w:spacing w:after="0"/>
        <w:rPr>
          <w:color w:val="000000"/>
        </w:rPr>
      </w:pPr>
      <w:r w:rsidRPr="00177632">
        <w:rPr>
          <w:color w:val="000000"/>
        </w:rPr>
        <w:t>The Perry Preschool Program</w:t>
      </w:r>
      <w:r w:rsidR="005167A7">
        <w:rPr>
          <w:color w:val="000000"/>
        </w:rPr>
        <w:t>,</w:t>
      </w:r>
      <w:r w:rsidR="00BB233A">
        <w:rPr>
          <w:rStyle w:val="EndnoteReference"/>
          <w:color w:val="000000"/>
        </w:rPr>
        <w:endnoteReference w:id="117"/>
      </w:r>
      <w:r>
        <w:rPr>
          <w:color w:val="000000"/>
        </w:rPr>
        <w:t xml:space="preserve"> the </w:t>
      </w:r>
      <w:r w:rsidRPr="0007743F">
        <w:rPr>
          <w:shd w:val="clear" w:color="auto" w:fill="FFFFFF"/>
        </w:rPr>
        <w:t>Abecedarian Project</w:t>
      </w:r>
      <w:r w:rsidR="00BB233A">
        <w:rPr>
          <w:rStyle w:val="EndnoteReference"/>
          <w:shd w:val="clear" w:color="auto" w:fill="FFFFFF"/>
        </w:rPr>
        <w:endnoteReference w:id="118"/>
      </w:r>
      <w:r w:rsidR="00BB233A">
        <w:rPr>
          <w:shd w:val="clear" w:color="auto" w:fill="FFFFFF"/>
        </w:rPr>
        <w:t xml:space="preserve"> </w:t>
      </w:r>
      <w:r>
        <w:rPr>
          <w:shd w:val="clear" w:color="auto" w:fill="FFFFFF"/>
        </w:rPr>
        <w:t xml:space="preserve">and the </w:t>
      </w:r>
      <w:r w:rsidRPr="00177632">
        <w:rPr>
          <w:color w:val="000000"/>
        </w:rPr>
        <w:t>Chicago Longitudinal Study/Child Parent Center Program</w:t>
      </w:r>
      <w:r w:rsidR="00BB233A">
        <w:rPr>
          <w:rStyle w:val="EndnoteReference"/>
          <w:color w:val="000000"/>
        </w:rPr>
        <w:endnoteReference w:id="119"/>
      </w:r>
      <w:r>
        <w:rPr>
          <w:color w:val="000000"/>
        </w:rPr>
        <w:t xml:space="preserve"> are influential in the early childhood literature because they provide compelling, experimental and longitudinal evidence of the benefits of early childhood education. All three studies provided high quality early childhood programs to children</w:t>
      </w:r>
      <w:r w:rsidR="00627814">
        <w:rPr>
          <w:color w:val="000000"/>
        </w:rPr>
        <w:t xml:space="preserve"> who were</w:t>
      </w:r>
      <w:r>
        <w:rPr>
          <w:color w:val="000000"/>
        </w:rPr>
        <w:t xml:space="preserve"> </w:t>
      </w:r>
      <w:r w:rsidRPr="00177632">
        <w:rPr>
          <w:color w:val="000000"/>
        </w:rPr>
        <w:t xml:space="preserve">at risk of poor outcomes </w:t>
      </w:r>
      <w:r w:rsidR="00627814">
        <w:rPr>
          <w:color w:val="000000"/>
        </w:rPr>
        <w:t>due to</w:t>
      </w:r>
      <w:r w:rsidRPr="00177632">
        <w:rPr>
          <w:color w:val="000000"/>
        </w:rPr>
        <w:t xml:space="preserve"> neighbourhood po</w:t>
      </w:r>
      <w:r>
        <w:rPr>
          <w:color w:val="000000"/>
        </w:rPr>
        <w:t>verty, family low-income status</w:t>
      </w:r>
      <w:r w:rsidRPr="00177632">
        <w:rPr>
          <w:color w:val="000000"/>
        </w:rPr>
        <w:t xml:space="preserve"> </w:t>
      </w:r>
      <w:r>
        <w:rPr>
          <w:color w:val="000000"/>
        </w:rPr>
        <w:t>or</w:t>
      </w:r>
      <w:r w:rsidRPr="00177632">
        <w:rPr>
          <w:color w:val="000000"/>
        </w:rPr>
        <w:t xml:space="preserve"> other </w:t>
      </w:r>
      <w:r>
        <w:rPr>
          <w:color w:val="000000"/>
        </w:rPr>
        <w:t xml:space="preserve">forms of social, </w:t>
      </w:r>
      <w:r w:rsidRPr="00177632">
        <w:rPr>
          <w:color w:val="000000"/>
        </w:rPr>
        <w:t xml:space="preserve">economic </w:t>
      </w:r>
      <w:r>
        <w:rPr>
          <w:color w:val="000000"/>
        </w:rPr>
        <w:t>or</w:t>
      </w:r>
      <w:r w:rsidRPr="00177632">
        <w:rPr>
          <w:color w:val="000000"/>
        </w:rPr>
        <w:t xml:space="preserve"> educational </w:t>
      </w:r>
      <w:r>
        <w:rPr>
          <w:color w:val="000000"/>
        </w:rPr>
        <w:t>disadvantage.</w:t>
      </w:r>
      <w:r w:rsidR="001214FD" w:rsidRPr="001214FD">
        <w:rPr>
          <w:rFonts w:ascii="Segoe UI" w:hAnsi="Segoe UI" w:cs="Segoe UI"/>
          <w:color w:val="000000"/>
        </w:rPr>
        <w:t xml:space="preserve"> </w:t>
      </w:r>
      <w:r w:rsidR="001214FD" w:rsidRPr="00D51254">
        <w:rPr>
          <w:color w:val="000000"/>
        </w:rPr>
        <w:t xml:space="preserve">Additional wrap around interventions such as home visits, health and nutrition services and parental education programs were also provided. </w:t>
      </w:r>
    </w:p>
    <w:p w:rsidR="001214FD" w:rsidRDefault="001214FD" w:rsidP="00D51254">
      <w:pPr>
        <w:tabs>
          <w:tab w:val="left" w:pos="6045"/>
        </w:tabs>
        <w:rPr>
          <w:color w:val="000000"/>
        </w:rPr>
      </w:pPr>
    </w:p>
    <w:p w:rsidR="002D3DF1" w:rsidRDefault="002D3DF1" w:rsidP="002D3DF1">
      <w:pPr>
        <w:rPr>
          <w:color w:val="000000"/>
        </w:rPr>
      </w:pPr>
      <w:r>
        <w:rPr>
          <w:color w:val="000000"/>
        </w:rPr>
        <w:t>The</w:t>
      </w:r>
      <w:r w:rsidR="001214FD">
        <w:rPr>
          <w:color w:val="000000"/>
        </w:rPr>
        <w:t xml:space="preserve"> studies </w:t>
      </w:r>
      <w:r>
        <w:rPr>
          <w:color w:val="000000"/>
        </w:rPr>
        <w:t xml:space="preserve">operated in different US locations between 1962 and 1986, with data being collected at multiple points through to adulthood, comparing outcomes for those who participated (program group) with the control group (no program group). </w:t>
      </w:r>
    </w:p>
    <w:p w:rsidR="002D3DF1" w:rsidRDefault="002D3DF1" w:rsidP="002D3DF1">
      <w:pPr>
        <w:rPr>
          <w:color w:val="000000"/>
        </w:rPr>
      </w:pPr>
      <w:r>
        <w:rPr>
          <w:color w:val="000000"/>
        </w:rPr>
        <w:t xml:space="preserve">All three studies concluded that the interventions had significant and long-term educational benefits for the children who participated. Key benefits included: </w:t>
      </w:r>
    </w:p>
    <w:p w:rsidR="002D3DF1" w:rsidRDefault="002D3DF1" w:rsidP="002D3DF1">
      <w:pPr>
        <w:pStyle w:val="ListParagraph"/>
        <w:numPr>
          <w:ilvl w:val="0"/>
          <w:numId w:val="34"/>
        </w:numPr>
        <w:rPr>
          <w:color w:val="000000"/>
        </w:rPr>
      </w:pPr>
      <w:r>
        <w:rPr>
          <w:color w:val="000000"/>
        </w:rPr>
        <w:t>improved school readiness</w:t>
      </w:r>
    </w:p>
    <w:p w:rsidR="002D3DF1" w:rsidRDefault="002D3DF1" w:rsidP="002D3DF1">
      <w:pPr>
        <w:pStyle w:val="ListParagraph"/>
        <w:numPr>
          <w:ilvl w:val="0"/>
          <w:numId w:val="34"/>
        </w:numPr>
        <w:rPr>
          <w:color w:val="000000"/>
        </w:rPr>
      </w:pPr>
      <w:r>
        <w:rPr>
          <w:color w:val="000000"/>
        </w:rPr>
        <w:t>higher achievement at school</w:t>
      </w:r>
    </w:p>
    <w:p w:rsidR="002D3DF1" w:rsidRDefault="002D3DF1" w:rsidP="002D3DF1">
      <w:pPr>
        <w:pStyle w:val="ListParagraph"/>
        <w:numPr>
          <w:ilvl w:val="0"/>
          <w:numId w:val="34"/>
        </w:numPr>
        <w:rPr>
          <w:color w:val="000000"/>
        </w:rPr>
      </w:pPr>
      <w:r>
        <w:rPr>
          <w:color w:val="000000"/>
        </w:rPr>
        <w:t>improved commitment to school</w:t>
      </w:r>
      <w:r w:rsidR="00932371">
        <w:rPr>
          <w:color w:val="000000"/>
        </w:rPr>
        <w:t xml:space="preserve"> and reduced absences</w:t>
      </w:r>
    </w:p>
    <w:p w:rsidR="002D3DF1" w:rsidRDefault="002D3DF1" w:rsidP="002D3DF1">
      <w:pPr>
        <w:pStyle w:val="ListParagraph"/>
        <w:numPr>
          <w:ilvl w:val="0"/>
          <w:numId w:val="34"/>
        </w:numPr>
        <w:rPr>
          <w:color w:val="000000"/>
        </w:rPr>
      </w:pPr>
      <w:r>
        <w:rPr>
          <w:color w:val="000000"/>
        </w:rPr>
        <w:t>decreased special education placements</w:t>
      </w:r>
    </w:p>
    <w:p w:rsidR="00924A05" w:rsidRDefault="002D3DF1" w:rsidP="002D3DF1">
      <w:pPr>
        <w:pStyle w:val="ListParagraph"/>
        <w:numPr>
          <w:ilvl w:val="0"/>
          <w:numId w:val="34"/>
        </w:numPr>
        <w:rPr>
          <w:color w:val="000000"/>
        </w:rPr>
      </w:pPr>
      <w:r w:rsidRPr="00E805B6">
        <w:rPr>
          <w:color w:val="000000"/>
        </w:rPr>
        <w:t>fewer grade repetitions</w:t>
      </w:r>
    </w:p>
    <w:p w:rsidR="00F334F2" w:rsidRPr="00F334F2" w:rsidRDefault="001C3893">
      <w:pPr>
        <w:pStyle w:val="ListParagraph"/>
        <w:numPr>
          <w:ilvl w:val="0"/>
          <w:numId w:val="34"/>
        </w:numPr>
      </w:pPr>
      <w:r w:rsidRPr="00A516DA">
        <w:rPr>
          <w:color w:val="000000"/>
        </w:rPr>
        <w:t>increased high</w:t>
      </w:r>
      <w:r w:rsidR="002D3DF1" w:rsidRPr="00A516DA">
        <w:rPr>
          <w:color w:val="000000"/>
        </w:rPr>
        <w:t xml:space="preserve"> school graduation rates.</w:t>
      </w:r>
    </w:p>
    <w:p w:rsidR="00E805B6" w:rsidRPr="00A516DA" w:rsidRDefault="00BB1920" w:rsidP="00A516DA">
      <w:pPr>
        <w:ind w:left="360"/>
        <w:rPr>
          <w:b/>
          <w:color w:val="000000"/>
        </w:rPr>
      </w:pPr>
      <w:r w:rsidRPr="00A516DA">
        <w:rPr>
          <w:b/>
          <w:color w:val="000000"/>
        </w:rPr>
        <w:t>Chart 7:</w:t>
      </w:r>
      <w:r w:rsidR="00F334F2">
        <w:rPr>
          <w:b/>
          <w:color w:val="000000"/>
        </w:rPr>
        <w:t xml:space="preserve"> Key findings from Perry Preschool Program – program group vs no program group</w:t>
      </w:r>
    </w:p>
    <w:p w:rsidR="002D3DF1" w:rsidRPr="00181AE7" w:rsidRDefault="00181AE7" w:rsidP="002D3DF1">
      <w:pPr>
        <w:rPr>
          <w:b/>
          <w:i/>
          <w:color w:val="000000"/>
          <w:sz w:val="16"/>
          <w:szCs w:val="16"/>
        </w:rPr>
      </w:pPr>
      <w:r>
        <w:rPr>
          <w:noProof/>
          <w:lang w:eastAsia="en-AU"/>
        </w:rPr>
        <w:drawing>
          <wp:inline distT="0" distB="0" distL="0" distR="0" wp14:anchorId="5006F3B0" wp14:editId="35BF7A7C">
            <wp:extent cx="2758273" cy="1507253"/>
            <wp:effectExtent l="0" t="0" r="4445" b="0"/>
            <wp:docPr id="1151154416" name="Picture 115115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58273" cy="1507253"/>
                    </a:xfrm>
                    <a:prstGeom prst="rect">
                      <a:avLst/>
                    </a:prstGeom>
                  </pic:spPr>
                </pic:pic>
              </a:graphicData>
            </a:graphic>
          </wp:inline>
        </w:drawing>
      </w:r>
      <w:r w:rsidR="002D3DF1" w:rsidRPr="00A516DA">
        <w:rPr>
          <w:color w:val="000000"/>
          <w:sz w:val="16"/>
          <w:szCs w:val="16"/>
        </w:rPr>
        <w:br w:type="textWrapping" w:clear="all"/>
      </w:r>
      <w:r w:rsidR="00F334F2" w:rsidRPr="00A516DA">
        <w:rPr>
          <w:b/>
          <w:i/>
          <w:color w:val="000000"/>
          <w:sz w:val="16"/>
          <w:szCs w:val="16"/>
        </w:rPr>
        <w:t xml:space="preserve">Source: </w:t>
      </w:r>
      <w:proofErr w:type="spellStart"/>
      <w:r w:rsidR="00776B7F" w:rsidRPr="00A516DA">
        <w:rPr>
          <w:sz w:val="16"/>
          <w:szCs w:val="16"/>
        </w:rPr>
        <w:t>Schweinhart</w:t>
      </w:r>
      <w:proofErr w:type="spellEnd"/>
      <w:r w:rsidR="00776B7F" w:rsidRPr="00A516DA">
        <w:rPr>
          <w:sz w:val="16"/>
          <w:szCs w:val="16"/>
        </w:rPr>
        <w:t>, Lawrence J et al, (2005).</w:t>
      </w:r>
    </w:p>
    <w:p w:rsidR="002D3DF1" w:rsidRPr="00BA7AF9" w:rsidRDefault="00E805B6" w:rsidP="002D3DF1">
      <w:pPr>
        <w:rPr>
          <w:color w:val="000000"/>
        </w:rPr>
      </w:pPr>
      <w:r>
        <w:rPr>
          <w:color w:val="000000"/>
        </w:rPr>
        <w:t>While</w:t>
      </w:r>
      <w:r w:rsidR="00A21D73">
        <w:rPr>
          <w:color w:val="000000"/>
        </w:rPr>
        <w:t xml:space="preserve"> these</w:t>
      </w:r>
      <w:r>
        <w:rPr>
          <w:color w:val="000000"/>
        </w:rPr>
        <w:t xml:space="preserve"> studies </w:t>
      </w:r>
      <w:r w:rsidR="00084096">
        <w:rPr>
          <w:color w:val="000000"/>
        </w:rPr>
        <w:t xml:space="preserve">related to the impact of </w:t>
      </w:r>
      <w:r>
        <w:rPr>
          <w:color w:val="000000"/>
        </w:rPr>
        <w:t>targeted</w:t>
      </w:r>
      <w:r w:rsidR="00084096">
        <w:rPr>
          <w:color w:val="000000"/>
        </w:rPr>
        <w:t xml:space="preserve"> (rather than universal) programs</w:t>
      </w:r>
      <w:r>
        <w:rPr>
          <w:color w:val="000000"/>
        </w:rPr>
        <w:t>, and began deca</w:t>
      </w:r>
      <w:r w:rsidR="000D39F3">
        <w:rPr>
          <w:color w:val="000000"/>
        </w:rPr>
        <w:t xml:space="preserve">des ago, they provide a robust </w:t>
      </w:r>
      <w:r>
        <w:rPr>
          <w:color w:val="000000"/>
        </w:rPr>
        <w:t xml:space="preserve">source of evidence to support the </w:t>
      </w:r>
      <w:r w:rsidR="00D97190" w:rsidRPr="00830DA1">
        <w:rPr>
          <w:color w:val="000000"/>
        </w:rPr>
        <w:t>long-term</w:t>
      </w:r>
      <w:r>
        <w:rPr>
          <w:color w:val="000000"/>
        </w:rPr>
        <w:t xml:space="preserve"> effects – and potential – of quality early childhood education. </w:t>
      </w:r>
      <w:r w:rsidR="002D3DF1">
        <w:rPr>
          <w:color w:val="000000"/>
        </w:rPr>
        <w:t xml:space="preserve">The findings of the three studies are </w:t>
      </w:r>
      <w:r w:rsidR="002D3DF1" w:rsidRPr="00BA7AF9">
        <w:rPr>
          <w:color w:val="000000"/>
        </w:rPr>
        <w:t xml:space="preserve">summarised in Table </w:t>
      </w:r>
      <w:r w:rsidR="00BA7AF9" w:rsidRPr="00BA7AF9">
        <w:rPr>
          <w:color w:val="000000"/>
        </w:rPr>
        <w:t>6.</w:t>
      </w:r>
      <w:r w:rsidR="002D3DF1" w:rsidRPr="00BA7AF9">
        <w:rPr>
          <w:color w:val="000000"/>
        </w:rPr>
        <w:t xml:space="preserve"> </w:t>
      </w:r>
    </w:p>
    <w:p w:rsidR="002D3DF1" w:rsidRPr="00A516DA" w:rsidRDefault="002D3DF1" w:rsidP="002D3DF1">
      <w:pPr>
        <w:rPr>
          <w:b/>
          <w:color w:val="000000"/>
        </w:rPr>
      </w:pPr>
      <w:r w:rsidRPr="00A516DA">
        <w:rPr>
          <w:b/>
          <w:color w:val="000000"/>
        </w:rPr>
        <w:t xml:space="preserve">Table </w:t>
      </w:r>
      <w:r w:rsidR="00BA7AF9" w:rsidRPr="00A516DA">
        <w:rPr>
          <w:b/>
          <w:color w:val="000000"/>
        </w:rPr>
        <w:t>6:</w:t>
      </w:r>
      <w:r w:rsidR="00742007">
        <w:rPr>
          <w:b/>
          <w:color w:val="000000"/>
        </w:rPr>
        <w:t xml:space="preserve"> </w:t>
      </w:r>
      <w:r w:rsidRPr="00A516DA">
        <w:rPr>
          <w:b/>
          <w:color w:val="000000"/>
        </w:rPr>
        <w:t xml:space="preserve">Summary of critical educational milestones in three key US longitudinal studies </w:t>
      </w:r>
    </w:p>
    <w:tbl>
      <w:tblPr>
        <w:tblStyle w:val="TableGrid"/>
        <w:tblW w:w="8472" w:type="dxa"/>
        <w:shd w:val="solid" w:color="FFFFFF" w:themeColor="background1" w:fill="FFFFFF" w:themeFill="background1"/>
        <w:tblLayout w:type="fixed"/>
        <w:tblLook w:val="04A0" w:firstRow="1" w:lastRow="0" w:firstColumn="1" w:lastColumn="0" w:noHBand="0" w:noVBand="1"/>
      </w:tblPr>
      <w:tblGrid>
        <w:gridCol w:w="2660"/>
        <w:gridCol w:w="992"/>
        <w:gridCol w:w="992"/>
        <w:gridCol w:w="993"/>
        <w:gridCol w:w="850"/>
        <w:gridCol w:w="992"/>
        <w:gridCol w:w="993"/>
      </w:tblGrid>
      <w:tr w:rsidR="002D3DF1" w:rsidRPr="00D24E37" w:rsidTr="00E805B6">
        <w:tc>
          <w:tcPr>
            <w:tcW w:w="2660" w:type="dxa"/>
            <w:vMerge w:val="restart"/>
            <w:tcBorders>
              <w:right w:val="single" w:sz="12" w:space="0" w:color="000000" w:themeColor="text1"/>
            </w:tcBorders>
            <w:shd w:val="solid" w:color="FFFFFF" w:themeColor="background1" w:fill="FFFFFF" w:themeFill="background1"/>
            <w:vAlign w:val="center"/>
          </w:tcPr>
          <w:p w:rsidR="002D3DF1" w:rsidRPr="00D24E37" w:rsidRDefault="002D3DF1" w:rsidP="00E805B6">
            <w:pPr>
              <w:rPr>
                <w:b/>
              </w:rPr>
            </w:pPr>
            <w:r w:rsidRPr="00D24E37">
              <w:rPr>
                <w:b/>
              </w:rPr>
              <w:t>Characteristic</w:t>
            </w:r>
            <w:r>
              <w:rPr>
                <w:b/>
              </w:rPr>
              <w:t>/milestone</w:t>
            </w:r>
          </w:p>
        </w:tc>
        <w:tc>
          <w:tcPr>
            <w:tcW w:w="1984" w:type="dxa"/>
            <w:gridSpan w:val="2"/>
            <w:tcBorders>
              <w:top w:val="single" w:sz="8" w:space="0" w:color="000000" w:themeColor="text1"/>
              <w:left w:val="single" w:sz="12"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Pr="00D24E37" w:rsidRDefault="002D3DF1" w:rsidP="00E805B6">
            <w:pPr>
              <w:rPr>
                <w:b/>
              </w:rPr>
            </w:pPr>
            <w:r w:rsidRPr="00D24E37">
              <w:rPr>
                <w:b/>
              </w:rPr>
              <w:t>Perry</w:t>
            </w:r>
            <w:r>
              <w:rPr>
                <w:b/>
              </w:rPr>
              <w:t xml:space="preserve"> </w:t>
            </w:r>
            <w:r w:rsidR="00D97190" w:rsidRPr="00470D18">
              <w:rPr>
                <w:b/>
              </w:rPr>
              <w:t>P</w:t>
            </w:r>
            <w:r>
              <w:rPr>
                <w:b/>
              </w:rPr>
              <w:t>reschool Program</w:t>
            </w:r>
            <w:r w:rsidRPr="00D24E37">
              <w:rPr>
                <w:b/>
              </w:rPr>
              <w:t xml:space="preserve"> age 40</w:t>
            </w:r>
          </w:p>
        </w:tc>
        <w:tc>
          <w:tcPr>
            <w:tcW w:w="1843" w:type="dxa"/>
            <w:gridSpan w:val="2"/>
            <w:tcBorders>
              <w:left w:val="single" w:sz="12" w:space="0" w:color="000000" w:themeColor="text1"/>
              <w:bottom w:val="single" w:sz="4" w:space="0" w:color="auto"/>
              <w:right w:val="single" w:sz="12" w:space="0" w:color="auto"/>
            </w:tcBorders>
            <w:shd w:val="solid" w:color="FFFFFF" w:themeColor="background1" w:fill="FFFFFF" w:themeFill="background1"/>
            <w:vAlign w:val="center"/>
          </w:tcPr>
          <w:p w:rsidR="002D3DF1" w:rsidRPr="00D24E37" w:rsidRDefault="002D3DF1" w:rsidP="00E805B6">
            <w:pPr>
              <w:rPr>
                <w:b/>
              </w:rPr>
            </w:pPr>
            <w:r w:rsidRPr="00D24E37">
              <w:rPr>
                <w:b/>
              </w:rPr>
              <w:t>Abecedarian Program through age 21</w:t>
            </w:r>
          </w:p>
        </w:tc>
        <w:tc>
          <w:tcPr>
            <w:tcW w:w="1985" w:type="dxa"/>
            <w:gridSpan w:val="2"/>
            <w:tcBorders>
              <w:left w:val="single" w:sz="12" w:space="0" w:color="auto"/>
              <w:bottom w:val="single" w:sz="4" w:space="0" w:color="auto"/>
              <w:right w:val="single" w:sz="12" w:space="0" w:color="auto"/>
            </w:tcBorders>
            <w:shd w:val="solid" w:color="FFFFFF" w:themeColor="background1" w:fill="FFFFFF" w:themeFill="background1"/>
            <w:vAlign w:val="center"/>
          </w:tcPr>
          <w:p w:rsidR="002D3DF1" w:rsidRPr="00D24E37" w:rsidRDefault="002D3DF1" w:rsidP="00E805B6">
            <w:pPr>
              <w:rPr>
                <w:b/>
              </w:rPr>
            </w:pPr>
            <w:r w:rsidRPr="00D24E37">
              <w:rPr>
                <w:rStyle w:val="A7"/>
                <w:rFonts w:cstheme="minorHAnsi"/>
                <w:b/>
              </w:rPr>
              <w:t xml:space="preserve">Chicago </w:t>
            </w:r>
            <w:r>
              <w:rPr>
                <w:rStyle w:val="A7"/>
                <w:rFonts w:cstheme="minorHAnsi"/>
                <w:b/>
              </w:rPr>
              <w:t>Longitudinal Study/</w:t>
            </w:r>
            <w:r w:rsidRPr="00D24E37">
              <w:rPr>
                <w:rStyle w:val="A7"/>
                <w:rFonts w:cstheme="minorHAnsi"/>
                <w:b/>
              </w:rPr>
              <w:t>Child-Parent Centre Education Program through age 28</w:t>
            </w:r>
          </w:p>
        </w:tc>
      </w:tr>
      <w:tr w:rsidR="002D3DF1" w:rsidRPr="00D24E37" w:rsidTr="00E805B6">
        <w:tc>
          <w:tcPr>
            <w:tcW w:w="2660" w:type="dxa"/>
            <w:vMerge/>
            <w:tcBorders>
              <w:right w:val="single" w:sz="12" w:space="0" w:color="000000" w:themeColor="text1"/>
            </w:tcBorders>
            <w:shd w:val="solid" w:color="FFFFFF" w:themeColor="background1" w:fill="FFFFFF" w:themeFill="background1"/>
            <w:vAlign w:val="center"/>
          </w:tcPr>
          <w:p w:rsidR="002D3DF1" w:rsidRDefault="002D3DF1" w:rsidP="00E805B6"/>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D24E37" w:rsidRDefault="002D3DF1" w:rsidP="00E805B6">
            <w:pPr>
              <w:rPr>
                <w:sz w:val="18"/>
                <w:szCs w:val="18"/>
              </w:rPr>
            </w:pPr>
            <w:r w:rsidRPr="00D24E37">
              <w:rPr>
                <w:sz w:val="18"/>
                <w:szCs w:val="18"/>
              </w:rPr>
              <w:t>% in treatment group</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Pr="00D24E37" w:rsidRDefault="002D3DF1" w:rsidP="00E805B6">
            <w:pPr>
              <w:rPr>
                <w:sz w:val="18"/>
                <w:szCs w:val="18"/>
              </w:rPr>
            </w:pPr>
            <w:r w:rsidRPr="00D24E37">
              <w:rPr>
                <w:sz w:val="18"/>
                <w:szCs w:val="18"/>
              </w:rPr>
              <w:t>% in control group</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Pr="00D24E37" w:rsidRDefault="002D3DF1" w:rsidP="00E805B6">
            <w:pPr>
              <w:rPr>
                <w:sz w:val="18"/>
                <w:szCs w:val="18"/>
              </w:rPr>
            </w:pPr>
            <w:r w:rsidRPr="00D24E37">
              <w:rPr>
                <w:sz w:val="18"/>
                <w:szCs w:val="18"/>
              </w:rPr>
              <w:t>% in treatment group</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Pr="00D24E37" w:rsidRDefault="002D3DF1" w:rsidP="00E805B6">
            <w:pPr>
              <w:rPr>
                <w:sz w:val="18"/>
                <w:szCs w:val="18"/>
              </w:rPr>
            </w:pPr>
            <w:r w:rsidRPr="00D24E37">
              <w:rPr>
                <w:sz w:val="18"/>
                <w:szCs w:val="18"/>
              </w:rPr>
              <w:t>% in control group</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Pr="00D24E37" w:rsidRDefault="002D3DF1" w:rsidP="00E805B6">
            <w:pPr>
              <w:rPr>
                <w:sz w:val="18"/>
                <w:szCs w:val="18"/>
              </w:rPr>
            </w:pPr>
            <w:r w:rsidRPr="00D24E37">
              <w:rPr>
                <w:sz w:val="18"/>
                <w:szCs w:val="18"/>
              </w:rPr>
              <w:t>% in treatment group</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Pr="00D24E37" w:rsidRDefault="002D3DF1" w:rsidP="00E805B6">
            <w:pPr>
              <w:rPr>
                <w:sz w:val="18"/>
                <w:szCs w:val="18"/>
              </w:rPr>
            </w:pPr>
            <w:r w:rsidRPr="00D24E37">
              <w:rPr>
                <w:sz w:val="18"/>
                <w:szCs w:val="18"/>
              </w:rPr>
              <w:t>% in control group</w:t>
            </w:r>
          </w:p>
        </w:tc>
      </w:tr>
      <w:tr w:rsidR="002D3DF1" w:rsidTr="00E805B6">
        <w:tc>
          <w:tcPr>
            <w:tcW w:w="2660" w:type="dxa"/>
            <w:tcBorders>
              <w:right w:val="single" w:sz="12" w:space="0" w:color="000000" w:themeColor="text1"/>
            </w:tcBorders>
            <w:shd w:val="solid" w:color="FFFFFF" w:themeColor="background1" w:fill="FFFFFF" w:themeFill="background1"/>
            <w:vAlign w:val="center"/>
          </w:tcPr>
          <w:p w:rsidR="002D3DF1" w:rsidRDefault="002D3DF1" w:rsidP="00E805B6">
            <w:r>
              <w:t xml:space="preserve">Transition to school (ready for school at age </w:t>
            </w:r>
            <w:r w:rsidR="00835C89">
              <w:t>five</w:t>
            </w:r>
            <w:r>
              <w:t>)</w:t>
            </w:r>
          </w:p>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67</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Pr>
                <w:sz w:val="18"/>
                <w:szCs w:val="18"/>
              </w:rPr>
              <w:t>28</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Pr>
                <w:sz w:val="18"/>
                <w:szCs w:val="18"/>
              </w:rPr>
              <w:t>-</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Pr>
                <w:sz w:val="18"/>
                <w:szCs w:val="18"/>
              </w:rPr>
              <w:t>-</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Pr>
                <w:sz w:val="18"/>
                <w:szCs w:val="18"/>
              </w:rPr>
              <w:t>-</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Pr>
                <w:sz w:val="18"/>
                <w:szCs w:val="18"/>
              </w:rPr>
              <w:t>-</w:t>
            </w:r>
          </w:p>
        </w:tc>
      </w:tr>
      <w:tr w:rsidR="002D3DF1" w:rsidTr="00E805B6">
        <w:tc>
          <w:tcPr>
            <w:tcW w:w="2660" w:type="dxa"/>
            <w:tcBorders>
              <w:right w:val="single" w:sz="12" w:space="0" w:color="000000" w:themeColor="text1"/>
            </w:tcBorders>
            <w:shd w:val="solid" w:color="FFFFFF" w:themeColor="background1" w:fill="FFFFFF" w:themeFill="background1"/>
            <w:vAlign w:val="center"/>
          </w:tcPr>
          <w:p w:rsidR="002D3DF1" w:rsidRDefault="002D3DF1" w:rsidP="00E805B6">
            <w:r>
              <w:t>Basic level of achievement at age 14</w:t>
            </w:r>
          </w:p>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Pr>
                <w:sz w:val="18"/>
                <w:szCs w:val="18"/>
              </w:rPr>
              <w:t>49</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Default="002D3DF1" w:rsidP="00E805B6">
            <w:pPr>
              <w:rPr>
                <w:sz w:val="18"/>
                <w:szCs w:val="18"/>
              </w:rPr>
            </w:pPr>
            <w:r>
              <w:rPr>
                <w:sz w:val="18"/>
                <w:szCs w:val="18"/>
              </w:rPr>
              <w:t>15</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r>
      <w:tr w:rsidR="002D3DF1" w:rsidTr="00E805B6">
        <w:tc>
          <w:tcPr>
            <w:tcW w:w="2660" w:type="dxa"/>
            <w:tcBorders>
              <w:right w:val="single" w:sz="12" w:space="0" w:color="000000" w:themeColor="text1"/>
            </w:tcBorders>
            <w:shd w:val="solid" w:color="FFFFFF" w:themeColor="background1" w:fill="FFFFFF" w:themeFill="background1"/>
            <w:vAlign w:val="center"/>
          </w:tcPr>
          <w:p w:rsidR="002D3DF1" w:rsidRDefault="002D3DF1" w:rsidP="00E805B6">
            <w:r>
              <w:t>Commitment to school (age 14)</w:t>
            </w:r>
          </w:p>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Pr>
                <w:sz w:val="18"/>
                <w:szCs w:val="18"/>
              </w:rPr>
              <w:t>61</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Default="002D3DF1" w:rsidP="00E805B6">
            <w:pPr>
              <w:rPr>
                <w:sz w:val="18"/>
                <w:szCs w:val="18"/>
              </w:rPr>
            </w:pPr>
            <w:r>
              <w:rPr>
                <w:sz w:val="18"/>
                <w:szCs w:val="18"/>
              </w:rPr>
              <w:t>38</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Default="002D3DF1" w:rsidP="00E805B6">
            <w:pPr>
              <w:rPr>
                <w:sz w:val="18"/>
                <w:szCs w:val="18"/>
              </w:rPr>
            </w:pPr>
            <w:r>
              <w:rPr>
                <w:sz w:val="18"/>
                <w:szCs w:val="18"/>
              </w:rPr>
              <w:t>-</w:t>
            </w:r>
          </w:p>
        </w:tc>
      </w:tr>
      <w:tr w:rsidR="002D3DF1" w:rsidTr="00E805B6">
        <w:tc>
          <w:tcPr>
            <w:tcW w:w="2660" w:type="dxa"/>
            <w:tcBorders>
              <w:right w:val="single" w:sz="12" w:space="0" w:color="000000" w:themeColor="text1"/>
            </w:tcBorders>
            <w:shd w:val="solid" w:color="FFFFFF" w:themeColor="background1" w:fill="FFFFFF" w:themeFill="background1"/>
            <w:vAlign w:val="center"/>
          </w:tcPr>
          <w:p w:rsidR="002D3DF1" w:rsidRDefault="002D3DF1" w:rsidP="00E805B6">
            <w:r>
              <w:t>Special education placement</w:t>
            </w:r>
          </w:p>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15</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34</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24</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48</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 xml:space="preserve"> 16</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21.3</w:t>
            </w:r>
          </w:p>
        </w:tc>
      </w:tr>
      <w:tr w:rsidR="002D3DF1" w:rsidTr="00E805B6">
        <w:tc>
          <w:tcPr>
            <w:tcW w:w="2660" w:type="dxa"/>
            <w:tcBorders>
              <w:right w:val="single" w:sz="12" w:space="0" w:color="000000" w:themeColor="text1"/>
            </w:tcBorders>
            <w:shd w:val="solid" w:color="FFFFFF" w:themeColor="background1" w:fill="FFFFFF" w:themeFill="background1"/>
            <w:vAlign w:val="center"/>
          </w:tcPr>
          <w:p w:rsidR="002D3DF1" w:rsidRDefault="002D3DF1" w:rsidP="00E805B6">
            <w:r>
              <w:t xml:space="preserve">Grade repetition </w:t>
            </w:r>
          </w:p>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Pr>
                <w:sz w:val="18"/>
                <w:szCs w:val="18"/>
              </w:rPr>
              <w:t>-</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Pr>
                <w:sz w:val="18"/>
                <w:szCs w:val="18"/>
              </w:rPr>
              <w:t>-</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3</w:t>
            </w:r>
            <w:r>
              <w:rPr>
                <w:sz w:val="18"/>
                <w:szCs w:val="18"/>
              </w:rPr>
              <w:t>0</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49</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23</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38</w:t>
            </w:r>
          </w:p>
        </w:tc>
      </w:tr>
      <w:tr w:rsidR="002D3DF1" w:rsidTr="00E805B6">
        <w:tc>
          <w:tcPr>
            <w:tcW w:w="2660" w:type="dxa"/>
            <w:tcBorders>
              <w:right w:val="single" w:sz="12" w:space="0" w:color="000000" w:themeColor="text1"/>
            </w:tcBorders>
            <w:shd w:val="solid" w:color="FFFFFF" w:themeColor="background1" w:fill="FFFFFF" w:themeFill="background1"/>
            <w:vAlign w:val="center"/>
          </w:tcPr>
          <w:p w:rsidR="002D3DF1" w:rsidRDefault="002D3DF1" w:rsidP="00E805B6">
            <w:r>
              <w:t>High school graduation</w:t>
            </w:r>
          </w:p>
        </w:tc>
        <w:tc>
          <w:tcPr>
            <w:tcW w:w="992"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77</w:t>
            </w:r>
          </w:p>
        </w:tc>
        <w:tc>
          <w:tcPr>
            <w:tcW w:w="992"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60</w:t>
            </w:r>
          </w:p>
        </w:tc>
        <w:tc>
          <w:tcPr>
            <w:tcW w:w="993" w:type="dxa"/>
            <w:tcBorders>
              <w:left w:val="single" w:sz="12" w:space="0" w:color="000000" w:themeColor="text1"/>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70</w:t>
            </w:r>
          </w:p>
        </w:tc>
        <w:tc>
          <w:tcPr>
            <w:tcW w:w="850"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67</w:t>
            </w:r>
          </w:p>
        </w:tc>
        <w:tc>
          <w:tcPr>
            <w:tcW w:w="992" w:type="dxa"/>
            <w:tcBorders>
              <w:left w:val="single" w:sz="12" w:space="0" w:color="auto"/>
              <w:right w:val="single" w:sz="4"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71</w:t>
            </w:r>
          </w:p>
        </w:tc>
        <w:tc>
          <w:tcPr>
            <w:tcW w:w="993" w:type="dxa"/>
            <w:tcBorders>
              <w:left w:val="single" w:sz="4" w:space="0" w:color="auto"/>
              <w:right w:val="single" w:sz="12" w:space="0" w:color="auto"/>
            </w:tcBorders>
            <w:shd w:val="solid" w:color="FFFFFF" w:themeColor="background1" w:fill="FFFFFF" w:themeFill="background1"/>
            <w:vAlign w:val="center"/>
          </w:tcPr>
          <w:p w:rsidR="002D3DF1" w:rsidRPr="00392363" w:rsidRDefault="002D3DF1" w:rsidP="00E805B6">
            <w:pPr>
              <w:rPr>
                <w:sz w:val="18"/>
                <w:szCs w:val="18"/>
              </w:rPr>
            </w:pPr>
            <w:r w:rsidRPr="00392363">
              <w:rPr>
                <w:sz w:val="18"/>
                <w:szCs w:val="18"/>
              </w:rPr>
              <w:t>64</w:t>
            </w:r>
          </w:p>
        </w:tc>
      </w:tr>
    </w:tbl>
    <w:p w:rsidR="00BA7AF9" w:rsidRPr="00A516DA" w:rsidRDefault="00BA7AF9" w:rsidP="00A516DA">
      <w:pPr>
        <w:spacing w:after="0"/>
        <w:rPr>
          <w:color w:val="000000"/>
          <w:sz w:val="14"/>
        </w:rPr>
      </w:pPr>
      <w:r w:rsidRPr="00A516DA">
        <w:rPr>
          <w:b/>
          <w:i/>
          <w:color w:val="000000"/>
          <w:sz w:val="16"/>
        </w:rPr>
        <w:t>Source</w:t>
      </w:r>
      <w:r w:rsidR="00CF66CC">
        <w:rPr>
          <w:b/>
          <w:i/>
          <w:color w:val="000000"/>
          <w:sz w:val="16"/>
        </w:rPr>
        <w:t>s</w:t>
      </w:r>
      <w:r w:rsidRPr="00A516DA">
        <w:rPr>
          <w:b/>
          <w:i/>
          <w:color w:val="000000"/>
          <w:sz w:val="16"/>
        </w:rPr>
        <w:t>:</w:t>
      </w:r>
      <w:r>
        <w:rPr>
          <w:b/>
          <w:i/>
          <w:color w:val="000000"/>
          <w:sz w:val="16"/>
        </w:rPr>
        <w:t xml:space="preserve"> </w:t>
      </w:r>
      <w:proofErr w:type="spellStart"/>
      <w:r w:rsidRPr="00A516DA">
        <w:rPr>
          <w:sz w:val="16"/>
          <w:szCs w:val="18"/>
        </w:rPr>
        <w:t>Schweinhart</w:t>
      </w:r>
      <w:proofErr w:type="spellEnd"/>
      <w:r w:rsidRPr="00A516DA">
        <w:rPr>
          <w:sz w:val="16"/>
          <w:szCs w:val="18"/>
        </w:rPr>
        <w:t xml:space="preserve">, Lawrence J et al, (2005); </w:t>
      </w:r>
      <w:r w:rsidRPr="00A516DA">
        <w:rPr>
          <w:color w:val="000000" w:themeColor="text1"/>
          <w:sz w:val="16"/>
          <w:szCs w:val="18"/>
        </w:rPr>
        <w:t xml:space="preserve">Barnett, W. S., &amp; Masse, L. N. (2007); </w:t>
      </w:r>
      <w:r w:rsidRPr="00A516DA">
        <w:rPr>
          <w:sz w:val="16"/>
          <w:szCs w:val="18"/>
        </w:rPr>
        <w:t>Reynolds, A. et.al (2011)</w:t>
      </w:r>
    </w:p>
    <w:p w:rsidR="002D3DF1" w:rsidRDefault="00BA7AF9" w:rsidP="00A516DA">
      <w:pPr>
        <w:spacing w:after="0"/>
        <w:rPr>
          <w:color w:val="000000"/>
          <w:sz w:val="16"/>
        </w:rPr>
      </w:pPr>
      <w:r w:rsidRPr="00A516DA">
        <w:rPr>
          <w:color w:val="000000"/>
          <w:sz w:val="16"/>
        </w:rPr>
        <w:t>Note:</w:t>
      </w:r>
      <w:r w:rsidR="002D3DF1" w:rsidRPr="00A516DA">
        <w:rPr>
          <w:color w:val="000000"/>
          <w:sz w:val="16"/>
        </w:rPr>
        <w:t>- denotes data was not collected for characteristic/milestone</w:t>
      </w:r>
    </w:p>
    <w:p w:rsidR="00742007" w:rsidRPr="00A516DA" w:rsidRDefault="00742007" w:rsidP="00A516DA">
      <w:pPr>
        <w:spacing w:after="0"/>
        <w:rPr>
          <w:color w:val="000000"/>
          <w:sz w:val="16"/>
        </w:rPr>
      </w:pPr>
    </w:p>
    <w:p w:rsidR="002D3DF1" w:rsidRPr="00177632" w:rsidRDefault="002D3DF1" w:rsidP="002D3DF1">
      <w:pPr>
        <w:rPr>
          <w:color w:val="000000"/>
        </w:rPr>
      </w:pPr>
      <w:r w:rsidRPr="00177632">
        <w:rPr>
          <w:i/>
          <w:iCs/>
          <w:color w:val="000000"/>
        </w:rPr>
        <w:t>Impact of early childhood education on school outcomes - Australia </w:t>
      </w:r>
    </w:p>
    <w:p w:rsidR="002D3DF1" w:rsidRDefault="002D3DF1" w:rsidP="002D3DF1">
      <w:pPr>
        <w:rPr>
          <w:color w:val="000000"/>
        </w:rPr>
      </w:pPr>
      <w:r>
        <w:rPr>
          <w:color w:val="000000"/>
        </w:rPr>
        <w:t xml:space="preserve">Consistent with the international evidence, Australian data illustrates </w:t>
      </w:r>
      <w:r w:rsidRPr="009D1481">
        <w:rPr>
          <w:color w:val="000000"/>
        </w:rPr>
        <w:t>that preschool</w:t>
      </w:r>
      <w:r>
        <w:rPr>
          <w:color w:val="000000"/>
        </w:rPr>
        <w:t xml:space="preserve"> attendance</w:t>
      </w:r>
      <w:r w:rsidRPr="009D1481">
        <w:rPr>
          <w:color w:val="000000"/>
        </w:rPr>
        <w:t xml:space="preserve"> has a positive </w:t>
      </w:r>
      <w:r w:rsidR="0099287E">
        <w:rPr>
          <w:color w:val="000000"/>
        </w:rPr>
        <w:t xml:space="preserve">influence </w:t>
      </w:r>
      <w:r w:rsidRPr="009D1481">
        <w:rPr>
          <w:color w:val="000000"/>
        </w:rPr>
        <w:t xml:space="preserve">on </w:t>
      </w:r>
      <w:r>
        <w:rPr>
          <w:color w:val="000000"/>
        </w:rPr>
        <w:t xml:space="preserve">all </w:t>
      </w:r>
      <w:r w:rsidRPr="009D1481">
        <w:rPr>
          <w:color w:val="000000"/>
        </w:rPr>
        <w:t>children</w:t>
      </w:r>
      <w:r>
        <w:rPr>
          <w:color w:val="000000"/>
        </w:rPr>
        <w:t xml:space="preserve"> by </w:t>
      </w:r>
      <w:r w:rsidR="0099287E">
        <w:rPr>
          <w:color w:val="000000"/>
        </w:rPr>
        <w:t>s</w:t>
      </w:r>
      <w:r w:rsidR="00032249">
        <w:rPr>
          <w:color w:val="000000"/>
        </w:rPr>
        <w:t>upp</w:t>
      </w:r>
      <w:r w:rsidR="0099287E">
        <w:rPr>
          <w:color w:val="000000"/>
        </w:rPr>
        <w:t xml:space="preserve">orting </w:t>
      </w:r>
      <w:r w:rsidRPr="009D1481">
        <w:rPr>
          <w:color w:val="000000"/>
        </w:rPr>
        <w:t>strong developmental outcomes and successful school transitions</w:t>
      </w:r>
      <w:r>
        <w:rPr>
          <w:color w:val="000000"/>
        </w:rPr>
        <w:t xml:space="preserve">. The AEDC shows that children who have attended preschool are significantly less likely to be developmentally vulnerable at school entry compared </w:t>
      </w:r>
      <w:r w:rsidR="00D97190" w:rsidRPr="007C5127">
        <w:rPr>
          <w:color w:val="000000"/>
        </w:rPr>
        <w:t xml:space="preserve">with </w:t>
      </w:r>
      <w:r>
        <w:rPr>
          <w:color w:val="000000"/>
        </w:rPr>
        <w:t xml:space="preserve">those who have not, </w:t>
      </w:r>
      <w:r w:rsidR="00D97190" w:rsidRPr="00A440FD">
        <w:rPr>
          <w:color w:val="000000"/>
        </w:rPr>
        <w:t>displaying</w:t>
      </w:r>
      <w:r w:rsidR="00032249">
        <w:rPr>
          <w:color w:val="000000"/>
        </w:rPr>
        <w:t xml:space="preserve"> </w:t>
      </w:r>
      <w:r>
        <w:rPr>
          <w:color w:val="000000"/>
        </w:rPr>
        <w:t xml:space="preserve">even greater </w:t>
      </w:r>
      <w:r w:rsidR="00032249">
        <w:rPr>
          <w:color w:val="000000"/>
        </w:rPr>
        <w:t xml:space="preserve">differences </w:t>
      </w:r>
      <w:r>
        <w:rPr>
          <w:color w:val="000000"/>
        </w:rPr>
        <w:t>for children from disadvantaged communities.</w:t>
      </w:r>
      <w:r>
        <w:rPr>
          <w:rStyle w:val="EndnoteReference"/>
          <w:color w:val="000000"/>
        </w:rPr>
        <w:endnoteReference w:id="120"/>
      </w:r>
      <w:r>
        <w:rPr>
          <w:color w:val="000000"/>
        </w:rPr>
        <w:t xml:space="preserve"> </w:t>
      </w:r>
    </w:p>
    <w:p w:rsidR="00BB1920" w:rsidRPr="00A516DA" w:rsidRDefault="00BB1920" w:rsidP="002D3DF1">
      <w:pPr>
        <w:rPr>
          <w:b/>
          <w:color w:val="000000"/>
        </w:rPr>
      </w:pPr>
      <w:r w:rsidRPr="00A516DA">
        <w:rPr>
          <w:b/>
          <w:color w:val="000000"/>
        </w:rPr>
        <w:t>Chart 8:</w:t>
      </w:r>
      <w:r w:rsidR="00F334F2">
        <w:rPr>
          <w:b/>
          <w:color w:val="000000"/>
        </w:rPr>
        <w:t xml:space="preserve"> Proportion of children developmentally vulnerable on one or more, or two or more, AEDC domains by preschool attendance and community socioeconomic status </w:t>
      </w:r>
    </w:p>
    <w:p w:rsidR="002D3DF1" w:rsidRDefault="00627814" w:rsidP="002D3DF1">
      <w:pPr>
        <w:rPr>
          <w:color w:val="000000"/>
        </w:rPr>
      </w:pPr>
      <w:r w:rsidRPr="00627814">
        <w:rPr>
          <w:noProof/>
          <w:lang w:eastAsia="en-AU"/>
        </w:rPr>
        <w:t xml:space="preserve"> </w:t>
      </w:r>
      <w:r w:rsidR="00742007">
        <w:rPr>
          <w:noProof/>
          <w:lang w:eastAsia="en-AU"/>
        </w:rPr>
        <w:drawing>
          <wp:inline distT="0" distB="0" distL="0" distR="0" wp14:anchorId="4E55E9A6" wp14:editId="5A5CB7C3">
            <wp:extent cx="2943692" cy="1376625"/>
            <wp:effectExtent l="0" t="0" r="0" b="0"/>
            <wp:docPr id="1151154417" name="Picture 115115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42676" cy="1376150"/>
                    </a:xfrm>
                    <a:prstGeom prst="rect">
                      <a:avLst/>
                    </a:prstGeom>
                  </pic:spPr>
                </pic:pic>
              </a:graphicData>
            </a:graphic>
          </wp:inline>
        </w:drawing>
      </w:r>
    </w:p>
    <w:p w:rsidR="00F334F2" w:rsidRPr="00A516DA" w:rsidRDefault="00F334F2" w:rsidP="002D3DF1">
      <w:pPr>
        <w:rPr>
          <w:color w:val="000000"/>
          <w:sz w:val="16"/>
        </w:rPr>
      </w:pPr>
      <w:r w:rsidRPr="00A516DA">
        <w:rPr>
          <w:b/>
          <w:i/>
          <w:color w:val="000000"/>
          <w:sz w:val="16"/>
        </w:rPr>
        <w:t xml:space="preserve">Source: </w:t>
      </w:r>
      <w:r w:rsidRPr="001E5266">
        <w:rPr>
          <w:color w:val="000000" w:themeColor="text1"/>
          <w:sz w:val="18"/>
          <w:szCs w:val="18"/>
        </w:rPr>
        <w:t>Australian Government</w:t>
      </w:r>
      <w:r>
        <w:rPr>
          <w:color w:val="000000" w:themeColor="text1"/>
          <w:sz w:val="18"/>
          <w:szCs w:val="18"/>
        </w:rPr>
        <w:t xml:space="preserve"> – Research snapshot (2014) </w:t>
      </w:r>
    </w:p>
    <w:p w:rsidR="002D3DF1" w:rsidRPr="00177632" w:rsidRDefault="002D3DF1" w:rsidP="002D3DF1">
      <w:pPr>
        <w:rPr>
          <w:color w:val="000000"/>
        </w:rPr>
      </w:pPr>
      <w:r>
        <w:rPr>
          <w:color w:val="000000"/>
        </w:rPr>
        <w:t xml:space="preserve">The most recent AEDC data shows that 22 per cent of children start school vulnerable on one or more of the AEDC domains. These children are </w:t>
      </w:r>
      <w:r w:rsidRPr="00177632">
        <w:rPr>
          <w:color w:val="000000"/>
        </w:rPr>
        <w:t>at much greater risk of doing poorly in their education and dropping out of education early, without the skills they need to go on to tertiary education or vocational training</w:t>
      </w:r>
      <w:r>
        <w:rPr>
          <w:color w:val="000000"/>
        </w:rPr>
        <w:t>.</w:t>
      </w:r>
      <w:r w:rsidRPr="00177632">
        <w:rPr>
          <w:rStyle w:val="EndnoteReference"/>
          <w:color w:val="000000"/>
        </w:rPr>
        <w:endnoteReference w:id="121"/>
      </w:r>
      <w:r w:rsidRPr="00177632">
        <w:rPr>
          <w:color w:val="000000"/>
        </w:rPr>
        <w:t xml:space="preserve"> </w:t>
      </w:r>
    </w:p>
    <w:p w:rsidR="002D3DF1" w:rsidRDefault="002D3DF1" w:rsidP="002D3DF1">
      <w:pPr>
        <w:rPr>
          <w:color w:val="000000"/>
        </w:rPr>
      </w:pPr>
      <w:r w:rsidRPr="00177632">
        <w:rPr>
          <w:color w:val="000000"/>
        </w:rPr>
        <w:t xml:space="preserve">Analysis undertaken in Victoria has </w:t>
      </w:r>
      <w:r>
        <w:rPr>
          <w:color w:val="000000"/>
        </w:rPr>
        <w:t>confirmed</w:t>
      </w:r>
      <w:r w:rsidRPr="00177632">
        <w:rPr>
          <w:color w:val="000000"/>
        </w:rPr>
        <w:t xml:space="preserve"> the predictive value of the AEDC on school outcomes. The analysis found that children who were vulnerable on any of the five AEDC domains </w:t>
      </w:r>
      <w:r>
        <w:rPr>
          <w:color w:val="000000"/>
        </w:rPr>
        <w:t xml:space="preserve">at school entry </w:t>
      </w:r>
      <w:r w:rsidRPr="00177632">
        <w:rPr>
          <w:color w:val="000000"/>
        </w:rPr>
        <w:t xml:space="preserve">are much less likely to achieve in the top two bands </w:t>
      </w:r>
      <w:r w:rsidR="009C7789" w:rsidRPr="00FC0EC5">
        <w:rPr>
          <w:color w:val="000000"/>
        </w:rPr>
        <w:t xml:space="preserve">of </w:t>
      </w:r>
      <w:r w:rsidRPr="00177632">
        <w:rPr>
          <w:color w:val="000000"/>
        </w:rPr>
        <w:t>NAPLAN reading by the time they reach Year 3. This is especially noticeable when looking at children who are vulnerable in the language and cognition domain. These children are almost five times less likely to achieve in the top two bands in NAPLAN</w:t>
      </w:r>
      <w:r>
        <w:rPr>
          <w:color w:val="000000"/>
        </w:rPr>
        <w:t>.</w:t>
      </w:r>
      <w:r w:rsidRPr="00177632">
        <w:rPr>
          <w:rStyle w:val="EndnoteReference"/>
          <w:color w:val="000000"/>
        </w:rPr>
        <w:endnoteReference w:id="122"/>
      </w:r>
    </w:p>
    <w:p w:rsidR="00BB1920" w:rsidRPr="00A516DA" w:rsidRDefault="00BB1920" w:rsidP="002D3DF1">
      <w:pPr>
        <w:rPr>
          <w:b/>
          <w:color w:val="000000"/>
        </w:rPr>
      </w:pPr>
      <w:r w:rsidRPr="00A516DA">
        <w:rPr>
          <w:b/>
          <w:color w:val="000000"/>
        </w:rPr>
        <w:t>Chart 9:</w:t>
      </w:r>
      <w:r w:rsidR="00927929">
        <w:rPr>
          <w:b/>
          <w:color w:val="000000"/>
        </w:rPr>
        <w:t>Proportion of children achieving in the top two Year 3 NAPLAN bands (reading) by AED</w:t>
      </w:r>
      <w:r w:rsidR="00D314FE">
        <w:rPr>
          <w:b/>
          <w:color w:val="000000"/>
        </w:rPr>
        <w:t>C</w:t>
      </w:r>
      <w:r w:rsidR="00927929">
        <w:rPr>
          <w:b/>
          <w:color w:val="000000"/>
        </w:rPr>
        <w:t xml:space="preserve"> vulnerability domain</w:t>
      </w:r>
    </w:p>
    <w:p w:rsidR="002D3DF1" w:rsidRPr="00177632" w:rsidRDefault="00742007" w:rsidP="002D3DF1">
      <w:pPr>
        <w:rPr>
          <w:b/>
          <w:bCs/>
          <w:color w:val="000000"/>
        </w:rPr>
      </w:pPr>
      <w:r>
        <w:rPr>
          <w:noProof/>
          <w:lang w:eastAsia="en-AU"/>
        </w:rPr>
        <w:drawing>
          <wp:inline distT="0" distB="0" distL="0" distR="0" wp14:anchorId="3E33E39E" wp14:editId="6482C9CC">
            <wp:extent cx="2981349" cy="1386673"/>
            <wp:effectExtent l="0" t="0" r="0" b="4445"/>
            <wp:docPr id="1151154418" name="Picture 115115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82525" cy="1387220"/>
                    </a:xfrm>
                    <a:prstGeom prst="rect">
                      <a:avLst/>
                    </a:prstGeom>
                  </pic:spPr>
                </pic:pic>
              </a:graphicData>
            </a:graphic>
          </wp:inline>
        </w:drawing>
      </w:r>
    </w:p>
    <w:p w:rsidR="00927929" w:rsidRPr="00A516DA" w:rsidRDefault="00927929" w:rsidP="002D3DF1">
      <w:pPr>
        <w:rPr>
          <w:color w:val="000000"/>
          <w:sz w:val="16"/>
          <w:szCs w:val="16"/>
        </w:rPr>
      </w:pPr>
      <w:r>
        <w:rPr>
          <w:b/>
          <w:i/>
          <w:color w:val="000000"/>
          <w:sz w:val="16"/>
          <w:szCs w:val="16"/>
        </w:rPr>
        <w:t xml:space="preserve">Source: </w:t>
      </w:r>
      <w:r>
        <w:rPr>
          <w:color w:val="000000"/>
          <w:sz w:val="16"/>
          <w:szCs w:val="16"/>
        </w:rPr>
        <w:t>The State of Victoria’s Children Repor</w:t>
      </w:r>
      <w:r w:rsidR="009B4B4C">
        <w:rPr>
          <w:color w:val="000000"/>
          <w:sz w:val="16"/>
          <w:szCs w:val="16"/>
        </w:rPr>
        <w:t>t 2015</w:t>
      </w:r>
      <w:r>
        <w:rPr>
          <w:color w:val="000000"/>
          <w:sz w:val="16"/>
          <w:szCs w:val="16"/>
        </w:rPr>
        <w:t xml:space="preserve"> </w:t>
      </w:r>
    </w:p>
    <w:p w:rsidR="002D3DF1" w:rsidRPr="000B249D" w:rsidRDefault="002D3DF1" w:rsidP="002D3DF1">
      <w:pPr>
        <w:rPr>
          <w:color w:val="000000"/>
        </w:rPr>
      </w:pPr>
      <w:r>
        <w:rPr>
          <w:color w:val="000000"/>
        </w:rPr>
        <w:t>Further</w:t>
      </w:r>
      <w:r w:rsidRPr="00177632">
        <w:rPr>
          <w:color w:val="000000"/>
        </w:rPr>
        <w:t xml:space="preserve">, analysis of data from the Longitudinal Survey of </w:t>
      </w:r>
      <w:r>
        <w:rPr>
          <w:color w:val="000000"/>
        </w:rPr>
        <w:t>Australian Children has found that a</w:t>
      </w:r>
      <w:r w:rsidRPr="000B249D">
        <w:rPr>
          <w:color w:val="000000"/>
        </w:rPr>
        <w:t>ttendance at preschool has a significant positive impact on later NAPLAN outcomes, particularly in the domains of Numeracy, Reading and Spelling</w:t>
      </w:r>
      <w:r>
        <w:rPr>
          <w:color w:val="000000"/>
        </w:rPr>
        <w:t>. T</w:t>
      </w:r>
      <w:r w:rsidRPr="000B249D">
        <w:rPr>
          <w:color w:val="000000"/>
        </w:rPr>
        <w:t>he dire</w:t>
      </w:r>
      <w:r>
        <w:rPr>
          <w:color w:val="000000"/>
        </w:rPr>
        <w:t>ct causal effects of pre</w:t>
      </w:r>
      <w:r w:rsidRPr="000B249D">
        <w:rPr>
          <w:color w:val="000000"/>
        </w:rPr>
        <w:t>school attendance are equivalent to 10 to 20 NAPLAN points or 15 to 20 weeks of schooling at the Year 3 level, three y</w:t>
      </w:r>
      <w:r>
        <w:rPr>
          <w:color w:val="000000"/>
        </w:rPr>
        <w:t>ears after attending preschool.</w:t>
      </w:r>
      <w:r w:rsidRPr="00177632">
        <w:rPr>
          <w:rStyle w:val="EndnoteReference"/>
          <w:color w:val="000000"/>
        </w:rPr>
        <w:endnoteReference w:id="123"/>
      </w:r>
      <w:r w:rsidRPr="000B249D">
        <w:rPr>
          <w:color w:val="000000"/>
        </w:rPr>
        <w:t xml:space="preserve"> </w:t>
      </w:r>
    </w:p>
    <w:p w:rsidR="002D3DF1" w:rsidRPr="00ED7B01" w:rsidRDefault="002D3DF1" w:rsidP="002D3DF1">
      <w:pPr>
        <w:pStyle w:val="CommentText"/>
        <w:rPr>
          <w:sz w:val="22"/>
          <w:szCs w:val="22"/>
        </w:rPr>
      </w:pPr>
      <w:r>
        <w:rPr>
          <w:sz w:val="22"/>
        </w:rPr>
        <w:t>Longitudinal r</w:t>
      </w:r>
      <w:r w:rsidRPr="00901E23">
        <w:rPr>
          <w:sz w:val="22"/>
        </w:rPr>
        <w:t xml:space="preserve">esearch has </w:t>
      </w:r>
      <w:r>
        <w:rPr>
          <w:sz w:val="22"/>
        </w:rPr>
        <w:t xml:space="preserve">also </w:t>
      </w:r>
      <w:r w:rsidRPr="00901E23">
        <w:rPr>
          <w:sz w:val="22"/>
        </w:rPr>
        <w:t xml:space="preserve">found that Indigenous children’s participation in </w:t>
      </w:r>
      <w:r w:rsidR="006F6429">
        <w:rPr>
          <w:sz w:val="22"/>
        </w:rPr>
        <w:t xml:space="preserve">preschool </w:t>
      </w:r>
      <w:r w:rsidR="00906059">
        <w:rPr>
          <w:sz w:val="22"/>
        </w:rPr>
        <w:t xml:space="preserve">results in large improvements in </w:t>
      </w:r>
      <w:r w:rsidRPr="005079CA">
        <w:rPr>
          <w:sz w:val="22"/>
        </w:rPr>
        <w:t>reading and literacy out</w:t>
      </w:r>
      <w:r w:rsidRPr="00901E23">
        <w:rPr>
          <w:sz w:val="22"/>
        </w:rPr>
        <w:t xml:space="preserve">comes both in the short term (two years after participation, at ages 5-7) and also in the longer term (3-5 years after participation). There </w:t>
      </w:r>
      <w:r>
        <w:rPr>
          <w:sz w:val="22"/>
        </w:rPr>
        <w:t xml:space="preserve">is </w:t>
      </w:r>
      <w:r w:rsidRPr="00901E23">
        <w:rPr>
          <w:sz w:val="22"/>
        </w:rPr>
        <w:t xml:space="preserve">also evidence of a positive </w:t>
      </w:r>
      <w:r w:rsidR="000B57E5" w:rsidRPr="00121163">
        <w:rPr>
          <w:sz w:val="22"/>
        </w:rPr>
        <w:t>long</w:t>
      </w:r>
      <w:r w:rsidR="002F0CA9">
        <w:rPr>
          <w:sz w:val="22"/>
        </w:rPr>
        <w:t>er</w:t>
      </w:r>
      <w:r w:rsidR="00035233">
        <w:rPr>
          <w:sz w:val="22"/>
        </w:rPr>
        <w:t xml:space="preserve"> </w:t>
      </w:r>
      <w:r w:rsidRPr="00901E23">
        <w:rPr>
          <w:sz w:val="22"/>
        </w:rPr>
        <w:t xml:space="preserve">term </w:t>
      </w:r>
      <w:r w:rsidR="0064699A">
        <w:rPr>
          <w:sz w:val="22"/>
        </w:rPr>
        <w:t xml:space="preserve">benefit from </w:t>
      </w:r>
      <w:r w:rsidRPr="00901E23">
        <w:rPr>
          <w:sz w:val="22"/>
        </w:rPr>
        <w:t xml:space="preserve">preschool and child care </w:t>
      </w:r>
      <w:r w:rsidR="0064699A">
        <w:rPr>
          <w:sz w:val="22"/>
        </w:rPr>
        <w:t xml:space="preserve">participation </w:t>
      </w:r>
      <w:r w:rsidRPr="00901E23">
        <w:rPr>
          <w:sz w:val="22"/>
        </w:rPr>
        <w:t xml:space="preserve">on mathematics ability and abstract reasoning, as well as </w:t>
      </w:r>
      <w:r>
        <w:rPr>
          <w:sz w:val="22"/>
        </w:rPr>
        <w:t xml:space="preserve">on </w:t>
      </w:r>
      <w:r w:rsidRPr="00901E23">
        <w:rPr>
          <w:sz w:val="22"/>
        </w:rPr>
        <w:t>developmental outcomes</w:t>
      </w:r>
      <w:r>
        <w:rPr>
          <w:sz w:val="22"/>
        </w:rPr>
        <w:t>.</w:t>
      </w:r>
      <w:r w:rsidRPr="00901E23">
        <w:rPr>
          <w:rStyle w:val="EndnoteReference"/>
          <w:sz w:val="22"/>
        </w:rPr>
        <w:endnoteReference w:id="124"/>
      </w:r>
      <w:r>
        <w:rPr>
          <w:sz w:val="22"/>
        </w:rPr>
        <w:t xml:space="preserve"> </w:t>
      </w:r>
    </w:p>
    <w:p w:rsidR="002D3DF1" w:rsidRPr="00177632" w:rsidRDefault="002D3DF1" w:rsidP="002D3DF1">
      <w:pPr>
        <w:rPr>
          <w:i/>
          <w:iCs/>
          <w:color w:val="000000"/>
        </w:rPr>
      </w:pPr>
      <w:r w:rsidRPr="00177632">
        <w:rPr>
          <w:i/>
          <w:iCs/>
          <w:color w:val="000000"/>
        </w:rPr>
        <w:t xml:space="preserve">Duration </w:t>
      </w:r>
      <w:r w:rsidR="008C2FE3">
        <w:rPr>
          <w:i/>
          <w:iCs/>
          <w:color w:val="000000"/>
        </w:rPr>
        <w:t>(number of years)</w:t>
      </w:r>
    </w:p>
    <w:p w:rsidR="002D3DF1" w:rsidRDefault="002D3DF1" w:rsidP="002D3DF1">
      <w:pPr>
        <w:rPr>
          <w:color w:val="000000"/>
        </w:rPr>
      </w:pPr>
      <w:r w:rsidRPr="00177632">
        <w:rPr>
          <w:color w:val="000000"/>
        </w:rPr>
        <w:t xml:space="preserve">Research has shown that participating in an early childhood education program for two years, rather than one, has </w:t>
      </w:r>
      <w:r>
        <w:rPr>
          <w:color w:val="000000"/>
        </w:rPr>
        <w:t>a significant positive</w:t>
      </w:r>
      <w:r w:rsidRPr="00177632">
        <w:rPr>
          <w:color w:val="000000"/>
        </w:rPr>
        <w:t xml:space="preserve"> </w:t>
      </w:r>
      <w:r w:rsidR="0064699A">
        <w:rPr>
          <w:color w:val="000000"/>
        </w:rPr>
        <w:t xml:space="preserve">influence </w:t>
      </w:r>
      <w:r w:rsidRPr="00177632">
        <w:rPr>
          <w:color w:val="000000"/>
        </w:rPr>
        <w:t xml:space="preserve">on children’s outcomes. This is </w:t>
      </w:r>
      <w:r>
        <w:rPr>
          <w:color w:val="000000"/>
        </w:rPr>
        <w:t xml:space="preserve">evident for all children but is even greater for </w:t>
      </w:r>
      <w:r w:rsidR="00CB24A6">
        <w:rPr>
          <w:color w:val="000000"/>
        </w:rPr>
        <w:t>those experiencing vulnerability and disadvantage</w:t>
      </w:r>
      <w:r w:rsidRPr="00177632">
        <w:rPr>
          <w:color w:val="000000"/>
        </w:rPr>
        <w:t xml:space="preserve">, particularly in closing achievement gaps prior to starting school. </w:t>
      </w:r>
    </w:p>
    <w:p w:rsidR="002D3DF1" w:rsidRDefault="002D3DF1" w:rsidP="002D3DF1">
      <w:pPr>
        <w:rPr>
          <w:color w:val="000000"/>
        </w:rPr>
      </w:pPr>
      <w:r>
        <w:rPr>
          <w:color w:val="000000"/>
        </w:rPr>
        <w:t xml:space="preserve">OECD analysis found that </w:t>
      </w:r>
      <w:r w:rsidR="00A21D73">
        <w:rPr>
          <w:color w:val="000000"/>
        </w:rPr>
        <w:t xml:space="preserve">children who attend early childhood education for two years or more perform better at age 15. </w:t>
      </w:r>
      <w:r>
        <w:rPr>
          <w:color w:val="000000"/>
        </w:rPr>
        <w:t xml:space="preserve">For </w:t>
      </w:r>
      <w:r w:rsidRPr="00177632">
        <w:rPr>
          <w:color w:val="000000"/>
        </w:rPr>
        <w:t>example, in the PISA 2015 science assessment</w:t>
      </w:r>
      <w:r>
        <w:rPr>
          <w:color w:val="000000"/>
        </w:rPr>
        <w:t xml:space="preserve">, </w:t>
      </w:r>
      <w:r w:rsidRPr="00177632">
        <w:rPr>
          <w:color w:val="000000"/>
        </w:rPr>
        <w:t>the average difference between students who had attended more than one year of</w:t>
      </w:r>
      <w:r w:rsidR="00AD4E3E">
        <w:rPr>
          <w:color w:val="000000"/>
        </w:rPr>
        <w:t xml:space="preserve"> </w:t>
      </w:r>
      <w:r w:rsidR="00D314FE">
        <w:rPr>
          <w:color w:val="000000"/>
        </w:rPr>
        <w:t xml:space="preserve">early childhood education </w:t>
      </w:r>
      <w:r w:rsidRPr="00177632">
        <w:rPr>
          <w:color w:val="000000"/>
        </w:rPr>
        <w:t xml:space="preserve">and those who had attended one year or less </w:t>
      </w:r>
      <w:r>
        <w:rPr>
          <w:color w:val="000000"/>
        </w:rPr>
        <w:t>was the equivalent gap of nearly one</w:t>
      </w:r>
      <w:r w:rsidR="00D314FE">
        <w:rPr>
          <w:color w:val="000000"/>
        </w:rPr>
        <w:t>-</w:t>
      </w:r>
      <w:r>
        <w:rPr>
          <w:color w:val="000000"/>
        </w:rPr>
        <w:t>and</w:t>
      </w:r>
      <w:r w:rsidR="00D314FE">
        <w:rPr>
          <w:color w:val="000000"/>
        </w:rPr>
        <w:t>-</w:t>
      </w:r>
      <w:r>
        <w:rPr>
          <w:color w:val="000000"/>
        </w:rPr>
        <w:t>a</w:t>
      </w:r>
      <w:r w:rsidR="00D314FE">
        <w:rPr>
          <w:color w:val="000000"/>
        </w:rPr>
        <w:t>-</w:t>
      </w:r>
      <w:r>
        <w:rPr>
          <w:color w:val="000000"/>
        </w:rPr>
        <w:t>half years of formal schooling (41 points).</w:t>
      </w:r>
      <w:r>
        <w:rPr>
          <w:rStyle w:val="EndnoteReference"/>
          <w:color w:val="000000"/>
        </w:rPr>
        <w:endnoteReference w:id="125"/>
      </w:r>
      <w:r w:rsidRPr="00177632">
        <w:rPr>
          <w:color w:val="000000"/>
        </w:rPr>
        <w:t xml:space="preserve"> </w:t>
      </w:r>
      <w:r>
        <w:rPr>
          <w:color w:val="000000"/>
        </w:rPr>
        <w:t>After accounting for</w:t>
      </w:r>
      <w:r w:rsidRPr="00177632">
        <w:rPr>
          <w:color w:val="000000"/>
        </w:rPr>
        <w:t xml:space="preserve"> student and sch</w:t>
      </w:r>
      <w:r>
        <w:rPr>
          <w:color w:val="000000"/>
        </w:rPr>
        <w:t xml:space="preserve">ool-level socio-economic status, </w:t>
      </w:r>
      <w:r w:rsidRPr="00177632">
        <w:rPr>
          <w:color w:val="000000"/>
        </w:rPr>
        <w:t xml:space="preserve">students who had attended early childhood education for one year or more scored an average of 25 points higher in the PISA science assessment compared </w:t>
      </w:r>
      <w:r w:rsidR="00D314FE">
        <w:rPr>
          <w:color w:val="000000"/>
        </w:rPr>
        <w:t>with</w:t>
      </w:r>
      <w:r w:rsidR="00D314FE" w:rsidRPr="00177632">
        <w:rPr>
          <w:color w:val="000000"/>
        </w:rPr>
        <w:t xml:space="preserve"> </w:t>
      </w:r>
      <w:r w:rsidRPr="00177632">
        <w:rPr>
          <w:color w:val="000000"/>
        </w:rPr>
        <w:t>those who had not – the equivalent to ne</w:t>
      </w:r>
      <w:r>
        <w:rPr>
          <w:color w:val="000000"/>
        </w:rPr>
        <w:t>arly a year of formal schooling.</w:t>
      </w:r>
      <w:r w:rsidRPr="00177632">
        <w:rPr>
          <w:rStyle w:val="EndnoteReference"/>
          <w:color w:val="000000"/>
        </w:rPr>
        <w:endnoteReference w:id="126"/>
      </w:r>
    </w:p>
    <w:p w:rsidR="002D3DF1" w:rsidRDefault="002D3DF1" w:rsidP="002D3DF1">
      <w:pPr>
        <w:rPr>
          <w:color w:val="000000"/>
        </w:rPr>
      </w:pPr>
      <w:r w:rsidRPr="00177632">
        <w:rPr>
          <w:color w:val="000000"/>
        </w:rPr>
        <w:t>Data from international benchmarking assessments show</w:t>
      </w:r>
      <w:r w:rsidR="00D314FE">
        <w:rPr>
          <w:color w:val="000000"/>
        </w:rPr>
        <w:t>s</w:t>
      </w:r>
      <w:r w:rsidRPr="00177632">
        <w:rPr>
          <w:color w:val="000000"/>
        </w:rPr>
        <w:t xml:space="preserve"> that in the countries with near-universal participation in preschool there is a strong correlation between more years of pre-primary education and Grade 4 </w:t>
      </w:r>
      <w:r w:rsidR="00D314FE">
        <w:rPr>
          <w:color w:val="000000"/>
        </w:rPr>
        <w:t>t</w:t>
      </w:r>
      <w:r w:rsidRPr="00177632">
        <w:rPr>
          <w:color w:val="000000"/>
        </w:rPr>
        <w:t xml:space="preserve">est </w:t>
      </w:r>
      <w:r w:rsidR="00D314FE">
        <w:rPr>
          <w:color w:val="000000"/>
        </w:rPr>
        <w:t>s</w:t>
      </w:r>
      <w:r w:rsidRPr="00177632">
        <w:rPr>
          <w:color w:val="000000"/>
        </w:rPr>
        <w:t>cores</w:t>
      </w:r>
      <w:r>
        <w:rPr>
          <w:color w:val="000000"/>
        </w:rPr>
        <w:t>.</w:t>
      </w:r>
      <w:r w:rsidRPr="00177632">
        <w:rPr>
          <w:rStyle w:val="EndnoteReference"/>
          <w:color w:val="000000"/>
        </w:rPr>
        <w:endnoteReference w:id="127"/>
      </w:r>
      <w:r w:rsidRPr="00177632">
        <w:rPr>
          <w:color w:val="000000"/>
        </w:rPr>
        <w:t xml:space="preserve"> </w:t>
      </w:r>
    </w:p>
    <w:p w:rsidR="002D3DF1" w:rsidRPr="009A74B0" w:rsidRDefault="00480A72" w:rsidP="002D3DF1">
      <w:pPr>
        <w:rPr>
          <w:color w:val="000000"/>
        </w:rPr>
      </w:pPr>
      <w:r>
        <w:rPr>
          <w:color w:val="000000"/>
        </w:rPr>
        <w:t>International</w:t>
      </w:r>
      <w:r w:rsidR="002D3DF1" w:rsidRPr="009A74B0">
        <w:rPr>
          <w:color w:val="000000"/>
        </w:rPr>
        <w:t xml:space="preserve"> studies, such as the Perry Preschool Program and EPPSE, found that all children benefit from participating in at least two years of early childhood education, with vulnerable and disadvantaged children receiving the maximum benefit.</w:t>
      </w:r>
      <w:r w:rsidR="002D3DF1" w:rsidRPr="009A74B0">
        <w:rPr>
          <w:rStyle w:val="EndnoteReference"/>
          <w:color w:val="000000"/>
        </w:rPr>
        <w:endnoteReference w:id="128"/>
      </w:r>
      <w:r w:rsidR="002D3DF1" w:rsidRPr="009A74B0">
        <w:rPr>
          <w:color w:val="000000"/>
        </w:rPr>
        <w:t xml:space="preserve"> </w:t>
      </w:r>
      <w:r w:rsidR="009A74B0" w:rsidRPr="009A74B0">
        <w:t xml:space="preserve">EPPSE, which targeted all cohorts of children, found that there were </w:t>
      </w:r>
      <w:r w:rsidR="006F6429">
        <w:t xml:space="preserve">no </w:t>
      </w:r>
      <w:r w:rsidR="009A74B0" w:rsidRPr="009A74B0">
        <w:t>additional benefits to attending full days rather than part days and concluded that an extended period of preschool experience on a part-time basis is more likely to be advantageous than a shorter time period of full-time provision.</w:t>
      </w:r>
      <w:r w:rsidR="009A74B0" w:rsidRPr="009A74B0">
        <w:rPr>
          <w:rStyle w:val="EndnoteReference"/>
        </w:rPr>
        <w:endnoteReference w:id="129"/>
      </w:r>
    </w:p>
    <w:p w:rsidR="002D3DF1" w:rsidRPr="009A74B0" w:rsidRDefault="002D3DF1" w:rsidP="002D3DF1">
      <w:pPr>
        <w:rPr>
          <w:i/>
        </w:rPr>
      </w:pPr>
      <w:r w:rsidRPr="009A74B0">
        <w:rPr>
          <w:i/>
        </w:rPr>
        <w:t>Dosage (hours per week)</w:t>
      </w:r>
    </w:p>
    <w:p w:rsidR="00BB233A" w:rsidRPr="009A74B0" w:rsidRDefault="00BB233A" w:rsidP="00BB233A">
      <w:r w:rsidRPr="009A74B0">
        <w:t xml:space="preserve">Evidence on the optimal number of hours per week of early childhood education is less conclusive than the evidence on </w:t>
      </w:r>
      <w:r w:rsidR="006F6429">
        <w:t xml:space="preserve">the </w:t>
      </w:r>
      <w:r w:rsidRPr="009A74B0">
        <w:t>number of years of attendance, or th</w:t>
      </w:r>
      <w:r w:rsidR="00C332DF">
        <w:t>e evidence on the importance of</w:t>
      </w:r>
      <w:r w:rsidRPr="009A74B0">
        <w:t xml:space="preserve"> the quality of programs. However, a UNICEF report on benchmarks for early childhood services in OECD countries concluded that 15 hours per week reflects the general consensus of the literature, and should be considered a minimum dosage.</w:t>
      </w:r>
      <w:r w:rsidRPr="009A74B0">
        <w:rPr>
          <w:rStyle w:val="EndnoteReference"/>
        </w:rPr>
        <w:endnoteReference w:id="130"/>
      </w:r>
      <w:r w:rsidRPr="009A74B0">
        <w:t xml:space="preserve"> </w:t>
      </w:r>
    </w:p>
    <w:p w:rsidR="00BB233A" w:rsidRPr="009A74B0" w:rsidRDefault="009A74B0" w:rsidP="00BB233A">
      <w:r w:rsidRPr="009A74B0">
        <w:t>A</w:t>
      </w:r>
      <w:r w:rsidR="00BB233A" w:rsidRPr="009A74B0">
        <w:t>nalysis undertaken on an earl</w:t>
      </w:r>
      <w:r w:rsidRPr="009A74B0">
        <w:t xml:space="preserve">y childhood longitudinal study in the </w:t>
      </w:r>
      <w:r w:rsidR="00BB233A" w:rsidRPr="009A74B0">
        <w:t xml:space="preserve">United States found that a minimum dosage of 15 hours per week was necessary for substantial impacts on cognitive outcomes, and that outcomes were optimised when children started before age </w:t>
      </w:r>
      <w:r w:rsidR="00835C89">
        <w:t>four</w:t>
      </w:r>
      <w:r w:rsidR="00BB233A" w:rsidRPr="009A74B0">
        <w:t>.</w:t>
      </w:r>
      <w:r w:rsidR="00BB233A" w:rsidRPr="009A74B0">
        <w:rPr>
          <w:rStyle w:val="EndnoteReference"/>
        </w:rPr>
        <w:endnoteReference w:id="131"/>
      </w:r>
      <w:r w:rsidR="00BB233A" w:rsidRPr="009A74B0">
        <w:t xml:space="preserve"> Increasing the </w:t>
      </w:r>
      <w:r w:rsidR="00904AD1">
        <w:t>dosage</w:t>
      </w:r>
      <w:r w:rsidR="00904AD1" w:rsidRPr="009A74B0">
        <w:t xml:space="preserve"> </w:t>
      </w:r>
      <w:r w:rsidR="00BB233A" w:rsidRPr="009A74B0">
        <w:t>for disadvantaged or vulnerable children is likely to have additional benefits.</w:t>
      </w:r>
      <w:r w:rsidR="00BB233A" w:rsidRPr="009A74B0">
        <w:rPr>
          <w:rStyle w:val="EndnoteReference"/>
        </w:rPr>
        <w:endnoteReference w:id="132"/>
      </w:r>
    </w:p>
    <w:p w:rsidR="005B4279" w:rsidRDefault="00BB233A" w:rsidP="00375FB1">
      <w:r w:rsidRPr="009A74B0">
        <w:t xml:space="preserve">In considering dosage in an Australian context, </w:t>
      </w:r>
      <w:r w:rsidR="009A74B0" w:rsidRPr="009A74B0">
        <w:t xml:space="preserve">the Mitchell Institute </w:t>
      </w:r>
      <w:r w:rsidR="009A74B0">
        <w:t xml:space="preserve">considered </w:t>
      </w:r>
      <w:r w:rsidRPr="009A74B0">
        <w:t>15 hours of early childhood education per week be taken as the minimum dosage. The</w:t>
      </w:r>
      <w:r w:rsidR="00D314FE">
        <w:t xml:space="preserve"> institute </w:t>
      </w:r>
      <w:r w:rsidRPr="009A74B0">
        <w:t>also acknowledged that, internationally, countries are offering closer to 20 and 30 hours per week.</w:t>
      </w:r>
      <w:r w:rsidRPr="009A74B0">
        <w:rPr>
          <w:rStyle w:val="EndnoteReference"/>
        </w:rPr>
        <w:endnoteReference w:id="133"/>
      </w:r>
    </w:p>
    <w:p w:rsidR="005B4279" w:rsidRDefault="005B4279" w:rsidP="00375FB1"/>
    <w:p w:rsidR="00375FB1" w:rsidRDefault="00375FB1" w:rsidP="00A516DA">
      <w:pPr>
        <w:ind w:left="720"/>
      </w:pPr>
      <w:r>
        <w:br w:type="page"/>
      </w:r>
    </w:p>
    <w:p w:rsidR="00375FB1" w:rsidRDefault="0063470E" w:rsidP="00375FB1">
      <w:pPr>
        <w:pStyle w:val="Heading1"/>
      </w:pPr>
      <w:bookmarkStart w:id="19" w:name="_Toc373586254"/>
      <w:bookmarkStart w:id="20" w:name="_Toc500850772"/>
      <w:r>
        <w:t xml:space="preserve">3.2 </w:t>
      </w:r>
      <w:r w:rsidR="00375FB1">
        <w:t>Other benefits of early childhood interventions</w:t>
      </w:r>
      <w:bookmarkEnd w:id="19"/>
      <w:bookmarkEnd w:id="20"/>
      <w:r w:rsidR="00375FB1">
        <w:t xml:space="preserve"> </w:t>
      </w:r>
    </w:p>
    <w:p w:rsidR="00375FB1" w:rsidRPr="00487555" w:rsidRDefault="00375FB1" w:rsidP="00375FB1">
      <w:pPr>
        <w:rPr>
          <w:i/>
        </w:rPr>
      </w:pPr>
    </w:p>
    <w:p w:rsidR="00A41983" w:rsidRDefault="00A41983" w:rsidP="00A41983">
      <w:pPr>
        <w:pBdr>
          <w:top w:val="single" w:sz="4" w:space="1" w:color="auto"/>
          <w:left w:val="single" w:sz="4" w:space="4" w:color="auto"/>
          <w:bottom w:val="single" w:sz="4" w:space="1" w:color="auto"/>
          <w:right w:val="single" w:sz="4" w:space="4" w:color="auto"/>
        </w:pBdr>
        <w:rPr>
          <w:rStyle w:val="A7"/>
          <w:rFonts w:cstheme="minorHAnsi"/>
          <w:i/>
          <w:sz w:val="22"/>
          <w:szCs w:val="22"/>
        </w:rPr>
      </w:pPr>
      <w:r w:rsidRPr="00A41983">
        <w:rPr>
          <w:rStyle w:val="A7"/>
          <w:rFonts w:cstheme="minorHAnsi"/>
          <w:i/>
          <w:sz w:val="22"/>
          <w:szCs w:val="22"/>
        </w:rPr>
        <w:t xml:space="preserve">The benefits of participating in high quality early childhood education are far-reaching and long-term. Improved school performance is not the only benefit. </w:t>
      </w:r>
    </w:p>
    <w:p w:rsidR="00A41983" w:rsidRDefault="00A41983" w:rsidP="00A41983">
      <w:pPr>
        <w:pBdr>
          <w:top w:val="single" w:sz="4" w:space="1" w:color="auto"/>
          <w:left w:val="single" w:sz="4" w:space="4" w:color="auto"/>
          <w:bottom w:val="single" w:sz="4" w:space="1" w:color="auto"/>
          <w:right w:val="single" w:sz="4" w:space="4" w:color="auto"/>
        </w:pBdr>
        <w:rPr>
          <w:rStyle w:val="A7"/>
          <w:rFonts w:cstheme="minorHAnsi"/>
          <w:i/>
          <w:sz w:val="22"/>
          <w:szCs w:val="22"/>
        </w:rPr>
      </w:pPr>
      <w:r w:rsidRPr="00A41983">
        <w:rPr>
          <w:rStyle w:val="A7"/>
          <w:rFonts w:cstheme="minorHAnsi"/>
          <w:i/>
          <w:sz w:val="22"/>
          <w:szCs w:val="22"/>
        </w:rPr>
        <w:t>Skills developed in early childhood contribute to broader and longer-term outcomes</w:t>
      </w:r>
      <w:r>
        <w:rPr>
          <w:rStyle w:val="A7"/>
          <w:rFonts w:cstheme="minorHAnsi"/>
          <w:i/>
          <w:sz w:val="22"/>
          <w:szCs w:val="22"/>
        </w:rPr>
        <w:t xml:space="preserve">, including </w:t>
      </w:r>
      <w:r w:rsidR="00A21D73">
        <w:rPr>
          <w:rStyle w:val="A7"/>
          <w:rFonts w:cstheme="minorHAnsi"/>
          <w:i/>
          <w:sz w:val="22"/>
          <w:szCs w:val="22"/>
        </w:rPr>
        <w:t xml:space="preserve">improved </w:t>
      </w:r>
      <w:r w:rsidRPr="00487555">
        <w:rPr>
          <w:rStyle w:val="A7"/>
          <w:rFonts w:cstheme="minorHAnsi"/>
          <w:i/>
          <w:sz w:val="22"/>
          <w:szCs w:val="22"/>
        </w:rPr>
        <w:t>employment prospects, health and wellbeing</w:t>
      </w:r>
      <w:r>
        <w:rPr>
          <w:rStyle w:val="A7"/>
          <w:rFonts w:cstheme="minorHAnsi"/>
          <w:i/>
          <w:sz w:val="22"/>
          <w:szCs w:val="22"/>
        </w:rPr>
        <w:t>,</w:t>
      </w:r>
      <w:r w:rsidRPr="00487555">
        <w:rPr>
          <w:rStyle w:val="A7"/>
          <w:rFonts w:cstheme="minorHAnsi"/>
          <w:i/>
          <w:sz w:val="22"/>
          <w:szCs w:val="22"/>
        </w:rPr>
        <w:t xml:space="preserve"> and social </w:t>
      </w:r>
      <w:r>
        <w:rPr>
          <w:rStyle w:val="A7"/>
          <w:rFonts w:cstheme="minorHAnsi"/>
          <w:i/>
          <w:sz w:val="22"/>
          <w:szCs w:val="22"/>
        </w:rPr>
        <w:t xml:space="preserve">outcomes such as reduced </w:t>
      </w:r>
      <w:r w:rsidR="00C47DEF" w:rsidRPr="00FD53E6">
        <w:rPr>
          <w:rStyle w:val="A7"/>
          <w:rFonts w:cstheme="minorHAnsi"/>
          <w:i/>
          <w:sz w:val="22"/>
          <w:szCs w:val="22"/>
        </w:rPr>
        <w:t>reliance on</w:t>
      </w:r>
      <w:r>
        <w:rPr>
          <w:rStyle w:val="A7"/>
          <w:rFonts w:cstheme="minorHAnsi"/>
          <w:i/>
          <w:sz w:val="22"/>
          <w:szCs w:val="22"/>
        </w:rPr>
        <w:t xml:space="preserve"> social services and less interaction with the justice system. </w:t>
      </w:r>
    </w:p>
    <w:p w:rsidR="005668BD" w:rsidRDefault="005668BD" w:rsidP="00A41983">
      <w:pPr>
        <w:rPr>
          <w:rStyle w:val="A7"/>
          <w:rFonts w:cstheme="minorHAnsi"/>
          <w:sz w:val="22"/>
          <w:szCs w:val="22"/>
        </w:rPr>
      </w:pPr>
      <w:r>
        <w:rPr>
          <w:rStyle w:val="A7"/>
          <w:rFonts w:cstheme="minorHAnsi"/>
          <w:sz w:val="22"/>
          <w:szCs w:val="22"/>
        </w:rPr>
        <w:t xml:space="preserve">As discussed </w:t>
      </w:r>
      <w:r w:rsidR="00924A05">
        <w:rPr>
          <w:rStyle w:val="A7"/>
          <w:rFonts w:cstheme="minorHAnsi"/>
          <w:sz w:val="22"/>
          <w:szCs w:val="22"/>
        </w:rPr>
        <w:t>earlier</w:t>
      </w:r>
      <w:r>
        <w:rPr>
          <w:rStyle w:val="A7"/>
          <w:rFonts w:cstheme="minorHAnsi"/>
          <w:sz w:val="22"/>
          <w:szCs w:val="22"/>
        </w:rPr>
        <w:t xml:space="preserve">, a </w:t>
      </w:r>
      <w:r>
        <w:t xml:space="preserve">child’s environment and experiences in </w:t>
      </w:r>
      <w:r w:rsidR="00C47DEF" w:rsidRPr="003C30CF">
        <w:t xml:space="preserve">his or her </w:t>
      </w:r>
      <w:r>
        <w:t xml:space="preserve">early years can set pathways for life. The early years are critical for developing the key foundational skills and </w:t>
      </w:r>
      <w:r w:rsidRPr="00DC66BF">
        <w:rPr>
          <w:rStyle w:val="A7"/>
          <w:rFonts w:cstheme="minorHAnsi"/>
          <w:sz w:val="22"/>
          <w:szCs w:val="22"/>
        </w:rPr>
        <w:t xml:space="preserve">capabilities necessary </w:t>
      </w:r>
      <w:r>
        <w:rPr>
          <w:rStyle w:val="A7"/>
          <w:rFonts w:cstheme="minorHAnsi"/>
          <w:sz w:val="22"/>
          <w:szCs w:val="22"/>
        </w:rPr>
        <w:t xml:space="preserve">throughout life. </w:t>
      </w:r>
    </w:p>
    <w:p w:rsidR="00A41983" w:rsidRPr="00B57341" w:rsidRDefault="00A41983" w:rsidP="00A41983">
      <w:pPr>
        <w:rPr>
          <w:rFonts w:cstheme="minorHAnsi"/>
          <w:color w:val="000000"/>
        </w:rPr>
      </w:pPr>
      <w:r>
        <w:rPr>
          <w:rStyle w:val="A7"/>
          <w:rFonts w:cstheme="minorHAnsi"/>
          <w:sz w:val="22"/>
          <w:szCs w:val="22"/>
        </w:rPr>
        <w:t>The</w:t>
      </w:r>
      <w:r w:rsidRPr="00DC66BF">
        <w:rPr>
          <w:rStyle w:val="A7"/>
          <w:rFonts w:cstheme="minorHAnsi"/>
          <w:sz w:val="22"/>
          <w:szCs w:val="22"/>
        </w:rPr>
        <w:t xml:space="preserve"> skills associated with </w:t>
      </w:r>
      <w:r w:rsidR="002755C5">
        <w:rPr>
          <w:rStyle w:val="A7"/>
          <w:rFonts w:cstheme="minorHAnsi"/>
          <w:sz w:val="22"/>
          <w:szCs w:val="22"/>
        </w:rPr>
        <w:t>self-</w:t>
      </w:r>
      <w:r>
        <w:rPr>
          <w:rStyle w:val="A7"/>
          <w:rFonts w:cstheme="minorHAnsi"/>
          <w:sz w:val="22"/>
          <w:szCs w:val="22"/>
        </w:rPr>
        <w:t>regulation,</w:t>
      </w:r>
      <w:r w:rsidRPr="00DC66BF">
        <w:rPr>
          <w:rStyle w:val="A7"/>
          <w:rFonts w:cstheme="minorHAnsi"/>
          <w:sz w:val="22"/>
          <w:szCs w:val="22"/>
        </w:rPr>
        <w:t xml:space="preserve"> the cognitive and life skills that require working memory, mental flexibility and self-control are</w:t>
      </w:r>
      <w:r w:rsidR="00D219F0">
        <w:rPr>
          <w:rStyle w:val="A7"/>
          <w:rFonts w:cstheme="minorHAnsi"/>
          <w:sz w:val="22"/>
          <w:szCs w:val="22"/>
        </w:rPr>
        <w:t>,</w:t>
      </w:r>
      <w:r w:rsidRPr="00DC66BF">
        <w:rPr>
          <w:rStyle w:val="A7"/>
          <w:rFonts w:cstheme="minorHAnsi"/>
          <w:sz w:val="22"/>
          <w:szCs w:val="22"/>
        </w:rPr>
        <w:t xml:space="preserve"> </w:t>
      </w:r>
      <w:r w:rsidR="00A21D73">
        <w:rPr>
          <w:rStyle w:val="A7"/>
          <w:rFonts w:cstheme="minorHAnsi"/>
          <w:sz w:val="22"/>
          <w:szCs w:val="22"/>
        </w:rPr>
        <w:t>in the main</w:t>
      </w:r>
      <w:r w:rsidR="00D219F0">
        <w:rPr>
          <w:rStyle w:val="A7"/>
          <w:rFonts w:cstheme="minorHAnsi"/>
          <w:sz w:val="22"/>
          <w:szCs w:val="22"/>
        </w:rPr>
        <w:t>,</w:t>
      </w:r>
      <w:r w:rsidR="00A21D73">
        <w:rPr>
          <w:rStyle w:val="A7"/>
          <w:rFonts w:cstheme="minorHAnsi"/>
          <w:sz w:val="22"/>
          <w:szCs w:val="22"/>
        </w:rPr>
        <w:t xml:space="preserve"> </w:t>
      </w:r>
      <w:r w:rsidRPr="00DC66BF">
        <w:rPr>
          <w:rStyle w:val="A7"/>
          <w:rFonts w:cstheme="minorHAnsi"/>
          <w:sz w:val="22"/>
          <w:szCs w:val="22"/>
        </w:rPr>
        <w:t>developed</w:t>
      </w:r>
      <w:r>
        <w:rPr>
          <w:rStyle w:val="A7"/>
          <w:rFonts w:cstheme="minorHAnsi"/>
          <w:sz w:val="22"/>
          <w:szCs w:val="22"/>
        </w:rPr>
        <w:t xml:space="preserve"> </w:t>
      </w:r>
      <w:r w:rsidR="002827A7">
        <w:rPr>
          <w:rStyle w:val="A7"/>
          <w:rFonts w:cstheme="minorHAnsi"/>
          <w:sz w:val="22"/>
          <w:szCs w:val="22"/>
        </w:rPr>
        <w:t>in the early years</w:t>
      </w:r>
      <w:r w:rsidRPr="00DC66BF">
        <w:rPr>
          <w:rStyle w:val="A7"/>
          <w:rFonts w:cstheme="minorHAnsi"/>
          <w:sz w:val="22"/>
          <w:szCs w:val="22"/>
        </w:rPr>
        <w:t xml:space="preserve">. </w:t>
      </w:r>
      <w:r>
        <w:rPr>
          <w:rStyle w:val="A7"/>
          <w:rFonts w:cstheme="minorHAnsi"/>
          <w:sz w:val="22"/>
          <w:szCs w:val="22"/>
        </w:rPr>
        <w:t xml:space="preserve">These skills </w:t>
      </w:r>
      <w:r w:rsidRPr="005668BD">
        <w:rPr>
          <w:rStyle w:val="A7"/>
          <w:rFonts w:cstheme="minorHAnsi"/>
          <w:sz w:val="22"/>
          <w:szCs w:val="22"/>
        </w:rPr>
        <w:t xml:space="preserve">enable individuals to plan, focus attention, remember instructions and juggle multiple tasks successfully. They </w:t>
      </w:r>
      <w:r>
        <w:rPr>
          <w:rStyle w:val="A7"/>
          <w:rFonts w:cstheme="minorHAnsi"/>
          <w:sz w:val="22"/>
          <w:szCs w:val="22"/>
        </w:rPr>
        <w:t>underpin</w:t>
      </w:r>
      <w:r w:rsidRPr="00DC66BF">
        <w:rPr>
          <w:rStyle w:val="A7"/>
          <w:rFonts w:cstheme="minorHAnsi"/>
          <w:sz w:val="22"/>
          <w:szCs w:val="22"/>
        </w:rPr>
        <w:t xml:space="preserve"> school achievement, positive behaviours, good health and successful transition to work</w:t>
      </w:r>
      <w:r>
        <w:rPr>
          <w:rStyle w:val="A7"/>
          <w:rFonts w:cstheme="minorHAnsi"/>
          <w:sz w:val="22"/>
          <w:szCs w:val="22"/>
        </w:rPr>
        <w:t>.</w:t>
      </w:r>
      <w:r w:rsidRPr="00DC66BF">
        <w:rPr>
          <w:rStyle w:val="EndnoteReference"/>
          <w:rFonts w:cstheme="minorHAnsi"/>
          <w:color w:val="000000"/>
        </w:rPr>
        <w:endnoteReference w:id="134"/>
      </w:r>
      <w:r w:rsidRPr="00DC66BF">
        <w:rPr>
          <w:rStyle w:val="A7"/>
          <w:rFonts w:cstheme="minorHAnsi"/>
          <w:sz w:val="22"/>
          <w:szCs w:val="22"/>
        </w:rPr>
        <w:t xml:space="preserve"> The</w:t>
      </w:r>
      <w:r>
        <w:rPr>
          <w:rStyle w:val="A7"/>
          <w:rFonts w:cstheme="minorHAnsi"/>
          <w:sz w:val="22"/>
          <w:szCs w:val="22"/>
        </w:rPr>
        <w:t xml:space="preserve">y </w:t>
      </w:r>
      <w:r w:rsidRPr="00DC66BF">
        <w:t>increase the potential for later success because the individual is better organised, able to solve problems that require planning, and is prepared to adjust to changing circumstances. For society, the outcome is greater prosperity due to an innovative, competent and flexible workforce.</w:t>
      </w:r>
      <w:r w:rsidRPr="00DC66BF">
        <w:rPr>
          <w:rStyle w:val="EndnoteReference"/>
          <w:rFonts w:cstheme="minorHAnsi"/>
        </w:rPr>
        <w:endnoteReference w:id="135"/>
      </w:r>
    </w:p>
    <w:p w:rsidR="00375FB1" w:rsidRDefault="000211EF" w:rsidP="00375FB1">
      <w:pPr>
        <w:rPr>
          <w:rStyle w:val="A7"/>
          <w:rFonts w:cstheme="minorHAnsi"/>
          <w:sz w:val="22"/>
          <w:szCs w:val="22"/>
        </w:rPr>
      </w:pPr>
      <w:r>
        <w:rPr>
          <w:rStyle w:val="A7"/>
          <w:rFonts w:cstheme="minorHAnsi"/>
          <w:sz w:val="22"/>
          <w:szCs w:val="22"/>
        </w:rPr>
        <w:t>A number of n</w:t>
      </w:r>
      <w:r w:rsidR="00375FB1" w:rsidRPr="00DC66BF">
        <w:rPr>
          <w:rStyle w:val="A7"/>
          <w:rFonts w:cstheme="minorHAnsi"/>
          <w:sz w:val="22"/>
          <w:szCs w:val="22"/>
        </w:rPr>
        <w:t>on-cognitive skills are important to an individual’s employability in the long term. A lack of social and emotional skills has been identified as a barrier to employment, including for low-</w:t>
      </w:r>
      <w:r w:rsidR="00375FB1" w:rsidRPr="00030983">
        <w:rPr>
          <w:rStyle w:val="A7"/>
          <w:rFonts w:cstheme="minorHAnsi"/>
          <w:sz w:val="22"/>
          <w:szCs w:val="22"/>
        </w:rPr>
        <w:t>skill</w:t>
      </w:r>
      <w:r w:rsidR="00C47DEF" w:rsidRPr="00470D18">
        <w:rPr>
          <w:rStyle w:val="A7"/>
          <w:rFonts w:cstheme="minorHAnsi"/>
          <w:sz w:val="22"/>
          <w:szCs w:val="22"/>
        </w:rPr>
        <w:t>ed</w:t>
      </w:r>
      <w:r w:rsidR="00375FB1" w:rsidRPr="00DC66BF">
        <w:rPr>
          <w:rStyle w:val="A7"/>
          <w:rFonts w:cstheme="minorHAnsi"/>
          <w:sz w:val="22"/>
          <w:szCs w:val="22"/>
        </w:rPr>
        <w:t xml:space="preserve"> jobs</w:t>
      </w:r>
      <w:r w:rsidR="00375FB1">
        <w:rPr>
          <w:rStyle w:val="A7"/>
          <w:rFonts w:cstheme="minorHAnsi"/>
          <w:sz w:val="22"/>
          <w:szCs w:val="22"/>
        </w:rPr>
        <w:t>.</w:t>
      </w:r>
      <w:r w:rsidR="00375FB1" w:rsidRPr="00DC66BF">
        <w:rPr>
          <w:rStyle w:val="EndnoteReference"/>
          <w:rFonts w:cstheme="minorHAnsi"/>
          <w:color w:val="000000"/>
        </w:rPr>
        <w:endnoteReference w:id="136"/>
      </w:r>
      <w:r w:rsidR="00375FB1" w:rsidRPr="00DC66BF">
        <w:rPr>
          <w:rStyle w:val="A7"/>
          <w:rFonts w:cstheme="minorHAnsi"/>
          <w:sz w:val="22"/>
          <w:szCs w:val="22"/>
        </w:rPr>
        <w:t xml:space="preserve"> </w:t>
      </w:r>
    </w:p>
    <w:p w:rsidR="00A41983" w:rsidRPr="00CF5FEA" w:rsidRDefault="00A41983" w:rsidP="00A41983">
      <w:pPr>
        <w:rPr>
          <w:rFonts w:cstheme="minorHAnsi"/>
          <w:color w:val="000000"/>
        </w:rPr>
      </w:pPr>
      <w:r>
        <w:rPr>
          <w:rStyle w:val="A7"/>
          <w:rFonts w:cstheme="minorHAnsi"/>
          <w:sz w:val="22"/>
          <w:szCs w:val="22"/>
        </w:rPr>
        <w:t xml:space="preserve">Several longitudinal studies have demonstrated the importance of early childhood interventions and the effectiveness of early childhood education in improving life outcomes for children. </w:t>
      </w:r>
    </w:p>
    <w:p w:rsidR="00A41983" w:rsidRPr="00C4514A" w:rsidRDefault="00A21D73" w:rsidP="00A41983">
      <w:pPr>
        <w:rPr>
          <w:rStyle w:val="A7"/>
          <w:rFonts w:cstheme="minorHAnsi"/>
          <w:i/>
          <w:sz w:val="22"/>
          <w:szCs w:val="22"/>
        </w:rPr>
      </w:pPr>
      <w:r>
        <w:rPr>
          <w:i/>
        </w:rPr>
        <w:t>P</w:t>
      </w:r>
      <w:r w:rsidR="00A41983">
        <w:rPr>
          <w:i/>
        </w:rPr>
        <w:t>redictions on adult life-course outcomes</w:t>
      </w:r>
      <w:r>
        <w:rPr>
          <w:i/>
        </w:rPr>
        <w:t xml:space="preserve"> – Dunedin Study </w:t>
      </w:r>
    </w:p>
    <w:p w:rsidR="00A41983" w:rsidRDefault="00A41983" w:rsidP="00A41983">
      <w:pPr>
        <w:rPr>
          <w:rStyle w:val="A7"/>
          <w:rFonts w:cstheme="minorHAnsi"/>
          <w:sz w:val="22"/>
          <w:szCs w:val="22"/>
        </w:rPr>
      </w:pPr>
      <w:r w:rsidRPr="00B839AB">
        <w:rPr>
          <w:rStyle w:val="A7"/>
          <w:rFonts w:cstheme="minorHAnsi"/>
          <w:sz w:val="22"/>
          <w:szCs w:val="22"/>
        </w:rPr>
        <w:t>The Dunedin Multidisciplinary Health &amp; Development</w:t>
      </w:r>
      <w:r>
        <w:rPr>
          <w:rStyle w:val="A7"/>
          <w:rFonts w:cstheme="minorHAnsi"/>
          <w:sz w:val="22"/>
          <w:szCs w:val="22"/>
        </w:rPr>
        <w:t xml:space="preserve"> study of</w:t>
      </w:r>
      <w:r w:rsidR="005668BD">
        <w:rPr>
          <w:rStyle w:val="A7"/>
          <w:rFonts w:cstheme="minorHAnsi"/>
          <w:sz w:val="22"/>
          <w:szCs w:val="22"/>
        </w:rPr>
        <w:t xml:space="preserve"> human health, </w:t>
      </w:r>
      <w:r w:rsidRPr="00694C3C">
        <w:rPr>
          <w:rStyle w:val="A7"/>
          <w:rFonts w:cstheme="minorHAnsi"/>
          <w:sz w:val="22"/>
          <w:szCs w:val="22"/>
        </w:rPr>
        <w:t>development and behaviour</w:t>
      </w:r>
      <w:r>
        <w:rPr>
          <w:rStyle w:val="A7"/>
          <w:rFonts w:cstheme="minorHAnsi"/>
          <w:sz w:val="22"/>
          <w:szCs w:val="22"/>
        </w:rPr>
        <w:t xml:space="preserve"> follows the lives of 1</w:t>
      </w:r>
      <w:r w:rsidR="00EC55AF">
        <w:rPr>
          <w:rStyle w:val="A7"/>
          <w:rFonts w:cstheme="minorHAnsi"/>
          <w:sz w:val="22"/>
          <w:szCs w:val="22"/>
        </w:rPr>
        <w:t>,</w:t>
      </w:r>
      <w:r>
        <w:rPr>
          <w:rStyle w:val="A7"/>
          <w:rFonts w:cstheme="minorHAnsi"/>
          <w:sz w:val="22"/>
          <w:szCs w:val="22"/>
        </w:rPr>
        <w:t xml:space="preserve">037 </w:t>
      </w:r>
      <w:r w:rsidR="00C47DEF" w:rsidRPr="008E688A">
        <w:rPr>
          <w:rStyle w:val="A7"/>
          <w:rFonts w:cstheme="minorHAnsi"/>
          <w:sz w:val="22"/>
          <w:szCs w:val="22"/>
        </w:rPr>
        <w:t xml:space="preserve">people </w:t>
      </w:r>
      <w:r>
        <w:rPr>
          <w:rStyle w:val="A7"/>
          <w:rFonts w:cstheme="minorHAnsi"/>
          <w:sz w:val="22"/>
          <w:szCs w:val="22"/>
        </w:rPr>
        <w:t>born between 1 April 1972 and 31 March 1973.</w:t>
      </w:r>
      <w:r>
        <w:rPr>
          <w:rStyle w:val="EndnoteReference"/>
          <w:rFonts w:cstheme="minorHAnsi"/>
          <w:color w:val="000000"/>
        </w:rPr>
        <w:endnoteReference w:id="137"/>
      </w:r>
      <w:r w:rsidR="008C58F4">
        <w:rPr>
          <w:rFonts w:cstheme="minorHAnsi"/>
          <w:color w:val="000000"/>
        </w:rPr>
        <w:t xml:space="preserve"> </w:t>
      </w:r>
      <w:r>
        <w:rPr>
          <w:rStyle w:val="A7"/>
          <w:rFonts w:cstheme="minorHAnsi"/>
          <w:sz w:val="22"/>
          <w:szCs w:val="22"/>
        </w:rPr>
        <w:t xml:space="preserve">The study </w:t>
      </w:r>
      <w:r w:rsidR="008C58F4">
        <w:rPr>
          <w:rStyle w:val="A7"/>
          <w:rFonts w:cstheme="minorHAnsi"/>
          <w:sz w:val="22"/>
          <w:szCs w:val="22"/>
        </w:rPr>
        <w:t xml:space="preserve">provides </w:t>
      </w:r>
      <w:r>
        <w:rPr>
          <w:rStyle w:val="A7"/>
          <w:rFonts w:cstheme="minorHAnsi"/>
          <w:sz w:val="22"/>
          <w:szCs w:val="22"/>
        </w:rPr>
        <w:t xml:space="preserve">an </w:t>
      </w:r>
      <w:r w:rsidR="005668BD">
        <w:rPr>
          <w:rStyle w:val="A7"/>
          <w:rFonts w:cstheme="minorHAnsi"/>
          <w:sz w:val="22"/>
          <w:szCs w:val="22"/>
        </w:rPr>
        <w:t xml:space="preserve">illustration </w:t>
      </w:r>
      <w:r>
        <w:rPr>
          <w:rStyle w:val="A7"/>
          <w:rFonts w:cstheme="minorHAnsi"/>
          <w:sz w:val="22"/>
          <w:szCs w:val="22"/>
        </w:rPr>
        <w:t xml:space="preserve">of how </w:t>
      </w:r>
      <w:r>
        <w:t>early childhood interventions, especially those that enhance self-regulation, are likely to bring</w:t>
      </w:r>
      <w:r w:rsidR="00C47DEF" w:rsidRPr="004475BD">
        <w:t xml:space="preserve"> about</w:t>
      </w:r>
      <w:r>
        <w:t xml:space="preserve"> a greater return on investment than harm reduction programs targeting adolescents alone.</w:t>
      </w:r>
      <w:r>
        <w:rPr>
          <w:rStyle w:val="EndnoteReference"/>
        </w:rPr>
        <w:endnoteReference w:id="138"/>
      </w:r>
      <w:r>
        <w:rPr>
          <w:rStyle w:val="A7"/>
          <w:rFonts w:cstheme="minorHAnsi"/>
          <w:sz w:val="22"/>
          <w:szCs w:val="22"/>
        </w:rPr>
        <w:t xml:space="preserve"> </w:t>
      </w:r>
    </w:p>
    <w:p w:rsidR="00A41983" w:rsidRDefault="00A41983" w:rsidP="005668BD">
      <w:pPr>
        <w:rPr>
          <w:rStyle w:val="A7"/>
          <w:rFonts w:cstheme="minorHAnsi"/>
          <w:sz w:val="22"/>
          <w:szCs w:val="22"/>
        </w:rPr>
      </w:pPr>
      <w:r>
        <w:rPr>
          <w:rStyle w:val="A7"/>
          <w:rFonts w:cstheme="minorHAnsi"/>
          <w:sz w:val="22"/>
          <w:szCs w:val="22"/>
        </w:rPr>
        <w:t xml:space="preserve">Now in its fourth decade, the study has been able to track myriad life outcomes for participants. </w:t>
      </w:r>
      <w:r w:rsidR="005668BD">
        <w:rPr>
          <w:rStyle w:val="A7"/>
          <w:rFonts w:cstheme="minorHAnsi"/>
          <w:sz w:val="22"/>
          <w:szCs w:val="22"/>
        </w:rPr>
        <w:t xml:space="preserve">At age three, participants underwent </w:t>
      </w:r>
      <w:r>
        <w:rPr>
          <w:rStyle w:val="A7"/>
          <w:rFonts w:cstheme="minorHAnsi"/>
          <w:sz w:val="22"/>
          <w:szCs w:val="22"/>
        </w:rPr>
        <w:t>a</w:t>
      </w:r>
      <w:r w:rsidR="005668BD">
        <w:rPr>
          <w:rStyle w:val="A7"/>
          <w:rFonts w:cstheme="minorHAnsi"/>
          <w:sz w:val="22"/>
          <w:szCs w:val="22"/>
        </w:rPr>
        <w:t xml:space="preserve"> 45</w:t>
      </w:r>
      <w:r w:rsidR="002F7CDC" w:rsidRPr="004475BD">
        <w:rPr>
          <w:rStyle w:val="A7"/>
          <w:rFonts w:cstheme="minorHAnsi"/>
          <w:sz w:val="22"/>
          <w:szCs w:val="22"/>
        </w:rPr>
        <w:t>-</w:t>
      </w:r>
      <w:r w:rsidR="005668BD">
        <w:rPr>
          <w:rStyle w:val="A7"/>
          <w:rFonts w:cstheme="minorHAnsi"/>
          <w:sz w:val="22"/>
          <w:szCs w:val="22"/>
        </w:rPr>
        <w:t>minute</w:t>
      </w:r>
      <w:r w:rsidRPr="00043503">
        <w:rPr>
          <w:rStyle w:val="A7"/>
          <w:rFonts w:cstheme="minorHAnsi"/>
          <w:sz w:val="22"/>
          <w:szCs w:val="22"/>
        </w:rPr>
        <w:t xml:space="preserve"> assessment</w:t>
      </w:r>
      <w:r w:rsidR="005668BD">
        <w:rPr>
          <w:rStyle w:val="A7"/>
          <w:rFonts w:cstheme="minorHAnsi"/>
          <w:sz w:val="22"/>
          <w:szCs w:val="22"/>
        </w:rPr>
        <w:t xml:space="preserve">, considering </w:t>
      </w:r>
      <w:r w:rsidR="000211EF">
        <w:rPr>
          <w:rStyle w:val="A7"/>
          <w:rFonts w:cstheme="minorHAnsi"/>
          <w:sz w:val="22"/>
          <w:szCs w:val="22"/>
        </w:rPr>
        <w:t xml:space="preserve">capabilities such as </w:t>
      </w:r>
      <w:r w:rsidR="005668BD">
        <w:rPr>
          <w:rStyle w:val="A7"/>
          <w:rFonts w:cstheme="minorHAnsi"/>
          <w:sz w:val="22"/>
          <w:szCs w:val="22"/>
        </w:rPr>
        <w:t>language, motor skills, tolerance and impulsivity, which resulted in a summary ‘brain health index’</w:t>
      </w:r>
      <w:r>
        <w:rPr>
          <w:rStyle w:val="A7"/>
          <w:rFonts w:cstheme="minorHAnsi"/>
          <w:sz w:val="22"/>
          <w:szCs w:val="22"/>
        </w:rPr>
        <w:t xml:space="preserve">. </w:t>
      </w:r>
      <w:r w:rsidR="008C58F4">
        <w:rPr>
          <w:rStyle w:val="A7"/>
          <w:rFonts w:cstheme="minorHAnsi"/>
          <w:sz w:val="22"/>
          <w:szCs w:val="22"/>
        </w:rPr>
        <w:t>Analysis</w:t>
      </w:r>
      <w:r w:rsidR="005668BD">
        <w:rPr>
          <w:rStyle w:val="A7"/>
          <w:rFonts w:cstheme="minorHAnsi"/>
          <w:sz w:val="22"/>
          <w:szCs w:val="22"/>
        </w:rPr>
        <w:t xml:space="preserve"> of subsequent data found that this index</w:t>
      </w:r>
      <w:r w:rsidR="008C58F4">
        <w:rPr>
          <w:rStyle w:val="A7"/>
          <w:rFonts w:cstheme="minorHAnsi"/>
          <w:sz w:val="22"/>
          <w:szCs w:val="22"/>
        </w:rPr>
        <w:t xml:space="preserve"> </w:t>
      </w:r>
      <w:r w:rsidR="005668BD">
        <w:rPr>
          <w:rStyle w:val="A7"/>
          <w:rFonts w:cstheme="minorHAnsi"/>
          <w:sz w:val="22"/>
          <w:szCs w:val="22"/>
        </w:rPr>
        <w:t xml:space="preserve">predicted with considerable accuracy whether the children would </w:t>
      </w:r>
      <w:r w:rsidR="008C58F4">
        <w:rPr>
          <w:rStyle w:val="A7"/>
          <w:rFonts w:cstheme="minorHAnsi"/>
          <w:sz w:val="22"/>
          <w:szCs w:val="22"/>
        </w:rPr>
        <w:t xml:space="preserve">form part of 22 per cent of the cohort that would experience the vast majority of adverse </w:t>
      </w:r>
      <w:r>
        <w:rPr>
          <w:rStyle w:val="A7"/>
          <w:rFonts w:cstheme="minorHAnsi"/>
          <w:sz w:val="22"/>
          <w:szCs w:val="22"/>
        </w:rPr>
        <w:t>adult outcomes</w:t>
      </w:r>
      <w:r w:rsidR="005668BD">
        <w:rPr>
          <w:rStyle w:val="A7"/>
          <w:rFonts w:cstheme="minorHAnsi"/>
          <w:sz w:val="22"/>
          <w:szCs w:val="22"/>
        </w:rPr>
        <w:t>.</w:t>
      </w:r>
      <w:r>
        <w:rPr>
          <w:rStyle w:val="EndnoteReference"/>
          <w:rFonts w:cstheme="minorHAnsi"/>
          <w:color w:val="000000"/>
        </w:rPr>
        <w:endnoteReference w:id="139"/>
      </w:r>
      <w:r>
        <w:rPr>
          <w:rStyle w:val="A7"/>
          <w:rFonts w:cstheme="minorHAnsi"/>
          <w:sz w:val="22"/>
          <w:szCs w:val="22"/>
        </w:rPr>
        <w:t xml:space="preserve"> By midlife, </w:t>
      </w:r>
      <w:r w:rsidR="008C58F4">
        <w:rPr>
          <w:rStyle w:val="A7"/>
          <w:rFonts w:cstheme="minorHAnsi"/>
          <w:sz w:val="22"/>
          <w:szCs w:val="22"/>
        </w:rPr>
        <w:t>this</w:t>
      </w:r>
      <w:r>
        <w:rPr>
          <w:rStyle w:val="A7"/>
          <w:rFonts w:cstheme="minorHAnsi"/>
          <w:sz w:val="22"/>
          <w:szCs w:val="22"/>
        </w:rPr>
        <w:t xml:space="preserve"> 22 per cent of the study cohort accounted for:</w:t>
      </w:r>
    </w:p>
    <w:p w:rsidR="00A41983" w:rsidRDefault="00A41983" w:rsidP="00A41983">
      <w:pPr>
        <w:pStyle w:val="ListParagraph"/>
        <w:numPr>
          <w:ilvl w:val="0"/>
          <w:numId w:val="35"/>
        </w:numPr>
        <w:ind w:left="284" w:hanging="284"/>
        <w:rPr>
          <w:rStyle w:val="A7"/>
          <w:rFonts w:cstheme="minorHAnsi"/>
          <w:sz w:val="22"/>
          <w:szCs w:val="22"/>
        </w:rPr>
      </w:pPr>
      <w:r w:rsidRPr="008C12C4">
        <w:rPr>
          <w:rStyle w:val="A7"/>
          <w:rFonts w:cstheme="minorHAnsi"/>
          <w:sz w:val="22"/>
          <w:szCs w:val="22"/>
        </w:rPr>
        <w:t>81 per cent of criminal</w:t>
      </w:r>
      <w:r>
        <w:rPr>
          <w:rStyle w:val="A7"/>
          <w:rFonts w:cstheme="minorHAnsi"/>
          <w:sz w:val="22"/>
          <w:szCs w:val="22"/>
        </w:rPr>
        <w:t xml:space="preserve"> convictions</w:t>
      </w:r>
    </w:p>
    <w:p w:rsidR="00A41983" w:rsidRDefault="00A41983" w:rsidP="00A41983">
      <w:pPr>
        <w:pStyle w:val="ListParagraph"/>
        <w:numPr>
          <w:ilvl w:val="0"/>
          <w:numId w:val="35"/>
        </w:numPr>
        <w:ind w:left="284" w:hanging="284"/>
        <w:rPr>
          <w:rStyle w:val="A7"/>
          <w:rFonts w:cstheme="minorHAnsi"/>
          <w:sz w:val="22"/>
          <w:szCs w:val="22"/>
        </w:rPr>
      </w:pPr>
      <w:r w:rsidRPr="008C12C4">
        <w:rPr>
          <w:rStyle w:val="A7"/>
          <w:rFonts w:cstheme="minorHAnsi"/>
          <w:sz w:val="22"/>
          <w:szCs w:val="22"/>
        </w:rPr>
        <w:t xml:space="preserve">78 per cent of prescriptions for pharmaceutical </w:t>
      </w:r>
      <w:r>
        <w:rPr>
          <w:rStyle w:val="A7"/>
          <w:rFonts w:cstheme="minorHAnsi"/>
          <w:sz w:val="22"/>
          <w:szCs w:val="22"/>
        </w:rPr>
        <w:t>drugs</w:t>
      </w:r>
    </w:p>
    <w:p w:rsidR="00A41983" w:rsidRDefault="00A41983" w:rsidP="00A41983">
      <w:pPr>
        <w:pStyle w:val="ListParagraph"/>
        <w:numPr>
          <w:ilvl w:val="0"/>
          <w:numId w:val="35"/>
        </w:numPr>
        <w:ind w:left="284" w:hanging="284"/>
        <w:rPr>
          <w:rStyle w:val="A7"/>
          <w:rFonts w:cstheme="minorHAnsi"/>
          <w:sz w:val="22"/>
          <w:szCs w:val="22"/>
        </w:rPr>
      </w:pPr>
      <w:r>
        <w:rPr>
          <w:rStyle w:val="A7"/>
          <w:rFonts w:cstheme="minorHAnsi"/>
          <w:sz w:val="22"/>
          <w:szCs w:val="22"/>
        </w:rPr>
        <w:t>77 per cent of fatherless child-rearing</w:t>
      </w:r>
    </w:p>
    <w:p w:rsidR="00A41983" w:rsidRDefault="00A41983" w:rsidP="00A41983">
      <w:pPr>
        <w:pStyle w:val="ListParagraph"/>
        <w:numPr>
          <w:ilvl w:val="0"/>
          <w:numId w:val="35"/>
        </w:numPr>
        <w:ind w:left="284" w:hanging="284"/>
        <w:rPr>
          <w:rStyle w:val="A7"/>
          <w:rFonts w:cstheme="minorHAnsi"/>
          <w:sz w:val="22"/>
          <w:szCs w:val="22"/>
        </w:rPr>
      </w:pPr>
      <w:r w:rsidRPr="008C12C4">
        <w:rPr>
          <w:rStyle w:val="A7"/>
          <w:rFonts w:cstheme="minorHAnsi"/>
          <w:sz w:val="22"/>
          <w:szCs w:val="22"/>
        </w:rPr>
        <w:t xml:space="preserve">66 per cent of </w:t>
      </w:r>
      <w:r>
        <w:rPr>
          <w:rStyle w:val="A7"/>
          <w:rFonts w:cstheme="minorHAnsi"/>
          <w:sz w:val="22"/>
          <w:szCs w:val="22"/>
        </w:rPr>
        <w:t>welfare benefits</w:t>
      </w:r>
    </w:p>
    <w:p w:rsidR="00A41983" w:rsidRDefault="00A41983" w:rsidP="00A41983">
      <w:pPr>
        <w:pStyle w:val="ListParagraph"/>
        <w:numPr>
          <w:ilvl w:val="0"/>
          <w:numId w:val="35"/>
        </w:numPr>
        <w:ind w:left="284" w:hanging="284"/>
        <w:rPr>
          <w:rStyle w:val="A7"/>
          <w:rFonts w:cstheme="minorHAnsi"/>
          <w:sz w:val="22"/>
          <w:szCs w:val="22"/>
        </w:rPr>
      </w:pPr>
      <w:r>
        <w:rPr>
          <w:rStyle w:val="A7"/>
          <w:rFonts w:cstheme="minorHAnsi"/>
          <w:sz w:val="22"/>
          <w:szCs w:val="22"/>
        </w:rPr>
        <w:t>57 per cent of nights spent in hospital</w:t>
      </w:r>
    </w:p>
    <w:p w:rsidR="00A41983" w:rsidRDefault="00A41983" w:rsidP="00A41983">
      <w:pPr>
        <w:pStyle w:val="ListParagraph"/>
        <w:numPr>
          <w:ilvl w:val="0"/>
          <w:numId w:val="35"/>
        </w:numPr>
        <w:ind w:left="284" w:hanging="284"/>
        <w:rPr>
          <w:rStyle w:val="A7"/>
          <w:rFonts w:cstheme="minorHAnsi"/>
          <w:sz w:val="22"/>
          <w:szCs w:val="22"/>
        </w:rPr>
      </w:pPr>
      <w:r>
        <w:rPr>
          <w:rStyle w:val="A7"/>
          <w:rFonts w:cstheme="minorHAnsi"/>
          <w:sz w:val="22"/>
          <w:szCs w:val="22"/>
        </w:rPr>
        <w:t>54 per cent of cigarettes smoked</w:t>
      </w:r>
    </w:p>
    <w:p w:rsidR="00A41983" w:rsidRPr="00937F49" w:rsidRDefault="00A41983" w:rsidP="00A41983">
      <w:pPr>
        <w:pStyle w:val="ListParagraph"/>
        <w:numPr>
          <w:ilvl w:val="0"/>
          <w:numId w:val="35"/>
        </w:numPr>
        <w:ind w:left="284" w:hanging="284"/>
        <w:rPr>
          <w:rStyle w:val="A7"/>
          <w:rFonts w:cstheme="minorHAnsi"/>
          <w:sz w:val="22"/>
          <w:szCs w:val="22"/>
        </w:rPr>
      </w:pPr>
      <w:r>
        <w:rPr>
          <w:rStyle w:val="A7"/>
          <w:rFonts w:cstheme="minorHAnsi"/>
          <w:sz w:val="22"/>
          <w:szCs w:val="22"/>
        </w:rPr>
        <w:t>40 per cent of excess kilograms</w:t>
      </w:r>
      <w:r w:rsidR="008035B8">
        <w:rPr>
          <w:rStyle w:val="A7"/>
          <w:rFonts w:cstheme="minorHAnsi"/>
          <w:sz w:val="22"/>
          <w:szCs w:val="22"/>
        </w:rPr>
        <w:t xml:space="preserve"> (obesity)</w:t>
      </w:r>
      <w:r>
        <w:rPr>
          <w:rStyle w:val="A7"/>
          <w:rFonts w:cstheme="minorHAnsi"/>
          <w:sz w:val="22"/>
          <w:szCs w:val="22"/>
        </w:rPr>
        <w:t>.</w:t>
      </w:r>
      <w:r>
        <w:rPr>
          <w:rStyle w:val="EndnoteReference"/>
          <w:rFonts w:cstheme="minorHAnsi"/>
          <w:color w:val="000000"/>
        </w:rPr>
        <w:endnoteReference w:id="140"/>
      </w:r>
      <w:r w:rsidRPr="00937F49">
        <w:rPr>
          <w:rStyle w:val="A7"/>
          <w:rFonts w:cstheme="minorHAnsi"/>
          <w:sz w:val="22"/>
          <w:szCs w:val="22"/>
        </w:rPr>
        <w:t xml:space="preserve"> </w:t>
      </w:r>
    </w:p>
    <w:p w:rsidR="005B1E63" w:rsidRDefault="005B1E63">
      <w:pPr>
        <w:spacing w:line="276" w:lineRule="auto"/>
        <w:rPr>
          <w:i/>
          <w:color w:val="000000"/>
        </w:rPr>
      </w:pPr>
      <w:r>
        <w:rPr>
          <w:i/>
          <w:color w:val="000000"/>
        </w:rPr>
        <w:br w:type="page"/>
      </w:r>
    </w:p>
    <w:p w:rsidR="00A41983" w:rsidRPr="00177632" w:rsidRDefault="00A41983" w:rsidP="00A41983">
      <w:pPr>
        <w:rPr>
          <w:i/>
          <w:color w:val="000000"/>
        </w:rPr>
      </w:pPr>
      <w:r w:rsidRPr="009D1481">
        <w:rPr>
          <w:i/>
          <w:color w:val="000000"/>
        </w:rPr>
        <w:t>Effective Provision of Preschool, Primary and Secondary Education</w:t>
      </w:r>
      <w:r w:rsidRPr="00A407E5">
        <w:rPr>
          <w:color w:val="000000"/>
        </w:rPr>
        <w:t xml:space="preserve"> (EPPSE) </w:t>
      </w:r>
      <w:r w:rsidRPr="009D1481">
        <w:rPr>
          <w:i/>
          <w:color w:val="000000"/>
        </w:rPr>
        <w:t>study</w:t>
      </w:r>
      <w:r>
        <w:rPr>
          <w:i/>
          <w:color w:val="000000"/>
        </w:rPr>
        <w:t xml:space="preserve"> (UK)</w:t>
      </w:r>
    </w:p>
    <w:p w:rsidR="00A41983" w:rsidRPr="00354D60" w:rsidRDefault="00A41983" w:rsidP="00A41983">
      <w:pPr>
        <w:rPr>
          <w:color w:val="000000"/>
        </w:rPr>
      </w:pPr>
      <w:r>
        <w:rPr>
          <w:color w:val="000000"/>
        </w:rPr>
        <w:t xml:space="preserve">The EPPSE study found that students who attended preschool were more likely to </w:t>
      </w:r>
      <w:r w:rsidR="00FE14F5">
        <w:rPr>
          <w:color w:val="000000"/>
        </w:rPr>
        <w:t>go on to higher academic study.</w:t>
      </w:r>
      <w:r>
        <w:rPr>
          <w:rStyle w:val="EndnoteReference"/>
          <w:color w:val="000000"/>
        </w:rPr>
        <w:endnoteReference w:id="141"/>
      </w:r>
      <w:r>
        <w:rPr>
          <w:color w:val="000000"/>
        </w:rPr>
        <w:t xml:space="preserve"> In addition, the </w:t>
      </w:r>
      <w:r w:rsidRPr="00354D60">
        <w:rPr>
          <w:color w:val="000000"/>
        </w:rPr>
        <w:t>Institute for Fiscal Studies</w:t>
      </w:r>
      <w:r>
        <w:rPr>
          <w:color w:val="000000"/>
        </w:rPr>
        <w:t xml:space="preserve"> used EPPSE data to predict future returns to an individual and to society. The Institute found that a</w:t>
      </w:r>
      <w:r w:rsidRPr="00354D60">
        <w:rPr>
          <w:color w:val="000000"/>
        </w:rPr>
        <w:t>ttending a high quality preschool setting had an estimated lifetime earnings benefit to the individual of £26,788</w:t>
      </w:r>
      <w:r w:rsidR="003C754A">
        <w:rPr>
          <w:color w:val="000000"/>
        </w:rPr>
        <w:t>,</w:t>
      </w:r>
      <w:r w:rsidRPr="00354D60">
        <w:rPr>
          <w:color w:val="000000"/>
        </w:rPr>
        <w:t xml:space="preserve"> and £35,993 for an average household.</w:t>
      </w:r>
      <w:r>
        <w:rPr>
          <w:color w:val="000000"/>
        </w:rPr>
        <w:t xml:space="preserve"> T</w:t>
      </w:r>
      <w:r w:rsidRPr="00AE46CE">
        <w:rPr>
          <w:color w:val="000000"/>
        </w:rPr>
        <w:t>hese increased earnings translate into a benefit to the</w:t>
      </w:r>
      <w:r>
        <w:rPr>
          <w:color w:val="000000"/>
        </w:rPr>
        <w:t xml:space="preserve"> Treasury</w:t>
      </w:r>
      <w:r w:rsidRPr="00AE46CE">
        <w:rPr>
          <w:color w:val="000000"/>
        </w:rPr>
        <w:t xml:space="preserve"> of £8,090 per household</w:t>
      </w:r>
      <w:r>
        <w:rPr>
          <w:rFonts w:ascii="Helvetica" w:hAnsi="Helvetica"/>
          <w:color w:val="333333"/>
          <w:shd w:val="clear" w:color="auto" w:fill="FFFFFF"/>
        </w:rPr>
        <w:t>.</w:t>
      </w:r>
      <w:r>
        <w:rPr>
          <w:rStyle w:val="EndnoteReference"/>
          <w:color w:val="000000"/>
        </w:rPr>
        <w:endnoteReference w:id="142"/>
      </w:r>
    </w:p>
    <w:p w:rsidR="00A41983" w:rsidRPr="00354D60" w:rsidRDefault="00A41983" w:rsidP="00A41983">
      <w:pPr>
        <w:rPr>
          <w:rStyle w:val="A7"/>
          <w:rFonts w:cstheme="minorBidi"/>
          <w:sz w:val="22"/>
          <w:szCs w:val="22"/>
        </w:rPr>
      </w:pPr>
      <w:r>
        <w:rPr>
          <w:i/>
          <w:color w:val="000000"/>
        </w:rPr>
        <w:t xml:space="preserve">Perry Preschool, Abecedarian and </w:t>
      </w:r>
      <w:r w:rsidRPr="0007743F">
        <w:rPr>
          <w:i/>
          <w:color w:val="000000"/>
        </w:rPr>
        <w:t>Chicago Longitudinal Study/ Child-Parent Center</w:t>
      </w:r>
      <w:r>
        <w:rPr>
          <w:i/>
          <w:color w:val="000000"/>
        </w:rPr>
        <w:t xml:space="preserve"> </w:t>
      </w:r>
      <w:r w:rsidR="001C3893">
        <w:rPr>
          <w:i/>
          <w:color w:val="000000"/>
        </w:rPr>
        <w:t>studies (</w:t>
      </w:r>
      <w:r>
        <w:rPr>
          <w:i/>
          <w:color w:val="000000"/>
        </w:rPr>
        <w:t>US)</w:t>
      </w:r>
    </w:p>
    <w:p w:rsidR="00A41983" w:rsidRDefault="00A41983" w:rsidP="00A41983">
      <w:pPr>
        <w:rPr>
          <w:rStyle w:val="A7"/>
          <w:rFonts w:cstheme="minorHAnsi"/>
          <w:sz w:val="22"/>
          <w:szCs w:val="22"/>
        </w:rPr>
      </w:pPr>
      <w:r>
        <w:rPr>
          <w:rStyle w:val="A7"/>
          <w:rFonts w:cstheme="minorHAnsi"/>
          <w:sz w:val="22"/>
          <w:szCs w:val="22"/>
        </w:rPr>
        <w:t>T</w:t>
      </w:r>
      <w:r w:rsidRPr="00DC66BF">
        <w:rPr>
          <w:rStyle w:val="A7"/>
          <w:rFonts w:cstheme="minorHAnsi"/>
          <w:sz w:val="22"/>
          <w:szCs w:val="22"/>
        </w:rPr>
        <w:t>o measure the long-term impacts of early childhood education</w:t>
      </w:r>
      <w:r>
        <w:rPr>
          <w:rStyle w:val="A7"/>
          <w:rFonts w:cstheme="minorHAnsi"/>
          <w:sz w:val="22"/>
          <w:szCs w:val="22"/>
        </w:rPr>
        <w:t>, the</w:t>
      </w:r>
      <w:r>
        <w:rPr>
          <w:color w:val="000000"/>
        </w:rPr>
        <w:t xml:space="preserve"> </w:t>
      </w:r>
      <w:r w:rsidRPr="00750684">
        <w:rPr>
          <w:rStyle w:val="A7"/>
          <w:rFonts w:cstheme="minorHAnsi"/>
          <w:sz w:val="22"/>
          <w:szCs w:val="22"/>
        </w:rPr>
        <w:t>Perry Preschool</w:t>
      </w:r>
      <w:r w:rsidR="008E5D84">
        <w:rPr>
          <w:rStyle w:val="A7"/>
          <w:rFonts w:cstheme="minorHAnsi"/>
          <w:sz w:val="22"/>
          <w:szCs w:val="22"/>
        </w:rPr>
        <w:t>,</w:t>
      </w:r>
      <w:r>
        <w:rPr>
          <w:rStyle w:val="EndnoteReference"/>
          <w:rFonts w:cstheme="minorHAnsi"/>
          <w:color w:val="000000"/>
        </w:rPr>
        <w:endnoteReference w:id="143"/>
      </w:r>
      <w:r w:rsidRPr="00750684">
        <w:rPr>
          <w:rStyle w:val="A7"/>
          <w:rFonts w:cstheme="minorHAnsi"/>
          <w:sz w:val="22"/>
          <w:szCs w:val="22"/>
        </w:rPr>
        <w:t xml:space="preserve"> Abecedarian</w:t>
      </w:r>
      <w:r>
        <w:rPr>
          <w:rStyle w:val="EndnoteReference"/>
          <w:rFonts w:cstheme="minorHAnsi"/>
          <w:color w:val="000000"/>
        </w:rPr>
        <w:endnoteReference w:id="144"/>
      </w:r>
      <w:r w:rsidRPr="00750684">
        <w:rPr>
          <w:rStyle w:val="A7"/>
          <w:rFonts w:cstheme="minorHAnsi"/>
          <w:sz w:val="22"/>
          <w:szCs w:val="22"/>
        </w:rPr>
        <w:t xml:space="preserve"> and Chicago Longitudinal Study/ Child-Parent Center</w:t>
      </w:r>
      <w:r>
        <w:rPr>
          <w:rStyle w:val="EndnoteReference"/>
          <w:rFonts w:cstheme="minorHAnsi"/>
          <w:color w:val="000000"/>
        </w:rPr>
        <w:endnoteReference w:id="145"/>
      </w:r>
      <w:r w:rsidRPr="00750684">
        <w:rPr>
          <w:rStyle w:val="A7"/>
          <w:rFonts w:cstheme="minorHAnsi"/>
          <w:sz w:val="22"/>
          <w:szCs w:val="22"/>
        </w:rPr>
        <w:t xml:space="preserve"> </w:t>
      </w:r>
      <w:r>
        <w:rPr>
          <w:rStyle w:val="A7"/>
          <w:rFonts w:cstheme="minorHAnsi"/>
          <w:sz w:val="22"/>
          <w:szCs w:val="22"/>
        </w:rPr>
        <w:t xml:space="preserve">studies </w:t>
      </w:r>
      <w:r w:rsidRPr="00DC66BF">
        <w:rPr>
          <w:rStyle w:val="A7"/>
          <w:rFonts w:cstheme="minorHAnsi"/>
          <w:sz w:val="22"/>
          <w:szCs w:val="22"/>
        </w:rPr>
        <w:t>looked at a range of social, health and personal variables in adulthood for program and control groups</w:t>
      </w:r>
      <w:r>
        <w:rPr>
          <w:rStyle w:val="A7"/>
          <w:rFonts w:cstheme="minorHAnsi"/>
          <w:sz w:val="22"/>
          <w:szCs w:val="22"/>
        </w:rPr>
        <w:t xml:space="preserve">. </w:t>
      </w:r>
      <w:r w:rsidRPr="00DC66BF">
        <w:rPr>
          <w:rStyle w:val="A7"/>
          <w:rFonts w:cstheme="minorHAnsi"/>
          <w:sz w:val="22"/>
          <w:szCs w:val="22"/>
        </w:rPr>
        <w:t xml:space="preserve">Comparing the outcomes </w:t>
      </w:r>
      <w:r>
        <w:rPr>
          <w:rStyle w:val="A7"/>
          <w:rFonts w:cstheme="minorHAnsi"/>
          <w:sz w:val="22"/>
          <w:szCs w:val="22"/>
        </w:rPr>
        <w:t xml:space="preserve">shows </w:t>
      </w:r>
      <w:r w:rsidRPr="00DC66BF">
        <w:rPr>
          <w:rStyle w:val="A7"/>
          <w:rFonts w:cstheme="minorHAnsi"/>
          <w:sz w:val="22"/>
          <w:szCs w:val="22"/>
        </w:rPr>
        <w:t>benefits of early childhood education</w:t>
      </w:r>
      <w:r w:rsidR="003C754A">
        <w:rPr>
          <w:rStyle w:val="A7"/>
          <w:rFonts w:cstheme="minorHAnsi"/>
          <w:sz w:val="22"/>
          <w:szCs w:val="22"/>
        </w:rPr>
        <w:t xml:space="preserve">. </w:t>
      </w:r>
      <w:r>
        <w:rPr>
          <w:rStyle w:val="A7"/>
          <w:rFonts w:cstheme="minorHAnsi"/>
          <w:sz w:val="22"/>
          <w:szCs w:val="22"/>
        </w:rPr>
        <w:t>Across all three studies, participants in the program group had better life experiences than those in the control group. Findings across each study included:</w:t>
      </w:r>
    </w:p>
    <w:p w:rsidR="00A41983" w:rsidRDefault="007F742B" w:rsidP="00A41983">
      <w:pPr>
        <w:pStyle w:val="ListParagraph"/>
        <w:numPr>
          <w:ilvl w:val="0"/>
          <w:numId w:val="36"/>
        </w:numPr>
        <w:ind w:left="284" w:hanging="284"/>
        <w:rPr>
          <w:rStyle w:val="A7"/>
          <w:rFonts w:cstheme="minorHAnsi"/>
          <w:sz w:val="22"/>
          <w:szCs w:val="22"/>
        </w:rPr>
      </w:pPr>
      <w:r w:rsidRPr="00121163">
        <w:rPr>
          <w:rStyle w:val="A7"/>
          <w:rFonts w:cstheme="minorHAnsi"/>
          <w:sz w:val="22"/>
          <w:szCs w:val="22"/>
        </w:rPr>
        <w:t>h</w:t>
      </w:r>
      <w:r w:rsidR="00A41983">
        <w:rPr>
          <w:rStyle w:val="A7"/>
          <w:rFonts w:cstheme="minorHAnsi"/>
          <w:sz w:val="22"/>
          <w:szCs w:val="22"/>
        </w:rPr>
        <w:t>igher rates of post-secondary education –</w:t>
      </w:r>
      <w:r w:rsidR="007F1773" w:rsidRPr="00830DA1">
        <w:rPr>
          <w:rStyle w:val="A7"/>
          <w:rFonts w:cstheme="minorHAnsi"/>
          <w:sz w:val="22"/>
          <w:szCs w:val="22"/>
        </w:rPr>
        <w:t xml:space="preserve"> </w:t>
      </w:r>
      <w:r w:rsidR="00A41983">
        <w:rPr>
          <w:rStyle w:val="A7"/>
          <w:rFonts w:cstheme="minorHAnsi"/>
          <w:sz w:val="22"/>
          <w:szCs w:val="22"/>
        </w:rPr>
        <w:t>program group participants in the Abecedarian study were more than twice as likely to attend college than those in the control group</w:t>
      </w:r>
      <w:r w:rsidR="00A41983">
        <w:rPr>
          <w:rStyle w:val="EndnoteReference"/>
          <w:rFonts w:cstheme="minorHAnsi"/>
          <w:color w:val="000000"/>
        </w:rPr>
        <w:endnoteReference w:id="146"/>
      </w:r>
    </w:p>
    <w:p w:rsidR="00A41983" w:rsidRDefault="007F742B" w:rsidP="00A41983">
      <w:pPr>
        <w:pStyle w:val="ListParagraph"/>
        <w:numPr>
          <w:ilvl w:val="0"/>
          <w:numId w:val="36"/>
        </w:numPr>
        <w:ind w:left="284" w:hanging="284"/>
        <w:rPr>
          <w:rStyle w:val="A7"/>
          <w:rFonts w:cstheme="minorHAnsi"/>
          <w:sz w:val="22"/>
          <w:szCs w:val="22"/>
        </w:rPr>
      </w:pPr>
      <w:r w:rsidRPr="004F62A2">
        <w:rPr>
          <w:rStyle w:val="A7"/>
          <w:rFonts w:cstheme="minorHAnsi"/>
          <w:sz w:val="22"/>
          <w:szCs w:val="22"/>
        </w:rPr>
        <w:t>i</w:t>
      </w:r>
      <w:r w:rsidR="00A41983" w:rsidRPr="003A7D79">
        <w:rPr>
          <w:rStyle w:val="A7"/>
          <w:rFonts w:cstheme="minorHAnsi"/>
          <w:sz w:val="22"/>
          <w:szCs w:val="22"/>
        </w:rPr>
        <w:t>ncreased likelihood of employment</w:t>
      </w:r>
      <w:r w:rsidR="00A41983">
        <w:rPr>
          <w:rStyle w:val="A7"/>
          <w:rFonts w:cstheme="minorHAnsi"/>
          <w:sz w:val="22"/>
          <w:szCs w:val="22"/>
        </w:rPr>
        <w:t xml:space="preserve"> – the Perry Preschool study found that program group participants were 20 per c</w:t>
      </w:r>
      <w:r w:rsidR="00FE14F5">
        <w:rPr>
          <w:rStyle w:val="A7"/>
          <w:rFonts w:cstheme="minorHAnsi"/>
          <w:sz w:val="22"/>
          <w:szCs w:val="22"/>
        </w:rPr>
        <w:t>ent more likely to be employed</w:t>
      </w:r>
      <w:r w:rsidR="00A41983">
        <w:rPr>
          <w:rStyle w:val="EndnoteReference"/>
        </w:rPr>
        <w:endnoteReference w:id="147"/>
      </w:r>
    </w:p>
    <w:p w:rsidR="00A41983" w:rsidRPr="00D51254" w:rsidRDefault="00CF1B4F" w:rsidP="00D51254">
      <w:pPr>
        <w:pStyle w:val="ListParagraph"/>
        <w:numPr>
          <w:ilvl w:val="0"/>
          <w:numId w:val="36"/>
        </w:numPr>
        <w:ind w:left="284" w:hanging="284"/>
        <w:rPr>
          <w:rStyle w:val="A7"/>
          <w:rFonts w:cstheme="minorHAnsi"/>
          <w:sz w:val="22"/>
          <w:szCs w:val="22"/>
        </w:rPr>
      </w:pPr>
      <w:r w:rsidRPr="00CF1B4F">
        <w:rPr>
          <w:rStyle w:val="A7"/>
          <w:rFonts w:cstheme="minorHAnsi"/>
          <w:sz w:val="22"/>
          <w:szCs w:val="22"/>
        </w:rPr>
        <w:t>participants in the Perry Preschool program group earned, on average, $320 more per month at age 27 compared with those in the control group. At 40, those who were in the program group earned $548 more per month, on average.</w:t>
      </w:r>
      <w:r w:rsidR="00A41983" w:rsidRPr="00D51254">
        <w:rPr>
          <w:rStyle w:val="A7"/>
          <w:rFonts w:cstheme="minorHAnsi"/>
          <w:sz w:val="22"/>
          <w:szCs w:val="22"/>
        </w:rPr>
        <w:endnoteReference w:id="148"/>
      </w:r>
    </w:p>
    <w:p w:rsidR="00A41983" w:rsidRDefault="007F742B" w:rsidP="00A41983">
      <w:pPr>
        <w:pStyle w:val="ListParagraph"/>
        <w:numPr>
          <w:ilvl w:val="0"/>
          <w:numId w:val="36"/>
        </w:numPr>
        <w:ind w:left="284" w:hanging="284"/>
        <w:rPr>
          <w:rStyle w:val="A7"/>
          <w:rFonts w:cstheme="minorHAnsi"/>
          <w:sz w:val="22"/>
          <w:szCs w:val="22"/>
        </w:rPr>
      </w:pPr>
      <w:r w:rsidRPr="00392FCE">
        <w:t>l</w:t>
      </w:r>
      <w:r w:rsidR="00A41983">
        <w:t xml:space="preserve">ower rates of imprisonment and arrest – the control group in the </w:t>
      </w:r>
      <w:r w:rsidR="00A41983" w:rsidRPr="00750684">
        <w:rPr>
          <w:rStyle w:val="A7"/>
          <w:rFonts w:cstheme="minorHAnsi"/>
          <w:sz w:val="22"/>
          <w:szCs w:val="22"/>
        </w:rPr>
        <w:t>Chicago Longitudinal St</w:t>
      </w:r>
      <w:r w:rsidR="00A41983">
        <w:rPr>
          <w:rStyle w:val="A7"/>
          <w:rFonts w:cstheme="minorHAnsi"/>
          <w:sz w:val="22"/>
          <w:szCs w:val="22"/>
        </w:rPr>
        <w:t>udy/Child-Parent Center study were 13 per cent more likely to have been arrested, and 33 per cent more likely to have been imprisoned</w:t>
      </w:r>
      <w:r w:rsidR="00A41983">
        <w:rPr>
          <w:rStyle w:val="EndnoteReference"/>
          <w:rFonts w:cstheme="minorHAnsi"/>
          <w:color w:val="000000"/>
        </w:rPr>
        <w:endnoteReference w:id="149"/>
      </w:r>
    </w:p>
    <w:p w:rsidR="00A41983" w:rsidRPr="00AB45ED" w:rsidRDefault="007F742B" w:rsidP="00A41983">
      <w:pPr>
        <w:pStyle w:val="ListParagraph"/>
        <w:numPr>
          <w:ilvl w:val="0"/>
          <w:numId w:val="36"/>
        </w:numPr>
        <w:ind w:left="284" w:hanging="284"/>
        <w:rPr>
          <w:rStyle w:val="A7"/>
          <w:rFonts w:cstheme="minorHAnsi"/>
          <w:sz w:val="22"/>
          <w:szCs w:val="22"/>
        </w:rPr>
      </w:pPr>
      <w:r w:rsidRPr="00716278">
        <w:rPr>
          <w:rStyle w:val="A7"/>
          <w:rFonts w:cstheme="minorHAnsi"/>
          <w:sz w:val="22"/>
          <w:szCs w:val="22"/>
        </w:rPr>
        <w:t>d</w:t>
      </w:r>
      <w:r w:rsidR="00A41983" w:rsidRPr="00AB45ED">
        <w:rPr>
          <w:rStyle w:val="A7"/>
          <w:rFonts w:cstheme="minorHAnsi"/>
          <w:sz w:val="22"/>
          <w:szCs w:val="22"/>
        </w:rPr>
        <w:t xml:space="preserve">ecrease in access to social services – </w:t>
      </w:r>
      <w:r w:rsidR="00A41983">
        <w:rPr>
          <w:rStyle w:val="A7"/>
          <w:rFonts w:cstheme="minorHAnsi"/>
          <w:sz w:val="22"/>
          <w:szCs w:val="22"/>
        </w:rPr>
        <w:t>the Perry Preschool study</w:t>
      </w:r>
      <w:r w:rsidR="00A41983" w:rsidRPr="00A516DA">
        <w:rPr>
          <w:lang w:val="en"/>
        </w:rPr>
        <w:t xml:space="preserve"> found </w:t>
      </w:r>
      <w:r w:rsidR="00A41983" w:rsidRPr="00A516DA">
        <w:t xml:space="preserve">that </w:t>
      </w:r>
      <w:r w:rsidR="00A41983" w:rsidRPr="00A516DA">
        <w:rPr>
          <w:lang w:val="en"/>
        </w:rPr>
        <w:t xml:space="preserve">59 per cent of program participants received </w:t>
      </w:r>
      <w:r w:rsidR="000E54EA">
        <w:t>government</w:t>
      </w:r>
      <w:r w:rsidR="00A41983" w:rsidRPr="00A516DA">
        <w:rPr>
          <w:lang w:val="en"/>
        </w:rPr>
        <w:t xml:space="preserve"> assistance by the age of 27, compared </w:t>
      </w:r>
      <w:r w:rsidR="007F1773" w:rsidRPr="00A516DA">
        <w:t>with</w:t>
      </w:r>
      <w:r w:rsidR="00A41983" w:rsidRPr="00A516DA">
        <w:rPr>
          <w:lang w:val="en"/>
        </w:rPr>
        <w:t xml:space="preserve"> 80 per cent of the control group</w:t>
      </w:r>
      <w:r w:rsidR="00A41983" w:rsidRPr="00A516DA">
        <w:rPr>
          <w:rStyle w:val="EndnoteReference"/>
        </w:rPr>
        <w:endnoteReference w:id="150"/>
      </w:r>
    </w:p>
    <w:p w:rsidR="00A41983" w:rsidRDefault="007F742B" w:rsidP="00A41983">
      <w:pPr>
        <w:pStyle w:val="ListParagraph"/>
        <w:numPr>
          <w:ilvl w:val="0"/>
          <w:numId w:val="36"/>
        </w:numPr>
        <w:ind w:left="284" w:hanging="284"/>
        <w:rPr>
          <w:rFonts w:cstheme="minorHAnsi"/>
          <w:color w:val="000000"/>
        </w:rPr>
      </w:pPr>
      <w:r w:rsidRPr="00336A43">
        <w:rPr>
          <w:rFonts w:cstheme="minorHAnsi"/>
          <w:color w:val="000000"/>
        </w:rPr>
        <w:t>l</w:t>
      </w:r>
      <w:r w:rsidR="00A41983">
        <w:rPr>
          <w:rFonts w:cstheme="minorHAnsi"/>
          <w:color w:val="000000"/>
        </w:rPr>
        <w:t>ower rates of prescription drug use and smoking –</w:t>
      </w:r>
      <w:r w:rsidR="003C37BA">
        <w:rPr>
          <w:rFonts w:cstheme="minorHAnsi"/>
          <w:color w:val="000000"/>
        </w:rPr>
        <w:t xml:space="preserve"> </w:t>
      </w:r>
      <w:r w:rsidR="00A41983">
        <w:rPr>
          <w:rFonts w:cstheme="minorHAnsi"/>
          <w:color w:val="000000"/>
        </w:rPr>
        <w:t xml:space="preserve">55 per cent of the control group in the Abecedarian study were likely to smoke, compared </w:t>
      </w:r>
      <w:r w:rsidR="007F1773" w:rsidRPr="00FC0EC5">
        <w:rPr>
          <w:rFonts w:cstheme="minorHAnsi"/>
          <w:color w:val="000000"/>
        </w:rPr>
        <w:t xml:space="preserve">with </w:t>
      </w:r>
      <w:r w:rsidR="00A41983">
        <w:rPr>
          <w:rFonts w:cstheme="minorHAnsi"/>
          <w:color w:val="000000"/>
        </w:rPr>
        <w:t>39</w:t>
      </w:r>
      <w:r w:rsidR="00FE14F5">
        <w:rPr>
          <w:rFonts w:cstheme="minorHAnsi"/>
          <w:color w:val="000000"/>
        </w:rPr>
        <w:t xml:space="preserve"> per cent of the program group</w:t>
      </w:r>
      <w:r w:rsidR="00A41983">
        <w:rPr>
          <w:rStyle w:val="EndnoteReference"/>
          <w:rFonts w:cstheme="minorHAnsi"/>
          <w:color w:val="000000"/>
        </w:rPr>
        <w:endnoteReference w:id="151"/>
      </w:r>
    </w:p>
    <w:p w:rsidR="00175CE4" w:rsidRDefault="007F742B" w:rsidP="00A41983">
      <w:pPr>
        <w:pStyle w:val="ListParagraph"/>
        <w:numPr>
          <w:ilvl w:val="0"/>
          <w:numId w:val="36"/>
        </w:numPr>
        <w:ind w:left="284" w:hanging="284"/>
        <w:rPr>
          <w:rFonts w:cstheme="minorHAnsi"/>
          <w:color w:val="000000"/>
        </w:rPr>
      </w:pPr>
      <w:r w:rsidRPr="00830DA1">
        <w:rPr>
          <w:rFonts w:cstheme="minorHAnsi"/>
          <w:color w:val="000000"/>
        </w:rPr>
        <w:t>i</w:t>
      </w:r>
      <w:r w:rsidR="00175CE4">
        <w:rPr>
          <w:rFonts w:cstheme="minorHAnsi"/>
          <w:color w:val="000000"/>
        </w:rPr>
        <w:t xml:space="preserve">mproved adult health – participants in the Abecedarian Project had significantly lower prevalence of risk factors for cardiovascular and metabolic diseases in their </w:t>
      </w:r>
      <w:r w:rsidR="001C3893">
        <w:rPr>
          <w:rFonts w:cstheme="minorHAnsi"/>
          <w:color w:val="000000"/>
        </w:rPr>
        <w:t>mid-30s</w:t>
      </w:r>
      <w:r w:rsidR="00175CE4">
        <w:rPr>
          <w:rFonts w:cstheme="minorHAnsi"/>
          <w:color w:val="000000"/>
        </w:rPr>
        <w:t>.</w:t>
      </w:r>
      <w:r w:rsidR="00175CE4">
        <w:rPr>
          <w:rStyle w:val="EndnoteReference"/>
          <w:rFonts w:cstheme="minorHAnsi"/>
          <w:color w:val="000000"/>
        </w:rPr>
        <w:endnoteReference w:id="152"/>
      </w:r>
    </w:p>
    <w:p w:rsidR="00D219F0" w:rsidRPr="00D219F0" w:rsidRDefault="00D219F0" w:rsidP="00A516DA">
      <w:pPr>
        <w:rPr>
          <w:rStyle w:val="A7"/>
          <w:rFonts w:cstheme="minorHAnsi"/>
          <w:sz w:val="22"/>
          <w:szCs w:val="22"/>
        </w:rPr>
      </w:pPr>
      <w:r w:rsidRPr="00D219F0">
        <w:rPr>
          <w:rStyle w:val="A7"/>
          <w:sz w:val="22"/>
        </w:rPr>
        <w:t xml:space="preserve">Table 7 </w:t>
      </w:r>
      <w:r w:rsidRPr="00D219F0">
        <w:rPr>
          <w:rStyle w:val="A7"/>
          <w:rFonts w:cstheme="minorHAnsi"/>
          <w:sz w:val="22"/>
          <w:szCs w:val="22"/>
        </w:rPr>
        <w:t>summarises key data from the three US longitudinal studies – the Perry Preschool Study through Age 40 study,</w:t>
      </w:r>
      <w:r w:rsidRPr="00DC66BF">
        <w:rPr>
          <w:rStyle w:val="EndnoteReference"/>
          <w:rFonts w:cstheme="minorHAnsi"/>
          <w:color w:val="000000"/>
        </w:rPr>
        <w:endnoteReference w:id="153"/>
      </w:r>
      <w:r w:rsidRPr="00D219F0">
        <w:rPr>
          <w:rStyle w:val="A7"/>
          <w:rFonts w:cstheme="minorHAnsi"/>
          <w:sz w:val="22"/>
          <w:szCs w:val="22"/>
        </w:rPr>
        <w:t xml:space="preserve"> the Abecedarian program</w:t>
      </w:r>
      <w:r w:rsidRPr="00DC66BF">
        <w:rPr>
          <w:rStyle w:val="EndnoteReference"/>
          <w:rFonts w:cstheme="minorHAnsi"/>
          <w:color w:val="000000"/>
        </w:rPr>
        <w:endnoteReference w:id="154"/>
      </w:r>
      <w:r w:rsidRPr="00D219F0">
        <w:rPr>
          <w:rStyle w:val="A7"/>
          <w:rFonts w:cstheme="minorHAnsi"/>
          <w:sz w:val="22"/>
          <w:szCs w:val="22"/>
        </w:rPr>
        <w:t xml:space="preserve"> and the Chicago Child-Parent Cent</w:t>
      </w:r>
      <w:r w:rsidR="00EC55AF">
        <w:rPr>
          <w:rStyle w:val="A7"/>
          <w:rFonts w:cstheme="minorHAnsi"/>
          <w:sz w:val="22"/>
          <w:szCs w:val="22"/>
        </w:rPr>
        <w:t>e</w:t>
      </w:r>
      <w:r w:rsidRPr="00D219F0">
        <w:rPr>
          <w:rStyle w:val="A7"/>
          <w:rFonts w:cstheme="minorHAnsi"/>
          <w:sz w:val="22"/>
          <w:szCs w:val="22"/>
        </w:rPr>
        <w:t>r Education Program.</w:t>
      </w:r>
      <w:r w:rsidRPr="00DC66BF">
        <w:rPr>
          <w:rStyle w:val="EndnoteReference"/>
          <w:rFonts w:cstheme="minorHAnsi"/>
          <w:color w:val="000000"/>
        </w:rPr>
        <w:endnoteReference w:id="155"/>
      </w:r>
      <w:r w:rsidRPr="00D219F0">
        <w:rPr>
          <w:rStyle w:val="A7"/>
          <w:rFonts w:cstheme="minorHAnsi"/>
          <w:sz w:val="22"/>
          <w:szCs w:val="22"/>
        </w:rPr>
        <w:t xml:space="preserve"> </w:t>
      </w:r>
    </w:p>
    <w:p w:rsidR="00A41983" w:rsidRDefault="00A41983" w:rsidP="00A41983">
      <w:pPr>
        <w:spacing w:line="276" w:lineRule="auto"/>
        <w:rPr>
          <w:rStyle w:val="A7"/>
          <w:rFonts w:cstheme="minorHAnsi"/>
          <w:i/>
          <w:sz w:val="22"/>
          <w:szCs w:val="22"/>
        </w:rPr>
      </w:pPr>
      <w:r>
        <w:rPr>
          <w:rStyle w:val="A7"/>
          <w:rFonts w:cstheme="minorHAnsi"/>
          <w:i/>
          <w:sz w:val="22"/>
          <w:szCs w:val="22"/>
        </w:rPr>
        <w:t>Head Start Preschool Program (US)</w:t>
      </w:r>
      <w:r w:rsidR="003C754A">
        <w:rPr>
          <w:rStyle w:val="A7"/>
          <w:rFonts w:cstheme="minorHAnsi"/>
          <w:i/>
          <w:sz w:val="22"/>
          <w:szCs w:val="22"/>
        </w:rPr>
        <w:t xml:space="preserve"> – health benefits</w:t>
      </w:r>
    </w:p>
    <w:p w:rsidR="00A41983" w:rsidRDefault="00A41983" w:rsidP="00051D6A">
      <w:pPr>
        <w:rPr>
          <w:rStyle w:val="A7"/>
          <w:rFonts w:cstheme="minorHAnsi"/>
          <w:sz w:val="22"/>
          <w:szCs w:val="22"/>
        </w:rPr>
      </w:pPr>
      <w:r w:rsidRPr="00DC66BF">
        <w:rPr>
          <w:rStyle w:val="A7"/>
          <w:rFonts w:cstheme="minorHAnsi"/>
          <w:sz w:val="22"/>
          <w:szCs w:val="22"/>
        </w:rPr>
        <w:t>The skills associated with self-regulation are key determinants of an individual’s future health</w:t>
      </w:r>
      <w:r w:rsidR="00EC55AF">
        <w:rPr>
          <w:rStyle w:val="A7"/>
          <w:rFonts w:cstheme="minorHAnsi"/>
          <w:sz w:val="22"/>
          <w:szCs w:val="22"/>
        </w:rPr>
        <w:t>-</w:t>
      </w:r>
      <w:r w:rsidRPr="00DC66BF">
        <w:rPr>
          <w:rStyle w:val="A7"/>
          <w:rFonts w:cstheme="minorHAnsi"/>
          <w:sz w:val="22"/>
          <w:szCs w:val="22"/>
        </w:rPr>
        <w:t xml:space="preserve">related decisions. </w:t>
      </w:r>
      <w:r>
        <w:rPr>
          <w:rStyle w:val="A7"/>
          <w:rFonts w:cstheme="minorHAnsi"/>
          <w:sz w:val="22"/>
          <w:szCs w:val="22"/>
        </w:rPr>
        <w:t xml:space="preserve">According to the OECD, </w:t>
      </w:r>
      <w:r w:rsidRPr="00DC66BF">
        <w:rPr>
          <w:rStyle w:val="A7"/>
          <w:rFonts w:cstheme="minorHAnsi"/>
          <w:sz w:val="22"/>
          <w:szCs w:val="22"/>
        </w:rPr>
        <w:t>non-cognitive skills, including self-control and self-regulation, are more important than cognitive skills in helping individuals to avoid obesity.</w:t>
      </w:r>
      <w:r>
        <w:rPr>
          <w:rStyle w:val="EndnoteReference"/>
          <w:rFonts w:cstheme="minorHAnsi"/>
          <w:color w:val="000000"/>
        </w:rPr>
        <w:endnoteReference w:id="156"/>
      </w:r>
      <w:r w:rsidRPr="00DC66BF">
        <w:rPr>
          <w:rStyle w:val="A7"/>
          <w:rFonts w:cstheme="minorHAnsi"/>
          <w:sz w:val="22"/>
          <w:szCs w:val="22"/>
        </w:rPr>
        <w:t xml:space="preserve">A </w:t>
      </w:r>
      <w:r>
        <w:rPr>
          <w:rStyle w:val="A7"/>
          <w:rFonts w:cstheme="minorHAnsi"/>
          <w:sz w:val="22"/>
          <w:szCs w:val="22"/>
        </w:rPr>
        <w:t xml:space="preserve">study in the </w:t>
      </w:r>
      <w:r w:rsidR="0037370A">
        <w:rPr>
          <w:rStyle w:val="A7"/>
          <w:rFonts w:cstheme="minorHAnsi"/>
          <w:sz w:val="22"/>
          <w:szCs w:val="22"/>
        </w:rPr>
        <w:t>United</w:t>
      </w:r>
      <w:r w:rsidR="0037370A" w:rsidRPr="00336A43">
        <w:rPr>
          <w:rStyle w:val="A7"/>
          <w:rFonts w:cstheme="minorHAnsi"/>
          <w:sz w:val="22"/>
          <w:szCs w:val="22"/>
        </w:rPr>
        <w:t xml:space="preserve"> </w:t>
      </w:r>
      <w:r>
        <w:rPr>
          <w:rStyle w:val="A7"/>
          <w:rFonts w:cstheme="minorHAnsi"/>
          <w:sz w:val="22"/>
          <w:szCs w:val="22"/>
        </w:rPr>
        <w:t>States</w:t>
      </w:r>
      <w:r w:rsidRPr="00DC66BF">
        <w:rPr>
          <w:rStyle w:val="A7"/>
          <w:rFonts w:cstheme="minorHAnsi"/>
          <w:sz w:val="22"/>
          <w:szCs w:val="22"/>
        </w:rPr>
        <w:t xml:space="preserve"> examined the </w:t>
      </w:r>
      <w:r w:rsidR="0064699A">
        <w:rPr>
          <w:rStyle w:val="A7"/>
          <w:rFonts w:cstheme="minorHAnsi"/>
          <w:sz w:val="22"/>
          <w:szCs w:val="22"/>
        </w:rPr>
        <w:t>link between</w:t>
      </w:r>
      <w:r w:rsidR="0064699A" w:rsidRPr="00DC66BF">
        <w:rPr>
          <w:rStyle w:val="A7"/>
          <w:rFonts w:cstheme="minorHAnsi"/>
          <w:sz w:val="22"/>
          <w:szCs w:val="22"/>
        </w:rPr>
        <w:t xml:space="preserve"> </w:t>
      </w:r>
      <w:r w:rsidRPr="00DC66BF">
        <w:rPr>
          <w:rStyle w:val="A7"/>
          <w:rFonts w:cstheme="minorHAnsi"/>
          <w:sz w:val="22"/>
          <w:szCs w:val="22"/>
        </w:rPr>
        <w:t xml:space="preserve">children’s participation in </w:t>
      </w:r>
      <w:r>
        <w:rPr>
          <w:rStyle w:val="A7"/>
          <w:rFonts w:cstheme="minorHAnsi"/>
          <w:sz w:val="22"/>
          <w:szCs w:val="22"/>
        </w:rPr>
        <w:t xml:space="preserve">a </w:t>
      </w:r>
      <w:r w:rsidRPr="00DC66BF">
        <w:rPr>
          <w:rStyle w:val="A7"/>
          <w:rFonts w:cstheme="minorHAnsi"/>
          <w:sz w:val="22"/>
          <w:szCs w:val="22"/>
        </w:rPr>
        <w:t xml:space="preserve">preschool program </w:t>
      </w:r>
      <w:r>
        <w:rPr>
          <w:rStyle w:val="A7"/>
          <w:rFonts w:cstheme="minorHAnsi"/>
          <w:sz w:val="22"/>
          <w:szCs w:val="22"/>
        </w:rPr>
        <w:t xml:space="preserve">(Head Start) </w:t>
      </w:r>
      <w:r w:rsidRPr="00DC66BF">
        <w:rPr>
          <w:rStyle w:val="A7"/>
          <w:rFonts w:cstheme="minorHAnsi"/>
          <w:sz w:val="22"/>
          <w:szCs w:val="22"/>
        </w:rPr>
        <w:t>on changes in body mass index (BMI).</w:t>
      </w:r>
      <w:r w:rsidRPr="00DC66BF">
        <w:rPr>
          <w:rStyle w:val="EndnoteReference"/>
        </w:rPr>
        <w:endnoteReference w:id="157"/>
      </w:r>
      <w:r w:rsidRPr="00DC66BF">
        <w:rPr>
          <w:rStyle w:val="A7"/>
          <w:rFonts w:cstheme="minorHAnsi"/>
          <w:sz w:val="22"/>
          <w:szCs w:val="22"/>
        </w:rPr>
        <w:t xml:space="preserve"> The study found participation </w:t>
      </w:r>
      <w:r w:rsidR="0064699A">
        <w:rPr>
          <w:rStyle w:val="A7"/>
          <w:rFonts w:cstheme="minorHAnsi"/>
          <w:sz w:val="22"/>
          <w:szCs w:val="22"/>
        </w:rPr>
        <w:t>was associated with</w:t>
      </w:r>
      <w:r w:rsidR="0064699A" w:rsidRPr="00DC66BF">
        <w:rPr>
          <w:rStyle w:val="A7"/>
          <w:rFonts w:cstheme="minorHAnsi"/>
          <w:sz w:val="22"/>
          <w:szCs w:val="22"/>
        </w:rPr>
        <w:t xml:space="preserve"> </w:t>
      </w:r>
      <w:r w:rsidRPr="00DC66BF">
        <w:rPr>
          <w:rStyle w:val="A7"/>
          <w:rFonts w:cstheme="minorHAnsi"/>
          <w:sz w:val="22"/>
          <w:szCs w:val="22"/>
        </w:rPr>
        <w:t xml:space="preserve">sustained </w:t>
      </w:r>
      <w:r w:rsidR="00925DB7" w:rsidRPr="00AD6FB3">
        <w:rPr>
          <w:rStyle w:val="A7"/>
          <w:rFonts w:cstheme="minorHAnsi"/>
          <w:sz w:val="22"/>
          <w:szCs w:val="22"/>
        </w:rPr>
        <w:t>benefits</w:t>
      </w:r>
      <w:r w:rsidR="003C37BA">
        <w:rPr>
          <w:rStyle w:val="A7"/>
          <w:rFonts w:cstheme="minorHAnsi"/>
          <w:sz w:val="22"/>
          <w:szCs w:val="22"/>
        </w:rPr>
        <w:t xml:space="preserve"> </w:t>
      </w:r>
      <w:r w:rsidR="0064699A">
        <w:rPr>
          <w:rStyle w:val="A7"/>
          <w:rFonts w:cstheme="minorHAnsi"/>
          <w:sz w:val="22"/>
          <w:szCs w:val="22"/>
        </w:rPr>
        <w:t xml:space="preserve">in relation to </w:t>
      </w:r>
      <w:r w:rsidRPr="00DC66BF">
        <w:rPr>
          <w:rStyle w:val="A7"/>
          <w:rFonts w:cstheme="minorHAnsi"/>
          <w:sz w:val="22"/>
          <w:szCs w:val="22"/>
        </w:rPr>
        <w:t>children’s BMI, with children having significantly healthier BMIs than children in the control group. Additionally, the children showed either maintenance of, or ongoing improvement in</w:t>
      </w:r>
      <w:r>
        <w:rPr>
          <w:rStyle w:val="A7"/>
          <w:rFonts w:cstheme="minorHAnsi"/>
          <w:sz w:val="22"/>
          <w:szCs w:val="22"/>
        </w:rPr>
        <w:t>,</w:t>
      </w:r>
      <w:r w:rsidRPr="00DC66BF">
        <w:rPr>
          <w:rStyle w:val="A7"/>
          <w:rFonts w:cstheme="minorHAnsi"/>
          <w:sz w:val="22"/>
          <w:szCs w:val="22"/>
        </w:rPr>
        <w:t xml:space="preserve"> BMI during the first academic year of enrolment.</w:t>
      </w:r>
    </w:p>
    <w:p w:rsidR="005B1E63" w:rsidRDefault="005B1E63">
      <w:pPr>
        <w:spacing w:line="276" w:lineRule="auto"/>
        <w:rPr>
          <w:rStyle w:val="A7"/>
          <w:rFonts w:cstheme="minorHAnsi"/>
          <w:sz w:val="22"/>
          <w:szCs w:val="22"/>
        </w:rPr>
      </w:pPr>
      <w:r>
        <w:rPr>
          <w:rStyle w:val="A7"/>
          <w:rFonts w:cstheme="minorHAnsi"/>
          <w:sz w:val="22"/>
          <w:szCs w:val="22"/>
        </w:rPr>
        <w:br w:type="page"/>
      </w:r>
    </w:p>
    <w:p w:rsidR="00375FB1" w:rsidRPr="00A516DA" w:rsidRDefault="00375FB1" w:rsidP="00375FB1">
      <w:pPr>
        <w:rPr>
          <w:rStyle w:val="A7"/>
          <w:rFonts w:cstheme="minorHAnsi"/>
          <w:b/>
          <w:sz w:val="22"/>
          <w:szCs w:val="22"/>
        </w:rPr>
      </w:pPr>
      <w:r w:rsidRPr="00A516DA">
        <w:rPr>
          <w:rStyle w:val="A7"/>
          <w:b/>
          <w:sz w:val="22"/>
        </w:rPr>
        <w:t xml:space="preserve">Table </w:t>
      </w:r>
      <w:r w:rsidR="00CF66CC" w:rsidRPr="00A516DA">
        <w:rPr>
          <w:rStyle w:val="A7"/>
          <w:b/>
          <w:sz w:val="22"/>
        </w:rPr>
        <w:t>7:</w:t>
      </w:r>
      <w:r w:rsidR="00CF66CC" w:rsidRPr="00A516DA">
        <w:rPr>
          <w:rStyle w:val="A7"/>
          <w:rFonts w:cstheme="minorHAnsi"/>
          <w:b/>
          <w:sz w:val="22"/>
          <w:szCs w:val="22"/>
        </w:rPr>
        <w:t xml:space="preserve"> </w:t>
      </w:r>
      <w:r w:rsidRPr="00A516DA">
        <w:rPr>
          <w:rStyle w:val="A7"/>
          <w:rFonts w:cstheme="minorHAnsi"/>
          <w:b/>
          <w:sz w:val="22"/>
          <w:szCs w:val="22"/>
        </w:rPr>
        <w:t xml:space="preserve">Comparison of health, welfare and justice outcomes – </w:t>
      </w:r>
      <w:r w:rsidR="00835C89" w:rsidRPr="00A516DA">
        <w:rPr>
          <w:rStyle w:val="A7"/>
          <w:rFonts w:cstheme="minorHAnsi"/>
          <w:b/>
          <w:sz w:val="22"/>
          <w:szCs w:val="22"/>
        </w:rPr>
        <w:t>three</w:t>
      </w:r>
      <w:r w:rsidRPr="00A516DA">
        <w:rPr>
          <w:rStyle w:val="A7"/>
          <w:rFonts w:cstheme="minorHAnsi"/>
          <w:b/>
          <w:sz w:val="22"/>
          <w:szCs w:val="22"/>
        </w:rPr>
        <w:t xml:space="preserve"> US Longitudinal studies</w:t>
      </w:r>
    </w:p>
    <w:tbl>
      <w:tblPr>
        <w:tblStyle w:val="TableGrid"/>
        <w:tblW w:w="0" w:type="auto"/>
        <w:tblLook w:val="04A0" w:firstRow="1" w:lastRow="0" w:firstColumn="1" w:lastColumn="0" w:noHBand="0" w:noVBand="1"/>
      </w:tblPr>
      <w:tblGrid>
        <w:gridCol w:w="2254"/>
        <w:gridCol w:w="1127"/>
        <w:gridCol w:w="1127"/>
        <w:gridCol w:w="1127"/>
        <w:gridCol w:w="1127"/>
        <w:gridCol w:w="1127"/>
        <w:gridCol w:w="1127"/>
      </w:tblGrid>
      <w:tr w:rsidR="00375FB1" w:rsidRPr="00D24E37" w:rsidTr="00852F0A">
        <w:tc>
          <w:tcPr>
            <w:tcW w:w="2254" w:type="dxa"/>
            <w:vMerge w:val="restart"/>
          </w:tcPr>
          <w:p w:rsidR="00375FB1" w:rsidRPr="00D24E37" w:rsidRDefault="00375FB1" w:rsidP="00852F0A">
            <w:pPr>
              <w:rPr>
                <w:b/>
              </w:rPr>
            </w:pPr>
            <w:r w:rsidRPr="00D24E37">
              <w:rPr>
                <w:b/>
              </w:rPr>
              <w:t>Characteristic</w:t>
            </w:r>
          </w:p>
        </w:tc>
        <w:tc>
          <w:tcPr>
            <w:tcW w:w="2254" w:type="dxa"/>
            <w:gridSpan w:val="2"/>
          </w:tcPr>
          <w:p w:rsidR="00375FB1" w:rsidRPr="00D24E37" w:rsidRDefault="00375FB1">
            <w:pPr>
              <w:rPr>
                <w:b/>
              </w:rPr>
            </w:pPr>
            <w:r w:rsidRPr="00D24E37">
              <w:rPr>
                <w:b/>
              </w:rPr>
              <w:t>Perry</w:t>
            </w:r>
            <w:r w:rsidR="00EC55AF">
              <w:rPr>
                <w:b/>
              </w:rPr>
              <w:t xml:space="preserve"> Preschool </w:t>
            </w:r>
            <w:r w:rsidRPr="00D24E37">
              <w:rPr>
                <w:b/>
              </w:rPr>
              <w:t xml:space="preserve"> through age 40</w:t>
            </w:r>
          </w:p>
        </w:tc>
        <w:tc>
          <w:tcPr>
            <w:tcW w:w="2254" w:type="dxa"/>
            <w:gridSpan w:val="2"/>
          </w:tcPr>
          <w:p w:rsidR="00375FB1" w:rsidRPr="00D24E37" w:rsidRDefault="00375FB1" w:rsidP="00852F0A">
            <w:pPr>
              <w:rPr>
                <w:b/>
              </w:rPr>
            </w:pPr>
            <w:r w:rsidRPr="00D24E37">
              <w:rPr>
                <w:b/>
              </w:rPr>
              <w:t>Abecedarian Program through age 21</w:t>
            </w:r>
          </w:p>
        </w:tc>
        <w:tc>
          <w:tcPr>
            <w:tcW w:w="2254" w:type="dxa"/>
            <w:gridSpan w:val="2"/>
          </w:tcPr>
          <w:p w:rsidR="00375FB1" w:rsidRPr="00D24E37" w:rsidRDefault="00375FB1">
            <w:pPr>
              <w:rPr>
                <w:b/>
              </w:rPr>
            </w:pPr>
            <w:r w:rsidRPr="00D24E37">
              <w:rPr>
                <w:rStyle w:val="A7"/>
                <w:rFonts w:cstheme="minorHAnsi"/>
                <w:b/>
              </w:rPr>
              <w:t>Chicago Child-Parent Cent</w:t>
            </w:r>
            <w:r w:rsidR="00EC55AF">
              <w:rPr>
                <w:rStyle w:val="A7"/>
                <w:rFonts w:cstheme="minorHAnsi"/>
                <w:b/>
              </w:rPr>
              <w:t>e</w:t>
            </w:r>
            <w:r w:rsidRPr="00D24E37">
              <w:rPr>
                <w:rStyle w:val="A7"/>
                <w:rFonts w:cstheme="minorHAnsi"/>
                <w:b/>
              </w:rPr>
              <w:t>r Education Program through age 28</w:t>
            </w:r>
          </w:p>
        </w:tc>
      </w:tr>
      <w:tr w:rsidR="00375FB1" w:rsidRPr="00D24E37" w:rsidTr="00852F0A">
        <w:tc>
          <w:tcPr>
            <w:tcW w:w="2254" w:type="dxa"/>
            <w:vMerge/>
          </w:tcPr>
          <w:p w:rsidR="00375FB1" w:rsidRDefault="00375FB1" w:rsidP="00852F0A"/>
        </w:tc>
        <w:tc>
          <w:tcPr>
            <w:tcW w:w="1127" w:type="dxa"/>
          </w:tcPr>
          <w:p w:rsidR="00375FB1" w:rsidRPr="00D24E37" w:rsidRDefault="00375FB1" w:rsidP="00852F0A">
            <w:pPr>
              <w:rPr>
                <w:sz w:val="18"/>
                <w:szCs w:val="18"/>
              </w:rPr>
            </w:pPr>
            <w:r w:rsidRPr="00D24E37">
              <w:rPr>
                <w:sz w:val="18"/>
                <w:szCs w:val="18"/>
              </w:rPr>
              <w:t>% in treatment group</w:t>
            </w:r>
          </w:p>
        </w:tc>
        <w:tc>
          <w:tcPr>
            <w:tcW w:w="1127" w:type="dxa"/>
          </w:tcPr>
          <w:p w:rsidR="00375FB1" w:rsidRPr="00D24E37" w:rsidRDefault="00375FB1" w:rsidP="00852F0A">
            <w:pPr>
              <w:rPr>
                <w:sz w:val="18"/>
                <w:szCs w:val="18"/>
              </w:rPr>
            </w:pPr>
            <w:r w:rsidRPr="00D24E37">
              <w:rPr>
                <w:sz w:val="18"/>
                <w:szCs w:val="18"/>
              </w:rPr>
              <w:t>% in control group</w:t>
            </w:r>
          </w:p>
        </w:tc>
        <w:tc>
          <w:tcPr>
            <w:tcW w:w="1127" w:type="dxa"/>
          </w:tcPr>
          <w:p w:rsidR="00375FB1" w:rsidRPr="00D24E37" w:rsidRDefault="00375FB1" w:rsidP="00852F0A">
            <w:pPr>
              <w:rPr>
                <w:sz w:val="18"/>
                <w:szCs w:val="18"/>
              </w:rPr>
            </w:pPr>
            <w:r w:rsidRPr="00D24E37">
              <w:rPr>
                <w:sz w:val="18"/>
                <w:szCs w:val="18"/>
              </w:rPr>
              <w:t>% in treatment group</w:t>
            </w:r>
          </w:p>
        </w:tc>
        <w:tc>
          <w:tcPr>
            <w:tcW w:w="1127" w:type="dxa"/>
          </w:tcPr>
          <w:p w:rsidR="00375FB1" w:rsidRPr="00D24E37" w:rsidRDefault="00375FB1" w:rsidP="00852F0A">
            <w:pPr>
              <w:rPr>
                <w:sz w:val="18"/>
                <w:szCs w:val="18"/>
              </w:rPr>
            </w:pPr>
            <w:r w:rsidRPr="00D24E37">
              <w:rPr>
                <w:sz w:val="18"/>
                <w:szCs w:val="18"/>
              </w:rPr>
              <w:t>% in control group</w:t>
            </w:r>
          </w:p>
        </w:tc>
        <w:tc>
          <w:tcPr>
            <w:tcW w:w="1127" w:type="dxa"/>
          </w:tcPr>
          <w:p w:rsidR="00375FB1" w:rsidRPr="00D24E37" w:rsidRDefault="00375FB1" w:rsidP="00852F0A">
            <w:pPr>
              <w:rPr>
                <w:sz w:val="18"/>
                <w:szCs w:val="18"/>
              </w:rPr>
            </w:pPr>
            <w:r w:rsidRPr="00D24E37">
              <w:rPr>
                <w:sz w:val="18"/>
                <w:szCs w:val="18"/>
              </w:rPr>
              <w:t>% in treatment group</w:t>
            </w:r>
          </w:p>
        </w:tc>
        <w:tc>
          <w:tcPr>
            <w:tcW w:w="1127" w:type="dxa"/>
          </w:tcPr>
          <w:p w:rsidR="00375FB1" w:rsidRPr="00D24E37" w:rsidRDefault="00375FB1" w:rsidP="00852F0A">
            <w:pPr>
              <w:rPr>
                <w:sz w:val="18"/>
                <w:szCs w:val="18"/>
              </w:rPr>
            </w:pPr>
            <w:r w:rsidRPr="00D24E37">
              <w:rPr>
                <w:sz w:val="18"/>
                <w:szCs w:val="18"/>
              </w:rPr>
              <w:t>% in control group</w:t>
            </w:r>
          </w:p>
        </w:tc>
      </w:tr>
      <w:tr w:rsidR="00375FB1" w:rsidTr="00852F0A">
        <w:tc>
          <w:tcPr>
            <w:tcW w:w="2254" w:type="dxa"/>
          </w:tcPr>
          <w:p w:rsidR="00375FB1" w:rsidRDefault="00375FB1" w:rsidP="00852F0A">
            <w:r>
              <w:t>Post-secondary education</w:t>
            </w:r>
          </w:p>
        </w:tc>
        <w:tc>
          <w:tcPr>
            <w:tcW w:w="1127" w:type="dxa"/>
          </w:tcPr>
          <w:p w:rsidR="00375FB1" w:rsidRDefault="00375FB1" w:rsidP="00852F0A">
            <w:r>
              <w:t>70</w:t>
            </w:r>
          </w:p>
          <w:p w:rsidR="00375FB1" w:rsidRPr="001F1AD1" w:rsidRDefault="00375FB1" w:rsidP="00852F0A">
            <w:pPr>
              <w:rPr>
                <w:sz w:val="16"/>
                <w:szCs w:val="16"/>
              </w:rPr>
            </w:pPr>
            <w:r w:rsidRPr="001F1AD1">
              <w:rPr>
                <w:sz w:val="16"/>
                <w:szCs w:val="16"/>
              </w:rPr>
              <w:t>College Graduate</w:t>
            </w:r>
          </w:p>
        </w:tc>
        <w:tc>
          <w:tcPr>
            <w:tcW w:w="1127" w:type="dxa"/>
          </w:tcPr>
          <w:p w:rsidR="00375FB1" w:rsidRDefault="00375FB1" w:rsidP="00852F0A">
            <w:r>
              <w:t>36</w:t>
            </w:r>
          </w:p>
        </w:tc>
        <w:tc>
          <w:tcPr>
            <w:tcW w:w="1127" w:type="dxa"/>
          </w:tcPr>
          <w:p w:rsidR="00375FB1" w:rsidRDefault="00375FB1" w:rsidP="00852F0A">
            <w:r>
              <w:t>36</w:t>
            </w:r>
          </w:p>
          <w:p w:rsidR="00375FB1" w:rsidRPr="001F1AD1" w:rsidRDefault="00375FB1" w:rsidP="00852F0A">
            <w:pPr>
              <w:rPr>
                <w:sz w:val="16"/>
                <w:szCs w:val="16"/>
              </w:rPr>
            </w:pPr>
            <w:r w:rsidRPr="001F1AD1">
              <w:rPr>
                <w:sz w:val="16"/>
                <w:szCs w:val="16"/>
              </w:rPr>
              <w:t>College attendance</w:t>
            </w:r>
          </w:p>
        </w:tc>
        <w:tc>
          <w:tcPr>
            <w:tcW w:w="1127" w:type="dxa"/>
          </w:tcPr>
          <w:p w:rsidR="00375FB1" w:rsidRDefault="00375FB1" w:rsidP="00852F0A">
            <w:r>
              <w:t>14</w:t>
            </w:r>
          </w:p>
        </w:tc>
        <w:tc>
          <w:tcPr>
            <w:tcW w:w="1127" w:type="dxa"/>
          </w:tcPr>
          <w:p w:rsidR="00375FB1" w:rsidRDefault="00375FB1" w:rsidP="00852F0A">
            <w:r>
              <w:t>-</w:t>
            </w:r>
          </w:p>
        </w:tc>
        <w:tc>
          <w:tcPr>
            <w:tcW w:w="1127" w:type="dxa"/>
          </w:tcPr>
          <w:p w:rsidR="00375FB1" w:rsidRDefault="00375FB1" w:rsidP="00852F0A">
            <w:r>
              <w:t>-</w:t>
            </w:r>
          </w:p>
        </w:tc>
      </w:tr>
      <w:tr w:rsidR="00375FB1" w:rsidTr="00852F0A">
        <w:tc>
          <w:tcPr>
            <w:tcW w:w="2254" w:type="dxa"/>
          </w:tcPr>
          <w:p w:rsidR="00375FB1" w:rsidRDefault="00375FB1" w:rsidP="00852F0A">
            <w:r>
              <w:t>Employment</w:t>
            </w:r>
          </w:p>
        </w:tc>
        <w:tc>
          <w:tcPr>
            <w:tcW w:w="1127" w:type="dxa"/>
          </w:tcPr>
          <w:p w:rsidR="00375FB1" w:rsidRDefault="00375FB1" w:rsidP="00852F0A">
            <w:r>
              <w:t>76</w:t>
            </w:r>
          </w:p>
        </w:tc>
        <w:tc>
          <w:tcPr>
            <w:tcW w:w="1127" w:type="dxa"/>
          </w:tcPr>
          <w:p w:rsidR="00375FB1" w:rsidRDefault="00375FB1" w:rsidP="00852F0A">
            <w:r>
              <w:t>62</w:t>
            </w:r>
          </w:p>
        </w:tc>
        <w:tc>
          <w:tcPr>
            <w:tcW w:w="1127" w:type="dxa"/>
          </w:tcPr>
          <w:p w:rsidR="00375FB1" w:rsidRDefault="00375FB1" w:rsidP="00852F0A">
            <w:r>
              <w:t>64</w:t>
            </w:r>
          </w:p>
        </w:tc>
        <w:tc>
          <w:tcPr>
            <w:tcW w:w="1127" w:type="dxa"/>
          </w:tcPr>
          <w:p w:rsidR="00375FB1" w:rsidRDefault="00375FB1" w:rsidP="00852F0A">
            <w:r>
              <w:t>50</w:t>
            </w:r>
          </w:p>
        </w:tc>
        <w:tc>
          <w:tcPr>
            <w:tcW w:w="1127" w:type="dxa"/>
          </w:tcPr>
          <w:p w:rsidR="00375FB1" w:rsidRDefault="00375FB1" w:rsidP="00852F0A">
            <w:r>
              <w:t>91</w:t>
            </w:r>
          </w:p>
          <w:p w:rsidR="00375FB1" w:rsidRDefault="00375FB1" w:rsidP="00852F0A">
            <w:r>
              <w:rPr>
                <w:sz w:val="16"/>
                <w:szCs w:val="16"/>
              </w:rPr>
              <w:t>An</w:t>
            </w:r>
            <w:r w:rsidRPr="00121B68">
              <w:rPr>
                <w:sz w:val="16"/>
                <w:szCs w:val="16"/>
              </w:rPr>
              <w:t xml:space="preserve">d completed secondary school </w:t>
            </w:r>
          </w:p>
        </w:tc>
        <w:tc>
          <w:tcPr>
            <w:tcW w:w="1127" w:type="dxa"/>
          </w:tcPr>
          <w:p w:rsidR="00375FB1" w:rsidRDefault="00375FB1" w:rsidP="00852F0A">
            <w:r>
              <w:t>88</w:t>
            </w:r>
          </w:p>
          <w:p w:rsidR="00375FB1" w:rsidRDefault="00375FB1" w:rsidP="00852F0A"/>
        </w:tc>
      </w:tr>
      <w:tr w:rsidR="00375FB1" w:rsidTr="00852F0A">
        <w:tc>
          <w:tcPr>
            <w:tcW w:w="2254" w:type="dxa"/>
          </w:tcPr>
          <w:p w:rsidR="00375FB1" w:rsidRDefault="00375FB1" w:rsidP="00852F0A">
            <w:r>
              <w:t xml:space="preserve">High prestige employment </w:t>
            </w:r>
          </w:p>
        </w:tc>
        <w:tc>
          <w:tcPr>
            <w:tcW w:w="1127" w:type="dxa"/>
          </w:tcPr>
          <w:p w:rsidR="00375FB1" w:rsidRDefault="00375FB1" w:rsidP="00852F0A"/>
        </w:tc>
        <w:tc>
          <w:tcPr>
            <w:tcW w:w="1127" w:type="dxa"/>
          </w:tcPr>
          <w:p w:rsidR="00375FB1" w:rsidRDefault="00375FB1" w:rsidP="00852F0A"/>
        </w:tc>
        <w:tc>
          <w:tcPr>
            <w:tcW w:w="1127" w:type="dxa"/>
          </w:tcPr>
          <w:p w:rsidR="00375FB1" w:rsidRDefault="00375FB1" w:rsidP="00852F0A"/>
        </w:tc>
        <w:tc>
          <w:tcPr>
            <w:tcW w:w="1127" w:type="dxa"/>
          </w:tcPr>
          <w:p w:rsidR="00375FB1" w:rsidRDefault="00375FB1" w:rsidP="00852F0A"/>
        </w:tc>
        <w:tc>
          <w:tcPr>
            <w:tcW w:w="1127" w:type="dxa"/>
          </w:tcPr>
          <w:p w:rsidR="00375FB1" w:rsidRDefault="00375FB1" w:rsidP="00852F0A">
            <w:r>
              <w:t>28.2</w:t>
            </w:r>
          </w:p>
        </w:tc>
        <w:tc>
          <w:tcPr>
            <w:tcW w:w="1127" w:type="dxa"/>
          </w:tcPr>
          <w:p w:rsidR="00375FB1" w:rsidRDefault="00375FB1" w:rsidP="00852F0A">
            <w:r>
              <w:t>21.4</w:t>
            </w:r>
          </w:p>
        </w:tc>
      </w:tr>
      <w:tr w:rsidR="00375FB1" w:rsidTr="00852F0A">
        <w:tc>
          <w:tcPr>
            <w:tcW w:w="2254" w:type="dxa"/>
          </w:tcPr>
          <w:p w:rsidR="00375FB1" w:rsidRDefault="00375FB1" w:rsidP="00852F0A">
            <w:r>
              <w:t>Home ownership</w:t>
            </w:r>
          </w:p>
        </w:tc>
        <w:tc>
          <w:tcPr>
            <w:tcW w:w="1127" w:type="dxa"/>
          </w:tcPr>
          <w:p w:rsidR="00375FB1" w:rsidRDefault="00375FB1" w:rsidP="00852F0A">
            <w:r>
              <w:t>37</w:t>
            </w:r>
          </w:p>
        </w:tc>
        <w:tc>
          <w:tcPr>
            <w:tcW w:w="1127" w:type="dxa"/>
          </w:tcPr>
          <w:p w:rsidR="00375FB1" w:rsidRDefault="00375FB1" w:rsidP="00852F0A">
            <w:r>
              <w:t>28</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r>
      <w:tr w:rsidR="00375FB1" w:rsidTr="00852F0A">
        <w:tc>
          <w:tcPr>
            <w:tcW w:w="2254" w:type="dxa"/>
          </w:tcPr>
          <w:p w:rsidR="00375FB1" w:rsidRDefault="00375FB1" w:rsidP="00852F0A">
            <w:r>
              <w:t>Health cover</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75.9</w:t>
            </w:r>
          </w:p>
        </w:tc>
        <w:tc>
          <w:tcPr>
            <w:tcW w:w="1127" w:type="dxa"/>
          </w:tcPr>
          <w:p w:rsidR="00375FB1" w:rsidRDefault="00375FB1" w:rsidP="00852F0A">
            <w:r>
              <w:t>63.9</w:t>
            </w:r>
          </w:p>
        </w:tc>
      </w:tr>
      <w:tr w:rsidR="00375FB1" w:rsidTr="00852F0A">
        <w:tc>
          <w:tcPr>
            <w:tcW w:w="2254" w:type="dxa"/>
          </w:tcPr>
          <w:p w:rsidR="00375FB1" w:rsidRDefault="00375FB1" w:rsidP="00852F0A">
            <w:r>
              <w:t xml:space="preserve">Personal savings </w:t>
            </w:r>
            <w:r w:rsidRPr="00C51ADA">
              <w:rPr>
                <w:sz w:val="18"/>
                <w:szCs w:val="18"/>
              </w:rPr>
              <w:t>(males)</w:t>
            </w:r>
          </w:p>
        </w:tc>
        <w:tc>
          <w:tcPr>
            <w:tcW w:w="1127" w:type="dxa"/>
          </w:tcPr>
          <w:p w:rsidR="00375FB1" w:rsidRDefault="00375FB1" w:rsidP="00852F0A">
            <w:r>
              <w:t>73</w:t>
            </w:r>
          </w:p>
        </w:tc>
        <w:tc>
          <w:tcPr>
            <w:tcW w:w="1127" w:type="dxa"/>
          </w:tcPr>
          <w:p w:rsidR="00375FB1" w:rsidRDefault="00375FB1" w:rsidP="00852F0A">
            <w:r>
              <w:t>36</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r>
      <w:tr w:rsidR="00375FB1" w:rsidTr="00852F0A">
        <w:tc>
          <w:tcPr>
            <w:tcW w:w="2254" w:type="dxa"/>
          </w:tcPr>
          <w:p w:rsidR="00375FB1" w:rsidRDefault="00375FB1" w:rsidP="00852F0A">
            <w:r>
              <w:t>Social services</w:t>
            </w:r>
          </w:p>
        </w:tc>
        <w:tc>
          <w:tcPr>
            <w:tcW w:w="1127" w:type="dxa"/>
          </w:tcPr>
          <w:p w:rsidR="00375FB1" w:rsidRDefault="00375FB1" w:rsidP="00852F0A">
            <w:r>
              <w:t>71</w:t>
            </w:r>
          </w:p>
        </w:tc>
        <w:tc>
          <w:tcPr>
            <w:tcW w:w="1127" w:type="dxa"/>
          </w:tcPr>
          <w:p w:rsidR="00375FB1" w:rsidRDefault="00375FB1" w:rsidP="00852F0A">
            <w:r>
              <w:t>86</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w:t>
            </w:r>
          </w:p>
        </w:tc>
      </w:tr>
      <w:tr w:rsidR="00375FB1" w:rsidTr="00852F0A">
        <w:tc>
          <w:tcPr>
            <w:tcW w:w="2254" w:type="dxa"/>
          </w:tcPr>
          <w:p w:rsidR="00375FB1" w:rsidRDefault="00375FB1" w:rsidP="00852F0A">
            <w:r>
              <w:t>Imprisonment</w:t>
            </w:r>
          </w:p>
        </w:tc>
        <w:tc>
          <w:tcPr>
            <w:tcW w:w="1127" w:type="dxa"/>
          </w:tcPr>
          <w:p w:rsidR="00375FB1" w:rsidRDefault="00375FB1" w:rsidP="00852F0A">
            <w:r>
              <w:t>6</w:t>
            </w:r>
          </w:p>
        </w:tc>
        <w:tc>
          <w:tcPr>
            <w:tcW w:w="1127" w:type="dxa"/>
          </w:tcPr>
          <w:p w:rsidR="00375FB1" w:rsidRDefault="00375FB1" w:rsidP="00852F0A">
            <w:r>
              <w:t>17</w:t>
            </w:r>
          </w:p>
        </w:tc>
        <w:tc>
          <w:tcPr>
            <w:tcW w:w="1127" w:type="dxa"/>
          </w:tcPr>
          <w:p w:rsidR="00375FB1" w:rsidRDefault="00375FB1" w:rsidP="00852F0A">
            <w:r>
              <w:t>14</w:t>
            </w:r>
          </w:p>
        </w:tc>
        <w:tc>
          <w:tcPr>
            <w:tcW w:w="1127" w:type="dxa"/>
          </w:tcPr>
          <w:p w:rsidR="00375FB1" w:rsidRDefault="00375FB1" w:rsidP="00852F0A">
            <w:r>
              <w:t>21</w:t>
            </w:r>
          </w:p>
        </w:tc>
        <w:tc>
          <w:tcPr>
            <w:tcW w:w="1127" w:type="dxa"/>
          </w:tcPr>
          <w:p w:rsidR="00375FB1" w:rsidRDefault="00375FB1" w:rsidP="00852F0A">
            <w:r>
              <w:t>15.2</w:t>
            </w:r>
          </w:p>
        </w:tc>
        <w:tc>
          <w:tcPr>
            <w:tcW w:w="1127" w:type="dxa"/>
          </w:tcPr>
          <w:p w:rsidR="00375FB1" w:rsidRDefault="00375FB1" w:rsidP="00852F0A">
            <w:r>
              <w:t>21.1</w:t>
            </w:r>
          </w:p>
        </w:tc>
      </w:tr>
      <w:tr w:rsidR="00375FB1" w:rsidTr="00852F0A">
        <w:tc>
          <w:tcPr>
            <w:tcW w:w="2254" w:type="dxa"/>
          </w:tcPr>
          <w:p w:rsidR="00375FB1" w:rsidRDefault="00375FB1" w:rsidP="00852F0A">
            <w:r>
              <w:t xml:space="preserve">Arrests </w:t>
            </w:r>
          </w:p>
        </w:tc>
        <w:tc>
          <w:tcPr>
            <w:tcW w:w="1127" w:type="dxa"/>
          </w:tcPr>
          <w:p w:rsidR="00375FB1" w:rsidRDefault="00375FB1" w:rsidP="00852F0A">
            <w:r>
              <w:t>32</w:t>
            </w:r>
          </w:p>
        </w:tc>
        <w:tc>
          <w:tcPr>
            <w:tcW w:w="1127" w:type="dxa"/>
          </w:tcPr>
          <w:p w:rsidR="00375FB1" w:rsidRDefault="00375FB1" w:rsidP="00852F0A">
            <w:r>
              <w:t>47</w:t>
            </w:r>
          </w:p>
        </w:tc>
        <w:tc>
          <w:tcPr>
            <w:tcW w:w="1127" w:type="dxa"/>
          </w:tcPr>
          <w:p w:rsidR="00375FB1" w:rsidRDefault="00375FB1" w:rsidP="00852F0A">
            <w:r>
              <w:t>8</w:t>
            </w:r>
          </w:p>
        </w:tc>
        <w:tc>
          <w:tcPr>
            <w:tcW w:w="1127" w:type="dxa"/>
          </w:tcPr>
          <w:p w:rsidR="00375FB1" w:rsidRDefault="00375FB1" w:rsidP="00852F0A">
            <w:r>
              <w:t>12</w:t>
            </w:r>
          </w:p>
        </w:tc>
        <w:tc>
          <w:tcPr>
            <w:tcW w:w="1127" w:type="dxa"/>
          </w:tcPr>
          <w:p w:rsidR="00375FB1" w:rsidRDefault="00375FB1" w:rsidP="00852F0A">
            <w:r>
              <w:t>47.9</w:t>
            </w:r>
          </w:p>
        </w:tc>
        <w:tc>
          <w:tcPr>
            <w:tcW w:w="1127" w:type="dxa"/>
          </w:tcPr>
          <w:p w:rsidR="00375FB1" w:rsidRDefault="00375FB1" w:rsidP="00852F0A">
            <w:r>
              <w:t>54.3</w:t>
            </w:r>
          </w:p>
        </w:tc>
      </w:tr>
      <w:tr w:rsidR="00375FB1" w:rsidTr="00852F0A">
        <w:tc>
          <w:tcPr>
            <w:tcW w:w="2254" w:type="dxa"/>
          </w:tcPr>
          <w:p w:rsidR="00375FB1" w:rsidRDefault="00375FB1" w:rsidP="00852F0A">
            <w:r>
              <w:t>Prescription drugs</w:t>
            </w:r>
          </w:p>
        </w:tc>
        <w:tc>
          <w:tcPr>
            <w:tcW w:w="1127" w:type="dxa"/>
          </w:tcPr>
          <w:p w:rsidR="00375FB1" w:rsidRDefault="00375FB1" w:rsidP="00852F0A">
            <w:r>
              <w:t>17</w:t>
            </w:r>
          </w:p>
        </w:tc>
        <w:tc>
          <w:tcPr>
            <w:tcW w:w="1127" w:type="dxa"/>
          </w:tcPr>
          <w:p w:rsidR="00375FB1" w:rsidRDefault="00375FB1" w:rsidP="00852F0A">
            <w:r>
              <w:t>43</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16.5</w:t>
            </w:r>
          </w:p>
        </w:tc>
        <w:tc>
          <w:tcPr>
            <w:tcW w:w="1127" w:type="dxa"/>
          </w:tcPr>
          <w:p w:rsidR="00375FB1" w:rsidRDefault="00375FB1" w:rsidP="00852F0A">
            <w:r>
              <w:t>23</w:t>
            </w:r>
          </w:p>
        </w:tc>
      </w:tr>
      <w:tr w:rsidR="00375FB1" w:rsidTr="00852F0A">
        <w:tc>
          <w:tcPr>
            <w:tcW w:w="2254" w:type="dxa"/>
          </w:tcPr>
          <w:p w:rsidR="00375FB1" w:rsidRDefault="00375FB1" w:rsidP="00852F0A">
            <w:r>
              <w:t>Marijuana</w:t>
            </w:r>
          </w:p>
        </w:tc>
        <w:tc>
          <w:tcPr>
            <w:tcW w:w="1127" w:type="dxa"/>
          </w:tcPr>
          <w:p w:rsidR="00375FB1" w:rsidRDefault="00375FB1" w:rsidP="00852F0A">
            <w:r>
              <w:t>48</w:t>
            </w:r>
          </w:p>
        </w:tc>
        <w:tc>
          <w:tcPr>
            <w:tcW w:w="1127" w:type="dxa"/>
          </w:tcPr>
          <w:p w:rsidR="00375FB1" w:rsidRDefault="00375FB1" w:rsidP="00852F0A">
            <w:r>
              <w:t>71</w:t>
            </w:r>
          </w:p>
        </w:tc>
        <w:tc>
          <w:tcPr>
            <w:tcW w:w="1127" w:type="dxa"/>
          </w:tcPr>
          <w:p w:rsidR="00375FB1" w:rsidRDefault="00375FB1" w:rsidP="00852F0A">
            <w:r>
              <w:t>18</w:t>
            </w:r>
          </w:p>
        </w:tc>
        <w:tc>
          <w:tcPr>
            <w:tcW w:w="1127" w:type="dxa"/>
          </w:tcPr>
          <w:p w:rsidR="00375FB1" w:rsidRDefault="00375FB1" w:rsidP="00852F0A">
            <w:r>
              <w:t>39</w:t>
            </w:r>
          </w:p>
        </w:tc>
        <w:tc>
          <w:tcPr>
            <w:tcW w:w="1127" w:type="dxa"/>
          </w:tcPr>
          <w:p w:rsidR="00375FB1" w:rsidRDefault="00375FB1" w:rsidP="00852F0A">
            <w:r>
              <w:t>-</w:t>
            </w:r>
          </w:p>
        </w:tc>
        <w:tc>
          <w:tcPr>
            <w:tcW w:w="1127" w:type="dxa"/>
          </w:tcPr>
          <w:p w:rsidR="00375FB1" w:rsidRDefault="00375FB1" w:rsidP="00852F0A">
            <w:r>
              <w:t>-</w:t>
            </w:r>
          </w:p>
        </w:tc>
      </w:tr>
      <w:tr w:rsidR="00375FB1" w:rsidTr="00852F0A">
        <w:tc>
          <w:tcPr>
            <w:tcW w:w="2254" w:type="dxa"/>
          </w:tcPr>
          <w:p w:rsidR="00375FB1" w:rsidRDefault="00375FB1" w:rsidP="00852F0A">
            <w:r>
              <w:t>Smoking</w:t>
            </w:r>
          </w:p>
        </w:tc>
        <w:tc>
          <w:tcPr>
            <w:tcW w:w="1127" w:type="dxa"/>
          </w:tcPr>
          <w:p w:rsidR="00375FB1" w:rsidRDefault="00375FB1" w:rsidP="00852F0A">
            <w:r>
              <w:t>-</w:t>
            </w:r>
          </w:p>
        </w:tc>
        <w:tc>
          <w:tcPr>
            <w:tcW w:w="1127" w:type="dxa"/>
          </w:tcPr>
          <w:p w:rsidR="00375FB1" w:rsidRDefault="00375FB1" w:rsidP="00852F0A">
            <w:r>
              <w:t>-</w:t>
            </w:r>
          </w:p>
        </w:tc>
        <w:tc>
          <w:tcPr>
            <w:tcW w:w="1127" w:type="dxa"/>
          </w:tcPr>
          <w:p w:rsidR="00375FB1" w:rsidRDefault="00375FB1" w:rsidP="00852F0A">
            <w:r>
              <w:t>39</w:t>
            </w:r>
          </w:p>
        </w:tc>
        <w:tc>
          <w:tcPr>
            <w:tcW w:w="1127" w:type="dxa"/>
          </w:tcPr>
          <w:p w:rsidR="00375FB1" w:rsidRDefault="00375FB1" w:rsidP="00852F0A">
            <w:r>
              <w:t>55</w:t>
            </w:r>
          </w:p>
        </w:tc>
        <w:tc>
          <w:tcPr>
            <w:tcW w:w="1127" w:type="dxa"/>
          </w:tcPr>
          <w:p w:rsidR="00375FB1" w:rsidRDefault="00375FB1" w:rsidP="00852F0A">
            <w:r>
              <w:t>-</w:t>
            </w:r>
          </w:p>
        </w:tc>
        <w:tc>
          <w:tcPr>
            <w:tcW w:w="1127" w:type="dxa"/>
          </w:tcPr>
          <w:p w:rsidR="00375FB1" w:rsidRDefault="00375FB1" w:rsidP="00852F0A">
            <w:r>
              <w:t>-</w:t>
            </w:r>
          </w:p>
        </w:tc>
      </w:tr>
    </w:tbl>
    <w:p w:rsidR="00375FB1" w:rsidRDefault="00CF66CC" w:rsidP="00375FB1">
      <w:pPr>
        <w:rPr>
          <w:rFonts w:asciiTheme="majorHAnsi" w:eastAsiaTheme="majorEastAsia" w:hAnsiTheme="majorHAnsi" w:cstheme="majorBidi"/>
          <w:b/>
          <w:bCs/>
          <w:color w:val="365F91" w:themeColor="accent1" w:themeShade="BF"/>
          <w:sz w:val="28"/>
          <w:szCs w:val="28"/>
        </w:rPr>
      </w:pPr>
      <w:r>
        <w:rPr>
          <w:b/>
          <w:i/>
          <w:color w:val="000000" w:themeColor="text1"/>
          <w:sz w:val="18"/>
          <w:szCs w:val="18"/>
        </w:rPr>
        <w:t xml:space="preserve">Sources: </w:t>
      </w:r>
      <w:r w:rsidRPr="001E5266">
        <w:rPr>
          <w:color w:val="000000" w:themeColor="text1"/>
          <w:sz w:val="18"/>
          <w:szCs w:val="18"/>
        </w:rPr>
        <w:t>Barnett</w:t>
      </w:r>
      <w:r>
        <w:rPr>
          <w:color w:val="000000" w:themeColor="text1"/>
          <w:sz w:val="18"/>
          <w:szCs w:val="18"/>
        </w:rPr>
        <w:t xml:space="preserve">, W. S., &amp; Masse, L. N. (2007) and </w:t>
      </w:r>
      <w:proofErr w:type="spellStart"/>
      <w:r w:rsidRPr="00C47721">
        <w:rPr>
          <w:sz w:val="18"/>
        </w:rPr>
        <w:t>Schweinhart</w:t>
      </w:r>
      <w:proofErr w:type="spellEnd"/>
      <w:r w:rsidRPr="00C47721">
        <w:rPr>
          <w:sz w:val="18"/>
        </w:rPr>
        <w:t xml:space="preserve">, </w:t>
      </w:r>
      <w:proofErr w:type="spellStart"/>
      <w:r w:rsidRPr="001E5266">
        <w:rPr>
          <w:color w:val="000000" w:themeColor="text1"/>
          <w:sz w:val="18"/>
          <w:szCs w:val="18"/>
        </w:rPr>
        <w:t>L.</w:t>
      </w:r>
      <w:r w:rsidRPr="00AB0A2D">
        <w:rPr>
          <w:sz w:val="18"/>
          <w:szCs w:val="18"/>
        </w:rPr>
        <w:t>Lawrence</w:t>
      </w:r>
      <w:proofErr w:type="spellEnd"/>
      <w:r w:rsidRPr="00C47721">
        <w:rPr>
          <w:sz w:val="18"/>
        </w:rPr>
        <w:t xml:space="preserve"> J</w:t>
      </w:r>
      <w:r w:rsidRPr="00AB0A2D">
        <w:rPr>
          <w:sz w:val="18"/>
          <w:szCs w:val="18"/>
        </w:rPr>
        <w:t xml:space="preserve"> et al, (</w:t>
      </w:r>
      <w:r w:rsidRPr="001E5266">
        <w:rPr>
          <w:sz w:val="18"/>
          <w:szCs w:val="18"/>
        </w:rPr>
        <w:t>200</w:t>
      </w:r>
      <w:r>
        <w:rPr>
          <w:sz w:val="18"/>
          <w:szCs w:val="18"/>
        </w:rPr>
        <w:t>5)</w:t>
      </w:r>
      <w:r w:rsidRPr="00C47721">
        <w:rPr>
          <w:sz w:val="18"/>
        </w:rPr>
        <w:t xml:space="preserve"> and Reynolds, A. </w:t>
      </w:r>
      <w:r w:rsidRPr="001E5266">
        <w:rPr>
          <w:sz w:val="18"/>
          <w:szCs w:val="18"/>
        </w:rPr>
        <w:t>et.al</w:t>
      </w:r>
      <w:r w:rsidRPr="00C47721">
        <w:rPr>
          <w:sz w:val="18"/>
        </w:rPr>
        <w:t xml:space="preserve"> (2011).</w:t>
      </w:r>
      <w:r w:rsidR="00375FB1">
        <w:br w:type="page"/>
      </w:r>
    </w:p>
    <w:p w:rsidR="00375FB1" w:rsidRDefault="0063470E" w:rsidP="00375FB1">
      <w:pPr>
        <w:pStyle w:val="Heading1"/>
      </w:pPr>
      <w:bookmarkStart w:id="21" w:name="_Toc496894472"/>
      <w:bookmarkStart w:id="22" w:name="_Toc373586255"/>
      <w:bookmarkStart w:id="23" w:name="_Toc500850773"/>
      <w:r>
        <w:t xml:space="preserve">3.3 </w:t>
      </w:r>
      <w:r w:rsidR="00375FB1">
        <w:t>The return on investment</w:t>
      </w:r>
      <w:bookmarkEnd w:id="21"/>
      <w:r w:rsidR="00375FB1">
        <w:t xml:space="preserve"> from quality early</w:t>
      </w:r>
      <w:r w:rsidR="00CF1B4F">
        <w:t xml:space="preserve"> childhood</w:t>
      </w:r>
      <w:r w:rsidR="00375FB1">
        <w:t xml:space="preserve"> education</w:t>
      </w:r>
      <w:bookmarkEnd w:id="22"/>
      <w:bookmarkEnd w:id="23"/>
    </w:p>
    <w:p w:rsidR="00375FB1" w:rsidRDefault="00375FB1" w:rsidP="00375FB1"/>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75FB1" w:rsidTr="00852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rsidR="00375FB1" w:rsidRPr="00367B88" w:rsidRDefault="00375FB1" w:rsidP="00852F0A">
            <w:pPr>
              <w:spacing w:before="120" w:after="120" w:line="259" w:lineRule="auto"/>
              <w:rPr>
                <w:rFonts w:ascii="Calibri" w:eastAsia="Calibri" w:hAnsi="Calibri" w:cs="Calibri"/>
                <w:b w:val="0"/>
                <w:i/>
              </w:rPr>
            </w:pPr>
            <w:r w:rsidRPr="00367B88">
              <w:rPr>
                <w:rFonts w:ascii="Calibri" w:eastAsia="Calibri" w:hAnsi="Calibri" w:cs="Calibri"/>
                <w:b w:val="0"/>
                <w:i/>
              </w:rPr>
              <w:t xml:space="preserve">Quality early childhood education is a sound </w:t>
            </w:r>
            <w:r w:rsidR="00773042" w:rsidRPr="00AD6FB3">
              <w:rPr>
                <w:rFonts w:ascii="Calibri" w:eastAsia="Calibri" w:hAnsi="Calibri" w:cs="Calibri"/>
                <w:b w:val="0"/>
                <w:i/>
              </w:rPr>
              <w:t>long-</w:t>
            </w:r>
            <w:r w:rsidR="00C50FF3">
              <w:rPr>
                <w:rFonts w:ascii="Calibri" w:eastAsia="Calibri" w:hAnsi="Calibri" w:cs="Calibri"/>
                <w:b w:val="0"/>
                <w:i/>
              </w:rPr>
              <w:t>term investmen</w:t>
            </w:r>
            <w:r w:rsidR="00CF1B4F">
              <w:rPr>
                <w:rFonts w:ascii="Calibri" w:eastAsia="Calibri" w:hAnsi="Calibri" w:cs="Calibri"/>
                <w:b w:val="0"/>
                <w:i/>
              </w:rPr>
              <w:t>t</w:t>
            </w:r>
          </w:p>
          <w:p w:rsidR="00375FB1" w:rsidRPr="00230392" w:rsidRDefault="00375FB1" w:rsidP="00852F0A">
            <w:pPr>
              <w:spacing w:after="120" w:line="259" w:lineRule="auto"/>
              <w:rPr>
                <w:rFonts w:ascii="Calibri" w:eastAsia="Calibri" w:hAnsi="Calibri" w:cs="Calibri"/>
                <w:b w:val="0"/>
                <w:bCs w:val="0"/>
                <w:i/>
              </w:rPr>
            </w:pPr>
            <w:r w:rsidRPr="00A516DA">
              <w:rPr>
                <w:rFonts w:ascii="Calibri" w:hAnsi="Calibri"/>
                <w:i/>
                <w:lang w:val="en-US"/>
              </w:rPr>
              <w:t>Decades of international research ha</w:t>
            </w:r>
            <w:r w:rsidR="00CF1B4F">
              <w:rPr>
                <w:rFonts w:ascii="Calibri" w:hAnsi="Calibri"/>
                <w:i/>
                <w:lang w:val="en-US"/>
              </w:rPr>
              <w:t>s</w:t>
            </w:r>
            <w:r w:rsidRPr="00A516DA">
              <w:rPr>
                <w:rFonts w:ascii="Calibri" w:hAnsi="Calibri"/>
                <w:i/>
                <w:lang w:val="en-US"/>
              </w:rPr>
              <w:t xml:space="preserve"> demonstrated the power of quality early childhood education to improve a child’s cognitive and social abilities, with substantial economic and social benefits. </w:t>
            </w:r>
            <w:r w:rsidRPr="00230392">
              <w:rPr>
                <w:rFonts w:ascii="Calibri" w:eastAsia="Calibri" w:hAnsi="Calibri" w:cs="Calibri"/>
                <w:i/>
              </w:rPr>
              <w:t>Nobel prize-winning economist James Heckman argues that the economic return on investment in the early years is higher than the return on investment at any other time during childhood .</w:t>
            </w:r>
            <w:r w:rsidRPr="00230392">
              <w:rPr>
                <w:rStyle w:val="EndnoteReference"/>
                <w:rFonts w:ascii="Calibri" w:eastAsia="Calibri" w:hAnsi="Calibri" w:cs="Calibri"/>
                <w:i/>
              </w:rPr>
              <w:endnoteReference w:id="158"/>
            </w:r>
            <w:r w:rsidRPr="00230392">
              <w:rPr>
                <w:rFonts w:ascii="Calibri" w:eastAsia="Calibri" w:hAnsi="Calibri" w:cs="Calibri"/>
                <w:i/>
              </w:rPr>
              <w:t xml:space="preserve"> </w:t>
            </w:r>
          </w:p>
          <w:p w:rsidR="00375FB1" w:rsidRPr="00230392" w:rsidRDefault="00A342D3" w:rsidP="00852F0A">
            <w:pPr>
              <w:spacing w:after="120" w:line="259" w:lineRule="auto"/>
              <w:rPr>
                <w:rFonts w:ascii="Calibri" w:eastAsia="Calibri" w:hAnsi="Calibri" w:cs="Calibri"/>
                <w:b w:val="0"/>
                <w:bCs w:val="0"/>
                <w:i/>
              </w:rPr>
            </w:pPr>
            <w:r w:rsidRPr="00A516DA">
              <w:rPr>
                <w:rFonts w:ascii="Calibri" w:eastAsiaTheme="minorHAnsi" w:hAnsi="Calibri"/>
                <w:i/>
              </w:rPr>
              <w:t>Although</w:t>
            </w:r>
            <w:r w:rsidR="00375FB1" w:rsidRPr="00A516DA">
              <w:rPr>
                <w:rFonts w:ascii="Calibri" w:hAnsi="Calibri"/>
                <w:i/>
                <w:lang w:val="en-US"/>
              </w:rPr>
              <w:t xml:space="preserve"> </w:t>
            </w:r>
            <w:r w:rsidR="00C50FF3" w:rsidRPr="00A516DA">
              <w:rPr>
                <w:rFonts w:ascii="Calibri" w:eastAsiaTheme="minorHAnsi" w:hAnsi="Calibri"/>
                <w:i/>
              </w:rPr>
              <w:t>calculations of costs and benefits vary,</w:t>
            </w:r>
            <w:r w:rsidR="00375FB1" w:rsidRPr="00A516DA">
              <w:rPr>
                <w:rFonts w:ascii="Calibri" w:hAnsi="Calibri"/>
                <w:i/>
                <w:lang w:val="en-US"/>
              </w:rPr>
              <w:t xml:space="preserve"> economic analyses </w:t>
            </w:r>
            <w:r w:rsidR="00C50FF3" w:rsidRPr="00A516DA">
              <w:rPr>
                <w:rFonts w:ascii="Calibri" w:eastAsiaTheme="minorHAnsi" w:hAnsi="Calibri"/>
                <w:i/>
              </w:rPr>
              <w:t xml:space="preserve">consistently </w:t>
            </w:r>
            <w:r w:rsidR="00375FB1" w:rsidRPr="00A516DA">
              <w:rPr>
                <w:rFonts w:ascii="Calibri" w:hAnsi="Calibri"/>
                <w:i/>
                <w:lang w:val="en-US"/>
              </w:rPr>
              <w:t>highlight</w:t>
            </w:r>
            <w:r w:rsidR="00375FB1" w:rsidRPr="00230392">
              <w:rPr>
                <w:rFonts w:ascii="Calibri" w:eastAsia="Calibri" w:hAnsi="Calibri" w:cs="Calibri"/>
                <w:i/>
              </w:rPr>
              <w:t xml:space="preserve"> that investment in early learning has significant net benefits that accrue to the individual, society and governments. These returns span multiple domains, including productivity gains, health benefits and reduced costs associated with crime. </w:t>
            </w:r>
            <w:r w:rsidRPr="00230392">
              <w:rPr>
                <w:rFonts w:ascii="Calibri" w:eastAsia="Calibri" w:hAnsi="Calibri" w:cs="Calibri"/>
                <w:i/>
              </w:rPr>
              <w:t>Some</w:t>
            </w:r>
            <w:r w:rsidR="00375FB1" w:rsidRPr="00230392">
              <w:rPr>
                <w:rFonts w:ascii="Calibri" w:eastAsia="Calibri" w:hAnsi="Calibri" w:cs="Calibri"/>
                <w:i/>
              </w:rPr>
              <w:t xml:space="preserve"> of these benefits only become apparent as children enter adolescence and adulthood, but the benefits are significant—and they persist and grow in successive generations.</w:t>
            </w:r>
            <w:r w:rsidR="00375FB1" w:rsidRPr="00230392">
              <w:rPr>
                <w:rStyle w:val="EndnoteReference"/>
                <w:rFonts w:ascii="Calibri" w:eastAsia="Calibri" w:hAnsi="Calibri" w:cs="Calibri"/>
                <w:i/>
              </w:rPr>
              <w:endnoteReference w:id="159"/>
            </w:r>
            <w:r w:rsidR="00651A18" w:rsidRPr="00230392">
              <w:rPr>
                <w:rFonts w:ascii="Calibri" w:eastAsia="Calibri" w:hAnsi="Calibri" w:cs="Calibri"/>
                <w:i/>
              </w:rPr>
              <w:t xml:space="preserve"> In an Australian context, fiscal benefits flow to both Commonwealth and </w:t>
            </w:r>
            <w:r w:rsidR="001752FD" w:rsidRPr="00230392">
              <w:rPr>
                <w:rFonts w:ascii="Calibri" w:eastAsia="Calibri" w:hAnsi="Calibri" w:cs="Calibri"/>
                <w:i/>
              </w:rPr>
              <w:t>s</w:t>
            </w:r>
            <w:r w:rsidR="00651A18" w:rsidRPr="00230392">
              <w:rPr>
                <w:rFonts w:ascii="Calibri" w:eastAsia="Calibri" w:hAnsi="Calibri" w:cs="Calibri"/>
                <w:i/>
              </w:rPr>
              <w:t xml:space="preserve">tate and </w:t>
            </w:r>
            <w:r w:rsidR="001752FD" w:rsidRPr="00230392">
              <w:rPr>
                <w:rFonts w:ascii="Calibri" w:eastAsia="Calibri" w:hAnsi="Calibri" w:cs="Calibri"/>
                <w:i/>
              </w:rPr>
              <w:t>t</w:t>
            </w:r>
            <w:r w:rsidR="00651A18" w:rsidRPr="00230392">
              <w:rPr>
                <w:rFonts w:ascii="Calibri" w:eastAsia="Calibri" w:hAnsi="Calibri" w:cs="Calibri"/>
                <w:i/>
              </w:rPr>
              <w:t xml:space="preserve">erritory </w:t>
            </w:r>
            <w:r w:rsidR="00773042" w:rsidRPr="00230392">
              <w:rPr>
                <w:rFonts w:ascii="Calibri" w:eastAsia="Calibri" w:hAnsi="Calibri" w:cs="Calibri"/>
                <w:i/>
              </w:rPr>
              <w:t>g</w:t>
            </w:r>
            <w:r w:rsidR="00651A18" w:rsidRPr="00230392">
              <w:rPr>
                <w:rFonts w:ascii="Calibri" w:eastAsia="Calibri" w:hAnsi="Calibri" w:cs="Calibri"/>
                <w:i/>
              </w:rPr>
              <w:t>overnments</w:t>
            </w:r>
            <w:r w:rsidR="00773042" w:rsidRPr="00230392">
              <w:rPr>
                <w:rFonts w:ascii="Calibri" w:eastAsia="Calibri" w:hAnsi="Calibri" w:cs="Calibri"/>
                <w:i/>
              </w:rPr>
              <w:t>.</w:t>
            </w:r>
          </w:p>
          <w:p w:rsidR="00375FB1" w:rsidRPr="00230392" w:rsidRDefault="00375FB1" w:rsidP="00852F0A">
            <w:pPr>
              <w:spacing w:after="120" w:line="259" w:lineRule="auto"/>
              <w:rPr>
                <w:rFonts w:ascii="Calibri" w:eastAsia="Calibri" w:hAnsi="Calibri" w:cs="Calibri"/>
                <w:b w:val="0"/>
                <w:bCs w:val="0"/>
                <w:i/>
              </w:rPr>
            </w:pPr>
            <w:r w:rsidRPr="00230392">
              <w:rPr>
                <w:rFonts w:ascii="Calibri" w:eastAsia="Calibri" w:hAnsi="Calibri" w:cs="Calibri"/>
                <w:i/>
              </w:rPr>
              <w:t>Estimates of the benefit-cost ratio (BCR) of such investment are as high as 17</w:t>
            </w:r>
            <w:r w:rsidR="00773042" w:rsidRPr="00230392">
              <w:rPr>
                <w:rFonts w:ascii="Calibri" w:eastAsia="Calibri" w:hAnsi="Calibri" w:cs="Calibri"/>
                <w:i/>
              </w:rPr>
              <w:t xml:space="preserve"> </w:t>
            </w:r>
            <w:r w:rsidR="00664C2C" w:rsidRPr="00230392">
              <w:rPr>
                <w:rFonts w:ascii="Calibri" w:eastAsia="Calibri" w:hAnsi="Calibri" w:cs="Calibri"/>
                <w:i/>
              </w:rPr>
              <w:t>dollar</w:t>
            </w:r>
            <w:r w:rsidR="00773042" w:rsidRPr="00230392">
              <w:rPr>
                <w:rFonts w:ascii="Calibri" w:eastAsia="Calibri" w:hAnsi="Calibri" w:cs="Calibri"/>
                <w:i/>
              </w:rPr>
              <w:t>s</w:t>
            </w:r>
            <w:r w:rsidRPr="00230392">
              <w:rPr>
                <w:rFonts w:ascii="Calibri" w:eastAsia="Calibri" w:hAnsi="Calibri" w:cs="Calibri"/>
                <w:i/>
              </w:rPr>
              <w:t xml:space="preserve"> for</w:t>
            </w:r>
            <w:r w:rsidR="00133338" w:rsidRPr="00230392">
              <w:rPr>
                <w:rFonts w:ascii="Calibri" w:eastAsia="Calibri" w:hAnsi="Calibri" w:cs="Calibri"/>
                <w:i/>
              </w:rPr>
              <w:t xml:space="preserve"> each dollar initi</w:t>
            </w:r>
            <w:r w:rsidR="008C25A2" w:rsidRPr="00230392">
              <w:rPr>
                <w:rFonts w:ascii="Calibri" w:eastAsia="Calibri" w:hAnsi="Calibri" w:cs="Calibri"/>
                <w:i/>
              </w:rPr>
              <w:t>ally spent based on analys</w:t>
            </w:r>
            <w:r w:rsidR="00EC55AF">
              <w:rPr>
                <w:rFonts w:ascii="Calibri" w:eastAsia="Calibri" w:hAnsi="Calibri" w:cs="Calibri"/>
                <w:i/>
              </w:rPr>
              <w:t>i</w:t>
            </w:r>
            <w:r w:rsidR="008C25A2" w:rsidRPr="00230392">
              <w:rPr>
                <w:rFonts w:ascii="Calibri" w:eastAsia="Calibri" w:hAnsi="Calibri" w:cs="Calibri"/>
                <w:i/>
              </w:rPr>
              <w:t>s of</w:t>
            </w:r>
            <w:r w:rsidRPr="00230392">
              <w:rPr>
                <w:rFonts w:ascii="Calibri" w:eastAsia="Calibri" w:hAnsi="Calibri" w:cs="Calibri"/>
                <w:i/>
              </w:rPr>
              <w:t xml:space="preserve"> the landmark Perry Preschool Program targeted at highly disadvantaged children</w:t>
            </w:r>
            <w:r w:rsidR="00133338" w:rsidRPr="00230392">
              <w:rPr>
                <w:rFonts w:ascii="Calibri" w:eastAsia="Calibri" w:hAnsi="Calibri" w:cs="Calibri"/>
                <w:i/>
              </w:rPr>
              <w:t>. M</w:t>
            </w:r>
            <w:r w:rsidRPr="00230392">
              <w:rPr>
                <w:rFonts w:ascii="Calibri" w:eastAsia="Calibri" w:hAnsi="Calibri" w:cs="Calibri"/>
                <w:i/>
              </w:rPr>
              <w:t xml:space="preserve">ore modest estimates </w:t>
            </w:r>
            <w:r w:rsidR="00133338" w:rsidRPr="00230392">
              <w:rPr>
                <w:rFonts w:ascii="Calibri" w:eastAsia="Calibri" w:hAnsi="Calibri" w:cs="Calibri"/>
                <w:i/>
              </w:rPr>
              <w:t xml:space="preserve">place this ratio as </w:t>
            </w:r>
            <w:r w:rsidRPr="00230392">
              <w:rPr>
                <w:rFonts w:ascii="Calibri" w:eastAsia="Calibri" w:hAnsi="Calibri" w:cs="Calibri"/>
                <w:i/>
              </w:rPr>
              <w:t xml:space="preserve">2-4 </w:t>
            </w:r>
            <w:r w:rsidR="00133338" w:rsidRPr="00230392">
              <w:rPr>
                <w:rFonts w:ascii="Calibri" w:eastAsia="Calibri" w:hAnsi="Calibri" w:cs="Calibri"/>
                <w:i/>
              </w:rPr>
              <w:t xml:space="preserve">dollars </w:t>
            </w:r>
            <w:r w:rsidRPr="00230392">
              <w:rPr>
                <w:rFonts w:ascii="Calibri" w:eastAsia="Calibri" w:hAnsi="Calibri" w:cs="Calibri"/>
                <w:i/>
              </w:rPr>
              <w:t xml:space="preserve">for every dollar invested in universal preschool – </w:t>
            </w:r>
            <w:r w:rsidR="00133338" w:rsidRPr="00230392">
              <w:rPr>
                <w:rFonts w:ascii="Calibri" w:eastAsia="Calibri" w:hAnsi="Calibri" w:cs="Calibri"/>
                <w:i/>
              </w:rPr>
              <w:t xml:space="preserve">a ratio </w:t>
            </w:r>
            <w:r w:rsidRPr="00230392">
              <w:rPr>
                <w:rFonts w:ascii="Calibri" w:eastAsia="Calibri" w:hAnsi="Calibri" w:cs="Calibri"/>
                <w:i/>
              </w:rPr>
              <w:t>considered to be more realistic in the c</w:t>
            </w:r>
            <w:r w:rsidR="00133338" w:rsidRPr="00230392">
              <w:rPr>
                <w:rFonts w:ascii="Calibri" w:eastAsia="Calibri" w:hAnsi="Calibri" w:cs="Calibri"/>
                <w:i/>
              </w:rPr>
              <w:t>ontemporary</w:t>
            </w:r>
            <w:r w:rsidRPr="00230392">
              <w:rPr>
                <w:rFonts w:ascii="Calibri" w:eastAsia="Calibri" w:hAnsi="Calibri" w:cs="Calibri"/>
                <w:i/>
              </w:rPr>
              <w:t xml:space="preserve"> context. Returns in this lower range still provide ample justification for public investment.</w:t>
            </w:r>
          </w:p>
          <w:p w:rsidR="00651A18" w:rsidRPr="00A516DA" w:rsidRDefault="00375FB1" w:rsidP="00A342D3">
            <w:pPr>
              <w:spacing w:after="120" w:line="259" w:lineRule="auto"/>
              <w:rPr>
                <w:rFonts w:ascii="Calibri" w:hAnsi="Calibri"/>
                <w:b w:val="0"/>
                <w:i/>
              </w:rPr>
            </w:pPr>
            <w:r w:rsidRPr="00A516DA">
              <w:rPr>
                <w:i/>
                <w:lang w:val="en-US"/>
              </w:rPr>
              <w:t>While per-child economic returns are likely to be higher for disadvantaged children, the greatest benefits to society are achieved through universal access</w:t>
            </w:r>
            <w:r w:rsidR="00A342D3" w:rsidRPr="00A516DA">
              <w:rPr>
                <w:i/>
              </w:rPr>
              <w:t xml:space="preserve">, where </w:t>
            </w:r>
            <w:r w:rsidRPr="00A516DA">
              <w:rPr>
                <w:i/>
                <w:lang w:val="en-US"/>
              </w:rPr>
              <w:t xml:space="preserve">all children </w:t>
            </w:r>
            <w:r w:rsidRPr="00A516DA">
              <w:rPr>
                <w:rFonts w:ascii="Calibri" w:hAnsi="Calibri"/>
                <w:i/>
                <w:lang w:val="en-US"/>
              </w:rPr>
              <w:t>benefit from high quality early childhood education.</w:t>
            </w:r>
            <w:r w:rsidRPr="00A516DA">
              <w:rPr>
                <w:rStyle w:val="EndnoteReference"/>
                <w:rFonts w:ascii="Calibri" w:hAnsi="Calibri"/>
                <w:i/>
                <w:lang w:val="en-US"/>
              </w:rPr>
              <w:endnoteReference w:id="160"/>
            </w:r>
          </w:p>
        </w:tc>
      </w:tr>
    </w:tbl>
    <w:p w:rsidR="00375FB1" w:rsidRPr="00A516DA" w:rsidRDefault="00BB1920" w:rsidP="00375FB1">
      <w:pPr>
        <w:spacing w:before="240" w:after="120"/>
        <w:rPr>
          <w:rFonts w:ascii="Calibri" w:eastAsia="Calibri" w:hAnsi="Calibri" w:cs="Calibri"/>
          <w:b/>
          <w:iCs/>
        </w:rPr>
      </w:pPr>
      <w:r w:rsidRPr="00A516DA">
        <w:rPr>
          <w:rFonts w:ascii="Calibri" w:eastAsia="Calibri" w:hAnsi="Calibri" w:cs="Calibri"/>
          <w:b/>
          <w:iCs/>
        </w:rPr>
        <w:t>Chart 10</w:t>
      </w:r>
      <w:r w:rsidR="006C08F1" w:rsidRPr="006C08F1">
        <w:rPr>
          <w:rFonts w:ascii="Calibri" w:eastAsia="Calibri" w:hAnsi="Calibri" w:cs="Calibri"/>
          <w:b/>
          <w:iCs/>
        </w:rPr>
        <w:t>:</w:t>
      </w:r>
      <w:r w:rsidR="00375FB1" w:rsidRPr="00A516DA">
        <w:rPr>
          <w:rFonts w:ascii="Calibri" w:eastAsia="Calibri" w:hAnsi="Calibri" w:cs="Calibri"/>
          <w:b/>
          <w:iCs/>
        </w:rPr>
        <w:t xml:space="preserve"> </w:t>
      </w:r>
      <w:r w:rsidR="00A342D3" w:rsidRPr="00A516DA">
        <w:rPr>
          <w:rFonts w:ascii="Calibri" w:eastAsia="Calibri" w:hAnsi="Calibri" w:cs="Calibri"/>
          <w:b/>
          <w:iCs/>
        </w:rPr>
        <w:t>Heckman equation</w:t>
      </w:r>
    </w:p>
    <w:p w:rsidR="00375FB1" w:rsidRDefault="00375FB1" w:rsidP="00375FB1">
      <w:pPr>
        <w:spacing w:after="120"/>
        <w:rPr>
          <w:rFonts w:ascii="Calibri" w:eastAsia="Calibri" w:hAnsi="Calibri" w:cs="Calibri"/>
        </w:rPr>
      </w:pPr>
      <w:r w:rsidRPr="7BEE9B88">
        <w:rPr>
          <w:rFonts w:ascii="Calibri" w:eastAsia="Calibri" w:hAnsi="Calibri" w:cs="Calibri"/>
        </w:rPr>
        <w:t xml:space="preserve"> </w:t>
      </w:r>
      <w:r w:rsidR="00915950">
        <w:rPr>
          <w:noProof/>
          <w:lang w:eastAsia="en-AU"/>
        </w:rPr>
        <w:drawing>
          <wp:inline distT="0" distB="0" distL="0" distR="0" wp14:anchorId="39704511" wp14:editId="2316621D">
            <wp:extent cx="3420707" cy="1974501"/>
            <wp:effectExtent l="0" t="0" r="8890" b="6985"/>
            <wp:docPr id="1151154419" name="Picture 115115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23277" cy="1975984"/>
                    </a:xfrm>
                    <a:prstGeom prst="rect">
                      <a:avLst/>
                    </a:prstGeom>
                  </pic:spPr>
                </pic:pic>
              </a:graphicData>
            </a:graphic>
          </wp:inline>
        </w:drawing>
      </w:r>
    </w:p>
    <w:p w:rsidR="006C08F1" w:rsidRPr="00A516DA" w:rsidRDefault="006C08F1" w:rsidP="00375FB1">
      <w:pPr>
        <w:spacing w:after="120"/>
        <w:rPr>
          <w:rFonts w:ascii="Calibri" w:eastAsia="Calibri" w:hAnsi="Calibri" w:cs="Calibri"/>
          <w:sz w:val="16"/>
        </w:rPr>
      </w:pPr>
      <w:r w:rsidRPr="00A516DA">
        <w:rPr>
          <w:rFonts w:ascii="Calibri" w:eastAsia="Calibri" w:hAnsi="Calibri" w:cs="Calibri"/>
          <w:b/>
          <w:i/>
          <w:sz w:val="16"/>
        </w:rPr>
        <w:t xml:space="preserve">Source: </w:t>
      </w:r>
      <w:r w:rsidR="00122597">
        <w:rPr>
          <w:rFonts w:ascii="Calibri" w:eastAsia="Calibri" w:hAnsi="Calibri" w:cs="Calibri"/>
          <w:sz w:val="16"/>
        </w:rPr>
        <w:t>Heckman (2006)</w:t>
      </w:r>
      <w:r w:rsidR="00D82F5D">
        <w:rPr>
          <w:rFonts w:ascii="Calibri" w:eastAsia="Calibri" w:hAnsi="Calibri" w:cs="Calibri"/>
          <w:sz w:val="16"/>
        </w:rPr>
        <w:t xml:space="preserve"> </w:t>
      </w:r>
    </w:p>
    <w:p w:rsidR="00375FB1" w:rsidRPr="00A516DA" w:rsidRDefault="00375FB1" w:rsidP="00375FB1">
      <w:pPr>
        <w:spacing w:after="120"/>
        <w:rPr>
          <w:rFonts w:ascii="Calibri" w:hAnsi="Calibri"/>
          <w:b/>
        </w:rPr>
      </w:pPr>
      <w:r w:rsidRPr="00A516DA">
        <w:rPr>
          <w:rFonts w:ascii="Calibri" w:hAnsi="Calibri"/>
          <w:b/>
          <w:lang w:val="en-US"/>
        </w:rPr>
        <w:t>Review of the cost-benefit literature</w:t>
      </w:r>
    </w:p>
    <w:p w:rsidR="00375FB1" w:rsidRDefault="00957B71" w:rsidP="00375FB1">
      <w:pPr>
        <w:rPr>
          <w:rFonts w:ascii="Calibri" w:hAnsi="Calibri"/>
        </w:rPr>
      </w:pPr>
      <w:r w:rsidRPr="00A516DA">
        <w:rPr>
          <w:rFonts w:ascii="Calibri" w:hAnsi="Calibri"/>
        </w:rPr>
        <w:t xml:space="preserve">There is considerable and consistent evidence that </w:t>
      </w:r>
      <w:r w:rsidR="00375FB1" w:rsidRPr="00A516DA">
        <w:rPr>
          <w:rFonts w:ascii="Calibri" w:hAnsi="Calibri"/>
        </w:rPr>
        <w:t>that investment in quality early childhood education has a strong return on investment</w:t>
      </w:r>
      <w:r w:rsidR="001C3893" w:rsidRPr="00A516DA">
        <w:rPr>
          <w:rFonts w:ascii="Calibri" w:hAnsi="Calibri"/>
        </w:rPr>
        <w:t>.</w:t>
      </w:r>
      <w:r w:rsidR="00375FB1" w:rsidRPr="00A516DA">
        <w:rPr>
          <w:rFonts w:ascii="Calibri" w:hAnsi="Calibri"/>
        </w:rPr>
        <w:t xml:space="preserve"> </w:t>
      </w:r>
      <w:r w:rsidR="00375FB1" w:rsidRPr="00A516DA">
        <w:rPr>
          <w:rFonts w:ascii="Calibri" w:hAnsi="Calibri"/>
          <w:lang w:val="en-US"/>
        </w:rPr>
        <w:t xml:space="preserve">Table </w:t>
      </w:r>
      <w:r w:rsidR="00CF66CC">
        <w:rPr>
          <w:rFonts w:ascii="Calibri" w:hAnsi="Calibri"/>
          <w:lang w:val="en-US"/>
        </w:rPr>
        <w:t>8</w:t>
      </w:r>
      <w:r w:rsidR="00375FB1" w:rsidRPr="00A516DA">
        <w:rPr>
          <w:rFonts w:ascii="Calibri" w:hAnsi="Calibri"/>
          <w:lang w:val="en-US"/>
        </w:rPr>
        <w:t xml:space="preserve"> </w:t>
      </w:r>
      <w:r w:rsidR="00375FB1" w:rsidRPr="00A516DA">
        <w:rPr>
          <w:rFonts w:ascii="Calibri" w:hAnsi="Calibri"/>
        </w:rPr>
        <w:t>summarises some</w:t>
      </w:r>
      <w:r w:rsidR="00375FB1" w:rsidRPr="00A516DA">
        <w:rPr>
          <w:rFonts w:ascii="Calibri" w:hAnsi="Calibri"/>
          <w:lang w:val="en-US"/>
        </w:rPr>
        <w:t xml:space="preserve"> of the </w:t>
      </w:r>
      <w:r w:rsidR="00773042" w:rsidRPr="00A516DA">
        <w:rPr>
          <w:rFonts w:ascii="Calibri" w:eastAsia="Calibri" w:hAnsi="Calibri" w:cs="Calibri"/>
        </w:rPr>
        <w:t>best</w:t>
      </w:r>
      <w:r w:rsidR="00375FB1" w:rsidRPr="00A516DA">
        <w:rPr>
          <w:rFonts w:ascii="Calibri" w:hAnsi="Calibri"/>
          <w:lang w:val="en-US"/>
        </w:rPr>
        <w:t>-known cost-benefit analyses of earl</w:t>
      </w:r>
      <w:proofErr w:type="spellStart"/>
      <w:r w:rsidR="00375FB1" w:rsidRPr="00A516DA">
        <w:rPr>
          <w:rFonts w:ascii="Calibri" w:hAnsi="Calibri"/>
        </w:rPr>
        <w:t>y</w:t>
      </w:r>
      <w:proofErr w:type="spellEnd"/>
      <w:r w:rsidR="00375FB1" w:rsidRPr="00A516DA">
        <w:rPr>
          <w:rFonts w:ascii="Calibri" w:hAnsi="Calibri"/>
        </w:rPr>
        <w:t xml:space="preserve"> childhood education programs, showing returns that range from 2.62 to 17.07.</w:t>
      </w:r>
    </w:p>
    <w:p w:rsidR="00915950" w:rsidRDefault="00915950" w:rsidP="00375FB1">
      <w:pPr>
        <w:rPr>
          <w:rFonts w:ascii="Calibri" w:hAnsi="Calibri"/>
        </w:rPr>
      </w:pPr>
    </w:p>
    <w:p w:rsidR="00915950" w:rsidRDefault="00915950" w:rsidP="00375FB1">
      <w:pPr>
        <w:rPr>
          <w:rFonts w:ascii="Calibri" w:hAnsi="Calibri"/>
        </w:rPr>
      </w:pPr>
    </w:p>
    <w:p w:rsidR="00915950" w:rsidRPr="00A516DA" w:rsidRDefault="00915950" w:rsidP="00375FB1">
      <w:pPr>
        <w:rPr>
          <w:rFonts w:ascii="Calibri" w:hAnsi="Calibri"/>
        </w:rPr>
      </w:pPr>
    </w:p>
    <w:p w:rsidR="00375FB1" w:rsidRPr="00A516DA" w:rsidRDefault="00375FB1" w:rsidP="00375FB1">
      <w:pPr>
        <w:spacing w:before="240" w:after="120" w:line="264" w:lineRule="auto"/>
        <w:rPr>
          <w:rFonts w:ascii="Calibri" w:eastAsia="Calibri" w:hAnsi="Calibri" w:cs="Calibri"/>
          <w:b/>
          <w:iCs/>
        </w:rPr>
      </w:pPr>
      <w:r w:rsidRPr="00A516DA">
        <w:rPr>
          <w:rFonts w:ascii="Calibri" w:eastAsia="Calibri" w:hAnsi="Calibri" w:cs="Calibri"/>
          <w:b/>
          <w:iCs/>
        </w:rPr>
        <w:t xml:space="preserve">Table </w:t>
      </w:r>
      <w:r w:rsidR="00CF66CC" w:rsidRPr="00A516DA">
        <w:rPr>
          <w:rFonts w:ascii="Calibri" w:eastAsia="Calibri" w:hAnsi="Calibri" w:cs="Calibri"/>
          <w:b/>
          <w:iCs/>
        </w:rPr>
        <w:t>8:</w:t>
      </w:r>
      <w:r w:rsidRPr="00A516DA">
        <w:rPr>
          <w:rFonts w:ascii="Calibri" w:eastAsia="Calibri" w:hAnsi="Calibri" w:cs="Calibri"/>
          <w:b/>
          <w:iCs/>
        </w:rPr>
        <w:t xml:space="preserve"> Early childhood education cost-benefit analysis results</w:t>
      </w:r>
    </w:p>
    <w:tbl>
      <w:tblPr>
        <w:tblStyle w:val="GridTable1LightAccent1"/>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2410"/>
        <w:gridCol w:w="1680"/>
      </w:tblGrid>
      <w:tr w:rsidR="00375FB1" w:rsidRPr="00CC50C3" w:rsidTr="00852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shd w:val="clear" w:color="auto" w:fill="D9D9D9" w:themeFill="background1" w:themeFillShade="D9"/>
            <w:vAlign w:val="center"/>
          </w:tcPr>
          <w:p w:rsidR="00375FB1" w:rsidRPr="00CC50C3" w:rsidRDefault="00375FB1" w:rsidP="00852F0A">
            <w:pPr>
              <w:spacing w:before="60" w:after="60"/>
              <w:jc w:val="center"/>
              <w:rPr>
                <w:rFonts w:eastAsia="Calibri"/>
                <w:sz w:val="21"/>
                <w:szCs w:val="21"/>
              </w:rPr>
            </w:pPr>
            <w:r w:rsidRPr="00CC50C3">
              <w:rPr>
                <w:rFonts w:eastAsia="Calibri"/>
                <w:sz w:val="21"/>
                <w:szCs w:val="21"/>
              </w:rPr>
              <w:t>Program (follow-up age)</w:t>
            </w:r>
          </w:p>
        </w:tc>
        <w:tc>
          <w:tcPr>
            <w:tcW w:w="1559" w:type="dxa"/>
            <w:tcBorders>
              <w:bottom w:val="none" w:sz="0" w:space="0" w:color="auto"/>
            </w:tcBorders>
            <w:shd w:val="clear" w:color="auto" w:fill="D9D9D9" w:themeFill="background1" w:themeFillShade="D9"/>
            <w:vAlign w:val="center"/>
          </w:tcPr>
          <w:p w:rsidR="00375FB1" w:rsidRPr="00CC50C3" w:rsidRDefault="00375FB1" w:rsidP="00852F0A">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Location</w:t>
            </w:r>
          </w:p>
        </w:tc>
        <w:tc>
          <w:tcPr>
            <w:tcW w:w="2410" w:type="dxa"/>
            <w:tcBorders>
              <w:bottom w:val="none" w:sz="0" w:space="0" w:color="auto"/>
            </w:tcBorders>
            <w:shd w:val="clear" w:color="auto" w:fill="D9D9D9" w:themeFill="background1" w:themeFillShade="D9"/>
            <w:vAlign w:val="center"/>
          </w:tcPr>
          <w:p w:rsidR="00375FB1" w:rsidRPr="00CC50C3" w:rsidRDefault="00375FB1" w:rsidP="00852F0A">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Cohort</w:t>
            </w:r>
          </w:p>
        </w:tc>
        <w:tc>
          <w:tcPr>
            <w:tcW w:w="1680" w:type="dxa"/>
            <w:tcBorders>
              <w:bottom w:val="none" w:sz="0" w:space="0" w:color="auto"/>
            </w:tcBorders>
            <w:shd w:val="clear" w:color="auto" w:fill="D9D9D9" w:themeFill="background1" w:themeFillShade="D9"/>
            <w:vAlign w:val="center"/>
          </w:tcPr>
          <w:p w:rsidR="00436BAF" w:rsidRPr="00CC50C3" w:rsidRDefault="00375FB1" w:rsidP="00957B71">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Benefit-Cost Ratio(</w:t>
            </w:r>
            <w:r w:rsidRPr="00CC50C3">
              <w:rPr>
                <w:rFonts w:eastAsia="Calibri"/>
                <w:sz w:val="21"/>
                <w:szCs w:val="21"/>
              </w:rPr>
              <w:t>s</w:t>
            </w:r>
            <w:r>
              <w:rPr>
                <w:rFonts w:eastAsia="Calibri"/>
                <w:sz w:val="21"/>
                <w:szCs w:val="21"/>
              </w:rPr>
              <w:t>)</w:t>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Perry Preschool (aged 40)</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Michigan (US)</w:t>
            </w:r>
          </w:p>
        </w:tc>
        <w:tc>
          <w:tcPr>
            <w:tcW w:w="2410" w:type="dxa"/>
          </w:tcPr>
          <w:p w:rsidR="00375FB1" w:rsidRPr="00CC50C3" w:rsidRDefault="00957B7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Targeted</w:t>
            </w:r>
          </w:p>
        </w:tc>
        <w:tc>
          <w:tcPr>
            <w:tcW w:w="1680" w:type="dxa"/>
          </w:tcPr>
          <w:p w:rsidR="00375FB1" w:rsidRPr="00957B71" w:rsidRDefault="00957B71" w:rsidP="00FE14F5">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7.1-</w:t>
            </w:r>
            <w:r w:rsidR="00375FB1" w:rsidRPr="00CC50C3">
              <w:rPr>
                <w:rFonts w:eastAsia="Calibri"/>
                <w:sz w:val="21"/>
                <w:szCs w:val="21"/>
              </w:rPr>
              <w:t>17.07</w:t>
            </w:r>
            <w:r w:rsidR="00375FB1" w:rsidRPr="00CC50C3">
              <w:rPr>
                <w:rStyle w:val="EndnoteReference"/>
                <w:rFonts w:eastAsia="Calibri"/>
                <w:sz w:val="21"/>
                <w:szCs w:val="21"/>
              </w:rPr>
              <w:endnoteReference w:id="161"/>
            </w:r>
            <w:r>
              <w:rPr>
                <w:rFonts w:eastAsia="Calibri"/>
                <w:sz w:val="21"/>
                <w:szCs w:val="21"/>
              </w:rPr>
              <w:t>,</w:t>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Abecedarian (aged 21)</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Carolina (US)</w:t>
            </w:r>
          </w:p>
        </w:tc>
        <w:tc>
          <w:tcPr>
            <w:tcW w:w="2410" w:type="dxa"/>
          </w:tcPr>
          <w:p w:rsidR="00375FB1" w:rsidRPr="00CC50C3" w:rsidRDefault="00957B7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 xml:space="preserve">Targeted </w:t>
            </w:r>
          </w:p>
          <w:p w:rsidR="00375FB1" w:rsidRPr="00CC50C3" w:rsidRDefault="00375FB1" w:rsidP="00957B71">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p>
        </w:tc>
        <w:tc>
          <w:tcPr>
            <w:tcW w:w="1680" w:type="dxa"/>
          </w:tcPr>
          <w:p w:rsidR="00375FB1" w:rsidRPr="00CC50C3" w:rsidRDefault="00375FB1" w:rsidP="00FE14F5">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2.67-6.3</w:t>
            </w:r>
            <w:r w:rsidR="00957B71" w:rsidRPr="00CC50C3">
              <w:rPr>
                <w:rStyle w:val="EndnoteReference"/>
                <w:rFonts w:eastAsia="Calibri"/>
                <w:sz w:val="21"/>
                <w:szCs w:val="21"/>
              </w:rPr>
              <w:endnoteReference w:id="162"/>
            </w:r>
            <w:r w:rsidR="00957B71">
              <w:rPr>
                <w:rFonts w:eastAsia="Calibri"/>
                <w:sz w:val="21"/>
                <w:szCs w:val="21"/>
              </w:rPr>
              <w:t>,</w:t>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Chicago Child-Parent Center Program (aged 26)</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Chicago (US)</w:t>
            </w:r>
          </w:p>
        </w:tc>
        <w:tc>
          <w:tcPr>
            <w:tcW w:w="2410" w:type="dxa"/>
          </w:tcPr>
          <w:p w:rsidR="00375FB1" w:rsidRPr="00CC50C3" w:rsidRDefault="00957B71" w:rsidP="00957B71">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 xml:space="preserve">Targeted </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10.83</w:t>
            </w:r>
            <w:r w:rsidRPr="00CC50C3">
              <w:rPr>
                <w:rStyle w:val="EndnoteReference"/>
                <w:rFonts w:eastAsia="Calibri"/>
                <w:sz w:val="21"/>
                <w:szCs w:val="21"/>
              </w:rPr>
              <w:endnoteReference w:id="163"/>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Head Start (meta-analysis)</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US</w:t>
            </w:r>
          </w:p>
        </w:tc>
        <w:tc>
          <w:tcPr>
            <w:tcW w:w="2410" w:type="dxa"/>
          </w:tcPr>
          <w:p w:rsidR="00375FB1" w:rsidRPr="00CC50C3" w:rsidRDefault="00957B7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 xml:space="preserve">Targeted </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2.63</w:t>
            </w:r>
            <w:r w:rsidRPr="00CC50C3">
              <w:rPr>
                <w:rStyle w:val="EndnoteReference"/>
                <w:rFonts w:eastAsia="Calibri"/>
                <w:sz w:val="21"/>
                <w:szCs w:val="21"/>
              </w:rPr>
              <w:endnoteReference w:id="164"/>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Tulsa Universal Pre-K Program</w:t>
            </w:r>
            <w:r w:rsidRPr="00A516DA">
              <w:rPr>
                <w:sz w:val="21"/>
              </w:rPr>
              <w:br/>
            </w:r>
            <w:r w:rsidRPr="00602D41">
              <w:rPr>
                <w:rFonts w:eastAsia="Calibri"/>
                <w:b w:val="0"/>
                <w:sz w:val="21"/>
                <w:szCs w:val="21"/>
              </w:rPr>
              <w:t xml:space="preserve">(aged </w:t>
            </w:r>
            <w:r w:rsidR="00835C89">
              <w:rPr>
                <w:rFonts w:eastAsia="Calibri"/>
                <w:b w:val="0"/>
                <w:sz w:val="21"/>
                <w:szCs w:val="21"/>
              </w:rPr>
              <w:t>five</w:t>
            </w:r>
            <w:r w:rsidRPr="00602D41">
              <w:rPr>
                <w:rFonts w:eastAsia="Calibri"/>
                <w:b w:val="0"/>
                <w:sz w:val="21"/>
                <w:szCs w:val="21"/>
              </w:rPr>
              <w:t>)</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Oklahoma (US)</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2.82-4.08</w:t>
            </w:r>
            <w:r w:rsidRPr="00CC50C3">
              <w:rPr>
                <w:rStyle w:val="EndnoteReference"/>
                <w:rFonts w:eastAsia="Calibri"/>
                <w:sz w:val="21"/>
                <w:szCs w:val="21"/>
              </w:rPr>
              <w:endnoteReference w:id="165"/>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9330" w:type="dxa"/>
            <w:gridSpan w:val="4"/>
            <w:shd w:val="clear" w:color="auto" w:fill="D9D9D9" w:themeFill="background1" w:themeFillShade="D9"/>
          </w:tcPr>
          <w:p w:rsidR="00375FB1" w:rsidRPr="00CC50C3" w:rsidRDefault="00375FB1" w:rsidP="00852F0A">
            <w:pPr>
              <w:spacing w:before="40" w:after="40"/>
              <w:rPr>
                <w:sz w:val="21"/>
                <w:szCs w:val="21"/>
              </w:rPr>
            </w:pPr>
            <w:r w:rsidRPr="00CC50C3">
              <w:rPr>
                <w:rFonts w:eastAsia="Calibri"/>
                <w:sz w:val="21"/>
                <w:szCs w:val="21"/>
              </w:rPr>
              <w:t>Other analyses</w:t>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US state and district preschool programs (2017)</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US</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Targeted and 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5.74</w:t>
            </w:r>
            <w:r w:rsidRPr="00CC50C3">
              <w:rPr>
                <w:rStyle w:val="EndnoteReference"/>
                <w:rFonts w:eastAsia="Calibri"/>
                <w:sz w:val="21"/>
                <w:szCs w:val="21"/>
              </w:rPr>
              <w:endnoteReference w:id="166"/>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Spain expansion of universal access</w:t>
            </w:r>
            <w:r w:rsidRPr="00602D41">
              <w:rPr>
                <w:rFonts w:eastAsia="Calibri"/>
                <w:b w:val="0"/>
                <w:sz w:val="21"/>
                <w:szCs w:val="21"/>
              </w:rPr>
              <w:t xml:space="preserve"> to preschool from one year to two (2016)</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Spain</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4.3</w:t>
            </w:r>
            <w:r w:rsidRPr="00CC50C3">
              <w:rPr>
                <w:rStyle w:val="EndnoteReference"/>
                <w:rFonts w:eastAsia="Calibri"/>
                <w:sz w:val="21"/>
                <w:szCs w:val="21"/>
              </w:rPr>
              <w:endnoteReference w:id="167"/>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US two years of universal preschool (2015)</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US</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8.9</w:t>
            </w:r>
            <w:r w:rsidRPr="00CC50C3">
              <w:rPr>
                <w:rStyle w:val="EndnoteReference"/>
                <w:rFonts w:eastAsia="Calibri"/>
                <w:sz w:val="21"/>
                <w:szCs w:val="21"/>
              </w:rPr>
              <w:endnoteReference w:id="168"/>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 xml:space="preserve">US state and district </w:t>
            </w:r>
            <w:r w:rsidRPr="00230392">
              <w:rPr>
                <w:rFonts w:eastAsia="Calibri"/>
                <w:sz w:val="21"/>
                <w:szCs w:val="21"/>
              </w:rPr>
              <w:t>preschool</w:t>
            </w:r>
            <w:r w:rsidRPr="00A516DA">
              <w:rPr>
                <w:rFonts w:eastAsiaTheme="minorHAnsi"/>
                <w:sz w:val="21"/>
              </w:rPr>
              <w:t xml:space="preserve"> programs (2014)</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US</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Targeted and 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4.2</w:t>
            </w:r>
            <w:r w:rsidRPr="00CC50C3">
              <w:rPr>
                <w:rStyle w:val="EndnoteReference"/>
                <w:rFonts w:eastAsia="Calibri"/>
                <w:sz w:val="21"/>
                <w:szCs w:val="21"/>
              </w:rPr>
              <w:endnoteReference w:id="169"/>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US investment in childhood development and education (2014)</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US</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Targeted and 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8.6</w:t>
            </w:r>
            <w:r w:rsidRPr="00CC50C3">
              <w:rPr>
                <w:rStyle w:val="EndnoteReference"/>
                <w:rFonts w:eastAsia="Calibri"/>
                <w:sz w:val="21"/>
                <w:szCs w:val="21"/>
              </w:rPr>
              <w:endnoteReference w:id="170"/>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Canadian early childhood education (2012)</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Canada</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2.78</w:t>
            </w:r>
            <w:r w:rsidRPr="00CC50C3">
              <w:rPr>
                <w:rStyle w:val="EndnoteReference"/>
                <w:rFonts w:eastAsia="Calibri"/>
                <w:sz w:val="21"/>
                <w:szCs w:val="21"/>
              </w:rPr>
              <w:endnoteReference w:id="171"/>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pPr>
              <w:spacing w:before="60" w:after="60"/>
              <w:rPr>
                <w:rFonts w:eastAsia="Calibri"/>
                <w:b w:val="0"/>
                <w:sz w:val="21"/>
                <w:szCs w:val="21"/>
              </w:rPr>
            </w:pPr>
            <w:r w:rsidRPr="00A516DA">
              <w:rPr>
                <w:rFonts w:eastAsiaTheme="minorHAnsi"/>
                <w:sz w:val="21"/>
              </w:rPr>
              <w:t>Expanding enrolment rates to the OECD average</w:t>
            </w:r>
            <w:r w:rsidR="00EA521D">
              <w:rPr>
                <w:rFonts w:eastAsiaTheme="minorHAnsi"/>
                <w:sz w:val="21"/>
              </w:rPr>
              <w:t xml:space="preserve"> </w:t>
            </w:r>
            <w:r>
              <w:rPr>
                <w:rFonts w:eastAsia="Calibri"/>
                <w:b w:val="0"/>
                <w:sz w:val="21"/>
                <w:szCs w:val="21"/>
              </w:rPr>
              <w:t xml:space="preserve">(2017) </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Canada</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Pr>
                <w:rFonts w:eastAsia="Calibri"/>
                <w:sz w:val="21"/>
                <w:szCs w:val="21"/>
              </w:rPr>
              <w:t>5.83</w:t>
            </w:r>
            <w:r>
              <w:rPr>
                <w:rStyle w:val="EndnoteReference"/>
                <w:rFonts w:eastAsia="Calibri"/>
                <w:sz w:val="21"/>
                <w:szCs w:val="21"/>
              </w:rPr>
              <w:endnoteReference w:id="172"/>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Texas two years of universal early childhood education (2006)</w:t>
            </w:r>
          </w:p>
        </w:tc>
        <w:tc>
          <w:tcPr>
            <w:tcW w:w="1559" w:type="dxa"/>
          </w:tcPr>
          <w:p w:rsidR="00375FB1" w:rsidRPr="00CC50C3" w:rsidRDefault="00375FB1" w:rsidP="00852F0A">
            <w:pPr>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Texas (US)</w:t>
            </w:r>
          </w:p>
        </w:tc>
        <w:tc>
          <w:tcPr>
            <w:tcW w:w="2410" w:type="dxa"/>
          </w:tcPr>
          <w:p w:rsidR="00375FB1" w:rsidRPr="00CC50C3" w:rsidRDefault="00375FB1" w:rsidP="00852F0A">
            <w:pPr>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Universal</w:t>
            </w:r>
          </w:p>
        </w:tc>
        <w:tc>
          <w:tcPr>
            <w:tcW w:w="1680" w:type="dxa"/>
          </w:tcPr>
          <w:p w:rsidR="00375FB1" w:rsidRPr="00CC50C3" w:rsidRDefault="00375FB1" w:rsidP="00852F0A">
            <w:pPr>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3.4</w:t>
            </w:r>
            <w:r w:rsidRPr="00CC50C3">
              <w:rPr>
                <w:rStyle w:val="EndnoteReference"/>
                <w:rFonts w:eastAsia="Calibri"/>
                <w:sz w:val="21"/>
                <w:szCs w:val="21"/>
              </w:rPr>
              <w:endnoteReference w:id="173"/>
            </w:r>
          </w:p>
        </w:tc>
      </w:tr>
      <w:tr w:rsidR="00375FB1" w:rsidRPr="00CC50C3" w:rsidTr="00852F0A">
        <w:tc>
          <w:tcPr>
            <w:cnfStyle w:val="001000000000" w:firstRow="0" w:lastRow="0" w:firstColumn="1" w:lastColumn="0" w:oddVBand="0" w:evenVBand="0" w:oddHBand="0" w:evenHBand="0" w:firstRowFirstColumn="0" w:firstRowLastColumn="0" w:lastRowFirstColumn="0" w:lastRowLastColumn="0"/>
            <w:tcW w:w="3681" w:type="dxa"/>
          </w:tcPr>
          <w:p w:rsidR="00375FB1" w:rsidRPr="00602D41" w:rsidRDefault="00375FB1" w:rsidP="00852F0A">
            <w:pPr>
              <w:spacing w:before="60" w:after="60"/>
              <w:rPr>
                <w:rFonts w:eastAsia="Calibri"/>
                <w:b w:val="0"/>
                <w:sz w:val="21"/>
                <w:szCs w:val="21"/>
              </w:rPr>
            </w:pPr>
            <w:r w:rsidRPr="00A516DA">
              <w:rPr>
                <w:rFonts w:eastAsiaTheme="minorHAnsi"/>
                <w:sz w:val="21"/>
              </w:rPr>
              <w:t>California early childhood education (2005)</w:t>
            </w:r>
          </w:p>
        </w:tc>
        <w:tc>
          <w:tcPr>
            <w:tcW w:w="1559"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California (US)</w:t>
            </w:r>
          </w:p>
        </w:tc>
        <w:tc>
          <w:tcPr>
            <w:tcW w:w="241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00CC50C3">
              <w:rPr>
                <w:rFonts w:eastAsia="Calibri"/>
                <w:sz w:val="21"/>
                <w:szCs w:val="21"/>
              </w:rPr>
              <w:t>Universal</w:t>
            </w:r>
          </w:p>
        </w:tc>
        <w:tc>
          <w:tcPr>
            <w:tcW w:w="1680" w:type="dxa"/>
          </w:tcPr>
          <w:p w:rsidR="00375FB1" w:rsidRPr="00CC50C3" w:rsidRDefault="00375FB1" w:rsidP="00852F0A">
            <w:pPr>
              <w:spacing w:before="60" w:after="60"/>
              <w:cnfStyle w:val="000000000000" w:firstRow="0" w:lastRow="0" w:firstColumn="0" w:lastColumn="0" w:oddVBand="0" w:evenVBand="0" w:oddHBand="0" w:evenHBand="0" w:firstRowFirstColumn="0" w:firstRowLastColumn="0" w:lastRowFirstColumn="0" w:lastRowLastColumn="0"/>
              <w:rPr>
                <w:rFonts w:eastAsia="Calibri"/>
                <w:sz w:val="21"/>
                <w:szCs w:val="21"/>
                <w:vertAlign w:val="superscript"/>
              </w:rPr>
            </w:pPr>
            <w:r w:rsidRPr="00CC50C3">
              <w:rPr>
                <w:rFonts w:eastAsia="Calibri"/>
                <w:sz w:val="21"/>
                <w:szCs w:val="21"/>
              </w:rPr>
              <w:t>2.62</w:t>
            </w:r>
            <w:r w:rsidRPr="00CC50C3">
              <w:rPr>
                <w:rStyle w:val="EndnoteReference"/>
                <w:rFonts w:eastAsia="Calibri"/>
                <w:sz w:val="21"/>
                <w:szCs w:val="21"/>
              </w:rPr>
              <w:endnoteReference w:id="174"/>
            </w:r>
          </w:p>
        </w:tc>
      </w:tr>
    </w:tbl>
    <w:p w:rsidR="00375FB1" w:rsidRPr="00A516DA" w:rsidRDefault="00957B71" w:rsidP="00375FB1">
      <w:pPr>
        <w:rPr>
          <w:rFonts w:ascii="Calibri" w:hAnsi="Calibri"/>
        </w:rPr>
      </w:pPr>
      <w:r w:rsidRPr="00A516DA">
        <w:rPr>
          <w:rFonts w:ascii="Calibri" w:hAnsi="Calibri"/>
          <w:sz w:val="16"/>
        </w:rPr>
        <w:t>Note: discount rates and assumptions vary</w:t>
      </w:r>
    </w:p>
    <w:p w:rsidR="00375FB1" w:rsidRPr="00A516DA" w:rsidRDefault="00375FB1" w:rsidP="00375FB1">
      <w:pPr>
        <w:rPr>
          <w:rFonts w:ascii="Calibri" w:hAnsi="Calibri"/>
        </w:rPr>
      </w:pPr>
      <w:r w:rsidRPr="00A516DA">
        <w:rPr>
          <w:rFonts w:ascii="Calibri" w:hAnsi="Calibri"/>
          <w:lang w:val="en-US"/>
        </w:rPr>
        <w:t xml:space="preserve">Much of the literature draws from evaluations of small-scale programs targeting disadvantaged children, such as the Perry Preschool Program </w:t>
      </w:r>
      <w:r w:rsidR="00EC55AF">
        <w:rPr>
          <w:rFonts w:ascii="Calibri" w:hAnsi="Calibri"/>
        </w:rPr>
        <w:t>that</w:t>
      </w:r>
      <w:r w:rsidR="00EC55AF" w:rsidRPr="00A516DA">
        <w:rPr>
          <w:rFonts w:ascii="Calibri" w:hAnsi="Calibri"/>
        </w:rPr>
        <w:t xml:space="preserve"> </w:t>
      </w:r>
      <w:r w:rsidRPr="00A516DA">
        <w:rPr>
          <w:rFonts w:ascii="Calibri" w:hAnsi="Calibri"/>
          <w:lang w:val="en-US"/>
        </w:rPr>
        <w:t>ran in the 1960s</w:t>
      </w:r>
      <w:r w:rsidRPr="00A516DA">
        <w:rPr>
          <w:rFonts w:ascii="Calibri" w:hAnsi="Calibri"/>
        </w:rPr>
        <w:t xml:space="preserve"> and</w:t>
      </w:r>
      <w:r w:rsidRPr="00A516DA">
        <w:rPr>
          <w:rFonts w:ascii="Calibri" w:hAnsi="Calibri"/>
          <w:lang w:val="en-US"/>
        </w:rPr>
        <w:t xml:space="preserve"> provided </w:t>
      </w:r>
      <w:r w:rsidRPr="00A516DA">
        <w:rPr>
          <w:rFonts w:ascii="Calibri" w:hAnsi="Calibri"/>
        </w:rPr>
        <w:t xml:space="preserve">intensive </w:t>
      </w:r>
      <w:r w:rsidRPr="00A516DA">
        <w:rPr>
          <w:rFonts w:ascii="Calibri" w:hAnsi="Calibri"/>
          <w:lang w:val="en-US"/>
        </w:rPr>
        <w:t>parenting support</w:t>
      </w:r>
      <w:r w:rsidRPr="00A516DA">
        <w:rPr>
          <w:rFonts w:ascii="Calibri" w:hAnsi="Calibri"/>
        </w:rPr>
        <w:t xml:space="preserve"> in addition to early education. Using a </w:t>
      </w:r>
      <w:proofErr w:type="spellStart"/>
      <w:r w:rsidRPr="00A516DA">
        <w:rPr>
          <w:rFonts w:ascii="Calibri" w:hAnsi="Calibri"/>
        </w:rPr>
        <w:t>randomis</w:t>
      </w:r>
      <w:r w:rsidRPr="00A516DA">
        <w:rPr>
          <w:rFonts w:ascii="Calibri" w:hAnsi="Calibri"/>
          <w:lang w:val="en-US"/>
        </w:rPr>
        <w:t>ed</w:t>
      </w:r>
      <w:proofErr w:type="spellEnd"/>
      <w:r w:rsidRPr="00A516DA">
        <w:rPr>
          <w:rFonts w:ascii="Calibri" w:hAnsi="Calibri"/>
          <w:lang w:val="en-US"/>
        </w:rPr>
        <w:t xml:space="preserve"> controlled trial design, the benefits of the Perry </w:t>
      </w:r>
      <w:r w:rsidR="00D219F0">
        <w:rPr>
          <w:rFonts w:ascii="Calibri" w:hAnsi="Calibri"/>
          <w:lang w:val="en-US"/>
        </w:rPr>
        <w:t>P</w:t>
      </w:r>
      <w:r w:rsidRPr="00A516DA">
        <w:rPr>
          <w:rFonts w:ascii="Calibri" w:hAnsi="Calibri"/>
          <w:lang w:val="en-US"/>
        </w:rPr>
        <w:t xml:space="preserve">rogram were found to far exceed their costs with a </w:t>
      </w:r>
      <w:r w:rsidRPr="00A516DA">
        <w:rPr>
          <w:rFonts w:ascii="Calibri" w:hAnsi="Calibri"/>
        </w:rPr>
        <w:t xml:space="preserve">BCR </w:t>
      </w:r>
      <w:r w:rsidRPr="00A516DA">
        <w:rPr>
          <w:rFonts w:ascii="Calibri" w:hAnsi="Calibri"/>
          <w:lang w:val="en-US"/>
        </w:rPr>
        <w:t xml:space="preserve">of 17.1 at follow-up </w:t>
      </w:r>
      <w:r w:rsidRPr="00A516DA">
        <w:rPr>
          <w:rFonts w:ascii="Calibri" w:hAnsi="Calibri"/>
        </w:rPr>
        <w:t xml:space="preserve">at </w:t>
      </w:r>
      <w:r w:rsidRPr="00A516DA">
        <w:rPr>
          <w:rFonts w:ascii="Calibri" w:hAnsi="Calibri"/>
          <w:lang w:val="en-US"/>
        </w:rPr>
        <w:t xml:space="preserve">age 40. </w:t>
      </w:r>
      <w:r w:rsidR="00924A05">
        <w:rPr>
          <w:rFonts w:ascii="Calibri" w:hAnsi="Calibri"/>
        </w:rPr>
        <w:t>Analysis</w:t>
      </w:r>
      <w:r w:rsidR="00924A05" w:rsidRPr="00A516DA">
        <w:rPr>
          <w:rFonts w:ascii="Calibri" w:hAnsi="Calibri"/>
          <w:lang w:val="en-US"/>
        </w:rPr>
        <w:t xml:space="preserve"> </w:t>
      </w:r>
      <w:r w:rsidRPr="00A516DA">
        <w:rPr>
          <w:rFonts w:ascii="Calibri" w:hAnsi="Calibri"/>
        </w:rPr>
        <w:t>conducted by</w:t>
      </w:r>
      <w:r w:rsidRPr="00A516DA">
        <w:rPr>
          <w:rFonts w:ascii="Calibri" w:hAnsi="Calibri"/>
          <w:lang w:val="en-US"/>
        </w:rPr>
        <w:t xml:space="preserve"> Heckman in 2010 found </w:t>
      </w:r>
      <w:r w:rsidRPr="00A516DA">
        <w:rPr>
          <w:rFonts w:ascii="Calibri" w:hAnsi="Calibri"/>
        </w:rPr>
        <w:t xml:space="preserve">lower </w:t>
      </w:r>
      <w:r w:rsidR="00D41DEB" w:rsidRPr="00A516DA">
        <w:rPr>
          <w:rFonts w:ascii="Calibri" w:eastAsia="Calibri" w:hAnsi="Calibri" w:cs="Calibri"/>
        </w:rPr>
        <w:t xml:space="preserve">but </w:t>
      </w:r>
      <w:r w:rsidR="00957B71" w:rsidRPr="00A516DA">
        <w:rPr>
          <w:rFonts w:ascii="Calibri" w:hAnsi="Calibri"/>
        </w:rPr>
        <w:t xml:space="preserve">still </w:t>
      </w:r>
      <w:r w:rsidRPr="00A516DA">
        <w:rPr>
          <w:rFonts w:ascii="Calibri" w:hAnsi="Calibri"/>
          <w:lang w:val="en-US"/>
        </w:rPr>
        <w:t xml:space="preserve">substantial </w:t>
      </w:r>
      <w:r w:rsidRPr="00A516DA">
        <w:rPr>
          <w:rFonts w:ascii="Calibri" w:hAnsi="Calibri"/>
        </w:rPr>
        <w:t>benefit</w:t>
      </w:r>
      <w:r w:rsidR="00D41DEB" w:rsidRPr="00A516DA">
        <w:rPr>
          <w:rFonts w:ascii="Calibri" w:eastAsia="Calibri" w:hAnsi="Calibri" w:cs="Calibri"/>
        </w:rPr>
        <w:t>-</w:t>
      </w:r>
      <w:r w:rsidRPr="00A516DA">
        <w:rPr>
          <w:rFonts w:ascii="Calibri" w:hAnsi="Calibri"/>
        </w:rPr>
        <w:t>to</w:t>
      </w:r>
      <w:r w:rsidR="00D41DEB" w:rsidRPr="00A516DA">
        <w:rPr>
          <w:rFonts w:ascii="Calibri" w:eastAsia="Calibri" w:hAnsi="Calibri" w:cs="Calibri"/>
        </w:rPr>
        <w:t>-</w:t>
      </w:r>
      <w:r w:rsidRPr="00A516DA">
        <w:rPr>
          <w:rFonts w:ascii="Calibri" w:hAnsi="Calibri"/>
        </w:rPr>
        <w:t>cost ratios</w:t>
      </w:r>
      <w:r w:rsidRPr="00A516DA">
        <w:rPr>
          <w:rFonts w:ascii="Calibri" w:hAnsi="Calibri"/>
          <w:lang w:val="en-US"/>
        </w:rPr>
        <w:t xml:space="preserve"> of 7.1-12.2</w:t>
      </w:r>
      <w:r w:rsidR="00D41DEB" w:rsidRPr="00A516DA">
        <w:rPr>
          <w:rFonts w:ascii="Calibri" w:eastAsia="Calibri" w:hAnsi="Calibri" w:cs="Calibri"/>
        </w:rPr>
        <w:t>;</w:t>
      </w:r>
      <w:r w:rsidR="00957B71" w:rsidRPr="00A516DA">
        <w:rPr>
          <w:rFonts w:ascii="Calibri" w:hAnsi="Calibri"/>
        </w:rPr>
        <w:t xml:space="preserve"> this </w:t>
      </w:r>
      <w:r w:rsidRPr="00A516DA">
        <w:rPr>
          <w:rFonts w:ascii="Calibri" w:hAnsi="Calibri"/>
        </w:rPr>
        <w:t>took into account some</w:t>
      </w:r>
      <w:r w:rsidRPr="00A516DA">
        <w:rPr>
          <w:rFonts w:ascii="Calibri" w:hAnsi="Calibri"/>
          <w:lang w:val="en-US"/>
        </w:rPr>
        <w:t xml:space="preserve"> </w:t>
      </w:r>
      <w:r w:rsidRPr="00A516DA">
        <w:rPr>
          <w:rFonts w:ascii="Calibri" w:hAnsi="Calibri"/>
        </w:rPr>
        <w:t xml:space="preserve">issues with the initial study's </w:t>
      </w:r>
      <w:r w:rsidRPr="00BF0470">
        <w:rPr>
          <w:rFonts w:ascii="Calibri" w:eastAsia="Calibri" w:hAnsi="Calibri" w:cs="Calibri"/>
        </w:rPr>
        <w:t>randomisation</w:t>
      </w:r>
      <w:r w:rsidRPr="00A516DA">
        <w:rPr>
          <w:rFonts w:ascii="Calibri" w:hAnsi="Calibri"/>
          <w:lang w:val="en-US"/>
        </w:rPr>
        <w:t xml:space="preserve"> protocol and </w:t>
      </w:r>
      <w:r w:rsidRPr="00A516DA">
        <w:rPr>
          <w:rFonts w:ascii="Calibri" w:hAnsi="Calibri"/>
        </w:rPr>
        <w:t>used</w:t>
      </w:r>
      <w:r w:rsidRPr="00A516DA">
        <w:rPr>
          <w:rFonts w:ascii="Calibri" w:hAnsi="Calibri"/>
          <w:lang w:val="en-US"/>
        </w:rPr>
        <w:t xml:space="preserve"> alternative assumptions about the social cost of crime.</w:t>
      </w:r>
      <w:r w:rsidRPr="00A516DA">
        <w:rPr>
          <w:rStyle w:val="EndnoteReference"/>
          <w:rFonts w:ascii="Calibri" w:hAnsi="Calibri"/>
          <w:lang w:val="en-US"/>
        </w:rPr>
        <w:endnoteReference w:id="175"/>
      </w:r>
    </w:p>
    <w:p w:rsidR="00375FB1" w:rsidRPr="00A516DA" w:rsidRDefault="00375FB1" w:rsidP="00375FB1">
      <w:pPr>
        <w:rPr>
          <w:rFonts w:ascii="Calibri" w:hAnsi="Calibri"/>
        </w:rPr>
      </w:pPr>
      <w:r w:rsidRPr="00A516DA">
        <w:rPr>
          <w:rFonts w:ascii="Calibri" w:hAnsi="Calibri"/>
          <w:lang w:val="en-US"/>
        </w:rPr>
        <w:t xml:space="preserve">The Chicago Child-Parent Center Program provides a more recent, larger scale example, using a matched-case control design. The </w:t>
      </w:r>
      <w:r w:rsidRPr="00A516DA">
        <w:rPr>
          <w:rFonts w:ascii="Calibri" w:hAnsi="Calibri"/>
        </w:rPr>
        <w:t xml:space="preserve">Chicago </w:t>
      </w:r>
      <w:r w:rsidR="00D219F0">
        <w:rPr>
          <w:rFonts w:ascii="Calibri" w:hAnsi="Calibri"/>
        </w:rPr>
        <w:t>P</w:t>
      </w:r>
      <w:r w:rsidRPr="00A516DA">
        <w:rPr>
          <w:rFonts w:ascii="Calibri" w:hAnsi="Calibri"/>
        </w:rPr>
        <w:t>rogram ran in the 1980</w:t>
      </w:r>
      <w:r w:rsidRPr="00A516DA">
        <w:rPr>
          <w:rFonts w:ascii="Calibri" w:hAnsi="Calibri"/>
          <w:lang w:val="en-US"/>
        </w:rPr>
        <w:t>s and involved the provision of early childhood education and supporting family services for disadvantaged children. It was found to have a BCR o</w:t>
      </w:r>
      <w:r w:rsidRPr="00A516DA">
        <w:rPr>
          <w:rFonts w:ascii="Calibri" w:hAnsi="Calibri"/>
        </w:rPr>
        <w:t>f</w:t>
      </w:r>
      <w:r w:rsidRPr="00A516DA">
        <w:rPr>
          <w:rFonts w:ascii="Calibri" w:hAnsi="Calibri"/>
          <w:lang w:val="en-US"/>
        </w:rPr>
        <w:t xml:space="preserve"> 10.83 at follow-up </w:t>
      </w:r>
      <w:r w:rsidR="00D41DEB">
        <w:rPr>
          <w:rFonts w:ascii="Calibri" w:eastAsia="Calibri" w:hAnsi="Calibri" w:cs="Calibri"/>
        </w:rPr>
        <w:t>(</w:t>
      </w:r>
      <w:r w:rsidRPr="00A516DA">
        <w:rPr>
          <w:rFonts w:ascii="Calibri" w:hAnsi="Calibri"/>
          <w:lang w:val="en-US"/>
        </w:rPr>
        <w:t>age 26</w:t>
      </w:r>
      <w:r w:rsidR="00D41DEB">
        <w:rPr>
          <w:rFonts w:ascii="Calibri" w:eastAsia="Calibri" w:hAnsi="Calibri" w:cs="Calibri"/>
        </w:rPr>
        <w:t>)</w:t>
      </w:r>
      <w:r w:rsidRPr="00A516DA">
        <w:rPr>
          <w:rFonts w:ascii="Calibri" w:eastAsia="Calibri" w:hAnsi="Calibri" w:cs="Calibri"/>
        </w:rPr>
        <w:t>.</w:t>
      </w:r>
    </w:p>
    <w:p w:rsidR="00375FB1" w:rsidRPr="00A516DA" w:rsidRDefault="00375FB1" w:rsidP="00375FB1">
      <w:pPr>
        <w:rPr>
          <w:rFonts w:ascii="Calibri" w:hAnsi="Calibri"/>
        </w:rPr>
      </w:pPr>
      <w:r w:rsidRPr="00A516DA">
        <w:rPr>
          <w:rFonts w:ascii="Calibri" w:hAnsi="Calibri"/>
          <w:lang w:val="en-US"/>
        </w:rPr>
        <w:t xml:space="preserve">These core studies have informed other prospective and meta-analyses of investment in </w:t>
      </w:r>
      <w:r w:rsidRPr="00A516DA">
        <w:rPr>
          <w:rFonts w:ascii="Calibri" w:hAnsi="Calibri"/>
        </w:rPr>
        <w:t xml:space="preserve">universal </w:t>
      </w:r>
      <w:r w:rsidRPr="00A516DA">
        <w:rPr>
          <w:rFonts w:ascii="Calibri" w:hAnsi="Calibri"/>
          <w:lang w:val="en-US"/>
        </w:rPr>
        <w:t>early childhood education across the U</w:t>
      </w:r>
      <w:proofErr w:type="spellStart"/>
      <w:r w:rsidRPr="00A516DA">
        <w:rPr>
          <w:rFonts w:ascii="Calibri" w:hAnsi="Calibri"/>
        </w:rPr>
        <w:t>nited</w:t>
      </w:r>
      <w:proofErr w:type="spellEnd"/>
      <w:r w:rsidRPr="00A516DA">
        <w:rPr>
          <w:rFonts w:ascii="Calibri" w:hAnsi="Calibri"/>
        </w:rPr>
        <w:t xml:space="preserve"> </w:t>
      </w:r>
      <w:r w:rsidRPr="00A516DA">
        <w:rPr>
          <w:rFonts w:ascii="Calibri" w:hAnsi="Calibri"/>
          <w:lang w:val="en-US"/>
        </w:rPr>
        <w:t>S</w:t>
      </w:r>
      <w:proofErr w:type="spellStart"/>
      <w:r w:rsidRPr="00A516DA">
        <w:rPr>
          <w:rFonts w:ascii="Calibri" w:hAnsi="Calibri"/>
        </w:rPr>
        <w:t>tates</w:t>
      </w:r>
      <w:proofErr w:type="spellEnd"/>
      <w:r w:rsidRPr="00A516DA">
        <w:rPr>
          <w:rFonts w:ascii="Calibri" w:hAnsi="Calibri"/>
          <w:lang w:val="en-US"/>
        </w:rPr>
        <w:t xml:space="preserve"> and Canada</w:t>
      </w:r>
      <w:r w:rsidRPr="00A516DA">
        <w:rPr>
          <w:rFonts w:ascii="Calibri" w:hAnsi="Calibri"/>
        </w:rPr>
        <w:t xml:space="preserve">, </w:t>
      </w:r>
      <w:r w:rsidRPr="00A516DA">
        <w:rPr>
          <w:rFonts w:ascii="Calibri" w:hAnsi="Calibri"/>
          <w:lang w:val="en-US"/>
        </w:rPr>
        <w:t xml:space="preserve">with BCRs ranging from 2.62 to 8.9. </w:t>
      </w:r>
      <w:r w:rsidRPr="00A516DA">
        <w:rPr>
          <w:rFonts w:ascii="Calibri" w:hAnsi="Calibri"/>
        </w:rPr>
        <w:t>T</w:t>
      </w:r>
      <w:r w:rsidRPr="00A516DA">
        <w:rPr>
          <w:rFonts w:ascii="Calibri" w:hAnsi="Calibri"/>
          <w:lang w:val="en-US"/>
        </w:rPr>
        <w:t xml:space="preserve">he lower range BCRs found in more recent analyses </w:t>
      </w:r>
      <w:r w:rsidR="006F6429" w:rsidRPr="00A516DA">
        <w:rPr>
          <w:rFonts w:ascii="Calibri" w:hAnsi="Calibri"/>
        </w:rPr>
        <w:t>are</w:t>
      </w:r>
      <w:r w:rsidRPr="00A516DA">
        <w:rPr>
          <w:rFonts w:ascii="Calibri" w:hAnsi="Calibri"/>
        </w:rPr>
        <w:t xml:space="preserve"> considered to be in part due to the fact</w:t>
      </w:r>
      <w:r w:rsidRPr="00A516DA">
        <w:rPr>
          <w:rFonts w:ascii="Calibri" w:hAnsi="Calibri"/>
          <w:lang w:val="en-US"/>
        </w:rPr>
        <w:t xml:space="preserve"> that </w:t>
      </w:r>
      <w:r w:rsidR="00C615FD" w:rsidRPr="00A516DA">
        <w:rPr>
          <w:rFonts w:ascii="Calibri" w:hAnsi="Calibri"/>
        </w:rPr>
        <w:t xml:space="preserve">there are now higher rates of </w:t>
      </w:r>
      <w:r w:rsidRPr="00A516DA">
        <w:rPr>
          <w:rFonts w:ascii="Calibri" w:hAnsi="Calibri"/>
          <w:lang w:val="en-US"/>
        </w:rPr>
        <w:t>participation in early childhood education than at the time of</w:t>
      </w:r>
      <w:r w:rsidRPr="00A516DA">
        <w:rPr>
          <w:rFonts w:ascii="Calibri" w:hAnsi="Calibri"/>
        </w:rPr>
        <w:t xml:space="preserve"> earlier s</w:t>
      </w:r>
      <w:proofErr w:type="spellStart"/>
      <w:r w:rsidRPr="00A516DA">
        <w:rPr>
          <w:rFonts w:ascii="Calibri" w:hAnsi="Calibri"/>
          <w:lang w:val="en-US"/>
        </w:rPr>
        <w:t>tudies</w:t>
      </w:r>
      <w:proofErr w:type="spellEnd"/>
      <w:r w:rsidRPr="00A516DA">
        <w:rPr>
          <w:rFonts w:ascii="Calibri" w:hAnsi="Calibri"/>
          <w:lang w:val="en-US"/>
        </w:rPr>
        <w:t>.</w:t>
      </w:r>
      <w:r w:rsidRPr="00A516DA">
        <w:rPr>
          <w:rStyle w:val="EndnoteReference"/>
          <w:rFonts w:ascii="Calibri" w:hAnsi="Calibri"/>
          <w:lang w:val="en-US"/>
        </w:rPr>
        <w:endnoteReference w:id="176"/>
      </w:r>
    </w:p>
    <w:p w:rsidR="00375FB1" w:rsidRPr="00A516DA" w:rsidRDefault="00375FB1" w:rsidP="00375FB1">
      <w:pPr>
        <w:spacing w:before="240" w:after="120" w:line="264" w:lineRule="auto"/>
        <w:rPr>
          <w:rFonts w:ascii="Calibri" w:hAnsi="Calibri"/>
          <w:i/>
        </w:rPr>
      </w:pPr>
      <w:r w:rsidRPr="00A516DA">
        <w:rPr>
          <w:rFonts w:ascii="Calibri" w:hAnsi="Calibri"/>
          <w:i/>
          <w:lang w:val="en-US"/>
        </w:rPr>
        <w:t>Applying the evidence-base to the Australian context</w:t>
      </w:r>
    </w:p>
    <w:p w:rsidR="00375FB1" w:rsidRPr="00A516DA" w:rsidRDefault="00375FB1" w:rsidP="00375FB1">
      <w:pPr>
        <w:rPr>
          <w:rFonts w:ascii="Calibri" w:hAnsi="Calibri"/>
        </w:rPr>
      </w:pPr>
      <w:r w:rsidRPr="00A516DA">
        <w:rPr>
          <w:rFonts w:ascii="Calibri" w:hAnsi="Calibri"/>
          <w:lang w:val="en-US"/>
        </w:rPr>
        <w:t>Until further studies are undertaken</w:t>
      </w:r>
      <w:r w:rsidR="00C615FD" w:rsidRPr="00A516DA">
        <w:rPr>
          <w:rFonts w:ascii="Calibri" w:hAnsi="Calibri"/>
        </w:rPr>
        <w:t xml:space="preserve"> domestically</w:t>
      </w:r>
      <w:r w:rsidRPr="00A516DA">
        <w:rPr>
          <w:rFonts w:ascii="Calibri" w:hAnsi="Calibri"/>
          <w:lang w:val="en-US"/>
        </w:rPr>
        <w:t>, Australia is largely reliant on international evidence quantifying the economic benefits of early childhood education. When applying the</w:t>
      </w:r>
      <w:r w:rsidRPr="00A516DA">
        <w:rPr>
          <w:rFonts w:ascii="Calibri" w:hAnsi="Calibri"/>
        </w:rPr>
        <w:t xml:space="preserve"> existing</w:t>
      </w:r>
      <w:r w:rsidRPr="00A516DA">
        <w:rPr>
          <w:rFonts w:ascii="Calibri" w:hAnsi="Calibri"/>
          <w:lang w:val="en-US"/>
        </w:rPr>
        <w:t xml:space="preserve"> evidence base to local contexts, it is necessary to adjust for </w:t>
      </w:r>
      <w:r w:rsidR="00C615FD" w:rsidRPr="00A516DA">
        <w:rPr>
          <w:rFonts w:ascii="Calibri" w:hAnsi="Calibri"/>
        </w:rPr>
        <w:t xml:space="preserve">issues such as local </w:t>
      </w:r>
      <w:r w:rsidRPr="00A516DA">
        <w:rPr>
          <w:rFonts w:ascii="Calibri" w:hAnsi="Calibri"/>
          <w:lang w:val="en-US"/>
        </w:rPr>
        <w:t>levels of disadvantage</w:t>
      </w:r>
      <w:r w:rsidR="00C615FD" w:rsidRPr="00A516DA">
        <w:rPr>
          <w:rFonts w:ascii="Calibri" w:hAnsi="Calibri"/>
        </w:rPr>
        <w:t xml:space="preserve"> and </w:t>
      </w:r>
      <w:r w:rsidRPr="449D38E5">
        <w:rPr>
          <w:rFonts w:ascii="Calibri" w:eastAsia="Calibri" w:hAnsi="Calibri" w:cs="Calibri"/>
          <w:lang w:val="en-US"/>
        </w:rPr>
        <w:t>preschool</w:t>
      </w:r>
      <w:r w:rsidRPr="00A516DA">
        <w:rPr>
          <w:rFonts w:ascii="Calibri" w:hAnsi="Calibri"/>
          <w:lang w:val="en-US"/>
        </w:rPr>
        <w:t xml:space="preserve"> program quality and dosage. </w:t>
      </w:r>
    </w:p>
    <w:p w:rsidR="00375FB1" w:rsidRPr="00A516DA" w:rsidRDefault="00375FB1" w:rsidP="00375FB1">
      <w:pPr>
        <w:rPr>
          <w:rFonts w:ascii="Calibri" w:hAnsi="Calibri"/>
        </w:rPr>
      </w:pPr>
      <w:r w:rsidRPr="00A516DA">
        <w:rPr>
          <w:rFonts w:ascii="Calibri" w:hAnsi="Calibri"/>
          <w:lang w:val="en-US"/>
        </w:rPr>
        <w:t>Economic modelling undertaken by P</w:t>
      </w:r>
      <w:r w:rsidR="00C615FD" w:rsidRPr="00A516DA">
        <w:rPr>
          <w:rFonts w:ascii="Calibri" w:hAnsi="Calibri"/>
        </w:rPr>
        <w:t>w</w:t>
      </w:r>
      <w:r w:rsidRPr="00A516DA">
        <w:rPr>
          <w:rFonts w:ascii="Calibri" w:hAnsi="Calibri"/>
          <w:lang w:val="en-US"/>
        </w:rPr>
        <w:t xml:space="preserve">C in 2014 </w:t>
      </w:r>
      <w:r w:rsidR="00C615FD" w:rsidRPr="00A516DA">
        <w:rPr>
          <w:rFonts w:ascii="Calibri" w:hAnsi="Calibri"/>
        </w:rPr>
        <w:t>examined the return on investment in an Australian context, including moderating</w:t>
      </w:r>
      <w:r w:rsidRPr="00A516DA">
        <w:rPr>
          <w:rFonts w:ascii="Calibri" w:hAnsi="Calibri"/>
          <w:lang w:val="en-US"/>
        </w:rPr>
        <w:t xml:space="preserve"> the scale of expected benefit to account for key points of difference</w:t>
      </w:r>
      <w:r w:rsidR="00957B71" w:rsidRPr="00A516DA">
        <w:rPr>
          <w:rFonts w:ascii="Calibri" w:hAnsi="Calibri"/>
        </w:rPr>
        <w:t xml:space="preserve">, conservatively </w:t>
      </w:r>
      <w:r w:rsidRPr="00A516DA">
        <w:rPr>
          <w:rFonts w:ascii="Calibri" w:hAnsi="Calibri"/>
          <w:lang w:val="en-US"/>
        </w:rPr>
        <w:t>assuming a BCR of 2.69.</w:t>
      </w:r>
      <w:r w:rsidRPr="00A516DA">
        <w:rPr>
          <w:rStyle w:val="EndnoteReference"/>
          <w:rFonts w:ascii="Calibri" w:hAnsi="Calibri"/>
          <w:lang w:val="en-US"/>
        </w:rPr>
        <w:endnoteReference w:id="177"/>
      </w:r>
      <w:r w:rsidRPr="00A516DA">
        <w:rPr>
          <w:rFonts w:ascii="Calibri" w:hAnsi="Calibri"/>
        </w:rPr>
        <w:t xml:space="preserve"> The </w:t>
      </w:r>
      <w:r w:rsidRPr="00A516DA">
        <w:rPr>
          <w:rFonts w:ascii="Calibri" w:hAnsi="Calibri"/>
          <w:lang w:val="en-US"/>
        </w:rPr>
        <w:t>analysis showed that investment in quality early childhood education</w:t>
      </w:r>
      <w:r w:rsidR="004A1C6B" w:rsidRPr="00A516DA">
        <w:rPr>
          <w:rFonts w:ascii="Calibri" w:hAnsi="Calibri"/>
        </w:rPr>
        <w:t xml:space="preserve"> and care</w:t>
      </w:r>
      <w:r w:rsidRPr="00A516DA">
        <w:rPr>
          <w:rFonts w:ascii="Calibri" w:hAnsi="Calibri"/>
        </w:rPr>
        <w:t xml:space="preserve"> </w:t>
      </w:r>
      <w:r w:rsidRPr="00A516DA">
        <w:rPr>
          <w:rFonts w:ascii="Calibri" w:hAnsi="Calibri"/>
          <w:lang w:val="en-US"/>
        </w:rPr>
        <w:t xml:space="preserve">provides net </w:t>
      </w:r>
      <w:r w:rsidR="00C615FD" w:rsidRPr="00A516DA">
        <w:rPr>
          <w:rFonts w:ascii="Calibri" w:hAnsi="Calibri"/>
        </w:rPr>
        <w:t xml:space="preserve">benefits </w:t>
      </w:r>
      <w:r w:rsidRPr="00A516DA">
        <w:rPr>
          <w:rFonts w:ascii="Calibri" w:hAnsi="Calibri"/>
          <w:lang w:val="en-US"/>
        </w:rPr>
        <w:t>to government through improved productivity</w:t>
      </w:r>
      <w:r w:rsidRPr="00A516DA">
        <w:rPr>
          <w:rFonts w:ascii="Calibri" w:hAnsi="Calibri"/>
        </w:rPr>
        <w:t xml:space="preserve"> as a result of</w:t>
      </w:r>
      <w:r w:rsidRPr="00A516DA">
        <w:rPr>
          <w:rFonts w:ascii="Calibri" w:hAnsi="Calibri"/>
          <w:lang w:val="en-US"/>
        </w:rPr>
        <w:t xml:space="preserve"> increased female workforce participation</w:t>
      </w:r>
      <w:r w:rsidR="004A1C6B" w:rsidRPr="00A516DA">
        <w:rPr>
          <w:rFonts w:ascii="Calibri" w:hAnsi="Calibri"/>
        </w:rPr>
        <w:t>,</w:t>
      </w:r>
      <w:r w:rsidRPr="00A516DA">
        <w:rPr>
          <w:rFonts w:ascii="Calibri" w:hAnsi="Calibri"/>
          <w:lang w:val="en-US"/>
        </w:rPr>
        <w:t xml:space="preserve"> increased educational outcomes for participating children</w:t>
      </w:r>
      <w:r w:rsidR="00336A43">
        <w:rPr>
          <w:rFonts w:ascii="Calibri" w:eastAsia="Calibri" w:hAnsi="Calibri" w:cs="Calibri"/>
        </w:rPr>
        <w:t xml:space="preserve"> and </w:t>
      </w:r>
      <w:r w:rsidRPr="00A516DA">
        <w:rPr>
          <w:rFonts w:ascii="Calibri" w:hAnsi="Calibri"/>
          <w:lang w:val="en-US"/>
        </w:rPr>
        <w:t xml:space="preserve">decreased expenditure on remedial education, criminal justice and health services. It found </w:t>
      </w:r>
      <w:r w:rsidR="00651A18" w:rsidRPr="00A516DA">
        <w:rPr>
          <w:rFonts w:ascii="Calibri" w:hAnsi="Calibri"/>
        </w:rPr>
        <w:t xml:space="preserve">cumulative net fiscal </w:t>
      </w:r>
      <w:r w:rsidR="00832440" w:rsidRPr="00A516DA">
        <w:rPr>
          <w:rFonts w:ascii="Calibri" w:hAnsi="Calibri"/>
        </w:rPr>
        <w:t xml:space="preserve">savings to government of </w:t>
      </w:r>
      <w:r w:rsidR="00C615FD" w:rsidRPr="00A516DA">
        <w:rPr>
          <w:rFonts w:ascii="Calibri" w:hAnsi="Calibri"/>
        </w:rPr>
        <w:t xml:space="preserve">between </w:t>
      </w:r>
      <w:r w:rsidRPr="00A516DA">
        <w:rPr>
          <w:rFonts w:ascii="Calibri" w:hAnsi="Calibri"/>
          <w:lang w:val="en-US"/>
        </w:rPr>
        <w:t xml:space="preserve">$1.6 </w:t>
      </w:r>
      <w:r w:rsidR="00C615FD" w:rsidRPr="00A516DA">
        <w:rPr>
          <w:rFonts w:ascii="Calibri" w:hAnsi="Calibri"/>
        </w:rPr>
        <w:t xml:space="preserve">billion </w:t>
      </w:r>
      <w:r w:rsidRPr="00A516DA">
        <w:rPr>
          <w:rFonts w:ascii="Calibri" w:hAnsi="Calibri"/>
          <w:lang w:val="en-US"/>
        </w:rPr>
        <w:t xml:space="preserve">and $1.9 billion by 2050 </w:t>
      </w:r>
      <w:r w:rsidR="00832440" w:rsidRPr="00A516DA">
        <w:rPr>
          <w:rFonts w:ascii="Calibri" w:hAnsi="Calibri"/>
        </w:rPr>
        <w:t>(in net present value terms</w:t>
      </w:r>
      <w:r w:rsidRPr="00A516DA">
        <w:rPr>
          <w:rFonts w:ascii="Calibri" w:hAnsi="Calibri"/>
          <w:lang w:val="en-US"/>
        </w:rPr>
        <w:t>)</w:t>
      </w:r>
      <w:r w:rsidR="00832440" w:rsidRPr="00A516DA">
        <w:rPr>
          <w:rFonts w:ascii="Calibri" w:hAnsi="Calibri"/>
        </w:rPr>
        <w:t xml:space="preserve">, as well as contributions to </w:t>
      </w:r>
      <w:r w:rsidR="00403E8F">
        <w:rPr>
          <w:rFonts w:ascii="Calibri" w:eastAsia="Calibri" w:hAnsi="Calibri" w:cs="Calibri"/>
        </w:rPr>
        <w:t>GDP</w:t>
      </w:r>
      <w:r w:rsidR="00832440" w:rsidRPr="00A516DA">
        <w:rPr>
          <w:rFonts w:ascii="Calibri" w:hAnsi="Calibri"/>
        </w:rPr>
        <w:t xml:space="preserve"> from increased participation in quality early childhood education and care and increased female workforce participation</w:t>
      </w:r>
      <w:r w:rsidRPr="00A516DA">
        <w:rPr>
          <w:rFonts w:ascii="Calibri" w:hAnsi="Calibri"/>
          <w:lang w:val="en-US"/>
        </w:rPr>
        <w:t xml:space="preserve">. </w:t>
      </w:r>
    </w:p>
    <w:p w:rsidR="00375FB1" w:rsidRPr="00A516DA" w:rsidRDefault="00BB1920" w:rsidP="00375FB1">
      <w:pPr>
        <w:spacing w:after="0"/>
        <w:rPr>
          <w:rFonts w:ascii="Calibri" w:hAnsi="Calibri"/>
          <w:b/>
        </w:rPr>
      </w:pPr>
      <w:r w:rsidRPr="00A516DA">
        <w:rPr>
          <w:rFonts w:ascii="Calibri" w:hAnsi="Calibri"/>
          <w:b/>
        </w:rPr>
        <w:t>Chart 11</w:t>
      </w:r>
      <w:r w:rsidR="006C08F1" w:rsidRPr="00A516DA">
        <w:rPr>
          <w:rFonts w:ascii="Calibri" w:hAnsi="Calibri"/>
          <w:b/>
        </w:rPr>
        <w:t xml:space="preserve">: </w:t>
      </w:r>
      <w:r w:rsidR="00375FB1" w:rsidRPr="00A516DA">
        <w:rPr>
          <w:rFonts w:ascii="Calibri" w:hAnsi="Calibri"/>
          <w:b/>
          <w:lang w:val="en-US"/>
        </w:rPr>
        <w:t>Combined economy</w:t>
      </w:r>
      <w:r w:rsidR="00820AA7" w:rsidRPr="00A516DA">
        <w:rPr>
          <w:rFonts w:ascii="Calibri" w:eastAsia="Calibri" w:hAnsi="Calibri" w:cs="Calibri"/>
          <w:b/>
          <w:iCs/>
        </w:rPr>
        <w:t>-</w:t>
      </w:r>
      <w:r w:rsidR="00375FB1" w:rsidRPr="00A516DA">
        <w:rPr>
          <w:rFonts w:ascii="Calibri" w:hAnsi="Calibri"/>
          <w:b/>
          <w:lang w:val="en-US"/>
        </w:rPr>
        <w:t>wide impacts of improving quality of and access to Early</w:t>
      </w:r>
      <w:r w:rsidR="00820AA7" w:rsidRPr="00A516DA">
        <w:rPr>
          <w:rFonts w:ascii="Calibri" w:eastAsia="Calibri" w:hAnsi="Calibri" w:cs="Calibri"/>
          <w:b/>
          <w:iCs/>
        </w:rPr>
        <w:t xml:space="preserve"> </w:t>
      </w:r>
      <w:r w:rsidR="00375FB1" w:rsidRPr="00A516DA">
        <w:rPr>
          <w:rFonts w:ascii="Calibri" w:hAnsi="Calibri"/>
          <w:b/>
          <w:lang w:val="en-US"/>
        </w:rPr>
        <w:t xml:space="preserve">Childhood Education </w:t>
      </w:r>
      <w:r w:rsidR="00C615FD" w:rsidRPr="00A516DA">
        <w:rPr>
          <w:rFonts w:ascii="Calibri" w:hAnsi="Calibri"/>
          <w:b/>
        </w:rPr>
        <w:t xml:space="preserve">and Care </w:t>
      </w:r>
      <w:r w:rsidR="00375FB1" w:rsidRPr="00A516DA">
        <w:rPr>
          <w:rFonts w:ascii="Calibri" w:hAnsi="Calibri"/>
          <w:b/>
          <w:lang w:val="en-US"/>
        </w:rPr>
        <w:t>in Australia</w:t>
      </w:r>
      <w:r w:rsidR="006C08F1">
        <w:rPr>
          <w:rFonts w:ascii="Calibri" w:hAnsi="Calibri"/>
          <w:b/>
          <w:lang w:val="en-US"/>
        </w:rPr>
        <w:t xml:space="preserve"> (PwC analysis)</w:t>
      </w:r>
      <w:r w:rsidR="00C615FD" w:rsidRPr="00A516DA">
        <w:rPr>
          <w:rStyle w:val="EndnoteReference"/>
          <w:rFonts w:ascii="Calibri" w:hAnsi="Calibri"/>
        </w:rPr>
        <w:endnoteReference w:id="178"/>
      </w:r>
    </w:p>
    <w:p w:rsidR="00375FB1" w:rsidRPr="00A516DA" w:rsidRDefault="00915950" w:rsidP="00375FB1">
      <w:pPr>
        <w:rPr>
          <w:rFonts w:ascii="Calibri" w:hAnsi="Calibri"/>
          <w:b/>
          <w:sz w:val="2"/>
          <w:lang w:val="en-US"/>
        </w:rPr>
      </w:pPr>
      <w:r>
        <w:rPr>
          <w:noProof/>
          <w:lang w:eastAsia="en-AU"/>
        </w:rPr>
        <w:drawing>
          <wp:inline distT="0" distB="0" distL="0" distR="0" wp14:anchorId="7B5D0713" wp14:editId="0E91624C">
            <wp:extent cx="4172762" cy="1663002"/>
            <wp:effectExtent l="0" t="0" r="0" b="0"/>
            <wp:docPr id="1151154420" name="Picture 115115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75708" cy="1664176"/>
                    </a:xfrm>
                    <a:prstGeom prst="rect">
                      <a:avLst/>
                    </a:prstGeom>
                  </pic:spPr>
                </pic:pic>
              </a:graphicData>
            </a:graphic>
          </wp:inline>
        </w:drawing>
      </w:r>
      <w:r w:rsidR="00375FB1">
        <w:br/>
      </w:r>
      <w:r w:rsidR="006C08F1">
        <w:rPr>
          <w:rFonts w:ascii="Calibri" w:hAnsi="Calibri"/>
          <w:b/>
          <w:i/>
          <w:sz w:val="16"/>
          <w:szCs w:val="16"/>
        </w:rPr>
        <w:t xml:space="preserve">Source: </w:t>
      </w:r>
      <w:r w:rsidR="006C08F1" w:rsidRPr="001E5266">
        <w:rPr>
          <w:color w:val="000000" w:themeColor="text1"/>
          <w:sz w:val="18"/>
          <w:szCs w:val="18"/>
        </w:rPr>
        <w:t>PWC</w:t>
      </w:r>
      <w:r w:rsidR="006C08F1">
        <w:rPr>
          <w:color w:val="000000" w:themeColor="text1"/>
          <w:sz w:val="18"/>
          <w:szCs w:val="18"/>
        </w:rPr>
        <w:t xml:space="preserve"> </w:t>
      </w:r>
      <w:r w:rsidR="006C08F1" w:rsidRPr="00D82F5D">
        <w:rPr>
          <w:color w:val="000000" w:themeColor="text1"/>
          <w:sz w:val="18"/>
          <w:szCs w:val="18"/>
        </w:rPr>
        <w:t xml:space="preserve">- </w:t>
      </w:r>
      <w:r w:rsidR="006C08F1" w:rsidRPr="00A516DA">
        <w:rPr>
          <w:color w:val="000000" w:themeColor="text1"/>
          <w:sz w:val="18"/>
          <w:szCs w:val="18"/>
        </w:rPr>
        <w:t>Putting a value on early childhood education and care in Australia</w:t>
      </w:r>
      <w:r w:rsidR="006C08F1" w:rsidRPr="00D82F5D">
        <w:rPr>
          <w:color w:val="000000" w:themeColor="text1"/>
          <w:sz w:val="18"/>
          <w:szCs w:val="18"/>
        </w:rPr>
        <w:t xml:space="preserve"> (2014)</w:t>
      </w:r>
    </w:p>
    <w:p w:rsidR="00375FB1" w:rsidRPr="00A516DA" w:rsidRDefault="00375FB1" w:rsidP="00375FB1">
      <w:pPr>
        <w:rPr>
          <w:rFonts w:ascii="Calibri" w:hAnsi="Calibri"/>
          <w:b/>
        </w:rPr>
      </w:pPr>
      <w:r w:rsidRPr="00A516DA">
        <w:rPr>
          <w:rFonts w:ascii="Calibri" w:hAnsi="Calibri"/>
          <w:b/>
          <w:lang w:val="en-US"/>
        </w:rPr>
        <w:t>The economic benefits of quality early childhood education</w:t>
      </w:r>
    </w:p>
    <w:p w:rsidR="00375FB1" w:rsidRPr="00A51385" w:rsidRDefault="00CB24A6" w:rsidP="00375FB1">
      <w:pPr>
        <w:rPr>
          <w:rFonts w:eastAsia="Calibri" w:cstheme="minorHAnsi"/>
        </w:rPr>
      </w:pPr>
      <w:r w:rsidRPr="00A516DA">
        <w:rPr>
          <w:rFonts w:ascii="Calibri" w:hAnsi="Calibri"/>
        </w:rPr>
        <w:t>A</w:t>
      </w:r>
      <w:r w:rsidR="00375FB1" w:rsidRPr="00A516DA">
        <w:rPr>
          <w:rFonts w:ascii="Calibri" w:hAnsi="Calibri"/>
          <w:lang w:val="en-US"/>
        </w:rPr>
        <w:t xml:space="preserve"> range of </w:t>
      </w:r>
      <w:r w:rsidR="00375FB1" w:rsidRPr="00A516DA">
        <w:rPr>
          <w:rFonts w:ascii="Calibri" w:hAnsi="Calibri"/>
        </w:rPr>
        <w:t xml:space="preserve">economic </w:t>
      </w:r>
      <w:r w:rsidR="00375FB1" w:rsidRPr="00A516DA">
        <w:rPr>
          <w:rFonts w:ascii="Calibri" w:hAnsi="Calibri"/>
          <w:lang w:val="en-US"/>
        </w:rPr>
        <w:t xml:space="preserve">benefits may be </w:t>
      </w:r>
      <w:r w:rsidR="00375FB1" w:rsidRPr="00BF0470">
        <w:rPr>
          <w:rFonts w:ascii="Calibri" w:eastAsia="Calibri" w:hAnsi="Calibri" w:cs="Calibri"/>
        </w:rPr>
        <w:t>realised</w:t>
      </w:r>
      <w:r w:rsidR="00375FB1" w:rsidRPr="00A516DA">
        <w:rPr>
          <w:rFonts w:ascii="Calibri" w:hAnsi="Calibri"/>
          <w:lang w:val="en-US"/>
        </w:rPr>
        <w:t xml:space="preserve"> in the immediate, medium and longer term</w:t>
      </w:r>
      <w:r w:rsidRPr="00A516DA">
        <w:rPr>
          <w:rFonts w:ascii="Calibri" w:hAnsi="Calibri"/>
        </w:rPr>
        <w:t>.</w:t>
      </w:r>
      <w:r w:rsidR="00375FB1" w:rsidRPr="00A516DA">
        <w:rPr>
          <w:rFonts w:ascii="Calibri" w:hAnsi="Calibri"/>
          <w:lang w:val="en-US"/>
        </w:rPr>
        <w:t xml:space="preserve"> </w:t>
      </w:r>
      <w:r w:rsidRPr="00A516DA">
        <w:rPr>
          <w:rFonts w:ascii="Calibri" w:hAnsi="Calibri"/>
        </w:rPr>
        <w:t xml:space="preserve">These benefits accrue </w:t>
      </w:r>
      <w:r w:rsidR="00375FB1" w:rsidRPr="00A516DA">
        <w:rPr>
          <w:rFonts w:ascii="Calibri" w:hAnsi="Calibri"/>
          <w:lang w:val="en-US"/>
        </w:rPr>
        <w:t>to participants of quality early childhood education, governments and broader society. Key benefit</w:t>
      </w:r>
      <w:r w:rsidRPr="00A516DA">
        <w:rPr>
          <w:rFonts w:ascii="Calibri" w:hAnsi="Calibri"/>
        </w:rPr>
        <w:t>s</w:t>
      </w:r>
      <w:r w:rsidR="00375FB1" w:rsidRPr="00A516DA">
        <w:rPr>
          <w:rFonts w:ascii="Calibri" w:hAnsi="Calibri"/>
          <w:lang w:val="en-US"/>
        </w:rPr>
        <w:t xml:space="preserve"> are shown in Table </w:t>
      </w:r>
      <w:r w:rsidR="00E31E45">
        <w:rPr>
          <w:rFonts w:ascii="Calibri" w:hAnsi="Calibri"/>
          <w:lang w:val="en-US"/>
        </w:rPr>
        <w:t>9</w:t>
      </w:r>
      <w:r w:rsidR="00122597">
        <w:rPr>
          <w:rFonts w:ascii="Calibri" w:hAnsi="Calibri"/>
          <w:lang w:val="en-US"/>
        </w:rPr>
        <w:t xml:space="preserve">. </w:t>
      </w:r>
      <w:r w:rsidR="00375FB1" w:rsidRPr="00A516DA">
        <w:rPr>
          <w:rFonts w:ascii="Calibri" w:hAnsi="Calibri"/>
        </w:rPr>
        <w:t>Evaluations</w:t>
      </w:r>
      <w:r w:rsidR="00375FB1" w:rsidRPr="6E2E3C9F">
        <w:rPr>
          <w:rFonts w:ascii="Calibri" w:eastAsia="Calibri" w:hAnsi="Calibri" w:cs="Calibri"/>
        </w:rPr>
        <w:t xml:space="preserve"> of the effects of </w:t>
      </w:r>
      <w:r w:rsidR="006F6429">
        <w:rPr>
          <w:rFonts w:ascii="Calibri" w:eastAsia="Calibri" w:hAnsi="Calibri" w:cs="Calibri"/>
        </w:rPr>
        <w:t xml:space="preserve">early childhood education </w:t>
      </w:r>
      <w:r w:rsidR="00375FB1" w:rsidRPr="6E2E3C9F">
        <w:rPr>
          <w:rFonts w:ascii="Calibri" w:eastAsia="Calibri" w:hAnsi="Calibri" w:cs="Calibri"/>
        </w:rPr>
        <w:t>to date ha</w:t>
      </w:r>
      <w:r w:rsidR="00375FB1">
        <w:rPr>
          <w:rFonts w:ascii="Calibri" w:eastAsia="Calibri" w:hAnsi="Calibri" w:cs="Calibri"/>
        </w:rPr>
        <w:t>ve primarily</w:t>
      </w:r>
      <w:r w:rsidR="00375FB1" w:rsidRPr="6E2E3C9F">
        <w:rPr>
          <w:rFonts w:ascii="Calibri" w:eastAsia="Calibri" w:hAnsi="Calibri" w:cs="Calibri"/>
        </w:rPr>
        <w:t xml:space="preserve"> focused on academic outcomes, notably cognitive skills, achievement, and grade level promotion and retention. As less is known about effects on social-emotional outcomes that </w:t>
      </w:r>
      <w:r w:rsidR="00375FB1" w:rsidRPr="00A51385">
        <w:rPr>
          <w:rFonts w:eastAsia="Calibri" w:cstheme="minorHAnsi"/>
        </w:rPr>
        <w:t>might be important for later academic and life success, it is possible the degree of benefit shown in the literature is understated.</w:t>
      </w:r>
      <w:r w:rsidR="00375FB1" w:rsidRPr="00A51385">
        <w:rPr>
          <w:rStyle w:val="EndnoteReference"/>
          <w:rFonts w:eastAsia="Calibri" w:cstheme="minorHAnsi"/>
        </w:rPr>
        <w:endnoteReference w:id="179"/>
      </w:r>
    </w:p>
    <w:p w:rsidR="00865EBE" w:rsidRDefault="00865EBE">
      <w:pPr>
        <w:spacing w:line="276" w:lineRule="auto"/>
        <w:rPr>
          <w:b/>
        </w:rPr>
      </w:pPr>
      <w:r>
        <w:rPr>
          <w:b/>
        </w:rPr>
        <w:br w:type="page"/>
      </w:r>
    </w:p>
    <w:p w:rsidR="00375FB1" w:rsidRPr="00A51385" w:rsidRDefault="00375FB1" w:rsidP="00375FB1">
      <w:pPr>
        <w:spacing w:before="240" w:after="180" w:line="264" w:lineRule="auto"/>
        <w:rPr>
          <w:rFonts w:eastAsia="Calibri" w:cstheme="minorHAnsi"/>
          <w:i/>
          <w:iCs/>
        </w:rPr>
      </w:pPr>
      <w:r w:rsidRPr="00A516DA">
        <w:rPr>
          <w:b/>
        </w:rPr>
        <w:t xml:space="preserve">Table </w:t>
      </w:r>
      <w:r w:rsidR="00E31E45" w:rsidRPr="00A516DA">
        <w:rPr>
          <w:b/>
        </w:rPr>
        <w:t>9:</w:t>
      </w:r>
      <w:r w:rsidRPr="00A516DA">
        <w:rPr>
          <w:rFonts w:eastAsia="Calibri" w:cstheme="minorHAnsi"/>
          <w:b/>
          <w:iCs/>
        </w:rPr>
        <w:t xml:space="preserve"> Economic effects of quality early childhood education</w:t>
      </w:r>
    </w:p>
    <w:tbl>
      <w:tblPr>
        <w:tblStyle w:val="GridTable2Accent2"/>
        <w:tblpPr w:leftFromText="181" w:rightFromText="181" w:vertAnchor="text" w:horzAnchor="margin" w:tblpY="1"/>
        <w:tblW w:w="0" w:type="auto"/>
        <w:tblLook w:val="04A0" w:firstRow="1" w:lastRow="0" w:firstColumn="1" w:lastColumn="0" w:noHBand="0" w:noVBand="1"/>
      </w:tblPr>
      <w:tblGrid>
        <w:gridCol w:w="3416"/>
        <w:gridCol w:w="2323"/>
        <w:gridCol w:w="1256"/>
        <w:gridCol w:w="1401"/>
        <w:gridCol w:w="846"/>
      </w:tblGrid>
      <w:tr w:rsidR="00375FB1" w:rsidRPr="00A51385" w:rsidTr="00852F0A">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vMerge w:val="restart"/>
          </w:tcPr>
          <w:p w:rsidR="00375FB1" w:rsidRPr="009C04B1" w:rsidRDefault="00375FB1" w:rsidP="00852F0A">
            <w:pPr>
              <w:jc w:val="center"/>
              <w:rPr>
                <w:rFonts w:cstheme="minorHAnsi"/>
                <w:sz w:val="21"/>
                <w:szCs w:val="21"/>
              </w:rPr>
            </w:pPr>
            <w:r w:rsidRPr="009C04B1">
              <w:rPr>
                <w:rFonts w:cstheme="minorHAnsi"/>
                <w:sz w:val="21"/>
                <w:szCs w:val="21"/>
              </w:rPr>
              <w:t>OUTCOME</w:t>
            </w:r>
          </w:p>
        </w:tc>
        <w:tc>
          <w:tcPr>
            <w:tcW w:w="0" w:type="auto"/>
            <w:vMerge w:val="restart"/>
          </w:tcPr>
          <w:p w:rsidR="00375FB1" w:rsidRPr="009C04B1" w:rsidRDefault="00375FB1" w:rsidP="00852F0A">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Timing of effect</w:t>
            </w:r>
          </w:p>
        </w:tc>
        <w:tc>
          <w:tcPr>
            <w:tcW w:w="0" w:type="auto"/>
            <w:gridSpan w:val="3"/>
          </w:tcPr>
          <w:p w:rsidR="00375FB1" w:rsidRPr="009C04B1" w:rsidRDefault="00375FB1" w:rsidP="00852F0A">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Who accrues the benefit</w:t>
            </w:r>
            <w:r w:rsidR="00820AA7">
              <w:rPr>
                <w:rFonts w:cstheme="minorHAnsi"/>
                <w:sz w:val="21"/>
                <w:szCs w:val="21"/>
              </w:rPr>
              <w:t>?</w:t>
            </w:r>
          </w:p>
        </w:tc>
      </w:tr>
      <w:tr w:rsidR="00375FB1" w:rsidRPr="00A51385" w:rsidTr="00852F0A">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vMerge/>
          </w:tcPr>
          <w:p w:rsidR="00375FB1" w:rsidRPr="009C04B1" w:rsidRDefault="00375FB1" w:rsidP="00852F0A">
            <w:pPr>
              <w:jc w:val="center"/>
              <w:rPr>
                <w:rFonts w:cstheme="minorHAnsi"/>
                <w:sz w:val="21"/>
                <w:szCs w:val="21"/>
              </w:rPr>
            </w:pPr>
          </w:p>
        </w:tc>
        <w:tc>
          <w:tcPr>
            <w:tcW w:w="0" w:type="auto"/>
            <w:vMerge/>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C04B1">
              <w:rPr>
                <w:rFonts w:cstheme="minorHAnsi"/>
                <w:b/>
                <w:bCs/>
                <w:sz w:val="21"/>
                <w:szCs w:val="21"/>
              </w:rPr>
              <w:t>Participants</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C04B1">
              <w:rPr>
                <w:rFonts w:cstheme="minorHAnsi"/>
                <w:b/>
                <w:bCs/>
                <w:sz w:val="21"/>
                <w:szCs w:val="21"/>
              </w:rPr>
              <w:t>Governments</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C04B1">
              <w:rPr>
                <w:rFonts w:cstheme="minorHAnsi"/>
                <w:b/>
                <w:bCs/>
                <w:sz w:val="21"/>
                <w:szCs w:val="21"/>
              </w:rPr>
              <w:t>Society</w:t>
            </w:r>
          </w:p>
        </w:tc>
      </w:tr>
      <w:tr w:rsidR="00375FB1" w:rsidRPr="00A51385" w:rsidTr="00852F0A">
        <w:trPr>
          <w:trHeight w:val="336"/>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Reduced child abuse and neglect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Childhood</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375FB1" w:rsidRPr="00A51385" w:rsidTr="00852F0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Improved school readiness</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Adulthood</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FB1" w:rsidRPr="00A51385" w:rsidTr="00852F0A">
        <w:trPr>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Higher achievement tests</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Adulthood</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375FB1" w:rsidRPr="00A51385" w:rsidTr="00852F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Reduced special education use</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School years</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FB1" w:rsidRPr="00A51385" w:rsidTr="00852F0A">
        <w:trPr>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Reduced grade retention</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School </w:t>
            </w:r>
            <w:r w:rsidRPr="009C04B1">
              <w:rPr>
                <w:rFonts w:cstheme="minorHAnsi"/>
                <w:sz w:val="21"/>
                <w:szCs w:val="21"/>
              </w:rPr>
              <w:t>years</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375FB1" w:rsidRPr="00A51385" w:rsidTr="00852F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Increased high school graduation</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Adulthood</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FB1" w:rsidRPr="00A51385" w:rsidTr="00852F0A">
        <w:trPr>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Increased higher education attainment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Adulthood</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375FB1" w:rsidRPr="00A51385" w:rsidTr="00852F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Higher earnings and taxes paid</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Adulthood</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FB1" w:rsidRPr="00A51385" w:rsidTr="00852F0A">
        <w:trPr>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Reduced crime</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Adolescence to adulthood</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r>
      <w:tr w:rsidR="00375FB1" w:rsidRPr="00A51385" w:rsidTr="00852F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Reduced welfare use</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Adolescence to adulthood</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FB1" w:rsidRPr="00A51385" w:rsidTr="00852F0A">
        <w:trPr>
          <w:trHeight w:val="42"/>
        </w:trPr>
        <w:tc>
          <w:tcPr>
            <w:cnfStyle w:val="001000000000" w:firstRow="0" w:lastRow="0" w:firstColumn="1" w:lastColumn="0" w:oddVBand="0" w:evenVBand="0" w:oddHBand="0" w:evenHBand="0" w:firstRowFirstColumn="0" w:firstRowLastColumn="0" w:lastRowFirstColumn="0" w:lastRowLastColumn="0"/>
            <w:tcW w:w="0" w:type="auto"/>
          </w:tcPr>
          <w:p w:rsidR="00375FB1" w:rsidRPr="009C04B1" w:rsidRDefault="00375FB1" w:rsidP="00852F0A">
            <w:pPr>
              <w:rPr>
                <w:rFonts w:cstheme="minorHAnsi"/>
                <w:sz w:val="21"/>
                <w:szCs w:val="21"/>
              </w:rPr>
            </w:pPr>
            <w:r w:rsidRPr="009C04B1">
              <w:rPr>
                <w:rFonts w:cstheme="minorHAnsi"/>
                <w:sz w:val="21"/>
                <w:szCs w:val="21"/>
              </w:rPr>
              <w:t>Improved health and health behaviours</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Adolescence to adulthood</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c>
          <w:tcPr>
            <w:tcW w:w="0" w:type="auto"/>
          </w:tcPr>
          <w:p w:rsidR="00375FB1" w:rsidRPr="009C04B1" w:rsidRDefault="00375FB1" w:rsidP="00852F0A">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C04B1">
              <w:rPr>
                <w:rFonts w:cstheme="minorHAnsi"/>
                <w:sz w:val="21"/>
                <w:szCs w:val="21"/>
              </w:rPr>
              <w:t>+</w:t>
            </w:r>
          </w:p>
        </w:tc>
      </w:tr>
    </w:tbl>
    <w:p w:rsidR="005846A0" w:rsidRPr="005846A0" w:rsidRDefault="005846A0" w:rsidP="00A516DA">
      <w:pPr>
        <w:spacing w:after="0"/>
        <w:rPr>
          <w:b/>
          <w:i/>
          <w:sz w:val="16"/>
          <w:szCs w:val="16"/>
        </w:rPr>
      </w:pPr>
      <w:r w:rsidRPr="005846A0">
        <w:rPr>
          <w:b/>
          <w:i/>
          <w:sz w:val="16"/>
          <w:szCs w:val="16"/>
        </w:rPr>
        <w:t>Source:</w:t>
      </w:r>
      <w:r w:rsidRPr="00A516DA">
        <w:rPr>
          <w:sz w:val="16"/>
          <w:szCs w:val="16"/>
        </w:rPr>
        <w:t xml:space="preserve"> Phillips, D, et al. (2017).</w:t>
      </w:r>
    </w:p>
    <w:p w:rsidR="00375FB1" w:rsidRPr="00A516DA" w:rsidRDefault="00375FB1" w:rsidP="00A516DA">
      <w:pPr>
        <w:spacing w:after="0"/>
        <w:rPr>
          <w:i/>
          <w:sz w:val="16"/>
          <w:szCs w:val="18"/>
        </w:rPr>
      </w:pPr>
      <w:r w:rsidRPr="00A516DA">
        <w:rPr>
          <w:i/>
          <w:sz w:val="16"/>
          <w:szCs w:val="18"/>
        </w:rPr>
        <w:t xml:space="preserve">Note: + denotes a favourable effect; – denotes an unfavourable effect. Parentheses indicate </w:t>
      </w:r>
      <w:proofErr w:type="spellStart"/>
      <w:r w:rsidRPr="00A516DA">
        <w:rPr>
          <w:i/>
          <w:sz w:val="16"/>
          <w:szCs w:val="18"/>
        </w:rPr>
        <w:t>monetisable</w:t>
      </w:r>
      <w:proofErr w:type="spellEnd"/>
      <w:r w:rsidRPr="00A516DA">
        <w:rPr>
          <w:i/>
          <w:sz w:val="16"/>
          <w:szCs w:val="18"/>
        </w:rPr>
        <w:t xml:space="preserve"> effect is indirect, i.e. through linkages to later outcomes.</w:t>
      </w:r>
    </w:p>
    <w:p w:rsidR="00375FB1" w:rsidRDefault="00CB24A6" w:rsidP="00304608">
      <w:pPr>
        <w:spacing w:before="240" w:after="120"/>
        <w:rPr>
          <w:rFonts w:ascii="Calibri" w:eastAsia="Calibri" w:hAnsi="Calibri" w:cs="Calibri"/>
        </w:rPr>
      </w:pPr>
      <w:r>
        <w:rPr>
          <w:rFonts w:ascii="Calibri" w:eastAsia="Calibri" w:hAnsi="Calibri" w:cs="Calibri"/>
        </w:rPr>
        <w:t>I</w:t>
      </w:r>
      <w:r w:rsidR="00375FB1" w:rsidRPr="6E2E3C9F">
        <w:rPr>
          <w:rFonts w:ascii="Calibri" w:eastAsia="Calibri" w:hAnsi="Calibri" w:cs="Calibri"/>
        </w:rPr>
        <w:t xml:space="preserve">t can take 8-15 years for total benefits to exceed costs, but </w:t>
      </w:r>
      <w:r w:rsidR="00832440">
        <w:rPr>
          <w:rFonts w:ascii="Calibri" w:eastAsia="Calibri" w:hAnsi="Calibri" w:cs="Calibri"/>
        </w:rPr>
        <w:t xml:space="preserve">benefits </w:t>
      </w:r>
      <w:r w:rsidR="00375FB1" w:rsidRPr="6E2E3C9F">
        <w:rPr>
          <w:rFonts w:ascii="Calibri" w:eastAsia="Calibri" w:hAnsi="Calibri" w:cs="Calibri"/>
        </w:rPr>
        <w:t xml:space="preserve">continue to </w:t>
      </w:r>
      <w:r w:rsidR="00832440">
        <w:rPr>
          <w:rFonts w:ascii="Calibri" w:eastAsia="Calibri" w:hAnsi="Calibri" w:cs="Calibri"/>
        </w:rPr>
        <w:t>accrue</w:t>
      </w:r>
      <w:r w:rsidR="00375FB1" w:rsidRPr="6E2E3C9F">
        <w:rPr>
          <w:rFonts w:ascii="Calibri" w:eastAsia="Calibri" w:hAnsi="Calibri" w:cs="Calibri"/>
        </w:rPr>
        <w:t xml:space="preserve"> </w:t>
      </w:r>
      <w:r w:rsidR="00832440">
        <w:rPr>
          <w:rFonts w:ascii="Calibri" w:eastAsia="Calibri" w:hAnsi="Calibri" w:cs="Calibri"/>
        </w:rPr>
        <w:t xml:space="preserve">and exceed costs, </w:t>
      </w:r>
      <w:r w:rsidR="00375FB1">
        <w:rPr>
          <w:rFonts w:ascii="Calibri" w:eastAsia="Calibri" w:hAnsi="Calibri" w:cs="Calibri"/>
        </w:rPr>
        <w:t>even after discount rates are applied</w:t>
      </w:r>
      <w:r w:rsidR="00375FB1" w:rsidRPr="6E2E3C9F">
        <w:rPr>
          <w:rFonts w:ascii="Calibri" w:eastAsia="Calibri" w:hAnsi="Calibri" w:cs="Calibri"/>
        </w:rPr>
        <w:t>.</w:t>
      </w:r>
      <w:r w:rsidR="00375FB1" w:rsidRPr="6E2E3C9F">
        <w:rPr>
          <w:rStyle w:val="EndnoteReference"/>
          <w:rFonts w:ascii="Calibri" w:eastAsia="Calibri" w:hAnsi="Calibri" w:cs="Calibri"/>
        </w:rPr>
        <w:endnoteReference w:id="180"/>
      </w:r>
      <w:r w:rsidR="00375FB1">
        <w:rPr>
          <w:rFonts w:ascii="Calibri" w:eastAsia="Calibri" w:hAnsi="Calibri" w:cs="Calibri"/>
        </w:rPr>
        <w:t xml:space="preserve"> This is particularly evident from longitudinal studies that have closely observed effects over time, such as the Chicago program (ages 20 and 26) and the P</w:t>
      </w:r>
      <w:r w:rsidR="00304608">
        <w:rPr>
          <w:rFonts w:ascii="Calibri" w:eastAsia="Calibri" w:hAnsi="Calibri" w:cs="Calibri"/>
        </w:rPr>
        <w:t xml:space="preserve">erry Program (ages 27 and 40). </w:t>
      </w:r>
    </w:p>
    <w:p w:rsidR="00375FB1" w:rsidRPr="00A516DA" w:rsidRDefault="00375FB1" w:rsidP="00375FB1">
      <w:pPr>
        <w:spacing w:before="360"/>
        <w:rPr>
          <w:lang w:val="en-US"/>
        </w:rPr>
      </w:pPr>
      <w:r w:rsidRPr="00A516DA">
        <w:rPr>
          <w:rFonts w:ascii="Calibri" w:hAnsi="Calibri"/>
          <w:i/>
        </w:rPr>
        <w:t xml:space="preserve">Interim </w:t>
      </w:r>
      <w:r w:rsidRPr="00A516DA">
        <w:rPr>
          <w:rFonts w:ascii="Calibri" w:hAnsi="Calibri"/>
          <w:i/>
          <w:lang w:val="en-US"/>
        </w:rPr>
        <w:t>fade-out effects</w:t>
      </w:r>
      <w:r w:rsidRPr="00A516DA">
        <w:rPr>
          <w:rFonts w:ascii="Calibri" w:hAnsi="Calibri"/>
          <w:i/>
        </w:rPr>
        <w:t xml:space="preserve"> do not </w:t>
      </w:r>
      <w:r w:rsidRPr="00A516DA">
        <w:rPr>
          <w:rFonts w:ascii="Calibri" w:hAnsi="Calibri"/>
          <w:i/>
          <w:lang w:val="en-US"/>
        </w:rPr>
        <w:t>undermine</w:t>
      </w:r>
      <w:r w:rsidRPr="00A516DA">
        <w:rPr>
          <w:rFonts w:ascii="Calibri" w:hAnsi="Calibri"/>
          <w:i/>
        </w:rPr>
        <w:t xml:space="preserve"> other</w:t>
      </w:r>
      <w:r w:rsidRPr="00A516DA">
        <w:rPr>
          <w:rFonts w:ascii="Calibri" w:hAnsi="Calibri"/>
          <w:i/>
          <w:lang w:val="en-US"/>
        </w:rPr>
        <w:t xml:space="preserve"> longer-term gains</w:t>
      </w:r>
    </w:p>
    <w:p w:rsidR="00375FB1" w:rsidRPr="00D323D9" w:rsidRDefault="00375FB1" w:rsidP="00375FB1">
      <w:pPr>
        <w:rPr>
          <w:rFonts w:cstheme="minorHAnsi"/>
          <w:color w:val="000000" w:themeColor="text1"/>
        </w:rPr>
      </w:pPr>
      <w:r w:rsidRPr="00EA52AD">
        <w:rPr>
          <w:rFonts w:ascii="Calibri" w:eastAsia="Calibri" w:hAnsi="Calibri" w:cs="Calibri"/>
          <w:color w:val="000000" w:themeColor="text1"/>
        </w:rPr>
        <w:t xml:space="preserve">A </w:t>
      </w:r>
      <w:r w:rsidRPr="00EA52AD">
        <w:rPr>
          <w:color w:val="000000" w:themeColor="text1"/>
        </w:rPr>
        <w:t xml:space="preserve">growing body of evidence shows that early childhood education can generate </w:t>
      </w:r>
      <w:r w:rsidRPr="00EA52AD">
        <w:rPr>
          <w:rFonts w:cstheme="minorHAnsi"/>
          <w:color w:val="000000" w:themeColor="text1"/>
        </w:rPr>
        <w:t xml:space="preserve">substantial </w:t>
      </w:r>
      <w:r w:rsidR="003C30CF" w:rsidRPr="00820AA7">
        <w:rPr>
          <w:rFonts w:cstheme="minorHAnsi"/>
          <w:color w:val="000000" w:themeColor="text1"/>
        </w:rPr>
        <w:t>long-</w:t>
      </w:r>
      <w:r>
        <w:rPr>
          <w:rFonts w:cstheme="minorHAnsi"/>
          <w:color w:val="000000" w:themeColor="text1"/>
        </w:rPr>
        <w:t>term</w:t>
      </w:r>
      <w:r w:rsidRPr="00EA52AD">
        <w:rPr>
          <w:rFonts w:cstheme="minorHAnsi"/>
          <w:color w:val="000000" w:themeColor="text1"/>
        </w:rPr>
        <w:t xml:space="preserve"> gains in e</w:t>
      </w:r>
      <w:r>
        <w:rPr>
          <w:rFonts w:cstheme="minorHAnsi"/>
          <w:color w:val="000000" w:themeColor="text1"/>
        </w:rPr>
        <w:t xml:space="preserve">ducational attainment, </w:t>
      </w:r>
      <w:r w:rsidR="008035B8">
        <w:rPr>
          <w:rFonts w:cstheme="minorHAnsi"/>
          <w:color w:val="000000" w:themeColor="text1"/>
        </w:rPr>
        <w:t xml:space="preserve">health, </w:t>
      </w:r>
      <w:r>
        <w:rPr>
          <w:rFonts w:cstheme="minorHAnsi"/>
          <w:color w:val="000000" w:themeColor="text1"/>
        </w:rPr>
        <w:t>earnings</w:t>
      </w:r>
      <w:r w:rsidRPr="00EA52AD">
        <w:rPr>
          <w:rFonts w:cstheme="minorHAnsi"/>
          <w:color w:val="000000" w:themeColor="text1"/>
        </w:rPr>
        <w:t xml:space="preserve"> and crime reduction, even </w:t>
      </w:r>
      <w:r w:rsidR="00360F3C">
        <w:rPr>
          <w:rFonts w:cstheme="minorHAnsi"/>
          <w:color w:val="000000" w:themeColor="text1"/>
        </w:rPr>
        <w:t>if</w:t>
      </w:r>
      <w:r w:rsidRPr="00EA52AD">
        <w:rPr>
          <w:rFonts w:cstheme="minorHAnsi"/>
          <w:color w:val="000000" w:themeColor="text1"/>
        </w:rPr>
        <w:t xml:space="preserve"> there is interim fadeout of test score gains </w:t>
      </w:r>
      <w:r w:rsidRPr="00EA52AD">
        <w:rPr>
          <w:rFonts w:ascii="Calibri" w:eastAsia="Calibri" w:hAnsi="Calibri" w:cs="Calibri"/>
          <w:color w:val="000000" w:themeColor="text1"/>
        </w:rPr>
        <w:t>as children progress through schooling</w:t>
      </w:r>
      <w:r w:rsidRPr="00EA52AD">
        <w:rPr>
          <w:rFonts w:cstheme="minorHAnsi"/>
          <w:color w:val="000000" w:themeColor="text1"/>
        </w:rPr>
        <w:t>.</w:t>
      </w:r>
      <w:r w:rsidRPr="00EA52AD">
        <w:rPr>
          <w:rStyle w:val="EndnoteReference"/>
          <w:rFonts w:cstheme="minorHAnsi"/>
          <w:color w:val="000000" w:themeColor="text1"/>
        </w:rPr>
        <w:endnoteReference w:id="181"/>
      </w:r>
      <w:r w:rsidRPr="00EA52AD">
        <w:rPr>
          <w:rFonts w:cstheme="minorHAnsi"/>
          <w:color w:val="000000" w:themeColor="text1"/>
        </w:rPr>
        <w:t xml:space="preserve"> </w:t>
      </w:r>
      <w:r>
        <w:rPr>
          <w:rFonts w:cstheme="minorHAnsi"/>
          <w:color w:val="000000" w:themeColor="text1"/>
        </w:rPr>
        <w:t>Gains in social and emotional skills obtained in preschool programs may not be captured on standardised tests but continue to create benefits well into adulthood</w:t>
      </w:r>
      <w:r w:rsidRPr="00EA52AD">
        <w:rPr>
          <w:rFonts w:cstheme="minorHAnsi"/>
          <w:color w:val="000000" w:themeColor="text1"/>
        </w:rPr>
        <w:t>.</w:t>
      </w:r>
      <w:r w:rsidRPr="00EA52AD">
        <w:rPr>
          <w:rStyle w:val="EndnoteReference"/>
          <w:rFonts w:cstheme="minorHAnsi"/>
          <w:color w:val="000000" w:themeColor="text1"/>
        </w:rPr>
        <w:endnoteReference w:id="182"/>
      </w:r>
      <w:r w:rsidRPr="00EA52AD">
        <w:rPr>
          <w:rFonts w:cstheme="minorHAnsi"/>
          <w:color w:val="000000" w:themeColor="text1"/>
        </w:rPr>
        <w:t xml:space="preserve"> This is supported by studies evaluating the US Head Start program, where short-run test score improvements fade after a few years, yet long-term evaluations indicate that participants are more likely to graduate from high school and less likely to commit crimes.</w:t>
      </w:r>
      <w:r w:rsidRPr="00EA52AD">
        <w:rPr>
          <w:rStyle w:val="EndnoteReference"/>
          <w:rFonts w:cstheme="minorHAnsi"/>
          <w:color w:val="000000" w:themeColor="text1"/>
        </w:rPr>
        <w:endnoteReference w:id="183"/>
      </w:r>
      <w:r w:rsidR="005362F0">
        <w:rPr>
          <w:rFonts w:cstheme="minorHAnsi"/>
          <w:color w:val="000000" w:themeColor="text1"/>
        </w:rPr>
        <w:t xml:space="preserve"> EPPSE also suggested that fade-out is less likely if the </w:t>
      </w:r>
      <w:r w:rsidR="0075414F">
        <w:rPr>
          <w:rFonts w:cstheme="minorHAnsi"/>
          <w:color w:val="000000" w:themeColor="text1"/>
        </w:rPr>
        <w:t xml:space="preserve">early childhood education </w:t>
      </w:r>
      <w:r w:rsidR="005362F0">
        <w:rPr>
          <w:rFonts w:cstheme="minorHAnsi"/>
          <w:color w:val="000000" w:themeColor="text1"/>
        </w:rPr>
        <w:t>is of the highest quality.</w:t>
      </w:r>
      <w:r w:rsidR="00B8036A">
        <w:rPr>
          <w:rStyle w:val="EndnoteReference"/>
          <w:rFonts w:cstheme="minorHAnsi"/>
          <w:color w:val="000000" w:themeColor="text1"/>
        </w:rPr>
        <w:endnoteReference w:id="184"/>
      </w:r>
    </w:p>
    <w:p w:rsidR="00375FB1" w:rsidRDefault="00375FB1" w:rsidP="00375FB1">
      <w:pPr>
        <w:rPr>
          <w:rFonts w:ascii="Calibri" w:eastAsia="Calibri" w:hAnsi="Calibri" w:cs="Calibri"/>
        </w:rPr>
      </w:pPr>
      <w:r>
        <w:rPr>
          <w:rFonts w:ascii="Calibri" w:eastAsia="Calibri" w:hAnsi="Calibri" w:cs="Calibri"/>
        </w:rPr>
        <w:t xml:space="preserve">In order for the </w:t>
      </w:r>
      <w:r w:rsidRPr="6E2E3C9F">
        <w:rPr>
          <w:rFonts w:ascii="Calibri" w:eastAsia="Calibri" w:hAnsi="Calibri" w:cs="Calibri"/>
        </w:rPr>
        <w:t xml:space="preserve">effects of quality </w:t>
      </w:r>
      <w:r w:rsidR="0075414F">
        <w:rPr>
          <w:rFonts w:cstheme="minorHAnsi"/>
          <w:color w:val="000000" w:themeColor="text1"/>
        </w:rPr>
        <w:t>early childhood education</w:t>
      </w:r>
      <w:r w:rsidRPr="6E2E3C9F">
        <w:rPr>
          <w:rFonts w:ascii="Calibri" w:eastAsia="Calibri" w:hAnsi="Calibri" w:cs="Calibri"/>
        </w:rPr>
        <w:t xml:space="preserve"> to last and be maximised over time</w:t>
      </w:r>
      <w:r>
        <w:rPr>
          <w:rFonts w:ascii="Calibri" w:eastAsia="Calibri" w:hAnsi="Calibri" w:cs="Calibri"/>
        </w:rPr>
        <w:t xml:space="preserve">, </w:t>
      </w:r>
      <w:r w:rsidRPr="6E2E3C9F">
        <w:rPr>
          <w:rFonts w:ascii="Calibri" w:eastAsia="Calibri" w:hAnsi="Calibri" w:cs="Calibri"/>
        </w:rPr>
        <w:t xml:space="preserve">preschool cannot be viewed in isolation from subsequent years of schooling. Children’s early learning trajectories depend on the quality of their learning experiences not only </w:t>
      </w:r>
      <w:r>
        <w:rPr>
          <w:rFonts w:ascii="Calibri" w:eastAsia="Calibri" w:hAnsi="Calibri" w:cs="Calibri"/>
        </w:rPr>
        <w:t>during preschool</w:t>
      </w:r>
      <w:r w:rsidRPr="6E2E3C9F">
        <w:rPr>
          <w:rFonts w:ascii="Calibri" w:eastAsia="Calibri" w:hAnsi="Calibri" w:cs="Calibri"/>
        </w:rPr>
        <w:t xml:space="preserve">, but also </w:t>
      </w:r>
      <w:r w:rsidR="00360F3C">
        <w:rPr>
          <w:rFonts w:ascii="Calibri" w:eastAsia="Calibri" w:hAnsi="Calibri" w:cs="Calibri"/>
        </w:rPr>
        <w:t>after</w:t>
      </w:r>
      <w:r>
        <w:rPr>
          <w:rFonts w:ascii="Calibri" w:eastAsia="Calibri" w:hAnsi="Calibri" w:cs="Calibri"/>
        </w:rPr>
        <w:t>.</w:t>
      </w:r>
      <w:r>
        <w:rPr>
          <w:rStyle w:val="EndnoteReference"/>
          <w:rFonts w:ascii="Calibri" w:eastAsia="Calibri" w:hAnsi="Calibri" w:cs="Calibri"/>
        </w:rPr>
        <w:endnoteReference w:id="185"/>
      </w:r>
      <w:r>
        <w:rPr>
          <w:rFonts w:ascii="Calibri" w:eastAsia="Calibri" w:hAnsi="Calibri" w:cs="Calibri"/>
        </w:rPr>
        <w:t xml:space="preserve"> Further</w:t>
      </w:r>
      <w:r w:rsidR="00360F3C">
        <w:rPr>
          <w:rFonts w:ascii="Calibri" w:eastAsia="Calibri" w:hAnsi="Calibri" w:cs="Calibri"/>
        </w:rPr>
        <w:t>,</w:t>
      </w:r>
      <w:r>
        <w:rPr>
          <w:rFonts w:ascii="Calibri" w:eastAsia="Calibri" w:hAnsi="Calibri" w:cs="Calibri"/>
        </w:rPr>
        <w:t xml:space="preserve"> there is a need to ensure a seamless transition from preschool to school education, </w:t>
      </w:r>
      <w:r w:rsidR="00360F3C">
        <w:rPr>
          <w:rFonts w:ascii="Calibri" w:eastAsia="Calibri" w:hAnsi="Calibri" w:cs="Calibri"/>
        </w:rPr>
        <w:t xml:space="preserve">including </w:t>
      </w:r>
      <w:r>
        <w:rPr>
          <w:rFonts w:ascii="Calibri" w:eastAsia="Calibri" w:hAnsi="Calibri" w:cs="Calibri"/>
        </w:rPr>
        <w:t>adequate transmission of information on individual students a</w:t>
      </w:r>
      <w:r w:rsidR="00360F3C">
        <w:rPr>
          <w:rFonts w:ascii="Calibri" w:eastAsia="Calibri" w:hAnsi="Calibri" w:cs="Calibri"/>
        </w:rPr>
        <w:t xml:space="preserve">nd considered efforts by schools </w:t>
      </w:r>
      <w:r>
        <w:rPr>
          <w:rFonts w:ascii="Calibri" w:eastAsia="Calibri" w:hAnsi="Calibri" w:cs="Calibri"/>
        </w:rPr>
        <w:t xml:space="preserve">to build </w:t>
      </w:r>
      <w:r w:rsidR="00D01F35">
        <w:rPr>
          <w:rFonts w:ascii="Calibri" w:eastAsia="Calibri" w:hAnsi="Calibri" w:cs="Calibri"/>
        </w:rPr>
        <w:t>up</w:t>
      </w:r>
      <w:r>
        <w:rPr>
          <w:rFonts w:ascii="Calibri" w:eastAsia="Calibri" w:hAnsi="Calibri" w:cs="Calibri"/>
        </w:rPr>
        <w:t>on the early childhood education foundation.</w:t>
      </w:r>
    </w:p>
    <w:p w:rsidR="00375FB1" w:rsidRDefault="00304608" w:rsidP="00375FB1">
      <w:pPr>
        <w:rPr>
          <w:rFonts w:ascii="Calibri" w:eastAsia="Calibri" w:hAnsi="Calibri" w:cs="Calibri"/>
          <w:i/>
        </w:rPr>
      </w:pPr>
      <w:r>
        <w:rPr>
          <w:rFonts w:ascii="Calibri" w:eastAsia="Calibri" w:hAnsi="Calibri" w:cs="Calibri"/>
          <w:i/>
        </w:rPr>
        <w:t>Distribution of benefits</w:t>
      </w:r>
    </w:p>
    <w:p w:rsidR="003C6B0F" w:rsidRDefault="00030983" w:rsidP="00304608">
      <w:pPr>
        <w:spacing w:before="240" w:after="120"/>
        <w:rPr>
          <w:rFonts w:ascii="Calibri" w:eastAsia="Calibri" w:hAnsi="Calibri" w:cs="Calibri"/>
        </w:rPr>
      </w:pPr>
      <w:r w:rsidRPr="00470D18">
        <w:rPr>
          <w:rFonts w:ascii="Calibri" w:eastAsia="Calibri" w:hAnsi="Calibri" w:cs="Calibri"/>
        </w:rPr>
        <w:t>L</w:t>
      </w:r>
      <w:r w:rsidRPr="00FC0EC5">
        <w:rPr>
          <w:rFonts w:ascii="Calibri" w:eastAsia="Calibri" w:hAnsi="Calibri" w:cs="Calibri"/>
        </w:rPr>
        <w:t xml:space="preserve">arge portions of the economic returns of high-quality </w:t>
      </w:r>
      <w:r w:rsidR="00431340">
        <w:rPr>
          <w:rFonts w:ascii="Calibri" w:eastAsia="Calibri" w:hAnsi="Calibri" w:cs="Calibri"/>
        </w:rPr>
        <w:t>early childhood education</w:t>
      </w:r>
      <w:r w:rsidRPr="00FC0EC5">
        <w:rPr>
          <w:rFonts w:ascii="Calibri" w:eastAsia="Calibri" w:hAnsi="Calibri" w:cs="Calibri"/>
        </w:rPr>
        <w:t xml:space="preserve"> accrue</w:t>
      </w:r>
      <w:r w:rsidR="00304608" w:rsidRPr="6E2E3C9F">
        <w:rPr>
          <w:rFonts w:ascii="Calibri" w:eastAsia="Calibri" w:hAnsi="Calibri" w:cs="Calibri"/>
        </w:rPr>
        <w:t xml:space="preserve"> to participants in the form of higher lifetime earnings and greater wellbeing</w:t>
      </w:r>
      <w:r w:rsidR="00231BBB">
        <w:rPr>
          <w:rFonts w:ascii="Calibri" w:eastAsia="Calibri" w:hAnsi="Calibri" w:cs="Calibri"/>
        </w:rPr>
        <w:t xml:space="preserve">. However, </w:t>
      </w:r>
      <w:r w:rsidR="00304608" w:rsidRPr="6E2E3C9F">
        <w:rPr>
          <w:rFonts w:ascii="Calibri" w:eastAsia="Calibri" w:hAnsi="Calibri" w:cs="Calibri"/>
        </w:rPr>
        <w:t>government</w:t>
      </w:r>
      <w:r w:rsidR="00304608">
        <w:rPr>
          <w:rFonts w:ascii="Calibri" w:eastAsia="Calibri" w:hAnsi="Calibri" w:cs="Calibri"/>
        </w:rPr>
        <w:t xml:space="preserve">s </w:t>
      </w:r>
      <w:r w:rsidR="00231BBB">
        <w:rPr>
          <w:rFonts w:ascii="Calibri" w:eastAsia="Calibri" w:hAnsi="Calibri" w:cs="Calibri"/>
        </w:rPr>
        <w:t xml:space="preserve">also benefit. </w:t>
      </w:r>
    </w:p>
    <w:p w:rsidR="00231BBB" w:rsidRDefault="00231BBB" w:rsidP="00304608">
      <w:pPr>
        <w:spacing w:before="240" w:after="120"/>
        <w:rPr>
          <w:rFonts w:ascii="Calibri" w:eastAsia="Calibri" w:hAnsi="Calibri" w:cs="Calibri"/>
        </w:rPr>
      </w:pPr>
      <w:r>
        <w:rPr>
          <w:rFonts w:ascii="Calibri" w:eastAsia="Calibri" w:hAnsi="Calibri" w:cs="Calibri"/>
        </w:rPr>
        <w:t xml:space="preserve">The Commonwealth Government </w:t>
      </w:r>
      <w:r w:rsidR="003C6B0F">
        <w:rPr>
          <w:rFonts w:ascii="Calibri" w:eastAsia="Calibri" w:hAnsi="Calibri" w:cs="Calibri"/>
        </w:rPr>
        <w:t xml:space="preserve">benefits significantly, </w:t>
      </w:r>
      <w:r w:rsidR="006F6429">
        <w:rPr>
          <w:rFonts w:ascii="Calibri" w:eastAsia="Calibri" w:hAnsi="Calibri" w:cs="Calibri"/>
        </w:rPr>
        <w:t xml:space="preserve">through </w:t>
      </w:r>
      <w:r w:rsidR="00304608" w:rsidRPr="6E2E3C9F">
        <w:rPr>
          <w:rFonts w:ascii="Calibri" w:eastAsia="Calibri" w:hAnsi="Calibri" w:cs="Calibri"/>
        </w:rPr>
        <w:t xml:space="preserve">higher taxes paid </w:t>
      </w:r>
      <w:r>
        <w:rPr>
          <w:rFonts w:ascii="Calibri" w:eastAsia="Calibri" w:hAnsi="Calibri" w:cs="Calibri"/>
        </w:rPr>
        <w:t>on earnings</w:t>
      </w:r>
      <w:r w:rsidR="00304608">
        <w:rPr>
          <w:rFonts w:ascii="Calibri" w:eastAsia="Calibri" w:hAnsi="Calibri" w:cs="Calibri"/>
        </w:rPr>
        <w:t>,</w:t>
      </w:r>
      <w:r w:rsidR="00304608" w:rsidRPr="6E2E3C9F">
        <w:rPr>
          <w:rFonts w:ascii="Calibri" w:eastAsia="Calibri" w:hAnsi="Calibri" w:cs="Calibri"/>
        </w:rPr>
        <w:t xml:space="preserve"> </w:t>
      </w:r>
      <w:r>
        <w:rPr>
          <w:rFonts w:ascii="Calibri" w:eastAsia="Calibri" w:hAnsi="Calibri" w:cs="Calibri"/>
        </w:rPr>
        <w:t>and saves through reduced unemployment benefits</w:t>
      </w:r>
      <w:r w:rsidR="00D01F35">
        <w:rPr>
          <w:rFonts w:ascii="Calibri" w:eastAsia="Calibri" w:hAnsi="Calibri" w:cs="Calibri"/>
        </w:rPr>
        <w:t>,</w:t>
      </w:r>
      <w:r>
        <w:rPr>
          <w:rFonts w:ascii="Calibri" w:eastAsia="Calibri" w:hAnsi="Calibri" w:cs="Calibri"/>
        </w:rPr>
        <w:t xml:space="preserve"> and other social services </w:t>
      </w:r>
      <w:r w:rsidR="00D01F35">
        <w:rPr>
          <w:rFonts w:ascii="Calibri" w:eastAsia="Calibri" w:hAnsi="Calibri" w:cs="Calibri"/>
        </w:rPr>
        <w:t xml:space="preserve">and health </w:t>
      </w:r>
      <w:r>
        <w:rPr>
          <w:rFonts w:ascii="Calibri" w:eastAsia="Calibri" w:hAnsi="Calibri" w:cs="Calibri"/>
        </w:rPr>
        <w:t>costs</w:t>
      </w:r>
      <w:r w:rsidR="00D01F35">
        <w:rPr>
          <w:rFonts w:ascii="Calibri" w:eastAsia="Calibri" w:hAnsi="Calibri" w:cs="Calibri"/>
        </w:rPr>
        <w:t xml:space="preserve">. </w:t>
      </w:r>
      <w:r>
        <w:rPr>
          <w:rFonts w:ascii="Calibri" w:eastAsia="Calibri" w:hAnsi="Calibri" w:cs="Calibri"/>
        </w:rPr>
        <w:t>This is additional to any gains from income tax received from higher parental workforce participation. Given higher educational attainment, the Commonwealth Government may also have slightly higher expenditure in higher education.</w:t>
      </w:r>
    </w:p>
    <w:p w:rsidR="00231BBB" w:rsidRDefault="00231BBB" w:rsidP="00304608">
      <w:pPr>
        <w:spacing w:before="240" w:after="120"/>
        <w:rPr>
          <w:rFonts w:ascii="Calibri" w:eastAsia="Calibri" w:hAnsi="Calibri" w:cs="Calibri"/>
        </w:rPr>
      </w:pPr>
      <w:r>
        <w:rPr>
          <w:rFonts w:ascii="Calibri" w:eastAsia="Calibri" w:hAnsi="Calibri" w:cs="Calibri"/>
        </w:rPr>
        <w:t xml:space="preserve">The </w:t>
      </w:r>
      <w:r w:rsidR="0037370A">
        <w:rPr>
          <w:rFonts w:ascii="Calibri" w:eastAsia="Calibri" w:hAnsi="Calibri" w:cs="Calibri"/>
        </w:rPr>
        <w:t>state</w:t>
      </w:r>
      <w:r>
        <w:rPr>
          <w:rFonts w:ascii="Calibri" w:eastAsia="Calibri" w:hAnsi="Calibri" w:cs="Calibri"/>
        </w:rPr>
        <w:t xml:space="preserve"> and </w:t>
      </w:r>
      <w:r w:rsidR="0037370A">
        <w:rPr>
          <w:rFonts w:ascii="Calibri" w:eastAsia="Calibri" w:hAnsi="Calibri" w:cs="Calibri"/>
        </w:rPr>
        <w:t>territory</w:t>
      </w:r>
      <w:r>
        <w:rPr>
          <w:rFonts w:ascii="Calibri" w:eastAsia="Calibri" w:hAnsi="Calibri" w:cs="Calibri"/>
        </w:rPr>
        <w:t xml:space="preserve"> governments benefit from lower health and justice costs, and lower remediation costs in schools (less additional</w:t>
      </w:r>
      <w:r w:rsidR="003D1131">
        <w:rPr>
          <w:rFonts w:ascii="Calibri" w:eastAsia="Calibri" w:hAnsi="Calibri" w:cs="Calibri"/>
        </w:rPr>
        <w:t xml:space="preserve"> support and grade repetitions). They also </w:t>
      </w:r>
      <w:r>
        <w:rPr>
          <w:rFonts w:ascii="Calibri" w:eastAsia="Calibri" w:hAnsi="Calibri" w:cs="Calibri"/>
        </w:rPr>
        <w:t>benefit moderately from higher income</w:t>
      </w:r>
      <w:r w:rsidR="001F023B">
        <w:rPr>
          <w:rFonts w:ascii="Calibri" w:eastAsia="Calibri" w:hAnsi="Calibri" w:cs="Calibri"/>
        </w:rPr>
        <w:t xml:space="preserve"> levels</w:t>
      </w:r>
      <w:r>
        <w:rPr>
          <w:rFonts w:ascii="Calibri" w:eastAsia="Calibri" w:hAnsi="Calibri" w:cs="Calibri"/>
        </w:rPr>
        <w:t xml:space="preserve"> (through payroll taxes), </w:t>
      </w:r>
      <w:r w:rsidR="003D1131">
        <w:rPr>
          <w:rFonts w:ascii="Calibri" w:eastAsia="Calibri" w:hAnsi="Calibri" w:cs="Calibri"/>
        </w:rPr>
        <w:t xml:space="preserve">to balance the potential for </w:t>
      </w:r>
      <w:r>
        <w:rPr>
          <w:rFonts w:ascii="Calibri" w:eastAsia="Calibri" w:hAnsi="Calibri" w:cs="Calibri"/>
        </w:rPr>
        <w:t xml:space="preserve">increased schooling costs due to higher retention rates. </w:t>
      </w:r>
    </w:p>
    <w:p w:rsidR="00CB4751" w:rsidRDefault="00CB4751" w:rsidP="00304608">
      <w:pPr>
        <w:spacing w:before="240" w:after="120"/>
        <w:rPr>
          <w:rFonts w:ascii="Calibri" w:eastAsia="Calibri" w:hAnsi="Calibri" w:cs="Calibri"/>
        </w:rPr>
      </w:pPr>
      <w:r>
        <w:rPr>
          <w:rFonts w:ascii="Calibri" w:eastAsia="Calibri" w:hAnsi="Calibri" w:cs="Calibri"/>
        </w:rPr>
        <w:t xml:space="preserve">Modelling of an earlier early childhood education reform proposal indicated that in Australia, 65 per cent of fiscal benefits would flow to the </w:t>
      </w:r>
      <w:r w:rsidR="00924A05">
        <w:rPr>
          <w:rFonts w:ascii="Calibri" w:eastAsia="Calibri" w:hAnsi="Calibri" w:cs="Calibri"/>
        </w:rPr>
        <w:t xml:space="preserve">Commonwealth </w:t>
      </w:r>
      <w:proofErr w:type="spellStart"/>
      <w:r w:rsidR="00924A05">
        <w:rPr>
          <w:rFonts w:ascii="Calibri" w:eastAsia="Calibri" w:hAnsi="Calibri" w:cs="Calibri"/>
        </w:rPr>
        <w:t>G</w:t>
      </w:r>
      <w:r>
        <w:rPr>
          <w:rFonts w:ascii="Calibri" w:eastAsia="Calibri" w:hAnsi="Calibri" w:cs="Calibri"/>
        </w:rPr>
        <w:t>overnmentand</w:t>
      </w:r>
      <w:proofErr w:type="spellEnd"/>
      <w:r>
        <w:rPr>
          <w:rFonts w:ascii="Calibri" w:eastAsia="Calibri" w:hAnsi="Calibri" w:cs="Calibri"/>
        </w:rPr>
        <w:t xml:space="preserve"> 35 per</w:t>
      </w:r>
      <w:r w:rsidR="00EE71D3">
        <w:rPr>
          <w:rFonts w:ascii="Calibri" w:eastAsia="Calibri" w:hAnsi="Calibri" w:cs="Calibri"/>
        </w:rPr>
        <w:t xml:space="preserve"> </w:t>
      </w:r>
      <w:r>
        <w:rPr>
          <w:rFonts w:ascii="Calibri" w:eastAsia="Calibri" w:hAnsi="Calibri" w:cs="Calibri"/>
        </w:rPr>
        <w:t xml:space="preserve">cent to </w:t>
      </w:r>
      <w:r w:rsidR="001752FD">
        <w:rPr>
          <w:rFonts w:ascii="Calibri" w:eastAsia="Calibri" w:hAnsi="Calibri" w:cs="Calibri"/>
        </w:rPr>
        <w:t>s</w:t>
      </w:r>
      <w:r>
        <w:rPr>
          <w:rFonts w:ascii="Calibri" w:eastAsia="Calibri" w:hAnsi="Calibri" w:cs="Calibri"/>
        </w:rPr>
        <w:t xml:space="preserve">tate and </w:t>
      </w:r>
      <w:r w:rsidR="001752FD">
        <w:rPr>
          <w:rFonts w:ascii="Calibri" w:eastAsia="Calibri" w:hAnsi="Calibri" w:cs="Calibri"/>
        </w:rPr>
        <w:t>t</w:t>
      </w:r>
      <w:r>
        <w:rPr>
          <w:rFonts w:ascii="Calibri" w:eastAsia="Calibri" w:hAnsi="Calibri" w:cs="Calibri"/>
        </w:rPr>
        <w:t>erritory governments.</w:t>
      </w:r>
      <w:r w:rsidR="00EE71D3">
        <w:rPr>
          <w:rStyle w:val="EndnoteReference"/>
          <w:rFonts w:ascii="Calibri" w:eastAsia="Calibri" w:hAnsi="Calibri" w:cs="Calibri"/>
        </w:rPr>
        <w:endnoteReference w:id="186"/>
      </w:r>
    </w:p>
    <w:p w:rsidR="00424061" w:rsidRDefault="00424061" w:rsidP="00304608">
      <w:pPr>
        <w:spacing w:before="240" w:after="120"/>
        <w:rPr>
          <w:rFonts w:ascii="Calibri" w:eastAsia="Calibri" w:hAnsi="Calibri" w:cs="Calibri"/>
        </w:rPr>
      </w:pPr>
    </w:p>
    <w:tbl>
      <w:tblPr>
        <w:tblStyle w:val="TableGrid"/>
        <w:tblW w:w="0" w:type="auto"/>
        <w:tblLook w:val="04A0" w:firstRow="1" w:lastRow="0" w:firstColumn="1" w:lastColumn="0" w:noHBand="0" w:noVBand="1"/>
      </w:tblPr>
      <w:tblGrid>
        <w:gridCol w:w="9242"/>
      </w:tblGrid>
      <w:tr w:rsidR="00424061" w:rsidTr="00424061">
        <w:tc>
          <w:tcPr>
            <w:tcW w:w="9242" w:type="dxa"/>
          </w:tcPr>
          <w:p w:rsidR="00424061" w:rsidRPr="004D41AB" w:rsidRDefault="004D41AB" w:rsidP="00424061">
            <w:pPr>
              <w:rPr>
                <w:b/>
              </w:rPr>
            </w:pPr>
            <w:r w:rsidRPr="004D41AB">
              <w:rPr>
                <w:b/>
              </w:rPr>
              <w:t>Skills for future jobs and the future economy</w:t>
            </w:r>
          </w:p>
          <w:p w:rsidR="004D41AB" w:rsidRDefault="004D41AB" w:rsidP="00424061"/>
          <w:p w:rsidR="00424061" w:rsidRDefault="00424061" w:rsidP="00424061">
            <w:r>
              <w:t xml:space="preserve">Advances in technology are changing the workplace and it is important to prepare today’s children for tomorrow’s jobs. </w:t>
            </w:r>
            <w:r w:rsidR="00EE0AC8">
              <w:t xml:space="preserve">Just as many of today’s jobs didn’t exist twenty years ago, it is not </w:t>
            </w:r>
            <w:r w:rsidR="00FC0EC5">
              <w:t xml:space="preserve">definitively </w:t>
            </w:r>
            <w:r w:rsidR="00EE0AC8">
              <w:t>known what the</w:t>
            </w:r>
            <w:r w:rsidR="004D41AB">
              <w:t xml:space="preserve"> jobs of the future will be</w:t>
            </w:r>
            <w:r w:rsidR="00EE0AC8">
              <w:t>. B</w:t>
            </w:r>
            <w:r w:rsidR="004D41AB">
              <w:t xml:space="preserve">ut there is good understanding of the core skills that will be needed </w:t>
            </w:r>
            <w:r>
              <w:t xml:space="preserve">to </w:t>
            </w:r>
            <w:r w:rsidR="004D41AB">
              <w:t>succeed</w:t>
            </w:r>
            <w:r>
              <w:t>.</w:t>
            </w:r>
            <w:r w:rsidR="003C37BA">
              <w:t xml:space="preserve"> </w:t>
            </w:r>
          </w:p>
          <w:p w:rsidR="00424061" w:rsidRDefault="00424061" w:rsidP="00424061"/>
          <w:p w:rsidR="00424061" w:rsidRDefault="00424061" w:rsidP="00424061">
            <w:r>
              <w:t xml:space="preserve">The ability to apply knowledge creatively and effectively is </w:t>
            </w:r>
            <w:r w:rsidRPr="00830DA1">
              <w:t>increasing</w:t>
            </w:r>
            <w:r w:rsidR="00FC0EC5">
              <w:t>ly</w:t>
            </w:r>
            <w:r>
              <w:t xml:space="preserve"> in demand, and is the key to support future skills and employment. </w:t>
            </w:r>
            <w:r>
              <w:rPr>
                <w:rStyle w:val="EndnoteReference"/>
              </w:rPr>
              <w:endnoteReference w:id="187"/>
            </w:r>
            <w:r>
              <w:t xml:space="preserve"> Cognitive skills such as literacy, numeracy and critical analysis, paired with soft skills such as creative thinking, curiosity and people skills will support the future workforce to thrive in what will likely be an economy driven by science, technology, engineering and maths.</w:t>
            </w:r>
            <w:r>
              <w:rPr>
                <w:rStyle w:val="EndnoteReference"/>
              </w:rPr>
              <w:endnoteReference w:id="188"/>
            </w:r>
            <w:r>
              <w:t xml:space="preserve"> </w:t>
            </w:r>
          </w:p>
          <w:p w:rsidR="00424061" w:rsidRDefault="00424061" w:rsidP="00424061"/>
          <w:p w:rsidR="00424061" w:rsidRPr="00A516DA" w:rsidRDefault="00424061" w:rsidP="001F023B">
            <w:pPr>
              <w:pStyle w:val="NormalWeb"/>
              <w:shd w:val="clear" w:color="auto" w:fill="FFFFFF"/>
              <w:spacing w:before="0" w:beforeAutospacing="0" w:after="270" w:afterAutospacing="0"/>
              <w:textAlignment w:val="baseline"/>
              <w:rPr>
                <w:rFonts w:asciiTheme="minorHAnsi" w:hAnsiTheme="minorHAnsi"/>
                <w:sz w:val="22"/>
                <w:lang w:val="en-AU"/>
              </w:rPr>
            </w:pPr>
            <w:r w:rsidRPr="00A516DA">
              <w:rPr>
                <w:rFonts w:asciiTheme="minorHAnsi" w:hAnsiTheme="minorHAnsi"/>
                <w:sz w:val="22"/>
                <w:lang w:val="en-AU"/>
              </w:rPr>
              <w:t xml:space="preserve">The </w:t>
            </w:r>
            <w:r w:rsidRPr="00A516DA">
              <w:rPr>
                <w:rFonts w:asciiTheme="minorHAnsi" w:hAnsiTheme="minorHAnsi"/>
                <w:sz w:val="22"/>
              </w:rPr>
              <w:t xml:space="preserve">foundations for these skills are </w:t>
            </w:r>
            <w:r w:rsidRPr="00A516DA">
              <w:rPr>
                <w:rFonts w:asciiTheme="minorHAnsi" w:hAnsiTheme="minorHAnsi"/>
                <w:color w:val="000000" w:themeColor="text1"/>
                <w:sz w:val="22"/>
              </w:rPr>
              <w:t xml:space="preserve">established </w:t>
            </w:r>
            <w:r w:rsidR="004D41AB" w:rsidRPr="00A516DA">
              <w:rPr>
                <w:rFonts w:asciiTheme="minorHAnsi" w:hAnsiTheme="minorHAnsi"/>
                <w:color w:val="000000" w:themeColor="text1"/>
                <w:sz w:val="22"/>
                <w:lang w:val="en-AU"/>
              </w:rPr>
              <w:t xml:space="preserve">in </w:t>
            </w:r>
            <w:r w:rsidRPr="00A516DA">
              <w:rPr>
                <w:rFonts w:asciiTheme="minorHAnsi" w:hAnsiTheme="minorHAnsi"/>
                <w:color w:val="000000" w:themeColor="text1"/>
                <w:sz w:val="22"/>
              </w:rPr>
              <w:t>early childhood education.</w:t>
            </w:r>
            <w:r w:rsidRPr="00A516DA">
              <w:rPr>
                <w:rStyle w:val="EndnoteReference"/>
                <w:rFonts w:asciiTheme="minorHAnsi" w:hAnsiTheme="minorHAnsi"/>
                <w:color w:val="000000" w:themeColor="text1"/>
                <w:sz w:val="22"/>
              </w:rPr>
              <w:endnoteReference w:id="189"/>
            </w:r>
            <w:r w:rsidRPr="00A516DA">
              <w:rPr>
                <w:rFonts w:asciiTheme="minorHAnsi" w:hAnsiTheme="minorHAnsi"/>
                <w:color w:val="000000" w:themeColor="text1"/>
                <w:sz w:val="22"/>
              </w:rPr>
              <w:t xml:space="preserve"> </w:t>
            </w:r>
            <w:r w:rsidR="004D41AB" w:rsidRPr="00A516DA">
              <w:rPr>
                <w:rFonts w:asciiTheme="minorHAnsi" w:hAnsiTheme="minorHAnsi"/>
                <w:color w:val="000000" w:themeColor="text1"/>
                <w:sz w:val="22"/>
                <w:lang w:val="en-AU"/>
              </w:rPr>
              <w:t>Q</w:t>
            </w:r>
            <w:proofErr w:type="spellStart"/>
            <w:r w:rsidRPr="00A516DA">
              <w:rPr>
                <w:rFonts w:asciiTheme="minorHAnsi" w:hAnsiTheme="minorHAnsi"/>
                <w:color w:val="000000" w:themeColor="text1"/>
                <w:sz w:val="22"/>
              </w:rPr>
              <w:t>uality</w:t>
            </w:r>
            <w:proofErr w:type="spellEnd"/>
            <w:r w:rsidRPr="00A516DA">
              <w:rPr>
                <w:rFonts w:asciiTheme="minorHAnsi" w:hAnsiTheme="minorHAnsi"/>
                <w:color w:val="000000" w:themeColor="text1"/>
                <w:sz w:val="22"/>
              </w:rPr>
              <w:t xml:space="preserve"> early childhood education supports the development of </w:t>
            </w:r>
            <w:r w:rsidRPr="00A516DA">
              <w:rPr>
                <w:rFonts w:asciiTheme="minorHAnsi" w:hAnsiTheme="minorHAnsi"/>
                <w:color w:val="000000" w:themeColor="text1"/>
                <w:sz w:val="22"/>
                <w:shd w:val="clear" w:color="auto" w:fill="FFFFFF"/>
              </w:rPr>
              <w:t>competent learners and citizens</w:t>
            </w:r>
            <w:r w:rsidRPr="00A516DA">
              <w:rPr>
                <w:rFonts w:asciiTheme="minorHAnsi" w:hAnsiTheme="minorHAnsi"/>
                <w:color w:val="000000" w:themeColor="text1"/>
                <w:sz w:val="22"/>
              </w:rPr>
              <w:t xml:space="preserve"> </w:t>
            </w:r>
            <w:r w:rsidR="004D41AB" w:rsidRPr="00A516DA">
              <w:rPr>
                <w:rFonts w:asciiTheme="minorHAnsi" w:hAnsiTheme="minorHAnsi"/>
                <w:color w:val="000000" w:themeColor="text1"/>
                <w:sz w:val="22"/>
                <w:lang w:val="en-AU"/>
              </w:rPr>
              <w:t xml:space="preserve">who </w:t>
            </w:r>
            <w:r w:rsidR="00EE0AC8" w:rsidRPr="00A516DA">
              <w:rPr>
                <w:rFonts w:asciiTheme="minorHAnsi" w:hAnsiTheme="minorHAnsi"/>
                <w:color w:val="000000" w:themeColor="text1"/>
                <w:sz w:val="22"/>
                <w:lang w:val="en-AU"/>
              </w:rPr>
              <w:t xml:space="preserve">will </w:t>
            </w:r>
            <w:r w:rsidRPr="00A516DA">
              <w:rPr>
                <w:rFonts w:asciiTheme="minorHAnsi" w:hAnsiTheme="minorHAnsi"/>
                <w:color w:val="000000" w:themeColor="text1"/>
                <w:sz w:val="22"/>
              </w:rPr>
              <w:t xml:space="preserve">thrive </w:t>
            </w:r>
            <w:r w:rsidR="004D41AB" w:rsidRPr="00A516DA">
              <w:rPr>
                <w:rFonts w:asciiTheme="minorHAnsi" w:hAnsiTheme="minorHAnsi"/>
                <w:color w:val="000000" w:themeColor="text1"/>
                <w:sz w:val="22"/>
                <w:lang w:val="en-AU"/>
              </w:rPr>
              <w:t xml:space="preserve">in </w:t>
            </w:r>
            <w:r w:rsidRPr="00A516DA">
              <w:rPr>
                <w:rFonts w:asciiTheme="minorHAnsi" w:hAnsiTheme="minorHAnsi"/>
                <w:color w:val="000000" w:themeColor="text1"/>
                <w:sz w:val="22"/>
              </w:rPr>
              <w:t xml:space="preserve">society and </w:t>
            </w:r>
            <w:r w:rsidR="004D41AB" w:rsidRPr="00A516DA">
              <w:rPr>
                <w:rFonts w:asciiTheme="minorHAnsi" w:hAnsiTheme="minorHAnsi"/>
                <w:color w:val="000000" w:themeColor="text1"/>
                <w:sz w:val="22"/>
                <w:lang w:val="en-AU"/>
              </w:rPr>
              <w:t xml:space="preserve">the </w:t>
            </w:r>
            <w:r w:rsidRPr="00A516DA">
              <w:rPr>
                <w:rFonts w:asciiTheme="minorHAnsi" w:hAnsiTheme="minorHAnsi"/>
                <w:color w:val="000000" w:themeColor="text1"/>
                <w:sz w:val="22"/>
              </w:rPr>
              <w:t>economy in the future</w:t>
            </w:r>
            <w:r w:rsidRPr="00A516DA">
              <w:rPr>
                <w:rFonts w:asciiTheme="minorHAnsi" w:hAnsiTheme="minorHAnsi"/>
                <w:color w:val="000000" w:themeColor="text1"/>
                <w:sz w:val="22"/>
                <w:lang w:val="en-AU"/>
              </w:rPr>
              <w:t>.</w:t>
            </w:r>
            <w:r w:rsidRPr="00A516DA">
              <w:rPr>
                <w:rFonts w:asciiTheme="minorHAnsi" w:hAnsiTheme="minorHAnsi"/>
                <w:color w:val="000000" w:themeColor="text1"/>
                <w:sz w:val="22"/>
              </w:rPr>
              <w:t xml:space="preserve"> As noted by Professor </w:t>
            </w:r>
            <w:proofErr w:type="spellStart"/>
            <w:r w:rsidRPr="00A516DA">
              <w:rPr>
                <w:rFonts w:asciiTheme="minorHAnsi" w:hAnsiTheme="minorHAnsi"/>
                <w:color w:val="000000" w:themeColor="text1"/>
                <w:sz w:val="22"/>
              </w:rPr>
              <w:t>Iram</w:t>
            </w:r>
            <w:proofErr w:type="spellEnd"/>
            <w:r w:rsidRPr="00A516DA">
              <w:rPr>
                <w:rFonts w:asciiTheme="minorHAnsi" w:hAnsiTheme="minorHAnsi"/>
                <w:color w:val="000000" w:themeColor="text1"/>
                <w:sz w:val="22"/>
              </w:rPr>
              <w:t xml:space="preserve"> </w:t>
            </w:r>
            <w:proofErr w:type="spellStart"/>
            <w:r w:rsidRPr="00A516DA">
              <w:rPr>
                <w:rFonts w:asciiTheme="minorHAnsi" w:hAnsiTheme="minorHAnsi"/>
                <w:color w:val="000000" w:themeColor="text1"/>
                <w:sz w:val="22"/>
              </w:rPr>
              <w:t>Siraj</w:t>
            </w:r>
            <w:proofErr w:type="spellEnd"/>
            <w:r w:rsidRPr="00A516DA">
              <w:rPr>
                <w:rFonts w:asciiTheme="minorHAnsi" w:hAnsiTheme="minorHAnsi"/>
                <w:color w:val="000000" w:themeColor="text1"/>
                <w:sz w:val="22"/>
              </w:rPr>
              <w:t>, “</w:t>
            </w:r>
            <w:r w:rsidR="00FC0EC5">
              <w:rPr>
                <w:rFonts w:asciiTheme="minorHAnsi" w:hAnsiTheme="minorHAnsi"/>
                <w:color w:val="000000" w:themeColor="text1"/>
                <w:sz w:val="22"/>
                <w:szCs w:val="22"/>
                <w:lang w:val="en-AU"/>
              </w:rPr>
              <w:t>E</w:t>
            </w:r>
            <w:proofErr w:type="spellStart"/>
            <w:r w:rsidRPr="00A516DA">
              <w:rPr>
                <w:rFonts w:asciiTheme="minorHAnsi" w:hAnsiTheme="minorHAnsi"/>
                <w:color w:val="000000" w:themeColor="text1"/>
                <w:sz w:val="22"/>
              </w:rPr>
              <w:t>arly</w:t>
            </w:r>
            <w:proofErr w:type="spellEnd"/>
            <w:r w:rsidRPr="00A516DA">
              <w:rPr>
                <w:rFonts w:asciiTheme="minorHAnsi" w:hAnsiTheme="minorHAnsi"/>
                <w:color w:val="000000" w:themeColor="text1"/>
                <w:sz w:val="22"/>
              </w:rPr>
              <w:t xml:space="preserve"> years learning has a stronger focus on whole-of-child development than school education. </w:t>
            </w:r>
            <w:r w:rsidRPr="00A516DA">
              <w:rPr>
                <w:rFonts w:asciiTheme="minorHAnsi" w:hAnsiTheme="minorHAnsi"/>
                <w:color w:val="000000" w:themeColor="text1"/>
                <w:sz w:val="22"/>
                <w:shd w:val="clear" w:color="auto" w:fill="FFFFFF"/>
              </w:rPr>
              <w:t>Future learners will need an excellent start in early learning if they are to cope with mid</w:t>
            </w:r>
            <w:r w:rsidR="00FC0EC5">
              <w:rPr>
                <w:rFonts w:asciiTheme="minorHAnsi" w:hAnsiTheme="minorHAnsi"/>
                <w:color w:val="000000" w:themeColor="text1"/>
                <w:sz w:val="22"/>
                <w:szCs w:val="22"/>
                <w:shd w:val="clear" w:color="auto" w:fill="FFFFFF"/>
                <w:lang w:val="en-AU"/>
              </w:rPr>
              <w:t>-</w:t>
            </w:r>
            <w:r w:rsidRPr="00A516DA">
              <w:rPr>
                <w:rFonts w:asciiTheme="minorHAnsi" w:hAnsiTheme="minorHAnsi"/>
                <w:color w:val="000000" w:themeColor="text1"/>
                <w:sz w:val="22"/>
                <w:shd w:val="clear" w:color="auto" w:fill="FFFFFF"/>
              </w:rPr>
              <w:t>to</w:t>
            </w:r>
            <w:r w:rsidR="00FC0EC5">
              <w:rPr>
                <w:rFonts w:asciiTheme="minorHAnsi" w:hAnsiTheme="minorHAnsi"/>
                <w:color w:val="000000" w:themeColor="text1"/>
                <w:sz w:val="22"/>
                <w:szCs w:val="22"/>
                <w:shd w:val="clear" w:color="auto" w:fill="FFFFFF"/>
                <w:lang w:val="en-AU"/>
              </w:rPr>
              <w:t>-</w:t>
            </w:r>
            <w:r w:rsidRPr="00A516DA">
              <w:rPr>
                <w:rFonts w:asciiTheme="minorHAnsi" w:hAnsiTheme="minorHAnsi"/>
                <w:color w:val="000000" w:themeColor="text1"/>
                <w:sz w:val="22"/>
                <w:shd w:val="clear" w:color="auto" w:fill="FFFFFF"/>
              </w:rPr>
              <w:t>late 21st century challenges.”</w:t>
            </w:r>
            <w:r w:rsidRPr="00A516DA">
              <w:rPr>
                <w:rStyle w:val="EndnoteReference"/>
                <w:rFonts w:asciiTheme="minorHAnsi" w:hAnsiTheme="minorHAnsi"/>
                <w:color w:val="000000" w:themeColor="text1"/>
                <w:sz w:val="22"/>
                <w:shd w:val="clear" w:color="auto" w:fill="FFFFFF"/>
              </w:rPr>
              <w:endnoteReference w:id="190"/>
            </w:r>
            <w:r w:rsidR="003C37BA" w:rsidRPr="00A516DA">
              <w:rPr>
                <w:rFonts w:asciiTheme="minorHAnsi" w:hAnsiTheme="minorHAnsi"/>
                <w:color w:val="000000" w:themeColor="text1"/>
                <w:sz w:val="22"/>
                <w:shd w:val="clear" w:color="auto" w:fill="FFFFFF"/>
              </w:rPr>
              <w:t xml:space="preserve"> </w:t>
            </w:r>
          </w:p>
        </w:tc>
      </w:tr>
    </w:tbl>
    <w:p w:rsidR="00051D6A" w:rsidRPr="00A516DA" w:rsidRDefault="00051D6A" w:rsidP="00375FB1">
      <w:pPr>
        <w:rPr>
          <w:b/>
        </w:rPr>
      </w:pPr>
    </w:p>
    <w:p w:rsidR="00375FB1" w:rsidRPr="00A516DA" w:rsidRDefault="00375FB1" w:rsidP="00A516DA">
      <w:pPr>
        <w:ind w:left="720"/>
      </w:pPr>
      <w:r>
        <w:br w:type="page"/>
      </w:r>
    </w:p>
    <w:p w:rsidR="00375FB1" w:rsidRDefault="0063470E" w:rsidP="00375FB1">
      <w:pPr>
        <w:pStyle w:val="Heading1"/>
      </w:pPr>
      <w:bookmarkStart w:id="24" w:name="_Toc373586256"/>
      <w:bookmarkStart w:id="25" w:name="_Toc500850774"/>
      <w:r>
        <w:t xml:space="preserve">3.4 </w:t>
      </w:r>
      <w:r w:rsidR="00375FB1">
        <w:t>How Australia compares to the rest of the world</w:t>
      </w:r>
      <w:bookmarkEnd w:id="24"/>
      <w:bookmarkEnd w:id="25"/>
    </w:p>
    <w:p w:rsidR="00375FB1" w:rsidRDefault="00375FB1" w:rsidP="00375FB1">
      <w:pPr>
        <w:jc w:val="both"/>
        <w:rPr>
          <w:i/>
        </w:rPr>
      </w:pPr>
    </w:p>
    <w:tbl>
      <w:tblPr>
        <w:tblStyle w:val="TableGrid"/>
        <w:tblW w:w="0" w:type="auto"/>
        <w:tblLook w:val="04A0" w:firstRow="1" w:lastRow="0" w:firstColumn="1" w:lastColumn="0" w:noHBand="0" w:noVBand="1"/>
      </w:tblPr>
      <w:tblGrid>
        <w:gridCol w:w="9242"/>
      </w:tblGrid>
      <w:tr w:rsidR="00375FB1" w:rsidTr="00852F0A">
        <w:tc>
          <w:tcPr>
            <w:tcW w:w="9242" w:type="dxa"/>
          </w:tcPr>
          <w:p w:rsidR="00375FB1" w:rsidRDefault="00375FB1" w:rsidP="00852F0A">
            <w:pPr>
              <w:jc w:val="both"/>
              <w:rPr>
                <w:i/>
              </w:rPr>
            </w:pPr>
            <w:r>
              <w:rPr>
                <w:i/>
              </w:rPr>
              <w:t xml:space="preserve">In light of the compelling evidence base, many countries around the world invest </w:t>
            </w:r>
            <w:r w:rsidR="00890A23">
              <w:rPr>
                <w:i/>
              </w:rPr>
              <w:t xml:space="preserve">more than Australia </w:t>
            </w:r>
            <w:r>
              <w:rPr>
                <w:i/>
              </w:rPr>
              <w:t xml:space="preserve">in early childhood education. While there has been </w:t>
            </w:r>
            <w:r w:rsidR="003D1131">
              <w:rPr>
                <w:i/>
              </w:rPr>
              <w:t xml:space="preserve">valuable </w:t>
            </w:r>
            <w:r>
              <w:rPr>
                <w:i/>
              </w:rPr>
              <w:t>reform and investment in early childhood education in Australia, there is more work to be done if Australia is to be on par with, or ahead of, its international counterparts.</w:t>
            </w:r>
          </w:p>
          <w:p w:rsidR="00375FB1" w:rsidRDefault="00375FB1" w:rsidP="00852F0A">
            <w:pPr>
              <w:jc w:val="both"/>
              <w:rPr>
                <w:i/>
              </w:rPr>
            </w:pPr>
            <w:r>
              <w:rPr>
                <w:i/>
              </w:rPr>
              <w:t>Australia ranks below the OECD average for:</w:t>
            </w:r>
          </w:p>
          <w:p w:rsidR="00375FB1" w:rsidRDefault="00375FB1" w:rsidP="00375FB1">
            <w:pPr>
              <w:pStyle w:val="ListParagraph"/>
              <w:numPr>
                <w:ilvl w:val="0"/>
                <w:numId w:val="21"/>
              </w:numPr>
              <w:ind w:left="284" w:hanging="284"/>
              <w:jc w:val="both"/>
              <w:rPr>
                <w:i/>
              </w:rPr>
            </w:pPr>
            <w:r>
              <w:rPr>
                <w:i/>
              </w:rPr>
              <w:t>investment in early childhood education (as a proportion of GDP)</w:t>
            </w:r>
          </w:p>
          <w:p w:rsidR="00375FB1" w:rsidRDefault="00375FB1" w:rsidP="00375FB1">
            <w:pPr>
              <w:pStyle w:val="ListParagraph"/>
              <w:numPr>
                <w:ilvl w:val="0"/>
                <w:numId w:val="21"/>
              </w:numPr>
              <w:ind w:left="284" w:hanging="284"/>
              <w:jc w:val="both"/>
              <w:rPr>
                <w:i/>
              </w:rPr>
            </w:pPr>
            <w:r>
              <w:rPr>
                <w:i/>
              </w:rPr>
              <w:t>enrolment rates for three and four year olds</w:t>
            </w:r>
          </w:p>
          <w:p w:rsidR="00375FB1" w:rsidRDefault="00375FB1" w:rsidP="00375FB1">
            <w:pPr>
              <w:pStyle w:val="ListParagraph"/>
              <w:numPr>
                <w:ilvl w:val="0"/>
                <w:numId w:val="21"/>
              </w:numPr>
              <w:ind w:left="284" w:hanging="284"/>
              <w:jc w:val="both"/>
              <w:rPr>
                <w:i/>
              </w:rPr>
            </w:pPr>
            <w:r>
              <w:rPr>
                <w:i/>
              </w:rPr>
              <w:t>number of hours of early childhood education provided per week.</w:t>
            </w:r>
          </w:p>
          <w:p w:rsidR="00375FB1" w:rsidRPr="00F7764E" w:rsidRDefault="00375FB1" w:rsidP="00852F0A">
            <w:pPr>
              <w:jc w:val="both"/>
              <w:rPr>
                <w:i/>
              </w:rPr>
            </w:pPr>
            <w:r>
              <w:rPr>
                <w:i/>
              </w:rPr>
              <w:t xml:space="preserve">Australia has seen a consistent decline in its performance in international tests such as the Programme for International Student Assessment </w:t>
            </w:r>
            <w:r w:rsidR="00890A23">
              <w:rPr>
                <w:i/>
              </w:rPr>
              <w:t xml:space="preserve">(PISA) </w:t>
            </w:r>
            <w:r>
              <w:rPr>
                <w:i/>
              </w:rPr>
              <w:t>and the Trends in International Mathematics and Science Study</w:t>
            </w:r>
            <w:r w:rsidR="00890A23">
              <w:rPr>
                <w:i/>
              </w:rPr>
              <w:t xml:space="preserve"> (TIMMS)</w:t>
            </w:r>
            <w:r>
              <w:rPr>
                <w:i/>
              </w:rPr>
              <w:t>.</w:t>
            </w:r>
          </w:p>
          <w:p w:rsidR="00375FB1" w:rsidRDefault="001C3893" w:rsidP="00852F0A">
            <w:r>
              <w:rPr>
                <w:i/>
              </w:rPr>
              <w:t>However, Australia does perform well in its provision of an agreed, evidence</w:t>
            </w:r>
            <w:r w:rsidR="00AD6FB3">
              <w:rPr>
                <w:i/>
              </w:rPr>
              <w:t>-</w:t>
            </w:r>
            <w:r>
              <w:rPr>
                <w:i/>
              </w:rPr>
              <w:t xml:space="preserve">based national early childhood curriculum and the National Quality Framework. </w:t>
            </w:r>
          </w:p>
          <w:p w:rsidR="00375FB1" w:rsidRDefault="00375FB1" w:rsidP="00852F0A">
            <w:pPr>
              <w:jc w:val="both"/>
              <w:rPr>
                <w:i/>
              </w:rPr>
            </w:pPr>
          </w:p>
        </w:tc>
      </w:tr>
    </w:tbl>
    <w:p w:rsidR="00375FB1" w:rsidRDefault="00375FB1" w:rsidP="00375FB1">
      <w:pPr>
        <w:jc w:val="both"/>
        <w:rPr>
          <w:i/>
        </w:rPr>
      </w:pPr>
    </w:p>
    <w:p w:rsidR="00375FB1" w:rsidRDefault="00375FB1" w:rsidP="00B055B7">
      <w:r>
        <w:t xml:space="preserve">International analysis of early childhood education provision provides a comparative perspective on policy options and opportunities for reform. </w:t>
      </w:r>
    </w:p>
    <w:p w:rsidR="00375FB1" w:rsidRDefault="00375FB1" w:rsidP="00B055B7">
      <w:r>
        <w:t>While international comparisons need to be considered in terms of the educational, social, political, historic and cultural context of the individual country, there are some general conclusions that can be drawn.</w:t>
      </w:r>
    </w:p>
    <w:p w:rsidR="00375FB1" w:rsidRPr="008D1452" w:rsidRDefault="00375FB1" w:rsidP="00B055B7">
      <w:pPr>
        <w:rPr>
          <w:i/>
        </w:rPr>
      </w:pPr>
      <w:r w:rsidRPr="008D1452">
        <w:rPr>
          <w:i/>
        </w:rPr>
        <w:t xml:space="preserve">Early childhood </w:t>
      </w:r>
      <w:r w:rsidR="00890A23">
        <w:rPr>
          <w:i/>
        </w:rPr>
        <w:t xml:space="preserve">education </w:t>
      </w:r>
      <w:r w:rsidRPr="008D1452">
        <w:rPr>
          <w:i/>
        </w:rPr>
        <w:t>provision</w:t>
      </w:r>
    </w:p>
    <w:p w:rsidR="00375FB1" w:rsidRPr="00A516DA" w:rsidRDefault="00375FB1" w:rsidP="00B055B7">
      <w:r w:rsidRPr="00A516DA">
        <w:t xml:space="preserve">Governments around the world continue to invest in the expansion of early childhood education. As in Australia, the rationale for this investment is generally twofold: to </w:t>
      </w:r>
      <w:r w:rsidRPr="00B4286D">
        <w:t>promote</w:t>
      </w:r>
      <w:r w:rsidRPr="00A516DA">
        <w:t xml:space="preserve"> positive child development outcomes and to support workforce participation, primarily for women. Many countries have worked hard to overcome the historical division between care and education so that these services are not delivered in separate settings.</w:t>
      </w:r>
    </w:p>
    <w:p w:rsidR="00375FB1" w:rsidRPr="00A516DA" w:rsidRDefault="00375FB1" w:rsidP="00B055B7">
      <w:r w:rsidRPr="00A516DA">
        <w:t xml:space="preserve">Investment takes many forms, including universally funded and delivered early education, universally provided early childhood education with supplementary family support to enhance access and promote participation, targeted access to early education and/or wrap-around services for specific cohorts of children and their families. </w:t>
      </w:r>
    </w:p>
    <w:p w:rsidR="00375FB1" w:rsidRPr="00A516DA" w:rsidRDefault="00375FB1" w:rsidP="00B055B7">
      <w:r w:rsidRPr="00A516DA">
        <w:t>The Economist Intelligence Unit’s Starting Well Index,</w:t>
      </w:r>
      <w:r w:rsidRPr="00691069">
        <w:rPr>
          <w:rStyle w:val="EndnoteReference"/>
        </w:rPr>
        <w:endnoteReference w:id="191"/>
      </w:r>
      <w:r w:rsidRPr="00691069">
        <w:rPr>
          <w:rStyle w:val="EndnoteReference"/>
        </w:rPr>
        <w:t xml:space="preserve"> </w:t>
      </w:r>
      <w:r w:rsidRPr="00A516DA">
        <w:t>published in 2012, assessed</w:t>
      </w:r>
      <w:r w:rsidRPr="00A516DA">
        <w:rPr>
          <w:lang w:val="en"/>
        </w:rPr>
        <w:t xml:space="preserve"> the extent to which governments across </w:t>
      </w:r>
      <w:r w:rsidR="003D1131" w:rsidRPr="00A516DA">
        <w:t xml:space="preserve">the </w:t>
      </w:r>
      <w:r w:rsidRPr="00A516DA">
        <w:rPr>
          <w:lang w:val="en"/>
        </w:rPr>
        <w:t>OECD and major e</w:t>
      </w:r>
      <w:r w:rsidRPr="00A516DA">
        <w:t>merging economies provide an effective</w:t>
      </w:r>
      <w:r w:rsidRPr="00A516DA">
        <w:rPr>
          <w:lang w:val="en"/>
        </w:rPr>
        <w:t xml:space="preserve">, inclusive early childhood education environment for children aged between three and six years with a focus on availability, affordability and quality. </w:t>
      </w:r>
      <w:r w:rsidRPr="00A516DA">
        <w:t xml:space="preserve">Australia ranked 28 of 45 – and while the report noted Australia was then in the midst of the Universal Access and National Quality Standard reforms, and has some world-leading preschools, it also noted </w:t>
      </w:r>
      <w:r w:rsidR="00A2620B" w:rsidRPr="00A516DA">
        <w:t>‘</w:t>
      </w:r>
      <w:r w:rsidRPr="00A516DA">
        <w:t>the availability and affordability of these vary widely, and quality is not consistent.</w:t>
      </w:r>
      <w:r w:rsidR="00A2620B" w:rsidRPr="00A516DA">
        <w:t>’</w:t>
      </w:r>
      <w:r w:rsidRPr="00A516DA">
        <w:rPr>
          <w:rStyle w:val="EndnoteReference"/>
        </w:rPr>
        <w:endnoteReference w:id="192"/>
      </w:r>
    </w:p>
    <w:p w:rsidR="00375FB1" w:rsidRDefault="00375FB1" w:rsidP="00B055B7">
      <w:r>
        <w:t xml:space="preserve">The OECD </w:t>
      </w:r>
      <w:r w:rsidR="00890A23">
        <w:t xml:space="preserve">also highlights </w:t>
      </w:r>
      <w:r>
        <w:t>that s</w:t>
      </w:r>
      <w:r w:rsidRPr="00797341">
        <w:t>ustained public financial support is critical for the growth and quality</w:t>
      </w:r>
      <w:r>
        <w:t xml:space="preserve"> of early childhood education programs.</w:t>
      </w:r>
      <w:r>
        <w:rPr>
          <w:rStyle w:val="EndnoteReference"/>
        </w:rPr>
        <w:endnoteReference w:id="193"/>
      </w:r>
    </w:p>
    <w:p w:rsidR="00132F5B" w:rsidRPr="005B1E63" w:rsidRDefault="00132F5B" w:rsidP="00132F5B">
      <w:pPr>
        <w:rPr>
          <w:rFonts w:ascii="Times" w:eastAsia="Times New Roman" w:hAnsi="Times" w:cs="Times New Roman"/>
          <w:sz w:val="20"/>
          <w:szCs w:val="20"/>
        </w:rPr>
      </w:pPr>
      <w:r w:rsidRPr="00A516DA">
        <w:rPr>
          <w:lang w:val="en"/>
        </w:rPr>
        <w:t xml:space="preserve">The UK and New Zealand, for </w:t>
      </w:r>
      <w:r w:rsidR="001C3893" w:rsidRPr="00A516DA">
        <w:rPr>
          <w:lang w:val="en"/>
        </w:rPr>
        <w:t>example</w:t>
      </w:r>
      <w:r w:rsidRPr="00A516DA">
        <w:rPr>
          <w:lang w:val="en"/>
        </w:rPr>
        <w:t xml:space="preserve">, have invested strongly in early childhood education in recent years. The UK has introduced a range of measures to strengthen the early childhood workforce, improve the quality of early education and increase accessibility. England provides fifteen </w:t>
      </w:r>
      <w:r w:rsidRPr="00A516DA">
        <w:rPr>
          <w:bCs/>
        </w:rPr>
        <w:t>hours</w:t>
      </w:r>
      <w:r w:rsidRPr="00A516DA">
        <w:rPr>
          <w:lang w:val="en"/>
        </w:rPr>
        <w:t xml:space="preserve"> free early education for three and four year olds as well as the 40 per cent of two year olds living in the most disadvantaged areas.</w:t>
      </w:r>
      <w:r w:rsidRPr="00A516DA">
        <w:rPr>
          <w:rStyle w:val="EndnoteReference"/>
          <w:lang w:val="en"/>
        </w:rPr>
        <w:endnoteReference w:id="194"/>
      </w:r>
      <w:r w:rsidRPr="00A516DA">
        <w:rPr>
          <w:lang w:val="en"/>
        </w:rPr>
        <w:t xml:space="preserve"> New Zealand has also lifted its game in respect of early childhood education and care (see box below). </w:t>
      </w:r>
    </w:p>
    <w:p w:rsidR="00753B27" w:rsidRDefault="00452E36" w:rsidP="00B055B7">
      <w:r>
        <w:t>Table 10</w:t>
      </w:r>
      <w:r w:rsidR="00753B27">
        <w:t xml:space="preserve"> below provides an overview of Australia compared </w:t>
      </w:r>
      <w:r w:rsidR="008F2D4E">
        <w:t>with the</w:t>
      </w:r>
      <w:r w:rsidR="008F2D4E" w:rsidRPr="00820AA7">
        <w:t xml:space="preserve"> </w:t>
      </w:r>
      <w:r w:rsidR="00753B27">
        <w:t xml:space="preserve">OECD average across a range of key measures. </w:t>
      </w:r>
      <w:r w:rsidR="00132F5B">
        <w:t xml:space="preserve">The </w:t>
      </w:r>
      <w:r w:rsidR="008F2D4E">
        <w:t>UK</w:t>
      </w:r>
      <w:r w:rsidR="00132F5B">
        <w:t xml:space="preserve"> and </w:t>
      </w:r>
      <w:r w:rsidR="00753B27">
        <w:t xml:space="preserve">New </w:t>
      </w:r>
      <w:r w:rsidR="00E73682">
        <w:t xml:space="preserve">Zealand </w:t>
      </w:r>
      <w:r w:rsidR="00132F5B">
        <w:t xml:space="preserve">are </w:t>
      </w:r>
      <w:r w:rsidR="00E73682">
        <w:t>also shown</w:t>
      </w:r>
      <w:r w:rsidR="00753B27">
        <w:t xml:space="preserve">. </w:t>
      </w:r>
    </w:p>
    <w:p w:rsidR="00452E36" w:rsidRPr="00A516DA" w:rsidRDefault="00452E36" w:rsidP="00B055B7">
      <w:pPr>
        <w:rPr>
          <w:b/>
        </w:rPr>
      </w:pPr>
      <w:r>
        <w:rPr>
          <w:b/>
        </w:rPr>
        <w:t xml:space="preserve">Table 10: Comparisons of early childhood education measures </w:t>
      </w:r>
    </w:p>
    <w:tbl>
      <w:tblPr>
        <w:tblStyle w:val="TableGrid"/>
        <w:tblW w:w="0" w:type="auto"/>
        <w:tblLook w:val="04A0" w:firstRow="1" w:lastRow="0" w:firstColumn="1" w:lastColumn="0" w:noHBand="0" w:noVBand="1"/>
      </w:tblPr>
      <w:tblGrid>
        <w:gridCol w:w="2994"/>
        <w:gridCol w:w="1286"/>
        <w:gridCol w:w="1303"/>
        <w:gridCol w:w="1303"/>
        <w:gridCol w:w="1278"/>
        <w:gridCol w:w="1078"/>
      </w:tblGrid>
      <w:tr w:rsidR="00132F5B" w:rsidRPr="00CC7BE6" w:rsidTr="00051D6A">
        <w:tc>
          <w:tcPr>
            <w:tcW w:w="2994" w:type="dxa"/>
          </w:tcPr>
          <w:p w:rsidR="00132F5B" w:rsidRPr="00A516DA" w:rsidRDefault="00132F5B" w:rsidP="002303A4">
            <w:pPr>
              <w:tabs>
                <w:tab w:val="center" w:pos="1718"/>
              </w:tabs>
            </w:pPr>
            <w:r w:rsidRPr="00A516DA">
              <w:t>Measure</w:t>
            </w:r>
            <w:r w:rsidRPr="00A516DA">
              <w:tab/>
            </w:r>
          </w:p>
        </w:tc>
        <w:tc>
          <w:tcPr>
            <w:tcW w:w="1286" w:type="dxa"/>
          </w:tcPr>
          <w:p w:rsidR="00132F5B" w:rsidRPr="00A516DA" w:rsidRDefault="00132F5B" w:rsidP="002303A4">
            <w:r w:rsidRPr="00A516DA">
              <w:t>OECD Average</w:t>
            </w:r>
          </w:p>
        </w:tc>
        <w:tc>
          <w:tcPr>
            <w:tcW w:w="1303" w:type="dxa"/>
          </w:tcPr>
          <w:p w:rsidR="00132F5B" w:rsidRPr="00A516DA" w:rsidRDefault="00132F5B" w:rsidP="002303A4">
            <w:r w:rsidRPr="00A516DA">
              <w:t>Australia</w:t>
            </w:r>
          </w:p>
        </w:tc>
        <w:tc>
          <w:tcPr>
            <w:tcW w:w="1303" w:type="dxa"/>
          </w:tcPr>
          <w:p w:rsidR="00132F5B" w:rsidRPr="00A516DA" w:rsidRDefault="00132F5B" w:rsidP="002303A4">
            <w:r w:rsidRPr="00A516DA">
              <w:t>Australia rank</w:t>
            </w:r>
          </w:p>
        </w:tc>
        <w:tc>
          <w:tcPr>
            <w:tcW w:w="1278" w:type="dxa"/>
          </w:tcPr>
          <w:p w:rsidR="00132F5B" w:rsidRPr="00A516DA" w:rsidRDefault="00132F5B" w:rsidP="002303A4">
            <w:r w:rsidRPr="00A516DA">
              <w:t>New Zealand</w:t>
            </w:r>
          </w:p>
        </w:tc>
        <w:tc>
          <w:tcPr>
            <w:tcW w:w="1078" w:type="dxa"/>
          </w:tcPr>
          <w:p w:rsidR="00132F5B" w:rsidRPr="00A516DA" w:rsidRDefault="00132F5B" w:rsidP="002303A4">
            <w:r w:rsidRPr="00A516DA">
              <w:t>United Kingdom</w:t>
            </w:r>
          </w:p>
        </w:tc>
      </w:tr>
      <w:tr w:rsidR="00132F5B" w:rsidTr="00051D6A">
        <w:tc>
          <w:tcPr>
            <w:tcW w:w="8164" w:type="dxa"/>
            <w:gridSpan w:val="5"/>
          </w:tcPr>
          <w:p w:rsidR="00132F5B" w:rsidRPr="00CC7BE6" w:rsidRDefault="00132F5B" w:rsidP="002303A4">
            <w:pPr>
              <w:rPr>
                <w:b/>
              </w:rPr>
            </w:pPr>
            <w:r w:rsidRPr="00CC7BE6">
              <w:rPr>
                <w:b/>
              </w:rPr>
              <w:t>Investment</w:t>
            </w:r>
          </w:p>
        </w:tc>
        <w:tc>
          <w:tcPr>
            <w:tcW w:w="1078" w:type="dxa"/>
          </w:tcPr>
          <w:p w:rsidR="00132F5B" w:rsidRPr="00CC7BE6" w:rsidRDefault="00132F5B" w:rsidP="002303A4">
            <w:pPr>
              <w:rPr>
                <w:b/>
              </w:rPr>
            </w:pPr>
          </w:p>
        </w:tc>
      </w:tr>
      <w:tr w:rsidR="00132F5B" w:rsidTr="00051D6A">
        <w:tc>
          <w:tcPr>
            <w:tcW w:w="2994" w:type="dxa"/>
          </w:tcPr>
          <w:p w:rsidR="00132F5B" w:rsidRPr="00CC7BE6" w:rsidRDefault="00132F5B" w:rsidP="002303A4">
            <w:pPr>
              <w:rPr>
                <w:sz w:val="20"/>
                <w:szCs w:val="20"/>
              </w:rPr>
            </w:pPr>
            <w:r w:rsidRPr="00CC7BE6">
              <w:rPr>
                <w:sz w:val="20"/>
                <w:szCs w:val="20"/>
              </w:rPr>
              <w:t>Investment in early childhood as a proportion of GDP – total</w:t>
            </w:r>
          </w:p>
        </w:tc>
        <w:tc>
          <w:tcPr>
            <w:tcW w:w="1286" w:type="dxa"/>
          </w:tcPr>
          <w:p w:rsidR="00132F5B" w:rsidRPr="00CC7BE6" w:rsidRDefault="00132F5B" w:rsidP="002303A4">
            <w:r w:rsidRPr="00CC7BE6">
              <w:t>0.81</w:t>
            </w:r>
          </w:p>
        </w:tc>
        <w:tc>
          <w:tcPr>
            <w:tcW w:w="1303" w:type="dxa"/>
          </w:tcPr>
          <w:p w:rsidR="00132F5B" w:rsidRPr="00CC7BE6" w:rsidRDefault="00132F5B" w:rsidP="002303A4">
            <w:r w:rsidRPr="00CC7BE6">
              <w:t>0.49</w:t>
            </w:r>
          </w:p>
        </w:tc>
        <w:tc>
          <w:tcPr>
            <w:tcW w:w="1303" w:type="dxa"/>
          </w:tcPr>
          <w:p w:rsidR="00132F5B" w:rsidRPr="00CC7BE6" w:rsidRDefault="00132F5B" w:rsidP="002303A4">
            <w:r w:rsidRPr="00CC7BE6">
              <w:t>28 out of 33</w:t>
            </w:r>
          </w:p>
        </w:tc>
        <w:tc>
          <w:tcPr>
            <w:tcW w:w="1278" w:type="dxa"/>
          </w:tcPr>
          <w:p w:rsidR="00132F5B" w:rsidRPr="00CC7BE6" w:rsidRDefault="00132F5B" w:rsidP="002303A4">
            <w:r w:rsidRPr="00CC7BE6">
              <w:t>0.91</w:t>
            </w:r>
          </w:p>
        </w:tc>
        <w:tc>
          <w:tcPr>
            <w:tcW w:w="1078" w:type="dxa"/>
          </w:tcPr>
          <w:p w:rsidR="00132F5B" w:rsidRPr="00CC7BE6" w:rsidRDefault="00132F5B" w:rsidP="002303A4">
            <w:r>
              <w:t>0.50</w:t>
            </w:r>
          </w:p>
        </w:tc>
      </w:tr>
      <w:tr w:rsidR="00132F5B" w:rsidTr="00051D6A">
        <w:tc>
          <w:tcPr>
            <w:tcW w:w="2994" w:type="dxa"/>
          </w:tcPr>
          <w:p w:rsidR="00132F5B" w:rsidRPr="00CC7BE6" w:rsidRDefault="00132F5B" w:rsidP="002303A4">
            <w:pPr>
              <w:rPr>
                <w:sz w:val="20"/>
                <w:szCs w:val="20"/>
              </w:rPr>
            </w:pPr>
            <w:r w:rsidRPr="00CC7BE6">
              <w:rPr>
                <w:sz w:val="20"/>
                <w:szCs w:val="20"/>
              </w:rPr>
              <w:t>Investment in pre-primary (ISCED 02) as a proportion of GDP (subset of total)</w:t>
            </w:r>
          </w:p>
        </w:tc>
        <w:tc>
          <w:tcPr>
            <w:tcW w:w="1286" w:type="dxa"/>
          </w:tcPr>
          <w:p w:rsidR="00132F5B" w:rsidRPr="00CC7BE6" w:rsidRDefault="00132F5B" w:rsidP="002303A4">
            <w:r w:rsidRPr="00CC7BE6">
              <w:t>0.61</w:t>
            </w:r>
          </w:p>
        </w:tc>
        <w:tc>
          <w:tcPr>
            <w:tcW w:w="1303" w:type="dxa"/>
          </w:tcPr>
          <w:p w:rsidR="00132F5B" w:rsidRPr="00CC7BE6" w:rsidRDefault="00132F5B" w:rsidP="002303A4">
            <w:r w:rsidRPr="00CC7BE6">
              <w:t>0.20</w:t>
            </w:r>
          </w:p>
        </w:tc>
        <w:tc>
          <w:tcPr>
            <w:tcW w:w="1303" w:type="dxa"/>
          </w:tcPr>
          <w:p w:rsidR="00132F5B" w:rsidRPr="00CC7BE6" w:rsidRDefault="00132F5B" w:rsidP="002303A4">
            <w:r w:rsidRPr="00CC7BE6">
              <w:t>24 out of 26</w:t>
            </w:r>
          </w:p>
        </w:tc>
        <w:tc>
          <w:tcPr>
            <w:tcW w:w="1278" w:type="dxa"/>
          </w:tcPr>
          <w:p w:rsidR="00132F5B" w:rsidRPr="00CC7BE6" w:rsidRDefault="00132F5B" w:rsidP="002303A4">
            <w:r w:rsidRPr="00CC7BE6">
              <w:t>0.52</w:t>
            </w:r>
          </w:p>
        </w:tc>
        <w:tc>
          <w:tcPr>
            <w:tcW w:w="1078" w:type="dxa"/>
          </w:tcPr>
          <w:p w:rsidR="00132F5B" w:rsidRPr="00CC7BE6" w:rsidRDefault="00132F5B" w:rsidP="002303A4">
            <w:r>
              <w:t>0.46</w:t>
            </w:r>
          </w:p>
        </w:tc>
      </w:tr>
      <w:tr w:rsidR="00132F5B" w:rsidTr="00051D6A">
        <w:tc>
          <w:tcPr>
            <w:tcW w:w="8164" w:type="dxa"/>
            <w:gridSpan w:val="5"/>
          </w:tcPr>
          <w:p w:rsidR="00132F5B" w:rsidRPr="00CC7BE6" w:rsidRDefault="00132F5B" w:rsidP="002303A4">
            <w:pPr>
              <w:rPr>
                <w:b/>
              </w:rPr>
            </w:pPr>
            <w:r w:rsidRPr="00CC7BE6">
              <w:rPr>
                <w:b/>
              </w:rPr>
              <w:t>Participation</w:t>
            </w:r>
          </w:p>
        </w:tc>
        <w:tc>
          <w:tcPr>
            <w:tcW w:w="1078" w:type="dxa"/>
          </w:tcPr>
          <w:p w:rsidR="00132F5B" w:rsidRPr="00CC7BE6" w:rsidRDefault="00132F5B" w:rsidP="002303A4">
            <w:pPr>
              <w:rPr>
                <w:b/>
              </w:rPr>
            </w:pPr>
          </w:p>
        </w:tc>
      </w:tr>
      <w:tr w:rsidR="00132F5B" w:rsidTr="00051D6A">
        <w:tc>
          <w:tcPr>
            <w:tcW w:w="2994" w:type="dxa"/>
          </w:tcPr>
          <w:p w:rsidR="00132F5B" w:rsidRPr="00CC7BE6" w:rsidRDefault="00132F5B" w:rsidP="002303A4">
            <w:pPr>
              <w:rPr>
                <w:sz w:val="20"/>
                <w:szCs w:val="20"/>
              </w:rPr>
            </w:pPr>
            <w:r w:rsidRPr="00CC7BE6">
              <w:rPr>
                <w:sz w:val="20"/>
                <w:szCs w:val="20"/>
              </w:rPr>
              <w:t xml:space="preserve">4yo enrolment in early childhood education </w:t>
            </w:r>
          </w:p>
        </w:tc>
        <w:tc>
          <w:tcPr>
            <w:tcW w:w="1286" w:type="dxa"/>
          </w:tcPr>
          <w:p w:rsidR="00132F5B" w:rsidRPr="00CC7BE6" w:rsidRDefault="00132F5B" w:rsidP="002303A4">
            <w:r w:rsidRPr="00CC7BE6">
              <w:t>85.9</w:t>
            </w:r>
          </w:p>
        </w:tc>
        <w:tc>
          <w:tcPr>
            <w:tcW w:w="1303" w:type="dxa"/>
          </w:tcPr>
          <w:p w:rsidR="00132F5B" w:rsidRPr="00CC7BE6" w:rsidRDefault="00132F5B" w:rsidP="002303A4">
            <w:r w:rsidRPr="00CC7BE6">
              <w:t>85.2</w:t>
            </w:r>
          </w:p>
        </w:tc>
        <w:tc>
          <w:tcPr>
            <w:tcW w:w="1303" w:type="dxa"/>
          </w:tcPr>
          <w:p w:rsidR="00132F5B" w:rsidRPr="00CC7BE6" w:rsidRDefault="00132F5B" w:rsidP="002303A4">
            <w:r>
              <w:t xml:space="preserve">23 out of </w:t>
            </w:r>
            <w:r w:rsidRPr="00CC7BE6">
              <w:t>35</w:t>
            </w:r>
          </w:p>
        </w:tc>
        <w:tc>
          <w:tcPr>
            <w:tcW w:w="1278" w:type="dxa"/>
          </w:tcPr>
          <w:p w:rsidR="00132F5B" w:rsidRPr="00CC7BE6" w:rsidRDefault="00132F5B" w:rsidP="002303A4">
            <w:r w:rsidRPr="00CC7BE6">
              <w:t>91.8</w:t>
            </w:r>
          </w:p>
        </w:tc>
        <w:tc>
          <w:tcPr>
            <w:tcW w:w="1078" w:type="dxa"/>
          </w:tcPr>
          <w:p w:rsidR="00132F5B" w:rsidRPr="00CC7BE6" w:rsidRDefault="00132F5B" w:rsidP="002303A4">
            <w:r>
              <w:t>98.6</w:t>
            </w:r>
          </w:p>
        </w:tc>
      </w:tr>
      <w:tr w:rsidR="00132F5B" w:rsidTr="00051D6A">
        <w:tc>
          <w:tcPr>
            <w:tcW w:w="2994" w:type="dxa"/>
          </w:tcPr>
          <w:p w:rsidR="00132F5B" w:rsidRPr="00CC7BE6" w:rsidRDefault="00132F5B" w:rsidP="00D01F35">
            <w:pPr>
              <w:rPr>
                <w:sz w:val="20"/>
                <w:szCs w:val="20"/>
              </w:rPr>
            </w:pPr>
            <w:r w:rsidRPr="00CC7BE6">
              <w:rPr>
                <w:sz w:val="20"/>
                <w:szCs w:val="20"/>
              </w:rPr>
              <w:t>3yo enrolment in pre-primary education (ISCED 02)</w:t>
            </w:r>
          </w:p>
        </w:tc>
        <w:tc>
          <w:tcPr>
            <w:tcW w:w="1286" w:type="dxa"/>
          </w:tcPr>
          <w:p w:rsidR="00132F5B" w:rsidRPr="00CC7BE6" w:rsidRDefault="00132F5B" w:rsidP="002303A4">
            <w:r w:rsidRPr="00CC7BE6">
              <w:t>68.6</w:t>
            </w:r>
          </w:p>
        </w:tc>
        <w:tc>
          <w:tcPr>
            <w:tcW w:w="1303" w:type="dxa"/>
          </w:tcPr>
          <w:p w:rsidR="00132F5B" w:rsidRPr="00CC7BE6" w:rsidRDefault="00132F5B" w:rsidP="002303A4">
            <w:r w:rsidRPr="00CC7BE6">
              <w:t>15.0</w:t>
            </w:r>
          </w:p>
        </w:tc>
        <w:tc>
          <w:tcPr>
            <w:tcW w:w="1303" w:type="dxa"/>
          </w:tcPr>
          <w:p w:rsidR="00132F5B" w:rsidRPr="00CC7BE6" w:rsidRDefault="00132F5B" w:rsidP="002303A4">
            <w:r w:rsidRPr="00CC7BE6">
              <w:t>31 out of 35</w:t>
            </w:r>
          </w:p>
        </w:tc>
        <w:tc>
          <w:tcPr>
            <w:tcW w:w="1278" w:type="dxa"/>
          </w:tcPr>
          <w:p w:rsidR="00132F5B" w:rsidRPr="00CC7BE6" w:rsidRDefault="00132F5B" w:rsidP="002303A4">
            <w:r w:rsidRPr="00CC7BE6">
              <w:t>87.3</w:t>
            </w:r>
          </w:p>
        </w:tc>
        <w:tc>
          <w:tcPr>
            <w:tcW w:w="1078" w:type="dxa"/>
          </w:tcPr>
          <w:p w:rsidR="00132F5B" w:rsidRPr="00CC7BE6" w:rsidRDefault="00132F5B" w:rsidP="002303A4">
            <w:r>
              <w:t>83.7</w:t>
            </w:r>
          </w:p>
        </w:tc>
      </w:tr>
      <w:tr w:rsidR="00132F5B" w:rsidTr="00051D6A">
        <w:tc>
          <w:tcPr>
            <w:tcW w:w="8164" w:type="dxa"/>
            <w:gridSpan w:val="5"/>
          </w:tcPr>
          <w:p w:rsidR="00132F5B" w:rsidRPr="00CC7BE6" w:rsidRDefault="00132F5B" w:rsidP="002303A4">
            <w:pPr>
              <w:rPr>
                <w:b/>
              </w:rPr>
            </w:pPr>
            <w:r w:rsidRPr="00CC7BE6">
              <w:rPr>
                <w:b/>
              </w:rPr>
              <w:t>Dos</w:t>
            </w:r>
            <w:r w:rsidR="00904AD1">
              <w:rPr>
                <w:b/>
              </w:rPr>
              <w:t>ag</w:t>
            </w:r>
            <w:r w:rsidRPr="00CC7BE6">
              <w:rPr>
                <w:b/>
              </w:rPr>
              <w:t>e</w:t>
            </w:r>
          </w:p>
        </w:tc>
        <w:tc>
          <w:tcPr>
            <w:tcW w:w="1078" w:type="dxa"/>
          </w:tcPr>
          <w:p w:rsidR="00132F5B" w:rsidRPr="00CC7BE6" w:rsidRDefault="00132F5B" w:rsidP="002303A4">
            <w:pPr>
              <w:rPr>
                <w:b/>
              </w:rPr>
            </w:pPr>
          </w:p>
        </w:tc>
      </w:tr>
      <w:tr w:rsidR="00132F5B" w:rsidTr="00051D6A">
        <w:tc>
          <w:tcPr>
            <w:tcW w:w="2994" w:type="dxa"/>
          </w:tcPr>
          <w:p w:rsidR="00132F5B" w:rsidRPr="00CC7BE6" w:rsidRDefault="00132F5B" w:rsidP="00132F5B">
            <w:pPr>
              <w:rPr>
                <w:sz w:val="20"/>
                <w:szCs w:val="20"/>
              </w:rPr>
            </w:pPr>
            <w:r w:rsidRPr="00CC7BE6">
              <w:rPr>
                <w:sz w:val="20"/>
                <w:szCs w:val="20"/>
              </w:rPr>
              <w:t xml:space="preserve">Hours of early childhood teaching in the year before school </w:t>
            </w:r>
          </w:p>
        </w:tc>
        <w:tc>
          <w:tcPr>
            <w:tcW w:w="1286" w:type="dxa"/>
          </w:tcPr>
          <w:p w:rsidR="00132F5B" w:rsidRPr="00CC7BE6" w:rsidRDefault="00132F5B" w:rsidP="002303A4">
            <w:r w:rsidRPr="00CC7BE6">
              <w:t>911</w:t>
            </w:r>
          </w:p>
        </w:tc>
        <w:tc>
          <w:tcPr>
            <w:tcW w:w="1303" w:type="dxa"/>
          </w:tcPr>
          <w:p w:rsidR="00132F5B" w:rsidRPr="00CC7BE6" w:rsidRDefault="00132F5B" w:rsidP="002303A4">
            <w:r w:rsidRPr="00CC7BE6">
              <w:t>584</w:t>
            </w:r>
          </w:p>
        </w:tc>
        <w:tc>
          <w:tcPr>
            <w:tcW w:w="1303" w:type="dxa"/>
          </w:tcPr>
          <w:p w:rsidR="00132F5B" w:rsidRPr="00CC7BE6" w:rsidRDefault="00132F5B" w:rsidP="002303A4">
            <w:r w:rsidRPr="00CC7BE6">
              <w:t>20 out of 21</w:t>
            </w:r>
          </w:p>
        </w:tc>
        <w:tc>
          <w:tcPr>
            <w:tcW w:w="1278" w:type="dxa"/>
          </w:tcPr>
          <w:p w:rsidR="00132F5B" w:rsidRPr="00CC7BE6" w:rsidRDefault="00132F5B" w:rsidP="002303A4">
            <w:r w:rsidRPr="00CC7BE6">
              <w:t>924</w:t>
            </w:r>
          </w:p>
        </w:tc>
        <w:tc>
          <w:tcPr>
            <w:tcW w:w="1078" w:type="dxa"/>
          </w:tcPr>
          <w:p w:rsidR="00132F5B" w:rsidRPr="00051D6A" w:rsidRDefault="00132F5B" w:rsidP="002303A4">
            <w:pPr>
              <w:rPr>
                <w:sz w:val="18"/>
              </w:rPr>
            </w:pPr>
            <w:r w:rsidRPr="00051D6A">
              <w:rPr>
                <w:sz w:val="18"/>
              </w:rPr>
              <w:t>Data not available</w:t>
            </w:r>
          </w:p>
        </w:tc>
      </w:tr>
      <w:tr w:rsidR="00132F5B" w:rsidTr="00051D6A">
        <w:tc>
          <w:tcPr>
            <w:tcW w:w="2994" w:type="dxa"/>
          </w:tcPr>
          <w:p w:rsidR="00132F5B" w:rsidRPr="00CC7BE6" w:rsidRDefault="00132F5B" w:rsidP="002303A4">
            <w:pPr>
              <w:rPr>
                <w:sz w:val="20"/>
                <w:szCs w:val="20"/>
              </w:rPr>
            </w:pPr>
            <w:r w:rsidRPr="00CC7BE6">
              <w:rPr>
                <w:sz w:val="20"/>
                <w:szCs w:val="20"/>
              </w:rPr>
              <w:t>Hours per week (based on 40 week</w:t>
            </w:r>
            <w:r>
              <w:rPr>
                <w:sz w:val="20"/>
                <w:szCs w:val="20"/>
              </w:rPr>
              <w:t>s per</w:t>
            </w:r>
            <w:r w:rsidRPr="00CC7BE6">
              <w:rPr>
                <w:sz w:val="20"/>
                <w:szCs w:val="20"/>
              </w:rPr>
              <w:t xml:space="preserve"> year) </w:t>
            </w:r>
          </w:p>
        </w:tc>
        <w:tc>
          <w:tcPr>
            <w:tcW w:w="1286" w:type="dxa"/>
          </w:tcPr>
          <w:p w:rsidR="00132F5B" w:rsidRPr="00CC7BE6" w:rsidRDefault="00132F5B" w:rsidP="002303A4">
            <w:r w:rsidRPr="00CC7BE6">
              <w:t>22.7</w:t>
            </w:r>
          </w:p>
        </w:tc>
        <w:tc>
          <w:tcPr>
            <w:tcW w:w="1303" w:type="dxa"/>
          </w:tcPr>
          <w:p w:rsidR="00132F5B" w:rsidRPr="00CC7BE6" w:rsidRDefault="00132F5B" w:rsidP="002303A4">
            <w:r w:rsidRPr="00CC7BE6">
              <w:t>14.6</w:t>
            </w:r>
          </w:p>
        </w:tc>
        <w:tc>
          <w:tcPr>
            <w:tcW w:w="1303" w:type="dxa"/>
          </w:tcPr>
          <w:p w:rsidR="00132F5B" w:rsidRPr="00CC7BE6" w:rsidRDefault="00132F5B" w:rsidP="002303A4">
            <w:r w:rsidRPr="00CC7BE6">
              <w:t>20 out of 21</w:t>
            </w:r>
          </w:p>
        </w:tc>
        <w:tc>
          <w:tcPr>
            <w:tcW w:w="1278" w:type="dxa"/>
          </w:tcPr>
          <w:p w:rsidR="00132F5B" w:rsidRPr="00CC7BE6" w:rsidRDefault="00132F5B" w:rsidP="002303A4">
            <w:r w:rsidRPr="00CC7BE6">
              <w:t>23.1</w:t>
            </w:r>
          </w:p>
        </w:tc>
        <w:tc>
          <w:tcPr>
            <w:tcW w:w="1078" w:type="dxa"/>
          </w:tcPr>
          <w:p w:rsidR="00132F5B" w:rsidRPr="00051D6A" w:rsidRDefault="00132F5B" w:rsidP="002303A4">
            <w:pPr>
              <w:rPr>
                <w:sz w:val="18"/>
              </w:rPr>
            </w:pPr>
            <w:r w:rsidRPr="00051D6A">
              <w:rPr>
                <w:sz w:val="18"/>
              </w:rPr>
              <w:t>Data not available</w:t>
            </w:r>
          </w:p>
        </w:tc>
      </w:tr>
    </w:tbl>
    <w:p w:rsidR="00753B27" w:rsidRPr="00A516DA" w:rsidRDefault="00753B27" w:rsidP="00753B27">
      <w:pPr>
        <w:spacing w:after="0"/>
        <w:jc w:val="both"/>
        <w:rPr>
          <w:sz w:val="16"/>
          <w:szCs w:val="16"/>
        </w:rPr>
      </w:pPr>
      <w:r w:rsidRPr="00A516DA">
        <w:rPr>
          <w:b/>
          <w:i/>
          <w:sz w:val="16"/>
          <w:szCs w:val="16"/>
        </w:rPr>
        <w:t>Source:</w:t>
      </w:r>
      <w:r w:rsidRPr="00A516DA">
        <w:rPr>
          <w:sz w:val="16"/>
          <w:szCs w:val="16"/>
        </w:rPr>
        <w:t xml:space="preserve"> OECD Starting Strong 2017,</w:t>
      </w:r>
      <w:r w:rsidRPr="00A516DA">
        <w:rPr>
          <w:rStyle w:val="EndnoteReference"/>
          <w:sz w:val="16"/>
          <w:szCs w:val="16"/>
        </w:rPr>
        <w:endnoteReference w:id="195"/>
      </w:r>
      <w:r w:rsidRPr="00A516DA">
        <w:rPr>
          <w:sz w:val="16"/>
          <w:szCs w:val="16"/>
        </w:rPr>
        <w:t xml:space="preserve"> Review analysis. </w:t>
      </w:r>
    </w:p>
    <w:p w:rsidR="00753B27" w:rsidRPr="00A516DA" w:rsidRDefault="00753B27" w:rsidP="00753B27">
      <w:pPr>
        <w:rPr>
          <w:sz w:val="16"/>
          <w:szCs w:val="16"/>
        </w:rPr>
      </w:pPr>
      <w:r w:rsidRPr="00A516DA">
        <w:rPr>
          <w:sz w:val="16"/>
          <w:szCs w:val="16"/>
        </w:rPr>
        <w:t xml:space="preserve">Note: Ranking varies as not all OECD countries have data for every measure. </w:t>
      </w:r>
    </w:p>
    <w:p w:rsidR="00E73682" w:rsidRDefault="00E73682" w:rsidP="00375FB1">
      <w:pPr>
        <w:jc w:val="both"/>
        <w:rPr>
          <w:i/>
        </w:rPr>
      </w:pPr>
    </w:p>
    <w:tbl>
      <w:tblPr>
        <w:tblStyle w:val="TableGrid"/>
        <w:tblW w:w="0" w:type="auto"/>
        <w:tblLook w:val="04A0" w:firstRow="1" w:lastRow="0" w:firstColumn="1" w:lastColumn="0" w:noHBand="0" w:noVBand="1"/>
      </w:tblPr>
      <w:tblGrid>
        <w:gridCol w:w="9242"/>
      </w:tblGrid>
      <w:tr w:rsidR="00E73682" w:rsidTr="00E73682">
        <w:tc>
          <w:tcPr>
            <w:tcW w:w="9242" w:type="dxa"/>
          </w:tcPr>
          <w:p w:rsidR="001214FD" w:rsidRDefault="001214FD" w:rsidP="00E73682">
            <w:pPr>
              <w:rPr>
                <w:b/>
              </w:rPr>
            </w:pPr>
            <w:r w:rsidRPr="00D51254">
              <w:rPr>
                <w:b/>
              </w:rPr>
              <w:t xml:space="preserve">Early Childhood in New Zealand </w:t>
            </w:r>
          </w:p>
          <w:p w:rsidR="001214FD" w:rsidRPr="00D51254" w:rsidRDefault="001214FD" w:rsidP="00E73682">
            <w:pPr>
              <w:rPr>
                <w:b/>
              </w:rPr>
            </w:pPr>
          </w:p>
          <w:p w:rsidR="00E73682" w:rsidRDefault="00E73682" w:rsidP="00E73682">
            <w:r>
              <w:t>New Zealand, like Australia</w:t>
            </w:r>
            <w:r w:rsidR="00D01F35">
              <w:t>,</w:t>
            </w:r>
            <w:r>
              <w:t xml:space="preserve"> offers a range of early childhood education and care options for families including parent-led services, specific, </w:t>
            </w:r>
            <w:r w:rsidR="008F2D4E" w:rsidRPr="00030983">
              <w:t xml:space="preserve">culturally </w:t>
            </w:r>
            <w:r>
              <w:t xml:space="preserve">based services and home and centre-based education and care services. Early </w:t>
            </w:r>
            <w:r w:rsidR="001D2B09">
              <w:t>c</w:t>
            </w:r>
            <w:r>
              <w:t xml:space="preserve">hildhood </w:t>
            </w:r>
            <w:r w:rsidR="001D2B09">
              <w:t>e</w:t>
            </w:r>
            <w:r>
              <w:t xml:space="preserve">ducation and </w:t>
            </w:r>
            <w:r w:rsidR="001D2B09">
              <w:t>c</w:t>
            </w:r>
            <w:r>
              <w:t>are in New Zealand focuses on integrated service delivery with a range of options available to families to meet their needs. Services cater for children from a range of ages with kindergartens offering programs for children aged 2</w:t>
            </w:r>
            <w:r w:rsidR="00835C89">
              <w:t>-</w:t>
            </w:r>
            <w:r>
              <w:t>5 years. Strong emphasis is placed on the value of parents in children’s e</w:t>
            </w:r>
            <w:r w:rsidR="003D1131">
              <w:t>ducation and cultural practices. L</w:t>
            </w:r>
            <w:r>
              <w:t>anguage and perspectives are acknowledged and catered for.</w:t>
            </w:r>
          </w:p>
          <w:p w:rsidR="00E73682" w:rsidRDefault="00E73682" w:rsidP="00E73682"/>
          <w:p w:rsidR="00E73682" w:rsidRDefault="00E73682" w:rsidP="00E73682">
            <w:r>
              <w:t xml:space="preserve">Both New Zealand and Australia have a curriculum framework to guide </w:t>
            </w:r>
            <w:r w:rsidRPr="008F2D4E">
              <w:t>educators</w:t>
            </w:r>
            <w:r w:rsidR="008F2D4E">
              <w:t>’</w:t>
            </w:r>
            <w:r>
              <w:t xml:space="preserve"> planning and decision-making to support and enhance the learning and development of young children. Both frameworks span birth to school age. </w:t>
            </w:r>
          </w:p>
          <w:p w:rsidR="00E73682" w:rsidRDefault="00E73682" w:rsidP="00E73682">
            <w:pPr>
              <w:autoSpaceDE w:val="0"/>
              <w:autoSpaceDN w:val="0"/>
              <w:adjustRightInd w:val="0"/>
            </w:pPr>
          </w:p>
          <w:p w:rsidR="00E73682" w:rsidRDefault="00E73682" w:rsidP="00E73682">
            <w:pPr>
              <w:autoSpaceDE w:val="0"/>
              <w:autoSpaceDN w:val="0"/>
              <w:adjustRightInd w:val="0"/>
            </w:pPr>
            <w:r>
              <w:t>New Zealand provides a legal entitlement for children to early childhood education and care. Families with children aged 3, 4 or</w:t>
            </w:r>
            <w:r w:rsidRPr="002E2A62">
              <w:t xml:space="preserve"> 5 can access</w:t>
            </w:r>
            <w:r>
              <w:t xml:space="preserve"> 20 hours of early childhood education</w:t>
            </w:r>
            <w:r w:rsidRPr="002E2A62">
              <w:t xml:space="preserve"> fully subsidised for up to </w:t>
            </w:r>
            <w:r w:rsidR="007120CF">
              <w:t>six</w:t>
            </w:r>
            <w:r w:rsidRPr="002E2A62">
              <w:t xml:space="preserve"> hours a day and up to 20 hours a week.</w:t>
            </w:r>
            <w:r>
              <w:t xml:space="preserve"> </w:t>
            </w:r>
          </w:p>
          <w:p w:rsidR="00E73682" w:rsidRDefault="00E73682" w:rsidP="00E73682">
            <w:pPr>
              <w:autoSpaceDE w:val="0"/>
              <w:autoSpaceDN w:val="0"/>
              <w:adjustRightInd w:val="0"/>
            </w:pPr>
          </w:p>
          <w:p w:rsidR="00E73682" w:rsidRDefault="00E73682" w:rsidP="00E73682">
            <w:pPr>
              <w:autoSpaceDE w:val="0"/>
              <w:autoSpaceDN w:val="0"/>
              <w:adjustRightInd w:val="0"/>
              <w:rPr>
                <w:rFonts w:ascii="Calibri" w:hAnsi="Calibri" w:cs="Calibri"/>
                <w:sz w:val="20"/>
                <w:szCs w:val="20"/>
              </w:rPr>
            </w:pPr>
            <w:r w:rsidRPr="002E2A62">
              <w:t>New Zealand ranked higher than Australia across Maths, Reading and Science according to the 2015 PISA results.</w:t>
            </w:r>
            <w:r>
              <w:rPr>
                <w:rStyle w:val="EndnoteReference"/>
                <w:rFonts w:ascii="Calibri" w:hAnsi="Calibri" w:cs="Calibri"/>
              </w:rPr>
              <w:endnoteReference w:id="196"/>
            </w:r>
          </w:p>
          <w:p w:rsidR="00E73682" w:rsidRDefault="00E73682" w:rsidP="00375FB1">
            <w:pPr>
              <w:jc w:val="both"/>
              <w:rPr>
                <w:i/>
              </w:rPr>
            </w:pPr>
          </w:p>
        </w:tc>
      </w:tr>
    </w:tbl>
    <w:p w:rsidR="00E73682" w:rsidRDefault="00E73682" w:rsidP="00375FB1">
      <w:pPr>
        <w:jc w:val="both"/>
        <w:rPr>
          <w:i/>
        </w:rPr>
      </w:pPr>
    </w:p>
    <w:p w:rsidR="00915950" w:rsidRDefault="00915950" w:rsidP="00375FB1">
      <w:pPr>
        <w:jc w:val="both"/>
        <w:rPr>
          <w:i/>
        </w:rPr>
      </w:pPr>
    </w:p>
    <w:p w:rsidR="00375FB1" w:rsidRPr="0000066F" w:rsidRDefault="00375FB1" w:rsidP="00375FB1">
      <w:pPr>
        <w:jc w:val="both"/>
        <w:rPr>
          <w:i/>
        </w:rPr>
      </w:pPr>
      <w:r w:rsidRPr="0000066F">
        <w:rPr>
          <w:i/>
        </w:rPr>
        <w:t xml:space="preserve">Overall </w:t>
      </w:r>
      <w:r w:rsidR="00753B27">
        <w:rPr>
          <w:i/>
        </w:rPr>
        <w:t>investment</w:t>
      </w:r>
    </w:p>
    <w:p w:rsidR="00375FB1" w:rsidRDefault="00375FB1" w:rsidP="00375FB1">
      <w:r>
        <w:t xml:space="preserve">Australia invests less than 0.5 per cent of GDP in early childhood education and care, well below the OECD average of 0.8 per cent of GDP. Nordic countries (Norway, Sweden, Denmark and Finland) invest significantly more </w:t>
      </w:r>
      <w:r w:rsidR="00423D14">
        <w:t>–</w:t>
      </w:r>
      <w:r w:rsidR="00423D14" w:rsidRPr="00423D14">
        <w:t xml:space="preserve"> </w:t>
      </w:r>
      <w:r>
        <w:t>between 1.2 and 2 per</w:t>
      </w:r>
      <w:r w:rsidR="0002749C">
        <w:t xml:space="preserve"> </w:t>
      </w:r>
      <w:r>
        <w:t>cent</w:t>
      </w:r>
      <w:r w:rsidR="00362205">
        <w:t>.</w:t>
      </w:r>
      <w:r>
        <w:rPr>
          <w:rStyle w:val="EndnoteReference"/>
        </w:rPr>
        <w:endnoteReference w:id="197"/>
      </w:r>
      <w:r>
        <w:t xml:space="preserve"> </w:t>
      </w:r>
    </w:p>
    <w:p w:rsidR="00753B27" w:rsidRPr="00915950" w:rsidRDefault="00375FB1" w:rsidP="00915950">
      <w:r>
        <w:t>The OECD classifies early childhood expenditure as either ‘early childhood educational development’ (International Standard Classification of Education 01</w:t>
      </w:r>
      <w:r w:rsidR="00F56C2C">
        <w:t xml:space="preserve"> [ISCED 01]</w:t>
      </w:r>
      <w:r>
        <w:t>, generally focused on 0-2 year olds</w:t>
      </w:r>
      <w:r w:rsidR="00CD21E5">
        <w:t>, such as a long day care program</w:t>
      </w:r>
      <w:r>
        <w:t>) or ‘pre-primary’ (International Standard Classification of Education 02</w:t>
      </w:r>
      <w:r w:rsidR="00F56C2C">
        <w:t xml:space="preserve"> [ISCED 02]</w:t>
      </w:r>
      <w:r>
        <w:t>, generally focused on 3-5 year olds</w:t>
      </w:r>
      <w:r w:rsidR="00CD21E5">
        <w:t>, such as a preschool program</w:t>
      </w:r>
      <w:r>
        <w:t>). Australia lags</w:t>
      </w:r>
      <w:r w:rsidR="00890A23">
        <w:t xml:space="preserve"> the</w:t>
      </w:r>
      <w:r>
        <w:t xml:space="preserve"> OECD average on pre-primary education</w:t>
      </w:r>
      <w:r w:rsidR="00830DA1">
        <w:t xml:space="preserve"> in particular</w:t>
      </w:r>
      <w:r>
        <w:t xml:space="preserve">, investing just 0.2 per cent of GDP, compared </w:t>
      </w:r>
      <w:r w:rsidR="00830DA1">
        <w:t>with</w:t>
      </w:r>
      <w:r w:rsidR="00830DA1" w:rsidRPr="008F2D4E">
        <w:t xml:space="preserve"> </w:t>
      </w:r>
      <w:r>
        <w:t xml:space="preserve">the OECD average of 0.6 per cent. </w:t>
      </w:r>
      <w:r w:rsidR="00890A23">
        <w:t xml:space="preserve">As a proportion of GDP, </w:t>
      </w:r>
      <w:r>
        <w:t xml:space="preserve">Australia invests less in pre-primary education than every OECD country for which data is available except Ireland and Switzerland. </w:t>
      </w:r>
    </w:p>
    <w:p w:rsidR="00375FB1" w:rsidRPr="00272285" w:rsidRDefault="00375FB1" w:rsidP="00375FB1">
      <w:pPr>
        <w:spacing w:after="0"/>
        <w:jc w:val="both"/>
        <w:rPr>
          <w:i/>
        </w:rPr>
      </w:pPr>
      <w:r>
        <w:rPr>
          <w:i/>
        </w:rPr>
        <w:t>Access and participation</w:t>
      </w:r>
    </w:p>
    <w:p w:rsidR="00375FB1" w:rsidRDefault="00375FB1" w:rsidP="00915950">
      <w:r>
        <w:t>OECD data shows that Australia has slightly below average enrolment for four year olds in early childhood education.</w:t>
      </w:r>
      <w:r>
        <w:rPr>
          <w:rStyle w:val="EndnoteReference"/>
        </w:rPr>
        <w:endnoteReference w:id="198"/>
      </w:r>
      <w:r>
        <w:t xml:space="preserve"> Australia also has slightly below average enrolment for three year olds, but Australia’s three year olds are primarily enrolled in lower-level </w:t>
      </w:r>
      <w:r w:rsidR="00F56C2C">
        <w:t xml:space="preserve">early childhood educational development (ISCED 01) </w:t>
      </w:r>
      <w:r>
        <w:t xml:space="preserve">programs. In terms of </w:t>
      </w:r>
      <w:r w:rsidR="00F56C2C">
        <w:t>pre-primary education (ISCED 02)</w:t>
      </w:r>
      <w:r>
        <w:t xml:space="preserve">, Australia </w:t>
      </w:r>
      <w:r w:rsidR="00F56C2C">
        <w:t>has 15 </w:t>
      </w:r>
      <w:r>
        <w:t xml:space="preserve">per cent enrolment, well below the OECD average of 68.6 per cent. This trend of three year olds in lower level programs is </w:t>
      </w:r>
      <w:r w:rsidR="00F56C2C">
        <w:t xml:space="preserve">only otherwise </w:t>
      </w:r>
      <w:r>
        <w:t xml:space="preserve">seen in Brazil and Greece, </w:t>
      </w:r>
      <w:r w:rsidR="00F56C2C">
        <w:t xml:space="preserve">with </w:t>
      </w:r>
      <w:r>
        <w:t>every other country</w:t>
      </w:r>
      <w:r w:rsidR="00F56C2C">
        <w:t xml:space="preserve"> having more </w:t>
      </w:r>
      <w:r>
        <w:t>three year olds enrolled in pre-primary education</w:t>
      </w:r>
      <w:r w:rsidR="00F56C2C">
        <w:t xml:space="preserve"> than early childhood </w:t>
      </w:r>
      <w:r w:rsidR="00C332DF">
        <w:t>educational</w:t>
      </w:r>
      <w:r w:rsidR="00F56C2C">
        <w:t xml:space="preserve"> development</w:t>
      </w:r>
      <w:r>
        <w:t>. Australia is one of only three countries (along with Switzerland and Italy) to see a decline in pre-primary enrolment at age three since 2005.</w:t>
      </w:r>
      <w:r>
        <w:rPr>
          <w:rStyle w:val="EndnoteReference"/>
        </w:rPr>
        <w:endnoteReference w:id="199"/>
      </w:r>
    </w:p>
    <w:p w:rsidR="00375FB1" w:rsidRPr="00273019" w:rsidRDefault="00375FB1" w:rsidP="00375FB1">
      <w:r w:rsidRPr="00DC66BF">
        <w:t>As the data suggests, most other countries provide access for three year olds to some form of univer</w:t>
      </w:r>
      <w:r>
        <w:t xml:space="preserve">sal early childhood education. </w:t>
      </w:r>
      <w:r w:rsidRPr="00DC66BF">
        <w:rPr>
          <w:rFonts w:eastAsia="Times New Roman" w:cs="Arial"/>
          <w:bCs/>
          <w:color w:val="000000"/>
          <w:lang w:eastAsia="en-AU"/>
        </w:rPr>
        <w:t>World Bank data</w:t>
      </w:r>
      <w:r w:rsidR="00AB0A2D">
        <w:rPr>
          <w:rFonts w:eastAsia="Times New Roman" w:cs="Arial"/>
          <w:bCs/>
          <w:color w:val="000000"/>
          <w:lang w:eastAsia="en-AU"/>
        </w:rPr>
        <w:t xml:space="preserve"> </w:t>
      </w:r>
      <w:r w:rsidRPr="00DC66BF">
        <w:rPr>
          <w:rFonts w:eastAsia="Times New Roman" w:cs="Arial"/>
          <w:bCs/>
          <w:color w:val="000000"/>
          <w:lang w:eastAsia="en-AU"/>
        </w:rPr>
        <w:t>shows that</w:t>
      </w:r>
      <w:r>
        <w:rPr>
          <w:rFonts w:eastAsia="Times New Roman" w:cs="Arial"/>
          <w:bCs/>
          <w:color w:val="000000"/>
          <w:lang w:eastAsia="en-AU"/>
        </w:rPr>
        <w:t xml:space="preserve"> in 2015</w:t>
      </w:r>
      <w:r w:rsidRPr="00DC66BF">
        <w:rPr>
          <w:rFonts w:eastAsia="Times New Roman" w:cs="Arial"/>
          <w:bCs/>
          <w:color w:val="000000"/>
          <w:lang w:eastAsia="en-AU"/>
        </w:rPr>
        <w:t xml:space="preserve">, of the 207 </w:t>
      </w:r>
      <w:r w:rsidR="005C0134">
        <w:rPr>
          <w:rFonts w:eastAsia="Times New Roman" w:cs="Arial"/>
          <w:bCs/>
          <w:color w:val="000000"/>
          <w:lang w:eastAsia="en-AU"/>
        </w:rPr>
        <w:t>jurisdictions</w:t>
      </w:r>
      <w:r w:rsidRPr="00DC66BF">
        <w:rPr>
          <w:rFonts w:eastAsia="Times New Roman" w:cs="Arial"/>
          <w:bCs/>
          <w:color w:val="000000"/>
          <w:lang w:eastAsia="en-AU"/>
        </w:rPr>
        <w:t xml:space="preserve"> </w:t>
      </w:r>
      <w:r>
        <w:rPr>
          <w:rFonts w:eastAsia="Times New Roman" w:cs="Arial"/>
          <w:bCs/>
          <w:color w:val="000000"/>
          <w:lang w:eastAsia="en-AU"/>
        </w:rPr>
        <w:t xml:space="preserve">examined, </w:t>
      </w:r>
      <w:r w:rsidRPr="00DC66BF">
        <w:rPr>
          <w:rFonts w:eastAsia="Times New Roman" w:cs="Arial"/>
          <w:bCs/>
          <w:color w:val="000000"/>
          <w:lang w:eastAsia="en-AU"/>
        </w:rPr>
        <w:t>the vast majority provide two or three years of pre-primary education. Only 11 provide one year – Algeria, Angola, Bermuda, Gibraltar, the Islamic Republic of Iran, Ireland, Nigeria, the Phili</w:t>
      </w:r>
      <w:r>
        <w:rPr>
          <w:rFonts w:eastAsia="Times New Roman" w:cs="Arial"/>
          <w:bCs/>
          <w:color w:val="000000"/>
          <w:lang w:eastAsia="en-AU"/>
        </w:rPr>
        <w:t>ppines, South Africa, Sri Lanka</w:t>
      </w:r>
      <w:r w:rsidRPr="00DC66BF">
        <w:rPr>
          <w:rFonts w:eastAsia="Times New Roman" w:cs="Arial"/>
          <w:bCs/>
          <w:color w:val="000000"/>
          <w:lang w:eastAsia="en-AU"/>
        </w:rPr>
        <w:t xml:space="preserve"> and Australia.</w:t>
      </w:r>
      <w:r w:rsidRPr="00DC66BF">
        <w:rPr>
          <w:rStyle w:val="EndnoteReference"/>
          <w:rFonts w:eastAsia="Times New Roman" w:cs="Arial"/>
          <w:bCs/>
          <w:color w:val="000000"/>
          <w:lang w:eastAsia="en-AU"/>
        </w:rPr>
        <w:endnoteReference w:id="200"/>
      </w:r>
      <w:r w:rsidRPr="00DC66BF">
        <w:rPr>
          <w:rFonts w:eastAsia="Times New Roman" w:cs="Arial"/>
          <w:bCs/>
          <w:color w:val="000000"/>
          <w:lang w:eastAsia="en-AU"/>
        </w:rPr>
        <w:t xml:space="preserve"> </w:t>
      </w:r>
    </w:p>
    <w:p w:rsidR="00375FB1" w:rsidRDefault="00375FB1" w:rsidP="00375FB1">
      <w:pPr>
        <w:tabs>
          <w:tab w:val="left" w:pos="2567"/>
        </w:tabs>
        <w:rPr>
          <w:i/>
        </w:rPr>
      </w:pPr>
      <w:r w:rsidRPr="009B5E86">
        <w:rPr>
          <w:i/>
        </w:rPr>
        <w:t>Dosage</w:t>
      </w:r>
      <w:r>
        <w:rPr>
          <w:i/>
        </w:rPr>
        <w:t xml:space="preserve"> and access</w:t>
      </w:r>
    </w:p>
    <w:p w:rsidR="00375FB1" w:rsidRDefault="00375FB1" w:rsidP="00375FB1">
      <w:r w:rsidRPr="00CD54DB">
        <w:t xml:space="preserve">OECD data also shows that the number of </w:t>
      </w:r>
      <w:r>
        <w:t xml:space="preserve">hours </w:t>
      </w:r>
      <w:r w:rsidRPr="00CD54DB">
        <w:t xml:space="preserve">of teaching </w:t>
      </w:r>
      <w:r w:rsidR="0093225E">
        <w:t xml:space="preserve">(referred to as dosage) </w:t>
      </w:r>
      <w:r w:rsidRPr="00CD54DB">
        <w:t xml:space="preserve">in the year before school is </w:t>
      </w:r>
      <w:r>
        <w:t xml:space="preserve">significantly </w:t>
      </w:r>
      <w:r w:rsidRPr="00CD54DB">
        <w:t xml:space="preserve">lower in Australia than </w:t>
      </w:r>
      <w:r>
        <w:t>the OECD average.</w:t>
      </w:r>
      <w:r w:rsidR="003C37BA">
        <w:t xml:space="preserve"> </w:t>
      </w:r>
      <w:r>
        <w:t>When considering government investment in early childhood education, d</w:t>
      </w:r>
      <w:r w:rsidRPr="000C1E2C">
        <w:t xml:space="preserve">osage is </w:t>
      </w:r>
      <w:r>
        <w:t>reflective of the broader education, social and economic policy platforms on which early childhood education provision is based</w:t>
      </w:r>
      <w:r w:rsidRPr="000C1E2C">
        <w:t>.</w:t>
      </w:r>
      <w:r w:rsidR="00B946A2">
        <w:t xml:space="preserve"> </w:t>
      </w:r>
      <w:r>
        <w:t>A number of countries have increased the dosage of preschool education including the United Kin</w:t>
      </w:r>
      <w:r w:rsidR="00CE1A72">
        <w:t>gdom (</w:t>
      </w:r>
      <w:r w:rsidR="00820666">
        <w:t xml:space="preserve">expanding to </w:t>
      </w:r>
      <w:r w:rsidR="00CE1A72">
        <w:t>up to 30 hours per week).</w:t>
      </w:r>
      <w:r>
        <w:rPr>
          <w:rStyle w:val="EndnoteReference"/>
        </w:rPr>
        <w:endnoteReference w:id="201"/>
      </w:r>
    </w:p>
    <w:p w:rsidR="00375FB1" w:rsidRDefault="00375FB1" w:rsidP="00375FB1">
      <w:pPr>
        <w:rPr>
          <w:i/>
        </w:rPr>
      </w:pPr>
      <w:r>
        <w:t xml:space="preserve">In addition to increasing the number of hours of early </w:t>
      </w:r>
      <w:r w:rsidR="0093225E">
        <w:t xml:space="preserve">childhood </w:t>
      </w:r>
      <w:r>
        <w:t xml:space="preserve">education, </w:t>
      </w:r>
      <w:r w:rsidR="00D01F35">
        <w:t>many</w:t>
      </w:r>
      <w:r>
        <w:t xml:space="preserve"> countries now provide a legal entitlement to </w:t>
      </w:r>
      <w:r>
        <w:rPr>
          <w:rFonts w:ascii="TimesNewRoman" w:hAnsi="TimesNewRoman" w:cs="TimesNewRoman"/>
        </w:rPr>
        <w:t>a place in early childhood education for children and are moving to ensure free access for children in the pre-primary year</w:t>
      </w:r>
      <w:r w:rsidR="0093225E">
        <w:rPr>
          <w:rFonts w:ascii="TimesNewRoman" w:hAnsi="TimesNewRoman" w:cs="TimesNewRoman"/>
        </w:rPr>
        <w:t>(</w:t>
      </w:r>
      <w:r>
        <w:rPr>
          <w:rFonts w:ascii="TimesNewRoman" w:hAnsi="TimesNewRoman" w:cs="TimesNewRoman"/>
        </w:rPr>
        <w:t>s</w:t>
      </w:r>
      <w:r w:rsidR="0093225E">
        <w:rPr>
          <w:rFonts w:ascii="TimesNewRoman" w:hAnsi="TimesNewRoman" w:cs="TimesNewRoman"/>
        </w:rPr>
        <w:t>)</w:t>
      </w:r>
      <w:r>
        <w:rPr>
          <w:rFonts w:ascii="TimesNewRoman" w:hAnsi="TimesNewRoman" w:cs="TimesNewRoman"/>
        </w:rPr>
        <w:t>.</w:t>
      </w:r>
      <w:r w:rsidR="00B946A2">
        <w:rPr>
          <w:rFonts w:ascii="TimesNewRoman" w:hAnsi="TimesNewRoman" w:cs="TimesNewRoman"/>
        </w:rPr>
        <w:t xml:space="preserve"> </w:t>
      </w:r>
      <w:r>
        <w:rPr>
          <w:rFonts w:ascii="TimesNewRoman" w:hAnsi="TimesNewRoman" w:cs="TimesNewRoman"/>
        </w:rPr>
        <w:t>In 2015, most OECD countries provided free access to early childhood education and care to all children for at least the last year before entering primary school.</w:t>
      </w:r>
      <w:r w:rsidRPr="00AC1B65">
        <w:t xml:space="preserve"> </w:t>
      </w:r>
      <w:r>
        <w:t>In these countries</w:t>
      </w:r>
      <w:r w:rsidR="00E502FD">
        <w:t>,</w:t>
      </w:r>
      <w:r>
        <w:t xml:space="preserve"> children’s dosage ranges from 12</w:t>
      </w:r>
      <w:r w:rsidR="00E502FD">
        <w:t>-to-</w:t>
      </w:r>
      <w:r>
        <w:t>40</w:t>
      </w:r>
      <w:r w:rsidR="00A76DE9">
        <w:t>-</w:t>
      </w:r>
      <w:r>
        <w:t>plus hours per week. Belgium, France, Ireland, Italy, Korea, Luxembourg, Mexico, New Zealand, Portugal, Slovak Republic, Slovenia and Sweden all offered free, unconditional access to 15 hours or more of pre-primary e</w:t>
      </w:r>
      <w:r w:rsidR="00362205">
        <w:t xml:space="preserve">ducation for </w:t>
      </w:r>
      <w:r w:rsidR="00835C89">
        <w:t>three</w:t>
      </w:r>
      <w:r w:rsidR="00362205">
        <w:t xml:space="preserve"> and </w:t>
      </w:r>
      <w:r w:rsidR="00835C89">
        <w:t>four</w:t>
      </w:r>
      <w:r w:rsidR="00362205">
        <w:t xml:space="preserve"> year olds.</w:t>
      </w:r>
      <w:r>
        <w:rPr>
          <w:rStyle w:val="EndnoteReference"/>
        </w:rPr>
        <w:endnoteReference w:id="202"/>
      </w:r>
    </w:p>
    <w:p w:rsidR="00375FB1" w:rsidRPr="004036E6" w:rsidRDefault="00085638" w:rsidP="00375FB1">
      <w:pPr>
        <w:rPr>
          <w:i/>
        </w:rPr>
      </w:pPr>
      <w:r>
        <w:rPr>
          <w:i/>
        </w:rPr>
        <w:t>C</w:t>
      </w:r>
      <w:r w:rsidR="00375FB1" w:rsidRPr="004036E6">
        <w:rPr>
          <w:i/>
        </w:rPr>
        <w:t>urriculum</w:t>
      </w:r>
    </w:p>
    <w:p w:rsidR="00375FB1" w:rsidRDefault="00375FB1" w:rsidP="00375FB1">
      <w:r>
        <w:t xml:space="preserve">One area where Australia performs well is its national early childhood curriculum. The provision of an agreed, evidence-based curriculum contributes significantly to quality early childhood education provision. A curriculum framework can provide more consistent provision by articulating scope, sequence and learning goals. </w:t>
      </w:r>
      <w:r w:rsidRPr="00CE702E">
        <w:t>Almost all OECD countries have some form of c</w:t>
      </w:r>
      <w:r>
        <w:t xml:space="preserve">urriculum or framework in place to inform </w:t>
      </w:r>
      <w:r w:rsidRPr="00030983">
        <w:t>educators</w:t>
      </w:r>
      <w:r w:rsidR="008E688A">
        <w:t>’</w:t>
      </w:r>
      <w:r>
        <w:t xml:space="preserve"> practice and maximise consistent</w:t>
      </w:r>
      <w:r w:rsidRPr="00CE702E">
        <w:t xml:space="preserve"> quality across different settings.</w:t>
      </w:r>
      <w:r>
        <w:t xml:space="preserve"> </w:t>
      </w:r>
    </w:p>
    <w:p w:rsidR="00375FB1" w:rsidRDefault="00375FB1" w:rsidP="00375FB1">
      <w:r>
        <w:t>Evidence suggests effective curriculum frameworks in early childhood incorporate a balance of ‘hard’ and ‘soft’ skills</w:t>
      </w:r>
      <w:r w:rsidR="00362205">
        <w:t>.</w:t>
      </w:r>
      <w:r>
        <w:rPr>
          <w:rStyle w:val="EndnoteReference"/>
        </w:rPr>
        <w:endnoteReference w:id="203"/>
      </w:r>
      <w:r>
        <w:t xml:space="preserve"> Most</w:t>
      </w:r>
      <w:r w:rsidRPr="00D41DEB">
        <w:t xml:space="preserve"> </w:t>
      </w:r>
      <w:r w:rsidR="009861C7" w:rsidRPr="009861C7">
        <w:t>curricula</w:t>
      </w:r>
      <w:r>
        <w:t xml:space="preserve"> focus on the development of skills, knowledge and dispositions that establish sound foundations for future learning and successful engagement in society. These typically include aspects of early literacy and numeracy</w:t>
      </w:r>
      <w:r w:rsidR="009861C7">
        <w:t>,</w:t>
      </w:r>
      <w:r>
        <w:t xml:space="preserve"> and emphasise the importance of language development, thinking skills and problem solving. </w:t>
      </w:r>
    </w:p>
    <w:p w:rsidR="00375FB1" w:rsidRDefault="00375FB1" w:rsidP="00375FB1">
      <w:r>
        <w:t>In addition to prioritising learning and development, learning frameworks provide advice for educators on effective pedagogical approaches and strategies for monitoring children’s learning and development progress. Australia is one of many OECD countries with a national learning framework or curriculum</w:t>
      </w:r>
      <w:r w:rsidR="0093225E">
        <w:t>, t</w:t>
      </w:r>
      <w:r>
        <w:t>he Early Years Learning Framework</w:t>
      </w:r>
      <w:r w:rsidR="001F023B">
        <w:t>, which is for children from birth to school age</w:t>
      </w:r>
      <w:r>
        <w:t>.</w:t>
      </w:r>
    </w:p>
    <w:p w:rsidR="00085638" w:rsidRDefault="00085638" w:rsidP="00375FB1">
      <w:pPr>
        <w:rPr>
          <w:i/>
        </w:rPr>
      </w:pPr>
      <w:r>
        <w:rPr>
          <w:i/>
        </w:rPr>
        <w:t>National Quality Framework</w:t>
      </w:r>
    </w:p>
    <w:p w:rsidR="00FF20AE" w:rsidRDefault="00FF20AE" w:rsidP="00375FB1">
      <w:r>
        <w:t>The National Quality Framework is notable in an international context for its scope and application. It aims to bring consistency and quality to a diverse and highly complex system. The Review is not aware of a similar</w:t>
      </w:r>
      <w:r w:rsidR="009D0B2F">
        <w:t>-scale</w:t>
      </w:r>
      <w:r>
        <w:t xml:space="preserve"> initiative elsewhere in the world. </w:t>
      </w:r>
    </w:p>
    <w:p w:rsidR="00BD2EFC" w:rsidRDefault="00BD2EFC" w:rsidP="0068131A">
      <w:r>
        <w:br w:type="page"/>
      </w:r>
    </w:p>
    <w:p w:rsidR="00BD2EFC" w:rsidRDefault="0063470E" w:rsidP="005026E6">
      <w:pPr>
        <w:pStyle w:val="Heading1"/>
      </w:pPr>
      <w:bookmarkStart w:id="26" w:name="_Toc373586257"/>
      <w:bookmarkStart w:id="27" w:name="_Toc500850775"/>
      <w:r>
        <w:t xml:space="preserve">4.1 </w:t>
      </w:r>
      <w:r w:rsidR="004305FD">
        <w:t>The importance of quality and the w</w:t>
      </w:r>
      <w:r w:rsidR="00BD2EFC">
        <w:t>orkforce</w:t>
      </w:r>
      <w:bookmarkEnd w:id="26"/>
      <w:bookmarkEnd w:id="27"/>
      <w:r w:rsidR="00BD2EFC">
        <w:t xml:space="preserve"> </w:t>
      </w:r>
    </w:p>
    <w:p w:rsidR="00BD2EFC" w:rsidRDefault="00BD2EFC" w:rsidP="00DD30C7"/>
    <w:p w:rsidR="00BD2EFC" w:rsidRDefault="007B0F79" w:rsidP="00FA3A00">
      <w:r>
        <w:t>T</w:t>
      </w:r>
      <w:r w:rsidR="00BD2EFC">
        <w:t xml:space="preserve">he quality of early childhood education is </w:t>
      </w:r>
      <w:r>
        <w:t xml:space="preserve">vital </w:t>
      </w:r>
      <w:r w:rsidR="00BD2EFC">
        <w:t>to i</w:t>
      </w:r>
      <w:r w:rsidR="003D1131">
        <w:t>ts effectiveness</w:t>
      </w:r>
      <w:r>
        <w:t>, and the most important factor in delivering quality is a skilled and stable workforce</w:t>
      </w:r>
      <w:r w:rsidR="003D1131">
        <w:t xml:space="preserve">. </w:t>
      </w:r>
      <w:r>
        <w:t xml:space="preserve">According to the International </w:t>
      </w:r>
      <w:r w:rsidR="001C3893">
        <w:t>Labour</w:t>
      </w:r>
      <w:r>
        <w:t xml:space="preserve"> Organization, ‘evidence increasingly demonstrates that </w:t>
      </w:r>
      <w:r w:rsidR="004E455A">
        <w:t>[</w:t>
      </w:r>
      <w:r w:rsidR="003E5317">
        <w:t>early childhood education</w:t>
      </w:r>
      <w:r w:rsidR="004E455A">
        <w:t>]</w:t>
      </w:r>
      <w:r>
        <w:t xml:space="preserve"> personnel are central to realizing universally accessible, high-quality </w:t>
      </w:r>
      <w:r w:rsidR="004E455A">
        <w:t>[</w:t>
      </w:r>
      <w:r w:rsidR="003E5317">
        <w:t>early childhood education</w:t>
      </w:r>
      <w:r w:rsidR="00D219F0">
        <w:t>]</w:t>
      </w:r>
      <w:r>
        <w:t xml:space="preserve"> provision’.</w:t>
      </w:r>
      <w:r w:rsidR="00BD2EFC">
        <w:t xml:space="preserve"> The workforce is therefore an essential consideration</w:t>
      </w:r>
      <w:r w:rsidR="004305FD">
        <w:t xml:space="preserve"> in delivering </w:t>
      </w:r>
      <w:r>
        <w:t xml:space="preserve">a service of sufficient quality to deliver positive learning and </w:t>
      </w:r>
      <w:r w:rsidRPr="000F5FA4">
        <w:t>development</w:t>
      </w:r>
      <w:r w:rsidR="004F62A2">
        <w:t>al</w:t>
      </w:r>
      <w:r>
        <w:t xml:space="preserve"> outcomes for </w:t>
      </w:r>
      <w:r w:rsidR="001C3893">
        <w:t>children</w:t>
      </w:r>
      <w:r>
        <w:t>.</w:t>
      </w:r>
      <w:r>
        <w:rPr>
          <w:rStyle w:val="EndnoteReference"/>
        </w:rPr>
        <w:endnoteReference w:id="204"/>
      </w:r>
      <w:r>
        <w:t xml:space="preserve"> </w:t>
      </w:r>
    </w:p>
    <w:p w:rsidR="00BD2EFC" w:rsidRDefault="00BD2EFC" w:rsidP="00F15806">
      <w:r>
        <w:t>Recent Australian research makes a valuable contribution to our understanding of quality, and our knowledge about how to improve it. But it is also clear that the workforce remains a significant challenge</w:t>
      </w:r>
      <w:r w:rsidR="004305FD">
        <w:t xml:space="preserve"> in Australia</w:t>
      </w:r>
      <w:r>
        <w:t xml:space="preserve">, for a number of </w:t>
      </w:r>
      <w:r w:rsidR="007B0F79">
        <w:t xml:space="preserve">interrelated </w:t>
      </w:r>
      <w:r>
        <w:t xml:space="preserve">reasons. </w:t>
      </w:r>
    </w:p>
    <w:p w:rsidR="00BD2EFC" w:rsidRDefault="00BD2EFC" w:rsidP="00F15806">
      <w:pPr>
        <w:rPr>
          <w:rFonts w:cstheme="minorHAnsi"/>
          <w:i/>
        </w:rPr>
      </w:pPr>
      <w:r>
        <w:rPr>
          <w:rFonts w:cstheme="minorHAnsi"/>
          <w:i/>
        </w:rPr>
        <w:t xml:space="preserve">Quality </w:t>
      </w:r>
      <w:r w:rsidR="004305FD">
        <w:rPr>
          <w:rFonts w:cstheme="minorHAnsi"/>
          <w:i/>
        </w:rPr>
        <w:t>e</w:t>
      </w:r>
      <w:r>
        <w:rPr>
          <w:rFonts w:cstheme="minorHAnsi"/>
          <w:i/>
        </w:rPr>
        <w:t xml:space="preserve">arly </w:t>
      </w:r>
      <w:r w:rsidR="004305FD">
        <w:rPr>
          <w:rFonts w:cstheme="minorHAnsi"/>
          <w:i/>
        </w:rPr>
        <w:t>c</w:t>
      </w:r>
      <w:r>
        <w:rPr>
          <w:rFonts w:cstheme="minorHAnsi"/>
          <w:i/>
        </w:rPr>
        <w:t xml:space="preserve">hildhood </w:t>
      </w:r>
      <w:r w:rsidR="004305FD">
        <w:rPr>
          <w:rFonts w:cstheme="minorHAnsi"/>
          <w:i/>
        </w:rPr>
        <w:t>e</w:t>
      </w:r>
      <w:r>
        <w:rPr>
          <w:rFonts w:cstheme="minorHAnsi"/>
          <w:i/>
        </w:rPr>
        <w:t xml:space="preserve">ducation </w:t>
      </w:r>
    </w:p>
    <w:p w:rsidR="0034482F" w:rsidRPr="0034482F" w:rsidRDefault="0034482F" w:rsidP="0034482F">
      <w:pPr>
        <w:spacing w:after="0"/>
        <w:rPr>
          <w:rFonts w:eastAsia="Times New Roman" w:cs="Times New Roman"/>
          <w:lang w:eastAsia="en-AU"/>
        </w:rPr>
      </w:pPr>
      <w:r w:rsidRPr="0034482F">
        <w:rPr>
          <w:rFonts w:eastAsia="Times New Roman" w:cs="Times New Roman"/>
          <w:lang w:eastAsia="en-AU"/>
        </w:rPr>
        <w:t xml:space="preserve">There are two </w:t>
      </w:r>
      <w:r w:rsidR="001C36C4">
        <w:rPr>
          <w:rFonts w:eastAsia="Times New Roman" w:cs="Times New Roman"/>
          <w:lang w:eastAsia="en-AU"/>
        </w:rPr>
        <w:t xml:space="preserve">generally </w:t>
      </w:r>
      <w:r w:rsidRPr="0034482F">
        <w:rPr>
          <w:rFonts w:eastAsia="Times New Roman" w:cs="Times New Roman"/>
          <w:lang w:eastAsia="en-AU"/>
        </w:rPr>
        <w:t xml:space="preserve">accepted </w:t>
      </w:r>
      <w:r w:rsidR="001C36C4">
        <w:rPr>
          <w:rFonts w:eastAsia="Times New Roman" w:cs="Times New Roman"/>
          <w:lang w:eastAsia="en-AU"/>
        </w:rPr>
        <w:t>components</w:t>
      </w:r>
      <w:r w:rsidRPr="0034482F">
        <w:rPr>
          <w:rFonts w:eastAsia="Times New Roman" w:cs="Times New Roman"/>
          <w:lang w:eastAsia="en-AU"/>
        </w:rPr>
        <w:t xml:space="preserve"> of quality in early childhood education and care</w:t>
      </w:r>
      <w:r w:rsidRPr="004F62A2">
        <w:rPr>
          <w:rFonts w:eastAsia="Times New Roman" w:cs="Times New Roman"/>
          <w:lang w:eastAsia="en-AU"/>
        </w:rPr>
        <w:t xml:space="preserve"> </w:t>
      </w:r>
      <w:r w:rsidR="004F62A2">
        <w:rPr>
          <w:rFonts w:eastAsia="Times New Roman" w:cs="Times New Roman"/>
          <w:lang w:eastAsia="en-AU"/>
        </w:rPr>
        <w:t>–</w:t>
      </w:r>
      <w:r w:rsidRPr="0034482F">
        <w:rPr>
          <w:rFonts w:eastAsia="Times New Roman" w:cs="Times New Roman"/>
          <w:lang w:eastAsia="en-AU"/>
        </w:rPr>
        <w:t xml:space="preserve"> </w:t>
      </w:r>
      <w:r w:rsidRPr="0034482F">
        <w:rPr>
          <w:rFonts w:eastAsia="Times New Roman" w:cs="Times New Roman"/>
          <w:i/>
          <w:iCs/>
          <w:lang w:eastAsia="en-AU"/>
        </w:rPr>
        <w:t xml:space="preserve">process </w:t>
      </w:r>
      <w:r w:rsidRPr="00A516DA">
        <w:t>quality</w:t>
      </w:r>
      <w:r w:rsidRPr="0034482F">
        <w:rPr>
          <w:rFonts w:eastAsia="Times New Roman" w:cs="Times New Roman"/>
          <w:lang w:eastAsia="en-AU"/>
        </w:rPr>
        <w:t xml:space="preserve"> and </w:t>
      </w:r>
      <w:r w:rsidRPr="0034482F">
        <w:rPr>
          <w:rFonts w:eastAsia="Times New Roman" w:cs="Times New Roman"/>
          <w:i/>
          <w:iCs/>
          <w:lang w:eastAsia="en-AU"/>
        </w:rPr>
        <w:t xml:space="preserve">structural </w:t>
      </w:r>
      <w:r w:rsidRPr="00A516DA">
        <w:t>quality</w:t>
      </w:r>
      <w:r w:rsidRPr="0034482F">
        <w:rPr>
          <w:rFonts w:eastAsia="Times New Roman" w:cs="Times New Roman"/>
          <w:lang w:eastAsia="en-AU"/>
        </w:rPr>
        <w:t>. Process quality relates to the quality of interactions in the program and includes</w:t>
      </w:r>
      <w:r w:rsidRPr="0034482F">
        <w:rPr>
          <w:rFonts w:eastAsia="Times New Roman" w:cs="Times New Roman"/>
          <w:b/>
          <w:bCs/>
          <w:lang w:eastAsia="en-AU"/>
        </w:rPr>
        <w:t xml:space="preserve"> </w:t>
      </w:r>
      <w:r w:rsidRPr="0034482F">
        <w:rPr>
          <w:rFonts w:eastAsia="Times New Roman" w:cs="Times New Roman"/>
          <w:lang w:eastAsia="en-AU"/>
        </w:rPr>
        <w:t>elements of the emotional, organisational and instructional environment. Structural quality supports process elements and refers to characteristics such as educator</w:t>
      </w:r>
      <w:r w:rsidR="004F62A2">
        <w:rPr>
          <w:rFonts w:eastAsia="Times New Roman" w:cs="Times New Roman"/>
          <w:lang w:eastAsia="en-AU"/>
        </w:rPr>
        <w:t>-</w:t>
      </w:r>
      <w:r w:rsidRPr="0034482F">
        <w:rPr>
          <w:rFonts w:eastAsia="Times New Roman" w:cs="Times New Roman"/>
          <w:lang w:eastAsia="en-AU"/>
        </w:rPr>
        <w:t>to</w:t>
      </w:r>
      <w:r w:rsidR="004F62A2">
        <w:rPr>
          <w:rFonts w:eastAsia="Times New Roman" w:cs="Times New Roman"/>
          <w:lang w:eastAsia="en-AU"/>
        </w:rPr>
        <w:t>-</w:t>
      </w:r>
      <w:r w:rsidRPr="0034482F">
        <w:rPr>
          <w:rFonts w:eastAsia="Times New Roman" w:cs="Times New Roman"/>
          <w:lang w:eastAsia="en-AU"/>
        </w:rPr>
        <w:t>child ratios, space, resources, group sizes, staff qualifications and the educational curriculum.</w:t>
      </w:r>
      <w:r>
        <w:rPr>
          <w:rStyle w:val="EndnoteReference"/>
          <w:rFonts w:eastAsia="Times New Roman" w:cs="Times New Roman"/>
          <w:lang w:eastAsia="en-AU"/>
        </w:rPr>
        <w:endnoteReference w:id="205"/>
      </w:r>
      <w:r w:rsidRPr="0034482F">
        <w:rPr>
          <w:rFonts w:eastAsia="Times New Roman" w:cs="Times New Roman"/>
          <w:lang w:eastAsia="en-AU"/>
        </w:rPr>
        <w:t xml:space="preserve"> Research shows that process quality is a significantly stronger predictor of child outcomes than structural quality.</w:t>
      </w:r>
      <w:r>
        <w:rPr>
          <w:rStyle w:val="EndnoteReference"/>
          <w:rFonts w:eastAsia="Times New Roman" w:cs="Times New Roman"/>
          <w:lang w:eastAsia="en-AU"/>
        </w:rPr>
        <w:endnoteReference w:id="206"/>
      </w:r>
    </w:p>
    <w:p w:rsidR="0034482F" w:rsidRPr="0034482F" w:rsidRDefault="0034482F" w:rsidP="0034482F">
      <w:pPr>
        <w:spacing w:after="0"/>
        <w:rPr>
          <w:rFonts w:ascii="Calibri" w:eastAsia="Times New Roman" w:hAnsi="Calibri" w:cs="Times New Roman"/>
          <w:sz w:val="20"/>
          <w:szCs w:val="20"/>
        </w:rPr>
      </w:pPr>
    </w:p>
    <w:p w:rsidR="00BD2EFC" w:rsidRDefault="00BD2EFC" w:rsidP="00FA3A00">
      <w:pPr>
        <w:rPr>
          <w:rFonts w:cstheme="minorHAnsi"/>
        </w:rPr>
      </w:pPr>
      <w:r>
        <w:rPr>
          <w:rFonts w:cstheme="minorHAnsi"/>
        </w:rPr>
        <w:t>The E4Kids study</w:t>
      </w:r>
      <w:r w:rsidR="00C34DE6">
        <w:rPr>
          <w:rFonts w:cstheme="minorHAnsi"/>
        </w:rPr>
        <w:t xml:space="preserve"> (</w:t>
      </w:r>
      <w:r w:rsidR="008D74C3" w:rsidRPr="00A516DA">
        <w:rPr>
          <w:rFonts w:cstheme="minorHAnsi"/>
        </w:rPr>
        <w:t>funded by the Australian Research Council in partnership with the Victorian and Queensland education departments</w:t>
      </w:r>
      <w:r w:rsidR="00C34DE6">
        <w:rPr>
          <w:rFonts w:cstheme="minorHAnsi"/>
        </w:rPr>
        <w:t xml:space="preserve">) was </w:t>
      </w:r>
      <w:r w:rsidR="008D74C3" w:rsidRPr="00A516DA">
        <w:rPr>
          <w:rFonts w:cstheme="minorHAnsi"/>
        </w:rPr>
        <w:t>undertaken by</w:t>
      </w:r>
      <w:r>
        <w:rPr>
          <w:rFonts w:cstheme="minorHAnsi"/>
        </w:rPr>
        <w:t xml:space="preserve"> the Melbourne Graduate School of Education in partnership with the Queensland University of Technolog</w:t>
      </w:r>
      <w:r w:rsidR="008D74C3">
        <w:rPr>
          <w:rFonts w:cstheme="minorHAnsi"/>
        </w:rPr>
        <w:t>y. It</w:t>
      </w:r>
      <w:r>
        <w:rPr>
          <w:rFonts w:cstheme="minorHAnsi"/>
        </w:rPr>
        <w:t xml:space="preserve"> is a recent, Australian study that comprehensively assessed the impact of early childhood education and care on children’s learning and development. It is a longitudinal study, tracking more than 2</w:t>
      </w:r>
      <w:r w:rsidR="005D3558">
        <w:rPr>
          <w:rFonts w:cstheme="minorHAnsi"/>
        </w:rPr>
        <w:t>,</w:t>
      </w:r>
      <w:r>
        <w:rPr>
          <w:rFonts w:cstheme="minorHAnsi"/>
        </w:rPr>
        <w:t>000 children over a number of years, in both Victorian and Queensland services.</w:t>
      </w:r>
      <w:r>
        <w:rPr>
          <w:rStyle w:val="EndnoteReference"/>
          <w:rFonts w:cstheme="minorHAnsi"/>
        </w:rPr>
        <w:endnoteReference w:id="207"/>
      </w:r>
      <w:r>
        <w:rPr>
          <w:rFonts w:cstheme="minorHAnsi"/>
        </w:rPr>
        <w:t xml:space="preserve"> </w:t>
      </w:r>
      <w:r w:rsidR="00887DFC">
        <w:rPr>
          <w:rFonts w:cstheme="minorHAnsi"/>
        </w:rPr>
        <w:t xml:space="preserve">Because of the weighting and sampling techniques applied, the findings are of broader application than </w:t>
      </w:r>
      <w:r w:rsidR="0047484A">
        <w:rPr>
          <w:rFonts w:cstheme="minorHAnsi"/>
        </w:rPr>
        <w:t xml:space="preserve">only </w:t>
      </w:r>
      <w:r w:rsidR="00887DFC">
        <w:rPr>
          <w:rFonts w:cstheme="minorHAnsi"/>
        </w:rPr>
        <w:t xml:space="preserve">those services where data was collected. </w:t>
      </w:r>
    </w:p>
    <w:p w:rsidR="00BD2EFC" w:rsidRDefault="00BD2EFC" w:rsidP="00DC66BF">
      <w:r>
        <w:t xml:space="preserve">E4Kids concluded that the quality of adult-child interactions is the most significant driver of child development, but that even in services that meet or exceed the National Quality Standard, these interactions may not be of sufficient quality to overcome educational disadvantage. Using a standard international measurement </w:t>
      </w:r>
      <w:r w:rsidR="003D1131">
        <w:t xml:space="preserve">process </w:t>
      </w:r>
      <w:r>
        <w:t xml:space="preserve">known as </w:t>
      </w:r>
      <w:r w:rsidR="003D1131">
        <w:t>the classroom assessment scoring system (</w:t>
      </w:r>
      <w:r>
        <w:t>CLASS</w:t>
      </w:r>
      <w:r w:rsidR="003D1131">
        <w:t>)</w:t>
      </w:r>
      <w:r>
        <w:t xml:space="preserve">, the study found that 87 per cent of services scored poorly on the quality of active teaching and learning support provided. The Review heard from international experts who found this most concerning, given its importance on child outcomes. </w:t>
      </w:r>
    </w:p>
    <w:p w:rsidR="00BD2EFC" w:rsidRDefault="00BD2EFC" w:rsidP="00746E8D">
      <w:r>
        <w:t xml:space="preserve">Of </w:t>
      </w:r>
      <w:r w:rsidR="008D10E9">
        <w:t xml:space="preserve">further note is </w:t>
      </w:r>
      <w:r>
        <w:t>the E4Kids finding that, in general, quality is inversely correlated with disadvantage</w:t>
      </w:r>
      <w:r w:rsidR="008D10E9">
        <w:t xml:space="preserve"> – </w:t>
      </w:r>
      <w:r>
        <w:t xml:space="preserve">services in lower </w:t>
      </w:r>
      <w:r w:rsidR="001B150D">
        <w:t xml:space="preserve">socioeconomic </w:t>
      </w:r>
      <w:r>
        <w:t xml:space="preserve">areas </w:t>
      </w:r>
      <w:r w:rsidR="00C332DF">
        <w:t xml:space="preserve">were assessed to have </w:t>
      </w:r>
      <w:r>
        <w:t xml:space="preserve">lower teaching quality than services in higher </w:t>
      </w:r>
      <w:r w:rsidR="001B150D">
        <w:t xml:space="preserve">socioeconomic </w:t>
      </w:r>
      <w:r>
        <w:t xml:space="preserve">areas. </w:t>
      </w:r>
    </w:p>
    <w:p w:rsidR="00BD2EFC" w:rsidRDefault="00BD2EFC" w:rsidP="00DC66BF">
      <w:pPr>
        <w:rPr>
          <w:rFonts w:ascii="Calibri" w:hAnsi="Calibri"/>
        </w:rPr>
      </w:pPr>
      <w:r>
        <w:t>The National Quality Framework is an important foundation</w:t>
      </w:r>
      <w:r w:rsidR="00B143EA">
        <w:t xml:space="preserve"> for learning</w:t>
      </w:r>
      <w:r>
        <w:t xml:space="preserve">. It provides a nationally consistent understanding of quality, and </w:t>
      </w:r>
      <w:r w:rsidR="005E4DC6">
        <w:t>a</w:t>
      </w:r>
      <w:r w:rsidRPr="005E4DC6">
        <w:t xml:space="preserve"> </w:t>
      </w:r>
      <w:r>
        <w:t>transparent way to measure and report on it. It can be used to ensure a minimum ‘qu</w:t>
      </w:r>
      <w:r w:rsidR="008D10E9">
        <w:t>ality floor’ across the sector</w:t>
      </w:r>
      <w:r w:rsidR="005E4DC6">
        <w:t xml:space="preserve"> and </w:t>
      </w:r>
      <w:r>
        <w:t>it provides a lever through which future improvement</w:t>
      </w:r>
      <w:r w:rsidR="005E4DC6">
        <w:t xml:space="preserve"> can be driven</w:t>
      </w:r>
      <w:r w:rsidR="00315517">
        <w:t xml:space="preserve">; </w:t>
      </w:r>
      <w:r>
        <w:t xml:space="preserve">investing </w:t>
      </w:r>
      <w:r>
        <w:rPr>
          <w:rFonts w:ascii="Calibri" w:hAnsi="Calibri"/>
        </w:rPr>
        <w:t xml:space="preserve">fully in the regulatory process is central to delivering </w:t>
      </w:r>
      <w:r w:rsidR="00315517">
        <w:rPr>
          <w:rFonts w:ascii="Calibri" w:hAnsi="Calibri"/>
        </w:rPr>
        <w:t>the</w:t>
      </w:r>
      <w:r w:rsidR="00315517" w:rsidRPr="005E4DC6">
        <w:rPr>
          <w:rFonts w:ascii="Calibri" w:hAnsi="Calibri"/>
        </w:rPr>
        <w:t xml:space="preserve"> </w:t>
      </w:r>
      <w:r w:rsidR="00315517">
        <w:rPr>
          <w:rFonts w:ascii="Calibri" w:hAnsi="Calibri"/>
        </w:rPr>
        <w:t>necessary improvement</w:t>
      </w:r>
      <w:r w:rsidRPr="005E4DC6">
        <w:rPr>
          <w:rFonts w:ascii="Calibri" w:hAnsi="Calibri"/>
        </w:rPr>
        <w:t>.</w:t>
      </w:r>
    </w:p>
    <w:p w:rsidR="00BD2EFC" w:rsidRDefault="00BD2EFC" w:rsidP="00DC66BF">
      <w:r>
        <w:rPr>
          <w:i/>
        </w:rPr>
        <w:t>Workforce</w:t>
      </w:r>
    </w:p>
    <w:p w:rsidR="00BD2EFC" w:rsidRPr="00B721F8" w:rsidRDefault="00BD2EFC" w:rsidP="00F811C8">
      <w:r w:rsidRPr="00B721F8">
        <w:t xml:space="preserve">A professional and skilled workforce is fundamental to achieving quality </w:t>
      </w:r>
      <w:r>
        <w:t xml:space="preserve">early childhood education </w:t>
      </w:r>
      <w:r w:rsidRPr="00B721F8">
        <w:t>and high-quality learning and development outcomes.</w:t>
      </w:r>
      <w:r w:rsidRPr="00B721F8">
        <w:rPr>
          <w:rStyle w:val="EndnoteReference"/>
        </w:rPr>
        <w:endnoteReference w:id="208"/>
      </w:r>
      <w:r w:rsidRPr="00B721F8">
        <w:t xml:space="preserve"> </w:t>
      </w:r>
      <w:r>
        <w:t>I</w:t>
      </w:r>
      <w:r w:rsidRPr="00B721F8">
        <w:t>t is now widely recognised that</w:t>
      </w:r>
      <w:r>
        <w:t xml:space="preserve"> in addition to parents and carers,</w:t>
      </w:r>
      <w:r w:rsidRPr="00B721F8">
        <w:t xml:space="preserve"> </w:t>
      </w:r>
      <w:r w:rsidR="008D10E9">
        <w:t xml:space="preserve">educators </w:t>
      </w:r>
      <w:r w:rsidR="008D10E9" w:rsidRPr="00B721F8">
        <w:t>and pedagogi</w:t>
      </w:r>
      <w:r w:rsidR="008D10E9">
        <w:t>es</w:t>
      </w:r>
      <w:r w:rsidR="008D10E9" w:rsidRPr="00B721F8">
        <w:t xml:space="preserve"> </w:t>
      </w:r>
      <w:r w:rsidR="008D10E9">
        <w:t xml:space="preserve">are </w:t>
      </w:r>
      <w:r w:rsidRPr="00B721F8">
        <w:t>the most influential f</w:t>
      </w:r>
      <w:r w:rsidR="001B150D">
        <w:t xml:space="preserve">actors on child </w:t>
      </w:r>
      <w:r w:rsidRPr="00B721F8">
        <w:t>wellbeing, development and learning</w:t>
      </w:r>
      <w:r w:rsidR="008D10E9">
        <w:t>.</w:t>
      </w:r>
      <w:r w:rsidRPr="00B721F8">
        <w:rPr>
          <w:rStyle w:val="EndnoteReference"/>
        </w:rPr>
        <w:endnoteReference w:id="209"/>
      </w:r>
      <w:r w:rsidRPr="00B721F8">
        <w:t xml:space="preserve"> </w:t>
      </w:r>
      <w:r w:rsidR="007B0F79">
        <w:t xml:space="preserve">Both the National Quality Standard and the Early Years Learning Framework have increased the expectations placed on teachers and educators in early childhood settings. </w:t>
      </w:r>
      <w:r w:rsidR="000F5FA4">
        <w:t>Members of s</w:t>
      </w:r>
      <w:r w:rsidR="007B0F79">
        <w:t>taff working in early education and care are required to understand child development, to help design and deliver individualised, play-based learning experiences and to engage with parents and the community.</w:t>
      </w:r>
    </w:p>
    <w:p w:rsidR="00BD2EFC" w:rsidRDefault="00BD2EFC" w:rsidP="00F811C8">
      <w:r w:rsidRPr="00B721F8">
        <w:t xml:space="preserve">A comprehensive literature review on determinants of quality </w:t>
      </w:r>
      <w:r w:rsidR="001F023B">
        <w:t>in child</w:t>
      </w:r>
      <w:r w:rsidR="00EA521D">
        <w:t xml:space="preserve"> </w:t>
      </w:r>
      <w:r w:rsidR="001F023B">
        <w:t xml:space="preserve">care </w:t>
      </w:r>
      <w:r w:rsidRPr="00B721F8">
        <w:t>found that</w:t>
      </w:r>
      <w:r w:rsidR="00436B18">
        <w:t>,</w:t>
      </w:r>
      <w:r w:rsidRPr="00B721F8">
        <w:t xml:space="preserve"> </w:t>
      </w:r>
      <w:r w:rsidR="00E8078F">
        <w:t xml:space="preserve">overall, the most influential factors affecting quality, </w:t>
      </w:r>
      <w:r w:rsidRPr="00B721F8">
        <w:t xml:space="preserve">across age groups and service settings, </w:t>
      </w:r>
      <w:r w:rsidR="00E8078F">
        <w:t xml:space="preserve">are </w:t>
      </w:r>
      <w:r>
        <w:t xml:space="preserve">the </w:t>
      </w:r>
      <w:r w:rsidRPr="00B721F8">
        <w:t xml:space="preserve">education, qualifications and training </w:t>
      </w:r>
      <w:r w:rsidR="00E8078F">
        <w:t>of the workforce</w:t>
      </w:r>
      <w:r>
        <w:t>.</w:t>
      </w:r>
      <w:r w:rsidRPr="00B721F8">
        <w:rPr>
          <w:rStyle w:val="EndnoteReference"/>
        </w:rPr>
        <w:endnoteReference w:id="210"/>
      </w:r>
      <w:r>
        <w:t xml:space="preserve"> Higher educator qualifications are associated with better child outcomes.</w:t>
      </w:r>
      <w:r>
        <w:rPr>
          <w:rStyle w:val="EndnoteReference"/>
        </w:rPr>
        <w:endnoteReference w:id="211"/>
      </w:r>
      <w:r>
        <w:t xml:space="preserve"> </w:t>
      </w:r>
    </w:p>
    <w:p w:rsidR="001B150D" w:rsidRDefault="00BD2EFC" w:rsidP="00DC66BF">
      <w:r>
        <w:t>The e</w:t>
      </w:r>
      <w:r w:rsidR="001B150D">
        <w:t>vidence in E4Kids confirms</w:t>
      </w:r>
      <w:r w:rsidR="00436B18">
        <w:t xml:space="preserve">, </w:t>
      </w:r>
      <w:r w:rsidR="00436B18" w:rsidRPr="00A33316">
        <w:t>in a local context</w:t>
      </w:r>
      <w:r w:rsidR="00436B18">
        <w:t>,</w:t>
      </w:r>
      <w:r w:rsidR="001B150D">
        <w:t xml:space="preserve"> th</w:t>
      </w:r>
      <w:r w:rsidR="003357B8">
        <w:t>is</w:t>
      </w:r>
      <w:r w:rsidR="001B150D">
        <w:t xml:space="preserve"> link between higher-level qualifications and improved child cognitive outcomes</w:t>
      </w:r>
      <w:r>
        <w:t>.</w:t>
      </w:r>
      <w:r w:rsidR="001B150D">
        <w:rPr>
          <w:rStyle w:val="EndnoteReference"/>
        </w:rPr>
        <w:endnoteReference w:id="212"/>
      </w:r>
      <w:r>
        <w:t xml:space="preserve"> </w:t>
      </w:r>
    </w:p>
    <w:p w:rsidR="00BD2EFC" w:rsidRPr="00B721F8" w:rsidRDefault="00BD2EFC" w:rsidP="00DC66BF">
      <w:r>
        <w:t>Separate analysis, using data from the Longitudinal Study of Australian Children,</w:t>
      </w:r>
      <w:r w:rsidRPr="00B721F8">
        <w:t xml:space="preserve"> found that </w:t>
      </w:r>
      <w:r>
        <w:t xml:space="preserve">both </w:t>
      </w:r>
      <w:r w:rsidRPr="00B721F8">
        <w:t>the level and specialisation of the qualifications was important</w:t>
      </w:r>
      <w:r>
        <w:t xml:space="preserve"> </w:t>
      </w:r>
      <w:r w:rsidR="00436B18">
        <w:t>–</w:t>
      </w:r>
      <w:r w:rsidR="00436B18" w:rsidRPr="00030983">
        <w:t xml:space="preserve"> </w:t>
      </w:r>
      <w:r w:rsidR="00436B18">
        <w:t>a child</w:t>
      </w:r>
      <w:r w:rsidR="00436B18" w:rsidRPr="00030983">
        <w:t xml:space="preserve"> </w:t>
      </w:r>
      <w:r w:rsidRPr="00B721F8">
        <w:t>whose teacher had a diploma or degree in early childhood education or child</w:t>
      </w:r>
      <w:r w:rsidR="00EA521D">
        <w:t xml:space="preserve"> </w:t>
      </w:r>
      <w:r w:rsidRPr="00B721F8">
        <w:t xml:space="preserve">care </w:t>
      </w:r>
      <w:r w:rsidRPr="00FC0EC5">
        <w:t>gain</w:t>
      </w:r>
      <w:r w:rsidR="00375442">
        <w:t>ed</w:t>
      </w:r>
      <w:r w:rsidRPr="00B721F8">
        <w:t xml:space="preserve"> the most from attending preschool</w:t>
      </w:r>
      <w:r>
        <w:t>, shown by higher NAPLAN scores.</w:t>
      </w:r>
      <w:r w:rsidRPr="00B721F8">
        <w:rPr>
          <w:rStyle w:val="EndnoteReference"/>
        </w:rPr>
        <w:endnoteReference w:id="213"/>
      </w:r>
      <w:r w:rsidRPr="00B721F8">
        <w:t xml:space="preserve"> </w:t>
      </w:r>
    </w:p>
    <w:p w:rsidR="00BD2EFC" w:rsidRDefault="00BD2EFC" w:rsidP="00DC66BF">
      <w:pPr>
        <w:rPr>
          <w:rFonts w:cstheme="minorHAnsi"/>
        </w:rPr>
      </w:pPr>
      <w:r>
        <w:rPr>
          <w:rFonts w:cstheme="minorHAnsi"/>
        </w:rPr>
        <w:t>A quality service requires a skilled</w:t>
      </w:r>
      <w:r w:rsidR="007B0F79">
        <w:rPr>
          <w:rFonts w:cstheme="minorHAnsi"/>
        </w:rPr>
        <w:t xml:space="preserve"> and stable</w:t>
      </w:r>
      <w:r>
        <w:rPr>
          <w:rFonts w:cstheme="minorHAnsi"/>
        </w:rPr>
        <w:t xml:space="preserve"> workforce. High quality teaching is a skill like any other – it needs to be taught well, maintained over time and refreshed as our understanding of child learning and development increases. </w:t>
      </w:r>
      <w:r w:rsidR="002B36B9" w:rsidRPr="00051D6A">
        <w:rPr>
          <w:rFonts w:cstheme="minorHAnsi"/>
        </w:rPr>
        <w:t>Work-related and context</w:t>
      </w:r>
      <w:r w:rsidR="00375442">
        <w:rPr>
          <w:rFonts w:cstheme="minorHAnsi"/>
        </w:rPr>
        <w:t>-</w:t>
      </w:r>
      <w:r w:rsidR="002B36B9" w:rsidRPr="00051D6A">
        <w:rPr>
          <w:rFonts w:cstheme="minorHAnsi"/>
        </w:rPr>
        <w:t>specific professional development can contribute significantly to the quality of the program delivered and enhance the effectiveness of interactions between educators and children. Access to and participation in professional development is related to higher quality skills regardless of the caregivers’ educational background.</w:t>
      </w:r>
      <w:r w:rsidR="002B36B9" w:rsidRPr="002B36B9">
        <w:rPr>
          <w:rStyle w:val="EndnoteReference"/>
          <w:rFonts w:cstheme="minorHAnsi"/>
        </w:rPr>
        <w:endnoteReference w:id="214"/>
      </w:r>
    </w:p>
    <w:p w:rsidR="007B0F79" w:rsidRDefault="007B0F79" w:rsidP="00051D6A">
      <w:pPr>
        <w:pStyle w:val="Default"/>
        <w:rPr>
          <w:rFonts w:cstheme="minorHAnsi"/>
        </w:rPr>
      </w:pPr>
      <w:r w:rsidRPr="000444FA">
        <w:rPr>
          <w:rFonts w:cstheme="minorHAnsi"/>
          <w:sz w:val="22"/>
          <w:szCs w:val="22"/>
        </w:rPr>
        <w:t>A recent</w:t>
      </w:r>
      <w:r w:rsidR="00025E7B">
        <w:rPr>
          <w:rFonts w:cstheme="minorHAnsi"/>
          <w:sz w:val="22"/>
          <w:szCs w:val="22"/>
        </w:rPr>
        <w:t xml:space="preserve"> </w:t>
      </w:r>
      <w:r w:rsidR="003E5317">
        <w:rPr>
          <w:rFonts w:cstheme="minorHAnsi"/>
          <w:sz w:val="22"/>
          <w:szCs w:val="22"/>
        </w:rPr>
        <w:t xml:space="preserve">early childhood education and care </w:t>
      </w:r>
      <w:r w:rsidR="00D219F0">
        <w:rPr>
          <w:rFonts w:cstheme="minorHAnsi"/>
          <w:sz w:val="22"/>
          <w:szCs w:val="22"/>
        </w:rPr>
        <w:t>w</w:t>
      </w:r>
      <w:r w:rsidRPr="000444FA">
        <w:rPr>
          <w:rFonts w:cstheme="minorHAnsi"/>
          <w:sz w:val="22"/>
          <w:szCs w:val="22"/>
        </w:rPr>
        <w:t xml:space="preserve">orkforce </w:t>
      </w:r>
      <w:r w:rsidR="00D219F0">
        <w:rPr>
          <w:rFonts w:cstheme="minorHAnsi"/>
          <w:sz w:val="22"/>
          <w:szCs w:val="22"/>
        </w:rPr>
        <w:t>s</w:t>
      </w:r>
      <w:r w:rsidRPr="000444FA">
        <w:rPr>
          <w:rFonts w:cstheme="minorHAnsi"/>
          <w:sz w:val="22"/>
          <w:szCs w:val="22"/>
        </w:rPr>
        <w:t xml:space="preserve">tudy investigated the </w:t>
      </w:r>
      <w:r w:rsidRPr="000444FA">
        <w:rPr>
          <w:rStyle w:val="A3"/>
          <w:sz w:val="22"/>
          <w:szCs w:val="22"/>
        </w:rPr>
        <w:t>personal, professional and workplace factors that influence the recruitment, retention and engagement of educators in centre-based</w:t>
      </w:r>
      <w:r w:rsidR="003E5317" w:rsidRPr="003E5317">
        <w:rPr>
          <w:rFonts w:cstheme="minorHAnsi"/>
          <w:sz w:val="22"/>
          <w:szCs w:val="22"/>
        </w:rPr>
        <w:t xml:space="preserve"> </w:t>
      </w:r>
      <w:r w:rsidR="003E5317">
        <w:rPr>
          <w:rFonts w:cstheme="minorHAnsi"/>
          <w:sz w:val="22"/>
          <w:szCs w:val="22"/>
        </w:rPr>
        <w:t xml:space="preserve">early childhood education and care </w:t>
      </w:r>
      <w:r w:rsidRPr="000444FA">
        <w:rPr>
          <w:rStyle w:val="A3"/>
          <w:sz w:val="22"/>
          <w:szCs w:val="22"/>
        </w:rPr>
        <w:t xml:space="preserve">services. The study </w:t>
      </w:r>
      <w:r w:rsidRPr="000444FA">
        <w:rPr>
          <w:rFonts w:cstheme="minorHAnsi"/>
          <w:sz w:val="22"/>
          <w:szCs w:val="22"/>
        </w:rPr>
        <w:t xml:space="preserve">found that most educators enjoyed their work and </w:t>
      </w:r>
      <w:r>
        <w:rPr>
          <w:rFonts w:cstheme="minorHAnsi"/>
          <w:sz w:val="22"/>
          <w:szCs w:val="22"/>
        </w:rPr>
        <w:t>appreciated</w:t>
      </w:r>
      <w:r w:rsidRPr="000444FA">
        <w:rPr>
          <w:rFonts w:cstheme="minorHAnsi"/>
          <w:sz w:val="22"/>
          <w:szCs w:val="22"/>
        </w:rPr>
        <w:t xml:space="preserve"> its value, but one in five was planning to leave the profession, with poor wages and conditions a driving factor.</w:t>
      </w:r>
      <w:r w:rsidR="003C37BA">
        <w:rPr>
          <w:rFonts w:cstheme="minorHAnsi"/>
          <w:sz w:val="22"/>
          <w:szCs w:val="22"/>
        </w:rPr>
        <w:t xml:space="preserve"> </w:t>
      </w:r>
      <w:r w:rsidRPr="000444FA">
        <w:rPr>
          <w:rFonts w:cstheme="minorHAnsi"/>
          <w:sz w:val="22"/>
          <w:szCs w:val="22"/>
        </w:rPr>
        <w:t xml:space="preserve">Educators undertaking study to improve their qualifications were most likely to be planning to leave. This was particularly the case in long day care, where many educators upgrading to teacher qualifications planned to move to standalone preschools or schools, where they could expect </w:t>
      </w:r>
      <w:r>
        <w:rPr>
          <w:rFonts w:cstheme="minorHAnsi"/>
          <w:sz w:val="22"/>
          <w:szCs w:val="22"/>
        </w:rPr>
        <w:t>higher</w:t>
      </w:r>
      <w:r w:rsidRPr="000444FA">
        <w:rPr>
          <w:rFonts w:cstheme="minorHAnsi"/>
          <w:sz w:val="22"/>
          <w:szCs w:val="22"/>
        </w:rPr>
        <w:t xml:space="preserve"> professional status as well as better pay and working cond</w:t>
      </w:r>
      <w:r>
        <w:rPr>
          <w:rFonts w:cstheme="minorHAnsi"/>
          <w:sz w:val="22"/>
          <w:szCs w:val="22"/>
        </w:rPr>
        <w:t>i</w:t>
      </w:r>
      <w:r w:rsidRPr="000444FA">
        <w:rPr>
          <w:rFonts w:cstheme="minorHAnsi"/>
          <w:sz w:val="22"/>
          <w:szCs w:val="22"/>
        </w:rPr>
        <w:t>tions. Many educators in this highly feminised workforce said they could only afford to remain in the early childhood sector because of financial support from their partner or family.</w:t>
      </w:r>
      <w:r>
        <w:rPr>
          <w:rStyle w:val="EndnoteReference"/>
          <w:rFonts w:cstheme="minorHAnsi"/>
          <w:sz w:val="22"/>
          <w:szCs w:val="22"/>
        </w:rPr>
        <w:endnoteReference w:id="215"/>
      </w:r>
    </w:p>
    <w:p w:rsidR="007B0F79" w:rsidRDefault="007B0F79" w:rsidP="00051D6A">
      <w:pPr>
        <w:pStyle w:val="Default"/>
        <w:rPr>
          <w:rFonts w:cstheme="minorHAnsi"/>
        </w:rPr>
      </w:pPr>
    </w:p>
    <w:p w:rsidR="00BD2EFC" w:rsidRDefault="00BD2EFC" w:rsidP="00DC66BF">
      <w:pPr>
        <w:rPr>
          <w:rFonts w:cstheme="minorHAnsi"/>
        </w:rPr>
      </w:pPr>
      <w:r>
        <w:rPr>
          <w:rFonts w:cstheme="minorHAnsi"/>
        </w:rPr>
        <w:t xml:space="preserve">Recent research commissioned by the NSW </w:t>
      </w:r>
      <w:r w:rsidR="0072492D">
        <w:rPr>
          <w:rFonts w:cstheme="minorHAnsi"/>
        </w:rPr>
        <w:t>G</w:t>
      </w:r>
      <w:r>
        <w:rPr>
          <w:rFonts w:cstheme="minorHAnsi"/>
        </w:rPr>
        <w:t>overnment from the University of Wollongong provides clear, actionable direction for effective professional development of the early childhood workforce.</w:t>
      </w:r>
      <w:r>
        <w:rPr>
          <w:rStyle w:val="EndnoteReference"/>
          <w:rFonts w:cstheme="minorHAnsi"/>
        </w:rPr>
        <w:endnoteReference w:id="216"/>
      </w:r>
      <w:r>
        <w:rPr>
          <w:rFonts w:cstheme="minorHAnsi"/>
        </w:rPr>
        <w:t xml:space="preserve"> The Review expects that the Victorian Advancing Early Learning study, due to be released shortly, </w:t>
      </w:r>
      <w:r w:rsidR="00C332DF">
        <w:rPr>
          <w:rFonts w:cstheme="minorHAnsi"/>
        </w:rPr>
        <w:t xml:space="preserve">may provide similar guidance. </w:t>
      </w:r>
      <w:r w:rsidR="003357B8" w:rsidRPr="003357B8">
        <w:rPr>
          <w:rFonts w:cstheme="minorHAnsi"/>
        </w:rPr>
        <w:t>A recent Mitchell Institute report provides further guidance for governments, identifying pre-service education, low wages and difficult working conditions, service leadership, ongoing professional learning and better use of data as priorities for action</w:t>
      </w:r>
      <w:r>
        <w:rPr>
          <w:rFonts w:cstheme="minorHAnsi"/>
        </w:rPr>
        <w:t>.</w:t>
      </w:r>
      <w:r>
        <w:rPr>
          <w:rStyle w:val="EndnoteReference"/>
          <w:rFonts w:cstheme="minorHAnsi"/>
        </w:rPr>
        <w:endnoteReference w:id="217"/>
      </w:r>
    </w:p>
    <w:p w:rsidR="00BD2EFC" w:rsidRDefault="00BD2EFC" w:rsidP="00DC66BF">
      <w:pPr>
        <w:rPr>
          <w:rFonts w:cstheme="minorHAnsi"/>
        </w:rPr>
      </w:pPr>
      <w:r>
        <w:rPr>
          <w:rFonts w:cstheme="minorHAnsi"/>
        </w:rPr>
        <w:t xml:space="preserve">Internationally, Singapore has </w:t>
      </w:r>
      <w:r w:rsidRPr="009725F4">
        <w:rPr>
          <w:rFonts w:cstheme="minorHAnsi"/>
        </w:rPr>
        <w:t xml:space="preserve">established </w:t>
      </w:r>
      <w:r w:rsidR="0072492D">
        <w:rPr>
          <w:rFonts w:cstheme="minorHAnsi"/>
        </w:rPr>
        <w:t xml:space="preserve">a </w:t>
      </w:r>
      <w:r w:rsidRPr="009725F4">
        <w:rPr>
          <w:rFonts w:cstheme="minorHAnsi"/>
        </w:rPr>
        <w:t>National Institute of Early Childhood Development, under the ambit of the National Institute of Education, to drive strategic and professional aspects of early childhood training. This includes curriculum design and development, academic go</w:t>
      </w:r>
      <w:r w:rsidR="00B143EA">
        <w:rPr>
          <w:rFonts w:cstheme="minorHAnsi"/>
        </w:rPr>
        <w:t xml:space="preserve">vernance and faculty development. The Institute will offer </w:t>
      </w:r>
      <w:r w:rsidRPr="009725F4">
        <w:rPr>
          <w:rFonts w:cstheme="minorHAnsi"/>
        </w:rPr>
        <w:t>both pre</w:t>
      </w:r>
      <w:r w:rsidR="001B150D">
        <w:rPr>
          <w:rFonts w:cstheme="minorHAnsi"/>
        </w:rPr>
        <w:t xml:space="preserve">- </w:t>
      </w:r>
      <w:r w:rsidRPr="009725F4">
        <w:rPr>
          <w:rFonts w:cstheme="minorHAnsi"/>
        </w:rPr>
        <w:t>and in-service training</w:t>
      </w:r>
      <w:r w:rsidR="001B150D">
        <w:rPr>
          <w:rFonts w:cstheme="minorHAnsi"/>
        </w:rPr>
        <w:t>.</w:t>
      </w:r>
      <w:r>
        <w:rPr>
          <w:rStyle w:val="EndnoteReference"/>
          <w:rFonts w:cstheme="minorHAnsi"/>
        </w:rPr>
        <w:endnoteReference w:id="218"/>
      </w:r>
      <w:r w:rsidRPr="00740CEA">
        <w:rPr>
          <w:rFonts w:cstheme="minorHAnsi"/>
        </w:rPr>
        <w:t xml:space="preserve"> </w:t>
      </w:r>
      <w:r w:rsidR="00B143EA">
        <w:rPr>
          <w:rFonts w:cstheme="minorHAnsi"/>
        </w:rPr>
        <w:t xml:space="preserve">While this is only one possible model, it shows a strong level of commitment to the early childhood workforce, and could provide </w:t>
      </w:r>
      <w:r>
        <w:rPr>
          <w:rFonts w:cstheme="minorHAnsi"/>
        </w:rPr>
        <w:t>useful guidance for Australian governments.</w:t>
      </w:r>
    </w:p>
    <w:p w:rsidR="001B150D" w:rsidRDefault="00BD2EFC" w:rsidP="00DC66BF">
      <w:pPr>
        <w:rPr>
          <w:rFonts w:cstheme="minorHAnsi"/>
        </w:rPr>
      </w:pPr>
      <w:r>
        <w:rPr>
          <w:rFonts w:cstheme="minorHAnsi"/>
        </w:rPr>
        <w:t xml:space="preserve">The challenges associated with the workforce extend beyond knowing </w:t>
      </w:r>
      <w:r w:rsidRPr="00FB1DBC">
        <w:rPr>
          <w:rFonts w:cstheme="minorHAnsi"/>
        </w:rPr>
        <w:t>how</w:t>
      </w:r>
      <w:r>
        <w:rPr>
          <w:rFonts w:cstheme="minorHAnsi"/>
        </w:rPr>
        <w:t xml:space="preserve"> best to prepare and support educators. </w:t>
      </w:r>
      <w:r w:rsidR="007B0F79">
        <w:rPr>
          <w:rFonts w:cstheme="minorHAnsi"/>
        </w:rPr>
        <w:t>The complexity and skill required of early childhood educators is not always understood or appreciated in the community</w:t>
      </w:r>
      <w:r w:rsidR="003357B8">
        <w:rPr>
          <w:rFonts w:cstheme="minorHAnsi"/>
        </w:rPr>
        <w:t xml:space="preserve"> and is not reflected in the wages paid to most educators</w:t>
      </w:r>
      <w:r w:rsidR="007B0F79">
        <w:rPr>
          <w:rFonts w:cstheme="minorHAnsi"/>
        </w:rPr>
        <w:t xml:space="preserve">. </w:t>
      </w:r>
      <w:r>
        <w:rPr>
          <w:rFonts w:cstheme="minorHAnsi"/>
        </w:rPr>
        <w:t xml:space="preserve">Through its consultations, the Review heard extensively about the many workforce challenges facing the sector, including </w:t>
      </w:r>
      <w:r w:rsidR="00085638">
        <w:rPr>
          <w:rFonts w:cstheme="minorHAnsi"/>
        </w:rPr>
        <w:t>attraction and retention,</w:t>
      </w:r>
      <w:r w:rsidR="0041781B">
        <w:rPr>
          <w:rFonts w:cstheme="minorHAnsi"/>
        </w:rPr>
        <w:t xml:space="preserve"> </w:t>
      </w:r>
      <w:r>
        <w:rPr>
          <w:rFonts w:cstheme="minorHAnsi"/>
        </w:rPr>
        <w:t xml:space="preserve">low remuneration, weak long-term career </w:t>
      </w:r>
      <w:r w:rsidR="00B143EA">
        <w:rPr>
          <w:rFonts w:cstheme="minorHAnsi"/>
        </w:rPr>
        <w:t>prospects</w:t>
      </w:r>
      <w:r>
        <w:rPr>
          <w:rFonts w:cstheme="minorHAnsi"/>
        </w:rPr>
        <w:t xml:space="preserve">, variable entry and registration standards, </w:t>
      </w:r>
      <w:r w:rsidR="00A605F1">
        <w:rPr>
          <w:rFonts w:cstheme="minorHAnsi"/>
        </w:rPr>
        <w:t xml:space="preserve">and </w:t>
      </w:r>
      <w:r w:rsidR="00B143EA">
        <w:rPr>
          <w:rFonts w:cstheme="minorHAnsi"/>
        </w:rPr>
        <w:t xml:space="preserve">lack of </w:t>
      </w:r>
      <w:r>
        <w:rPr>
          <w:rFonts w:cstheme="minorHAnsi"/>
        </w:rPr>
        <w:t>workforce diversity</w:t>
      </w:r>
      <w:r w:rsidR="004538B5">
        <w:rPr>
          <w:rFonts w:cstheme="minorHAnsi"/>
        </w:rPr>
        <w:t xml:space="preserve"> (including gender and cultural background)</w:t>
      </w:r>
      <w:r>
        <w:rPr>
          <w:rFonts w:cstheme="minorHAnsi"/>
        </w:rPr>
        <w:t xml:space="preserve">. </w:t>
      </w:r>
      <w:r w:rsidR="00605CAB">
        <w:rPr>
          <w:rFonts w:cstheme="minorHAnsi"/>
        </w:rPr>
        <w:t xml:space="preserve">While many </w:t>
      </w:r>
      <w:r w:rsidR="003D1131">
        <w:rPr>
          <w:rFonts w:cstheme="minorHAnsi"/>
        </w:rPr>
        <w:t xml:space="preserve">of these elements </w:t>
      </w:r>
      <w:r w:rsidR="00605CAB">
        <w:rPr>
          <w:rFonts w:cstheme="minorHAnsi"/>
        </w:rPr>
        <w:t xml:space="preserve">were consistent across the country, remote and regional workforce issues were often identified as particularly challenging. </w:t>
      </w:r>
      <w:r w:rsidR="001B150D">
        <w:rPr>
          <w:rFonts w:cstheme="minorHAnsi"/>
        </w:rPr>
        <w:t>Registration requirements vary across the country, and in some cases no teacher registration is required.</w:t>
      </w:r>
      <w:r w:rsidR="001B150D">
        <w:rPr>
          <w:rStyle w:val="EndnoteReference"/>
          <w:rFonts w:cstheme="minorHAnsi"/>
        </w:rPr>
        <w:endnoteReference w:id="219"/>
      </w:r>
      <w:r w:rsidR="001B150D">
        <w:rPr>
          <w:rFonts w:cstheme="minorHAnsi"/>
        </w:rPr>
        <w:t xml:space="preserve"> </w:t>
      </w:r>
    </w:p>
    <w:p w:rsidR="007B0F79" w:rsidRDefault="007B0F79" w:rsidP="007B0F79">
      <w:pPr>
        <w:rPr>
          <w:rFonts w:cstheme="minorHAnsi"/>
        </w:rPr>
      </w:pPr>
      <w:r>
        <w:rPr>
          <w:rFonts w:cstheme="minorHAnsi"/>
        </w:rPr>
        <w:t>The Review heard that there are substantial disparities in teacher compensation between child care and preschool services. In most jurisdictions, preschool teachers are paid less than their counterparts in primary schools</w:t>
      </w:r>
      <w:r w:rsidR="00FB2E79">
        <w:rPr>
          <w:rFonts w:cstheme="minorHAnsi"/>
        </w:rPr>
        <w:t>,</w:t>
      </w:r>
      <w:r>
        <w:rPr>
          <w:rFonts w:cstheme="minorHAnsi"/>
        </w:rPr>
        <w:t xml:space="preserve"> while educators in long day care are even more poorly compensated </w:t>
      </w:r>
      <w:r w:rsidR="003A365F">
        <w:rPr>
          <w:rFonts w:cstheme="minorHAnsi"/>
        </w:rPr>
        <w:t>yet</w:t>
      </w:r>
      <w:r w:rsidR="003A365F" w:rsidRPr="00470D18">
        <w:rPr>
          <w:rFonts w:cstheme="minorHAnsi"/>
        </w:rPr>
        <w:t xml:space="preserve"> </w:t>
      </w:r>
      <w:r w:rsidR="003357B8">
        <w:rPr>
          <w:rFonts w:cstheme="minorHAnsi"/>
        </w:rPr>
        <w:t xml:space="preserve">they </w:t>
      </w:r>
      <w:r w:rsidR="00FB2E79">
        <w:rPr>
          <w:rFonts w:cstheme="minorHAnsi"/>
        </w:rPr>
        <w:t xml:space="preserve">may be </w:t>
      </w:r>
      <w:r>
        <w:rPr>
          <w:rFonts w:cstheme="minorHAnsi"/>
        </w:rPr>
        <w:t xml:space="preserve">working longer hours, </w:t>
      </w:r>
      <w:r w:rsidR="00FB2E79">
        <w:rPr>
          <w:rFonts w:cstheme="minorHAnsi"/>
        </w:rPr>
        <w:t>have</w:t>
      </w:r>
      <w:r>
        <w:rPr>
          <w:rFonts w:cstheme="minorHAnsi"/>
        </w:rPr>
        <w:t xml:space="preserve"> less leave and </w:t>
      </w:r>
      <w:r w:rsidR="00FB2E79">
        <w:rPr>
          <w:rFonts w:cstheme="minorHAnsi"/>
        </w:rPr>
        <w:t xml:space="preserve">have </w:t>
      </w:r>
      <w:r>
        <w:rPr>
          <w:rFonts w:cstheme="minorHAnsi"/>
        </w:rPr>
        <w:t>more demanding working conditions</w:t>
      </w:r>
      <w:r w:rsidR="00FB2E79">
        <w:rPr>
          <w:rFonts w:cstheme="minorHAnsi"/>
        </w:rPr>
        <w:t xml:space="preserve">. </w:t>
      </w:r>
      <w:r w:rsidR="005D3558">
        <w:rPr>
          <w:rFonts w:cstheme="minorHAnsi"/>
        </w:rPr>
        <w:t>The wages of these educators do not reflect the responsible, professional job that they perform for children, families and the community.</w:t>
      </w:r>
    </w:p>
    <w:p w:rsidR="00BD2EFC" w:rsidRDefault="00BD2EFC" w:rsidP="00DC66BF">
      <w:pPr>
        <w:rPr>
          <w:rFonts w:cstheme="minorHAnsi"/>
        </w:rPr>
      </w:pPr>
      <w:r>
        <w:rPr>
          <w:rFonts w:cstheme="minorHAnsi"/>
        </w:rPr>
        <w:t xml:space="preserve">The Review was particularly concerned by some of the views expressed by a number of stakeholders across the country about the quality of pre-service training </w:t>
      </w:r>
      <w:r w:rsidR="00FB2E79">
        <w:rPr>
          <w:rFonts w:cstheme="minorHAnsi"/>
        </w:rPr>
        <w:t xml:space="preserve">by some </w:t>
      </w:r>
      <w:r>
        <w:rPr>
          <w:rFonts w:cstheme="minorHAnsi"/>
        </w:rPr>
        <w:t xml:space="preserve">university and vocational education and training </w:t>
      </w:r>
      <w:r w:rsidR="00FB2E79">
        <w:rPr>
          <w:rFonts w:cstheme="minorHAnsi"/>
        </w:rPr>
        <w:t>providers</w:t>
      </w:r>
      <w:r>
        <w:rPr>
          <w:rFonts w:cstheme="minorHAnsi"/>
        </w:rPr>
        <w:t xml:space="preserve">, and the </w:t>
      </w:r>
      <w:r w:rsidR="00B143EA">
        <w:rPr>
          <w:rFonts w:cstheme="minorHAnsi"/>
        </w:rPr>
        <w:t>preparedness</w:t>
      </w:r>
      <w:r>
        <w:rPr>
          <w:rFonts w:cstheme="minorHAnsi"/>
        </w:rPr>
        <w:t xml:space="preserve"> of many graduates as a result. </w:t>
      </w:r>
      <w:r w:rsidR="00B143EA">
        <w:rPr>
          <w:rFonts w:cstheme="minorHAnsi"/>
        </w:rPr>
        <w:t xml:space="preserve">The Review heard that </w:t>
      </w:r>
      <w:r w:rsidR="00FB2E79">
        <w:rPr>
          <w:rFonts w:cstheme="minorHAnsi"/>
        </w:rPr>
        <w:t xml:space="preserve">some </w:t>
      </w:r>
      <w:r w:rsidR="001C3893">
        <w:rPr>
          <w:rFonts w:cstheme="minorHAnsi"/>
        </w:rPr>
        <w:t>graduate</w:t>
      </w:r>
      <w:r w:rsidR="00035E26">
        <w:rPr>
          <w:rFonts w:cstheme="minorHAnsi"/>
        </w:rPr>
        <w:t>s</w:t>
      </w:r>
      <w:r w:rsidR="00FB2E79">
        <w:rPr>
          <w:rFonts w:cstheme="minorHAnsi"/>
        </w:rPr>
        <w:t xml:space="preserve"> from both sectors are </w:t>
      </w:r>
      <w:r w:rsidR="00E32B27">
        <w:rPr>
          <w:rFonts w:cstheme="minorHAnsi"/>
        </w:rPr>
        <w:t xml:space="preserve">inadequately trained or skilled </w:t>
      </w:r>
      <w:r w:rsidR="00FB2E79">
        <w:rPr>
          <w:rFonts w:cstheme="minorHAnsi"/>
        </w:rPr>
        <w:t xml:space="preserve">to work </w:t>
      </w:r>
      <w:r w:rsidR="00E32B27">
        <w:rPr>
          <w:rFonts w:cstheme="minorHAnsi"/>
        </w:rPr>
        <w:t>in early childhood</w:t>
      </w:r>
      <w:r w:rsidR="00FB2E79">
        <w:rPr>
          <w:rFonts w:cstheme="minorHAnsi"/>
        </w:rPr>
        <w:t xml:space="preserve"> settings. </w:t>
      </w:r>
      <w:r w:rsidR="00A605F1">
        <w:rPr>
          <w:rFonts w:cstheme="minorHAnsi"/>
        </w:rPr>
        <w:t>Stakeholders</w:t>
      </w:r>
      <w:r w:rsidR="00FB2E79">
        <w:rPr>
          <w:rFonts w:cstheme="minorHAnsi"/>
        </w:rPr>
        <w:t xml:space="preserve"> identified a lack of knowledge of child development, insufficient practical experience </w:t>
      </w:r>
      <w:r w:rsidR="00A605F1">
        <w:rPr>
          <w:rFonts w:cstheme="minorHAnsi"/>
        </w:rPr>
        <w:t>in early childhood settings and challenges engaging with diverse communities and families.</w:t>
      </w:r>
      <w:r w:rsidR="00E32B27">
        <w:rPr>
          <w:rFonts w:cstheme="minorHAnsi"/>
        </w:rPr>
        <w:t xml:space="preserve"> </w:t>
      </w:r>
      <w:r w:rsidR="00FB2E79">
        <w:rPr>
          <w:rFonts w:cstheme="minorHAnsi"/>
        </w:rPr>
        <w:t xml:space="preserve">Some stakeholders spoke </w:t>
      </w:r>
      <w:r w:rsidR="003D1131">
        <w:rPr>
          <w:rFonts w:cstheme="minorHAnsi"/>
        </w:rPr>
        <w:t xml:space="preserve">of education and training providers </w:t>
      </w:r>
      <w:r w:rsidR="00E32B27">
        <w:rPr>
          <w:rFonts w:cstheme="minorHAnsi"/>
        </w:rPr>
        <w:t xml:space="preserve">not </w:t>
      </w:r>
      <w:r w:rsidR="00B143EA">
        <w:rPr>
          <w:rFonts w:cstheme="minorHAnsi"/>
        </w:rPr>
        <w:t>being responsive to feedback</w:t>
      </w:r>
      <w:r w:rsidR="00E32B27">
        <w:rPr>
          <w:rFonts w:cstheme="minorHAnsi"/>
        </w:rPr>
        <w:t xml:space="preserve"> from </w:t>
      </w:r>
      <w:r w:rsidR="003D1131">
        <w:rPr>
          <w:rFonts w:cstheme="minorHAnsi"/>
        </w:rPr>
        <w:t xml:space="preserve">employers and </w:t>
      </w:r>
      <w:r w:rsidR="00E32B27">
        <w:rPr>
          <w:rFonts w:cstheme="minorHAnsi"/>
        </w:rPr>
        <w:t>the sector</w:t>
      </w:r>
      <w:r w:rsidR="00B143EA">
        <w:rPr>
          <w:rFonts w:cstheme="minorHAnsi"/>
        </w:rPr>
        <w:t xml:space="preserve">. </w:t>
      </w:r>
      <w:r>
        <w:rPr>
          <w:rFonts w:cstheme="minorHAnsi"/>
        </w:rPr>
        <w:t xml:space="preserve">While the Review was unable to fully investigate these concerns in the time available, they were </w:t>
      </w:r>
      <w:r w:rsidR="003D1131">
        <w:rPr>
          <w:rFonts w:cstheme="minorHAnsi"/>
        </w:rPr>
        <w:t>raised with sufficient frequency</w:t>
      </w:r>
      <w:r w:rsidR="00FB2E79">
        <w:rPr>
          <w:rFonts w:cstheme="minorHAnsi"/>
        </w:rPr>
        <w:t xml:space="preserve"> and in such a wide range of jurisdictions </w:t>
      </w:r>
      <w:r>
        <w:rPr>
          <w:rFonts w:cstheme="minorHAnsi"/>
        </w:rPr>
        <w:t xml:space="preserve">that further investigation is </w:t>
      </w:r>
      <w:r w:rsidR="00FB2E79">
        <w:rPr>
          <w:rFonts w:cstheme="minorHAnsi"/>
        </w:rPr>
        <w:t xml:space="preserve">clearly </w:t>
      </w:r>
      <w:r>
        <w:rPr>
          <w:rFonts w:cstheme="minorHAnsi"/>
        </w:rPr>
        <w:t xml:space="preserve">warranted. </w:t>
      </w:r>
    </w:p>
    <w:p w:rsidR="00230392" w:rsidRDefault="00FB2E79" w:rsidP="00FB2E79">
      <w:pPr>
        <w:widowControl w:val="0"/>
        <w:autoSpaceDE w:val="0"/>
        <w:autoSpaceDN w:val="0"/>
        <w:adjustRightInd w:val="0"/>
        <w:spacing w:after="0"/>
        <w:rPr>
          <w:lang w:val="en-US"/>
        </w:rPr>
      </w:pPr>
      <w:r w:rsidRPr="00FB2E79">
        <w:rPr>
          <w:rFonts w:cstheme="minorHAnsi"/>
        </w:rPr>
        <w:t xml:space="preserve">In </w:t>
      </w:r>
      <w:r w:rsidR="00A605F1" w:rsidRPr="00FB2E79">
        <w:rPr>
          <w:rFonts w:cstheme="minorHAnsi"/>
        </w:rPr>
        <w:t>acknowledging these</w:t>
      </w:r>
      <w:r w:rsidRPr="00FB2E79">
        <w:rPr>
          <w:rFonts w:cstheme="minorHAnsi"/>
        </w:rPr>
        <w:t xml:space="preserve"> concerns about pre-service training, the Review does not seek in any way to impugn the professionalism or dedication of the workforce. Educators and teachers play a </w:t>
      </w:r>
      <w:r w:rsidRPr="001E020F">
        <w:rPr>
          <w:rFonts w:cstheme="minorHAnsi"/>
        </w:rPr>
        <w:t>critical role in supporting children to thrive and learn</w:t>
      </w:r>
      <w:r w:rsidRPr="00D87D9D">
        <w:rPr>
          <w:rFonts w:cstheme="minorHAnsi"/>
        </w:rPr>
        <w:t>, often working for low pay and in challenging circumstances. Most take a highly professional approach to their work and would like to remain in the ind</w:t>
      </w:r>
      <w:r w:rsidRPr="005167A7">
        <w:rPr>
          <w:rFonts w:cstheme="minorHAnsi"/>
        </w:rPr>
        <w:t>ustry. Retention of staff is vital, since close</w:t>
      </w:r>
      <w:r w:rsidRPr="00A516DA">
        <w:rPr>
          <w:lang w:val="en-US"/>
        </w:rPr>
        <w:t>, ongoing relationships between educators and children underpin social and emotional learning</w:t>
      </w:r>
      <w:r w:rsidRPr="00FB2E79">
        <w:rPr>
          <w:rFonts w:cstheme="minorHAnsi"/>
        </w:rPr>
        <w:t>: ‘</w:t>
      </w:r>
      <w:r w:rsidRPr="00A516DA">
        <w:rPr>
          <w:lang w:val="en-US"/>
        </w:rPr>
        <w:t xml:space="preserve">Stability and consistency in staffing enables children and families to build trusting and secure relationships with educators and this, in </w:t>
      </w:r>
      <w:proofErr w:type="spellStart"/>
      <w:r w:rsidRPr="00A516DA">
        <w:rPr>
          <w:lang w:val="en-US"/>
        </w:rPr>
        <w:t>tu</w:t>
      </w:r>
      <w:r w:rsidRPr="00A516DA">
        <w:t>rn</w:t>
      </w:r>
      <w:proofErr w:type="spellEnd"/>
      <w:r w:rsidRPr="00A516DA">
        <w:t xml:space="preserve">, supports the </w:t>
      </w:r>
      <w:r w:rsidR="0075414F">
        <w:t>early childhood education and care</w:t>
      </w:r>
      <w:r w:rsidR="0075414F" w:rsidRPr="00A516DA">
        <w:t xml:space="preserve"> </w:t>
      </w:r>
      <w:r w:rsidRPr="00A516DA">
        <w:t xml:space="preserve">program </w:t>
      </w:r>
      <w:r w:rsidRPr="00A516DA">
        <w:rPr>
          <w:lang w:val="en-US"/>
        </w:rPr>
        <w:t>to respond appropriately to the needs and aspirations of each child and provide effective support for families when required’.</w:t>
      </w:r>
      <w:r w:rsidRPr="00A516DA">
        <w:rPr>
          <w:rStyle w:val="EndnoteReference"/>
        </w:rPr>
        <w:endnoteReference w:id="220"/>
      </w:r>
    </w:p>
    <w:p w:rsidR="00230392" w:rsidRPr="00A516DA" w:rsidRDefault="00230392" w:rsidP="00FB2E79">
      <w:pPr>
        <w:widowControl w:val="0"/>
        <w:autoSpaceDE w:val="0"/>
        <w:autoSpaceDN w:val="0"/>
        <w:adjustRightInd w:val="0"/>
        <w:spacing w:after="0"/>
        <w:rPr>
          <w:lang w:val="en-US"/>
        </w:rPr>
      </w:pPr>
    </w:p>
    <w:p w:rsidR="00BD2EFC" w:rsidRDefault="00BD2EFC" w:rsidP="00DC66BF">
      <w:pPr>
        <w:rPr>
          <w:rFonts w:cstheme="minorHAnsi"/>
        </w:rPr>
      </w:pPr>
      <w:r>
        <w:rPr>
          <w:rFonts w:cstheme="minorHAnsi"/>
        </w:rPr>
        <w:t xml:space="preserve">The Review heard acknowledgement that workforce issues are complex and interlinked, and also disappointment at </w:t>
      </w:r>
      <w:r w:rsidR="003D1131">
        <w:rPr>
          <w:rFonts w:cstheme="minorHAnsi"/>
        </w:rPr>
        <w:t>the</w:t>
      </w:r>
      <w:r>
        <w:rPr>
          <w:rFonts w:cstheme="minorHAnsi"/>
        </w:rPr>
        <w:t xml:space="preserve"> lack of a strategic, national approach to solving these issues</w:t>
      </w:r>
      <w:r w:rsidR="0072492D">
        <w:rPr>
          <w:rFonts w:cstheme="minorHAnsi"/>
        </w:rPr>
        <w:t xml:space="preserve">, particularly since the </w:t>
      </w:r>
      <w:r w:rsidR="00C0512D" w:rsidRPr="00A516DA">
        <w:rPr>
          <w:i/>
        </w:rPr>
        <w:t>National Early Years Workforce Strategy</w:t>
      </w:r>
      <w:r w:rsidR="00C0512D" w:rsidRPr="00FE14F5">
        <w:rPr>
          <w:iCs/>
          <w:vertAlign w:val="superscript"/>
        </w:rPr>
        <w:endnoteReference w:id="221"/>
      </w:r>
      <w:r w:rsidR="00C0512D">
        <w:t xml:space="preserve"> lapsed at the end of 2016</w:t>
      </w:r>
      <w:r>
        <w:rPr>
          <w:rFonts w:cstheme="minorHAnsi"/>
        </w:rPr>
        <w:t xml:space="preserve"> </w:t>
      </w:r>
      <w:r w:rsidR="00C0512D">
        <w:rPr>
          <w:rFonts w:cstheme="minorHAnsi"/>
        </w:rPr>
        <w:t xml:space="preserve">and has not been replaced. </w:t>
      </w:r>
      <w:r>
        <w:rPr>
          <w:rFonts w:cstheme="minorHAnsi"/>
        </w:rPr>
        <w:t xml:space="preserve">Several stakeholders </w:t>
      </w:r>
      <w:r w:rsidR="00C0512D">
        <w:rPr>
          <w:rFonts w:cstheme="minorHAnsi"/>
        </w:rPr>
        <w:t xml:space="preserve">also </w:t>
      </w:r>
      <w:r>
        <w:rPr>
          <w:rFonts w:cstheme="minorHAnsi"/>
        </w:rPr>
        <w:t>noted that the Commonwealth Government p</w:t>
      </w:r>
      <w:r w:rsidR="003D1131">
        <w:rPr>
          <w:rFonts w:cstheme="minorHAnsi"/>
        </w:rPr>
        <w:t>reviously provided funding for</w:t>
      </w:r>
      <w:r>
        <w:rPr>
          <w:rFonts w:cstheme="minorHAnsi"/>
        </w:rPr>
        <w:t xml:space="preserve"> professional development, but this has now stopped. The Review was heartened to hear that </w:t>
      </w:r>
      <w:r w:rsidR="00C0512D">
        <w:rPr>
          <w:rFonts w:cstheme="minorHAnsi"/>
        </w:rPr>
        <w:t xml:space="preserve">services and </w:t>
      </w:r>
      <w:r>
        <w:rPr>
          <w:rFonts w:cstheme="minorHAnsi"/>
        </w:rPr>
        <w:t xml:space="preserve">jurisdictions </w:t>
      </w:r>
      <w:r w:rsidR="0072492D">
        <w:rPr>
          <w:rFonts w:cstheme="minorHAnsi"/>
        </w:rPr>
        <w:t xml:space="preserve">are </w:t>
      </w:r>
      <w:r>
        <w:rPr>
          <w:rFonts w:cstheme="minorHAnsi"/>
        </w:rPr>
        <w:t>taking steps to invest in the workforce (</w:t>
      </w:r>
      <w:r w:rsidR="00C0512D">
        <w:rPr>
          <w:rFonts w:cstheme="minorHAnsi"/>
        </w:rPr>
        <w:t xml:space="preserve">see </w:t>
      </w:r>
      <w:r>
        <w:rPr>
          <w:rFonts w:cstheme="minorHAnsi"/>
        </w:rPr>
        <w:t>case study</w:t>
      </w:r>
      <w:r w:rsidR="00A86DA9">
        <w:rPr>
          <w:rFonts w:cstheme="minorHAnsi"/>
        </w:rPr>
        <w:t xml:space="preserve"> below</w:t>
      </w:r>
      <w:r>
        <w:rPr>
          <w:rFonts w:cstheme="minorHAnsi"/>
        </w:rPr>
        <w:t xml:space="preserve">), </w:t>
      </w:r>
      <w:r w:rsidR="001B150D">
        <w:rPr>
          <w:rFonts w:cstheme="minorHAnsi"/>
        </w:rPr>
        <w:t xml:space="preserve">and individual educators </w:t>
      </w:r>
      <w:r w:rsidR="0072492D">
        <w:rPr>
          <w:rFonts w:cstheme="minorHAnsi"/>
        </w:rPr>
        <w:t xml:space="preserve">are </w:t>
      </w:r>
      <w:r w:rsidR="001B150D">
        <w:rPr>
          <w:rFonts w:cstheme="minorHAnsi"/>
        </w:rPr>
        <w:t xml:space="preserve">also pursing professional development, </w:t>
      </w:r>
      <w:r w:rsidR="003357B8" w:rsidRPr="003357B8">
        <w:rPr>
          <w:rFonts w:cstheme="minorHAnsi"/>
        </w:rPr>
        <w:t>but considers that systemic rather than individual solutions are needed to address workforce issues and improve quality</w:t>
      </w:r>
      <w:r>
        <w:rPr>
          <w:rFonts w:cstheme="minorHAnsi"/>
        </w:rPr>
        <w:t xml:space="preserve">. </w:t>
      </w:r>
    </w:p>
    <w:p w:rsidR="00BD2EFC" w:rsidRDefault="00BD2EFC" w:rsidP="009725F4">
      <w:pPr>
        <w:rPr>
          <w:rFonts w:cstheme="minorHAnsi"/>
        </w:rPr>
      </w:pPr>
      <w:r>
        <w:t xml:space="preserve">The Review notes that these challenges are not unique to Australia. For example, the </w:t>
      </w:r>
      <w:r w:rsidRPr="00B721F8">
        <w:t xml:space="preserve">OECD highlights </w:t>
      </w:r>
      <w:r>
        <w:t xml:space="preserve">issues with </w:t>
      </w:r>
      <w:r w:rsidRPr="00B721F8">
        <w:t>the professional standing of the early childhood workforce</w:t>
      </w:r>
      <w:r>
        <w:t>,</w:t>
      </w:r>
      <w:r w:rsidRPr="00B721F8">
        <w:rPr>
          <w:rStyle w:val="EndnoteReference"/>
        </w:rPr>
        <w:endnoteReference w:id="222"/>
      </w:r>
      <w:r>
        <w:t xml:space="preserve"> and</w:t>
      </w:r>
      <w:r w:rsidR="00B946A2">
        <w:t xml:space="preserve"> </w:t>
      </w:r>
      <w:r w:rsidRPr="00B721F8">
        <w:t>whilst there has been an increase internationally in the level of qualification required to be a teacher in pre-primary education, salaries are still below those of other tertiary-educated workers</w:t>
      </w:r>
      <w:r>
        <w:t>.</w:t>
      </w:r>
      <w:r w:rsidRPr="00B721F8">
        <w:rPr>
          <w:rStyle w:val="EndnoteReference"/>
        </w:rPr>
        <w:endnoteReference w:id="223"/>
      </w:r>
      <w:r>
        <w:t xml:space="preserve"> </w:t>
      </w:r>
    </w:p>
    <w:p w:rsidR="00BD2EFC" w:rsidRDefault="00BD2EFC" w:rsidP="0074457C">
      <w:pPr>
        <w:autoSpaceDE w:val="0"/>
        <w:autoSpaceDN w:val="0"/>
        <w:adjustRightInd w:val="0"/>
        <w:spacing w:after="0"/>
        <w:jc w:val="both"/>
        <w:rPr>
          <w:rFonts w:cstheme="minorHAnsi"/>
        </w:rPr>
      </w:pPr>
    </w:p>
    <w:tbl>
      <w:tblPr>
        <w:tblStyle w:val="TableGrid"/>
        <w:tblW w:w="0" w:type="auto"/>
        <w:tblLook w:val="04A0" w:firstRow="1" w:lastRow="0" w:firstColumn="1" w:lastColumn="0" w:noHBand="0" w:noVBand="1"/>
      </w:tblPr>
      <w:tblGrid>
        <w:gridCol w:w="9242"/>
      </w:tblGrid>
      <w:tr w:rsidR="00946EC3" w:rsidTr="00946EC3">
        <w:tc>
          <w:tcPr>
            <w:tcW w:w="9242" w:type="dxa"/>
          </w:tcPr>
          <w:p w:rsidR="00946EC3" w:rsidRPr="00411820" w:rsidRDefault="00946EC3" w:rsidP="009725F4">
            <w:r w:rsidRPr="009725F4">
              <w:rPr>
                <w:b/>
              </w:rPr>
              <w:t xml:space="preserve">Early </w:t>
            </w:r>
            <w:r w:rsidR="00571178">
              <w:rPr>
                <w:b/>
              </w:rPr>
              <w:t>Childhood Scholarships Program</w:t>
            </w:r>
            <w:r w:rsidR="00FE0C75" w:rsidRPr="00B058BB">
              <w:rPr>
                <w:b/>
              </w:rPr>
              <w:t xml:space="preserve">, </w:t>
            </w:r>
            <w:r w:rsidR="00B058BB" w:rsidRPr="00A516DA">
              <w:rPr>
                <w:b/>
              </w:rPr>
              <w:t>Australian Capital Territory</w:t>
            </w:r>
          </w:p>
          <w:p w:rsidR="00946EC3" w:rsidRDefault="00946EC3" w:rsidP="00946EC3">
            <w:r w:rsidRPr="00CE37F6">
              <w:t>The</w:t>
            </w:r>
            <w:r>
              <w:t xml:space="preserve"> ACT Education Directorate Early Childhood Scholarships Program delivers scholarships to the early childhood education and c</w:t>
            </w:r>
            <w:r w:rsidRPr="00D92CB2">
              <w:t>are sector</w:t>
            </w:r>
            <w:r>
              <w:t xml:space="preserve"> to support the implementation of the National Quality Framework. </w:t>
            </w:r>
          </w:p>
          <w:p w:rsidR="00946EC3" w:rsidRDefault="00946EC3" w:rsidP="00946EC3">
            <w:pPr>
              <w:spacing w:before="240"/>
            </w:pPr>
            <w:r w:rsidRPr="0008301F">
              <w:t>The Program</w:t>
            </w:r>
            <w:r>
              <w:t xml:space="preserve"> </w:t>
            </w:r>
            <w:r w:rsidRPr="0008301F">
              <w:t>supports</w:t>
            </w:r>
            <w:r>
              <w:t xml:space="preserve"> individuals who are already working in, or want to work in</w:t>
            </w:r>
            <w:r w:rsidR="00FE0C75">
              <w:t>,</w:t>
            </w:r>
            <w:r>
              <w:t xml:space="preserve"> </w:t>
            </w:r>
            <w:r w:rsidR="007E097D">
              <w:t xml:space="preserve">early childhood education and care </w:t>
            </w:r>
            <w:r>
              <w:t xml:space="preserve">to gain an early childhood teaching qualification and undertake higher level professional development. </w:t>
            </w:r>
          </w:p>
          <w:p w:rsidR="00946EC3" w:rsidRDefault="00946EC3" w:rsidP="00946EC3"/>
          <w:p w:rsidR="00946EC3" w:rsidRDefault="00946EC3" w:rsidP="00946EC3">
            <w:r>
              <w:t xml:space="preserve">The objectives of the Program are to: </w:t>
            </w:r>
          </w:p>
          <w:p w:rsidR="00946EC3" w:rsidRDefault="00946EC3" w:rsidP="00375FB1">
            <w:pPr>
              <w:numPr>
                <w:ilvl w:val="0"/>
                <w:numId w:val="12"/>
              </w:numPr>
              <w:spacing w:line="276" w:lineRule="auto"/>
              <w:ind w:left="714" w:hanging="357"/>
            </w:pPr>
            <w:r>
              <w:t xml:space="preserve">encourage individuals to improve their skills for the benefit of the children they educate and care for, and to contribute to the continuing implementation of the </w:t>
            </w:r>
            <w:r w:rsidR="003E5317">
              <w:t>National Quality Framework</w:t>
            </w:r>
            <w:r>
              <w:t xml:space="preserve"> in the ACT</w:t>
            </w:r>
          </w:p>
          <w:p w:rsidR="00451733" w:rsidRDefault="00946EC3" w:rsidP="00375FB1">
            <w:pPr>
              <w:numPr>
                <w:ilvl w:val="0"/>
                <w:numId w:val="12"/>
              </w:numPr>
              <w:spacing w:line="276" w:lineRule="auto"/>
              <w:ind w:left="714" w:hanging="357"/>
            </w:pPr>
            <w:r>
              <w:t>provide incentives to individuals to undertake higher level professional development</w:t>
            </w:r>
          </w:p>
          <w:p w:rsidR="00946EC3" w:rsidRDefault="00946EC3" w:rsidP="00375FB1">
            <w:pPr>
              <w:numPr>
                <w:ilvl w:val="0"/>
                <w:numId w:val="12"/>
              </w:numPr>
              <w:spacing w:line="276" w:lineRule="auto"/>
              <w:ind w:left="714" w:hanging="357"/>
            </w:pPr>
            <w:r>
              <w:t>contribute to an increase in the number of degree-qualified educators in the ACT</w:t>
            </w:r>
          </w:p>
          <w:p w:rsidR="00946EC3" w:rsidRPr="00E502FD" w:rsidRDefault="00946EC3" w:rsidP="00375FB1">
            <w:pPr>
              <w:numPr>
                <w:ilvl w:val="0"/>
                <w:numId w:val="12"/>
              </w:numPr>
              <w:spacing w:line="276" w:lineRule="auto"/>
              <w:ind w:left="714" w:hanging="357"/>
            </w:pPr>
            <w:r w:rsidRPr="00E502FD">
              <w:t>rais</w:t>
            </w:r>
            <w:r w:rsidR="00451733">
              <w:t>e</w:t>
            </w:r>
            <w:r w:rsidRPr="00E502FD">
              <w:t xml:space="preserve"> the profile of the </w:t>
            </w:r>
            <w:r w:rsidR="003E5317">
              <w:t>early childhood education and c</w:t>
            </w:r>
            <w:r w:rsidR="003E5317" w:rsidRPr="00D92CB2">
              <w:t>are</w:t>
            </w:r>
            <w:r w:rsidRPr="00E502FD">
              <w:t xml:space="preserve"> sector in the ACT</w:t>
            </w:r>
          </w:p>
          <w:p w:rsidR="00946EC3" w:rsidRDefault="00946EC3" w:rsidP="00375FB1">
            <w:pPr>
              <w:numPr>
                <w:ilvl w:val="0"/>
                <w:numId w:val="12"/>
              </w:numPr>
              <w:spacing w:line="276" w:lineRule="auto"/>
            </w:pPr>
            <w:r>
              <w:t xml:space="preserve">provide educators </w:t>
            </w:r>
            <w:r w:rsidR="00451733">
              <w:t>with</w:t>
            </w:r>
            <w:r w:rsidRPr="009861C7">
              <w:t xml:space="preserve"> </w:t>
            </w:r>
            <w:r>
              <w:t>improved employment outcomes and career paths</w:t>
            </w:r>
            <w:r w:rsidR="008D76B4">
              <w:t>.</w:t>
            </w:r>
          </w:p>
          <w:p w:rsidR="00946EC3" w:rsidRDefault="00946EC3" w:rsidP="00946EC3">
            <w:pPr>
              <w:spacing w:before="240"/>
            </w:pPr>
            <w:r>
              <w:t>The Program</w:t>
            </w:r>
            <w:r w:rsidRPr="007D58B4">
              <w:t xml:space="preserve"> </w:t>
            </w:r>
            <w:r>
              <w:t>is recurrently funded to provide 75 participants with up to $6,000 over four years towards costs associated with attaining early childhood teaching qualification. This includes purchasing leave for study release or attendance at classes, residential schools or practicum placements, course-required materials, equipment, text books, and learning support services such as tutoring.</w:t>
            </w:r>
            <w:r w:rsidR="00B946A2">
              <w:t xml:space="preserve"> </w:t>
            </w:r>
          </w:p>
          <w:p w:rsidR="00946EC3" w:rsidRDefault="00946EC3" w:rsidP="00946EC3"/>
          <w:p w:rsidR="00946EC3" w:rsidRDefault="00946EC3" w:rsidP="00946EC3">
            <w:r>
              <w:t>Source: Education Directorate</w:t>
            </w:r>
            <w:r w:rsidR="001E020F">
              <w:t xml:space="preserve">, </w:t>
            </w:r>
            <w:r w:rsidR="00B058BB">
              <w:t>ACT</w:t>
            </w:r>
          </w:p>
          <w:p w:rsidR="00946EC3" w:rsidRDefault="00946EC3" w:rsidP="0074457C">
            <w:pPr>
              <w:autoSpaceDE w:val="0"/>
              <w:autoSpaceDN w:val="0"/>
              <w:adjustRightInd w:val="0"/>
              <w:jc w:val="both"/>
              <w:rPr>
                <w:rFonts w:cstheme="minorHAnsi"/>
              </w:rPr>
            </w:pPr>
          </w:p>
        </w:tc>
      </w:tr>
    </w:tbl>
    <w:p w:rsidR="00BD2EFC" w:rsidRDefault="00BD2EFC" w:rsidP="00CE4179">
      <w:pPr>
        <w:autoSpaceDE w:val="0"/>
        <w:autoSpaceDN w:val="0"/>
        <w:adjustRightInd w:val="0"/>
        <w:spacing w:after="0"/>
      </w:pPr>
    </w:p>
    <w:p w:rsidR="005B4279" w:rsidRDefault="005B4279" w:rsidP="00CE4179">
      <w:pPr>
        <w:autoSpaceDE w:val="0"/>
        <w:autoSpaceDN w:val="0"/>
        <w:adjustRightInd w:val="0"/>
        <w:spacing w:after="0"/>
      </w:pPr>
    </w:p>
    <w:p w:rsidR="00BD2EFC" w:rsidRDefault="00BD2EFC">
      <w:pPr>
        <w:rPr>
          <w:rFonts w:asciiTheme="majorHAnsi" w:eastAsiaTheme="majorEastAsia" w:hAnsiTheme="majorHAnsi" w:cstheme="majorBidi"/>
          <w:b/>
          <w:bCs/>
          <w:color w:val="365F91" w:themeColor="accent1" w:themeShade="BF"/>
          <w:sz w:val="28"/>
          <w:szCs w:val="28"/>
        </w:rPr>
      </w:pPr>
      <w:r>
        <w:br w:type="page"/>
      </w:r>
    </w:p>
    <w:p w:rsidR="00BD2EFC" w:rsidRPr="00DD30C7" w:rsidRDefault="0063470E" w:rsidP="00DD30C7">
      <w:pPr>
        <w:pStyle w:val="Heading1"/>
      </w:pPr>
      <w:bookmarkStart w:id="28" w:name="_Toc373586258"/>
      <w:bookmarkStart w:id="29" w:name="_Toc500850776"/>
      <w:r>
        <w:t xml:space="preserve">4.2 </w:t>
      </w:r>
      <w:r w:rsidR="00BD2EFC">
        <w:t>Expanding access to early childhood education to</w:t>
      </w:r>
      <w:r w:rsidR="00181266">
        <w:t xml:space="preserve"> all</w:t>
      </w:r>
      <w:r w:rsidR="00BD2EFC">
        <w:t xml:space="preserve"> three year olds</w:t>
      </w:r>
      <w:bookmarkEnd w:id="28"/>
      <w:bookmarkEnd w:id="29"/>
    </w:p>
    <w:p w:rsidR="00BD2EFC" w:rsidRDefault="00BD2EFC" w:rsidP="00DD30C7"/>
    <w:p w:rsidR="00BD2EFC" w:rsidRDefault="00BD2EFC" w:rsidP="00DD30C7">
      <w:r>
        <w:t>Currently in Australia</w:t>
      </w:r>
      <w:r w:rsidR="003C5010">
        <w:t>, all government</w:t>
      </w:r>
      <w:r w:rsidR="003D1131">
        <w:t>s</w:t>
      </w:r>
      <w:r w:rsidR="003C5010">
        <w:t xml:space="preserve"> support </w:t>
      </w:r>
      <w:r w:rsidR="0037370A">
        <w:t>Universal Access</w:t>
      </w:r>
      <w:r>
        <w:t xml:space="preserve"> </w:t>
      </w:r>
      <w:r w:rsidR="00DE40BF">
        <w:t xml:space="preserve">to a preschool program </w:t>
      </w:r>
      <w:r>
        <w:t xml:space="preserve">for </w:t>
      </w:r>
      <w:r w:rsidR="00DE40BF">
        <w:t>children in the year before school (four year olds)</w:t>
      </w:r>
      <w:r>
        <w:t xml:space="preserve">, </w:t>
      </w:r>
      <w:r w:rsidR="003C5010">
        <w:t xml:space="preserve">while </w:t>
      </w:r>
      <w:r w:rsidR="00B96A71">
        <w:t xml:space="preserve">most </w:t>
      </w:r>
      <w:r w:rsidR="003C5010">
        <w:t xml:space="preserve">states and territories fund </w:t>
      </w:r>
      <w:r>
        <w:t xml:space="preserve">highly targeted access for three year olds. As a result, while </w:t>
      </w:r>
      <w:r w:rsidR="00DE40BF">
        <w:t xml:space="preserve">almost all </w:t>
      </w:r>
      <w:r>
        <w:t xml:space="preserve">four year olds </w:t>
      </w:r>
      <w:r w:rsidR="00DE40BF">
        <w:t>are enrolled in a preschool program, only 21.3</w:t>
      </w:r>
      <w:r>
        <w:t xml:space="preserve"> per cent of three year olds </w:t>
      </w:r>
      <w:r w:rsidR="00DE40BF">
        <w:t>are</w:t>
      </w:r>
      <w:r w:rsidR="00A340DC">
        <w:t xml:space="preserve"> enrolled</w:t>
      </w:r>
      <w:r>
        <w:t>.</w:t>
      </w:r>
      <w:r>
        <w:rPr>
          <w:rStyle w:val="EndnoteReference"/>
        </w:rPr>
        <w:endnoteReference w:id="224"/>
      </w:r>
      <w:r>
        <w:t xml:space="preserve"> </w:t>
      </w:r>
      <w:r w:rsidR="00DE40BF">
        <w:t xml:space="preserve">While there are data </w:t>
      </w:r>
      <w:r w:rsidR="00B96A71">
        <w:t xml:space="preserve">limitations, </w:t>
      </w:r>
      <w:r w:rsidR="00DE40BF">
        <w:t>i</w:t>
      </w:r>
      <w:r>
        <w:t xml:space="preserve">t is generally considered that those three year olds not participating in a preschool program, or </w:t>
      </w:r>
      <w:r w:rsidR="003C5010">
        <w:t>any form of</w:t>
      </w:r>
      <w:r w:rsidR="003E5317">
        <w:t xml:space="preserve"> early childhood education and care</w:t>
      </w:r>
      <w:r w:rsidR="003C5010">
        <w:t xml:space="preserve">, </w:t>
      </w:r>
      <w:r>
        <w:t>are disproportiona</w:t>
      </w:r>
      <w:r w:rsidR="005D3558">
        <w:t>tely</w:t>
      </w:r>
      <w:r>
        <w:t xml:space="preserve"> children from disadvantaged or vulnerable backgrounds.</w:t>
      </w:r>
      <w:r>
        <w:rPr>
          <w:rStyle w:val="EndnoteReference"/>
        </w:rPr>
        <w:endnoteReference w:id="225"/>
      </w:r>
    </w:p>
    <w:p w:rsidR="00BD2EFC" w:rsidRDefault="00BD2EFC" w:rsidP="00DD30C7">
      <w:r>
        <w:t xml:space="preserve">From both the literature and the consultations, there is </w:t>
      </w:r>
      <w:r w:rsidR="00A12352">
        <w:t>consensus</w:t>
      </w:r>
      <w:r w:rsidR="007D1103">
        <w:t xml:space="preserve"> </w:t>
      </w:r>
      <w:r>
        <w:t>that a broader group of disadvantaged three year olds should have access to early childhood education</w:t>
      </w:r>
      <w:r w:rsidR="003C5010">
        <w:t xml:space="preserve"> than </w:t>
      </w:r>
      <w:r w:rsidR="009772C8">
        <w:t xml:space="preserve">is </w:t>
      </w:r>
      <w:r w:rsidR="003C5010">
        <w:t xml:space="preserve">currently </w:t>
      </w:r>
      <w:r w:rsidR="009772C8">
        <w:t>the case</w:t>
      </w:r>
      <w:r>
        <w:t xml:space="preserve">. </w:t>
      </w:r>
    </w:p>
    <w:p w:rsidR="00BD2EFC" w:rsidRDefault="00BD2EFC" w:rsidP="00DD30C7">
      <w:r>
        <w:t xml:space="preserve">In addition, there was broad support through the consultations for </w:t>
      </w:r>
      <w:r w:rsidR="00D219F0">
        <w:t>u</w:t>
      </w:r>
      <w:r w:rsidR="0037370A">
        <w:t xml:space="preserve">niversal </w:t>
      </w:r>
      <w:r w:rsidR="00D219F0">
        <w:t>a</w:t>
      </w:r>
      <w:r w:rsidR="0037370A">
        <w:t>ccess</w:t>
      </w:r>
      <w:r>
        <w:t xml:space="preserve"> for three year olds, with </w:t>
      </w:r>
      <w:r w:rsidR="003D1131">
        <w:t>many</w:t>
      </w:r>
      <w:r>
        <w:t xml:space="preserve"> stakeholders identifying it as the single most important reform that the Review should consider. </w:t>
      </w:r>
    </w:p>
    <w:p w:rsidR="00BD2EFC" w:rsidRDefault="00BD2EFC" w:rsidP="00DD30C7">
      <w:r>
        <w:t>This view is supported by international evidence, which has generally concluded that universal access to preschool for three year olds as well as four year olds is preferred.</w:t>
      </w:r>
    </w:p>
    <w:p w:rsidR="00BD2EFC" w:rsidRDefault="00BD2EFC" w:rsidP="00DD30C7">
      <w:r>
        <w:t xml:space="preserve">A comprehensive review of the research on the effects of early childhood education upon child development was undertaken for </w:t>
      </w:r>
      <w:r w:rsidR="00B96A71">
        <w:t xml:space="preserve">the </w:t>
      </w:r>
      <w:r>
        <w:t>European Union</w:t>
      </w:r>
      <w:r w:rsidR="003C5010">
        <w:t xml:space="preserve">. </w:t>
      </w:r>
      <w:r>
        <w:t xml:space="preserve">It found that </w:t>
      </w:r>
      <w:r w:rsidR="00A2620B">
        <w:t>‘</w:t>
      </w:r>
      <w:r>
        <w:t>[f]or provision for three years onwards the evidence is consistent that preschool provision is beneficial to educational and social development for the whole population.</w:t>
      </w:r>
      <w:r w:rsidR="00A2620B">
        <w:t>’</w:t>
      </w:r>
      <w:r>
        <w:rPr>
          <w:rStyle w:val="EndnoteReference"/>
        </w:rPr>
        <w:endnoteReference w:id="226"/>
      </w:r>
      <w:r>
        <w:t xml:space="preserve"> </w:t>
      </w:r>
    </w:p>
    <w:p w:rsidR="00BD2EFC" w:rsidRDefault="00BD2EFC" w:rsidP="00DD30C7">
      <w:r>
        <w:t>In the United States, kindergarten is the educational program for five year olds (equivalent to the first year of schooling in Australia), and pre-k refers to programs for three and four year olds (which Australia</w:t>
      </w:r>
      <w:r w:rsidR="00B96A71">
        <w:t xml:space="preserve"> would usually call preschool). A</w:t>
      </w:r>
      <w:r>
        <w:t xml:space="preserve"> Brookings Institute project developed a series of consensus statements about the impact of state-funded pre-k programs, which concludes</w:t>
      </w:r>
      <w:r w:rsidR="003C5010">
        <w:t>:</w:t>
      </w:r>
    </w:p>
    <w:p w:rsidR="00BD2EFC" w:rsidRDefault="003C5010" w:rsidP="00DD30C7">
      <w:pPr>
        <w:ind w:left="720"/>
      </w:pPr>
      <w:r>
        <w:t>[T]</w:t>
      </w:r>
      <w:r w:rsidR="00BD2EFC">
        <w:t>he scientific rationale, the uniformly positive evidence of impact on kindergarten readiness, and the nascent body of ongoing inquiry about long-term impacts lead us to conclude that continued implementation of scaled-up pre-k programs is in order as long as the implementation is accompanied by rigorous evaluation of impact.</w:t>
      </w:r>
      <w:r w:rsidR="00BD2EFC">
        <w:rPr>
          <w:rStyle w:val="EndnoteReference"/>
        </w:rPr>
        <w:endnoteReference w:id="227"/>
      </w:r>
    </w:p>
    <w:p w:rsidR="00A839DA" w:rsidRDefault="00A839DA" w:rsidP="00A839DA">
      <w:r>
        <w:t xml:space="preserve">The Productivity Commission in a recent report was </w:t>
      </w:r>
      <w:r w:rsidR="00B96A71">
        <w:t>of a similar view, nothing that</w:t>
      </w:r>
      <w:r>
        <w:t xml:space="preserve">: </w:t>
      </w:r>
    </w:p>
    <w:p w:rsidR="00A839DA" w:rsidRDefault="00A839DA" w:rsidP="00A839DA">
      <w:pPr>
        <w:ind w:left="720"/>
      </w:pPr>
      <w:r>
        <w:t xml:space="preserve">Formal educational programs, prior to starting school, can play a role in child development and education. There are positive development outcomes for all children from about </w:t>
      </w:r>
      <w:r w:rsidR="00835C89">
        <w:t>three</w:t>
      </w:r>
      <w:r>
        <w:t xml:space="preserve"> years and above from taking part in quality preschool and</w:t>
      </w:r>
      <w:r w:rsidR="005A2E29" w:rsidRPr="005A2E29">
        <w:t xml:space="preserve"> </w:t>
      </w:r>
      <w:r w:rsidR="005A2E29">
        <w:t>early childhood education and care</w:t>
      </w:r>
      <w:r w:rsidR="005A2E29" w:rsidDel="005A2E29">
        <w:t xml:space="preserve"> </w:t>
      </w:r>
      <w:r>
        <w:t>programs. There is evidence of immediate socialisation benefits for children, increased likelihood of a successful transition into formal schooling and improved performance in standardised test results in the early years of primary school as a result of participation in preschool programs. The benefits are even greater for children from disadvantaged backgrounds and can persist into adulthood.</w:t>
      </w:r>
      <w:r>
        <w:rPr>
          <w:rStyle w:val="EndnoteReference"/>
        </w:rPr>
        <w:endnoteReference w:id="228"/>
      </w:r>
    </w:p>
    <w:p w:rsidR="00A839DA" w:rsidRDefault="00A839DA" w:rsidP="00A839DA">
      <w:r>
        <w:t xml:space="preserve">The Productivity Commission has also drawn attention to some of the benefits </w:t>
      </w:r>
      <w:r w:rsidR="00B96A71">
        <w:t xml:space="preserve">for disadvantaged children of </w:t>
      </w:r>
      <w:r>
        <w:t>universal provision.</w:t>
      </w:r>
      <w:r>
        <w:rPr>
          <w:rStyle w:val="EndnoteReference"/>
        </w:rPr>
        <w:endnoteReference w:id="229"/>
      </w:r>
      <w:r>
        <w:t xml:space="preserve"> The Productivity Commission noted that universal programs</w:t>
      </w:r>
      <w:r w:rsidR="00B96A71">
        <w:t>:</w:t>
      </w:r>
    </w:p>
    <w:p w:rsidR="00A839DA" w:rsidRDefault="00A839DA" w:rsidP="00375FB1">
      <w:pPr>
        <w:pStyle w:val="ListParagraph"/>
        <w:numPr>
          <w:ilvl w:val="0"/>
          <w:numId w:val="8"/>
        </w:numPr>
        <w:spacing w:after="160" w:line="259" w:lineRule="auto"/>
      </w:pPr>
      <w:r>
        <w:t>lead to higher participation for all children</w:t>
      </w:r>
    </w:p>
    <w:p w:rsidR="00A839DA" w:rsidRDefault="00A839DA" w:rsidP="00375FB1">
      <w:pPr>
        <w:pStyle w:val="ListParagraph"/>
        <w:numPr>
          <w:ilvl w:val="0"/>
          <w:numId w:val="8"/>
        </w:numPr>
        <w:spacing w:after="160" w:line="259" w:lineRule="auto"/>
      </w:pPr>
      <w:r>
        <w:t>avoid some of the difficulties of accurately determining eligibility for a</w:t>
      </w:r>
      <w:r w:rsidR="00A2620B">
        <w:t xml:space="preserve"> targeted program, noting that ‘</w:t>
      </w:r>
      <w:r>
        <w:t>although children from disadvantaged backgrounds are over represented in the population of developmentally vulnerable children, they do not make up the majority of such children, as the largest numbers of vulnerable children are located in the middle of the social gradient</w:t>
      </w:r>
      <w:r w:rsidR="00A2620B">
        <w:t>’</w:t>
      </w:r>
      <w:r>
        <w:rPr>
          <w:rStyle w:val="EndnoteReference"/>
        </w:rPr>
        <w:endnoteReference w:id="230"/>
      </w:r>
      <w:r>
        <w:t xml:space="preserve"> and developme</w:t>
      </w:r>
      <w:r w:rsidR="00A2620B">
        <w:t>ntally vulnerable children are ‘</w:t>
      </w:r>
      <w:r>
        <w:t>spread across all socioeconomic groups</w:t>
      </w:r>
      <w:r w:rsidR="00A2620B">
        <w:t>’</w:t>
      </w:r>
      <w:r>
        <w:rPr>
          <w:rStyle w:val="EndnoteReference"/>
        </w:rPr>
        <w:endnoteReference w:id="231"/>
      </w:r>
    </w:p>
    <w:p w:rsidR="00A839DA" w:rsidRDefault="00A839DA" w:rsidP="00375FB1">
      <w:pPr>
        <w:pStyle w:val="ListParagraph"/>
        <w:numPr>
          <w:ilvl w:val="0"/>
          <w:numId w:val="8"/>
        </w:numPr>
        <w:spacing w:after="160" w:line="259" w:lineRule="auto"/>
      </w:pPr>
      <w:r>
        <w:t>avoid stigmatising participants</w:t>
      </w:r>
    </w:p>
    <w:p w:rsidR="00A839DA" w:rsidRDefault="00A605F1" w:rsidP="00375FB1">
      <w:pPr>
        <w:pStyle w:val="ListParagraph"/>
        <w:numPr>
          <w:ilvl w:val="0"/>
          <w:numId w:val="8"/>
        </w:numPr>
        <w:spacing w:after="160" w:line="259" w:lineRule="auto"/>
      </w:pPr>
      <w:r>
        <w:t>avoid cohort effects – with disadvantaged children interacting with children from a variety of backgrounds.</w:t>
      </w:r>
    </w:p>
    <w:p w:rsidR="00BD2EFC" w:rsidRDefault="00A839DA" w:rsidP="00DD30C7">
      <w:r>
        <w:t>T</w:t>
      </w:r>
      <w:r w:rsidR="00BD2EFC">
        <w:t xml:space="preserve">he Productivity Commission’s observations about the benefits of universal access </w:t>
      </w:r>
      <w:r w:rsidR="00B46A74">
        <w:t>for</w:t>
      </w:r>
      <w:r w:rsidR="00BD2EFC">
        <w:t xml:space="preserve"> disadvantaged groups are supported by international evidence. One examination found:</w:t>
      </w:r>
    </w:p>
    <w:p w:rsidR="00BD2EFC" w:rsidRDefault="00BD2EFC" w:rsidP="00DD30C7">
      <w:pPr>
        <w:ind w:left="720"/>
      </w:pPr>
      <w:r>
        <w:t xml:space="preserve">If the United States shifted its preschool policy from a focus </w:t>
      </w:r>
      <w:r w:rsidRPr="008F64F6">
        <w:t>on children in poverty to a universal approach,</w:t>
      </w:r>
      <w:r>
        <w:t xml:space="preserve"> </w:t>
      </w:r>
      <w:r w:rsidRPr="008F64F6">
        <w:t>benefits to children in poverty would increase while</w:t>
      </w:r>
      <w:r>
        <w:t xml:space="preserve"> </w:t>
      </w:r>
      <w:r w:rsidRPr="008F64F6">
        <w:t>other children benefitted as well.</w:t>
      </w:r>
      <w:r>
        <w:t xml:space="preserve"> </w:t>
      </w:r>
      <w:r w:rsidRPr="008F64F6">
        <w:t>Universal public preschool education would be at</w:t>
      </w:r>
      <w:r>
        <w:t xml:space="preserve"> </w:t>
      </w:r>
      <w:r w:rsidRPr="008F64F6">
        <w:t>least as educationally effective as the current targeted</w:t>
      </w:r>
      <w:r>
        <w:t xml:space="preserve"> </w:t>
      </w:r>
      <w:r w:rsidRPr="008F64F6">
        <w:t>approach, reach a much greater percentage of</w:t>
      </w:r>
      <w:r>
        <w:t xml:space="preserve"> </w:t>
      </w:r>
      <w:r w:rsidRPr="008F64F6">
        <w:t>children in poor and low-income families, and</w:t>
      </w:r>
      <w:r>
        <w:t xml:space="preserve"> </w:t>
      </w:r>
      <w:r w:rsidRPr="008F64F6">
        <w:t>provide educational benefits to children from middle</w:t>
      </w:r>
      <w:r>
        <w:t xml:space="preserve"> </w:t>
      </w:r>
      <w:r w:rsidRPr="008F64F6">
        <w:t>income</w:t>
      </w:r>
      <w:r>
        <w:t xml:space="preserve"> </w:t>
      </w:r>
      <w:r w:rsidRPr="008F64F6">
        <w:t>families.</w:t>
      </w:r>
      <w:r>
        <w:t xml:space="preserve"> </w:t>
      </w:r>
    </w:p>
    <w:p w:rsidR="00BD2EFC" w:rsidRPr="008F64F6" w:rsidRDefault="00BD2EFC" w:rsidP="00DD30C7">
      <w:pPr>
        <w:ind w:left="720"/>
      </w:pPr>
      <w:r w:rsidRPr="008F64F6">
        <w:t>Another source of increased effectiveness is peer effects on learning. In addition, parents from higher income families may be better advocates for quality</w:t>
      </w:r>
      <w:r w:rsidR="005D3558">
        <w:t>.</w:t>
      </w:r>
      <w:r w:rsidRPr="008F64F6">
        <w:t xml:space="preserve"> </w:t>
      </w:r>
    </w:p>
    <w:p w:rsidR="00BD2EFC" w:rsidRPr="008F64F6" w:rsidRDefault="00BD2EFC" w:rsidP="00DD30C7">
      <w:pPr>
        <w:ind w:left="720"/>
      </w:pPr>
      <w:r w:rsidRPr="008F64F6">
        <w:t>Even though a universal approach will cost more, the added benefits are likely to far exceed the added costs as universal public preschool education is likely to produce far gr</w:t>
      </w:r>
      <w:r>
        <w:t xml:space="preserve">eater economic benefits than an </w:t>
      </w:r>
      <w:r w:rsidRPr="008F64F6">
        <w:t>income-targeted approach.</w:t>
      </w:r>
      <w:r w:rsidRPr="008F64F6">
        <w:rPr>
          <w:vertAlign w:val="superscript"/>
        </w:rPr>
        <w:endnoteReference w:id="232"/>
      </w:r>
    </w:p>
    <w:p w:rsidR="00BD2EFC" w:rsidRDefault="00BD2EFC" w:rsidP="002D1B46">
      <w:r>
        <w:t xml:space="preserve">The Mitchell Institute considered the </w:t>
      </w:r>
      <w:r w:rsidR="00651A18">
        <w:t xml:space="preserve">international evidence base </w:t>
      </w:r>
      <w:r>
        <w:t xml:space="preserve">in </w:t>
      </w:r>
      <w:r w:rsidR="00651A18">
        <w:t xml:space="preserve">an </w:t>
      </w:r>
      <w:r>
        <w:t>Australian context and found:</w:t>
      </w:r>
    </w:p>
    <w:p w:rsidR="00BD2EFC" w:rsidRDefault="00BD2EFC" w:rsidP="00DD30C7">
      <w:pPr>
        <w:ind w:left="720"/>
      </w:pPr>
      <w:r>
        <w:t xml:space="preserve">Access to a high-quality preschool program is one of the few proven strategies for lifting outcomes for all children. </w:t>
      </w:r>
      <w:r w:rsidRPr="00D112A8">
        <w:t xml:space="preserve">Evidence from here and overseas shows that providing access to high-quality </w:t>
      </w:r>
      <w:r w:rsidR="00835C89">
        <w:t>three</w:t>
      </w:r>
      <w:r w:rsidR="00663A8C">
        <w:t xml:space="preserve"> </w:t>
      </w:r>
      <w:r w:rsidRPr="00D112A8">
        <w:t>year</w:t>
      </w:r>
      <w:r w:rsidR="00663A8C">
        <w:t xml:space="preserve"> </w:t>
      </w:r>
      <w:r w:rsidRPr="00D112A8">
        <w:t>old preschool programs lays the foundation for enduring success at school and in a range of outcomes that matter for future prosperity, including literacy, numeracy and social and emotional wellbeing.</w:t>
      </w:r>
    </w:p>
    <w:p w:rsidR="00BD2EFC" w:rsidRDefault="00BD2EFC" w:rsidP="00DD30C7">
      <w:pPr>
        <w:ind w:left="720"/>
      </w:pPr>
      <w:r w:rsidRPr="00D112A8">
        <w:t xml:space="preserve">Preschool programs that are accessible to all children are one of the best strategies we have to support children to develop the foundational skills they need to meet their potential and pursue their talents. </w:t>
      </w:r>
    </w:p>
    <w:p w:rsidR="00BD2EFC" w:rsidRDefault="00BD2EFC" w:rsidP="009725F4">
      <w:pPr>
        <w:ind w:left="720"/>
      </w:pPr>
      <w:r w:rsidRPr="00D112A8">
        <w:t>International evidence shows that two years of preschool has more impact than the one year currently provided in Australia.</w:t>
      </w:r>
      <w:r>
        <w:rPr>
          <w:rStyle w:val="EndnoteReference"/>
        </w:rPr>
        <w:endnoteReference w:id="233"/>
      </w:r>
    </w:p>
    <w:p w:rsidR="00A839DA" w:rsidRDefault="00A2620B" w:rsidP="00A839DA">
      <w:r>
        <w:t>It has been suggested that ‘</w:t>
      </w:r>
      <w:r w:rsidR="00A839DA">
        <w:t>more research evidence is needed to weigh up the value of universal (versus targeted) approaches in the Australian setting.</w:t>
      </w:r>
      <w:r>
        <w:t>’</w:t>
      </w:r>
      <w:r w:rsidR="00A839DA">
        <w:rPr>
          <w:rStyle w:val="EndnoteReference"/>
        </w:rPr>
        <w:endnoteReference w:id="234"/>
      </w:r>
      <w:r w:rsidR="00A839DA" w:rsidRPr="00A839DA">
        <w:t xml:space="preserve"> </w:t>
      </w:r>
      <w:r w:rsidR="00A839DA">
        <w:t xml:space="preserve">For example, the cultural, contextual and temporal differences in the some of the overseas studies compared </w:t>
      </w:r>
      <w:r w:rsidR="00B46A74">
        <w:t>with</w:t>
      </w:r>
      <w:r w:rsidR="00B46A74" w:rsidRPr="00336A43">
        <w:t xml:space="preserve"> </w:t>
      </w:r>
      <w:r w:rsidR="00B96A71">
        <w:t xml:space="preserve">the </w:t>
      </w:r>
      <w:r w:rsidR="00A839DA">
        <w:t xml:space="preserve">contemporary Australian context, and the challenges of untangling the effects of </w:t>
      </w:r>
      <w:r w:rsidR="00B46A74" w:rsidRPr="003C30CF">
        <w:t>three</w:t>
      </w:r>
      <w:r w:rsidR="00663A8C">
        <w:t xml:space="preserve"> </w:t>
      </w:r>
      <w:r w:rsidR="00B46A74" w:rsidRPr="003C30CF">
        <w:t>year</w:t>
      </w:r>
      <w:r w:rsidR="00663A8C">
        <w:t xml:space="preserve"> </w:t>
      </w:r>
      <w:r w:rsidR="00A839DA">
        <w:t>old preschool from other factors</w:t>
      </w:r>
      <w:r w:rsidR="00B96A71">
        <w:t>, are often cited as reasons to discount existing evidence</w:t>
      </w:r>
      <w:r w:rsidR="00A839DA">
        <w:t>.</w:t>
      </w:r>
    </w:p>
    <w:p w:rsidR="00A839DA" w:rsidRDefault="00A839DA" w:rsidP="00A839DA">
      <w:r>
        <w:t>There will always be challenges translating findings from different times and contexts to contemporary Australia. However, governments seek to make evidence-based decisions on the best information available. As outlined elsewhere in the report, some of the benefits of quality early childhood education only accrue decades after the intervention, when elements like higher wages and lower crime rates can be evident. If a randomised control trial about early childhood education had begun in Australia 35 years</w:t>
      </w:r>
      <w:r w:rsidR="00B946A2">
        <w:t xml:space="preserve"> </w:t>
      </w:r>
      <w:r>
        <w:t xml:space="preserve">ago, it could be producing robust evidence today. But there would still be arguments </w:t>
      </w:r>
      <w:r w:rsidR="00B46A74">
        <w:t xml:space="preserve">against its application; </w:t>
      </w:r>
      <w:r>
        <w:t>for example</w:t>
      </w:r>
      <w:r w:rsidR="00B46A74">
        <w:t>,</w:t>
      </w:r>
      <w:r>
        <w:t xml:space="preserve"> that Australian society has changed greatly in the intervening years or that the </w:t>
      </w:r>
      <w:r w:rsidR="00970C11">
        <w:t xml:space="preserve">early childhood education and care </w:t>
      </w:r>
      <w:r>
        <w:t xml:space="preserve">system had changed dramatically. Conversely, a randomised control trial commencing tomorrow, to fully capture contemporary settings and issues, would not produce </w:t>
      </w:r>
      <w:r w:rsidR="001F023B">
        <w:t xml:space="preserve">equivalent </w:t>
      </w:r>
      <w:r>
        <w:t xml:space="preserve">results for decades, when the same arguments would apply. </w:t>
      </w:r>
    </w:p>
    <w:p w:rsidR="00BD2EFC" w:rsidRDefault="00BD2EFC" w:rsidP="00DD30C7">
      <w:r>
        <w:t>The Review finds the case for universal access to early childhood education</w:t>
      </w:r>
      <w:r w:rsidR="00A839DA">
        <w:t xml:space="preserve"> for three year olds compelling</w:t>
      </w:r>
      <w:r>
        <w:t xml:space="preserve">. </w:t>
      </w:r>
      <w:r w:rsidR="00A839DA">
        <w:t xml:space="preserve">The national and international research, and the </w:t>
      </w:r>
      <w:r w:rsidR="00B96A71">
        <w:t>level</w:t>
      </w:r>
      <w:r w:rsidR="00A839DA">
        <w:t xml:space="preserve"> of provision in comparable jurisdictions, is more than sufficient to support the claims of the benefits of universal early childhood education, and to justify </w:t>
      </w:r>
      <w:r w:rsidR="00B96A71">
        <w:t xml:space="preserve">further </w:t>
      </w:r>
      <w:r w:rsidR="00A839DA">
        <w:t>investment in this critical foundational area.</w:t>
      </w:r>
    </w:p>
    <w:p w:rsidR="00BD2EFC" w:rsidRDefault="00BD2EFC" w:rsidP="007B42A2">
      <w:r>
        <w:t>The fact that all children benefit from early childhood education but some benefit more</w:t>
      </w:r>
      <w:r w:rsidR="00776EC3">
        <w:t>,</w:t>
      </w:r>
      <w:r>
        <w:t xml:space="preserve"> because of their disadvantage or vulnerability</w:t>
      </w:r>
      <w:r w:rsidR="00776EC3">
        <w:t>,</w:t>
      </w:r>
      <w:r>
        <w:t xml:space="preserve"> is not a reason to stop short of universal provision. </w:t>
      </w:r>
      <w:r w:rsidR="00A340DC">
        <w:t>Individuals living in circumstances of disadvantage</w:t>
      </w:r>
      <w:r>
        <w:t xml:space="preserve"> benefit from a variety of government program</w:t>
      </w:r>
      <w:r w:rsidR="001F023B">
        <w:t>s and services more than others</w:t>
      </w:r>
      <w:r w:rsidR="004164F8">
        <w:t xml:space="preserve">; </w:t>
      </w:r>
      <w:r>
        <w:t xml:space="preserve">this is inherent in the nature of universal services and disadvantage. While there will always be a need to prioritise government expenditure, the question is what is the best investment </w:t>
      </w:r>
      <w:r w:rsidR="004B0752">
        <w:t xml:space="preserve">to make for the </w:t>
      </w:r>
      <w:r w:rsidR="004B0752" w:rsidRPr="009772C8">
        <w:t>long</w:t>
      </w:r>
      <w:r w:rsidR="004164F8">
        <w:t>er</w:t>
      </w:r>
      <w:r w:rsidR="004B0752">
        <w:t xml:space="preserve"> term across all possible initiatives, not just within early childhood. </w:t>
      </w:r>
      <w:r>
        <w:t xml:space="preserve">Targeted interventions can be very effective in addressing equity concerns. But if Australia is seeking to achieve educational excellence, it requires a universal service. </w:t>
      </w:r>
    </w:p>
    <w:p w:rsidR="00BD2EFC" w:rsidRDefault="00BD2EFC" w:rsidP="00DD30C7">
      <w:r>
        <w:t>There are a number of ways to design an early childhood education system that recognises that all children benefit from early childhood education, but some benefit more</w:t>
      </w:r>
      <w:r w:rsidR="001F023B">
        <w:t xml:space="preserve"> or require additional support</w:t>
      </w:r>
      <w:r>
        <w:t>.</w:t>
      </w:r>
      <w:r w:rsidR="00C56156">
        <w:t xml:space="preserve"> This is</w:t>
      </w:r>
      <w:r w:rsidR="00993A9C">
        <w:t xml:space="preserve"> known as a </w:t>
      </w:r>
      <w:r w:rsidR="0072589D">
        <w:t>proportionate universalism approach</w:t>
      </w:r>
      <w:r w:rsidR="003C5010">
        <w:t>.</w:t>
      </w:r>
      <w:r>
        <w:t xml:space="preserve"> For example, disadvantaged children can receive a greater subsidy or free access (promoting participation), more hours per week, a more intense experience</w:t>
      </w:r>
      <w:r w:rsidR="003C5010">
        <w:t xml:space="preserve"> </w:t>
      </w:r>
      <w:r>
        <w:t>(e.g. higher qualified teachers or a higher educator</w:t>
      </w:r>
      <w:r w:rsidR="005D3558">
        <w:t>-</w:t>
      </w:r>
      <w:r>
        <w:t>to</w:t>
      </w:r>
      <w:r w:rsidR="005D3558">
        <w:t>-</w:t>
      </w:r>
      <w:r>
        <w:t>child ratio), or additional supports (e.g. access to allied health professionals). This is consistent with the concept of needs</w:t>
      </w:r>
      <w:r w:rsidR="004164F8">
        <w:t>-</w:t>
      </w:r>
      <w:r>
        <w:t>based funding in schools – some children need more support to achieve the same outcome</w:t>
      </w:r>
      <w:r w:rsidR="00511515">
        <w:t xml:space="preserve"> (see s</w:t>
      </w:r>
      <w:r w:rsidR="004D0BC9">
        <w:t>chool readiness funding example below)</w:t>
      </w:r>
      <w:r>
        <w:t>.</w:t>
      </w:r>
    </w:p>
    <w:tbl>
      <w:tblPr>
        <w:tblStyle w:val="TableGrid"/>
        <w:tblW w:w="0" w:type="auto"/>
        <w:tblLook w:val="04A0" w:firstRow="1" w:lastRow="0" w:firstColumn="1" w:lastColumn="0" w:noHBand="0" w:noVBand="1"/>
      </w:tblPr>
      <w:tblGrid>
        <w:gridCol w:w="9242"/>
      </w:tblGrid>
      <w:tr w:rsidR="004D0BC9" w:rsidTr="00C87CDE">
        <w:tc>
          <w:tcPr>
            <w:tcW w:w="9242" w:type="dxa"/>
          </w:tcPr>
          <w:p w:rsidR="004D0BC9" w:rsidRPr="00F7764E" w:rsidRDefault="004D0BC9" w:rsidP="00C87CDE">
            <w:pPr>
              <w:rPr>
                <w:b/>
              </w:rPr>
            </w:pPr>
            <w:r w:rsidRPr="00F7764E">
              <w:rPr>
                <w:b/>
              </w:rPr>
              <w:t xml:space="preserve">School </w:t>
            </w:r>
            <w:r w:rsidR="005D3558">
              <w:rPr>
                <w:b/>
              </w:rPr>
              <w:t>R</w:t>
            </w:r>
            <w:r w:rsidRPr="00F7764E">
              <w:rPr>
                <w:b/>
              </w:rPr>
              <w:t xml:space="preserve">eadiness </w:t>
            </w:r>
            <w:r w:rsidR="005D3558">
              <w:rPr>
                <w:b/>
              </w:rPr>
              <w:t>F</w:t>
            </w:r>
            <w:r w:rsidRPr="00F7764E">
              <w:rPr>
                <w:b/>
              </w:rPr>
              <w:t>unding</w:t>
            </w:r>
            <w:r w:rsidR="004164F8">
              <w:rPr>
                <w:b/>
              </w:rPr>
              <w:t>, Victoria</w:t>
            </w:r>
          </w:p>
          <w:p w:rsidR="004D0BC9" w:rsidRPr="00C2786F" w:rsidRDefault="004D0BC9" w:rsidP="00C87CDE">
            <w:pPr>
              <w:spacing w:after="160" w:line="252" w:lineRule="auto"/>
              <w:contextualSpacing/>
              <w:rPr>
                <w:rFonts w:ascii="Calibri" w:eastAsia="Times New Roman" w:hAnsi="Calibri" w:cs="Times New Roman"/>
                <w:lang w:eastAsia="en-AU"/>
              </w:rPr>
            </w:pPr>
            <w:r>
              <w:rPr>
                <w:rFonts w:ascii="Calibri" w:eastAsia="Times New Roman" w:hAnsi="Calibri" w:cs="Times New Roman"/>
                <w:lang w:eastAsia="en-AU"/>
              </w:rPr>
              <w:t xml:space="preserve">School readiness funding </w:t>
            </w:r>
            <w:r w:rsidR="008059B8">
              <w:rPr>
                <w:rFonts w:ascii="Calibri" w:eastAsia="Times New Roman" w:hAnsi="Calibri" w:cs="Times New Roman"/>
                <w:lang w:eastAsia="en-AU"/>
              </w:rPr>
              <w:t>will provide</w:t>
            </w:r>
            <w:r>
              <w:rPr>
                <w:rFonts w:ascii="Calibri" w:eastAsia="Times New Roman" w:hAnsi="Calibri" w:cs="Times New Roman"/>
                <w:lang w:eastAsia="en-AU"/>
              </w:rPr>
              <w:t xml:space="preserve"> Victorian kindergarten s</w:t>
            </w:r>
            <w:r w:rsidRPr="00C2786F">
              <w:rPr>
                <w:rFonts w:ascii="Calibri" w:eastAsia="Times New Roman" w:hAnsi="Calibri" w:cs="Times New Roman"/>
                <w:lang w:eastAsia="en-AU"/>
              </w:rPr>
              <w:t xml:space="preserve">ervices </w:t>
            </w:r>
            <w:r>
              <w:rPr>
                <w:rFonts w:ascii="Calibri" w:eastAsia="Times New Roman" w:hAnsi="Calibri" w:cs="Times New Roman"/>
                <w:lang w:eastAsia="en-AU"/>
              </w:rPr>
              <w:t xml:space="preserve">with </w:t>
            </w:r>
            <w:r w:rsidRPr="00C2786F">
              <w:rPr>
                <w:rFonts w:ascii="Calibri" w:eastAsia="Times New Roman" w:hAnsi="Calibri" w:cs="Times New Roman"/>
                <w:lang w:eastAsia="en-AU"/>
              </w:rPr>
              <w:t xml:space="preserve">additional </w:t>
            </w:r>
            <w:r w:rsidR="00085638">
              <w:rPr>
                <w:rFonts w:ascii="Calibri" w:eastAsia="Times New Roman" w:hAnsi="Calibri" w:cs="Times New Roman"/>
                <w:lang w:eastAsia="en-AU"/>
              </w:rPr>
              <w:t xml:space="preserve">resources </w:t>
            </w:r>
            <w:r w:rsidRPr="00C2786F">
              <w:rPr>
                <w:rFonts w:ascii="Calibri" w:eastAsia="Times New Roman" w:hAnsi="Calibri" w:cs="Times New Roman"/>
                <w:lang w:eastAsia="en-AU"/>
              </w:rPr>
              <w:t>to</w:t>
            </w:r>
            <w:r w:rsidR="00B3650E">
              <w:rPr>
                <w:rFonts w:ascii="Calibri" w:eastAsia="Times New Roman" w:hAnsi="Calibri" w:cs="Times New Roman"/>
                <w:lang w:eastAsia="en-AU"/>
              </w:rPr>
              <w:t xml:space="preserve"> </w:t>
            </w:r>
            <w:r w:rsidR="00085638">
              <w:rPr>
                <w:rFonts w:ascii="Calibri" w:eastAsia="Times New Roman" w:hAnsi="Calibri" w:cs="Times New Roman"/>
                <w:lang w:eastAsia="en-AU"/>
              </w:rPr>
              <w:t xml:space="preserve">better </w:t>
            </w:r>
            <w:r w:rsidRPr="00C2786F">
              <w:rPr>
                <w:rFonts w:ascii="Calibri" w:eastAsia="Times New Roman" w:hAnsi="Calibri" w:cs="Times New Roman"/>
                <w:lang w:eastAsia="en-AU"/>
              </w:rPr>
              <w:t xml:space="preserve">support the children who need </w:t>
            </w:r>
            <w:r w:rsidR="00085638">
              <w:rPr>
                <w:rFonts w:ascii="Calibri" w:eastAsia="Times New Roman" w:hAnsi="Calibri" w:cs="Times New Roman"/>
                <w:lang w:eastAsia="en-AU"/>
              </w:rPr>
              <w:t>more help to reach school developmentally on track</w:t>
            </w:r>
            <w:r w:rsidR="00085638" w:rsidRPr="00B90C06">
              <w:rPr>
                <w:rFonts w:ascii="Calibri" w:eastAsia="Times New Roman" w:hAnsi="Calibri" w:cs="Times New Roman"/>
                <w:lang w:eastAsia="en-AU"/>
              </w:rPr>
              <w:t>.</w:t>
            </w:r>
            <w:r w:rsidR="00085638">
              <w:rPr>
                <w:rFonts w:ascii="Calibri" w:eastAsia="Times New Roman" w:hAnsi="Calibri" w:cs="Times New Roman"/>
                <w:lang w:eastAsia="en-AU"/>
              </w:rPr>
              <w:t xml:space="preserve"> It </w:t>
            </w:r>
            <w:r w:rsidRPr="00C2786F">
              <w:rPr>
                <w:rFonts w:ascii="Calibri" w:eastAsia="Times New Roman" w:hAnsi="Calibri" w:cs="Times New Roman"/>
                <w:lang w:eastAsia="en-AU"/>
              </w:rPr>
              <w:t>increase</w:t>
            </w:r>
            <w:r w:rsidR="00085638">
              <w:rPr>
                <w:rFonts w:ascii="Calibri" w:eastAsia="Times New Roman" w:hAnsi="Calibri" w:cs="Times New Roman"/>
                <w:lang w:eastAsia="en-AU"/>
              </w:rPr>
              <w:t>s</w:t>
            </w:r>
            <w:r w:rsidRPr="00C2786F">
              <w:rPr>
                <w:rFonts w:ascii="Calibri" w:eastAsia="Times New Roman" w:hAnsi="Calibri" w:cs="Times New Roman"/>
                <w:lang w:eastAsia="en-AU"/>
              </w:rPr>
              <w:t xml:space="preserve"> </w:t>
            </w:r>
            <w:r w:rsidR="00085638">
              <w:rPr>
                <w:rFonts w:ascii="Calibri" w:eastAsia="Times New Roman" w:hAnsi="Calibri" w:cs="Times New Roman"/>
                <w:lang w:eastAsia="en-AU"/>
              </w:rPr>
              <w:t xml:space="preserve">the </w:t>
            </w:r>
            <w:r w:rsidRPr="00C2786F">
              <w:rPr>
                <w:rFonts w:ascii="Calibri" w:eastAsia="Times New Roman" w:hAnsi="Calibri" w:cs="Times New Roman"/>
                <w:lang w:eastAsia="en-AU"/>
              </w:rPr>
              <w:t>total kindergarten system funding</w:t>
            </w:r>
            <w:r>
              <w:rPr>
                <w:rFonts w:ascii="Calibri" w:eastAsia="Times New Roman" w:hAnsi="Calibri" w:cs="Times New Roman"/>
                <w:lang w:eastAsia="en-AU"/>
              </w:rPr>
              <w:t xml:space="preserve"> in Victoria</w:t>
            </w:r>
            <w:r w:rsidR="00085638">
              <w:rPr>
                <w:rFonts w:ascii="Calibri" w:eastAsia="Times New Roman" w:hAnsi="Calibri" w:cs="Times New Roman"/>
                <w:lang w:eastAsia="en-AU"/>
              </w:rPr>
              <w:t xml:space="preserve"> by about 10 per cent</w:t>
            </w:r>
            <w:r w:rsidRPr="00C2786F">
              <w:rPr>
                <w:rFonts w:ascii="Calibri" w:eastAsia="Times New Roman" w:hAnsi="Calibri" w:cs="Times New Roman"/>
                <w:lang w:eastAsia="en-AU"/>
              </w:rPr>
              <w:t>.</w:t>
            </w:r>
            <w:r>
              <w:rPr>
                <w:rFonts w:ascii="Calibri" w:eastAsia="Times New Roman" w:hAnsi="Calibri" w:cs="Times New Roman"/>
                <w:lang w:eastAsia="en-AU"/>
              </w:rPr>
              <w:t xml:space="preserve"> </w:t>
            </w:r>
            <w:r w:rsidR="00B3650E">
              <w:rPr>
                <w:rFonts w:ascii="Calibri" w:eastAsia="Times New Roman" w:hAnsi="Calibri" w:cs="Times New Roman"/>
                <w:lang w:eastAsia="en-AU"/>
              </w:rPr>
              <w:t>Similar to needs</w:t>
            </w:r>
            <w:r w:rsidR="00B90C06">
              <w:rPr>
                <w:rFonts w:ascii="Calibri" w:eastAsia="Times New Roman" w:hAnsi="Calibri" w:cs="Times New Roman"/>
                <w:lang w:eastAsia="en-AU"/>
              </w:rPr>
              <w:t>-</w:t>
            </w:r>
            <w:r w:rsidR="00B3650E">
              <w:rPr>
                <w:rFonts w:ascii="Calibri" w:eastAsia="Times New Roman" w:hAnsi="Calibri" w:cs="Times New Roman"/>
                <w:lang w:eastAsia="en-AU"/>
              </w:rPr>
              <w:t xml:space="preserve">based funding in schools, the </w:t>
            </w:r>
            <w:r>
              <w:rPr>
                <w:rFonts w:ascii="Calibri" w:eastAsia="Times New Roman" w:hAnsi="Calibri" w:cs="Times New Roman"/>
                <w:lang w:eastAsia="en-AU"/>
              </w:rPr>
              <w:t xml:space="preserve">amount of funding that </w:t>
            </w:r>
            <w:r w:rsidR="00B3650E">
              <w:rPr>
                <w:rFonts w:ascii="Calibri" w:eastAsia="Times New Roman" w:hAnsi="Calibri" w:cs="Times New Roman"/>
                <w:lang w:eastAsia="en-AU"/>
              </w:rPr>
              <w:t>a service</w:t>
            </w:r>
            <w:r>
              <w:rPr>
                <w:rFonts w:ascii="Calibri" w:eastAsia="Times New Roman" w:hAnsi="Calibri" w:cs="Times New Roman"/>
                <w:lang w:eastAsia="en-AU"/>
              </w:rPr>
              <w:t xml:space="preserve"> will receive will depend on </w:t>
            </w:r>
            <w:r w:rsidR="00B3650E">
              <w:rPr>
                <w:rFonts w:ascii="Calibri" w:eastAsia="Times New Roman" w:hAnsi="Calibri" w:cs="Times New Roman"/>
                <w:lang w:eastAsia="en-AU"/>
              </w:rPr>
              <w:t>the number and concentration of students at their service facing</w:t>
            </w:r>
            <w:r>
              <w:rPr>
                <w:rFonts w:ascii="Calibri" w:eastAsia="Times New Roman" w:hAnsi="Calibri" w:cs="Times New Roman"/>
                <w:lang w:eastAsia="en-AU"/>
              </w:rPr>
              <w:t xml:space="preserve"> educational disadvantage</w:t>
            </w:r>
            <w:r w:rsidR="00B3650E">
              <w:rPr>
                <w:rFonts w:ascii="Calibri" w:eastAsia="Times New Roman" w:hAnsi="Calibri" w:cs="Times New Roman"/>
                <w:lang w:eastAsia="en-AU"/>
              </w:rPr>
              <w:t xml:space="preserve">, and the level of disadvantage faced. </w:t>
            </w:r>
          </w:p>
          <w:p w:rsidR="004D0BC9" w:rsidRDefault="004D0BC9" w:rsidP="00C87CDE">
            <w:pPr>
              <w:spacing w:after="160" w:line="252" w:lineRule="auto"/>
              <w:contextualSpacing/>
              <w:rPr>
                <w:rFonts w:ascii="Calibri" w:eastAsia="Times New Roman" w:hAnsi="Calibri" w:cs="Times New Roman"/>
                <w:lang w:eastAsia="en-AU"/>
              </w:rPr>
            </w:pPr>
          </w:p>
          <w:p w:rsidR="004D0BC9" w:rsidRPr="00C2786F" w:rsidRDefault="004D0BC9" w:rsidP="00C87CDE">
            <w:pPr>
              <w:spacing w:after="160" w:line="252" w:lineRule="auto"/>
              <w:contextualSpacing/>
              <w:rPr>
                <w:rFonts w:ascii="Calibri" w:eastAsia="Times New Roman" w:hAnsi="Calibri" w:cs="Times New Roman"/>
                <w:lang w:eastAsia="en-AU"/>
              </w:rPr>
            </w:pPr>
            <w:r w:rsidRPr="00C2786F">
              <w:rPr>
                <w:rFonts w:ascii="Calibri" w:eastAsia="Times New Roman" w:hAnsi="Calibri" w:cs="Times New Roman"/>
                <w:lang w:eastAsia="en-AU"/>
              </w:rPr>
              <w:t xml:space="preserve">School readiness funding will resource services </w:t>
            </w:r>
            <w:r w:rsidR="00085638">
              <w:rPr>
                <w:rFonts w:ascii="Calibri" w:eastAsia="Times New Roman" w:hAnsi="Calibri" w:cs="Times New Roman"/>
                <w:lang w:eastAsia="en-AU"/>
              </w:rPr>
              <w:t xml:space="preserve">with a kindergarten program </w:t>
            </w:r>
            <w:r w:rsidRPr="00C2786F">
              <w:rPr>
                <w:rFonts w:ascii="Calibri" w:eastAsia="Times New Roman" w:hAnsi="Calibri" w:cs="Times New Roman"/>
                <w:lang w:eastAsia="en-AU"/>
              </w:rPr>
              <w:t xml:space="preserve">to provide </w:t>
            </w:r>
            <w:r>
              <w:rPr>
                <w:rFonts w:ascii="Calibri" w:eastAsia="Times New Roman" w:hAnsi="Calibri" w:cs="Times New Roman"/>
                <w:lang w:eastAsia="en-AU"/>
              </w:rPr>
              <w:t xml:space="preserve">appropriate, </w:t>
            </w:r>
            <w:r w:rsidRPr="00C2786F">
              <w:rPr>
                <w:rFonts w:ascii="Calibri" w:eastAsia="Times New Roman" w:hAnsi="Calibri" w:cs="Times New Roman"/>
                <w:lang w:eastAsia="en-AU"/>
              </w:rPr>
              <w:t xml:space="preserve">evidence-based interventions that </w:t>
            </w:r>
            <w:r w:rsidR="00085638">
              <w:rPr>
                <w:rFonts w:ascii="Calibri" w:eastAsia="Times New Roman" w:hAnsi="Calibri" w:cs="Times New Roman"/>
                <w:lang w:eastAsia="en-AU"/>
              </w:rPr>
              <w:t xml:space="preserve">build the capability of staff and work directly with </w:t>
            </w:r>
            <w:r w:rsidRPr="00C2786F">
              <w:rPr>
                <w:rFonts w:ascii="Calibri" w:eastAsia="Times New Roman" w:hAnsi="Calibri" w:cs="Times New Roman"/>
                <w:lang w:eastAsia="en-AU"/>
              </w:rPr>
              <w:t>child</w:t>
            </w:r>
            <w:r>
              <w:rPr>
                <w:rFonts w:ascii="Calibri" w:eastAsia="Times New Roman" w:hAnsi="Calibri" w:cs="Times New Roman"/>
                <w:lang w:eastAsia="en-AU"/>
              </w:rPr>
              <w:t>ren, for example:</w:t>
            </w:r>
          </w:p>
          <w:p w:rsidR="00085638" w:rsidRDefault="00085638" w:rsidP="00375FB1">
            <w:pPr>
              <w:numPr>
                <w:ilvl w:val="0"/>
                <w:numId w:val="13"/>
              </w:numPr>
              <w:spacing w:before="120" w:line="252" w:lineRule="auto"/>
              <w:ind w:left="720"/>
              <w:contextualSpacing/>
              <w:rPr>
                <w:rFonts w:ascii="Calibri" w:eastAsia="Times New Roman" w:hAnsi="Calibri" w:cs="Times New Roman"/>
                <w:lang w:eastAsia="en-AU"/>
              </w:rPr>
            </w:pPr>
            <w:r w:rsidRPr="00085638">
              <w:rPr>
                <w:rFonts w:ascii="Calibri" w:eastAsia="Times New Roman" w:hAnsi="Calibri" w:cs="Times New Roman"/>
                <w:lang w:eastAsia="en-AU"/>
              </w:rPr>
              <w:t>resources and curriculum for specialised programs</w:t>
            </w:r>
          </w:p>
          <w:p w:rsidR="004D0BC9" w:rsidRPr="00085638" w:rsidRDefault="004D0BC9" w:rsidP="00375FB1">
            <w:pPr>
              <w:numPr>
                <w:ilvl w:val="0"/>
                <w:numId w:val="13"/>
              </w:numPr>
              <w:spacing w:before="120" w:line="252" w:lineRule="auto"/>
              <w:ind w:left="720"/>
              <w:contextualSpacing/>
              <w:rPr>
                <w:rFonts w:ascii="Calibri" w:eastAsia="Times New Roman" w:hAnsi="Calibri" w:cs="Times New Roman"/>
                <w:lang w:eastAsia="en-AU"/>
              </w:rPr>
            </w:pPr>
            <w:r w:rsidRPr="00085638">
              <w:rPr>
                <w:rFonts w:ascii="Calibri" w:eastAsia="Times New Roman" w:hAnsi="Calibri" w:cs="Times New Roman"/>
                <w:lang w:eastAsia="en-AU"/>
              </w:rPr>
              <w:t>child psychologist</w:t>
            </w:r>
            <w:r w:rsidR="000154F5">
              <w:rPr>
                <w:rFonts w:ascii="Calibri" w:eastAsia="Times New Roman" w:hAnsi="Calibri" w:cs="Times New Roman"/>
                <w:lang w:eastAsia="en-AU"/>
              </w:rPr>
              <w:t>s</w:t>
            </w:r>
            <w:r w:rsidRPr="00085638">
              <w:rPr>
                <w:rFonts w:ascii="Calibri" w:eastAsia="Times New Roman" w:hAnsi="Calibri" w:cs="Times New Roman"/>
                <w:lang w:eastAsia="en-AU"/>
              </w:rPr>
              <w:t xml:space="preserve"> or other health professionals</w:t>
            </w:r>
            <w:r w:rsidR="000154F5">
              <w:rPr>
                <w:rFonts w:ascii="Calibri" w:eastAsia="Times New Roman" w:hAnsi="Calibri" w:cs="Times New Roman"/>
                <w:lang w:eastAsia="en-AU"/>
              </w:rPr>
              <w:t>,</w:t>
            </w:r>
            <w:r w:rsidRPr="00085638">
              <w:rPr>
                <w:rFonts w:ascii="Calibri" w:eastAsia="Times New Roman" w:hAnsi="Calibri" w:cs="Times New Roman"/>
                <w:lang w:eastAsia="en-AU"/>
              </w:rPr>
              <w:t xml:space="preserve"> to </w:t>
            </w:r>
            <w:r w:rsidR="000154F5">
              <w:rPr>
                <w:rFonts w:ascii="Calibri" w:eastAsia="Times New Roman" w:hAnsi="Calibri" w:cs="Times New Roman"/>
                <w:lang w:eastAsia="en-AU"/>
              </w:rPr>
              <w:t xml:space="preserve">work with children and </w:t>
            </w:r>
            <w:r w:rsidR="00085638">
              <w:rPr>
                <w:rFonts w:ascii="Calibri" w:eastAsia="Times New Roman" w:hAnsi="Calibri" w:cs="Times New Roman"/>
                <w:lang w:eastAsia="en-AU"/>
              </w:rPr>
              <w:t>build the skills of staff</w:t>
            </w:r>
          </w:p>
          <w:p w:rsidR="004D0BC9" w:rsidRDefault="00B3650E" w:rsidP="00375FB1">
            <w:pPr>
              <w:numPr>
                <w:ilvl w:val="0"/>
                <w:numId w:val="13"/>
              </w:numPr>
              <w:spacing w:before="120" w:line="252" w:lineRule="auto"/>
              <w:ind w:left="720"/>
              <w:contextualSpacing/>
              <w:rPr>
                <w:rFonts w:ascii="Calibri" w:eastAsia="Times New Roman" w:hAnsi="Calibri" w:cs="Times New Roman"/>
                <w:lang w:eastAsia="en-AU"/>
              </w:rPr>
            </w:pPr>
            <w:r>
              <w:rPr>
                <w:rFonts w:ascii="Calibri" w:eastAsia="Times New Roman" w:hAnsi="Calibri" w:cs="Times New Roman"/>
                <w:lang w:eastAsia="en-AU"/>
              </w:rPr>
              <w:t xml:space="preserve">employment of </w:t>
            </w:r>
            <w:r w:rsidR="00085638">
              <w:rPr>
                <w:rFonts w:ascii="Calibri" w:eastAsia="Times New Roman" w:hAnsi="Calibri" w:cs="Times New Roman"/>
                <w:lang w:eastAsia="en-AU"/>
              </w:rPr>
              <w:t xml:space="preserve">additional </w:t>
            </w:r>
            <w:r w:rsidR="004D0BC9" w:rsidRPr="00C2786F">
              <w:rPr>
                <w:rFonts w:ascii="Calibri" w:eastAsia="Times New Roman" w:hAnsi="Calibri" w:cs="Times New Roman"/>
                <w:lang w:eastAsia="en-AU"/>
              </w:rPr>
              <w:t>staff member</w:t>
            </w:r>
            <w:r w:rsidR="00085638">
              <w:rPr>
                <w:rFonts w:ascii="Calibri" w:eastAsia="Times New Roman" w:hAnsi="Calibri" w:cs="Times New Roman"/>
                <w:lang w:eastAsia="en-AU"/>
              </w:rPr>
              <w:t>s</w:t>
            </w:r>
            <w:r w:rsidR="004D0BC9" w:rsidRPr="00C2786F">
              <w:rPr>
                <w:rFonts w:ascii="Calibri" w:eastAsia="Times New Roman" w:hAnsi="Calibri" w:cs="Times New Roman"/>
                <w:lang w:eastAsia="en-AU"/>
              </w:rPr>
              <w:t>.</w:t>
            </w:r>
          </w:p>
          <w:p w:rsidR="004D0BC9" w:rsidRPr="00C2786F" w:rsidRDefault="004D0BC9" w:rsidP="00C87CDE">
            <w:pPr>
              <w:spacing w:before="120" w:line="252" w:lineRule="auto"/>
              <w:ind w:left="360"/>
              <w:contextualSpacing/>
              <w:rPr>
                <w:rFonts w:ascii="Calibri" w:eastAsia="Times New Roman" w:hAnsi="Calibri" w:cs="Times New Roman"/>
                <w:lang w:eastAsia="en-AU"/>
              </w:rPr>
            </w:pPr>
          </w:p>
          <w:p w:rsidR="004D0BC9" w:rsidRDefault="004D0BC9" w:rsidP="00C06BE3">
            <w:pPr>
              <w:rPr>
                <w:b/>
              </w:rPr>
            </w:pPr>
            <w:r>
              <w:t xml:space="preserve">Source: Department of Education and Training, </w:t>
            </w:r>
            <w:r w:rsidR="00C06BE3">
              <w:t>VIC</w:t>
            </w:r>
          </w:p>
        </w:tc>
      </w:tr>
    </w:tbl>
    <w:p w:rsidR="004D0BC9" w:rsidRDefault="004D0BC9" w:rsidP="004D0BC9"/>
    <w:p w:rsidR="00BD2EFC" w:rsidRDefault="00BD2EFC" w:rsidP="00A516DA">
      <w:pPr>
        <w:ind w:left="720"/>
        <w:rPr>
          <w:rFonts w:asciiTheme="majorHAnsi" w:eastAsiaTheme="majorEastAsia" w:hAnsiTheme="majorHAnsi" w:cstheme="majorBidi"/>
          <w:b/>
          <w:bCs/>
          <w:color w:val="365F91" w:themeColor="accent1" w:themeShade="BF"/>
          <w:sz w:val="28"/>
          <w:szCs w:val="28"/>
        </w:rPr>
      </w:pPr>
      <w:r>
        <w:br w:type="page"/>
      </w:r>
    </w:p>
    <w:p w:rsidR="00BD2EFC" w:rsidRDefault="0063470E" w:rsidP="00AB4B60">
      <w:pPr>
        <w:pStyle w:val="Heading1"/>
      </w:pPr>
      <w:bookmarkStart w:id="30" w:name="_Toc373586259"/>
      <w:bookmarkStart w:id="31" w:name="_Toc500850777"/>
      <w:r>
        <w:t xml:space="preserve">4.3 </w:t>
      </w:r>
      <w:r w:rsidR="00BD2EFC" w:rsidRPr="00891B97">
        <w:t>Education, care and the opportunity for a ‘double dividend’</w:t>
      </w:r>
      <w:bookmarkEnd w:id="30"/>
      <w:bookmarkEnd w:id="31"/>
    </w:p>
    <w:p w:rsidR="00322514" w:rsidRDefault="00322514" w:rsidP="00AA411D"/>
    <w:p w:rsidR="00AA411D" w:rsidRDefault="00AA411D" w:rsidP="00AA411D">
      <w:r>
        <w:t xml:space="preserve">The </w:t>
      </w:r>
      <w:r w:rsidR="00DB2110">
        <w:t xml:space="preserve">long-term objective of integrating </w:t>
      </w:r>
      <w:r>
        <w:t>education and care was the subject of some discussion through</w:t>
      </w:r>
      <w:r w:rsidR="00322514">
        <w:t>out</w:t>
      </w:r>
      <w:r>
        <w:t xml:space="preserve"> the Review’s consultations. </w:t>
      </w:r>
      <w:r w:rsidR="00995282">
        <w:t xml:space="preserve">While </w:t>
      </w:r>
      <w:r>
        <w:t>Australia’s current approach to early childhood education and care</w:t>
      </w:r>
      <w:r w:rsidRPr="00085830">
        <w:t xml:space="preserve"> </w:t>
      </w:r>
      <w:r>
        <w:t>was identified as providing a range of service delivery options for parents</w:t>
      </w:r>
      <w:r w:rsidR="00995282">
        <w:t xml:space="preserve">, concerns were raised about the lack of alignment between funding streams, policy objectives and subsidy </w:t>
      </w:r>
      <w:r w:rsidR="00A605F1">
        <w:t xml:space="preserve">eligibility. </w:t>
      </w:r>
      <w:r w:rsidR="00492CB6">
        <w:t>This</w:t>
      </w:r>
      <w:r w:rsidR="00995282">
        <w:t xml:space="preserve"> lack of alignment means that Australia misses out on the double dividend that could result from a system with a dual focus on enhancing children’s learning and development</w:t>
      </w:r>
      <w:r w:rsidR="005D3558">
        <w:t>,</w:t>
      </w:r>
      <w:r w:rsidR="00995282">
        <w:t xml:space="preserve"> </w:t>
      </w:r>
      <w:r w:rsidR="00995282" w:rsidRPr="00D51254">
        <w:t xml:space="preserve">and </w:t>
      </w:r>
      <w:r w:rsidR="00995282">
        <w:t>supporting workforce participation.</w:t>
      </w:r>
      <w:r w:rsidR="003C37BA">
        <w:t xml:space="preserve"> </w:t>
      </w:r>
    </w:p>
    <w:p w:rsidR="00AA411D" w:rsidRDefault="00AA411D" w:rsidP="00AA411D">
      <w:r>
        <w:t xml:space="preserve">The </w:t>
      </w:r>
      <w:r w:rsidR="00492CB6">
        <w:t>past</w:t>
      </w:r>
      <w:r>
        <w:t xml:space="preserve"> decade of reform </w:t>
      </w:r>
      <w:r w:rsidR="00511515">
        <w:t xml:space="preserve">in Australia </w:t>
      </w:r>
      <w:r>
        <w:t xml:space="preserve">has </w:t>
      </w:r>
      <w:r w:rsidR="00995282">
        <w:t xml:space="preserve">begun </w:t>
      </w:r>
      <w:r>
        <w:t xml:space="preserve">to bring greater cohesion across the early childhood education and care sector. </w:t>
      </w:r>
      <w:r w:rsidR="00995282">
        <w:t>T</w:t>
      </w:r>
      <w:r>
        <w:t xml:space="preserve">he National Quality Framework </w:t>
      </w:r>
      <w:r w:rsidR="00511515">
        <w:t xml:space="preserve">has </w:t>
      </w:r>
      <w:r w:rsidR="00322514">
        <w:t xml:space="preserve">brought most </w:t>
      </w:r>
      <w:r w:rsidR="00A7047A">
        <w:t xml:space="preserve">early childhood education and care </w:t>
      </w:r>
      <w:r>
        <w:t>services – including long day care and preschools – under a single, consistent regulatory and quality framework</w:t>
      </w:r>
      <w:r w:rsidR="00995282">
        <w:t xml:space="preserve">, and this is a significant step </w:t>
      </w:r>
      <w:r w:rsidR="00A605F1">
        <w:t xml:space="preserve">forward. </w:t>
      </w:r>
      <w:r w:rsidR="005B13CA">
        <w:t>However funding arrangements remain more bifurcated</w:t>
      </w:r>
      <w:r w:rsidR="00995282">
        <w:t>, resulting in a complex landscape that is difficult for parents to navigate</w:t>
      </w:r>
      <w:r w:rsidR="005B13CA">
        <w:t>.</w:t>
      </w:r>
      <w:r w:rsidR="00AD4E3E">
        <w:t xml:space="preserve"> </w:t>
      </w:r>
    </w:p>
    <w:p w:rsidR="00322514" w:rsidRDefault="00322514" w:rsidP="00322514">
      <w:r>
        <w:t xml:space="preserve">A higher level of integration would better reflect the </w:t>
      </w:r>
      <w:r w:rsidR="00995282">
        <w:t xml:space="preserve">needs </w:t>
      </w:r>
      <w:r>
        <w:t xml:space="preserve">of families. Parents want quality early childhood education for their children, and many need this to be delivered in a way that supports </w:t>
      </w:r>
      <w:r w:rsidR="00651A18">
        <w:t xml:space="preserve">their participation in the </w:t>
      </w:r>
      <w:r>
        <w:t xml:space="preserve">workforce. </w:t>
      </w:r>
      <w:r w:rsidR="00995282">
        <w:t>C</w:t>
      </w:r>
      <w:r>
        <w:t xml:space="preserve">hild development </w:t>
      </w:r>
      <w:r w:rsidR="00995282">
        <w:t xml:space="preserve">research </w:t>
      </w:r>
      <w:r>
        <w:t xml:space="preserve">supports this approach – children benefit from engagement with skilled educators, irrespective of setting. </w:t>
      </w:r>
    </w:p>
    <w:p w:rsidR="00AA411D" w:rsidRDefault="005B13CA" w:rsidP="00AA411D">
      <w:r>
        <w:t>However, a</w:t>
      </w:r>
      <w:r w:rsidR="00AA411D">
        <w:t xml:space="preserve"> number of </w:t>
      </w:r>
      <w:r w:rsidR="003D1131">
        <w:t>factors</w:t>
      </w:r>
      <w:r w:rsidR="00AA411D">
        <w:t xml:space="preserve"> prevent </w:t>
      </w:r>
      <w:r w:rsidR="00322514">
        <w:t xml:space="preserve">this objective </w:t>
      </w:r>
      <w:r w:rsidR="00492CB6">
        <w:t xml:space="preserve">from </w:t>
      </w:r>
      <w:r w:rsidR="00AA411D">
        <w:t xml:space="preserve">being fully realised. </w:t>
      </w:r>
    </w:p>
    <w:p w:rsidR="00AA411D" w:rsidRDefault="00AA411D" w:rsidP="00AA411D">
      <w:r>
        <w:t xml:space="preserve">Instead of recognising the many different service delivery models, funding arrangements and access rules for ‘care’ and ‘education’ are generally separate, with the Commonwealth </w:t>
      </w:r>
      <w:r w:rsidR="00511515">
        <w:t>G</w:t>
      </w:r>
      <w:r>
        <w:t>overnment prioritising workforce participation and setting access rules for child</w:t>
      </w:r>
      <w:r w:rsidR="00EA521D">
        <w:t xml:space="preserve"> </w:t>
      </w:r>
      <w:r>
        <w:t xml:space="preserve">care subsidies, and states and territories generally setting funding and access rules for education. </w:t>
      </w:r>
    </w:p>
    <w:p w:rsidR="00AA411D" w:rsidRDefault="00AA411D" w:rsidP="00AA411D">
      <w:r>
        <w:t xml:space="preserve">For example, the sometimes </w:t>
      </w:r>
      <w:r w:rsidRPr="009C3731">
        <w:t>limited</w:t>
      </w:r>
      <w:r>
        <w:t xml:space="preserve"> hours of preschools can restrict workforce participation or require families to coordinate multiple services to meet work commitments. It is difficult for a parent to arrange practical working ar</w:t>
      </w:r>
      <w:r w:rsidR="00322514">
        <w:t>rangements around the standard 600 hours</w:t>
      </w:r>
      <w:r>
        <w:t xml:space="preserve"> under Universal Access if they are delivered as </w:t>
      </w:r>
      <w:r w:rsidR="00835C89">
        <w:t>two</w:t>
      </w:r>
      <w:r>
        <w:t xml:space="preserve"> x 7.5 hour days, or </w:t>
      </w:r>
      <w:r w:rsidR="00835C89">
        <w:t>three</w:t>
      </w:r>
      <w:r>
        <w:t xml:space="preserve"> x 5 hour days of preschool, for 40 weeks each year, unless there is additional care provided (often known as ‘wrap</w:t>
      </w:r>
      <w:r w:rsidR="00A032DE">
        <w:t>-</w:t>
      </w:r>
      <w:r>
        <w:t xml:space="preserve">around hours’). </w:t>
      </w:r>
    </w:p>
    <w:p w:rsidR="00AA411D" w:rsidRDefault="00AA411D" w:rsidP="00AA411D">
      <w:r>
        <w:t>However, under new funding rules, a ‘</w:t>
      </w:r>
      <w:r w:rsidRPr="001E17BB">
        <w:t xml:space="preserve">service that primarily provides an early educational program to children in the </w:t>
      </w:r>
      <w:r w:rsidRPr="00C10820">
        <w:t>[year before school]</w:t>
      </w:r>
      <w:r>
        <w:t xml:space="preserve"> </w:t>
      </w:r>
      <w:r w:rsidRPr="001E17BB">
        <w:t>such as a preschool</w:t>
      </w:r>
      <w:r>
        <w:t>’</w:t>
      </w:r>
      <w:r>
        <w:rPr>
          <w:rStyle w:val="EndnoteReference"/>
        </w:rPr>
        <w:endnoteReference w:id="235"/>
      </w:r>
      <w:r>
        <w:t xml:space="preserve"> is not eligible to receive the Child Care Subsidy. By preventing preschools from accessing the Child Care Subsidy, it essentially prevents them from offering the additional wrap</w:t>
      </w:r>
      <w:r w:rsidR="00A032DE">
        <w:t>-</w:t>
      </w:r>
      <w:r>
        <w:t xml:space="preserve">around hours that support workforce participation (as parents would have to pay the full cost of the extra hours). This may have particular impacts in some smaller, rural and remote communities, where the preschool service may be the only service available. </w:t>
      </w:r>
      <w:r w:rsidR="00085638">
        <w:t xml:space="preserve">It is also a notable contrast to schools, where </w:t>
      </w:r>
      <w:r w:rsidR="00D219F0">
        <w:t>o</w:t>
      </w:r>
      <w:r w:rsidR="00085638">
        <w:t xml:space="preserve">utside </w:t>
      </w:r>
      <w:r w:rsidR="00D219F0">
        <w:t>s</w:t>
      </w:r>
      <w:r w:rsidR="00085638">
        <w:t xml:space="preserve">chool </w:t>
      </w:r>
      <w:r w:rsidR="00D219F0">
        <w:t>h</w:t>
      </w:r>
      <w:r w:rsidR="00085638">
        <w:t xml:space="preserve">ours </w:t>
      </w:r>
      <w:r w:rsidR="00D219F0">
        <w:t>c</w:t>
      </w:r>
      <w:r w:rsidR="00085638">
        <w:t xml:space="preserve">are </w:t>
      </w:r>
      <w:r w:rsidR="00E32B27">
        <w:t xml:space="preserve">services </w:t>
      </w:r>
      <w:r w:rsidR="00085638">
        <w:t xml:space="preserve">(which essentially </w:t>
      </w:r>
      <w:r w:rsidR="00E32B27">
        <w:t xml:space="preserve">provide </w:t>
      </w:r>
      <w:r w:rsidR="00085638">
        <w:t>wrap</w:t>
      </w:r>
      <w:r w:rsidR="00A032DE">
        <w:t>-</w:t>
      </w:r>
      <w:r w:rsidR="00085638">
        <w:t>around hours for school</w:t>
      </w:r>
      <w:r w:rsidR="00492CB6">
        <w:t>-</w:t>
      </w:r>
      <w:r w:rsidR="00085638">
        <w:t>aged children)</w:t>
      </w:r>
      <w:r w:rsidR="00E32B27">
        <w:t xml:space="preserve"> can receive the Child Care Subsidy.</w:t>
      </w:r>
    </w:p>
    <w:p w:rsidR="00AA411D" w:rsidRDefault="00AA411D" w:rsidP="00AA411D">
      <w:r>
        <w:t xml:space="preserve">The division </w:t>
      </w:r>
      <w:r w:rsidR="00322514">
        <w:t xml:space="preserve">also </w:t>
      </w:r>
      <w:r>
        <w:t>manifest</w:t>
      </w:r>
      <w:r w:rsidR="00322514">
        <w:t>s</w:t>
      </w:r>
      <w:r>
        <w:t xml:space="preserve"> in the way data is collected, with some data </w:t>
      </w:r>
      <w:r w:rsidR="00322514">
        <w:t>collections focu</w:t>
      </w:r>
      <w:r>
        <w:t xml:space="preserve">sed on care aspects and others focused on education. These data gaps and inconsistencies have, at times, complicated the Review’s attempts to understand the system. For example, the most recent </w:t>
      </w:r>
      <w:r w:rsidR="00A7047A">
        <w:t xml:space="preserve">early childhood education and care </w:t>
      </w:r>
      <w:r>
        <w:t xml:space="preserve">workforce census did not collect data on the workforce in standalone preschool services, but did collect data on the workforce delivering preschool in a long day care setting. </w:t>
      </w:r>
    </w:p>
    <w:p w:rsidR="00AA411D" w:rsidRDefault="00AA411D" w:rsidP="00AA411D">
      <w:r>
        <w:t>However, there is also a degree to which the distinction is real – evidence suggests there is a material difference in a child’s outcomes depending on the qualification level of the staff.</w:t>
      </w:r>
    </w:p>
    <w:p w:rsidR="00AA411D" w:rsidRDefault="00AA411D" w:rsidP="00AA411D">
      <w:r>
        <w:t>The Review has considered at length the significant opportunities for early childhood education to improve child outcomes. There are also significant opportunities to improve economic outcomes by supporting increased workforce participation.</w:t>
      </w:r>
      <w:r>
        <w:rPr>
          <w:rStyle w:val="EndnoteReference"/>
        </w:rPr>
        <w:endnoteReference w:id="236"/>
      </w:r>
      <w:r>
        <w:t xml:space="preserve"> Currently female workforce participation is more th</w:t>
      </w:r>
      <w:r w:rsidR="001F023B">
        <w:t>an</w:t>
      </w:r>
      <w:r>
        <w:t xml:space="preserve"> </w:t>
      </w:r>
      <w:r w:rsidR="00A032DE">
        <w:t xml:space="preserve">10 </w:t>
      </w:r>
      <w:r>
        <w:t>percentage points lower than male workforce participation</w:t>
      </w:r>
      <w:r w:rsidR="001F023B">
        <w:t>.</w:t>
      </w:r>
      <w:r>
        <w:rPr>
          <w:rStyle w:val="EndnoteReference"/>
        </w:rPr>
        <w:endnoteReference w:id="237"/>
      </w:r>
      <w:r w:rsidR="00322514">
        <w:t xml:space="preserve"> </w:t>
      </w:r>
      <w:r w:rsidR="00492CB6">
        <w:t>A mother</w:t>
      </w:r>
      <w:r w:rsidR="00492CB6" w:rsidRPr="00820AA7">
        <w:t xml:space="preserve"> </w:t>
      </w:r>
      <w:r>
        <w:t xml:space="preserve">whose youngest child is aged 0-4 </w:t>
      </w:r>
      <w:r w:rsidR="00492CB6">
        <w:t>is</w:t>
      </w:r>
      <w:r w:rsidR="00492CB6" w:rsidRPr="00820AA7">
        <w:t xml:space="preserve"> </w:t>
      </w:r>
      <w:r>
        <w:t xml:space="preserve">significantly less likely to be in the workforce than </w:t>
      </w:r>
      <w:r w:rsidR="00492CB6">
        <w:t>a mother</w:t>
      </w:r>
      <w:r w:rsidR="00492CB6" w:rsidRPr="00820AA7">
        <w:t xml:space="preserve"> </w:t>
      </w:r>
      <w:r>
        <w:t xml:space="preserve">with older children – 54 per cent compared </w:t>
      </w:r>
      <w:r w:rsidR="00492CB6">
        <w:t>with more than</w:t>
      </w:r>
      <w:r>
        <w:t xml:space="preserve"> 75 per cent of women with children 5-14 years of age.</w:t>
      </w:r>
      <w:r>
        <w:rPr>
          <w:rStyle w:val="EndnoteReference"/>
        </w:rPr>
        <w:endnoteReference w:id="238"/>
      </w:r>
      <w:r>
        <w:t xml:space="preserve"> </w:t>
      </w:r>
    </w:p>
    <w:p w:rsidR="00AA411D" w:rsidRDefault="00AA411D" w:rsidP="00AA411D">
      <w:r>
        <w:t xml:space="preserve">What is clear to the Review is that current arrangements are </w:t>
      </w:r>
      <w:r w:rsidR="00492CB6">
        <w:t>sub</w:t>
      </w:r>
      <w:r w:rsidRPr="00820AA7">
        <w:t>optimal</w:t>
      </w:r>
      <w:r>
        <w:t xml:space="preserve"> for </w:t>
      </w:r>
      <w:r w:rsidR="00492CB6">
        <w:t>both</w:t>
      </w:r>
      <w:r w:rsidR="00492CB6" w:rsidRPr="00820AA7">
        <w:t xml:space="preserve"> </w:t>
      </w:r>
      <w:r>
        <w:t xml:space="preserve">families </w:t>
      </w:r>
      <w:r w:rsidR="00492CB6">
        <w:t>and</w:t>
      </w:r>
      <w:r w:rsidR="00492CB6" w:rsidRPr="00820AA7">
        <w:t xml:space="preserve"> </w:t>
      </w:r>
      <w:r>
        <w:t>governments. The opportunity for governments, through a more complementary, integrated approach to education and care</w:t>
      </w:r>
      <w:r w:rsidR="00322514">
        <w:t>,</w:t>
      </w:r>
      <w:r>
        <w:t xml:space="preserve"> is significant – to drive both improved child outcomes and workforce participation. This would enable governments and families to reap a double dividend from their investment. </w:t>
      </w:r>
    </w:p>
    <w:p w:rsidR="004F222F" w:rsidRDefault="004F222F">
      <w:pPr>
        <w:spacing w:line="276" w:lineRule="auto"/>
        <w:rPr>
          <w:rFonts w:asciiTheme="majorHAnsi" w:eastAsiaTheme="majorEastAsia" w:hAnsiTheme="majorHAnsi" w:cstheme="majorBidi"/>
          <w:b/>
          <w:bCs/>
          <w:color w:val="365F91" w:themeColor="accent1" w:themeShade="BF"/>
          <w:sz w:val="28"/>
          <w:szCs w:val="28"/>
        </w:rPr>
      </w:pPr>
      <w:r>
        <w:br w:type="page"/>
      </w:r>
    </w:p>
    <w:p w:rsidR="00135330" w:rsidRPr="00075DFA" w:rsidRDefault="0063470E" w:rsidP="005026E6">
      <w:pPr>
        <w:pStyle w:val="Heading1"/>
      </w:pPr>
      <w:bookmarkStart w:id="32" w:name="_Toc373586260"/>
      <w:bookmarkStart w:id="33" w:name="_Toc500850778"/>
      <w:r>
        <w:t xml:space="preserve">4.4 </w:t>
      </w:r>
      <w:r w:rsidR="00135330" w:rsidRPr="00075DFA">
        <w:t>Findings and recommendations</w:t>
      </w:r>
      <w:bookmarkEnd w:id="32"/>
      <w:bookmarkEnd w:id="33"/>
    </w:p>
    <w:p w:rsidR="00CA435D" w:rsidRDefault="00CA435D" w:rsidP="00DC66BF"/>
    <w:p w:rsidR="00CA435D" w:rsidRDefault="00CA435D" w:rsidP="00DC66BF">
      <w:pPr>
        <w:rPr>
          <w:i/>
        </w:rPr>
      </w:pPr>
      <w:r>
        <w:rPr>
          <w:i/>
        </w:rPr>
        <w:t>General observations</w:t>
      </w:r>
    </w:p>
    <w:p w:rsidR="00135330" w:rsidRDefault="00135330" w:rsidP="00DC66BF">
      <w:r>
        <w:t xml:space="preserve">Australia has made great progress over the </w:t>
      </w:r>
      <w:r w:rsidR="008B7815">
        <w:t>past</w:t>
      </w:r>
      <w:r w:rsidR="008B7815" w:rsidRPr="00315517">
        <w:t xml:space="preserve"> </w:t>
      </w:r>
      <w:r>
        <w:t xml:space="preserve">decade in early childhood education. </w:t>
      </w:r>
      <w:r w:rsidR="00BC5473">
        <w:t>G</w:t>
      </w:r>
      <w:r>
        <w:t xml:space="preserve">overnments now </w:t>
      </w:r>
      <w:r w:rsidR="00BC5473">
        <w:t xml:space="preserve">have an opportunity </w:t>
      </w:r>
      <w:r>
        <w:t>to embed this progress and</w:t>
      </w:r>
      <w:r w:rsidR="00BC5473">
        <w:t xml:space="preserve"> </w:t>
      </w:r>
      <w:r w:rsidR="00ED7B8F">
        <w:t xml:space="preserve">consolidate </w:t>
      </w:r>
      <w:r w:rsidR="00B505BF">
        <w:t>it</w:t>
      </w:r>
      <w:r>
        <w:t xml:space="preserve"> with further reform</w:t>
      </w:r>
      <w:r w:rsidR="00BC5473">
        <w:t>, drawing on the latest research and evidence</w:t>
      </w:r>
      <w:r>
        <w:t xml:space="preserve">. </w:t>
      </w:r>
    </w:p>
    <w:p w:rsidR="00135330" w:rsidRDefault="00135330" w:rsidP="00DC66BF">
      <w:r>
        <w:t xml:space="preserve">The Review was struck by the quantity, quality and consistency of the evidence on the benefits of quality early childhood education. It provides clear guidance on what future reform should involve. </w:t>
      </w:r>
    </w:p>
    <w:p w:rsidR="00F50A20" w:rsidRDefault="00135330" w:rsidP="00DC66BF">
      <w:r>
        <w:t xml:space="preserve">Education does not begin at school – children </w:t>
      </w:r>
      <w:r w:rsidR="00C21C11">
        <w:t xml:space="preserve">are born ready to </w:t>
      </w:r>
      <w:r>
        <w:t>learn. There is strong evidence of the critical nature of home and care settings in the first</w:t>
      </w:r>
      <w:r w:rsidR="00D51913">
        <w:t xml:space="preserve"> 1,000 days of life, and of pre</w:t>
      </w:r>
      <w:r w:rsidR="00E15725">
        <w:t>-</w:t>
      </w:r>
      <w:r>
        <w:t xml:space="preserve">school learning. </w:t>
      </w:r>
    </w:p>
    <w:p w:rsidR="00F50A20" w:rsidRDefault="00F50A20" w:rsidP="00DC66BF">
      <w:r>
        <w:t>Children are learning constantly wherever they are. Learning does not only happen in a classroom. In early childhood especially, children learn through play, exploration, relationships and interactions with others. How children interact with adults is</w:t>
      </w:r>
      <w:r w:rsidR="00D51913">
        <w:t xml:space="preserve"> vital to this, be they parents, </w:t>
      </w:r>
      <w:r>
        <w:t xml:space="preserve">teachers or others. While parents are the first educators of their children, there is also evidence of the benefits of quality early childhood education. </w:t>
      </w:r>
    </w:p>
    <w:p w:rsidR="00135330" w:rsidRDefault="00135330" w:rsidP="00DC66BF">
      <w:r>
        <w:t>Education is a lifelong activity, building on previous skills, knowledge and experiences. Government policies that recognise this maximise the benefits of public investment</w:t>
      </w:r>
      <w:r w:rsidR="008803F6">
        <w:t xml:space="preserve"> in education</w:t>
      </w:r>
      <w:r>
        <w:t xml:space="preserve"> by achieving gains for individuals’ development as well </w:t>
      </w:r>
      <w:r w:rsidR="00B505BF">
        <w:t>as</w:t>
      </w:r>
      <w:r w:rsidRPr="00B505BF">
        <w:t xml:space="preserve"> </w:t>
      </w:r>
      <w:r w:rsidR="00D51913">
        <w:t xml:space="preserve">for </w:t>
      </w:r>
      <w:r>
        <w:t>the economy</w:t>
      </w:r>
      <w:r w:rsidR="00D51913">
        <w:t xml:space="preserve"> and society</w:t>
      </w:r>
      <w:r>
        <w:t xml:space="preserve">. </w:t>
      </w:r>
    </w:p>
    <w:p w:rsidR="00135330" w:rsidRDefault="00BC5473" w:rsidP="00DC66BF">
      <w:r>
        <w:t>P</w:t>
      </w:r>
      <w:r w:rsidR="00135330">
        <w:t>articipating in quality early childhood education can improve a child’s short, medium and long-term outcomes across a range of measures</w:t>
      </w:r>
      <w:r w:rsidR="00B505BF">
        <w:t>,</w:t>
      </w:r>
      <w:r w:rsidR="00135330">
        <w:t xml:space="preserve"> including educational performance and engagement, lifetime employment and wage prospects, </w:t>
      </w:r>
      <w:r w:rsidR="00B42C1E">
        <w:t xml:space="preserve">health </w:t>
      </w:r>
      <w:r w:rsidR="00135330">
        <w:t>and decreased involvement in crime.</w:t>
      </w:r>
    </w:p>
    <w:p w:rsidR="00135330" w:rsidRDefault="00135330" w:rsidP="00DC66BF">
      <w:r>
        <w:t>It is in early childhood that the essential foundations for future skills are laid</w:t>
      </w:r>
      <w:r w:rsidR="008803F6">
        <w:t>.</w:t>
      </w:r>
      <w:r w:rsidR="003C37BA">
        <w:t xml:space="preserve"> </w:t>
      </w:r>
      <w:r w:rsidR="008803F6">
        <w:t xml:space="preserve">This is </w:t>
      </w:r>
      <w:r>
        <w:t xml:space="preserve">when children develop not just their cognitive skills, but the creativity, resilience and emotional intelligence that they will need throughout their lives. These are the skills needed to succeed in the jobs of the future. </w:t>
      </w:r>
    </w:p>
    <w:p w:rsidR="00135330" w:rsidRDefault="00135330" w:rsidP="00DC66BF">
      <w:r>
        <w:t>Early childhood education can make a significant difference in the lives of all children. But it is particularly powe</w:t>
      </w:r>
      <w:r w:rsidR="00D51913">
        <w:t xml:space="preserve">rful for disadvantaged children. </w:t>
      </w:r>
      <w:r>
        <w:t xml:space="preserve">Quality early childhood education can help </w:t>
      </w:r>
      <w:r w:rsidR="00B505BF">
        <w:t>a child</w:t>
      </w:r>
      <w:r w:rsidR="00D51913">
        <w:t xml:space="preserve"> </w:t>
      </w:r>
      <w:r>
        <w:t>arrive at school ready to learn</w:t>
      </w:r>
      <w:r w:rsidR="00D51913">
        <w:t>, but those who start school behind often stay behind for life</w:t>
      </w:r>
      <w:r>
        <w:t>. Quality</w:t>
      </w:r>
      <w:r w:rsidR="00AD4E3E">
        <w:t xml:space="preserve"> </w:t>
      </w:r>
      <w:r w:rsidR="00E15725">
        <w:t xml:space="preserve">early childhood education </w:t>
      </w:r>
      <w:r>
        <w:t xml:space="preserve">can break the cycle of disadvantage. </w:t>
      </w:r>
    </w:p>
    <w:p w:rsidR="00135330" w:rsidRDefault="00135330" w:rsidP="00DC66BF">
      <w:r>
        <w:t>In considering how and why to resource early childhood learning, quality is an essential qualifier – high quality early childhood education is of great benefit to</w:t>
      </w:r>
      <w:r w:rsidR="00B42C1E">
        <w:t xml:space="preserve"> all</w:t>
      </w:r>
      <w:r>
        <w:t xml:space="preserve"> children, but the same cannot be said for low quality early childhood education. </w:t>
      </w:r>
    </w:p>
    <w:p w:rsidR="00135330" w:rsidRDefault="00BC5473" w:rsidP="00DC66BF">
      <w:r>
        <w:t>T</w:t>
      </w:r>
      <w:r w:rsidR="00135330">
        <w:t xml:space="preserve">he single most important determinant of quality </w:t>
      </w:r>
      <w:r>
        <w:t xml:space="preserve">in early childhood education </w:t>
      </w:r>
      <w:r w:rsidR="00135330">
        <w:t xml:space="preserve">is the interaction between educator and child. The preparation and ongoing development of the workforce is therefore essential </w:t>
      </w:r>
      <w:r w:rsidR="00BD6FA0">
        <w:t xml:space="preserve">to </w:t>
      </w:r>
      <w:r w:rsidR="00135330">
        <w:t xml:space="preserve">quality. </w:t>
      </w:r>
    </w:p>
    <w:p w:rsidR="00135330" w:rsidRDefault="00135330" w:rsidP="00DC66BF">
      <w:r>
        <w:t xml:space="preserve">Australia has some strong foundations in place. For the most part, children grow up in happy, supportive homes, with parents who </w:t>
      </w:r>
      <w:r w:rsidR="00ED7B8F">
        <w:t xml:space="preserve">endeavour to give </w:t>
      </w:r>
      <w:r>
        <w:t xml:space="preserve">them the best possible chance of a healthy, happy and successful life. </w:t>
      </w:r>
    </w:p>
    <w:p w:rsidR="00135330" w:rsidRDefault="00BD6FA0" w:rsidP="00DC66BF">
      <w:r>
        <w:t>G</w:t>
      </w:r>
      <w:r w:rsidR="00D51913">
        <w:t xml:space="preserve">reat strides have been made, particularly with the introduction of the National Quality Framework and Universal Access. </w:t>
      </w:r>
      <w:r w:rsidR="00135330">
        <w:t>Universal Ac</w:t>
      </w:r>
      <w:r w:rsidR="00D51913">
        <w:t xml:space="preserve">cess </w:t>
      </w:r>
      <w:r w:rsidR="00135330">
        <w:t>has significantly increased the number of children voluntarily participating in early childhood education and is beginning to show benefits. The National Quality Framework is highly regarded and a valuable platform for future quality improvement. There is considerable goodwill and expertise in the sector.</w:t>
      </w:r>
    </w:p>
    <w:p w:rsidR="00135330" w:rsidRDefault="00135330" w:rsidP="00DC66BF">
      <w:r>
        <w:t>Importantly, these reforms have also shown that significant changes are possible</w:t>
      </w:r>
      <w:r w:rsidR="00B505BF">
        <w:t xml:space="preserve">; </w:t>
      </w:r>
      <w:r>
        <w:t xml:space="preserve">that they can be planned, staged and delivered relatively quickly and effectively, that the sector will support them and that parents will take them up. </w:t>
      </w:r>
    </w:p>
    <w:p w:rsidR="00135330" w:rsidRDefault="00135330" w:rsidP="00DC66BF">
      <w:r>
        <w:t xml:space="preserve">Australia’s challenge now is to solidify these foundations, and build </w:t>
      </w:r>
      <w:r w:rsidR="00B505BF">
        <w:t>up</w:t>
      </w:r>
      <w:r w:rsidRPr="00B505BF">
        <w:t>on</w:t>
      </w:r>
      <w:r>
        <w:t xml:space="preserve"> them, so that every Australian child has the best possible start in life.</w:t>
      </w:r>
    </w:p>
    <w:p w:rsidR="005D7074" w:rsidRPr="00897784" w:rsidRDefault="009B6283" w:rsidP="005D7074">
      <w:pPr>
        <w:pStyle w:val="Heading2"/>
      </w:pPr>
      <w:bookmarkStart w:id="34" w:name="_Toc373586261"/>
      <w:bookmarkStart w:id="35" w:name="_Toc500850779"/>
      <w:r>
        <w:t>Reform them</w:t>
      </w:r>
      <w:r w:rsidR="00025E7B">
        <w:t>e one:</w:t>
      </w:r>
      <w:r>
        <w:t xml:space="preserve"> </w:t>
      </w:r>
      <w:r w:rsidR="005D7074">
        <w:t>Embedding foundations for future reform</w:t>
      </w:r>
      <w:bookmarkEnd w:id="34"/>
      <w:bookmarkEnd w:id="35"/>
    </w:p>
    <w:p w:rsidR="00135330" w:rsidRDefault="003D01AA" w:rsidP="00DC66BF">
      <w:r w:rsidRPr="00A516DA">
        <w:t xml:space="preserve">To </w:t>
      </w:r>
      <w:r w:rsidR="00135330">
        <w:t xml:space="preserve">ensure the essential </w:t>
      </w:r>
      <w:r w:rsidR="008803F6">
        <w:t xml:space="preserve">architecture </w:t>
      </w:r>
      <w:r w:rsidR="00135330">
        <w:t xml:space="preserve">and funding arrangements are in place, the support of all governments for Universal Access in the year before school, and the National Quality Framework, should be made permanent. </w:t>
      </w:r>
    </w:p>
    <w:p w:rsidR="003D01AA" w:rsidRDefault="003D01AA" w:rsidP="003D01AA">
      <w:r>
        <w:t>The Review heard consistently that the short-term funding arrangements for both Universal Access and the National Quality Framework cause uncertainty and hamper planning</w:t>
      </w:r>
      <w:r w:rsidR="004A1375">
        <w:t>, with five National Partnership Agreements for Universal Access in just 10 years</w:t>
      </w:r>
      <w:r>
        <w:t>.</w:t>
      </w:r>
      <w:r w:rsidR="004A1375">
        <w:t xml:space="preserve"> </w:t>
      </w:r>
      <w:r>
        <w:t xml:space="preserve">It is also a lost opportunity for governments to show sustained commitment to quality early childhood education, thereby reinforcing </w:t>
      </w:r>
      <w:r w:rsidR="009C3BF3">
        <w:t xml:space="preserve">its </w:t>
      </w:r>
      <w:r>
        <w:t>value to parents</w:t>
      </w:r>
      <w:r w:rsidR="009C3BF3">
        <w:t xml:space="preserve"> and the community</w:t>
      </w:r>
      <w:r>
        <w:t xml:space="preserve">. It would be </w:t>
      </w:r>
      <w:r w:rsidR="007F22AB">
        <w:t>retrograde</w:t>
      </w:r>
      <w:r>
        <w:t xml:space="preserve"> for Australia to stop these initiatives.</w:t>
      </w:r>
    </w:p>
    <w:p w:rsidR="00D87D9D" w:rsidRDefault="00135330" w:rsidP="00DC66BF">
      <w:r>
        <w:t xml:space="preserve">The Review also noted the great variety </w:t>
      </w:r>
      <w:r w:rsidR="00A032DE">
        <w:t>of ways in which</w:t>
      </w:r>
      <w:r>
        <w:t xml:space="preserve"> early childhood education</w:t>
      </w:r>
      <w:r w:rsidR="006A36B6">
        <w:t xml:space="preserve"> is </w:t>
      </w:r>
      <w:r>
        <w:t xml:space="preserve">delivered </w:t>
      </w:r>
      <w:r w:rsidR="008803F6">
        <w:t xml:space="preserve">across </w:t>
      </w:r>
      <w:r>
        <w:t xml:space="preserve">Australia, including through government and non-government schools, standalone preschools or kindergartens, long day care services, mobile services or </w:t>
      </w:r>
      <w:r w:rsidR="009C3BF3">
        <w:t xml:space="preserve">distance education such as </w:t>
      </w:r>
      <w:r>
        <w:t xml:space="preserve">‘schools of the air’. </w:t>
      </w:r>
      <w:r w:rsidR="00D87D9D">
        <w:t xml:space="preserve">Quality early childhood education that improves children’s outcomes can be delivered in each of these settings. </w:t>
      </w:r>
    </w:p>
    <w:p w:rsidR="00135330" w:rsidRDefault="00135330" w:rsidP="00DC66BF">
      <w:r>
        <w:t>Th</w:t>
      </w:r>
      <w:r w:rsidR="00D87D9D">
        <w:t xml:space="preserve">e range of settings </w:t>
      </w:r>
      <w:r>
        <w:t xml:space="preserve">allows families and governments </w:t>
      </w:r>
      <w:r w:rsidR="00392FCE">
        <w:t>the</w:t>
      </w:r>
      <w:r w:rsidRPr="002E15C6">
        <w:t xml:space="preserve"> </w:t>
      </w:r>
      <w:r>
        <w:t xml:space="preserve">flexibility to </w:t>
      </w:r>
      <w:r w:rsidR="007F22AB">
        <w:t>choose</w:t>
      </w:r>
      <w:r>
        <w:t xml:space="preserve"> </w:t>
      </w:r>
      <w:r w:rsidR="00392FCE">
        <w:t>the</w:t>
      </w:r>
      <w:r w:rsidR="00392FCE" w:rsidRPr="00C86AC7">
        <w:t xml:space="preserve"> </w:t>
      </w:r>
      <w:r>
        <w:t>settings</w:t>
      </w:r>
      <w:r w:rsidRPr="00C86AC7">
        <w:t xml:space="preserve"> </w:t>
      </w:r>
      <w:r w:rsidR="00392FCE">
        <w:t>that</w:t>
      </w:r>
      <w:r>
        <w:t xml:space="preserve"> are most appropriate for them, their children, their community and their other service systems. </w:t>
      </w:r>
    </w:p>
    <w:p w:rsidR="00135330" w:rsidRDefault="00135330" w:rsidP="00DC66BF">
      <w:r>
        <w:t xml:space="preserve">The Review considers that future arrangements should continue the current approach </w:t>
      </w:r>
      <w:r w:rsidR="00D87D9D">
        <w:t xml:space="preserve">to </w:t>
      </w:r>
      <w:r>
        <w:t>recognis</w:t>
      </w:r>
      <w:r w:rsidR="00D87D9D">
        <w:t>e</w:t>
      </w:r>
      <w:r>
        <w:t xml:space="preserve"> the diversity of communities and systems across Australia, and allow services</w:t>
      </w:r>
      <w:r w:rsidR="00931899">
        <w:t>,</w:t>
      </w:r>
      <w:r>
        <w:t xml:space="preserve"> supports </w:t>
      </w:r>
      <w:r w:rsidR="00931899">
        <w:t xml:space="preserve">and pedagogies </w:t>
      </w:r>
      <w:r>
        <w:t xml:space="preserve">to be tailored to the specific needs and circumstances of communities and locations. Every jurisdiction faces different challenges – for example, remote communities or different historical delivery models – and future arrangements should allow the flexibility required to deal with these. </w:t>
      </w:r>
    </w:p>
    <w:p w:rsidR="003D01AA" w:rsidRPr="00A516DA" w:rsidRDefault="003D01AA" w:rsidP="003D01AA">
      <w:pPr>
        <w:pStyle w:val="Body"/>
        <w:tabs>
          <w:tab w:val="left" w:pos="3143"/>
        </w:tabs>
        <w:spacing w:line="240" w:lineRule="auto"/>
        <w:jc w:val="both"/>
        <w:rPr>
          <w:lang w:val="en-AU"/>
        </w:rPr>
      </w:pPr>
      <w:r w:rsidRPr="00A516DA">
        <w:rPr>
          <w:u w:val="single"/>
          <w:lang w:val="en-AU"/>
        </w:rPr>
        <w:t>Recommendations</w:t>
      </w:r>
    </w:p>
    <w:p w:rsidR="00782A8B" w:rsidRDefault="00782A8B" w:rsidP="00A516DA">
      <w:pPr>
        <w:pStyle w:val="ListParagraph"/>
        <w:numPr>
          <w:ilvl w:val="0"/>
          <w:numId w:val="46"/>
        </w:numPr>
        <w:pBdr>
          <w:top w:val="nil"/>
          <w:left w:val="nil"/>
          <w:bottom w:val="nil"/>
          <w:right w:val="nil"/>
          <w:between w:val="nil"/>
          <w:bar w:val="nil"/>
        </w:pBdr>
      </w:pPr>
      <w:r>
        <w:t>Australian governments</w:t>
      </w:r>
      <w:r w:rsidR="00C25B6F" w:rsidRPr="00FB2506">
        <w:rPr>
          <w:vertAlign w:val="superscript"/>
        </w:rPr>
        <w:footnoteReference w:id="7"/>
      </w:r>
      <w:r>
        <w:t xml:space="preserve"> </w:t>
      </w:r>
      <w:r w:rsidR="00BC7E23">
        <w:t xml:space="preserve">agree </w:t>
      </w:r>
      <w:r>
        <w:t>to</w:t>
      </w:r>
      <w:r w:rsidR="00D40B61">
        <w:t xml:space="preserve"> </w:t>
      </w:r>
      <w:r w:rsidR="004664CB">
        <w:t>permanent</w:t>
      </w:r>
      <w:r w:rsidR="00D40B61">
        <w:t xml:space="preserve">, adequate funding for </w:t>
      </w:r>
      <w:r>
        <w:t xml:space="preserve">Universal Access in the year before school and the National Quality Framework. </w:t>
      </w:r>
    </w:p>
    <w:p w:rsidR="00782A8B" w:rsidRDefault="00782A8B" w:rsidP="00A516DA">
      <w:pPr>
        <w:pStyle w:val="ListParagraph"/>
        <w:numPr>
          <w:ilvl w:val="0"/>
          <w:numId w:val="46"/>
        </w:numPr>
        <w:pBdr>
          <w:top w:val="nil"/>
          <w:left w:val="nil"/>
          <w:bottom w:val="nil"/>
          <w:right w:val="nil"/>
          <w:between w:val="nil"/>
          <w:bar w:val="nil"/>
        </w:pBdr>
      </w:pPr>
      <w:r>
        <w:t xml:space="preserve">Australian governments preserve flexible early childhood education </w:t>
      </w:r>
      <w:r w:rsidR="006707C6">
        <w:t xml:space="preserve">and care </w:t>
      </w:r>
      <w:r>
        <w:t>delivery on a jurisdictional basis, within nationally agreed objectives and standards.</w:t>
      </w:r>
    </w:p>
    <w:p w:rsidR="003D01AA" w:rsidRDefault="003D01AA" w:rsidP="009725F4">
      <w:pPr>
        <w:pBdr>
          <w:top w:val="nil"/>
          <w:left w:val="nil"/>
          <w:bottom w:val="nil"/>
          <w:right w:val="nil"/>
          <w:between w:val="nil"/>
          <w:bar w:val="nil"/>
        </w:pBdr>
        <w:tabs>
          <w:tab w:val="left" w:pos="3143"/>
        </w:tabs>
        <w:jc w:val="both"/>
      </w:pPr>
      <w:r>
        <w:t xml:space="preserve">The remaining findings and recommendations address future investment and reform. This language is deliberate – both investment and reform are required. </w:t>
      </w:r>
    </w:p>
    <w:p w:rsidR="00257E42" w:rsidRDefault="00C25B6F" w:rsidP="00C25B6F">
      <w:r>
        <w:t xml:space="preserve">All Australian </w:t>
      </w:r>
      <w:r w:rsidR="005B6212">
        <w:t>g</w:t>
      </w:r>
      <w:r>
        <w:t>overnments should agree</w:t>
      </w:r>
      <w:r w:rsidR="00A032DE">
        <w:t xml:space="preserve"> upon</w:t>
      </w:r>
      <w:r>
        <w:t xml:space="preserve"> a set of principles and goals for Australian children</w:t>
      </w:r>
      <w:r w:rsidR="00257E42">
        <w:t xml:space="preserve"> aged 0</w:t>
      </w:r>
      <w:r w:rsidR="005B6212">
        <w:noBreakHyphen/>
      </w:r>
      <w:r w:rsidR="00257E42">
        <w:t>5</w:t>
      </w:r>
      <w:r>
        <w:t xml:space="preserve">. This could involve revisiting the COAG Early Childhood Strategy, </w:t>
      </w:r>
      <w:r>
        <w:rPr>
          <w:i/>
        </w:rPr>
        <w:t xml:space="preserve">Investing in the Early Years. </w:t>
      </w:r>
      <w:r w:rsidR="00D87D9D">
        <w:t>A</w:t>
      </w:r>
      <w:r>
        <w:t xml:space="preserve"> more ambitious approach would </w:t>
      </w:r>
      <w:r w:rsidR="00D87D9D">
        <w:t xml:space="preserve">be to consider </w:t>
      </w:r>
      <w:r>
        <w:t>the values and principles that underpin learning from 0-18</w:t>
      </w:r>
      <w:r w:rsidR="00392FCE">
        <w:t xml:space="preserve"> by </w:t>
      </w:r>
      <w:r>
        <w:t xml:space="preserve">refreshing the 2008 </w:t>
      </w:r>
      <w:r w:rsidRPr="000705E9">
        <w:rPr>
          <w:i/>
        </w:rPr>
        <w:t>Melbourne Declaration on Educational Goals for Young Australians</w:t>
      </w:r>
      <w:r>
        <w:t xml:space="preserve">. </w:t>
      </w:r>
      <w:r w:rsidR="00257E42">
        <w:t xml:space="preserve">This should include </w:t>
      </w:r>
      <w:r w:rsidR="008803F6">
        <w:t xml:space="preserve">specific </w:t>
      </w:r>
      <w:r w:rsidR="00257E42">
        <w:t xml:space="preserve">objectives of early childhood education and care systems and investment. </w:t>
      </w:r>
    </w:p>
    <w:p w:rsidR="005B6212" w:rsidRDefault="004B2777" w:rsidP="00C25B6F">
      <w:r w:rsidRPr="00A516DA">
        <w:t>Following this, the Review considers it would be worthwhile to review the Early Years Learning Framework, to ensure alignment of learning outcomes with the principles and goals articulated by governments, a</w:t>
      </w:r>
      <w:r w:rsidRPr="004B2777">
        <w:t>nd currency with contemporary</w:t>
      </w:r>
      <w:r>
        <w:t xml:space="preserve"> </w:t>
      </w:r>
      <w:r w:rsidRPr="00A516DA">
        <w:t>knowledge and best practice. Consideration could also be given to measurement against desired outcomes, and how the Framework can give more assistance to educators with their program planning and learning goals for individual children.</w:t>
      </w:r>
      <w:r w:rsidDel="004B2777">
        <w:t xml:space="preserve"> </w:t>
      </w:r>
    </w:p>
    <w:p w:rsidR="00C25B6F" w:rsidRDefault="00D87D9D" w:rsidP="00C25B6F">
      <w:r>
        <w:t>G</w:t>
      </w:r>
      <w:r w:rsidR="00C25B6F">
        <w:t xml:space="preserve">overnments currently distinguish between early childhood education and school education </w:t>
      </w:r>
      <w:r>
        <w:t xml:space="preserve">in ways that </w:t>
      </w:r>
      <w:r w:rsidR="00C25B6F">
        <w:t>can be arbitrary and counterproductive. While children learn in different ways at different ages, this changes gradually –</w:t>
      </w:r>
      <w:r w:rsidR="00ED7B8F">
        <w:t xml:space="preserve"> </w:t>
      </w:r>
      <w:r w:rsidR="00C25B6F">
        <w:t>child</w:t>
      </w:r>
      <w:r w:rsidR="00ED7B8F">
        <w:t>ren who finish preschool in December learn</w:t>
      </w:r>
      <w:r w:rsidR="00C25B6F">
        <w:t xml:space="preserve"> in a similar way when they start schooling in January. And the learning and development in preschool this year affects a child’s educational performance in school next year. </w:t>
      </w:r>
      <w:r>
        <w:t>C</w:t>
      </w:r>
      <w:r w:rsidR="00C25B6F">
        <w:t>hild</w:t>
      </w:r>
      <w:r>
        <w:t>ren</w:t>
      </w:r>
      <w:r w:rsidR="00C25B6F">
        <w:t xml:space="preserve">’s learning and development </w:t>
      </w:r>
      <w:r>
        <w:t xml:space="preserve">is cumulative, </w:t>
      </w:r>
      <w:r w:rsidR="00C25B6F">
        <w:t>build</w:t>
      </w:r>
      <w:r>
        <w:t>ing</w:t>
      </w:r>
      <w:r w:rsidR="00C25B6F">
        <w:t xml:space="preserve"> on all the learning that has occurred </w:t>
      </w:r>
      <w:r>
        <w:t>previously</w:t>
      </w:r>
      <w:r w:rsidR="00392FCE">
        <w:t xml:space="preserve"> </w:t>
      </w:r>
      <w:r w:rsidR="00C25B6F">
        <w:t xml:space="preserve">– at home, in early childhood settings, and </w:t>
      </w:r>
      <w:r w:rsidR="00392FCE">
        <w:t>at</w:t>
      </w:r>
      <w:r w:rsidR="00392FCE" w:rsidRPr="00392FCE">
        <w:t xml:space="preserve"> </w:t>
      </w:r>
      <w:r w:rsidR="00C25B6F">
        <w:t xml:space="preserve">school. When governments recognise this, and treat both early childhood and school education as essential elements of the Australian education system, they can improve continuity and engagement in learning, and </w:t>
      </w:r>
      <w:r w:rsidR="00ED7B8F">
        <w:t xml:space="preserve">therefore </w:t>
      </w:r>
      <w:r>
        <w:t xml:space="preserve">lift </w:t>
      </w:r>
      <w:r w:rsidR="00C25B6F">
        <w:t>learning outcomes. Seeking to improve educational outcomes for children but only considering schools is narrow and inefficient.</w:t>
      </w:r>
    </w:p>
    <w:p w:rsidR="00C25B6F" w:rsidRDefault="00C25B6F" w:rsidP="00C25B6F">
      <w:r>
        <w:t xml:space="preserve">There is a serendipitous opportunity for Australian governments to take a broader approach to education with future funding arrangements for both school and early childhood currently being </w:t>
      </w:r>
      <w:r w:rsidR="008803F6">
        <w:t xml:space="preserve">considered </w:t>
      </w:r>
      <w:r>
        <w:t xml:space="preserve">by governments. </w:t>
      </w:r>
      <w:r w:rsidR="00D87D9D">
        <w:t>T</w:t>
      </w:r>
      <w:r>
        <w:t xml:space="preserve">he concurrent initiative of the Prime Minister’s Community Business Partnership </w:t>
      </w:r>
      <w:r w:rsidR="00392FCE">
        <w:t>that is</w:t>
      </w:r>
      <w:r w:rsidRPr="00392FCE">
        <w:t xml:space="preserve"> </w:t>
      </w:r>
      <w:r>
        <w:t xml:space="preserve">looking at the first 1,000 days provides an opportunity for governments to consider policies that optimise individual learning and development from 0-18, and maximise the return on their education investment. </w:t>
      </w:r>
    </w:p>
    <w:p w:rsidR="00C25B6F" w:rsidRPr="00A516DA" w:rsidRDefault="00C25B6F" w:rsidP="00C25B6F">
      <w:pPr>
        <w:pStyle w:val="Body"/>
        <w:tabs>
          <w:tab w:val="left" w:pos="3143"/>
        </w:tabs>
        <w:spacing w:line="240" w:lineRule="auto"/>
        <w:jc w:val="both"/>
        <w:rPr>
          <w:u w:val="single"/>
          <w:lang w:val="en-AU"/>
        </w:rPr>
      </w:pPr>
      <w:r w:rsidRPr="00A516DA">
        <w:rPr>
          <w:u w:val="single"/>
          <w:lang w:val="en-AU"/>
        </w:rPr>
        <w:t>Recommendation</w:t>
      </w:r>
    </w:p>
    <w:p w:rsidR="00C25B6F" w:rsidRDefault="00C25B6F" w:rsidP="00A516DA">
      <w:pPr>
        <w:pStyle w:val="ListParagraph"/>
        <w:numPr>
          <w:ilvl w:val="0"/>
          <w:numId w:val="46"/>
        </w:numPr>
      </w:pPr>
      <w:r w:rsidRPr="00782A8B">
        <w:t xml:space="preserve">Australian governments review the Melbourne Declaration on Educational Goals for Young Australians to </w:t>
      </w:r>
      <w:r>
        <w:t xml:space="preserve">embed </w:t>
      </w:r>
      <w:r w:rsidRPr="00782A8B">
        <w:t>the importance of the early years as the foundation for learning</w:t>
      </w:r>
      <w:r>
        <w:t xml:space="preserve"> in core education frameworks and policies</w:t>
      </w:r>
      <w:r w:rsidR="00DE399B">
        <w:t>, including articulating governments’ objectives for child outcomes</w:t>
      </w:r>
      <w:r w:rsidR="00977108">
        <w:t>.</w:t>
      </w:r>
    </w:p>
    <w:p w:rsidR="003D01AA" w:rsidRDefault="003D01AA" w:rsidP="003D01AA">
      <w:r>
        <w:t>While great strides have been made in recent times, the current level</w:t>
      </w:r>
      <w:r w:rsidR="009C3BF3">
        <w:t>s</w:t>
      </w:r>
      <w:r>
        <w:t xml:space="preserve"> of investment and quality of </w:t>
      </w:r>
      <w:r w:rsidR="00D87D9D">
        <w:t xml:space="preserve"> care</w:t>
      </w:r>
      <w:r>
        <w:t xml:space="preserve"> in Australia are insufficient to maximise children’s outcomes. </w:t>
      </w:r>
      <w:r w:rsidR="00D5515C">
        <w:t xml:space="preserve">Australia </w:t>
      </w:r>
      <w:r w:rsidR="00A605F1">
        <w:t>can do more for its children</w:t>
      </w:r>
      <w:r>
        <w:t xml:space="preserve">. A conceptual </w:t>
      </w:r>
      <w:r w:rsidRPr="00A516DA">
        <w:t xml:space="preserve">change </w:t>
      </w:r>
      <w:r>
        <w:t xml:space="preserve">is required to place the child at the heart of policy development, and </w:t>
      </w:r>
      <w:r w:rsidR="00D87D9D">
        <w:t xml:space="preserve">to allow </w:t>
      </w:r>
      <w:r>
        <w:t xml:space="preserve">investment and reform </w:t>
      </w:r>
      <w:r w:rsidR="00D87D9D">
        <w:t xml:space="preserve">to </w:t>
      </w:r>
      <w:r>
        <w:t>flow from that</w:t>
      </w:r>
      <w:r w:rsidR="00D87D9D">
        <w:t xml:space="preserve"> principle</w:t>
      </w:r>
      <w:r>
        <w:t xml:space="preserve">. </w:t>
      </w:r>
    </w:p>
    <w:p w:rsidR="003D01AA" w:rsidRDefault="003D01AA" w:rsidP="003D01AA">
      <w:r>
        <w:t>The evidence is clear that increased investment in</w:t>
      </w:r>
      <w:r w:rsidR="008803F6">
        <w:t xml:space="preserve"> quality</w:t>
      </w:r>
      <w:r>
        <w:t xml:space="preserve"> early childhood education would deliver a high </w:t>
      </w:r>
      <w:r w:rsidR="00A605F1">
        <w:t>return</w:t>
      </w:r>
      <w:r>
        <w:t xml:space="preserve"> and be worthwhile for any government. It would contribute significantly to </w:t>
      </w:r>
      <w:r w:rsidR="009C3BF3">
        <w:t xml:space="preserve">improved </w:t>
      </w:r>
      <w:r>
        <w:t>school and other outcomes</w:t>
      </w:r>
      <w:r w:rsidR="004664CB">
        <w:t xml:space="preserve">, and fiscal benefits would accrue to both Commonwealth and </w:t>
      </w:r>
      <w:r w:rsidR="001752FD">
        <w:t>s</w:t>
      </w:r>
      <w:r w:rsidR="004664CB">
        <w:t xml:space="preserve">tate and </w:t>
      </w:r>
      <w:r w:rsidR="001752FD">
        <w:t>t</w:t>
      </w:r>
      <w:r w:rsidR="004664CB" w:rsidRPr="00E502FD">
        <w:t xml:space="preserve">erritory </w:t>
      </w:r>
      <w:r w:rsidR="00392FCE">
        <w:t>g</w:t>
      </w:r>
      <w:r w:rsidR="004664CB">
        <w:t xml:space="preserve">overnments. </w:t>
      </w:r>
      <w:r>
        <w:t xml:space="preserve">There is a good reason that almost every other developed nation in the world invests more </w:t>
      </w:r>
      <w:r w:rsidR="009C3BF3">
        <w:t xml:space="preserve">than Australia </w:t>
      </w:r>
      <w:r>
        <w:t>in early childhood education and provides universal access to more than one year of early childhood education before school</w:t>
      </w:r>
      <w:r w:rsidR="00392FCE">
        <w:t>;</w:t>
      </w:r>
      <w:r>
        <w:t xml:space="preserve"> it is a</w:t>
      </w:r>
      <w:r w:rsidR="00D87D9D">
        <w:t>n</w:t>
      </w:r>
      <w:r>
        <w:t xml:space="preserve"> </w:t>
      </w:r>
      <w:r w:rsidR="003D3A7A">
        <w:t>investment that</w:t>
      </w:r>
      <w:r>
        <w:t xml:space="preserve"> pays significant dividends. </w:t>
      </w:r>
    </w:p>
    <w:p w:rsidR="00EF0216" w:rsidRDefault="00D87D9D" w:rsidP="003D01AA">
      <w:r>
        <w:t>The proposed reforms will not require significant additional expenditure</w:t>
      </w:r>
      <w:r w:rsidRPr="00D87D9D">
        <w:t xml:space="preserve"> </w:t>
      </w:r>
      <w:r>
        <w:t>in the short term.</w:t>
      </w:r>
      <w:r w:rsidR="003C37BA">
        <w:t xml:space="preserve"> </w:t>
      </w:r>
      <w:r w:rsidR="003D01AA">
        <w:t xml:space="preserve">Any expansion of early childhood education will likely take some time to deliver given the need for developing and expanding the workforce and, in many cases, infrastructure. </w:t>
      </w:r>
    </w:p>
    <w:p w:rsidR="00A13D2A" w:rsidRDefault="009C3BF3" w:rsidP="003D01AA">
      <w:r>
        <w:t>G</w:t>
      </w:r>
      <w:r w:rsidR="003D01AA">
        <w:t xml:space="preserve">overnments already contribute significantly, particularly to school education and early childhood services </w:t>
      </w:r>
      <w:r w:rsidR="00A13D2A">
        <w:t xml:space="preserve">that </w:t>
      </w:r>
      <w:r w:rsidR="003D01AA">
        <w:t xml:space="preserve">support workforce participation. The Review notes the Commonwealth </w:t>
      </w:r>
      <w:r>
        <w:t>G</w:t>
      </w:r>
      <w:r w:rsidR="003D01AA">
        <w:t>overnment has committed to increase its contribution to school education and child care</w:t>
      </w:r>
      <w:r>
        <w:t xml:space="preserve"> subsidies </w:t>
      </w:r>
      <w:r w:rsidR="003D01AA">
        <w:t>over the coming years.</w:t>
      </w:r>
      <w:r w:rsidR="00A36840">
        <w:t xml:space="preserve"> </w:t>
      </w:r>
      <w:r w:rsidR="00ED7B8F">
        <w:t xml:space="preserve">States and </w:t>
      </w:r>
      <w:r w:rsidR="0037370A">
        <w:t>territories</w:t>
      </w:r>
      <w:r w:rsidR="00ED7B8F">
        <w:t xml:space="preserve"> have significantly increased their investments as well. </w:t>
      </w:r>
      <w:r w:rsidR="003D01AA">
        <w:t xml:space="preserve">Additional investment in early childhood education could come from new investment by governments or reallocation of </w:t>
      </w:r>
      <w:r w:rsidR="00EF0216">
        <w:t xml:space="preserve">this </w:t>
      </w:r>
      <w:r w:rsidR="003D01AA">
        <w:t>existing and future expenditure</w:t>
      </w:r>
      <w:r>
        <w:t>, or a combination of the two.</w:t>
      </w:r>
      <w:r w:rsidR="00A13D2A">
        <w:t xml:space="preserve"> Additional investment in early childhood education by governments is one potential source of new funding, but reallocation of existing and future education expenditure or a combination of some reallocation plus new funding are also options.</w:t>
      </w:r>
    </w:p>
    <w:p w:rsidR="00EF0216" w:rsidRDefault="003D01AA" w:rsidP="003D01AA">
      <w:r>
        <w:t xml:space="preserve">Directing a portion of existing and future education expenditure to supporting learning and wellbeing in the years before school would be consistent with the Review’s conclusions </w:t>
      </w:r>
      <w:r w:rsidR="00ED7B8F">
        <w:t>that</w:t>
      </w:r>
      <w:r>
        <w:t xml:space="preserve"> </w:t>
      </w:r>
      <w:r w:rsidR="00ED7B8F">
        <w:t xml:space="preserve">increased investment in </w:t>
      </w:r>
      <w:r>
        <w:t xml:space="preserve">early childhood education </w:t>
      </w:r>
      <w:r w:rsidR="00ED7B8F">
        <w:t>will improve</w:t>
      </w:r>
      <w:r w:rsidR="00EF0216">
        <w:t xml:space="preserve"> </w:t>
      </w:r>
      <w:r>
        <w:t xml:space="preserve">school outcomes, and that </w:t>
      </w:r>
      <w:r w:rsidR="00ED7B8F">
        <w:t xml:space="preserve">learning and </w:t>
      </w:r>
      <w:r>
        <w:t>education should be more broadly conceived</w:t>
      </w:r>
      <w:r w:rsidR="00A13D2A">
        <w:t>, encompassing at least the time from birth until the age of 18.</w:t>
      </w:r>
    </w:p>
    <w:p w:rsidR="003D01AA" w:rsidRDefault="003D01AA" w:rsidP="003D01AA">
      <w:r>
        <w:t>Australia</w:t>
      </w:r>
      <w:r w:rsidR="004E297D">
        <w:t>n</w:t>
      </w:r>
      <w:r>
        <w:t xml:space="preserve"> </w:t>
      </w:r>
      <w:r w:rsidR="004E297D">
        <w:t xml:space="preserve">governments’ </w:t>
      </w:r>
      <w:r>
        <w:t>investment in school education (as a proportion of GDP) is around the OECD average.</w:t>
      </w:r>
      <w:r>
        <w:rPr>
          <w:vertAlign w:val="superscript"/>
        </w:rPr>
        <w:endnoteReference w:id="239"/>
      </w:r>
      <w:r>
        <w:t xml:space="preserve"> With the significant increase in schools funding recently announced,</w:t>
      </w:r>
      <w:r>
        <w:rPr>
          <w:vertAlign w:val="superscript"/>
        </w:rPr>
        <w:endnoteReference w:id="240"/>
      </w:r>
      <w:r>
        <w:t xml:space="preserve"> this is likely to increase to above </w:t>
      </w:r>
      <w:r w:rsidR="004677DC">
        <w:t xml:space="preserve">the </w:t>
      </w:r>
      <w:r>
        <w:t>OECD average in schools</w:t>
      </w:r>
      <w:r w:rsidR="007C659A">
        <w:t xml:space="preserve">. </w:t>
      </w:r>
      <w:r w:rsidR="004677DC">
        <w:t>However, a</w:t>
      </w:r>
      <w:r w:rsidR="007C659A">
        <w:t xml:space="preserve">s noted earlier, Australia’s investment in early childhood </w:t>
      </w:r>
      <w:r w:rsidR="00A605F1">
        <w:t>education</w:t>
      </w:r>
      <w:r w:rsidR="007C659A">
        <w:t xml:space="preserve"> </w:t>
      </w:r>
      <w:r>
        <w:t xml:space="preserve">remains significantly </w:t>
      </w:r>
      <w:r w:rsidR="007C659A">
        <w:t xml:space="preserve">below </w:t>
      </w:r>
      <w:r>
        <w:t xml:space="preserve">the OECD average. </w:t>
      </w:r>
      <w:r w:rsidR="00831C22">
        <w:t>T</w:t>
      </w:r>
      <w:r>
        <w:t xml:space="preserve">he evidence shows that it is </w:t>
      </w:r>
      <w:r w:rsidR="001F023B">
        <w:t>less expensive</w:t>
      </w:r>
      <w:r>
        <w:t xml:space="preserve"> and more effective to intervene early than to address problems later in schools, when they become greater and more entrenched. </w:t>
      </w:r>
      <w:r w:rsidR="00E63EEB">
        <w:t xml:space="preserve">As noted </w:t>
      </w:r>
      <w:r w:rsidR="00BC7E23">
        <w:t>earlier</w:t>
      </w:r>
      <w:r w:rsidR="00E63EEB">
        <w:t>, the</w:t>
      </w:r>
      <w:r w:rsidR="003C37BA">
        <w:t xml:space="preserve"> </w:t>
      </w:r>
      <w:r>
        <w:t>return on investment is high in the early years</w:t>
      </w:r>
      <w:r w:rsidR="00E63EEB">
        <w:t xml:space="preserve">, with </w:t>
      </w:r>
      <w:r w:rsidR="00BC7E23">
        <w:t>estimates ranging from $2.6</w:t>
      </w:r>
      <w:r w:rsidR="00B1042E">
        <w:t>2</w:t>
      </w:r>
      <w:r w:rsidR="00BC7E23">
        <w:t xml:space="preserve"> to $17 for every dollar invested</w:t>
      </w:r>
      <w:r>
        <w:t xml:space="preserve">. </w:t>
      </w:r>
    </w:p>
    <w:p w:rsidR="003D01AA" w:rsidRDefault="00831C22" w:rsidP="003D01AA">
      <w:r>
        <w:t xml:space="preserve">In view of </w:t>
      </w:r>
      <w:r w:rsidR="003D01AA">
        <w:t>the current level of investment, the Review considers that achieving OECD average investment in pre-primary education is an appropriate first goal. Once achieved, consideration can be given to more ambitious targets.</w:t>
      </w:r>
    </w:p>
    <w:p w:rsidR="00517861" w:rsidRDefault="00517861" w:rsidP="00517861">
      <w:r>
        <w:t>The Review notes that the Commonwealth’s current significant investment in early childhood is predominantly directed to facilitate parental workforce participation. As best as the Review can determine, the Commonwealth has articulated no objectives or targets with respect to outcomes for the children whose care they are subsidising. As discussed earlier, the Review considers this to be a missed opportunity. It is possible to reap a double dividend from this investment, to support a child’s learning and development</w:t>
      </w:r>
      <w:r w:rsidR="004677DC">
        <w:t xml:space="preserve"> as well as </w:t>
      </w:r>
      <w:r>
        <w:t xml:space="preserve">a parent’s workforce participation. </w:t>
      </w:r>
    </w:p>
    <w:p w:rsidR="003D01AA" w:rsidRPr="00A516DA" w:rsidRDefault="003D01AA" w:rsidP="003D01AA">
      <w:pPr>
        <w:pStyle w:val="Body"/>
        <w:tabs>
          <w:tab w:val="left" w:pos="3143"/>
        </w:tabs>
        <w:spacing w:line="240" w:lineRule="auto"/>
        <w:jc w:val="both"/>
        <w:rPr>
          <w:lang w:val="en-AU"/>
        </w:rPr>
      </w:pPr>
      <w:r w:rsidRPr="00A516DA">
        <w:rPr>
          <w:u w:val="single"/>
          <w:lang w:val="en-AU"/>
        </w:rPr>
        <w:t>Recommendation</w:t>
      </w:r>
    </w:p>
    <w:p w:rsidR="003D01AA" w:rsidRDefault="00782A8B" w:rsidP="00A516DA">
      <w:pPr>
        <w:pStyle w:val="ListParagraph"/>
        <w:numPr>
          <w:ilvl w:val="0"/>
          <w:numId w:val="46"/>
        </w:numPr>
        <w:pBdr>
          <w:top w:val="nil"/>
          <w:left w:val="nil"/>
          <w:bottom w:val="nil"/>
          <w:right w:val="nil"/>
          <w:between w:val="nil"/>
          <w:bar w:val="nil"/>
        </w:pBdr>
        <w:contextualSpacing w:val="0"/>
        <w:jc w:val="both"/>
      </w:pPr>
      <w:r w:rsidRPr="00782A8B">
        <w:t xml:space="preserve">Australian governments </w:t>
      </w:r>
      <w:r w:rsidR="004664CB">
        <w:t xml:space="preserve">work towards </w:t>
      </w:r>
      <w:r w:rsidRPr="00782A8B">
        <w:t xml:space="preserve">early childhood education investment </w:t>
      </w:r>
      <w:r w:rsidR="004664CB">
        <w:t xml:space="preserve">reaching </w:t>
      </w:r>
      <w:r w:rsidRPr="00782A8B">
        <w:t>at least the OECD average</w:t>
      </w:r>
      <w:r w:rsidR="00977108">
        <w:t>,</w:t>
      </w:r>
      <w:r w:rsidRPr="00782A8B">
        <w:t xml:space="preserve"> as a proportion of GDP</w:t>
      </w:r>
      <w:r w:rsidR="00977108">
        <w:t>.</w:t>
      </w:r>
      <w:r w:rsidR="00436BAF" w:rsidRPr="00FB2506">
        <w:rPr>
          <w:vertAlign w:val="superscript"/>
        </w:rPr>
        <w:footnoteReference w:id="8"/>
      </w:r>
      <w:r w:rsidR="00436BAF">
        <w:t xml:space="preserve"> </w:t>
      </w:r>
    </w:p>
    <w:p w:rsidR="00203234" w:rsidRDefault="00025E7B" w:rsidP="00203234">
      <w:pPr>
        <w:pStyle w:val="Heading2"/>
      </w:pPr>
      <w:bookmarkStart w:id="36" w:name="_Toc496894483"/>
      <w:bookmarkStart w:id="37" w:name="_Toc373586262"/>
      <w:bookmarkStart w:id="38" w:name="_Toc500850780"/>
      <w:r>
        <w:t>Reform theme two:</w:t>
      </w:r>
      <w:r w:rsidR="00064D1D">
        <w:t xml:space="preserve"> </w:t>
      </w:r>
      <w:r w:rsidR="00203234">
        <w:t>Early childhood education</w:t>
      </w:r>
      <w:bookmarkEnd w:id="36"/>
      <w:r w:rsidR="00203234">
        <w:t xml:space="preserve"> for </w:t>
      </w:r>
      <w:r w:rsidR="00B25C94">
        <w:t xml:space="preserve">all </w:t>
      </w:r>
      <w:r w:rsidR="00203234">
        <w:t>three year olds</w:t>
      </w:r>
      <w:bookmarkEnd w:id="37"/>
      <w:bookmarkEnd w:id="38"/>
    </w:p>
    <w:p w:rsidR="003D01AA" w:rsidRDefault="00D40B61" w:rsidP="00203234">
      <w:r>
        <w:t xml:space="preserve">In addition to settling ongoing, adequate funding for </w:t>
      </w:r>
      <w:r w:rsidR="003D01AA">
        <w:t xml:space="preserve">Universal Access to early childhood education for four </w:t>
      </w:r>
      <w:r w:rsidR="00C25B6F">
        <w:t>year olds (see recommendation 1)</w:t>
      </w:r>
      <w:r w:rsidR="003D01AA">
        <w:t xml:space="preserve">, governments should move to expand access </w:t>
      </w:r>
      <w:r>
        <w:t xml:space="preserve">for </w:t>
      </w:r>
      <w:r w:rsidR="003D01AA">
        <w:t xml:space="preserve">three year olds – providing every Australian child with access to </w:t>
      </w:r>
      <w:r w:rsidR="004D0215">
        <w:t xml:space="preserve">a </w:t>
      </w:r>
      <w:r w:rsidR="003D01AA">
        <w:t>qua</w:t>
      </w:r>
      <w:r w:rsidR="004D0215">
        <w:t>lity, age appropriate, evidence</w:t>
      </w:r>
      <w:r w:rsidR="003D01AA">
        <w:t xml:space="preserve">-based </w:t>
      </w:r>
      <w:r w:rsidR="00277917">
        <w:t>early childhood education</w:t>
      </w:r>
      <w:r w:rsidR="004D0215">
        <w:t xml:space="preserve"> program</w:t>
      </w:r>
      <w:r w:rsidR="003D01AA">
        <w:t xml:space="preserve">. </w:t>
      </w:r>
    </w:p>
    <w:p w:rsidR="00203234" w:rsidRDefault="00831C22" w:rsidP="00203234">
      <w:r>
        <w:t>T</w:t>
      </w:r>
      <w:r w:rsidR="00135330">
        <w:t xml:space="preserve">he case for extending universal access to three year olds is strong. </w:t>
      </w:r>
      <w:r w:rsidR="00DC71E8">
        <w:t>Many jurisdictions already provide targeted support, and moving to u</w:t>
      </w:r>
      <w:r w:rsidR="00203234">
        <w:t xml:space="preserve">niversal </w:t>
      </w:r>
      <w:r w:rsidR="004D0215">
        <w:t xml:space="preserve">access </w:t>
      </w:r>
      <w:r w:rsidR="00203234">
        <w:t xml:space="preserve">for children in this age group will make a real and cost-effective contribution to improving school outcomes in Australia. </w:t>
      </w:r>
    </w:p>
    <w:p w:rsidR="004B0752" w:rsidRDefault="004B0752" w:rsidP="004B0752">
      <w:r>
        <w:t xml:space="preserve">The national and international research, and the </w:t>
      </w:r>
      <w:r w:rsidR="004E297D">
        <w:t xml:space="preserve">level </w:t>
      </w:r>
      <w:r>
        <w:t xml:space="preserve">of provision in comparable jurisdictions, is more than sufficient to support the claims of the benefits of early childhood education, and to justify investment in this critical foundational area. </w:t>
      </w:r>
      <w:r w:rsidR="0072589D">
        <w:t xml:space="preserve">The </w:t>
      </w:r>
      <w:r>
        <w:t>unde</w:t>
      </w:r>
      <w:r w:rsidR="0072589D">
        <w:t xml:space="preserve">rstanding of brain development helps explain </w:t>
      </w:r>
      <w:r>
        <w:t xml:space="preserve">why the early years are so important for </w:t>
      </w:r>
      <w:r w:rsidR="003F0B40" w:rsidRPr="00B90C06">
        <w:t>long-term</w:t>
      </w:r>
      <w:r>
        <w:t xml:space="preserve"> outcomes.</w:t>
      </w:r>
      <w:r w:rsidR="003C37BA">
        <w:t xml:space="preserve"> </w:t>
      </w:r>
      <w:r w:rsidR="004E297D">
        <w:t>T</w:t>
      </w:r>
      <w:r>
        <w:t>he potential of quality early childhood education to improve a range of outcomes, in the short, medium and long term</w:t>
      </w:r>
      <w:r w:rsidR="0072589D">
        <w:t xml:space="preserve"> is </w:t>
      </w:r>
      <w:r w:rsidR="006619DB" w:rsidRPr="008B7815">
        <w:t>well established</w:t>
      </w:r>
      <w:r w:rsidR="004E297D">
        <w:t xml:space="preserve"> by an abundance of research</w:t>
      </w:r>
      <w:r>
        <w:t xml:space="preserve">. </w:t>
      </w:r>
      <w:r w:rsidR="0072589D">
        <w:t>A</w:t>
      </w:r>
      <w:r>
        <w:t xml:space="preserve">lmost every other developed nation in the world has come to the same conclusions – almost all invest more than Australian governments do and provide at least two years of early childhood education. The case for investment is strong. </w:t>
      </w:r>
    </w:p>
    <w:p w:rsidR="00135330" w:rsidRDefault="003D01AA" w:rsidP="00DC66BF">
      <w:r>
        <w:t>Expansion of access to early childhood education for three year olds should maintain the principle used for Universal Access for four year olds, with all governments contributing</w:t>
      </w:r>
      <w:r w:rsidR="004D0215">
        <w:t>. E</w:t>
      </w:r>
      <w:r>
        <w:t xml:space="preserve">ach jurisdiction </w:t>
      </w:r>
      <w:r w:rsidR="004D0215">
        <w:t xml:space="preserve">should be </w:t>
      </w:r>
      <w:r>
        <w:t xml:space="preserve">able to implement the policy </w:t>
      </w:r>
      <w:r w:rsidR="004D0215">
        <w:t>and</w:t>
      </w:r>
      <w:r w:rsidR="001C7613">
        <w:t xml:space="preserve"> </w:t>
      </w:r>
      <w:r w:rsidR="004D0215">
        <w:t>deliver a</w:t>
      </w:r>
      <w:r w:rsidR="00AC2FC5">
        <w:t xml:space="preserve"> quality early childhood education program </w:t>
      </w:r>
      <w:r w:rsidR="001C7613">
        <w:t>in ways that respond</w:t>
      </w:r>
      <w:r>
        <w:t xml:space="preserve"> to their own communit</w:t>
      </w:r>
      <w:r w:rsidR="004D0215">
        <w:t>ies, circumstances</w:t>
      </w:r>
      <w:r w:rsidR="001B01D5">
        <w:t>,</w:t>
      </w:r>
      <w:r w:rsidR="004D0215">
        <w:t xml:space="preserve"> systems</w:t>
      </w:r>
      <w:r w:rsidR="001B01D5">
        <w:t xml:space="preserve"> and service types</w:t>
      </w:r>
      <w:r w:rsidR="004D0215">
        <w:t>.</w:t>
      </w:r>
      <w:r w:rsidR="0072589D">
        <w:t xml:space="preserve"> </w:t>
      </w:r>
    </w:p>
    <w:p w:rsidR="004D0215" w:rsidRDefault="004D0215" w:rsidP="004D0215">
      <w:r>
        <w:t xml:space="preserve">This will require the support of both the Commonwealth Government, and the </w:t>
      </w:r>
      <w:r w:rsidR="009657F3">
        <w:t>s</w:t>
      </w:r>
      <w:r>
        <w:t xml:space="preserve">tate and </w:t>
      </w:r>
      <w:r w:rsidR="001752FD">
        <w:t>t</w:t>
      </w:r>
      <w:r w:rsidRPr="006D49E8">
        <w:t xml:space="preserve">erritory </w:t>
      </w:r>
      <w:r w:rsidR="001752FD">
        <w:t>g</w:t>
      </w:r>
      <w:r>
        <w:t>overnments. Investment will be required in the early childhood workforce, and</w:t>
      </w:r>
      <w:r w:rsidR="00413084">
        <w:t>,</w:t>
      </w:r>
      <w:r>
        <w:t xml:space="preserve"> in many cases</w:t>
      </w:r>
      <w:r w:rsidR="00ED7B8F">
        <w:t>,</w:t>
      </w:r>
      <w:r>
        <w:t xml:space="preserve"> in infrastructure. </w:t>
      </w:r>
    </w:p>
    <w:p w:rsidR="00F926F0" w:rsidRDefault="00135330" w:rsidP="00DC66BF">
      <w:r w:rsidRPr="003F2265">
        <w:t>The Review recognise</w:t>
      </w:r>
      <w:r>
        <w:t>s</w:t>
      </w:r>
      <w:r w:rsidRPr="003F2265">
        <w:t xml:space="preserve"> that this represents a significant </w:t>
      </w:r>
      <w:r>
        <w:t xml:space="preserve">reform </w:t>
      </w:r>
      <w:r w:rsidR="0072589D">
        <w:t xml:space="preserve">and will take some time to </w:t>
      </w:r>
      <w:r w:rsidR="0072589D" w:rsidRPr="00413084">
        <w:t>roll</w:t>
      </w:r>
      <w:r w:rsidR="00413084">
        <w:t xml:space="preserve"> </w:t>
      </w:r>
      <w:r w:rsidRPr="00413084">
        <w:t>out</w:t>
      </w:r>
      <w:r>
        <w:t xml:space="preserve">. </w:t>
      </w:r>
      <w:r w:rsidR="00F926F0">
        <w:t>Different jurisdictions will face different challenges and start from different positions. The roll</w:t>
      </w:r>
      <w:r w:rsidR="00956259">
        <w:t xml:space="preserve"> </w:t>
      </w:r>
      <w:r w:rsidR="00F926F0">
        <w:t>out will need to be carefully planned</w:t>
      </w:r>
      <w:r w:rsidR="00DC71E8">
        <w:t xml:space="preserve"> and implemented</w:t>
      </w:r>
      <w:r w:rsidR="00F926F0">
        <w:t xml:space="preserve"> so expansion does not come at the expense of quality or </w:t>
      </w:r>
      <w:r w:rsidR="005B13CA">
        <w:t>ha</w:t>
      </w:r>
      <w:r w:rsidR="00956259">
        <w:t>ve</w:t>
      </w:r>
      <w:r w:rsidR="005B13CA">
        <w:t xml:space="preserve"> unintended consequences, such as </w:t>
      </w:r>
      <w:r w:rsidR="00F926F0">
        <w:t xml:space="preserve">disadvantaged four year olds </w:t>
      </w:r>
      <w:r w:rsidR="005B13CA">
        <w:t xml:space="preserve">being </w:t>
      </w:r>
      <w:r w:rsidR="00F926F0">
        <w:t>displaced from an existing preschool program.</w:t>
      </w:r>
    </w:p>
    <w:p w:rsidR="004D0215" w:rsidRDefault="00F926F0" w:rsidP="00DC66BF">
      <w:r>
        <w:t xml:space="preserve">Where practicable, </w:t>
      </w:r>
      <w:r w:rsidR="0072589D">
        <w:t>the roll</w:t>
      </w:r>
      <w:r w:rsidR="00956259">
        <w:t xml:space="preserve"> </w:t>
      </w:r>
      <w:r w:rsidR="004D0215">
        <w:t xml:space="preserve">out should prioritise access </w:t>
      </w:r>
      <w:r w:rsidR="00413084">
        <w:t>for</w:t>
      </w:r>
      <w:r w:rsidR="00413084" w:rsidRPr="00413084">
        <w:t xml:space="preserve"> </w:t>
      </w:r>
      <w:r w:rsidR="004D0215">
        <w:t>disadvantaged children, families and communities</w:t>
      </w:r>
      <w:r w:rsidR="0072589D">
        <w:t>,</w:t>
      </w:r>
      <w:r w:rsidR="004D0215">
        <w:t xml:space="preserve"> </w:t>
      </w:r>
      <w:r>
        <w:t xml:space="preserve">given that </w:t>
      </w:r>
      <w:r w:rsidRPr="00F926F0">
        <w:t>disadvantaged children will benefit the most from it</w:t>
      </w:r>
      <w:r w:rsidR="004D0215">
        <w:t xml:space="preserve">. </w:t>
      </w:r>
    </w:p>
    <w:p w:rsidR="00135330" w:rsidRPr="00A516DA" w:rsidRDefault="004D0215" w:rsidP="005026E6">
      <w:pPr>
        <w:pStyle w:val="Body"/>
        <w:tabs>
          <w:tab w:val="left" w:pos="3143"/>
        </w:tabs>
        <w:spacing w:line="240" w:lineRule="auto"/>
        <w:jc w:val="both"/>
        <w:rPr>
          <w:lang w:val="en-AU"/>
        </w:rPr>
      </w:pPr>
      <w:r w:rsidRPr="00A516DA">
        <w:rPr>
          <w:u w:val="single"/>
          <w:lang w:val="en-AU"/>
        </w:rPr>
        <w:t>Recommendation</w:t>
      </w:r>
    </w:p>
    <w:p w:rsidR="00AC2FC5" w:rsidRDefault="00AC2FC5" w:rsidP="00A516DA">
      <w:pPr>
        <w:pStyle w:val="ListParagraph"/>
        <w:numPr>
          <w:ilvl w:val="0"/>
          <w:numId w:val="46"/>
        </w:numPr>
        <w:pBdr>
          <w:top w:val="nil"/>
          <w:left w:val="nil"/>
          <w:bottom w:val="nil"/>
          <w:right w:val="nil"/>
          <w:between w:val="nil"/>
          <w:bar w:val="nil"/>
        </w:pBdr>
        <w:contextualSpacing w:val="0"/>
      </w:pPr>
      <w:r w:rsidRPr="00782A8B">
        <w:t xml:space="preserve">Australian governments progressively implement universal access to </w:t>
      </w:r>
      <w:r>
        <w:t>600 hours per year of a quality early childhood education program</w:t>
      </w:r>
      <w:r w:rsidR="00977108">
        <w:t xml:space="preserve">, </w:t>
      </w:r>
      <w:r>
        <w:t>for example preschoo</w:t>
      </w:r>
      <w:r w:rsidR="00224E56">
        <w:t>l</w:t>
      </w:r>
      <w:r w:rsidR="00977108">
        <w:t>,</w:t>
      </w:r>
      <w:r>
        <w:t xml:space="preserve"> </w:t>
      </w:r>
      <w:r w:rsidRPr="00782A8B">
        <w:t xml:space="preserve">for </w:t>
      </w:r>
      <w:r w:rsidR="0047340F">
        <w:t xml:space="preserve">all </w:t>
      </w:r>
      <w:r w:rsidRPr="00782A8B">
        <w:t xml:space="preserve">three year olds, with access </w:t>
      </w:r>
      <w:r w:rsidR="00224E56">
        <w:t>prioritised</w:t>
      </w:r>
      <w:r w:rsidRPr="003C30CF">
        <w:t xml:space="preserve"> </w:t>
      </w:r>
      <w:r w:rsidRPr="00782A8B">
        <w:t>for disadvantaged children, families and communities</w:t>
      </w:r>
      <w:r w:rsidR="0047340F">
        <w:t xml:space="preserve"> during roll out</w:t>
      </w:r>
      <w:r w:rsidR="00977108">
        <w:t>.</w:t>
      </w:r>
    </w:p>
    <w:p w:rsidR="00682AD8" w:rsidRDefault="00025E7B" w:rsidP="00682AD8">
      <w:pPr>
        <w:pStyle w:val="Heading2"/>
      </w:pPr>
      <w:bookmarkStart w:id="39" w:name="_Toc373586263"/>
      <w:bookmarkStart w:id="40" w:name="_Toc500850781"/>
      <w:r>
        <w:t>Reform theme three:</w:t>
      </w:r>
      <w:r w:rsidR="009657F3">
        <w:t xml:space="preserve"> </w:t>
      </w:r>
      <w:r w:rsidR="00682AD8">
        <w:t xml:space="preserve">Access, </w:t>
      </w:r>
      <w:r w:rsidR="00831C22">
        <w:t>e</w:t>
      </w:r>
      <w:r w:rsidR="00682AD8">
        <w:t xml:space="preserve">quity and </w:t>
      </w:r>
      <w:r w:rsidR="00831C22">
        <w:t>i</w:t>
      </w:r>
      <w:r w:rsidR="00682AD8">
        <w:t>nclusion – additional support for some children and families</w:t>
      </w:r>
      <w:bookmarkEnd w:id="39"/>
      <w:bookmarkEnd w:id="40"/>
    </w:p>
    <w:p w:rsidR="00135330" w:rsidRDefault="00135330" w:rsidP="00DC66BF">
      <w:r>
        <w:t xml:space="preserve">Recognising that all children can benefit from a quality early childhood education is not the same as saying the best approach is for every child to receive the same </w:t>
      </w:r>
      <w:r w:rsidR="004E297D">
        <w:t>support or service</w:t>
      </w:r>
      <w:r>
        <w:t xml:space="preserve">. </w:t>
      </w:r>
      <w:r w:rsidR="00831C22">
        <w:t xml:space="preserve">Governments do not have to choose between a </w:t>
      </w:r>
      <w:r>
        <w:t>universal or targeted approach. The best approach is one where every child receives a baseline level of quality early childhood education, and disadvantaged and vulnerable children</w:t>
      </w:r>
      <w:r w:rsidR="00831C22">
        <w:t xml:space="preserve"> and their families</w:t>
      </w:r>
      <w:r>
        <w:t xml:space="preserve"> receive additional support. This is consistent with the concept of needs</w:t>
      </w:r>
      <w:r w:rsidR="009C3731">
        <w:t>-</w:t>
      </w:r>
      <w:r>
        <w:t xml:space="preserve">based funding in schools – some children </w:t>
      </w:r>
      <w:r w:rsidR="009C3731">
        <w:t>require</w:t>
      </w:r>
      <w:r>
        <w:t xml:space="preserve"> more </w:t>
      </w:r>
      <w:r w:rsidR="00ED7B8F">
        <w:t xml:space="preserve">resources and support </w:t>
      </w:r>
      <w:r>
        <w:t xml:space="preserve">to achieve the </w:t>
      </w:r>
      <w:r w:rsidR="00ED7B8F">
        <w:t xml:space="preserve">desired </w:t>
      </w:r>
      <w:r>
        <w:t xml:space="preserve">outcome. In early childhood, </w:t>
      </w:r>
      <w:r w:rsidR="0072589D">
        <w:t>this approach is often referred to as proportionate universalism.</w:t>
      </w:r>
    </w:p>
    <w:p w:rsidR="00135330" w:rsidRDefault="00135330" w:rsidP="00DC66BF">
      <w:r>
        <w:t>The Review heard that the nature of disadvantage and vulnerability can vary greatly between families, communities and groups, and response</w:t>
      </w:r>
      <w:r w:rsidR="001F023B">
        <w:t>s need</w:t>
      </w:r>
      <w:r>
        <w:t xml:space="preserve"> to be tailored to circumstance, sometimes at an individual level.</w:t>
      </w:r>
    </w:p>
    <w:p w:rsidR="00135330" w:rsidRDefault="00135330" w:rsidP="00DC66BF">
      <w:r>
        <w:t xml:space="preserve">While cost is often identified as a barrier to access, </w:t>
      </w:r>
      <w:r w:rsidR="00831C22">
        <w:t xml:space="preserve">and can be a significant factor, </w:t>
      </w:r>
      <w:r>
        <w:t xml:space="preserve">it is not the only </w:t>
      </w:r>
      <w:r w:rsidR="00831C22">
        <w:t>barrier</w:t>
      </w:r>
      <w:r>
        <w:t xml:space="preserve">. Other factors such as </w:t>
      </w:r>
      <w:r w:rsidR="00831C22">
        <w:t xml:space="preserve">the </w:t>
      </w:r>
      <w:r>
        <w:t>ability to access transport to and from a service, or complex enrolment or administrative processes, can be barrier</w:t>
      </w:r>
      <w:r w:rsidR="0072589D">
        <w:t>s</w:t>
      </w:r>
      <w:r>
        <w:t>. In some cases, families do not feel welcomed by services, or feel judged by them. English fluency, distance and remoteness or a child’s health issues or disability</w:t>
      </w:r>
      <w:r w:rsidR="003D01AA" w:rsidRPr="003D01AA">
        <w:t xml:space="preserve"> </w:t>
      </w:r>
      <w:r w:rsidR="003D01AA">
        <w:t>are also commonly identified as barriers</w:t>
      </w:r>
      <w:r w:rsidR="003D3A7A">
        <w:t>.</w:t>
      </w:r>
    </w:p>
    <w:p w:rsidR="00135330" w:rsidRDefault="008D76B4" w:rsidP="00DC66BF">
      <w:r w:rsidRPr="003F19D3">
        <w:t>Families in disadvantaged or vulnerable circumstances often feel these barriers most acutely</w:t>
      </w:r>
      <w:r w:rsidR="00135330">
        <w:t xml:space="preserve">. When confident and well-resourced families </w:t>
      </w:r>
      <w:r w:rsidR="003D3A7A">
        <w:t>encounter barriers</w:t>
      </w:r>
      <w:r w:rsidR="00135330">
        <w:t xml:space="preserve"> or complications, they are likely to find a way around </w:t>
      </w:r>
      <w:r w:rsidR="005B5FCD">
        <w:t>them</w:t>
      </w:r>
      <w:r w:rsidR="00135330">
        <w:t xml:space="preserve">. </w:t>
      </w:r>
      <w:r w:rsidR="00250CFD">
        <w:t>This is less likely with</w:t>
      </w:r>
      <w:r w:rsidR="00135330">
        <w:t xml:space="preserve"> disadvantaged families</w:t>
      </w:r>
      <w:r w:rsidR="009C3731">
        <w:t>; those</w:t>
      </w:r>
      <w:r w:rsidR="00435222">
        <w:t xml:space="preserve"> who </w:t>
      </w:r>
      <w:r w:rsidR="00135330">
        <w:t xml:space="preserve">would benefit most from the services. </w:t>
      </w:r>
      <w:r w:rsidR="00135330" w:rsidRPr="00413084">
        <w:t>Ef</w:t>
      </w:r>
      <w:r w:rsidR="00135330" w:rsidRPr="00224E56">
        <w:t>fort</w:t>
      </w:r>
      <w:r w:rsidR="009C3731">
        <w:t>s</w:t>
      </w:r>
      <w:r w:rsidR="00135330">
        <w:t xml:space="preserve"> must be made to reach out to the</w:t>
      </w:r>
      <w:r w:rsidR="00435222">
        <w:t>se children and families</w:t>
      </w:r>
      <w:r w:rsidR="00135330">
        <w:t xml:space="preserve">, </w:t>
      </w:r>
      <w:r w:rsidR="00831C22">
        <w:t xml:space="preserve">engage with their ideas and concerns, </w:t>
      </w:r>
      <w:r w:rsidR="00135330">
        <w:t>welcome them, include them</w:t>
      </w:r>
      <w:r w:rsidR="009C3731">
        <w:t xml:space="preserve"> and</w:t>
      </w:r>
      <w:r w:rsidR="00135330">
        <w:t xml:space="preserve"> make it as easy as possible for them to </w:t>
      </w:r>
      <w:r w:rsidR="0072589D">
        <w:t>fully participate</w:t>
      </w:r>
      <w:r w:rsidR="00135330">
        <w:t xml:space="preserve">. </w:t>
      </w:r>
    </w:p>
    <w:p w:rsidR="00135330" w:rsidRDefault="00135330" w:rsidP="00DC66BF">
      <w:r>
        <w:t xml:space="preserve">The Review noted that many </w:t>
      </w:r>
      <w:r w:rsidR="00493DD7">
        <w:t xml:space="preserve">initiatives </w:t>
      </w:r>
      <w:r>
        <w:t xml:space="preserve">that are now </w:t>
      </w:r>
      <w:r w:rsidR="00435222">
        <w:t xml:space="preserve">accepted parts of schooling in Australia </w:t>
      </w:r>
      <w:r>
        <w:t xml:space="preserve">– such as </w:t>
      </w:r>
      <w:r w:rsidR="00ED7B8F">
        <w:t xml:space="preserve">free government school provision, </w:t>
      </w:r>
      <w:r>
        <w:t xml:space="preserve">school buses or alternative transport supports, programs for children with a disability, visiting health professionals, breakfast clubs and parent engagement – </w:t>
      </w:r>
      <w:r w:rsidR="00831C22">
        <w:t xml:space="preserve">could be paralleled </w:t>
      </w:r>
      <w:r>
        <w:t xml:space="preserve">in early childhood. </w:t>
      </w:r>
    </w:p>
    <w:p w:rsidR="00135330" w:rsidRDefault="00135330" w:rsidP="00DC66BF">
      <w:r>
        <w:t xml:space="preserve">There are a number of ways to design an early childhood education system that recognises some children need more help to fully participate and benefit. </w:t>
      </w:r>
    </w:p>
    <w:p w:rsidR="00946EC3" w:rsidRPr="009725F4" w:rsidRDefault="00135330">
      <w:r>
        <w:t xml:space="preserve">For example, disadvantaged children </w:t>
      </w:r>
      <w:r w:rsidR="0072589D">
        <w:t xml:space="preserve">could </w:t>
      </w:r>
      <w:r>
        <w:t xml:space="preserve">receive a greater subsidy or free access (promoting participation), more hours of service per week, a more </w:t>
      </w:r>
      <w:r w:rsidR="0072589D">
        <w:t>intensive</w:t>
      </w:r>
      <w:r>
        <w:t xml:space="preserve"> </w:t>
      </w:r>
      <w:r w:rsidR="0072589D">
        <w:t xml:space="preserve">service </w:t>
      </w:r>
      <w:r>
        <w:t>(</w:t>
      </w:r>
      <w:r w:rsidR="003D3A7A">
        <w:t>e.g.</w:t>
      </w:r>
      <w:r>
        <w:t xml:space="preserve"> a </w:t>
      </w:r>
      <w:r w:rsidR="0072589D">
        <w:t xml:space="preserve">higher </w:t>
      </w:r>
      <w:r>
        <w:t>educator</w:t>
      </w:r>
      <w:r w:rsidR="002F3B95">
        <w:t>-</w:t>
      </w:r>
      <w:r>
        <w:t>to</w:t>
      </w:r>
      <w:r w:rsidR="002F3B95">
        <w:t>-</w:t>
      </w:r>
      <w:r>
        <w:t>child ratio), or additional supports (</w:t>
      </w:r>
      <w:r w:rsidR="003D3A7A">
        <w:t>e.g.</w:t>
      </w:r>
      <w:r>
        <w:t xml:space="preserve"> </w:t>
      </w:r>
      <w:r w:rsidR="0072589D">
        <w:t>a visiting allied health professional</w:t>
      </w:r>
      <w:r>
        <w:t>). The workforce supporting some children could have higher qualifications or receive targeted training (</w:t>
      </w:r>
      <w:r w:rsidR="0072589D">
        <w:t xml:space="preserve">e.g. </w:t>
      </w:r>
      <w:r>
        <w:t xml:space="preserve">in </w:t>
      </w:r>
      <w:r w:rsidR="0072589D">
        <w:t>trauma</w:t>
      </w:r>
      <w:r w:rsidR="002F3B95">
        <w:t>-</w:t>
      </w:r>
      <w:r w:rsidR="0072589D">
        <w:t>informed practice or working with particular cultural groups</w:t>
      </w:r>
      <w:r>
        <w:t>).</w:t>
      </w:r>
      <w:r w:rsidR="00956259">
        <w:t xml:space="preserve"> </w:t>
      </w:r>
      <w:r>
        <w:t xml:space="preserve">The school readiness funding being introduced in Victorian preschools is an example of how this additional support can be provided with flexibility and </w:t>
      </w:r>
      <w:r w:rsidRPr="00716278">
        <w:t>rigo</w:t>
      </w:r>
      <w:r w:rsidR="00716278">
        <w:t>u</w:t>
      </w:r>
      <w:r w:rsidRPr="00716278">
        <w:t>r</w:t>
      </w:r>
      <w:r>
        <w:t xml:space="preserve"> through a needs-based funding system. </w:t>
      </w:r>
    </w:p>
    <w:p w:rsidR="00135330" w:rsidRDefault="00135330" w:rsidP="00D51254">
      <w:pPr>
        <w:autoSpaceDE w:val="0"/>
        <w:autoSpaceDN w:val="0"/>
        <w:adjustRightInd w:val="0"/>
        <w:spacing w:after="0"/>
        <w:rPr>
          <w:rFonts w:cs="Segoe UI"/>
          <w:sz w:val="21"/>
          <w:szCs w:val="21"/>
        </w:rPr>
      </w:pPr>
      <w:r>
        <w:t>Other, related services can also be provided – for example</w:t>
      </w:r>
      <w:r w:rsidR="00716278">
        <w:t>,</w:t>
      </w:r>
      <w:r>
        <w:t xml:space="preserve"> earlier education programs (such as supported playgroup</w:t>
      </w:r>
      <w:r w:rsidR="00435222">
        <w:t>s</w:t>
      </w:r>
      <w:r>
        <w:t>), interventions designed to address existing barriers (such as transport to and from service</w:t>
      </w:r>
      <w:r w:rsidR="00435222">
        <w:t>s</w:t>
      </w:r>
      <w:r>
        <w:t xml:space="preserve">), programs </w:t>
      </w:r>
      <w:r w:rsidR="00ED7B8F">
        <w:t xml:space="preserve">designed for </w:t>
      </w:r>
      <w:r>
        <w:t xml:space="preserve">parents to improve the home </w:t>
      </w:r>
      <w:r w:rsidR="00ED7B8F">
        <w:t xml:space="preserve">learning </w:t>
      </w:r>
      <w:r>
        <w:t xml:space="preserve">environment, </w:t>
      </w:r>
      <w:r w:rsidR="00EA67C1">
        <w:t xml:space="preserve">programs that enable parents to participate alongside their child, programs tailored to specific communities or issues, </w:t>
      </w:r>
      <w:r>
        <w:t xml:space="preserve">or facilitation or support workers to help with service access. </w:t>
      </w:r>
      <w:r w:rsidR="001214FD" w:rsidRPr="00D51254">
        <w:rPr>
          <w:rFonts w:cs="Segoe UI"/>
          <w:color w:val="000000"/>
        </w:rPr>
        <w:t xml:space="preserve">Services to parents before preschool can enhance the home learning environment and a child’s earliest years, but also can help build connections and trust between families and services. This helps encourage participation and is important to the effectiveness of preschool. </w:t>
      </w:r>
    </w:p>
    <w:p w:rsidR="001214FD" w:rsidRPr="00D51254" w:rsidRDefault="001214FD" w:rsidP="00D51254">
      <w:pPr>
        <w:autoSpaceDE w:val="0"/>
        <w:autoSpaceDN w:val="0"/>
        <w:adjustRightInd w:val="0"/>
        <w:spacing w:after="0"/>
        <w:rPr>
          <w:rFonts w:cs="Segoe UI"/>
          <w:sz w:val="21"/>
          <w:szCs w:val="21"/>
        </w:rPr>
      </w:pPr>
    </w:p>
    <w:p w:rsidR="00135330" w:rsidRDefault="00135330" w:rsidP="00DC66BF">
      <w:r>
        <w:t>In some cases, the issues in accessing early childhood education are only</w:t>
      </w:r>
      <w:r w:rsidR="00716278">
        <w:t xml:space="preserve"> part</w:t>
      </w:r>
      <w:r>
        <w:t xml:space="preserve"> of broader challenges </w:t>
      </w:r>
      <w:r w:rsidR="00831C22">
        <w:t xml:space="preserve">being confronted in </w:t>
      </w:r>
      <w:r>
        <w:t xml:space="preserve">a child’s family. For </w:t>
      </w:r>
      <w:r w:rsidR="00B3650E">
        <w:t>these</w:t>
      </w:r>
      <w:r w:rsidR="003D01AA">
        <w:t xml:space="preserve"> </w:t>
      </w:r>
      <w:r>
        <w:t xml:space="preserve">families, early childhood </w:t>
      </w:r>
      <w:r w:rsidR="00AD224E">
        <w:t xml:space="preserve">interventions </w:t>
      </w:r>
      <w:r w:rsidR="00B3650E">
        <w:t xml:space="preserve">can </w:t>
      </w:r>
      <w:r>
        <w:t xml:space="preserve">provide a powerful opportunity to break the cycle of intergenerational disadvantage. From both the literature and visiting services first hand, it is clear that early childhood services can provide a </w:t>
      </w:r>
      <w:r w:rsidR="00716278">
        <w:t>‘</w:t>
      </w:r>
      <w:r>
        <w:t>soft entry point</w:t>
      </w:r>
      <w:r w:rsidR="00716278">
        <w:t>’</w:t>
      </w:r>
      <w:r>
        <w:t xml:space="preserve"> for parents into </w:t>
      </w:r>
      <w:r w:rsidR="00B3650E">
        <w:t>other supports</w:t>
      </w:r>
      <w:r w:rsidR="00716278">
        <w:t xml:space="preserve">; </w:t>
      </w:r>
      <w:r w:rsidR="00B3650E">
        <w:t>to feel part of a community, access health and social services and supports, and gain work experience or educational qualifications. They can also help</w:t>
      </w:r>
      <w:r>
        <w:t xml:space="preserve"> build parental engagement with the education system, which can be helpful when children </w:t>
      </w:r>
      <w:r w:rsidR="00517861">
        <w:t xml:space="preserve">transition to </w:t>
      </w:r>
      <w:r>
        <w:t xml:space="preserve">school. </w:t>
      </w:r>
    </w:p>
    <w:p w:rsidR="00135330" w:rsidRDefault="00135330" w:rsidP="00DC66BF">
      <w:r>
        <w:t xml:space="preserve">The Review was fortunate to visit a </w:t>
      </w:r>
      <w:r w:rsidR="00B3650E">
        <w:t xml:space="preserve">number of services, including a </w:t>
      </w:r>
      <w:r>
        <w:t xml:space="preserve">Child and Family </w:t>
      </w:r>
      <w:r w:rsidR="00DD1B4B">
        <w:t>Centre</w:t>
      </w:r>
      <w:r>
        <w:t xml:space="preserve"> in Tasmania, and hear about the Families as First Teacher program in the Northern Territory. Both were powerful demonstrations of the ability of early childhood services to </w:t>
      </w:r>
      <w:r w:rsidR="00B3650E">
        <w:t xml:space="preserve">improve the lives of </w:t>
      </w:r>
      <w:r>
        <w:t xml:space="preserve">parents and children. </w:t>
      </w:r>
      <w:r w:rsidR="00AD224E" w:rsidRPr="00AD224E">
        <w:t xml:space="preserve"> It was therefore not surprising that some of the examples from the early childhood literature that have the highest return on investment are those that provide earlier or additional intervention for families and children, such as home visiting or other parenting support. Combined with early childhood education, these additional, targeted interventions engage parents and strengthen a child’s learning both in and outside the home.</w:t>
      </w:r>
    </w:p>
    <w:p w:rsidR="00443898" w:rsidRDefault="00443898" w:rsidP="00443898">
      <w:r>
        <w:t xml:space="preserve">While early childhood education services are voluntary in every jurisdiction across Australia, the Review considers all governments should aspire </w:t>
      </w:r>
      <w:r w:rsidR="00340BCD">
        <w:t xml:space="preserve">to </w:t>
      </w:r>
      <w:r>
        <w:t xml:space="preserve">full participation. The alacrity with which parents took the opportunity to enrol their children in </w:t>
      </w:r>
      <w:r w:rsidR="00716278" w:rsidRPr="000F4D2B">
        <w:t>four</w:t>
      </w:r>
      <w:r w:rsidR="00663A8C">
        <w:t xml:space="preserve"> </w:t>
      </w:r>
      <w:r w:rsidR="00716278" w:rsidRPr="000F4D2B">
        <w:t>year</w:t>
      </w:r>
      <w:r w:rsidR="00663A8C">
        <w:t xml:space="preserve"> </w:t>
      </w:r>
      <w:r w:rsidR="00716278" w:rsidRPr="000F4D2B">
        <w:t>old</w:t>
      </w:r>
      <w:r>
        <w:t xml:space="preserve"> preschool suggest</w:t>
      </w:r>
      <w:r w:rsidR="00517861">
        <w:t>s</w:t>
      </w:r>
      <w:r>
        <w:t xml:space="preserve"> they value it. </w:t>
      </w:r>
    </w:p>
    <w:p w:rsidR="00443898" w:rsidRDefault="00443898" w:rsidP="00443898">
      <w:r>
        <w:t xml:space="preserve">Aiming for full participation is important for two reasons. First, the evidence shows early childhood education is of significant benefit. It should therefore be the aim of every government that every child benefits from it. Second, in the absence of full participation, it </w:t>
      </w:r>
      <w:r w:rsidR="00ED7B8F">
        <w:t xml:space="preserve">is likely to </w:t>
      </w:r>
      <w:r>
        <w:t xml:space="preserve">be the disadvantaged that disproportionately miss out. The extra effort to encourage and support their </w:t>
      </w:r>
      <w:r w:rsidR="00ED7B8F">
        <w:t xml:space="preserve">full </w:t>
      </w:r>
      <w:r>
        <w:t>participation is vital.</w:t>
      </w:r>
      <w:r w:rsidR="00887DFC">
        <w:t xml:space="preserve"> There is a clear need to engage with families that currently do not take part in early childhood education</w:t>
      </w:r>
      <w:r w:rsidR="00887DFC" w:rsidRPr="003C2B68">
        <w:t>.</w:t>
      </w:r>
    </w:p>
    <w:p w:rsidR="00443898" w:rsidRDefault="00443898" w:rsidP="009B798E">
      <w:r>
        <w:t xml:space="preserve">The Review acknowledges that achieving the target </w:t>
      </w:r>
      <w:r w:rsidR="00011354">
        <w:t xml:space="preserve">of full participation </w:t>
      </w:r>
      <w:r>
        <w:t>will be difficult</w:t>
      </w:r>
      <w:r w:rsidR="005E026A">
        <w:t xml:space="preserve">. </w:t>
      </w:r>
      <w:r w:rsidR="009D04C4">
        <w:t xml:space="preserve">Better data is required to understand who does and does not attend, and why. </w:t>
      </w:r>
      <w:r w:rsidR="00E406AF">
        <w:t>There will always be children who are unable to attend (for example</w:t>
      </w:r>
      <w:r w:rsidR="000F4D2B">
        <w:t>,</w:t>
      </w:r>
      <w:r w:rsidR="00E406AF">
        <w:t xml:space="preserve"> due to illness). P</w:t>
      </w:r>
      <w:r w:rsidR="005E026A">
        <w:t xml:space="preserve">rimary school attendance rates, for example, are below 94 per cent in </w:t>
      </w:r>
      <w:r w:rsidR="00E406AF">
        <w:t>Australia</w:t>
      </w:r>
      <w:r w:rsidR="005E026A">
        <w:t>.</w:t>
      </w:r>
      <w:r w:rsidR="005E026A">
        <w:rPr>
          <w:rStyle w:val="EndnoteReference"/>
        </w:rPr>
        <w:endnoteReference w:id="241"/>
      </w:r>
      <w:r w:rsidR="005E026A">
        <w:t xml:space="preserve"> A</w:t>
      </w:r>
      <w:r>
        <w:t>nd early childhood education in Australia is voluntary</w:t>
      </w:r>
      <w:r w:rsidR="00E406AF">
        <w:t>, not compulsory</w:t>
      </w:r>
      <w:r>
        <w:t xml:space="preserve">. But </w:t>
      </w:r>
      <w:r w:rsidR="00831C22">
        <w:t xml:space="preserve">full participation </w:t>
      </w:r>
      <w:r>
        <w:t xml:space="preserve">is a worthy aspiration. </w:t>
      </w:r>
    </w:p>
    <w:p w:rsidR="00135330" w:rsidRPr="00A516DA" w:rsidRDefault="00135330" w:rsidP="009B798E">
      <w:pPr>
        <w:pStyle w:val="Body"/>
        <w:tabs>
          <w:tab w:val="left" w:pos="3143"/>
        </w:tabs>
        <w:spacing w:line="240" w:lineRule="auto"/>
        <w:rPr>
          <w:lang w:val="en-AU"/>
        </w:rPr>
      </w:pPr>
      <w:r w:rsidRPr="00A516DA">
        <w:rPr>
          <w:u w:val="single"/>
          <w:lang w:val="en-AU"/>
        </w:rPr>
        <w:t>Recommendations</w:t>
      </w:r>
    </w:p>
    <w:p w:rsidR="00AD224E" w:rsidRDefault="00AD224E" w:rsidP="00A516DA">
      <w:pPr>
        <w:pStyle w:val="ListParagraph"/>
        <w:numPr>
          <w:ilvl w:val="0"/>
          <w:numId w:val="46"/>
        </w:numPr>
        <w:pBdr>
          <w:top w:val="nil"/>
          <w:left w:val="nil"/>
          <w:bottom w:val="nil"/>
          <w:right w:val="nil"/>
          <w:between w:val="nil"/>
          <w:bar w:val="nil"/>
        </w:pBdr>
      </w:pPr>
      <w:r w:rsidRPr="00AD224E">
        <w:t xml:space="preserve">Future early childhood education investment and reform include a range of additional, targeted interventions for both children and their families, to ensure all children can fully benefit from  a quality early childhood education and have the skills and attributes needed for school and later life. These interventions should be for children and their families both prior to, and during, their participation in early childhood education. </w:t>
      </w:r>
    </w:p>
    <w:p w:rsidR="00443898" w:rsidRPr="00637667" w:rsidRDefault="00782A8B" w:rsidP="00A516DA">
      <w:pPr>
        <w:pStyle w:val="ListParagraph"/>
        <w:numPr>
          <w:ilvl w:val="0"/>
          <w:numId w:val="46"/>
        </w:numPr>
        <w:pBdr>
          <w:top w:val="nil"/>
          <w:left w:val="nil"/>
          <w:bottom w:val="nil"/>
          <w:right w:val="nil"/>
          <w:between w:val="nil"/>
          <w:bar w:val="nil"/>
        </w:pBdr>
      </w:pPr>
      <w:r>
        <w:t xml:space="preserve">Australian governments promote and support full participation by three and four year olds in </w:t>
      </w:r>
      <w:r w:rsidR="00DD1B4B">
        <w:t>quality early childhood education programs</w:t>
      </w:r>
      <w:r w:rsidR="001D4F28">
        <w:t>, in particular to maximise participation by vulnerable or disadvantaged children</w:t>
      </w:r>
      <w:r>
        <w:t>.</w:t>
      </w:r>
    </w:p>
    <w:p w:rsidR="00135330" w:rsidRDefault="005E6CCB" w:rsidP="009B798E">
      <w:pPr>
        <w:pStyle w:val="Heading2"/>
      </w:pPr>
      <w:bookmarkStart w:id="41" w:name="_Toc373586264"/>
      <w:bookmarkStart w:id="42" w:name="_Toc500850782"/>
      <w:r>
        <w:t>Refor</w:t>
      </w:r>
      <w:r w:rsidR="00025E7B">
        <w:t>m theme four:</w:t>
      </w:r>
      <w:r w:rsidR="00C26892">
        <w:t xml:space="preserve"> </w:t>
      </w:r>
      <w:r w:rsidR="00135330">
        <w:t xml:space="preserve">Quality </w:t>
      </w:r>
      <w:r w:rsidR="00443898">
        <w:t>and workforce</w:t>
      </w:r>
      <w:bookmarkEnd w:id="41"/>
      <w:bookmarkEnd w:id="42"/>
    </w:p>
    <w:p w:rsidR="00135330" w:rsidRDefault="00135330" w:rsidP="00DC66BF">
      <w:r>
        <w:t>There has been significant improvement in the quality of early childhood education in Australia as shown by the N</w:t>
      </w:r>
      <w:r w:rsidR="006078E5">
        <w:t xml:space="preserve">ational </w:t>
      </w:r>
      <w:r>
        <w:t>Q</w:t>
      </w:r>
      <w:r w:rsidR="006078E5">
        <w:t xml:space="preserve">uality </w:t>
      </w:r>
      <w:r>
        <w:t>F</w:t>
      </w:r>
      <w:r w:rsidR="006078E5">
        <w:t>ramework</w:t>
      </w:r>
      <w:r>
        <w:t xml:space="preserve"> data. However, it is also clear that further improvement is required to maximise child outcomes, especially for vulnerable and disadvantaged children. The E4Kids research </w:t>
      </w:r>
      <w:r w:rsidR="00831C22">
        <w:t xml:space="preserve">provides </w:t>
      </w:r>
      <w:r>
        <w:t xml:space="preserve">compelling </w:t>
      </w:r>
      <w:r w:rsidR="00831C22">
        <w:t xml:space="preserve">evidence </w:t>
      </w:r>
      <w:r>
        <w:t xml:space="preserve">on this. </w:t>
      </w:r>
    </w:p>
    <w:p w:rsidR="00135330" w:rsidRDefault="00135330" w:rsidP="00DC66BF">
      <w:r>
        <w:t xml:space="preserve">Our understanding of what constitutes quality early childhood education is relatively new and still improving. The </w:t>
      </w:r>
      <w:r w:rsidR="00025E7B">
        <w:t xml:space="preserve">National Quality Framework </w:t>
      </w:r>
      <w:r>
        <w:t xml:space="preserve">is </w:t>
      </w:r>
      <w:r w:rsidR="00ED7B8F">
        <w:t xml:space="preserve">also </w:t>
      </w:r>
      <w:r>
        <w:t xml:space="preserve">relatively new, and services and educators continue to adjust to it. The important thing is to recognise that further and continuous improvement is required and </w:t>
      </w:r>
      <w:r w:rsidR="006078E5">
        <w:t xml:space="preserve">to </w:t>
      </w:r>
      <w:r>
        <w:t xml:space="preserve">work towards it. Over time, this must include raising minimum acceptable standards, informed by the growing evidence of what is most effective at improving child outcomes. </w:t>
      </w:r>
    </w:p>
    <w:p w:rsidR="00135330" w:rsidRDefault="001852F8" w:rsidP="00DC66BF">
      <w:r>
        <w:t>A</w:t>
      </w:r>
      <w:r w:rsidR="00135330">
        <w:t xml:space="preserve"> long-term, strategic approach to quality improvement</w:t>
      </w:r>
      <w:r w:rsidR="00831C22">
        <w:t>, supported by investment,</w:t>
      </w:r>
      <w:r w:rsidR="00135330">
        <w:t xml:space="preserve"> is required</w:t>
      </w:r>
      <w:r w:rsidR="00831C22">
        <w:t>.</w:t>
      </w:r>
      <w:r w:rsidR="00135330">
        <w:t xml:space="preserve"> </w:t>
      </w:r>
    </w:p>
    <w:p w:rsidR="00135330" w:rsidRDefault="00135330" w:rsidP="00DC66BF">
      <w:r>
        <w:t xml:space="preserve">The Review notes that although there are significant differences between jurisdictions, early childhood education and care in Australia is in many ways heavily marketised. However, like many other markets, it does not operate in a pure market sense. There is no perfectly informed consumer with many available choices, and there is no real quality floor – </w:t>
      </w:r>
      <w:r w:rsidR="00AB0451">
        <w:t xml:space="preserve">many </w:t>
      </w:r>
      <w:r>
        <w:t xml:space="preserve">services that </w:t>
      </w:r>
      <w:r w:rsidR="00831C22">
        <w:t xml:space="preserve">do not </w:t>
      </w:r>
      <w:r>
        <w:t xml:space="preserve">meet the </w:t>
      </w:r>
      <w:r w:rsidR="00AB0451">
        <w:t>N</w:t>
      </w:r>
      <w:r>
        <w:t xml:space="preserve">ational </w:t>
      </w:r>
      <w:r w:rsidR="00AB0451">
        <w:t>Q</w:t>
      </w:r>
      <w:r>
        <w:t xml:space="preserve">uality </w:t>
      </w:r>
      <w:r w:rsidR="00AB0451">
        <w:t>Standard</w:t>
      </w:r>
      <w:r>
        <w:t xml:space="preserve"> continue to operate and receive government support. The ‘consumer’ is </w:t>
      </w:r>
      <w:r w:rsidR="009F7FF0">
        <w:t xml:space="preserve">considered to be </w:t>
      </w:r>
      <w:r>
        <w:t xml:space="preserve">a small child or their parent. For parents, choice </w:t>
      </w:r>
      <w:r w:rsidR="008B6028">
        <w:t xml:space="preserve">can </w:t>
      </w:r>
      <w:r>
        <w:t xml:space="preserve">often </w:t>
      </w:r>
      <w:r w:rsidR="008B6028">
        <w:t xml:space="preserve">be </w:t>
      </w:r>
      <w:r>
        <w:t xml:space="preserve">limited by </w:t>
      </w:r>
      <w:r w:rsidR="008B6028">
        <w:t xml:space="preserve">place availability, service proximity, transport, cost </w:t>
      </w:r>
      <w:r w:rsidR="00A605F1">
        <w:t>or personal</w:t>
      </w:r>
      <w:r>
        <w:t xml:space="preserve"> circumstances. </w:t>
      </w:r>
      <w:r w:rsidR="00414CB1">
        <w:t xml:space="preserve">The Review heard </w:t>
      </w:r>
      <w:r w:rsidR="00E406AF">
        <w:t xml:space="preserve">that </w:t>
      </w:r>
      <w:r w:rsidR="00414CB1">
        <w:t xml:space="preserve">many </w:t>
      </w:r>
      <w:r>
        <w:t>parents do not fully understand the importance of a quality early childhood service or know how to find out about an individual service’s</w:t>
      </w:r>
      <w:r w:rsidR="00414CB1">
        <w:t xml:space="preserve"> quality</w:t>
      </w:r>
      <w:r w:rsidR="00831C22">
        <w:t xml:space="preserve"> rating or understand the rating even if they do find </w:t>
      </w:r>
      <w:r w:rsidR="00B1042E">
        <w:t>it</w:t>
      </w:r>
      <w:r>
        <w:t xml:space="preserve">. </w:t>
      </w:r>
    </w:p>
    <w:p w:rsidR="00135330" w:rsidRDefault="00DC71E8" w:rsidP="00DC66BF">
      <w:r>
        <w:t>One in four early childhood services do not meet the National Quality Standard and t</w:t>
      </w:r>
      <w:r w:rsidR="00135330">
        <w:t xml:space="preserve">he Review also heard, anecdotally, that some services are not concerned with </w:t>
      </w:r>
      <w:r>
        <w:t xml:space="preserve">this, </w:t>
      </w:r>
      <w:r w:rsidR="00011354">
        <w:t>perhaps because they view</w:t>
      </w:r>
      <w:r w:rsidR="00135330">
        <w:t xml:space="preserve"> their market as captive</w:t>
      </w:r>
      <w:r w:rsidR="005E6CCB">
        <w:t xml:space="preserve"> and </w:t>
      </w:r>
      <w:r w:rsidR="00135330">
        <w:t xml:space="preserve">with no other choice. </w:t>
      </w:r>
      <w:r w:rsidR="001D602E">
        <w:t>There is some support for this in the available data</w:t>
      </w:r>
      <w:r w:rsidR="00D11531">
        <w:t>;</w:t>
      </w:r>
      <w:r w:rsidR="001D602E">
        <w:t xml:space="preserve"> of the </w:t>
      </w:r>
      <w:r>
        <w:t>2</w:t>
      </w:r>
      <w:r w:rsidR="00B1042E">
        <w:t>,</w:t>
      </w:r>
      <w:r>
        <w:t>179</w:t>
      </w:r>
      <w:r w:rsidR="001D602E">
        <w:t xml:space="preserve"> services originally rated as ‘Working Towards </w:t>
      </w:r>
      <w:r w:rsidR="005E6CCB">
        <w:t>National Quality Standard</w:t>
      </w:r>
      <w:r w:rsidR="001D602E">
        <w:t>’, 30.6 per cent remained at that level when later reassessed.</w:t>
      </w:r>
      <w:r w:rsidR="001D602E">
        <w:rPr>
          <w:rStyle w:val="EndnoteReference"/>
        </w:rPr>
        <w:endnoteReference w:id="242"/>
      </w:r>
      <w:r w:rsidR="001D602E">
        <w:t xml:space="preserve"> </w:t>
      </w:r>
    </w:p>
    <w:p w:rsidR="00135330" w:rsidRDefault="00135330" w:rsidP="00DC66BF">
      <w:r>
        <w:t>Government funding – for either preschool or child care – is by far the dominant force in the ‘market’, and the most powerful lever available to drive quality improvement. Government should use it more</w:t>
      </w:r>
      <w:r w:rsidR="00AB0451">
        <w:t xml:space="preserve"> </w:t>
      </w:r>
      <w:r>
        <w:t xml:space="preserve">to get </w:t>
      </w:r>
      <w:r w:rsidR="00AB0451">
        <w:t xml:space="preserve">the </w:t>
      </w:r>
      <w:r>
        <w:t xml:space="preserve">best value for money from </w:t>
      </w:r>
      <w:r w:rsidR="00D11531">
        <w:t>its</w:t>
      </w:r>
      <w:r w:rsidR="00D11531" w:rsidRPr="00FC0EC5">
        <w:t xml:space="preserve"> </w:t>
      </w:r>
      <w:r>
        <w:t xml:space="preserve">own investments, </w:t>
      </w:r>
      <w:r w:rsidR="00AB0451">
        <w:t xml:space="preserve">as well as to improve </w:t>
      </w:r>
      <w:r>
        <w:t xml:space="preserve">child outcomes. </w:t>
      </w:r>
    </w:p>
    <w:p w:rsidR="00135330" w:rsidRDefault="00135330" w:rsidP="00DC66BF">
      <w:r>
        <w:t xml:space="preserve">In the long term, governments </w:t>
      </w:r>
      <w:r w:rsidR="00414CB1">
        <w:t>should</w:t>
      </w:r>
      <w:r>
        <w:t xml:space="preserve"> consider whether public funds or subsidies should be available to services that consistently fail to meet minimum quality standards. </w:t>
      </w:r>
    </w:p>
    <w:p w:rsidR="00542C44" w:rsidRDefault="00542C44" w:rsidP="005026E6">
      <w:pPr>
        <w:pStyle w:val="Body"/>
        <w:tabs>
          <w:tab w:val="left" w:pos="3143"/>
        </w:tabs>
        <w:spacing w:line="240" w:lineRule="auto"/>
        <w:jc w:val="both"/>
        <w:rPr>
          <w:u w:val="single"/>
          <w:lang w:val="en-AU"/>
        </w:rPr>
      </w:pPr>
    </w:p>
    <w:p w:rsidR="00135330" w:rsidRPr="00A516DA" w:rsidRDefault="00135330" w:rsidP="005026E6">
      <w:pPr>
        <w:pStyle w:val="Body"/>
        <w:tabs>
          <w:tab w:val="left" w:pos="3143"/>
        </w:tabs>
        <w:spacing w:line="240" w:lineRule="auto"/>
        <w:jc w:val="both"/>
        <w:rPr>
          <w:lang w:val="en-AU"/>
        </w:rPr>
      </w:pPr>
      <w:r w:rsidRPr="00A516DA">
        <w:rPr>
          <w:u w:val="single"/>
          <w:lang w:val="en-AU"/>
        </w:rPr>
        <w:t>Recommendations</w:t>
      </w:r>
    </w:p>
    <w:p w:rsidR="00782A8B" w:rsidRDefault="00782A8B" w:rsidP="00A516DA">
      <w:pPr>
        <w:pStyle w:val="ListParagraph"/>
        <w:numPr>
          <w:ilvl w:val="0"/>
          <w:numId w:val="46"/>
        </w:numPr>
      </w:pPr>
      <w:r>
        <w:t>Future early childhood education</w:t>
      </w:r>
      <w:r w:rsidRPr="00D41DEB">
        <w:t xml:space="preserve"> reform</w:t>
      </w:r>
      <w:r w:rsidR="00D11531">
        <w:t>s</w:t>
      </w:r>
      <w:r>
        <w:t xml:space="preserve"> emphasise quality, with targeted investment to support improvement, and the incremental strengthening of minimum standards under the National Quality Framework. </w:t>
      </w:r>
    </w:p>
    <w:p w:rsidR="00782A8B" w:rsidRDefault="00782A8B" w:rsidP="00A516DA">
      <w:pPr>
        <w:pStyle w:val="ListParagraph"/>
        <w:numPr>
          <w:ilvl w:val="0"/>
          <w:numId w:val="46"/>
        </w:numPr>
      </w:pPr>
      <w:r w:rsidRPr="00820AA7">
        <w:t>Australia</w:t>
      </w:r>
      <w:r w:rsidR="00D11531">
        <w:t>n</w:t>
      </w:r>
      <w:r>
        <w:t xml:space="preserve"> government</w:t>
      </w:r>
      <w:r w:rsidR="00011354">
        <w:t>s</w:t>
      </w:r>
      <w:r>
        <w:t xml:space="preserve"> consider opportunities to use funding levers to provide incentives for quality improvement by service providers, and consequences for servi</w:t>
      </w:r>
      <w:r w:rsidR="00164927">
        <w:t>ces repeatedly failing to meet the</w:t>
      </w:r>
      <w:r>
        <w:t xml:space="preserve"> N</w:t>
      </w:r>
      <w:r w:rsidR="00164927">
        <w:t>ational Quality Standard.</w:t>
      </w:r>
      <w:r>
        <w:t xml:space="preserve"> </w:t>
      </w:r>
    </w:p>
    <w:p w:rsidR="00414CB1" w:rsidRDefault="0018294A" w:rsidP="009725F4">
      <w:r>
        <w:t>T</w:t>
      </w:r>
      <w:r w:rsidR="00414CB1">
        <w:t>he quality of the workforce is critical to early childhood education achieving the desired learning outcomes.</w:t>
      </w:r>
    </w:p>
    <w:p w:rsidR="00414CB1" w:rsidRDefault="00414CB1" w:rsidP="00414CB1">
      <w:r>
        <w:t xml:space="preserve">The single most important element of service quality is the interaction between child and educator, and training and qualifications improve these interactions. </w:t>
      </w:r>
    </w:p>
    <w:p w:rsidR="00414CB1" w:rsidRDefault="00414CB1" w:rsidP="00414CB1">
      <w:r>
        <w:t>Consultations conducted in the course of the Review, as well as research related to the early childhood workforce, emphasise several re</w:t>
      </w:r>
      <w:r w:rsidR="00C0512D">
        <w:t xml:space="preserve">lated elements. These include: </w:t>
      </w:r>
      <w:r>
        <w:t xml:space="preserve">the quality and appropriateness of pre-service training in both universities and </w:t>
      </w:r>
      <w:r w:rsidR="001D602E">
        <w:t xml:space="preserve">vocational education and training </w:t>
      </w:r>
      <w:r>
        <w:t>institutions, entry and registration standards, ongoing professional development, workforce diversity, the need for viable career paths</w:t>
      </w:r>
      <w:r w:rsidR="001D602E">
        <w:t>,</w:t>
      </w:r>
      <w:r>
        <w:t xml:space="preserve"> the importance of service leadership, strategies to address turnover and instability within the workforce, the ability of the workforce to engage with parents and the status of the early childhood education profession</w:t>
      </w:r>
      <w:r w:rsidR="001D602E">
        <w:t xml:space="preserve"> in the community</w:t>
      </w:r>
      <w:r>
        <w:t xml:space="preserve">. The low wages </w:t>
      </w:r>
      <w:r w:rsidR="00DD1B4B">
        <w:t xml:space="preserve">of many in the sector </w:t>
      </w:r>
      <w:r>
        <w:t>was als</w:t>
      </w:r>
      <w:r w:rsidR="00DD1B4B">
        <w:t>o raised in many consultations</w:t>
      </w:r>
      <w:r w:rsidR="008B6028">
        <w:t>. I</w:t>
      </w:r>
      <w:r w:rsidR="00DD1B4B">
        <w:t xml:space="preserve">t is difficult to progress the professionalisation of the workforce without the appropriate conditions to attract and retain a suitably skilled workforce. </w:t>
      </w:r>
    </w:p>
    <w:p w:rsidR="00135330" w:rsidRDefault="008B6028" w:rsidP="00DC66BF">
      <w:r>
        <w:t>T</w:t>
      </w:r>
      <w:r w:rsidR="00135330">
        <w:t xml:space="preserve">here are cost and funding implications to any solution. But if increased investment in the workforce leads to improved quality of practice, it would improve the overall return on investment in early childhood education. While great strides have been made, particularly with the introduction of the </w:t>
      </w:r>
      <w:r w:rsidR="00025E7B">
        <w:t>National Quality Framework</w:t>
      </w:r>
      <w:r w:rsidR="00135330">
        <w:t xml:space="preserve">, further improvement and professionalisation of the workforce is required. This will require effort and contribution from all involved, including an ongoing commitment to quality improvement. An expansion of access to </w:t>
      </w:r>
      <w:r w:rsidR="001D602E">
        <w:t xml:space="preserve">early </w:t>
      </w:r>
      <w:r w:rsidR="00135330">
        <w:t xml:space="preserve">childhood education, as recommended by the Review, may assist in creating greater scale in the sector. But this will not be sufficient to solve all issues. </w:t>
      </w:r>
      <w:r w:rsidR="001D602E">
        <w:t>T</w:t>
      </w:r>
      <w:r w:rsidR="00414CB1">
        <w:t xml:space="preserve">he workforce has contributed to an extraordinary </w:t>
      </w:r>
      <w:r w:rsidR="001D602E">
        <w:t xml:space="preserve">period </w:t>
      </w:r>
      <w:r w:rsidR="00414CB1">
        <w:t>of reform and yet</w:t>
      </w:r>
      <w:r w:rsidR="00011354">
        <w:t xml:space="preserve"> the Review </w:t>
      </w:r>
      <w:r w:rsidR="00414CB1">
        <w:t xml:space="preserve">heard of many educators earning little above the minimum wage and many trained </w:t>
      </w:r>
      <w:r w:rsidR="001D602E">
        <w:t xml:space="preserve">early childhood </w:t>
      </w:r>
      <w:r w:rsidR="00414CB1">
        <w:t>teachers earning significantly less than their primary school counterparts.</w:t>
      </w:r>
    </w:p>
    <w:p w:rsidR="00135330" w:rsidRDefault="001D602E" w:rsidP="00DC66BF">
      <w:r>
        <w:t>T</w:t>
      </w:r>
      <w:r w:rsidR="00135330">
        <w:t xml:space="preserve">he </w:t>
      </w:r>
      <w:r w:rsidR="00135330">
        <w:rPr>
          <w:i/>
          <w:iCs/>
        </w:rPr>
        <w:t>National Early Years Workforce Strategy</w:t>
      </w:r>
      <w:r w:rsidR="00135330">
        <w:t xml:space="preserve"> lapsed at the end of 2016, and there is no nationally agreed vision and long-term framework for the </w:t>
      </w:r>
      <w:r w:rsidR="005A2E29">
        <w:t>early childhood education and care</w:t>
      </w:r>
      <w:r>
        <w:t xml:space="preserve"> </w:t>
      </w:r>
      <w:r w:rsidR="00135330">
        <w:t xml:space="preserve">workforce. </w:t>
      </w:r>
      <w:r w:rsidR="00DB7B62">
        <w:t>This</w:t>
      </w:r>
      <w:r w:rsidR="00135330">
        <w:t xml:space="preserve"> is a clear opportunity for all governments to again develop and commit to a strategic approach to the </w:t>
      </w:r>
      <w:r w:rsidR="00D45140">
        <w:t xml:space="preserve">development and support of the </w:t>
      </w:r>
      <w:r w:rsidR="00135330">
        <w:t>workforce, informed by the latest evidence and research o</w:t>
      </w:r>
      <w:r>
        <w:t>n</w:t>
      </w:r>
      <w:r w:rsidR="00135330">
        <w:t xml:space="preserve"> educational quality and practice. </w:t>
      </w:r>
    </w:p>
    <w:p w:rsidR="00135330" w:rsidRPr="00A516DA" w:rsidRDefault="00135330" w:rsidP="005026E6">
      <w:pPr>
        <w:pStyle w:val="Body"/>
        <w:tabs>
          <w:tab w:val="left" w:pos="3143"/>
        </w:tabs>
        <w:spacing w:line="240" w:lineRule="auto"/>
        <w:jc w:val="both"/>
        <w:rPr>
          <w:lang w:val="en-AU"/>
        </w:rPr>
      </w:pPr>
      <w:r w:rsidRPr="00A516DA">
        <w:rPr>
          <w:u w:val="single"/>
          <w:lang w:val="en-AU"/>
        </w:rPr>
        <w:t>Recommendations</w:t>
      </w:r>
    </w:p>
    <w:p w:rsidR="00C55754" w:rsidRDefault="00C55754" w:rsidP="00A516DA">
      <w:pPr>
        <w:pStyle w:val="ListParagraph"/>
        <w:numPr>
          <w:ilvl w:val="0"/>
          <w:numId w:val="46"/>
        </w:numPr>
        <w:pBdr>
          <w:top w:val="nil"/>
          <w:left w:val="nil"/>
          <w:bottom w:val="nil"/>
          <w:right w:val="nil"/>
          <w:between w:val="nil"/>
          <w:bar w:val="nil"/>
        </w:pBdr>
      </w:pPr>
      <w:r>
        <w:t xml:space="preserve">Australian governments agree to a new national early childhood education </w:t>
      </w:r>
      <w:r w:rsidR="00626A9D">
        <w:t xml:space="preserve">and care </w:t>
      </w:r>
      <w:r>
        <w:t xml:space="preserve">workforce strategy </w:t>
      </w:r>
      <w:r w:rsidR="00DE399B">
        <w:t xml:space="preserve">to support the recruitment, retention, sustainability and enhanced </w:t>
      </w:r>
      <w:r w:rsidR="00A605F1">
        <w:t>professionalisation</w:t>
      </w:r>
      <w:r w:rsidR="00DE399B">
        <w:t xml:space="preserve"> of the workforce, thereby improving service quality and children’s outcomes.</w:t>
      </w:r>
    </w:p>
    <w:p w:rsidR="00C55754" w:rsidRDefault="00C55754" w:rsidP="00A516DA">
      <w:pPr>
        <w:pStyle w:val="ListParagraph"/>
        <w:numPr>
          <w:ilvl w:val="0"/>
          <w:numId w:val="46"/>
        </w:numPr>
        <w:pBdr>
          <w:top w:val="nil"/>
          <w:left w:val="nil"/>
          <w:bottom w:val="nil"/>
          <w:right w:val="nil"/>
          <w:between w:val="nil"/>
          <w:bar w:val="nil"/>
        </w:pBdr>
      </w:pPr>
      <w:r>
        <w:t>The strategy should consider, at a minimum, opportunities to improve:</w:t>
      </w:r>
    </w:p>
    <w:p w:rsidR="00C55754" w:rsidRDefault="00C55754" w:rsidP="00A516DA">
      <w:pPr>
        <w:pStyle w:val="ListParagraph"/>
        <w:numPr>
          <w:ilvl w:val="1"/>
          <w:numId w:val="46"/>
        </w:numPr>
        <w:pBdr>
          <w:top w:val="nil"/>
          <w:left w:val="nil"/>
          <w:bottom w:val="nil"/>
          <w:right w:val="nil"/>
          <w:between w:val="nil"/>
          <w:bar w:val="nil"/>
        </w:pBdr>
      </w:pPr>
      <w:r>
        <w:t>service leadership capability</w:t>
      </w:r>
    </w:p>
    <w:p w:rsidR="00C55754" w:rsidRDefault="00C55754" w:rsidP="00A516DA">
      <w:pPr>
        <w:pStyle w:val="ListParagraph"/>
        <w:numPr>
          <w:ilvl w:val="1"/>
          <w:numId w:val="46"/>
        </w:numPr>
        <w:pBdr>
          <w:top w:val="nil"/>
          <w:left w:val="nil"/>
          <w:bottom w:val="nil"/>
          <w:right w:val="nil"/>
          <w:between w:val="nil"/>
          <w:bar w:val="nil"/>
        </w:pBdr>
      </w:pPr>
      <w:r>
        <w:t>pre-service training quality and content</w:t>
      </w:r>
    </w:p>
    <w:p w:rsidR="00C55754" w:rsidRDefault="00C55754" w:rsidP="00A516DA">
      <w:pPr>
        <w:pStyle w:val="ListParagraph"/>
        <w:numPr>
          <w:ilvl w:val="1"/>
          <w:numId w:val="46"/>
        </w:numPr>
        <w:pBdr>
          <w:top w:val="nil"/>
          <w:left w:val="nil"/>
          <w:bottom w:val="nil"/>
          <w:right w:val="nil"/>
          <w:between w:val="nil"/>
          <w:bar w:val="nil"/>
        </w:pBdr>
      </w:pPr>
      <w:r>
        <w:t>ongoing professional development of the workforce</w:t>
      </w:r>
    </w:p>
    <w:p w:rsidR="00C55754" w:rsidRDefault="00C55754" w:rsidP="00A516DA">
      <w:pPr>
        <w:pStyle w:val="ListParagraph"/>
        <w:numPr>
          <w:ilvl w:val="1"/>
          <w:numId w:val="46"/>
        </w:numPr>
        <w:pBdr>
          <w:top w:val="nil"/>
          <w:left w:val="nil"/>
          <w:bottom w:val="nil"/>
          <w:right w:val="nil"/>
          <w:between w:val="nil"/>
          <w:bar w:val="nil"/>
        </w:pBdr>
      </w:pPr>
      <w:r>
        <w:t>responsiveness of pre-service training and ongoing professional development providers to the sector</w:t>
      </w:r>
    </w:p>
    <w:p w:rsidR="00C55754" w:rsidRDefault="00C55754" w:rsidP="00A516DA">
      <w:pPr>
        <w:pStyle w:val="ListParagraph"/>
        <w:numPr>
          <w:ilvl w:val="1"/>
          <w:numId w:val="46"/>
        </w:numPr>
        <w:pBdr>
          <w:top w:val="nil"/>
          <w:left w:val="nil"/>
          <w:bottom w:val="nil"/>
          <w:right w:val="nil"/>
          <w:between w:val="nil"/>
          <w:bar w:val="nil"/>
        </w:pBdr>
      </w:pPr>
      <w:r>
        <w:t>consistency and applicability of workforce registration and professional standards</w:t>
      </w:r>
    </w:p>
    <w:p w:rsidR="00C55754" w:rsidRDefault="00C55754" w:rsidP="00A516DA">
      <w:pPr>
        <w:pStyle w:val="ListParagraph"/>
        <w:numPr>
          <w:ilvl w:val="1"/>
          <w:numId w:val="46"/>
        </w:numPr>
        <w:pBdr>
          <w:top w:val="nil"/>
          <w:left w:val="nil"/>
          <w:bottom w:val="nil"/>
          <w:right w:val="nil"/>
          <w:between w:val="nil"/>
          <w:bar w:val="nil"/>
        </w:pBdr>
      </w:pPr>
      <w:r>
        <w:t xml:space="preserve">workforce </w:t>
      </w:r>
      <w:r w:rsidR="00085638">
        <w:t xml:space="preserve">attraction, </w:t>
      </w:r>
      <w:r>
        <w:t>stability and retention, including medium and long-term career paths</w:t>
      </w:r>
    </w:p>
    <w:p w:rsidR="00C55754" w:rsidRDefault="00C55754" w:rsidP="00A516DA">
      <w:pPr>
        <w:pStyle w:val="ListParagraph"/>
        <w:numPr>
          <w:ilvl w:val="1"/>
          <w:numId w:val="46"/>
        </w:numPr>
        <w:pBdr>
          <w:top w:val="nil"/>
          <w:left w:val="nil"/>
          <w:bottom w:val="nil"/>
          <w:right w:val="nil"/>
          <w:between w:val="nil"/>
          <w:bar w:val="nil"/>
        </w:pBdr>
      </w:pPr>
      <w:r>
        <w:t>the impact of remuneration and conditions on workforce stability and retention, and quality of practice</w:t>
      </w:r>
    </w:p>
    <w:p w:rsidR="00C55754" w:rsidRDefault="00C55754" w:rsidP="00A516DA">
      <w:pPr>
        <w:pStyle w:val="ListParagraph"/>
        <w:numPr>
          <w:ilvl w:val="1"/>
          <w:numId w:val="46"/>
        </w:numPr>
        <w:pBdr>
          <w:top w:val="nil"/>
          <w:left w:val="nil"/>
          <w:bottom w:val="nil"/>
          <w:right w:val="nil"/>
          <w:between w:val="nil"/>
          <w:bar w:val="nil"/>
        </w:pBdr>
      </w:pPr>
      <w:r>
        <w:t>workforce diversity</w:t>
      </w:r>
      <w:r w:rsidR="00977108">
        <w:t>,</w:t>
      </w:r>
      <w:r w:rsidR="00DE399B">
        <w:t xml:space="preserve"> including Indigenous communities</w:t>
      </w:r>
    </w:p>
    <w:p w:rsidR="00257EC4" w:rsidRDefault="00C55754" w:rsidP="00A516DA">
      <w:pPr>
        <w:pStyle w:val="ListParagraph"/>
        <w:numPr>
          <w:ilvl w:val="1"/>
          <w:numId w:val="46"/>
        </w:numPr>
        <w:pBdr>
          <w:top w:val="nil"/>
          <w:left w:val="nil"/>
          <w:bottom w:val="nil"/>
          <w:right w:val="nil"/>
          <w:between w:val="nil"/>
          <w:bar w:val="nil"/>
        </w:pBdr>
      </w:pPr>
      <w:r>
        <w:t>the status of the profession</w:t>
      </w:r>
    </w:p>
    <w:p w:rsidR="00C55754" w:rsidRDefault="00257EC4" w:rsidP="00A516DA">
      <w:pPr>
        <w:pStyle w:val="ListParagraph"/>
        <w:numPr>
          <w:ilvl w:val="1"/>
          <w:numId w:val="46"/>
        </w:numPr>
        <w:pBdr>
          <w:top w:val="nil"/>
          <w:left w:val="nil"/>
          <w:bottom w:val="nil"/>
          <w:right w:val="nil"/>
          <w:between w:val="nil"/>
          <w:bar w:val="nil"/>
        </w:pBdr>
      </w:pPr>
      <w:r>
        <w:t>responses to localised issues, including in regional and remote areas</w:t>
      </w:r>
    </w:p>
    <w:p w:rsidR="00F4064A" w:rsidRDefault="00C55754" w:rsidP="00A516DA">
      <w:pPr>
        <w:pStyle w:val="ListParagraph"/>
        <w:numPr>
          <w:ilvl w:val="1"/>
          <w:numId w:val="46"/>
        </w:numPr>
        <w:pBdr>
          <w:top w:val="nil"/>
          <w:left w:val="nil"/>
          <w:bottom w:val="nil"/>
          <w:right w:val="nil"/>
          <w:between w:val="nil"/>
          <w:bar w:val="nil"/>
        </w:pBdr>
      </w:pPr>
      <w:r>
        <w:t>engagement</w:t>
      </w:r>
      <w:r w:rsidR="004538B5">
        <w:t xml:space="preserve"> with parents</w:t>
      </w:r>
      <w:r>
        <w:t>.</w:t>
      </w:r>
    </w:p>
    <w:p w:rsidR="00135330" w:rsidRPr="001A08E9" w:rsidRDefault="0068063D" w:rsidP="009B798E">
      <w:pPr>
        <w:pStyle w:val="Heading2"/>
      </w:pPr>
      <w:bookmarkStart w:id="43" w:name="_Toc373586265"/>
      <w:bookmarkStart w:id="44" w:name="_Toc500850783"/>
      <w:r>
        <w:t>Reform them</w:t>
      </w:r>
      <w:r w:rsidR="00025E7B">
        <w:t>e five:</w:t>
      </w:r>
      <w:r>
        <w:t xml:space="preserve"> </w:t>
      </w:r>
      <w:r w:rsidR="00135330">
        <w:t>Parent and community engagement</w:t>
      </w:r>
      <w:bookmarkEnd w:id="43"/>
      <w:bookmarkEnd w:id="44"/>
    </w:p>
    <w:p w:rsidR="00135330" w:rsidRDefault="00135330" w:rsidP="009B798E">
      <w:r w:rsidRPr="001A08E9">
        <w:t>A common theme across the Review’s consultations and the literature is the vital importance of parents</w:t>
      </w:r>
      <w:r w:rsidR="008B6028">
        <w:t xml:space="preserve"> </w:t>
      </w:r>
      <w:r>
        <w:t xml:space="preserve">in their child’s learning and </w:t>
      </w:r>
      <w:r w:rsidR="00EA2C10">
        <w:t>development</w:t>
      </w:r>
      <w:r w:rsidRPr="001A08E9">
        <w:t>. In the first 1</w:t>
      </w:r>
      <w:r w:rsidR="00C21C11">
        <w:t>,</w:t>
      </w:r>
      <w:r w:rsidRPr="001A08E9">
        <w:t>000 days and beyond, parents provide the crucial home environment for children, and are a child’s best advocate and protector. They are a child’s first teacher</w:t>
      </w:r>
      <w:r w:rsidR="007F22AB">
        <w:t xml:space="preserve"> and help imbue in children a love of learning and a sense of aspiration.</w:t>
      </w:r>
      <w:r w:rsidRPr="001A08E9">
        <w:t xml:space="preserve"> They are vital to establishing and supporting a child’s development. </w:t>
      </w:r>
      <w:r w:rsidR="002A3966">
        <w:t>This role is particularly important in the early years, but continues through a child’s life.</w:t>
      </w:r>
    </w:p>
    <w:p w:rsidR="00135330" w:rsidRDefault="00135330" w:rsidP="009B798E">
      <w:r>
        <w:t xml:space="preserve">A child’s education and development </w:t>
      </w:r>
      <w:r w:rsidR="008B6028">
        <w:t xml:space="preserve">can be thought of as </w:t>
      </w:r>
      <w:r>
        <w:t>a joint venture between parents, early childhood services and educat</w:t>
      </w:r>
      <w:r w:rsidR="00703DCD">
        <w:t xml:space="preserve">ors, and schools and teachers. </w:t>
      </w:r>
      <w:r w:rsidRPr="001A08E9">
        <w:t xml:space="preserve">In many cultures and groups, including </w:t>
      </w:r>
      <w:r w:rsidR="00BC01A6">
        <w:t>Indigenous communities</w:t>
      </w:r>
      <w:r w:rsidRPr="001A08E9">
        <w:t xml:space="preserve">, the broader community </w:t>
      </w:r>
      <w:r w:rsidR="001F023B">
        <w:t xml:space="preserve">takes a </w:t>
      </w:r>
      <w:r w:rsidRPr="001A08E9">
        <w:t xml:space="preserve">vital </w:t>
      </w:r>
      <w:r w:rsidR="001F023B">
        <w:t xml:space="preserve">role in </w:t>
      </w:r>
      <w:r w:rsidR="008D76B4">
        <w:t>child</w:t>
      </w:r>
      <w:r w:rsidR="008D76B4" w:rsidRPr="002725B7">
        <w:t xml:space="preserve"> raising</w:t>
      </w:r>
      <w:r w:rsidRPr="002725B7">
        <w:t>.</w:t>
      </w:r>
    </w:p>
    <w:p w:rsidR="00DD1B4B" w:rsidRDefault="00CF09C2" w:rsidP="009B798E">
      <w:r>
        <w:t>The Review saw and heard of many examples where services are working to engage effectively with parents. A number of examples are highlighted in the report</w:t>
      </w:r>
      <w:r w:rsidR="001463B3">
        <w:t>. H</w:t>
      </w:r>
      <w:r>
        <w:t>owever</w:t>
      </w:r>
      <w:r w:rsidR="001463B3">
        <w:t>,</w:t>
      </w:r>
      <w:r>
        <w:t xml:space="preserve"> it is clear that more can be done. There are also examples of parents engaging with services, with many serving on </w:t>
      </w:r>
      <w:r w:rsidR="008B6028">
        <w:t xml:space="preserve">governing boards or other </w:t>
      </w:r>
      <w:r>
        <w:t>committees.</w:t>
      </w:r>
      <w:r w:rsidR="003C37BA">
        <w:t xml:space="preserve"> </w:t>
      </w:r>
    </w:p>
    <w:p w:rsidR="00135330" w:rsidRDefault="001463B3" w:rsidP="009B798E">
      <w:r w:rsidRPr="006D49E8">
        <w:t>Every parent wants what is best for his or her</w:t>
      </w:r>
      <w:r w:rsidR="008B6028">
        <w:t xml:space="preserve"> child</w:t>
      </w:r>
      <w:r w:rsidR="00831C22">
        <w:t xml:space="preserve">, but some </w:t>
      </w:r>
      <w:r w:rsidR="00831C22" w:rsidRPr="001A08E9">
        <w:t xml:space="preserve">need </w:t>
      </w:r>
      <w:r w:rsidR="00831C22">
        <w:t xml:space="preserve">additional </w:t>
      </w:r>
      <w:r w:rsidR="00831C22" w:rsidRPr="001A08E9">
        <w:t>support in their parenting</w:t>
      </w:r>
      <w:r w:rsidR="008B6028">
        <w:t xml:space="preserve">. </w:t>
      </w:r>
      <w:r w:rsidR="00831C22">
        <w:t xml:space="preserve">Not all parents understand </w:t>
      </w:r>
      <w:r w:rsidR="00135330" w:rsidRPr="001A08E9">
        <w:t xml:space="preserve">how much development </w:t>
      </w:r>
      <w:r w:rsidR="00831C22">
        <w:t xml:space="preserve">occurs </w:t>
      </w:r>
      <w:r w:rsidR="00135330" w:rsidRPr="001A08E9">
        <w:t xml:space="preserve">in the early years, and some </w:t>
      </w:r>
      <w:r w:rsidR="00CC0AAB">
        <w:t>have not</w:t>
      </w:r>
      <w:r w:rsidR="00135330" w:rsidRPr="001A08E9">
        <w:t xml:space="preserve"> experienced good parenting themselves and do</w:t>
      </w:r>
      <w:r w:rsidR="00CC0AAB">
        <w:t xml:space="preserve"> </w:t>
      </w:r>
      <w:r w:rsidR="00135330" w:rsidRPr="001A08E9">
        <w:t>n</w:t>
      </w:r>
      <w:r w:rsidR="00CC0AAB">
        <w:t>o</w:t>
      </w:r>
      <w:r w:rsidR="00135330" w:rsidRPr="001A08E9">
        <w:t xml:space="preserve">t know where to start. Some are struggling with the challenges of parenting, or balancing parenting with other parts of life </w:t>
      </w:r>
      <w:r>
        <w:t>such as</w:t>
      </w:r>
      <w:r w:rsidRPr="001463B3">
        <w:t xml:space="preserve"> </w:t>
      </w:r>
      <w:r w:rsidR="00135330" w:rsidRPr="001A08E9">
        <w:t xml:space="preserve">employment or education. Some are struggling with other life challenges, </w:t>
      </w:r>
      <w:r w:rsidR="00CC0AAB">
        <w:t xml:space="preserve">such as </w:t>
      </w:r>
      <w:r w:rsidR="00135330" w:rsidRPr="001A08E9">
        <w:t>unemplo</w:t>
      </w:r>
      <w:r w:rsidR="00135330">
        <w:t>yment, poor health, poverty</w:t>
      </w:r>
      <w:r w:rsidR="001B01D5">
        <w:t xml:space="preserve"> or family violence</w:t>
      </w:r>
      <w:r w:rsidR="00135330">
        <w:t>.</w:t>
      </w:r>
    </w:p>
    <w:p w:rsidR="00135330" w:rsidRDefault="00135330" w:rsidP="00DC66BF">
      <w:r>
        <w:t>Better parent support would be of substantial benefit. For most parents, this need not be complex</w:t>
      </w:r>
      <w:r w:rsidR="001463B3">
        <w:t>. I</w:t>
      </w:r>
      <w:r w:rsidR="00CC0AAB">
        <w:t xml:space="preserve">t could include </w:t>
      </w:r>
      <w:r>
        <w:t xml:space="preserve">giving </w:t>
      </w:r>
      <w:r w:rsidR="00D56CBF">
        <w:t xml:space="preserve">clear </w:t>
      </w:r>
      <w:r>
        <w:t xml:space="preserve">messages to help </w:t>
      </w:r>
      <w:r w:rsidR="00831C22">
        <w:t xml:space="preserve">parents and the broader community </w:t>
      </w:r>
      <w:r>
        <w:t xml:space="preserve">understand the </w:t>
      </w:r>
      <w:r w:rsidR="00831C22">
        <w:t xml:space="preserve">key milestones of child development, the importance of play and emotional support, and the value of early childhood education. </w:t>
      </w:r>
      <w:r>
        <w:t xml:space="preserve">For parents with more complex circumstances additional support is needed, and the Review discussed earlier the opportunities of </w:t>
      </w:r>
      <w:r w:rsidR="00CC0AAB">
        <w:t>multi-</w:t>
      </w:r>
      <w:r>
        <w:t>generation</w:t>
      </w:r>
      <w:r w:rsidR="00B1042E">
        <w:t>al</w:t>
      </w:r>
      <w:r>
        <w:t xml:space="preserve"> approaches</w:t>
      </w:r>
      <w:r w:rsidR="00765739">
        <w:t xml:space="preserve"> and evidence-based programs such as supported playgroups</w:t>
      </w:r>
      <w:r>
        <w:t>.</w:t>
      </w:r>
    </w:p>
    <w:p w:rsidR="00135330" w:rsidRDefault="004C07E1" w:rsidP="00DC66BF">
      <w:r>
        <w:t xml:space="preserve">Parents are not only the primary caregivers and first educators of </w:t>
      </w:r>
      <w:r w:rsidR="001463B3" w:rsidRPr="0070723A">
        <w:t>children;</w:t>
      </w:r>
      <w:r>
        <w:t xml:space="preserve"> they also have an important role as</w:t>
      </w:r>
      <w:r w:rsidRPr="002828F0">
        <w:t xml:space="preserve"> </w:t>
      </w:r>
      <w:r w:rsidR="001463B3">
        <w:t>an</w:t>
      </w:r>
      <w:r>
        <w:t xml:space="preserve"> advocate or agent for their child. B</w:t>
      </w:r>
      <w:r w:rsidR="00135330">
        <w:t xml:space="preserve">etter informing parents about </w:t>
      </w:r>
      <w:r w:rsidR="00CC0AAB">
        <w:t xml:space="preserve">early childhood </w:t>
      </w:r>
      <w:r w:rsidR="00135330">
        <w:t>development would make them better advocates for their children</w:t>
      </w:r>
      <w:r w:rsidR="001463B3">
        <w:t xml:space="preserve">, promoting an improved </w:t>
      </w:r>
      <w:r w:rsidR="00135330">
        <w:t xml:space="preserve">understanding </w:t>
      </w:r>
      <w:r w:rsidR="00B1042E">
        <w:t xml:space="preserve">of </w:t>
      </w:r>
      <w:r w:rsidR="00135330">
        <w:t xml:space="preserve">the importance of the early years and the nature of </w:t>
      </w:r>
      <w:r w:rsidR="00222914">
        <w:t xml:space="preserve">early childhood education and care </w:t>
      </w:r>
      <w:r w:rsidR="00135330">
        <w:t xml:space="preserve">service quality. It is common to hear of parents searching for the best school for their child – for example, looking at the </w:t>
      </w:r>
      <w:r w:rsidR="00135330" w:rsidRPr="004C07E1">
        <w:rPr>
          <w:i/>
        </w:rPr>
        <w:t>M</w:t>
      </w:r>
      <w:r w:rsidR="00135330">
        <w:rPr>
          <w:i/>
        </w:rPr>
        <w:t>y School</w:t>
      </w:r>
      <w:r w:rsidR="00135330">
        <w:t xml:space="preserve"> website. Some </w:t>
      </w:r>
      <w:r w:rsidR="001F023B">
        <w:t xml:space="preserve">families </w:t>
      </w:r>
      <w:r w:rsidR="00135330">
        <w:t xml:space="preserve">even move suburbs in order to access a better school’s catchment area. If </w:t>
      </w:r>
      <w:r>
        <w:t xml:space="preserve">that </w:t>
      </w:r>
      <w:r w:rsidR="00135330">
        <w:t xml:space="preserve">desire for a child to have the best possible education was better harnessed in early childhood, parents </w:t>
      </w:r>
      <w:r>
        <w:t xml:space="preserve">might </w:t>
      </w:r>
      <w:r w:rsidR="00135330">
        <w:t>seek out higher-rated services for their child’s education and care. While in many places there is limited choice, parents could a</w:t>
      </w:r>
      <w:r w:rsidR="001F023B">
        <w:t>lso put pressure on lower-rated</w:t>
      </w:r>
      <w:r w:rsidR="00135330">
        <w:t xml:space="preserve"> services to improve</w:t>
      </w:r>
      <w:r>
        <w:t xml:space="preserve">, </w:t>
      </w:r>
      <w:r w:rsidR="00135330">
        <w:t xml:space="preserve">just as they </w:t>
      </w:r>
      <w:r w:rsidR="00164938">
        <w:t>can</w:t>
      </w:r>
      <w:r w:rsidR="00135330">
        <w:t xml:space="preserve"> speak to a principal if they think their child isn’t getting enough support </w:t>
      </w:r>
      <w:r w:rsidR="006D49E8">
        <w:t>at</w:t>
      </w:r>
      <w:r w:rsidR="006D49E8" w:rsidRPr="006D49E8">
        <w:t xml:space="preserve"> </w:t>
      </w:r>
      <w:r w:rsidR="00135330">
        <w:t xml:space="preserve">school. </w:t>
      </w:r>
      <w:r w:rsidR="00414CB1">
        <w:t xml:space="preserve">Having parents help drive quality improvement would </w:t>
      </w:r>
      <w:r>
        <w:t xml:space="preserve">complement – </w:t>
      </w:r>
      <w:r w:rsidR="00414CB1">
        <w:t xml:space="preserve">but could not be a substitute for – government action </w:t>
      </w:r>
      <w:r w:rsidR="006D49E8">
        <w:t>to</w:t>
      </w:r>
      <w:r w:rsidR="006D49E8" w:rsidRPr="006D49E8">
        <w:t xml:space="preserve"> </w:t>
      </w:r>
      <w:r w:rsidR="00414CB1" w:rsidRPr="006D49E8">
        <w:t>impro</w:t>
      </w:r>
      <w:r w:rsidR="006D49E8">
        <w:t xml:space="preserve">ve </w:t>
      </w:r>
      <w:r w:rsidR="00414CB1">
        <w:t>service quality.</w:t>
      </w:r>
      <w:r w:rsidR="00796EBA">
        <w:t xml:space="preserve"> </w:t>
      </w:r>
      <w:r w:rsidR="00796EBA" w:rsidRPr="006D49E8">
        <w:t>Parent</w:t>
      </w:r>
      <w:r w:rsidR="006D49E8">
        <w:t>al</w:t>
      </w:r>
      <w:r w:rsidR="00796EBA">
        <w:t xml:space="preserve"> buy-in on quality improvement is an important characteristic of a sustainable system. </w:t>
      </w:r>
    </w:p>
    <w:p w:rsidR="00414CB1" w:rsidRDefault="00414CB1" w:rsidP="00DC66BF">
      <w:r>
        <w:t xml:space="preserve">The National Quality Framework provides a significant amount of information </w:t>
      </w:r>
      <w:r w:rsidR="008E300B">
        <w:t xml:space="preserve">that </w:t>
      </w:r>
      <w:r>
        <w:t xml:space="preserve">parents </w:t>
      </w:r>
      <w:r w:rsidR="008E300B">
        <w:t xml:space="preserve">could </w:t>
      </w:r>
      <w:r>
        <w:t xml:space="preserve">use as informed consumers, but it is not well communicated to </w:t>
      </w:r>
      <w:r w:rsidR="008E300B">
        <w:t>them</w:t>
      </w:r>
      <w:r>
        <w:t>. The Review has heard that many parents don’t know it exists, what it means or why it is important.</w:t>
      </w:r>
    </w:p>
    <w:p w:rsidR="00135330" w:rsidRDefault="00135330" w:rsidP="00DC66BF">
      <w:r>
        <w:t xml:space="preserve">Better </w:t>
      </w:r>
      <w:r w:rsidR="00703DCD">
        <w:t>communication of</w:t>
      </w:r>
      <w:r>
        <w:t xml:space="preserve"> information </w:t>
      </w:r>
      <w:r w:rsidR="00703DCD">
        <w:t xml:space="preserve">to parents </w:t>
      </w:r>
      <w:r>
        <w:t xml:space="preserve">could also help </w:t>
      </w:r>
      <w:r w:rsidR="00703DCD">
        <w:t>them navigate the service system. M</w:t>
      </w:r>
      <w:r>
        <w:t>any are confused by different terms a</w:t>
      </w:r>
      <w:r w:rsidR="008E300B">
        <w:t>cross services or jurisdictions</w:t>
      </w:r>
      <w:r w:rsidR="006D49E8">
        <w:t>;</w:t>
      </w:r>
      <w:r w:rsidR="008E300B">
        <w:t xml:space="preserve"> </w:t>
      </w:r>
      <w:r>
        <w:t>for example</w:t>
      </w:r>
      <w:r w:rsidR="006D49E8">
        <w:t>,</w:t>
      </w:r>
      <w:r>
        <w:t xml:space="preserve"> the differences (or similarities) between child care, long day care, preschool, kindergarten, and early childhood education and care</w:t>
      </w:r>
      <w:r w:rsidR="00AD4E3E">
        <w:t xml:space="preserve"> </w:t>
      </w:r>
      <w:r>
        <w:t>services.</w:t>
      </w:r>
    </w:p>
    <w:p w:rsidR="00135330" w:rsidRDefault="00257E42" w:rsidP="009725F4">
      <w:r>
        <w:t xml:space="preserve">Improving </w:t>
      </w:r>
      <w:r w:rsidR="00135330">
        <w:t xml:space="preserve">community and parental understanding of the importance of early childhood and service quality would also help to raise the standing of the </w:t>
      </w:r>
      <w:r w:rsidR="00292629">
        <w:t xml:space="preserve">early childhood education and care </w:t>
      </w:r>
      <w:r w:rsidR="00135330">
        <w:t>workforce</w:t>
      </w:r>
      <w:r w:rsidR="008E300B">
        <w:t>. R</w:t>
      </w:r>
      <w:r w:rsidR="00135330">
        <w:t xml:space="preserve">ather than regarded solely as </w:t>
      </w:r>
      <w:r w:rsidR="00A605F1">
        <w:t>carers,</w:t>
      </w:r>
      <w:r w:rsidR="00135330">
        <w:t xml:space="preserve"> their educative role would be acknowledged and they would be considered alongside other professionals such as </w:t>
      </w:r>
      <w:r w:rsidR="00305E22">
        <w:t xml:space="preserve">school </w:t>
      </w:r>
      <w:r w:rsidR="00135330">
        <w:t>teac</w:t>
      </w:r>
      <w:r w:rsidR="008E300B">
        <w:t>hers or allied health workers.</w:t>
      </w:r>
    </w:p>
    <w:p w:rsidR="00135330" w:rsidRPr="00A516DA" w:rsidRDefault="008C7AD0" w:rsidP="005026E6">
      <w:pPr>
        <w:pStyle w:val="Body"/>
        <w:tabs>
          <w:tab w:val="left" w:pos="3143"/>
        </w:tabs>
        <w:spacing w:line="240" w:lineRule="auto"/>
        <w:jc w:val="both"/>
        <w:rPr>
          <w:lang w:val="en-AU"/>
        </w:rPr>
      </w:pPr>
      <w:r w:rsidRPr="00A516DA">
        <w:rPr>
          <w:u w:val="single"/>
          <w:lang w:val="en-AU"/>
        </w:rPr>
        <w:t>Recommendation</w:t>
      </w:r>
      <w:r w:rsidR="00A61B30">
        <w:rPr>
          <w:u w:val="single"/>
          <w:lang w:val="en-AU"/>
        </w:rPr>
        <w:t>s</w:t>
      </w:r>
    </w:p>
    <w:p w:rsidR="00BC7E23" w:rsidRDefault="00BC7E23" w:rsidP="00A516DA">
      <w:pPr>
        <w:pStyle w:val="ListParagraph"/>
        <w:numPr>
          <w:ilvl w:val="0"/>
          <w:numId w:val="46"/>
        </w:numPr>
      </w:pPr>
      <w:r>
        <w:t>In recognition of</w:t>
      </w:r>
      <w:r w:rsidRPr="002978B4">
        <w:t xml:space="preserve"> the role of parents as </w:t>
      </w:r>
      <w:r>
        <w:t>the first and ongoing educator of their children</w:t>
      </w:r>
      <w:r w:rsidRPr="002978B4">
        <w:t>, and as advocate</w:t>
      </w:r>
      <w:r>
        <w:t>s</w:t>
      </w:r>
      <w:r w:rsidRPr="002978B4">
        <w:t xml:space="preserve"> for their child</w:t>
      </w:r>
      <w:r>
        <w:t>ren</w:t>
      </w:r>
      <w:r w:rsidRPr="002978B4">
        <w:t xml:space="preserve">, </w:t>
      </w:r>
      <w:r>
        <w:t>Australian governments</w:t>
      </w:r>
      <w:r w:rsidRPr="002978B4">
        <w:t xml:space="preserve"> undertake a</w:t>
      </w:r>
      <w:r>
        <w:t>n ongoing</w:t>
      </w:r>
      <w:r w:rsidRPr="002978B4">
        <w:t xml:space="preserve"> campaign to improve community understanding of the importance of the early years</w:t>
      </w:r>
      <w:r>
        <w:t xml:space="preserve"> and all who care for and educate children</w:t>
      </w:r>
      <w:r w:rsidRPr="002978B4">
        <w:t>, and to improve parent understanding of service quality</w:t>
      </w:r>
      <w:r>
        <w:t>.</w:t>
      </w:r>
    </w:p>
    <w:p w:rsidR="009A4C03" w:rsidRDefault="009A4C03" w:rsidP="00A516DA">
      <w:pPr>
        <w:pStyle w:val="ListParagraph"/>
        <w:numPr>
          <w:ilvl w:val="0"/>
          <w:numId w:val="46"/>
        </w:numPr>
      </w:pPr>
      <w:r>
        <w:t>Australian governments develop and invest in strategies to support early learning in the home environment, including programs to support parents in their</w:t>
      </w:r>
      <w:r w:rsidRPr="002978B4">
        <w:t xml:space="preserve"> educative role.</w:t>
      </w:r>
    </w:p>
    <w:p w:rsidR="00135330" w:rsidRDefault="00135330" w:rsidP="00051D6A">
      <w:pPr>
        <w:pStyle w:val="ListParagraph"/>
        <w:tabs>
          <w:tab w:val="left" w:pos="3143"/>
        </w:tabs>
      </w:pPr>
    </w:p>
    <w:p w:rsidR="00135330" w:rsidRDefault="00025E7B" w:rsidP="00261FDA">
      <w:pPr>
        <w:pStyle w:val="Heading2"/>
      </w:pPr>
      <w:bookmarkStart w:id="45" w:name="_Toc373586266"/>
      <w:bookmarkStart w:id="46" w:name="_Toc500850784"/>
      <w:r>
        <w:t>Reform theme six:</w:t>
      </w:r>
      <w:r w:rsidR="00843332">
        <w:t xml:space="preserve"> </w:t>
      </w:r>
      <w:r w:rsidR="00135330">
        <w:t>Transparency and accountability</w:t>
      </w:r>
      <w:bookmarkEnd w:id="45"/>
      <w:bookmarkEnd w:id="46"/>
    </w:p>
    <w:p w:rsidR="00135330" w:rsidRDefault="00135330" w:rsidP="00DC66BF">
      <w:r>
        <w:t xml:space="preserve">Having a strong evidence base, informed by good data, is an essential element of </w:t>
      </w:r>
      <w:r w:rsidR="00DF3147" w:rsidRPr="00121163">
        <w:t>policymaking</w:t>
      </w:r>
      <w:r>
        <w:t xml:space="preserve"> and implementation.</w:t>
      </w:r>
    </w:p>
    <w:p w:rsidR="00135330" w:rsidRDefault="00154302" w:rsidP="00DC66BF">
      <w:r>
        <w:t>D</w:t>
      </w:r>
      <w:r w:rsidR="00135330">
        <w:t>ata can help identify children at risk, and support tailored and early interventions</w:t>
      </w:r>
      <w:r w:rsidR="00DF3147">
        <w:t>;</w:t>
      </w:r>
      <w:r w:rsidR="00135330">
        <w:t xml:space="preserve"> not just in terms of education </w:t>
      </w:r>
      <w:r w:rsidR="00DF3147" w:rsidRPr="00830DA1">
        <w:t>but also</w:t>
      </w:r>
      <w:r w:rsidR="00135330">
        <w:t xml:space="preserve"> across other services including health and child protection. At a service level, data can identify high and low performing services</w:t>
      </w:r>
      <w:r w:rsidR="00DF3147">
        <w:t>. H</w:t>
      </w:r>
      <w:r w:rsidR="00135330">
        <w:t>igh performing services</w:t>
      </w:r>
      <w:r w:rsidR="00D5515C">
        <w:t xml:space="preserve"> can provide valuable lessons</w:t>
      </w:r>
      <w:r w:rsidR="008B6028">
        <w:t xml:space="preserve"> for other services</w:t>
      </w:r>
      <w:r w:rsidR="00135330">
        <w:t xml:space="preserve"> and low performing </w:t>
      </w:r>
      <w:r w:rsidR="008B6028">
        <w:t xml:space="preserve">services can be </w:t>
      </w:r>
      <w:r w:rsidR="00DF3147">
        <w:t>more readily</w:t>
      </w:r>
      <w:r w:rsidR="00DF3147" w:rsidRPr="004F62A2">
        <w:t xml:space="preserve"> </w:t>
      </w:r>
      <w:r w:rsidR="008B6028">
        <w:t xml:space="preserve">identified as </w:t>
      </w:r>
      <w:r w:rsidR="00D5515C">
        <w:t>need</w:t>
      </w:r>
      <w:r w:rsidR="008B6028">
        <w:t>ing</w:t>
      </w:r>
      <w:r w:rsidR="00D5515C">
        <w:t xml:space="preserve"> help</w:t>
      </w:r>
      <w:r w:rsidR="00135330">
        <w:t xml:space="preserve">. For parents, data can help drive consumer choice. For governments, </w:t>
      </w:r>
      <w:r w:rsidR="00D5648B">
        <w:t xml:space="preserve">building the evidence base </w:t>
      </w:r>
      <w:r w:rsidR="00135330">
        <w:t xml:space="preserve">can help with </w:t>
      </w:r>
      <w:r w:rsidR="006A7DC0">
        <w:t xml:space="preserve">policy and program development, </w:t>
      </w:r>
      <w:r w:rsidR="00135330">
        <w:t xml:space="preserve">funding decisions and accountability, and </w:t>
      </w:r>
      <w:r w:rsidR="00832533">
        <w:t>can underpin communities of practice</w:t>
      </w:r>
      <w:r w:rsidR="00135330">
        <w:t xml:space="preserve">. </w:t>
      </w:r>
    </w:p>
    <w:p w:rsidR="00D943CA" w:rsidRDefault="00135330" w:rsidP="00DC66BF">
      <w:r>
        <w:t>The Review has benefit</w:t>
      </w:r>
      <w:r w:rsidR="00D5648B">
        <w:t>t</w:t>
      </w:r>
      <w:r>
        <w:t xml:space="preserve">ed from extensive international evidence and data, and some Australian evidence and data. Both the AEDC and </w:t>
      </w:r>
      <w:r w:rsidR="00AC2BC9">
        <w:t xml:space="preserve">National Quality Standard </w:t>
      </w:r>
      <w:r>
        <w:t xml:space="preserve">ratings provide a richness of information that many other sectors or jurisdictions do not have. But they are collected infrequently, which can be a </w:t>
      </w:r>
      <w:r w:rsidR="009E2C81">
        <w:t xml:space="preserve">limitation </w:t>
      </w:r>
      <w:r>
        <w:t xml:space="preserve">in a sector undergoing significant change. </w:t>
      </w:r>
      <w:r w:rsidR="00D943CA">
        <w:t>More frequent assessments and ratings is one option for reform</w:t>
      </w:r>
      <w:r w:rsidR="008B6028">
        <w:t>;</w:t>
      </w:r>
      <w:r w:rsidR="00D943CA">
        <w:t xml:space="preserve"> another would be </w:t>
      </w:r>
      <w:r w:rsidR="008B6028">
        <w:t xml:space="preserve">the </w:t>
      </w:r>
      <w:r w:rsidR="00D943CA">
        <w:t>development of more efficient and targeted assessments</w:t>
      </w:r>
      <w:r w:rsidR="000F70F8">
        <w:t xml:space="preserve"> (</w:t>
      </w:r>
      <w:r w:rsidR="00D943CA">
        <w:t>for example</w:t>
      </w:r>
      <w:r w:rsidR="00FD53E6">
        <w:t>,</w:t>
      </w:r>
      <w:r w:rsidR="00D943CA">
        <w:t xml:space="preserve"> focussed on educational </w:t>
      </w:r>
      <w:r w:rsidR="00D943CA" w:rsidRPr="008B7815">
        <w:t>program</w:t>
      </w:r>
      <w:r w:rsidR="00FD53E6">
        <w:t>s</w:t>
      </w:r>
      <w:r w:rsidR="00D943CA">
        <w:t xml:space="preserve"> an</w:t>
      </w:r>
      <w:r w:rsidR="008B6028">
        <w:t>d practice</w:t>
      </w:r>
      <w:r w:rsidR="000F70F8">
        <w:t xml:space="preserve">) that are </w:t>
      </w:r>
      <w:r w:rsidR="00D943CA">
        <w:t xml:space="preserve">able to be undertaken more frequently. </w:t>
      </w:r>
    </w:p>
    <w:p w:rsidR="00135330" w:rsidRDefault="00D5648B" w:rsidP="00DC66BF">
      <w:r>
        <w:t xml:space="preserve">The </w:t>
      </w:r>
      <w:r w:rsidR="00AC2BC9">
        <w:t>National Quality Standard</w:t>
      </w:r>
      <w:r>
        <w:t xml:space="preserve"> ratings </w:t>
      </w:r>
      <w:r w:rsidR="00135330">
        <w:t>are particularly important as they form, in effect, the quality floor in which the sector operates. They are important to ensure the safety, wellbeing and development of children, but also the effectiveness and integrity of the significant government investment in the sector. Appropriately funding the regulatory bodies administering the</w:t>
      </w:r>
      <w:r w:rsidR="002A7225">
        <w:t xml:space="preserve"> National Quality Framework</w:t>
      </w:r>
      <w:r w:rsidR="00135330">
        <w:t xml:space="preserve"> is vital, as is having sufficient information to inform future changes to the </w:t>
      </w:r>
      <w:r w:rsidR="002A7225">
        <w:t>National Quality Framework</w:t>
      </w:r>
      <w:r w:rsidR="00135330">
        <w:t xml:space="preserve"> to increase minimum quality expectations. </w:t>
      </w:r>
    </w:p>
    <w:p w:rsidR="00D5648B" w:rsidRDefault="00135330" w:rsidP="00DC66BF">
      <w:r>
        <w:t xml:space="preserve">Attendance data in preschool is </w:t>
      </w:r>
      <w:r w:rsidR="002A3966">
        <w:t xml:space="preserve">often </w:t>
      </w:r>
      <w:r>
        <w:t xml:space="preserve">patchy and open to multiple interpretations, so </w:t>
      </w:r>
      <w:r w:rsidR="00E831DA">
        <w:t xml:space="preserve">it is not always clear </w:t>
      </w:r>
      <w:r>
        <w:t xml:space="preserve">how many children are attending or for how long. Nor </w:t>
      </w:r>
      <w:r w:rsidR="00D5515C">
        <w:t xml:space="preserve">is there a </w:t>
      </w:r>
      <w:r>
        <w:t xml:space="preserve">good understanding of developmental </w:t>
      </w:r>
      <w:r w:rsidR="00796EBA">
        <w:t xml:space="preserve">growth </w:t>
      </w:r>
      <w:r w:rsidR="00FD53E6">
        <w:t>of</w:t>
      </w:r>
      <w:r w:rsidR="00FD53E6" w:rsidRPr="00877CC4">
        <w:t xml:space="preserve"> </w:t>
      </w:r>
      <w:r w:rsidR="00796EBA">
        <w:t>children within a program or service</w:t>
      </w:r>
      <w:r w:rsidR="009E2C81">
        <w:t>. Improved formative assessment would better support educators to understand a child’s needs, and tailor their programs accordingly. I</w:t>
      </w:r>
      <w:r>
        <w:t>ndividual data sets are not always systemically linked to other data, making it is difficult to track children over time to measure long</w:t>
      </w:r>
      <w:r w:rsidR="00FD53E6">
        <w:t>-</w:t>
      </w:r>
      <w:r>
        <w:t>term impacts</w:t>
      </w:r>
      <w:r w:rsidR="009E2C81">
        <w:t>, or identify long-term issues</w:t>
      </w:r>
      <w:r>
        <w:t xml:space="preserve">. </w:t>
      </w:r>
    </w:p>
    <w:p w:rsidR="009E2C81" w:rsidRDefault="009E2C81" w:rsidP="00DC66BF">
      <w:r>
        <w:t>T</w:t>
      </w:r>
      <w:r w:rsidR="00135330">
        <w:t>here is no systemic sharing of good practice in Australia</w:t>
      </w:r>
      <w:r w:rsidR="008B6028">
        <w:t xml:space="preserve">, such as </w:t>
      </w:r>
      <w:r w:rsidR="00135330">
        <w:t xml:space="preserve">jurisdictions and services sharing their knowledge about what does and does not work. </w:t>
      </w:r>
      <w:r w:rsidR="008B6028">
        <w:t>Nor are p</w:t>
      </w:r>
      <w:r w:rsidR="00887DFC">
        <w:t xml:space="preserve">rogram evaluations </w:t>
      </w:r>
      <w:r w:rsidR="008B6028">
        <w:t xml:space="preserve">always </w:t>
      </w:r>
      <w:r w:rsidR="00887DFC">
        <w:t>unde</w:t>
      </w:r>
      <w:r w:rsidR="008B6028">
        <w:t>rtaken system</w:t>
      </w:r>
      <w:r w:rsidR="00831C22">
        <w:t>at</w:t>
      </w:r>
      <w:r w:rsidR="008B6028">
        <w:t xml:space="preserve">ically and </w:t>
      </w:r>
      <w:r w:rsidR="00887DFC">
        <w:t>rigorous</w:t>
      </w:r>
      <w:r w:rsidR="008B6028">
        <w:t>ly</w:t>
      </w:r>
      <w:r w:rsidR="003357B8">
        <w:t>,</w:t>
      </w:r>
      <w:r w:rsidR="00887DFC">
        <w:t xml:space="preserve"> </w:t>
      </w:r>
      <w:r w:rsidR="008B6028">
        <w:t xml:space="preserve">or </w:t>
      </w:r>
      <w:r w:rsidR="00887DFC">
        <w:t xml:space="preserve">shared broadly. </w:t>
      </w:r>
    </w:p>
    <w:p w:rsidR="00135330" w:rsidRDefault="00135330" w:rsidP="00DC66BF">
      <w:r>
        <w:t xml:space="preserve">Longitudinal studies are particularly rich sources of evidence for policy makers, but there hasn’t been a new birth cohort in the Longitudinal Study of Australian Children </w:t>
      </w:r>
      <w:r w:rsidR="009E2AD4">
        <w:t xml:space="preserve">(LSAC) </w:t>
      </w:r>
      <w:r>
        <w:t xml:space="preserve">since 2003-2004. There have been significant changes to early childhood services since then that LSAC would not be able to inform policy makers </w:t>
      </w:r>
      <w:r w:rsidR="0070723A">
        <w:t>about</w:t>
      </w:r>
      <w:r>
        <w:t>. The Productivity Commission has already recommended that new cohorts be established at regular intervals,</w:t>
      </w:r>
      <w:r>
        <w:rPr>
          <w:vertAlign w:val="superscript"/>
        </w:rPr>
        <w:endnoteReference w:id="243"/>
      </w:r>
      <w:r>
        <w:t xml:space="preserve"> and the Review </w:t>
      </w:r>
      <w:r w:rsidR="008B6028">
        <w:t>supports</w:t>
      </w:r>
      <w:r>
        <w:t xml:space="preserve"> this. </w:t>
      </w:r>
    </w:p>
    <w:p w:rsidR="00135330" w:rsidRDefault="00135330" w:rsidP="00DC66BF">
      <w:r>
        <w:t>More data should be collected, and it should be shared and made available. Wherever possible (respecting the privacy of individuals), information should be readily available</w:t>
      </w:r>
      <w:r w:rsidR="001A4649">
        <w:t xml:space="preserve"> to parents,</w:t>
      </w:r>
      <w:r>
        <w:t xml:space="preserve"> governments, academics</w:t>
      </w:r>
      <w:r w:rsidR="001A4649">
        <w:t xml:space="preserve"> and</w:t>
      </w:r>
      <w:r>
        <w:t xml:space="preserve"> services. Given the diversity of the sector, with many different parties involved in service provision, information should not be restricted only to governments or a limited few. </w:t>
      </w:r>
    </w:p>
    <w:p w:rsidR="00135330" w:rsidRDefault="00135330" w:rsidP="00DC66BF">
      <w:r>
        <w:t>Data sharing would also enable better targeting of services and support. For example, some jurisdictions target additional support to families with a healthcare card. But this is a blunt measurement of disadvantage and does not allow for gradations</w:t>
      </w:r>
      <w:r w:rsidR="002828F0">
        <w:t>,</w:t>
      </w:r>
      <w:r>
        <w:t xml:space="preserve"> so a family </w:t>
      </w:r>
      <w:r w:rsidR="002828F0">
        <w:t>that</w:t>
      </w:r>
      <w:r>
        <w:t xml:space="preserve"> earns a dollar over the threshold </w:t>
      </w:r>
      <w:r w:rsidR="008B6028">
        <w:t xml:space="preserve">may be </w:t>
      </w:r>
      <w:r>
        <w:t xml:space="preserve">significantly disadvantaged </w:t>
      </w:r>
      <w:r w:rsidR="000F70F8">
        <w:t xml:space="preserve">compared with </w:t>
      </w:r>
      <w:r>
        <w:t xml:space="preserve">one earning a dollar below the threshold, despite there being </w:t>
      </w:r>
      <w:r w:rsidR="002828F0">
        <w:t>a</w:t>
      </w:r>
      <w:r w:rsidRPr="008E688A">
        <w:t xml:space="preserve"> </w:t>
      </w:r>
      <w:r>
        <w:t xml:space="preserve">limited </w:t>
      </w:r>
      <w:r w:rsidR="008B6028">
        <w:t xml:space="preserve">apparent </w:t>
      </w:r>
      <w:r>
        <w:t xml:space="preserve">difference in circumstances. The sharing of income data would enable better targeting of support. </w:t>
      </w:r>
    </w:p>
    <w:p w:rsidR="00FD094A" w:rsidRDefault="00FD094A" w:rsidP="00FD094A">
      <w:r>
        <w:t xml:space="preserve">A number of these issues reflect a lack of coordination or </w:t>
      </w:r>
      <w:r w:rsidR="002828F0">
        <w:t xml:space="preserve">a lack of </w:t>
      </w:r>
      <w:r>
        <w:t>early childhood data infrastructure to bring data sources, governments and other interested parties together.</w:t>
      </w:r>
    </w:p>
    <w:p w:rsidR="00135330" w:rsidRDefault="00135330" w:rsidP="00DC66BF">
      <w:r>
        <w:t>None of these observations should be interpreted as suggesting that there is insufficient evidence to confirm the value of quality early childhood education, or to support the findings and recommendations of this report. There is no absence of international research</w:t>
      </w:r>
      <w:r w:rsidR="00987124">
        <w:t xml:space="preserve"> and </w:t>
      </w:r>
      <w:r w:rsidR="002828F0">
        <w:t>there is</w:t>
      </w:r>
      <w:r w:rsidR="00987124" w:rsidRPr="000F5FA4">
        <w:t xml:space="preserve"> </w:t>
      </w:r>
      <w:r w:rsidR="00987124">
        <w:t>a growing body of Australian evidence</w:t>
      </w:r>
      <w:r>
        <w:t>. The evidence is clear. But more evidence, collected at more regular intervals, would assist with quality and service improvement</w:t>
      </w:r>
      <w:r w:rsidR="008B6028">
        <w:t>, support parent choice</w:t>
      </w:r>
      <w:r>
        <w:t xml:space="preserve"> and </w:t>
      </w:r>
      <w:r w:rsidR="008B6028">
        <w:t>maximise</w:t>
      </w:r>
      <w:r>
        <w:t xml:space="preserve"> child outcomes and return on investment. </w:t>
      </w:r>
    </w:p>
    <w:p w:rsidR="00E831DA" w:rsidRPr="00A516DA" w:rsidRDefault="00E831DA" w:rsidP="00E831DA">
      <w:pPr>
        <w:pStyle w:val="Body"/>
        <w:tabs>
          <w:tab w:val="left" w:pos="3143"/>
        </w:tabs>
        <w:spacing w:line="240" w:lineRule="auto"/>
        <w:jc w:val="both"/>
        <w:rPr>
          <w:lang w:val="en-AU"/>
        </w:rPr>
      </w:pPr>
      <w:r w:rsidRPr="00A516DA">
        <w:rPr>
          <w:u w:val="single"/>
          <w:lang w:val="en-AU"/>
        </w:rPr>
        <w:t>Recommendations</w:t>
      </w:r>
    </w:p>
    <w:p w:rsidR="00D9775A" w:rsidRDefault="00D9775A" w:rsidP="00D9775A">
      <w:pPr>
        <w:pStyle w:val="ListParagraph"/>
        <w:numPr>
          <w:ilvl w:val="0"/>
          <w:numId w:val="46"/>
        </w:numPr>
        <w:pBdr>
          <w:top w:val="nil"/>
          <w:left w:val="nil"/>
          <w:bottom w:val="nil"/>
          <w:right w:val="nil"/>
          <w:between w:val="nil"/>
          <w:bar w:val="nil"/>
        </w:pBdr>
      </w:pPr>
      <w:r>
        <w:t>Australian governments, in support of their investments in early childhood, develop and invest in an early childhood information strategy. The strategy should encompass all aspects of early childhood data, information and evidence</w:t>
      </w:r>
      <w:r w:rsidRPr="00A20C15">
        <w:t>,</w:t>
      </w:r>
      <w:r>
        <w:t xml:space="preserve"> and aim to make </w:t>
      </w:r>
      <w:r w:rsidRPr="006619DB">
        <w:t xml:space="preserve">a greater amount of </w:t>
      </w:r>
      <w:r>
        <w:t xml:space="preserve">information more accessible to more people. </w:t>
      </w:r>
    </w:p>
    <w:p w:rsidR="009A4C03" w:rsidRDefault="009A4C03" w:rsidP="00A516DA">
      <w:pPr>
        <w:pStyle w:val="ListParagraph"/>
        <w:numPr>
          <w:ilvl w:val="0"/>
          <w:numId w:val="46"/>
        </w:numPr>
        <w:pBdr>
          <w:top w:val="nil"/>
          <w:left w:val="nil"/>
          <w:bottom w:val="nil"/>
          <w:right w:val="nil"/>
          <w:between w:val="nil"/>
          <w:bar w:val="nil"/>
        </w:pBdr>
      </w:pPr>
      <w:r>
        <w:t xml:space="preserve">The early childhood data and information strategy </w:t>
      </w:r>
      <w:r w:rsidRPr="00D41DEB">
        <w:t>include</w:t>
      </w:r>
      <w:r>
        <w:t xml:space="preserve"> better use of existing data and information, more frequent collection, the collection of new data and information, improved data and information sharing, and appropriate national governance arrangements to support the strategy and future reform. </w:t>
      </w:r>
    </w:p>
    <w:p w:rsidR="00135330" w:rsidRDefault="00135330" w:rsidP="00DC66BF">
      <w:r>
        <w:rPr>
          <w:i/>
          <w:iCs/>
        </w:rPr>
        <w:t>Allocation of responsibilities</w:t>
      </w:r>
    </w:p>
    <w:p w:rsidR="00DF3431" w:rsidRDefault="00135330" w:rsidP="00DC66BF">
      <w:r>
        <w:t xml:space="preserve">The Review has been struck throughout the course of its work by the intersection of Commonwealth and </w:t>
      </w:r>
      <w:r w:rsidR="001752FD">
        <w:t>s</w:t>
      </w:r>
      <w:r>
        <w:t>tates</w:t>
      </w:r>
      <w:r w:rsidR="000F70F8">
        <w:t>’</w:t>
      </w:r>
      <w:r>
        <w:t xml:space="preserve"> and </w:t>
      </w:r>
      <w:r w:rsidR="001752FD">
        <w:t>t</w:t>
      </w:r>
      <w:r>
        <w:t>erritories</w:t>
      </w:r>
      <w:r w:rsidR="000F70F8">
        <w:t>’</w:t>
      </w:r>
      <w:r>
        <w:t xml:space="preserve"> roles and responsibilities in early childhood</w:t>
      </w:r>
      <w:r w:rsidR="00311E82">
        <w:t>.</w:t>
      </w:r>
      <w:r>
        <w:t xml:space="preserve"> </w:t>
      </w:r>
    </w:p>
    <w:p w:rsidR="00DF3431" w:rsidRDefault="00311E82" w:rsidP="00DF3431">
      <w:r>
        <w:t>W</w:t>
      </w:r>
      <w:r w:rsidR="00135330">
        <w:t xml:space="preserve">hile both levels of government are concerned with the same children and families, policy settings are not always aligned or complementary. The involvement of multiple levels of government can also increase complexity for families and services as they </w:t>
      </w:r>
      <w:r w:rsidR="00154302">
        <w:t xml:space="preserve">try to navigate </w:t>
      </w:r>
      <w:r w:rsidR="00221A4A">
        <w:t xml:space="preserve">fragmented service delivery, </w:t>
      </w:r>
      <w:r w:rsidR="00135330">
        <w:t xml:space="preserve">programs and funding streams. </w:t>
      </w:r>
      <w:r w:rsidR="00DF3431">
        <w:t>A number of stakeholders expressed frustration that the Commonwealth’s current focus on supporting workforce participation through child</w:t>
      </w:r>
      <w:r w:rsidR="00EA521D">
        <w:t xml:space="preserve"> </w:t>
      </w:r>
      <w:r w:rsidR="00DF3431">
        <w:t>care was a missed opportunity to also</w:t>
      </w:r>
      <w:r w:rsidR="001D4F28">
        <w:t xml:space="preserve"> benefit the child’s education, and that current funding rules </w:t>
      </w:r>
      <w:r w:rsidR="00765739">
        <w:t xml:space="preserve">do not always support workforce participation or improved child outcomes. </w:t>
      </w:r>
    </w:p>
    <w:p w:rsidR="00DF3431" w:rsidRDefault="00135330" w:rsidP="00DC66BF">
      <w:r>
        <w:t xml:space="preserve">A number of the Review’s recommendations indicate that there is a system stewardship function not being </w:t>
      </w:r>
      <w:r w:rsidR="00BC7E23" w:rsidRPr="00994E3D">
        <w:t>adequately</w:t>
      </w:r>
      <w:r w:rsidR="00BC7E23">
        <w:t xml:space="preserve"> </w:t>
      </w:r>
      <w:r>
        <w:t>performed</w:t>
      </w:r>
      <w:r w:rsidR="00BC4847">
        <w:t>; f</w:t>
      </w:r>
      <w:r>
        <w:t xml:space="preserve">or example, the absence of a current workforce strategy and the lack of a systemic approach to sharing information or </w:t>
      </w:r>
      <w:r w:rsidR="00DF3431">
        <w:t xml:space="preserve">effective practice. </w:t>
      </w:r>
    </w:p>
    <w:p w:rsidR="00135330" w:rsidRDefault="00135330" w:rsidP="00DC66BF">
      <w:r>
        <w:t xml:space="preserve">Importantly, shared </w:t>
      </w:r>
      <w:r w:rsidR="004664CB">
        <w:t xml:space="preserve">or unclear </w:t>
      </w:r>
      <w:r>
        <w:t>responsibilities can</w:t>
      </w:r>
      <w:r w:rsidR="00154302">
        <w:t xml:space="preserve"> also</w:t>
      </w:r>
      <w:r>
        <w:t xml:space="preserve"> dilute accountability, as each level of government points to the other as responsible. Clearly articulating roles and responsibilities is vital. </w:t>
      </w:r>
    </w:p>
    <w:p w:rsidR="00BC7E23" w:rsidRDefault="00BC7E23" w:rsidP="00BC7E23">
      <w:r w:rsidRPr="00994E3D">
        <w:t>A re-definition or re-allocation of responsibilities could be considered to clarify responsibilities and reduce funding complexity</w:t>
      </w:r>
      <w:r>
        <w:t>. F</w:t>
      </w:r>
      <w:r w:rsidRPr="00994E3D">
        <w:t xml:space="preserve">or example, </w:t>
      </w:r>
      <w:r>
        <w:t xml:space="preserve">it has been previously suggested that </w:t>
      </w:r>
      <w:r w:rsidR="002A7225">
        <w:t>s</w:t>
      </w:r>
      <w:r w:rsidRPr="00994E3D">
        <w:t xml:space="preserve">tates and </w:t>
      </w:r>
      <w:r w:rsidR="002A7225">
        <w:t>t</w:t>
      </w:r>
      <w:r w:rsidRPr="00994E3D">
        <w:t xml:space="preserve">erritories </w:t>
      </w:r>
      <w:r>
        <w:t xml:space="preserve">could take </w:t>
      </w:r>
      <w:r w:rsidRPr="00994E3D">
        <w:t>full or greater responsibility for the learning, development and care of children prior to entering formal schooling.</w:t>
      </w:r>
      <w:r w:rsidRPr="00994E3D">
        <w:rPr>
          <w:vertAlign w:val="superscript"/>
        </w:rPr>
        <w:endnoteReference w:id="244"/>
      </w:r>
      <w:r w:rsidRPr="00994E3D">
        <w:t xml:space="preserve"> </w:t>
      </w:r>
      <w:r>
        <w:t xml:space="preserve">Such an approach </w:t>
      </w:r>
      <w:r w:rsidRPr="00994E3D">
        <w:t xml:space="preserve">would not preclude nationally consistent approaches to issues such as quality or workforce development, and would require the availability of funding to be matched with the allocation of responsibilities. </w:t>
      </w:r>
      <w:r>
        <w:t xml:space="preserve">The Review does not suggest the states and territories could simply take on additional responsibilities – given the historical and current vertical fiscal imbalance in Australia, the fiscal implications of any change would need to be carefully considered. </w:t>
      </w:r>
      <w:r w:rsidRPr="00994E3D">
        <w:t xml:space="preserve">For the purpose of its recommendations, the Review has not </w:t>
      </w:r>
      <w:r>
        <w:t xml:space="preserve">assumed any change </w:t>
      </w:r>
      <w:r w:rsidRPr="00994E3D">
        <w:t xml:space="preserve">to current roles and responsibilities, but thinks that there would be benefit in considering </w:t>
      </w:r>
      <w:r>
        <w:t xml:space="preserve">and clarifying </w:t>
      </w:r>
      <w:r w:rsidRPr="00994E3D">
        <w:t xml:space="preserve">the allocation of roles and responsibilities. </w:t>
      </w:r>
    </w:p>
    <w:p w:rsidR="00135330" w:rsidRPr="00A516DA" w:rsidRDefault="00DF3431" w:rsidP="005026E6">
      <w:pPr>
        <w:pStyle w:val="Body"/>
        <w:tabs>
          <w:tab w:val="left" w:pos="3143"/>
        </w:tabs>
        <w:spacing w:line="240" w:lineRule="auto"/>
        <w:jc w:val="both"/>
        <w:rPr>
          <w:lang w:val="en-AU"/>
        </w:rPr>
      </w:pPr>
      <w:r w:rsidRPr="00A516DA">
        <w:rPr>
          <w:u w:val="single"/>
          <w:lang w:val="en-AU"/>
        </w:rPr>
        <w:t>Recommendation</w:t>
      </w:r>
    </w:p>
    <w:p w:rsidR="00135330" w:rsidRDefault="002978B4" w:rsidP="00A516DA">
      <w:pPr>
        <w:pStyle w:val="ListParagraph"/>
        <w:numPr>
          <w:ilvl w:val="0"/>
          <w:numId w:val="46"/>
        </w:numPr>
        <w:pBdr>
          <w:top w:val="nil"/>
          <w:left w:val="nil"/>
          <w:bottom w:val="nil"/>
          <w:right w:val="nil"/>
          <w:between w:val="nil"/>
          <w:bar w:val="nil"/>
        </w:pBdr>
        <w:contextualSpacing w:val="0"/>
        <w:jc w:val="both"/>
      </w:pPr>
      <w:r w:rsidRPr="002978B4">
        <w:t>Australian governments consider the optimal allocation of roles and responsibilities between levels of government for early childhood</w:t>
      </w:r>
      <w:r w:rsidR="00BC4847">
        <w:t xml:space="preserve"> in order</w:t>
      </w:r>
      <w:r w:rsidRPr="002978B4">
        <w:t xml:space="preserve"> to address policy and delivery issues, improve clarity and reduce complexity for families, providers and governments, and thereby improve outcomes for children.</w:t>
      </w:r>
    </w:p>
    <w:p w:rsidR="00135330" w:rsidRDefault="003207BB" w:rsidP="00261FDA">
      <w:pPr>
        <w:pStyle w:val="Heading2"/>
      </w:pPr>
      <w:bookmarkStart w:id="47" w:name="_Toc373586267"/>
      <w:bookmarkStart w:id="48" w:name="_Toc500850785"/>
      <w:r>
        <w:t>Implementation</w:t>
      </w:r>
      <w:bookmarkEnd w:id="47"/>
      <w:bookmarkEnd w:id="48"/>
    </w:p>
    <w:p w:rsidR="00421859" w:rsidRDefault="00135330" w:rsidP="00DC66BF">
      <w:r>
        <w:t xml:space="preserve">The Review recognises that adoption and </w:t>
      </w:r>
      <w:r w:rsidR="00363A56">
        <w:t xml:space="preserve">full </w:t>
      </w:r>
      <w:r>
        <w:t>implementation of these recommendations will take time.</w:t>
      </w:r>
      <w:r w:rsidR="00421859">
        <w:t xml:space="preserve"> Addressing workforce issues and providing </w:t>
      </w:r>
      <w:r w:rsidR="000F70F8">
        <w:t xml:space="preserve">early childhood education </w:t>
      </w:r>
      <w:r w:rsidR="00421859">
        <w:t xml:space="preserve">to all three year olds will take years, and a phased approach to implementation will be required. Different jurisdictions </w:t>
      </w:r>
      <w:r w:rsidR="00987124">
        <w:t xml:space="preserve">start with different strengths and </w:t>
      </w:r>
      <w:r w:rsidR="00421859">
        <w:t xml:space="preserve">will face different challenges (for example, </w:t>
      </w:r>
      <w:r w:rsidR="00363A56">
        <w:t xml:space="preserve">supporting </w:t>
      </w:r>
      <w:r w:rsidR="008B6028">
        <w:t xml:space="preserve">remote communities). They </w:t>
      </w:r>
      <w:r w:rsidR="00421859">
        <w:t xml:space="preserve">will start from different points, given existing variation. </w:t>
      </w:r>
      <w:r w:rsidR="00363A56">
        <w:t>Further work will be required by jurisdictions to consider d</w:t>
      </w:r>
      <w:r w:rsidR="003563CE">
        <w:t xml:space="preserve">etailed </w:t>
      </w:r>
      <w:r w:rsidR="008B6028">
        <w:t xml:space="preserve">phasing of </w:t>
      </w:r>
      <w:r w:rsidR="003563CE">
        <w:t xml:space="preserve">implementation. However, the Review considers it useful to provide some </w:t>
      </w:r>
      <w:r w:rsidR="00606548">
        <w:t xml:space="preserve">guidance as to </w:t>
      </w:r>
      <w:r w:rsidR="003563CE">
        <w:t xml:space="preserve">sequencing. </w:t>
      </w:r>
    </w:p>
    <w:p w:rsidR="003563CE" w:rsidRDefault="003563CE" w:rsidP="003563CE">
      <w:r w:rsidRPr="00363A56">
        <w:t xml:space="preserve">An ongoing commitment to </w:t>
      </w:r>
      <w:r>
        <w:t xml:space="preserve">adequately </w:t>
      </w:r>
      <w:r w:rsidRPr="00363A56">
        <w:t xml:space="preserve">funding Universal Access in the year before school and the National Quality Framework must be the </w:t>
      </w:r>
      <w:r w:rsidR="00606548">
        <w:t xml:space="preserve">first </w:t>
      </w:r>
      <w:r w:rsidRPr="00363A56">
        <w:t xml:space="preserve">priority for all Australian governments. Without this, there is </w:t>
      </w:r>
      <w:r>
        <w:t xml:space="preserve">the risk of a reduction in </w:t>
      </w:r>
      <w:r w:rsidR="00BB294B">
        <w:t xml:space="preserve">the </w:t>
      </w:r>
      <w:r>
        <w:t xml:space="preserve">current level and quality of early childhood education in Australia, and </w:t>
      </w:r>
      <w:r w:rsidRPr="00363A56">
        <w:t xml:space="preserve">too much uncertainty to effectively address other issues and opportunities. </w:t>
      </w:r>
    </w:p>
    <w:p w:rsidR="003563CE" w:rsidRDefault="008B6028" w:rsidP="003563CE">
      <w:r>
        <w:t>O</w:t>
      </w:r>
      <w:r w:rsidR="003563CE" w:rsidRPr="00363A56">
        <w:t>ther recommendations may take longer to fully deliver but aspects can be commenced quickly</w:t>
      </w:r>
      <w:r w:rsidR="003563CE">
        <w:t>.</w:t>
      </w:r>
      <w:r w:rsidR="003563CE" w:rsidRPr="00363A56">
        <w:t xml:space="preserve"> </w:t>
      </w:r>
      <w:r w:rsidR="00A605F1">
        <w:t>This includes</w:t>
      </w:r>
      <w:r w:rsidR="00A605F1" w:rsidRPr="00363A56">
        <w:t xml:space="preserve"> </w:t>
      </w:r>
      <w:r w:rsidR="003563CE" w:rsidRPr="00363A56">
        <w:t>starting to address workforce issues, planning and targeted delivery for early childhood education for three year olds, and initiatives to improve parent engagement and support.</w:t>
      </w:r>
      <w:r w:rsidR="003563CE">
        <w:t xml:space="preserve"> </w:t>
      </w:r>
    </w:p>
    <w:p w:rsidR="00B90DA0" w:rsidRPr="00941A3A" w:rsidRDefault="00470216" w:rsidP="00470216">
      <w:r w:rsidRPr="00B90DA0">
        <w:t xml:space="preserve">Workforce and </w:t>
      </w:r>
      <w:r w:rsidR="003563CE" w:rsidRPr="00B90DA0">
        <w:t xml:space="preserve">quality are critical, and longer-term policy work </w:t>
      </w:r>
      <w:r w:rsidR="009D25CB">
        <w:t>sh</w:t>
      </w:r>
      <w:r w:rsidR="003563CE" w:rsidRPr="00B90DA0">
        <w:t>ould commence immediately. In the shorter term, targeted</w:t>
      </w:r>
      <w:r w:rsidR="00B90DA0" w:rsidRPr="00B90DA0">
        <w:t xml:space="preserve">, ‘no regrets’ </w:t>
      </w:r>
      <w:r w:rsidR="003563CE" w:rsidRPr="00B90DA0">
        <w:t>investments could be made</w:t>
      </w:r>
      <w:r w:rsidR="00BB294B">
        <w:t>;</w:t>
      </w:r>
      <w:r w:rsidR="003563CE" w:rsidRPr="00B90DA0">
        <w:t xml:space="preserve"> for example</w:t>
      </w:r>
      <w:r w:rsidR="00BB294B">
        <w:t>,</w:t>
      </w:r>
      <w:r w:rsidR="003563CE" w:rsidRPr="00B90DA0">
        <w:t xml:space="preserve"> </w:t>
      </w:r>
      <w:r w:rsidR="00B90DA0" w:rsidRPr="00B90DA0">
        <w:t xml:space="preserve">in </w:t>
      </w:r>
      <w:r w:rsidR="003563CE" w:rsidRPr="00B90DA0">
        <w:t>supporting professional development</w:t>
      </w:r>
      <w:r w:rsidR="00B90DA0" w:rsidRPr="00B90DA0">
        <w:t xml:space="preserve"> or initiatives to improve workforce diversity. Work to investigate and address more complex issue</w:t>
      </w:r>
      <w:r w:rsidR="00987124">
        <w:t>s</w:t>
      </w:r>
      <w:r w:rsidR="00B90DA0" w:rsidRPr="00B90DA0">
        <w:t xml:space="preserve">, such </w:t>
      </w:r>
      <w:r w:rsidR="00B90DA0" w:rsidRPr="00941A3A">
        <w:t>as the quality of pre</w:t>
      </w:r>
      <w:r w:rsidR="00831C22">
        <w:t>-</w:t>
      </w:r>
      <w:r w:rsidR="00B90DA0" w:rsidRPr="00941A3A">
        <w:t xml:space="preserve">service training and the </w:t>
      </w:r>
      <w:r w:rsidR="009D25CB" w:rsidRPr="00941A3A">
        <w:t>use of funding levers to drive quality improvement</w:t>
      </w:r>
      <w:r w:rsidR="00B90DA0" w:rsidRPr="00941A3A">
        <w:t>, will take longer to complete, but could also commence quickly.</w:t>
      </w:r>
      <w:r w:rsidR="003C37BA">
        <w:t xml:space="preserve"> </w:t>
      </w:r>
    </w:p>
    <w:p w:rsidR="00B90DA0" w:rsidRPr="00941A3A" w:rsidRDefault="00B90DA0" w:rsidP="00470216">
      <w:r w:rsidRPr="00941A3A">
        <w:t xml:space="preserve">Early childhood education for three year olds will take many years to fully implement, but planning should commence quickly, and access can be phased in, with </w:t>
      </w:r>
      <w:r w:rsidR="00831C22">
        <w:t xml:space="preserve">priority given to children in </w:t>
      </w:r>
      <w:r w:rsidRPr="00941A3A">
        <w:t>vulnerable and disadvantaged</w:t>
      </w:r>
      <w:r w:rsidR="009D25CB" w:rsidRPr="00941A3A">
        <w:t xml:space="preserve"> </w:t>
      </w:r>
      <w:r w:rsidR="00831C22">
        <w:t xml:space="preserve">circumstances. </w:t>
      </w:r>
    </w:p>
    <w:p w:rsidR="00A325A0" w:rsidRPr="00941A3A" w:rsidRDefault="00A605F1" w:rsidP="00470216">
      <w:r w:rsidRPr="00941A3A">
        <w:t xml:space="preserve">Actions to implement the recommendations relating to parent engagement and support, and additional support for vulnerable and disadvantaged children and families, can also begin quickly. </w:t>
      </w:r>
      <w:r w:rsidR="00A325A0" w:rsidRPr="00941A3A">
        <w:t>A number of successful models and programs exist, some of which have been highlighted in this report.</w:t>
      </w:r>
      <w:r w:rsidR="003C37BA">
        <w:t xml:space="preserve"> </w:t>
      </w:r>
    </w:p>
    <w:p w:rsidR="00A325A0" w:rsidRPr="00941A3A" w:rsidRDefault="00A325A0" w:rsidP="00470216">
      <w:r w:rsidRPr="00941A3A">
        <w:t xml:space="preserve">Work on the </w:t>
      </w:r>
      <w:r w:rsidR="00470216" w:rsidRPr="00941A3A">
        <w:t>early childhood information strategy</w:t>
      </w:r>
      <w:r w:rsidRPr="00941A3A">
        <w:t xml:space="preserve"> should also commence concurrently. Quality information will support the planning, delivery and evaluation of the other recommendations.</w:t>
      </w:r>
    </w:p>
    <w:p w:rsidR="00363A56" w:rsidRDefault="00363A56" w:rsidP="00363A56">
      <w:r w:rsidRPr="00941A3A">
        <w:t>What has often been missing in Australia has been a sense of urgency in progressing early childhood education reform. The window for ear</w:t>
      </w:r>
      <w:r>
        <w:t xml:space="preserve">ly childhood interventions is relatively brief, and once the time has passed for </w:t>
      </w:r>
      <w:r w:rsidR="006541AE">
        <w:t>a child</w:t>
      </w:r>
      <w:r>
        <w:t xml:space="preserve">, the opportunity is gone. The faster governments act, the sooner children, governments and society will see the benefits. </w:t>
      </w:r>
    </w:p>
    <w:p w:rsidR="00135330" w:rsidRPr="00A516DA" w:rsidRDefault="008C7AD0" w:rsidP="005026E6">
      <w:pPr>
        <w:pStyle w:val="Body"/>
        <w:tabs>
          <w:tab w:val="left" w:pos="3143"/>
        </w:tabs>
        <w:spacing w:line="240" w:lineRule="auto"/>
        <w:jc w:val="both"/>
      </w:pPr>
      <w:r w:rsidRPr="00A516DA">
        <w:rPr>
          <w:u w:val="single"/>
          <w:lang w:val="en-AU"/>
        </w:rPr>
        <w:t>Recommendation</w:t>
      </w:r>
    </w:p>
    <w:p w:rsidR="00F4064A" w:rsidRPr="00924A05" w:rsidRDefault="002978B4" w:rsidP="00A516DA">
      <w:pPr>
        <w:pStyle w:val="ListParagraph"/>
        <w:numPr>
          <w:ilvl w:val="0"/>
          <w:numId w:val="46"/>
        </w:numPr>
        <w:pBdr>
          <w:top w:val="nil"/>
          <w:left w:val="nil"/>
          <w:bottom w:val="nil"/>
          <w:right w:val="nil"/>
          <w:between w:val="nil"/>
          <w:bar w:val="nil"/>
        </w:pBdr>
        <w:contextualSpacing w:val="0"/>
        <w:jc w:val="both"/>
      </w:pPr>
      <w:r w:rsidRPr="002978B4">
        <w:t>Australian governments develop</w:t>
      </w:r>
      <w:r w:rsidR="0071198F">
        <w:t>,</w:t>
      </w:r>
      <w:r w:rsidRPr="002978B4">
        <w:t xml:space="preserve"> </w:t>
      </w:r>
      <w:r w:rsidR="004239E1">
        <w:t>through the Council of Australian Governments</w:t>
      </w:r>
      <w:r w:rsidRPr="002978B4">
        <w:t xml:space="preserve">, </w:t>
      </w:r>
      <w:r w:rsidR="0071198F">
        <w:t xml:space="preserve">a plan </w:t>
      </w:r>
      <w:r w:rsidRPr="002978B4">
        <w:t xml:space="preserve">identifying short, medium and </w:t>
      </w:r>
      <w:r w:rsidR="006541AE" w:rsidRPr="00D41DEB">
        <w:t>long-</w:t>
      </w:r>
      <w:r w:rsidRPr="002978B4">
        <w:t>term actions for phased implementation of these recommendations</w:t>
      </w:r>
      <w:r w:rsidR="00135330" w:rsidRPr="00230CBA">
        <w:t xml:space="preserve">. </w:t>
      </w:r>
    </w:p>
    <w:p w:rsidR="00135330" w:rsidRPr="00A516DA" w:rsidRDefault="00135330" w:rsidP="00A516DA">
      <w:pPr>
        <w:pBdr>
          <w:top w:val="nil"/>
          <w:left w:val="nil"/>
          <w:bottom w:val="nil"/>
          <w:right w:val="nil"/>
          <w:between w:val="nil"/>
          <w:bar w:val="nil"/>
        </w:pBdr>
        <w:tabs>
          <w:tab w:val="left" w:pos="3143"/>
        </w:tabs>
        <w:ind w:left="360"/>
        <w:jc w:val="both"/>
        <w:rPr>
          <w:b/>
        </w:rPr>
      </w:pPr>
      <w:r w:rsidRPr="00A516DA">
        <w:rPr>
          <w:b/>
        </w:rPr>
        <w:br w:type="page"/>
      </w:r>
    </w:p>
    <w:p w:rsidR="00135330" w:rsidRDefault="00135330" w:rsidP="0057628C">
      <w:pPr>
        <w:pStyle w:val="Heading1"/>
      </w:pPr>
      <w:bookmarkStart w:id="49" w:name="_Toc373586268"/>
      <w:bookmarkStart w:id="50" w:name="_Toc500850786"/>
      <w:r>
        <w:t>Glossary</w:t>
      </w:r>
      <w:bookmarkEnd w:id="49"/>
      <w:bookmarkEnd w:id="50"/>
    </w:p>
    <w:p w:rsidR="00D0673D" w:rsidRDefault="00D0673D" w:rsidP="009725F4"/>
    <w:tbl>
      <w:tblPr>
        <w:tblStyle w:val="TableGrid"/>
        <w:tblW w:w="0" w:type="auto"/>
        <w:tblInd w:w="720" w:type="dxa"/>
        <w:tblLook w:val="04A0" w:firstRow="1" w:lastRow="0" w:firstColumn="1" w:lastColumn="0" w:noHBand="0" w:noVBand="1"/>
      </w:tblPr>
      <w:tblGrid>
        <w:gridCol w:w="2223"/>
        <w:gridCol w:w="6299"/>
      </w:tblGrid>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Australian Children’s Education and Care Quality Authority (ACECQA)</w:t>
            </w:r>
          </w:p>
        </w:tc>
        <w:tc>
          <w:tcPr>
            <w:tcW w:w="6299" w:type="dxa"/>
          </w:tcPr>
          <w:p w:rsidR="00E14908" w:rsidRPr="00903D6C" w:rsidRDefault="00E14908" w:rsidP="001C2E1A">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ACECQA is an independent national authority </w:t>
            </w:r>
            <w:r w:rsidR="001D0A98">
              <w:rPr>
                <w:rFonts w:asciiTheme="minorHAnsi" w:hAnsiTheme="minorHAnsi" w:cstheme="minorHAnsi"/>
                <w:color w:val="000000"/>
                <w:sz w:val="20"/>
                <w:szCs w:val="20"/>
                <w:lang w:val="en-AU"/>
              </w:rPr>
              <w:t xml:space="preserve">responsible for overseeing implementation of the </w:t>
            </w:r>
            <w:r w:rsidR="001C2E1A">
              <w:rPr>
                <w:rFonts w:asciiTheme="minorHAnsi" w:hAnsiTheme="minorHAnsi" w:cstheme="minorHAnsi"/>
                <w:color w:val="000000"/>
                <w:sz w:val="20"/>
                <w:szCs w:val="20"/>
                <w:lang w:val="en-AU"/>
              </w:rPr>
              <w:t>N</w:t>
            </w:r>
            <w:r w:rsidR="001D0A98">
              <w:rPr>
                <w:rFonts w:asciiTheme="minorHAnsi" w:hAnsiTheme="minorHAnsi" w:cstheme="minorHAnsi"/>
                <w:color w:val="000000"/>
                <w:sz w:val="20"/>
                <w:szCs w:val="20"/>
                <w:lang w:val="en-AU"/>
              </w:rPr>
              <w:t>ational Quality Framework.</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Australian Early Development Census (AEDC)</w:t>
            </w:r>
          </w:p>
        </w:tc>
        <w:tc>
          <w:tcPr>
            <w:tcW w:w="6299" w:type="dxa"/>
          </w:tcPr>
          <w:p w:rsidR="00E14908" w:rsidRPr="00903D6C" w:rsidRDefault="00E14908" w:rsidP="00CB4751">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The AEDC is a triennial population measure of how young children have developed by the time they start school. It measures five critical areas of early childhood development, referred to as domains: physical health and wellbeing, social competence, emotional maturity, language and cognitive skills</w:t>
            </w:r>
            <w:r w:rsidR="00947C7A">
              <w:rPr>
                <w:rFonts w:asciiTheme="minorHAnsi" w:hAnsiTheme="minorHAnsi" w:cstheme="minorHAnsi"/>
                <w:color w:val="000000"/>
                <w:sz w:val="20"/>
                <w:szCs w:val="20"/>
                <w:lang w:val="en-AU"/>
              </w:rPr>
              <w:t>,</w:t>
            </w:r>
            <w:r w:rsidRPr="00903D6C">
              <w:rPr>
                <w:rFonts w:asciiTheme="minorHAnsi" w:hAnsiTheme="minorHAnsi" w:cstheme="minorHAnsi"/>
                <w:color w:val="000000"/>
                <w:sz w:val="20"/>
                <w:szCs w:val="20"/>
                <w:lang w:val="en-AU"/>
              </w:rPr>
              <w:t xml:space="preserve"> and communication skills and general knowledge.</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Benefit</w:t>
            </w:r>
            <w:r w:rsidR="00924A05">
              <w:rPr>
                <w:rFonts w:cstheme="minorHAnsi"/>
                <w:sz w:val="20"/>
                <w:szCs w:val="20"/>
              </w:rPr>
              <w:t xml:space="preserve"> </w:t>
            </w:r>
            <w:r w:rsidRPr="00903D6C">
              <w:rPr>
                <w:rFonts w:cstheme="minorHAnsi"/>
                <w:sz w:val="20"/>
                <w:szCs w:val="20"/>
              </w:rPr>
              <w:t>cost</w:t>
            </w:r>
            <w:r w:rsidR="001C2E1A">
              <w:rPr>
                <w:rFonts w:cstheme="minorHAnsi"/>
                <w:sz w:val="20"/>
                <w:szCs w:val="20"/>
              </w:rPr>
              <w:t xml:space="preserve"> </w:t>
            </w:r>
            <w:r w:rsidRPr="00903D6C">
              <w:rPr>
                <w:rFonts w:cstheme="minorHAnsi"/>
                <w:sz w:val="20"/>
                <w:szCs w:val="20"/>
              </w:rPr>
              <w:t>ratio (BCR)</w:t>
            </w:r>
          </w:p>
        </w:tc>
        <w:tc>
          <w:tcPr>
            <w:tcW w:w="6299" w:type="dxa"/>
          </w:tcPr>
          <w:p w:rsidR="00E14908" w:rsidRPr="00903D6C" w:rsidRDefault="00E14908" w:rsidP="001C2E1A">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A </w:t>
            </w:r>
            <w:r w:rsidR="001C2E1A">
              <w:rPr>
                <w:rFonts w:asciiTheme="minorHAnsi" w:hAnsiTheme="minorHAnsi" w:cstheme="minorHAnsi"/>
                <w:color w:val="000000"/>
                <w:sz w:val="20"/>
                <w:szCs w:val="20"/>
                <w:lang w:val="en-AU"/>
              </w:rPr>
              <w:t xml:space="preserve">BCR </w:t>
            </w:r>
            <w:r w:rsidRPr="00903D6C">
              <w:rPr>
                <w:rFonts w:asciiTheme="minorHAnsi" w:hAnsiTheme="minorHAnsi" w:cstheme="minorHAnsi"/>
                <w:color w:val="000000"/>
                <w:sz w:val="20"/>
                <w:szCs w:val="20"/>
                <w:lang w:val="en-AU"/>
              </w:rPr>
              <w:t xml:space="preserve">seeks to represent the </w:t>
            </w:r>
            <w:hyperlink r:id="rId22" w:history="1">
              <w:r w:rsidRPr="00903D6C">
                <w:rPr>
                  <w:rFonts w:asciiTheme="minorHAnsi" w:hAnsiTheme="minorHAnsi" w:cstheme="minorHAnsi"/>
                  <w:color w:val="000000"/>
                  <w:sz w:val="20"/>
                  <w:szCs w:val="20"/>
                  <w:lang w:val="en-AU"/>
                </w:rPr>
                <w:t>benefits</w:t>
              </w:r>
            </w:hyperlink>
            <w:r w:rsidR="001D0A98">
              <w:rPr>
                <w:rFonts w:asciiTheme="minorHAnsi" w:hAnsiTheme="minorHAnsi" w:cstheme="minorHAnsi"/>
                <w:color w:val="000000"/>
                <w:sz w:val="20"/>
                <w:szCs w:val="20"/>
                <w:lang w:val="en-AU"/>
              </w:rPr>
              <w:t xml:space="preserve"> of an </w:t>
            </w:r>
            <w:hyperlink r:id="rId23" w:history="1">
              <w:r w:rsidRPr="00903D6C">
                <w:rPr>
                  <w:rFonts w:asciiTheme="minorHAnsi" w:hAnsiTheme="minorHAnsi" w:cstheme="minorHAnsi"/>
                  <w:color w:val="000000"/>
                  <w:sz w:val="20"/>
                  <w:szCs w:val="20"/>
                  <w:lang w:val="en-AU"/>
                </w:rPr>
                <w:t>investment</w:t>
              </w:r>
            </w:hyperlink>
            <w:r w:rsidRPr="00903D6C">
              <w:rPr>
                <w:rFonts w:asciiTheme="minorHAnsi" w:hAnsiTheme="minorHAnsi" w:cstheme="minorHAnsi"/>
                <w:color w:val="000000"/>
                <w:sz w:val="20"/>
                <w:szCs w:val="20"/>
                <w:lang w:val="en-AU"/>
              </w:rPr>
              <w:t xml:space="preserve"> compared to its </w:t>
            </w:r>
            <w:hyperlink r:id="rId24" w:history="1">
              <w:r w:rsidRPr="00903D6C">
                <w:rPr>
                  <w:rFonts w:asciiTheme="minorHAnsi" w:hAnsiTheme="minorHAnsi" w:cstheme="minorHAnsi"/>
                  <w:color w:val="000000"/>
                  <w:sz w:val="20"/>
                  <w:szCs w:val="20"/>
                  <w:lang w:val="en-AU"/>
                </w:rPr>
                <w:t>cost</w:t>
              </w:r>
            </w:hyperlink>
            <w:r w:rsidRPr="00903D6C">
              <w:rPr>
                <w:rFonts w:asciiTheme="minorHAnsi" w:hAnsiTheme="minorHAnsi" w:cstheme="minorHAnsi"/>
                <w:color w:val="000000"/>
                <w:sz w:val="20"/>
                <w:szCs w:val="20"/>
                <w:lang w:val="en-AU"/>
              </w:rPr>
              <w:t>.</w:t>
            </w:r>
            <w:r w:rsidR="001D0A98">
              <w:rPr>
                <w:rFonts w:asciiTheme="minorHAnsi" w:hAnsiTheme="minorHAnsi" w:cstheme="minorHAnsi"/>
                <w:color w:val="000000"/>
                <w:sz w:val="20"/>
                <w:szCs w:val="20"/>
                <w:lang w:val="en-AU"/>
              </w:rPr>
              <w:t xml:space="preserve"> A BCR of greater than one indicates the benefits exceed costs. </w:t>
            </w:r>
          </w:p>
        </w:tc>
      </w:tr>
      <w:tr w:rsidR="00E14908" w:rsidRPr="00903D6C" w:rsidTr="00E14908">
        <w:tc>
          <w:tcPr>
            <w:tcW w:w="2223" w:type="dxa"/>
          </w:tcPr>
          <w:p w:rsidR="00E14908" w:rsidRPr="00903D6C" w:rsidRDefault="001D0A98" w:rsidP="00CB4751">
            <w:pPr>
              <w:pStyle w:val="ListParagraph"/>
              <w:ind w:left="0"/>
              <w:rPr>
                <w:rFonts w:cstheme="minorHAnsi"/>
                <w:sz w:val="20"/>
                <w:szCs w:val="20"/>
              </w:rPr>
            </w:pPr>
            <w:r w:rsidRPr="00903D6C">
              <w:rPr>
                <w:rFonts w:cstheme="minorHAnsi"/>
                <w:color w:val="000000"/>
                <w:sz w:val="20"/>
                <w:szCs w:val="20"/>
              </w:rPr>
              <w:t>Classroom Assessment Scoring System (CLASS)</w:t>
            </w:r>
          </w:p>
        </w:tc>
        <w:tc>
          <w:tcPr>
            <w:tcW w:w="6299" w:type="dxa"/>
          </w:tcPr>
          <w:p w:rsidR="00E14908" w:rsidRPr="00903D6C" w:rsidRDefault="00E14908" w:rsidP="001D0A98">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CLASS is an observational instrument to assess classroom quality with a focus on the processes in which educators interact with children. It describes multiple dimensions of teaching that are linked to student achievement and development: emotional/behavio</w:t>
            </w:r>
            <w:r>
              <w:rPr>
                <w:rFonts w:asciiTheme="minorHAnsi" w:hAnsiTheme="minorHAnsi" w:cstheme="minorHAnsi"/>
                <w:color w:val="000000"/>
                <w:sz w:val="20"/>
                <w:szCs w:val="20"/>
                <w:lang w:val="en-AU"/>
              </w:rPr>
              <w:t>u</w:t>
            </w:r>
            <w:r w:rsidRPr="00903D6C">
              <w:rPr>
                <w:rFonts w:asciiTheme="minorHAnsi" w:hAnsiTheme="minorHAnsi" w:cstheme="minorHAnsi"/>
                <w:color w:val="000000"/>
                <w:sz w:val="20"/>
                <w:szCs w:val="20"/>
                <w:lang w:val="en-AU"/>
              </w:rPr>
              <w:t>ral support, classroom organisation and instructional support.</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Council of Australian Governments (COAG)</w:t>
            </w:r>
          </w:p>
        </w:tc>
        <w:tc>
          <w:tcPr>
            <w:tcW w:w="6299" w:type="dxa"/>
          </w:tcPr>
          <w:p w:rsidR="00E14908" w:rsidRPr="00903D6C" w:rsidRDefault="00E14908" w:rsidP="001C2E1A">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COAG </w:t>
            </w:r>
            <w:r w:rsidR="001D0A98">
              <w:rPr>
                <w:rFonts w:asciiTheme="minorHAnsi" w:hAnsiTheme="minorHAnsi" w:cstheme="minorHAnsi"/>
                <w:color w:val="000000"/>
                <w:sz w:val="20"/>
                <w:szCs w:val="20"/>
                <w:lang w:val="en-AU"/>
              </w:rPr>
              <w:t>is the peak intergovernmental forum in Australia.</w:t>
            </w:r>
            <w:r w:rsidRPr="00903D6C">
              <w:rPr>
                <w:rFonts w:asciiTheme="minorHAnsi" w:hAnsiTheme="minorHAnsi" w:cstheme="minorHAnsi"/>
                <w:color w:val="000000"/>
                <w:sz w:val="20"/>
                <w:szCs w:val="20"/>
                <w:lang w:val="en-AU"/>
              </w:rPr>
              <w:t xml:space="preserve"> It consists of the Prime Minister, all </w:t>
            </w:r>
            <w:r w:rsidR="0037370A">
              <w:rPr>
                <w:rFonts w:asciiTheme="minorHAnsi" w:hAnsiTheme="minorHAnsi" w:cstheme="minorHAnsi"/>
                <w:color w:val="000000"/>
                <w:sz w:val="20"/>
                <w:szCs w:val="20"/>
                <w:lang w:val="en-AU"/>
              </w:rPr>
              <w:t>state</w:t>
            </w:r>
            <w:r w:rsidRPr="00903D6C">
              <w:rPr>
                <w:rFonts w:asciiTheme="minorHAnsi" w:hAnsiTheme="minorHAnsi" w:cstheme="minorHAnsi"/>
                <w:color w:val="000000"/>
                <w:sz w:val="20"/>
                <w:szCs w:val="20"/>
                <w:lang w:val="en-AU"/>
              </w:rPr>
              <w:t xml:space="preserve"> </w:t>
            </w:r>
            <w:r w:rsidR="001C2E1A" w:rsidRPr="00903D6C">
              <w:rPr>
                <w:rFonts w:asciiTheme="minorHAnsi" w:hAnsiTheme="minorHAnsi" w:cstheme="minorHAnsi"/>
                <w:color w:val="000000"/>
                <w:sz w:val="20"/>
                <w:szCs w:val="20"/>
                <w:lang w:val="en-AU"/>
              </w:rPr>
              <w:t xml:space="preserve">Premiers </w:t>
            </w:r>
            <w:r w:rsidRPr="00903D6C">
              <w:rPr>
                <w:rFonts w:asciiTheme="minorHAnsi" w:hAnsiTheme="minorHAnsi" w:cstheme="minorHAnsi"/>
                <w:color w:val="000000"/>
                <w:sz w:val="20"/>
                <w:szCs w:val="20"/>
                <w:lang w:val="en-AU"/>
              </w:rPr>
              <w:t xml:space="preserve">and </w:t>
            </w:r>
            <w:r w:rsidR="0037370A">
              <w:rPr>
                <w:rFonts w:asciiTheme="minorHAnsi" w:hAnsiTheme="minorHAnsi" w:cstheme="minorHAnsi"/>
                <w:color w:val="000000"/>
                <w:sz w:val="20"/>
                <w:szCs w:val="20"/>
                <w:lang w:val="en-AU"/>
              </w:rPr>
              <w:t>territory</w:t>
            </w:r>
            <w:r w:rsidRPr="00903D6C">
              <w:rPr>
                <w:rFonts w:asciiTheme="minorHAnsi" w:hAnsiTheme="minorHAnsi" w:cstheme="minorHAnsi"/>
                <w:color w:val="000000"/>
                <w:sz w:val="20"/>
                <w:szCs w:val="20"/>
                <w:lang w:val="en-AU"/>
              </w:rPr>
              <w:t xml:space="preserve"> Chief Ministers, and the Australian Local Government Association.</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Dosage</w:t>
            </w:r>
          </w:p>
        </w:tc>
        <w:tc>
          <w:tcPr>
            <w:tcW w:w="6299" w:type="dxa"/>
          </w:tcPr>
          <w:p w:rsidR="00E14908" w:rsidRPr="00903D6C" w:rsidRDefault="00E14908" w:rsidP="001D0A98">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Dosage refers to the </w:t>
            </w:r>
            <w:r w:rsidR="001D0A98">
              <w:rPr>
                <w:rFonts w:asciiTheme="minorHAnsi" w:hAnsiTheme="minorHAnsi" w:cstheme="minorHAnsi"/>
                <w:color w:val="000000"/>
                <w:sz w:val="20"/>
                <w:szCs w:val="20"/>
                <w:lang w:val="en-AU"/>
              </w:rPr>
              <w:t xml:space="preserve">number of </w:t>
            </w:r>
            <w:r w:rsidRPr="00903D6C">
              <w:rPr>
                <w:rFonts w:asciiTheme="minorHAnsi" w:hAnsiTheme="minorHAnsi" w:cstheme="minorHAnsi"/>
                <w:color w:val="000000"/>
                <w:sz w:val="20"/>
                <w:szCs w:val="20"/>
                <w:lang w:val="en-AU"/>
              </w:rPr>
              <w:t xml:space="preserve">hours of early </w:t>
            </w:r>
            <w:r w:rsidR="001D0A98">
              <w:rPr>
                <w:rFonts w:asciiTheme="minorHAnsi" w:hAnsiTheme="minorHAnsi" w:cstheme="minorHAnsi"/>
                <w:color w:val="000000"/>
                <w:sz w:val="20"/>
                <w:szCs w:val="20"/>
                <w:lang w:val="en-AU"/>
              </w:rPr>
              <w:t xml:space="preserve">childhood </w:t>
            </w:r>
            <w:r w:rsidRPr="00903D6C">
              <w:rPr>
                <w:rFonts w:asciiTheme="minorHAnsi" w:hAnsiTheme="minorHAnsi" w:cstheme="minorHAnsi"/>
                <w:color w:val="000000"/>
                <w:sz w:val="20"/>
                <w:szCs w:val="20"/>
                <w:lang w:val="en-AU"/>
              </w:rPr>
              <w:t xml:space="preserve">education provision </w:t>
            </w:r>
            <w:r w:rsidR="00904AD1">
              <w:rPr>
                <w:rFonts w:asciiTheme="minorHAnsi" w:hAnsiTheme="minorHAnsi" w:cstheme="minorHAnsi"/>
                <w:color w:val="000000"/>
                <w:sz w:val="20"/>
                <w:szCs w:val="20"/>
                <w:lang w:val="en-AU"/>
              </w:rPr>
              <w:t>(for example, per week or per year)</w:t>
            </w:r>
            <w:r w:rsidR="003357B8">
              <w:rPr>
                <w:rFonts w:asciiTheme="minorHAnsi" w:hAnsiTheme="minorHAnsi" w:cstheme="minorHAnsi"/>
                <w:color w:val="000000"/>
                <w:sz w:val="20"/>
                <w:szCs w:val="20"/>
                <w:lang w:val="en-AU"/>
              </w:rPr>
              <w:t xml:space="preserve"> </w:t>
            </w:r>
            <w:r w:rsidRPr="00903D6C">
              <w:rPr>
                <w:rFonts w:asciiTheme="minorHAnsi" w:hAnsiTheme="minorHAnsi" w:cstheme="minorHAnsi"/>
                <w:color w:val="000000"/>
                <w:sz w:val="20"/>
                <w:szCs w:val="20"/>
                <w:lang w:val="en-AU"/>
              </w:rPr>
              <w:t xml:space="preserve">and is often linked with </w:t>
            </w:r>
            <w:r w:rsidRPr="00051D6A">
              <w:rPr>
                <w:rFonts w:asciiTheme="minorHAnsi" w:hAnsiTheme="minorHAnsi" w:cstheme="minorHAnsi"/>
                <w:color w:val="000000"/>
                <w:sz w:val="20"/>
                <w:szCs w:val="20"/>
                <w:lang w:val="en-AU"/>
              </w:rPr>
              <w:t>duration</w:t>
            </w:r>
            <w:r w:rsidRPr="00903D6C">
              <w:rPr>
                <w:rFonts w:asciiTheme="minorHAnsi" w:hAnsiTheme="minorHAnsi" w:cstheme="minorHAnsi"/>
                <w:color w:val="000000"/>
                <w:sz w:val="20"/>
                <w:szCs w:val="20"/>
                <w:lang w:val="en-AU"/>
              </w:rPr>
              <w:t xml:space="preserve"> </w:t>
            </w:r>
            <w:r w:rsidR="001D0A98">
              <w:rPr>
                <w:rFonts w:asciiTheme="minorHAnsi" w:hAnsiTheme="minorHAnsi" w:cstheme="minorHAnsi"/>
                <w:color w:val="000000"/>
                <w:sz w:val="20"/>
                <w:szCs w:val="20"/>
                <w:lang w:val="en-AU"/>
              </w:rPr>
              <w:t>(number of years of provision</w:t>
            </w:r>
            <w:r w:rsidR="00A605F1">
              <w:rPr>
                <w:rFonts w:asciiTheme="minorHAnsi" w:hAnsiTheme="minorHAnsi" w:cstheme="minorHAnsi"/>
                <w:color w:val="000000"/>
                <w:sz w:val="20"/>
                <w:szCs w:val="20"/>
                <w:lang w:val="en-AU"/>
              </w:rPr>
              <w:t xml:space="preserve">). </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Early Childhood Education and Care (ECEC)</w:t>
            </w:r>
          </w:p>
        </w:tc>
        <w:tc>
          <w:tcPr>
            <w:tcW w:w="6299" w:type="dxa"/>
          </w:tcPr>
          <w:p w:rsidR="00E14908" w:rsidRPr="00903D6C" w:rsidRDefault="001D0A98" w:rsidP="00435444">
            <w:pPr>
              <w:pStyle w:val="ListParagraph"/>
              <w:ind w:left="0"/>
              <w:rPr>
                <w:rFonts w:cstheme="minorHAnsi"/>
                <w:sz w:val="20"/>
                <w:szCs w:val="20"/>
              </w:rPr>
            </w:pPr>
            <w:r>
              <w:rPr>
                <w:rFonts w:cstheme="minorHAnsi"/>
                <w:sz w:val="20"/>
                <w:szCs w:val="20"/>
              </w:rPr>
              <w:t xml:space="preserve">ECEC </w:t>
            </w:r>
            <w:r w:rsidR="00E14908" w:rsidRPr="00903D6C">
              <w:rPr>
                <w:rFonts w:cstheme="minorHAnsi"/>
                <w:sz w:val="20"/>
                <w:szCs w:val="20"/>
              </w:rPr>
              <w:t xml:space="preserve">refers to </w:t>
            </w:r>
            <w:r>
              <w:rPr>
                <w:rFonts w:cstheme="minorHAnsi"/>
                <w:sz w:val="20"/>
                <w:szCs w:val="20"/>
              </w:rPr>
              <w:t xml:space="preserve">the </w:t>
            </w:r>
            <w:r w:rsidR="00435444">
              <w:rPr>
                <w:rFonts w:cstheme="minorHAnsi"/>
                <w:sz w:val="20"/>
                <w:szCs w:val="20"/>
              </w:rPr>
              <w:t>variety</w:t>
            </w:r>
            <w:r w:rsidR="00435444" w:rsidRPr="00903D6C">
              <w:rPr>
                <w:rFonts w:cstheme="minorHAnsi"/>
                <w:sz w:val="20"/>
                <w:szCs w:val="20"/>
              </w:rPr>
              <w:t xml:space="preserve"> </w:t>
            </w:r>
            <w:r w:rsidR="00E14908" w:rsidRPr="00903D6C">
              <w:rPr>
                <w:rFonts w:cstheme="minorHAnsi"/>
                <w:sz w:val="20"/>
                <w:szCs w:val="20"/>
              </w:rPr>
              <w:t xml:space="preserve">of </w:t>
            </w:r>
            <w:r>
              <w:rPr>
                <w:rFonts w:cstheme="minorHAnsi"/>
                <w:sz w:val="20"/>
                <w:szCs w:val="20"/>
              </w:rPr>
              <w:t>arrangements that provide education and care for children, including preschool and child care.</w:t>
            </w:r>
          </w:p>
        </w:tc>
      </w:tr>
      <w:tr w:rsidR="00F7431C" w:rsidRPr="00903D6C" w:rsidTr="00E14908">
        <w:tc>
          <w:tcPr>
            <w:tcW w:w="2223" w:type="dxa"/>
          </w:tcPr>
          <w:p w:rsidR="00F7431C" w:rsidRPr="00C7654B" w:rsidRDefault="00F7431C" w:rsidP="00CB4751">
            <w:pPr>
              <w:pStyle w:val="ListParagraph"/>
              <w:ind w:left="0"/>
              <w:rPr>
                <w:rFonts w:cstheme="minorHAnsi"/>
                <w:color w:val="000000"/>
                <w:sz w:val="20"/>
                <w:szCs w:val="20"/>
              </w:rPr>
            </w:pPr>
            <w:r>
              <w:rPr>
                <w:rFonts w:cstheme="minorHAnsi"/>
                <w:color w:val="000000"/>
                <w:sz w:val="20"/>
                <w:szCs w:val="20"/>
              </w:rPr>
              <w:t>Four year old (or three year old)</w:t>
            </w:r>
          </w:p>
        </w:tc>
        <w:tc>
          <w:tcPr>
            <w:tcW w:w="6299" w:type="dxa"/>
          </w:tcPr>
          <w:p w:rsidR="000154F5" w:rsidRPr="005F79C9" w:rsidRDefault="00237048" w:rsidP="00A516DA">
            <w:pPr>
              <w:pStyle w:val="NormalWeb"/>
              <w:spacing w:after="0"/>
              <w:rPr>
                <w:rFonts w:asciiTheme="minorHAnsi" w:hAnsiTheme="minorHAnsi" w:cstheme="minorHAnsi"/>
                <w:color w:val="000000"/>
                <w:sz w:val="20"/>
                <w:szCs w:val="20"/>
                <w:lang w:val="en-AU"/>
              </w:rPr>
            </w:pPr>
            <w:r w:rsidRPr="000154F5">
              <w:rPr>
                <w:rFonts w:asciiTheme="minorHAnsi" w:hAnsiTheme="minorHAnsi" w:cstheme="minorHAnsi"/>
                <w:color w:val="000000"/>
                <w:sz w:val="20"/>
                <w:szCs w:val="20"/>
                <w:lang w:val="en-AU"/>
              </w:rPr>
              <w:t xml:space="preserve">Generally used to refer to a child who turns four (or three) years of age on or before a date defined by a </w:t>
            </w:r>
            <w:r>
              <w:rPr>
                <w:rFonts w:asciiTheme="minorHAnsi" w:hAnsiTheme="minorHAnsi" w:cstheme="minorHAnsi"/>
                <w:color w:val="000000"/>
                <w:sz w:val="20"/>
                <w:szCs w:val="20"/>
                <w:lang w:val="en-AU"/>
              </w:rPr>
              <w:t>jurisdiction in a calendar year</w:t>
            </w:r>
            <w:r w:rsidR="00F7431C" w:rsidRPr="00F7431C">
              <w:rPr>
                <w:rFonts w:asciiTheme="minorHAnsi" w:hAnsiTheme="minorHAnsi" w:cstheme="minorHAnsi"/>
                <w:color w:val="000000"/>
                <w:sz w:val="20"/>
                <w:szCs w:val="20"/>
                <w:lang w:val="en-AU"/>
              </w:rPr>
              <w:t xml:space="preserve">. </w:t>
            </w:r>
            <w:r>
              <w:rPr>
                <w:rFonts w:asciiTheme="minorHAnsi" w:hAnsiTheme="minorHAnsi" w:cstheme="minorHAnsi"/>
                <w:color w:val="000000"/>
                <w:sz w:val="20"/>
                <w:szCs w:val="20"/>
                <w:lang w:val="en-AU"/>
              </w:rPr>
              <w:t>F</w:t>
            </w:r>
            <w:r w:rsidR="000154F5" w:rsidRPr="000154F5">
              <w:rPr>
                <w:rFonts w:asciiTheme="minorHAnsi" w:hAnsiTheme="minorHAnsi" w:cstheme="minorHAnsi"/>
                <w:color w:val="000000"/>
                <w:sz w:val="20"/>
                <w:szCs w:val="20"/>
                <w:lang w:val="en-AU"/>
              </w:rPr>
              <w:t>or example, the term four years old is typically applied to children eligible for participation in a Universal Access to preschool program in the year before school. Generally, these children attain the age of four years by a defined date in the calendar year. Noting that jurisdictions use different dates for determining eligibility, children may be three years of age at the start of the calendar year, or turn five during in the year dependi</w:t>
            </w:r>
            <w:r w:rsidR="000154F5">
              <w:rPr>
                <w:rFonts w:asciiTheme="minorHAnsi" w:hAnsiTheme="minorHAnsi" w:cstheme="minorHAnsi"/>
                <w:color w:val="000000"/>
                <w:sz w:val="20"/>
                <w:szCs w:val="20"/>
                <w:lang w:val="en-AU"/>
              </w:rPr>
              <w:t>ng on age eligibility criteria.</w:t>
            </w:r>
          </w:p>
        </w:tc>
      </w:tr>
      <w:tr w:rsidR="00E14908" w:rsidRPr="00903D6C" w:rsidTr="00E14908">
        <w:tc>
          <w:tcPr>
            <w:tcW w:w="2223" w:type="dxa"/>
          </w:tcPr>
          <w:p w:rsidR="00E14908" w:rsidRPr="00903D6C" w:rsidRDefault="00AD224E" w:rsidP="00CB4751">
            <w:pPr>
              <w:pStyle w:val="ListParagraph"/>
              <w:ind w:left="0"/>
              <w:rPr>
                <w:rFonts w:cstheme="minorHAnsi"/>
                <w:sz w:val="20"/>
                <w:szCs w:val="20"/>
              </w:rPr>
            </w:pPr>
            <w:r w:rsidRPr="00AD224E">
              <w:rPr>
                <w:rFonts w:cstheme="minorHAnsi"/>
                <w:sz w:val="20"/>
                <w:szCs w:val="20"/>
              </w:rPr>
              <w:t>International Standard Classification of Education (ISCED</w:t>
            </w:r>
            <w:r>
              <w:rPr>
                <w:rFonts w:cstheme="minorHAnsi"/>
                <w:sz w:val="20"/>
                <w:szCs w:val="20"/>
              </w:rPr>
              <w:t>)</w:t>
            </w:r>
          </w:p>
        </w:tc>
        <w:tc>
          <w:tcPr>
            <w:tcW w:w="6299" w:type="dxa"/>
          </w:tcPr>
          <w:p w:rsidR="00E14908" w:rsidRPr="00903D6C" w:rsidRDefault="00E14908" w:rsidP="00B57341">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The International Standard Classification of Education (ISCED) is an internationally recognised standard for the naming and recognition of different levels of </w:t>
            </w:r>
            <w:r w:rsidR="00947C7A" w:rsidRPr="00D41DEB">
              <w:rPr>
                <w:rFonts w:asciiTheme="minorHAnsi" w:hAnsiTheme="minorHAnsi" w:cstheme="minorHAnsi"/>
                <w:color w:val="000000"/>
                <w:sz w:val="20"/>
                <w:szCs w:val="20"/>
                <w:lang w:val="en-AU"/>
              </w:rPr>
              <w:t>education, which</w:t>
            </w:r>
            <w:r w:rsidRPr="00903D6C">
              <w:rPr>
                <w:rFonts w:asciiTheme="minorHAnsi" w:hAnsiTheme="minorHAnsi" w:cstheme="minorHAnsi"/>
                <w:color w:val="000000"/>
                <w:sz w:val="20"/>
                <w:szCs w:val="20"/>
                <w:lang w:val="en-AU"/>
              </w:rPr>
              <w:t xml:space="preserve"> seeks to make the varied structures of education systems more comparable across countries.</w:t>
            </w:r>
          </w:p>
        </w:tc>
      </w:tr>
      <w:tr w:rsidR="00E14908" w:rsidRPr="00903D6C" w:rsidTr="00E14908">
        <w:tc>
          <w:tcPr>
            <w:tcW w:w="2223" w:type="dxa"/>
          </w:tcPr>
          <w:p w:rsidR="00E8078F" w:rsidRDefault="00E14908" w:rsidP="00CB4751">
            <w:pPr>
              <w:pStyle w:val="ListParagraph"/>
              <w:ind w:left="0"/>
              <w:rPr>
                <w:rFonts w:cstheme="minorHAnsi"/>
                <w:sz w:val="20"/>
                <w:szCs w:val="20"/>
              </w:rPr>
            </w:pPr>
            <w:r w:rsidRPr="00903D6C">
              <w:rPr>
                <w:rFonts w:cstheme="minorHAnsi"/>
                <w:sz w:val="20"/>
                <w:szCs w:val="20"/>
              </w:rPr>
              <w:t>Kindergarten</w:t>
            </w:r>
            <w:r w:rsidR="00E8078F">
              <w:rPr>
                <w:rFonts w:cstheme="minorHAnsi"/>
                <w:sz w:val="20"/>
                <w:szCs w:val="20"/>
              </w:rPr>
              <w:t xml:space="preserve"> </w:t>
            </w:r>
          </w:p>
          <w:p w:rsidR="00E14908" w:rsidRPr="00903D6C" w:rsidRDefault="00E8078F" w:rsidP="00CB4751">
            <w:pPr>
              <w:pStyle w:val="ListParagraph"/>
              <w:ind w:left="0"/>
              <w:rPr>
                <w:rFonts w:cstheme="minorHAnsi"/>
                <w:sz w:val="20"/>
                <w:szCs w:val="20"/>
                <w:highlight w:val="yellow"/>
              </w:rPr>
            </w:pPr>
            <w:r>
              <w:rPr>
                <w:rFonts w:cstheme="minorHAnsi"/>
                <w:sz w:val="20"/>
                <w:szCs w:val="20"/>
              </w:rPr>
              <w:t>(see also preschool)</w:t>
            </w:r>
          </w:p>
        </w:tc>
        <w:tc>
          <w:tcPr>
            <w:tcW w:w="6299" w:type="dxa"/>
          </w:tcPr>
          <w:p w:rsidR="00E14908" w:rsidRPr="00903D6C" w:rsidRDefault="00E14908" w:rsidP="00E8078F">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Kindergarten is a term used in some jurisdictions for </w:t>
            </w:r>
            <w:r w:rsidR="00B57341">
              <w:rPr>
                <w:rFonts w:asciiTheme="minorHAnsi" w:hAnsiTheme="minorHAnsi" w:cstheme="minorHAnsi"/>
                <w:color w:val="000000"/>
                <w:sz w:val="20"/>
                <w:szCs w:val="20"/>
                <w:lang w:val="en-AU"/>
              </w:rPr>
              <w:t xml:space="preserve">an early childhood education program, known in </w:t>
            </w:r>
            <w:r w:rsidR="00E8078F">
              <w:rPr>
                <w:rFonts w:asciiTheme="minorHAnsi" w:hAnsiTheme="minorHAnsi" w:cstheme="minorHAnsi"/>
                <w:color w:val="000000"/>
                <w:sz w:val="20"/>
                <w:szCs w:val="20"/>
                <w:lang w:val="en-AU"/>
              </w:rPr>
              <w:t xml:space="preserve">other </w:t>
            </w:r>
            <w:r w:rsidR="00B57341">
              <w:rPr>
                <w:rFonts w:asciiTheme="minorHAnsi" w:hAnsiTheme="minorHAnsi" w:cstheme="minorHAnsi"/>
                <w:color w:val="000000"/>
                <w:sz w:val="20"/>
                <w:szCs w:val="20"/>
                <w:lang w:val="en-AU"/>
              </w:rPr>
              <w:t xml:space="preserve">jurisdictions as preschool. In this report, the term preschool is used for clarity, as kindergarten </w:t>
            </w:r>
            <w:r w:rsidRPr="00903D6C">
              <w:rPr>
                <w:rFonts w:asciiTheme="minorHAnsi" w:hAnsiTheme="minorHAnsi" w:cstheme="minorHAnsi"/>
                <w:color w:val="000000"/>
                <w:sz w:val="20"/>
                <w:szCs w:val="20"/>
                <w:lang w:val="en-AU"/>
              </w:rPr>
              <w:t>is also used to refer to the first year of formal schooling in some jurisdictions.</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Long day care</w:t>
            </w:r>
          </w:p>
        </w:tc>
        <w:tc>
          <w:tcPr>
            <w:tcW w:w="6299" w:type="dxa"/>
          </w:tcPr>
          <w:p w:rsidR="00E14908" w:rsidRPr="00903D6C" w:rsidRDefault="00E14908" w:rsidP="00B57341">
            <w:pPr>
              <w:pStyle w:val="NormalWeb"/>
              <w:spacing w:before="0" w:beforeAutospacing="0" w:after="0" w:afterAutospacing="0"/>
              <w:rPr>
                <w:rFonts w:asciiTheme="minorHAnsi" w:hAnsiTheme="minorHAnsi" w:cstheme="minorHAnsi"/>
                <w:sz w:val="20"/>
                <w:szCs w:val="20"/>
                <w:lang w:val="en-AU"/>
              </w:rPr>
            </w:pPr>
            <w:r w:rsidRPr="00903D6C">
              <w:rPr>
                <w:rFonts w:asciiTheme="minorHAnsi" w:hAnsiTheme="minorHAnsi" w:cstheme="minorHAnsi"/>
                <w:color w:val="000000"/>
                <w:sz w:val="20"/>
                <w:szCs w:val="20"/>
                <w:lang w:val="en-AU"/>
              </w:rPr>
              <w:t>Operated in a child</w:t>
            </w:r>
            <w:r w:rsidR="00EA521D">
              <w:rPr>
                <w:rFonts w:asciiTheme="minorHAnsi" w:hAnsiTheme="minorHAnsi" w:cstheme="minorHAnsi"/>
                <w:color w:val="000000"/>
                <w:sz w:val="20"/>
                <w:szCs w:val="20"/>
                <w:lang w:val="en-AU"/>
              </w:rPr>
              <w:t xml:space="preserve"> </w:t>
            </w:r>
            <w:r w:rsidRPr="00903D6C">
              <w:rPr>
                <w:rFonts w:asciiTheme="minorHAnsi" w:hAnsiTheme="minorHAnsi" w:cstheme="minorHAnsi"/>
                <w:color w:val="000000"/>
                <w:sz w:val="20"/>
                <w:szCs w:val="20"/>
                <w:lang w:val="en-AU"/>
              </w:rPr>
              <w:t xml:space="preserve">care centre, long day care provides education and care for children aged </w:t>
            </w:r>
            <w:r w:rsidR="007120CF">
              <w:rPr>
                <w:rFonts w:asciiTheme="minorHAnsi" w:hAnsiTheme="minorHAnsi" w:cstheme="minorHAnsi"/>
                <w:color w:val="000000"/>
                <w:sz w:val="20"/>
                <w:szCs w:val="20"/>
                <w:lang w:val="en-AU"/>
              </w:rPr>
              <w:t>six</w:t>
            </w:r>
            <w:r w:rsidRPr="00903D6C">
              <w:rPr>
                <w:rFonts w:asciiTheme="minorHAnsi" w:hAnsiTheme="minorHAnsi" w:cstheme="minorHAnsi"/>
                <w:color w:val="000000"/>
                <w:sz w:val="20"/>
                <w:szCs w:val="20"/>
                <w:lang w:val="en-AU"/>
              </w:rPr>
              <w:t xml:space="preserve"> weeks to </w:t>
            </w:r>
            <w:r w:rsidR="00835C89">
              <w:rPr>
                <w:rFonts w:asciiTheme="minorHAnsi" w:hAnsiTheme="minorHAnsi" w:cstheme="minorHAnsi"/>
                <w:color w:val="000000"/>
                <w:sz w:val="20"/>
                <w:szCs w:val="20"/>
                <w:lang w:val="en-AU"/>
              </w:rPr>
              <w:t>five</w:t>
            </w:r>
            <w:r w:rsidRPr="00903D6C">
              <w:rPr>
                <w:rFonts w:asciiTheme="minorHAnsi" w:hAnsiTheme="minorHAnsi" w:cstheme="minorHAnsi"/>
                <w:color w:val="000000"/>
                <w:sz w:val="20"/>
                <w:szCs w:val="20"/>
                <w:lang w:val="en-AU"/>
              </w:rPr>
              <w:t xml:space="preserve"> years, usually </w:t>
            </w:r>
            <w:r w:rsidR="00947C7A">
              <w:rPr>
                <w:rFonts w:asciiTheme="minorHAnsi" w:hAnsiTheme="minorHAnsi" w:cstheme="minorHAnsi"/>
                <w:color w:val="000000"/>
                <w:sz w:val="20"/>
                <w:szCs w:val="20"/>
                <w:lang w:val="en-AU"/>
              </w:rPr>
              <w:t>for</w:t>
            </w:r>
            <w:r w:rsidRPr="00903D6C">
              <w:rPr>
                <w:rFonts w:asciiTheme="minorHAnsi" w:hAnsiTheme="minorHAnsi" w:cstheme="minorHAnsi"/>
                <w:color w:val="000000"/>
                <w:sz w:val="20"/>
                <w:szCs w:val="20"/>
                <w:lang w:val="en-AU"/>
              </w:rPr>
              <w:t xml:space="preserve"> at least 10 hours a day, Monday to Friday, for at least 48 weeks a year. Most are also </w:t>
            </w:r>
            <w:r w:rsidR="00B57341">
              <w:rPr>
                <w:rFonts w:asciiTheme="minorHAnsi" w:hAnsiTheme="minorHAnsi" w:cstheme="minorHAnsi"/>
                <w:color w:val="000000"/>
                <w:sz w:val="20"/>
                <w:szCs w:val="20"/>
                <w:lang w:val="en-AU"/>
              </w:rPr>
              <w:t>eligible for child care subsidies.</w:t>
            </w:r>
          </w:p>
        </w:tc>
      </w:tr>
      <w:tr w:rsidR="00E14908" w:rsidRPr="00903D6C" w:rsidTr="00E14908">
        <w:tc>
          <w:tcPr>
            <w:tcW w:w="2223" w:type="dxa"/>
          </w:tcPr>
          <w:p w:rsidR="00E14908" w:rsidRPr="00903D6C" w:rsidRDefault="00B57341" w:rsidP="00CB4751">
            <w:pPr>
              <w:pStyle w:val="ListParagraph"/>
              <w:ind w:left="0"/>
              <w:rPr>
                <w:rFonts w:cstheme="minorHAnsi"/>
                <w:sz w:val="20"/>
                <w:szCs w:val="20"/>
              </w:rPr>
            </w:pPr>
            <w:r w:rsidRPr="00903D6C">
              <w:rPr>
                <w:rFonts w:cstheme="minorHAnsi"/>
                <w:color w:val="000000"/>
                <w:sz w:val="20"/>
                <w:szCs w:val="20"/>
              </w:rPr>
              <w:t>Organisation for Economic Co-operation and Development (OECD)</w:t>
            </w:r>
          </w:p>
        </w:tc>
        <w:tc>
          <w:tcPr>
            <w:tcW w:w="6299" w:type="dxa"/>
          </w:tcPr>
          <w:p w:rsidR="00E14908" w:rsidRPr="00903D6C" w:rsidRDefault="00E14908" w:rsidP="00F526BF">
            <w:pPr>
              <w:pStyle w:val="NormalWeb"/>
              <w:spacing w:before="0" w:beforeAutospacing="0" w:after="0" w:afterAutospacing="0"/>
              <w:rPr>
                <w:rFonts w:asciiTheme="minorHAnsi" w:hAnsiTheme="minorHAnsi" w:cstheme="minorHAnsi"/>
                <w:sz w:val="20"/>
                <w:szCs w:val="20"/>
                <w:lang w:val="en-AU"/>
              </w:rPr>
            </w:pPr>
            <w:r w:rsidRPr="00903D6C">
              <w:rPr>
                <w:rFonts w:asciiTheme="minorHAnsi" w:hAnsiTheme="minorHAnsi" w:cstheme="minorHAnsi"/>
                <w:color w:val="000000"/>
                <w:sz w:val="20"/>
                <w:szCs w:val="20"/>
                <w:lang w:val="en-AU"/>
              </w:rPr>
              <w:t xml:space="preserve">The </w:t>
            </w:r>
            <w:r w:rsidR="00B57341">
              <w:rPr>
                <w:rFonts w:asciiTheme="minorHAnsi" w:hAnsiTheme="minorHAnsi" w:cstheme="minorHAnsi"/>
                <w:color w:val="000000"/>
                <w:sz w:val="20"/>
                <w:szCs w:val="20"/>
                <w:lang w:val="en-AU"/>
              </w:rPr>
              <w:t xml:space="preserve">OECD is an international organisation that </w:t>
            </w:r>
            <w:r w:rsidRPr="00903D6C">
              <w:rPr>
                <w:rFonts w:asciiTheme="minorHAnsi" w:hAnsiTheme="minorHAnsi" w:cstheme="minorHAnsi"/>
                <w:color w:val="000000"/>
                <w:sz w:val="20"/>
                <w:szCs w:val="20"/>
                <w:lang w:val="en-AU"/>
              </w:rPr>
              <w:t xml:space="preserve">aims to promote policies that will improve the economic and social </w:t>
            </w:r>
            <w:r w:rsidR="009B066D" w:rsidRPr="00D41DEB">
              <w:rPr>
                <w:rFonts w:asciiTheme="minorHAnsi" w:hAnsiTheme="minorHAnsi" w:cstheme="minorHAnsi"/>
                <w:color w:val="000000"/>
                <w:sz w:val="20"/>
                <w:szCs w:val="20"/>
                <w:lang w:val="en-AU"/>
              </w:rPr>
              <w:t>wellbeing</w:t>
            </w:r>
            <w:r w:rsidRPr="00903D6C">
              <w:rPr>
                <w:rFonts w:asciiTheme="minorHAnsi" w:hAnsiTheme="minorHAnsi" w:cstheme="minorHAnsi"/>
                <w:color w:val="000000"/>
                <w:sz w:val="20"/>
                <w:szCs w:val="20"/>
                <w:lang w:val="en-AU"/>
              </w:rPr>
              <w:t xml:space="preserve"> of people around the world and establish international standards on a range of factors. It </w:t>
            </w:r>
            <w:r w:rsidR="00B57341">
              <w:rPr>
                <w:rFonts w:asciiTheme="minorHAnsi" w:hAnsiTheme="minorHAnsi" w:cstheme="minorHAnsi"/>
                <w:color w:val="000000"/>
                <w:sz w:val="20"/>
                <w:szCs w:val="20"/>
                <w:lang w:val="en-AU"/>
              </w:rPr>
              <w:t>has 35 member countries and publishes a range of reports and data to support governments</w:t>
            </w:r>
            <w:r w:rsidRPr="00903D6C">
              <w:rPr>
                <w:rFonts w:asciiTheme="minorHAnsi" w:hAnsiTheme="minorHAnsi" w:cstheme="minorHAnsi"/>
                <w:color w:val="000000"/>
                <w:sz w:val="20"/>
                <w:szCs w:val="20"/>
                <w:lang w:val="en-AU"/>
              </w:rPr>
              <w:t xml:space="preserve">. </w:t>
            </w:r>
          </w:p>
        </w:tc>
      </w:tr>
      <w:tr w:rsidR="00E14908" w:rsidRPr="00903D6C" w:rsidTr="00E14908">
        <w:tc>
          <w:tcPr>
            <w:tcW w:w="2223" w:type="dxa"/>
          </w:tcPr>
          <w:p w:rsidR="00E14908" w:rsidRPr="00903D6C" w:rsidRDefault="00B57341" w:rsidP="00CB4751">
            <w:pPr>
              <w:pStyle w:val="ListParagraph"/>
              <w:ind w:left="0"/>
              <w:rPr>
                <w:rFonts w:cstheme="minorHAnsi"/>
                <w:sz w:val="20"/>
                <w:szCs w:val="20"/>
              </w:rPr>
            </w:pPr>
            <w:r w:rsidRPr="00B57341">
              <w:rPr>
                <w:rFonts w:cstheme="minorHAnsi"/>
                <w:sz w:val="20"/>
                <w:szCs w:val="20"/>
              </w:rPr>
              <w:t>National Assessment Program – Literacy and Numerac</w:t>
            </w:r>
            <w:r>
              <w:rPr>
                <w:rFonts w:cstheme="minorHAnsi"/>
                <w:sz w:val="20"/>
                <w:szCs w:val="20"/>
              </w:rPr>
              <w:t>y (NAPLAN)</w:t>
            </w:r>
          </w:p>
        </w:tc>
        <w:tc>
          <w:tcPr>
            <w:tcW w:w="6299" w:type="dxa"/>
          </w:tcPr>
          <w:p w:rsidR="00E14908" w:rsidRPr="00903D6C" w:rsidRDefault="00E14908" w:rsidP="001C2E1A">
            <w:pPr>
              <w:pStyle w:val="NormalWeb"/>
              <w:spacing w:before="0" w:beforeAutospacing="0" w:after="0" w:afterAutospacing="0"/>
              <w:rPr>
                <w:rFonts w:asciiTheme="minorHAnsi" w:hAnsiTheme="minorHAnsi" w:cstheme="minorHAnsi"/>
                <w:color w:val="000000"/>
                <w:sz w:val="20"/>
                <w:szCs w:val="20"/>
                <w:lang w:val="en-AU"/>
              </w:rPr>
            </w:pPr>
            <w:r w:rsidRPr="00903D6C">
              <w:rPr>
                <w:rFonts w:asciiTheme="minorHAnsi" w:hAnsiTheme="minorHAnsi" w:cstheme="minorHAnsi"/>
                <w:color w:val="000000"/>
                <w:sz w:val="20"/>
                <w:szCs w:val="20"/>
                <w:lang w:val="en-AU"/>
              </w:rPr>
              <w:t xml:space="preserve">NAPLAN is an annual assessment for </w:t>
            </w:r>
            <w:r w:rsidR="00B57341">
              <w:rPr>
                <w:rFonts w:asciiTheme="minorHAnsi" w:hAnsiTheme="minorHAnsi" w:cstheme="minorHAnsi"/>
                <w:color w:val="000000"/>
                <w:sz w:val="20"/>
                <w:szCs w:val="20"/>
                <w:lang w:val="en-AU"/>
              </w:rPr>
              <w:t xml:space="preserve">Australian </w:t>
            </w:r>
            <w:r w:rsidRPr="00903D6C">
              <w:rPr>
                <w:rFonts w:asciiTheme="minorHAnsi" w:hAnsiTheme="minorHAnsi" w:cstheme="minorHAnsi"/>
                <w:color w:val="000000"/>
                <w:sz w:val="20"/>
                <w:szCs w:val="20"/>
                <w:lang w:val="en-AU"/>
              </w:rPr>
              <w:t xml:space="preserve">students in </w:t>
            </w:r>
            <w:r w:rsidR="001C2E1A">
              <w:rPr>
                <w:rFonts w:asciiTheme="minorHAnsi" w:hAnsiTheme="minorHAnsi" w:cstheme="minorHAnsi"/>
                <w:color w:val="000000"/>
                <w:sz w:val="20"/>
                <w:szCs w:val="20"/>
                <w:lang w:val="en-AU"/>
              </w:rPr>
              <w:t>y</w:t>
            </w:r>
            <w:r w:rsidRPr="00903D6C">
              <w:rPr>
                <w:rFonts w:asciiTheme="minorHAnsi" w:hAnsiTheme="minorHAnsi" w:cstheme="minorHAnsi"/>
                <w:color w:val="000000"/>
                <w:sz w:val="20"/>
                <w:szCs w:val="20"/>
                <w:lang w:val="en-AU"/>
              </w:rPr>
              <w:t>ears 3, 5, 7 and 9. The tests cover skills in reading, writing, spelling, grammar and punctuation, and numeracy.</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National Quality Framework (NQF)</w:t>
            </w:r>
          </w:p>
        </w:tc>
        <w:tc>
          <w:tcPr>
            <w:tcW w:w="6299" w:type="dxa"/>
          </w:tcPr>
          <w:p w:rsidR="00E14908" w:rsidRPr="00A516DA" w:rsidRDefault="00E14908" w:rsidP="00E67152">
            <w:pPr>
              <w:pStyle w:val="NormalWeb"/>
              <w:spacing w:before="0" w:beforeAutospacing="0" w:after="0" w:afterAutospacing="0"/>
              <w:rPr>
                <w:lang w:val="en-AU"/>
              </w:rPr>
            </w:pPr>
            <w:r w:rsidRPr="00903D6C">
              <w:rPr>
                <w:rFonts w:asciiTheme="minorHAnsi" w:hAnsiTheme="minorHAnsi" w:cstheme="minorHAnsi"/>
                <w:color w:val="000000"/>
                <w:sz w:val="20"/>
                <w:szCs w:val="20"/>
                <w:lang w:val="en-AU"/>
              </w:rPr>
              <w:t xml:space="preserve">The </w:t>
            </w:r>
            <w:r w:rsidR="00B57341">
              <w:rPr>
                <w:rFonts w:asciiTheme="minorHAnsi" w:hAnsiTheme="minorHAnsi" w:cstheme="minorHAnsi"/>
                <w:color w:val="000000"/>
                <w:sz w:val="20"/>
                <w:szCs w:val="20"/>
                <w:lang w:val="en-AU"/>
              </w:rPr>
              <w:t xml:space="preserve">NQF </w:t>
            </w:r>
            <w:r w:rsidRPr="00903D6C">
              <w:rPr>
                <w:rFonts w:asciiTheme="minorHAnsi" w:hAnsiTheme="minorHAnsi" w:cstheme="minorHAnsi"/>
                <w:color w:val="000000"/>
                <w:sz w:val="20"/>
                <w:szCs w:val="20"/>
                <w:lang w:val="en-AU"/>
              </w:rPr>
              <w:t xml:space="preserve">aims to raise quality and drive continuous improvement and consistency </w:t>
            </w:r>
            <w:r w:rsidR="00B57341">
              <w:rPr>
                <w:rFonts w:asciiTheme="minorHAnsi" w:hAnsiTheme="minorHAnsi" w:cstheme="minorHAnsi"/>
                <w:color w:val="000000"/>
                <w:sz w:val="20"/>
                <w:szCs w:val="20"/>
                <w:lang w:val="en-AU"/>
              </w:rPr>
              <w:t xml:space="preserve">in ECEC, </w:t>
            </w:r>
            <w:r w:rsidRPr="00903D6C">
              <w:rPr>
                <w:rFonts w:asciiTheme="minorHAnsi" w:hAnsiTheme="minorHAnsi" w:cstheme="minorHAnsi"/>
                <w:color w:val="000000"/>
                <w:sz w:val="20"/>
                <w:szCs w:val="20"/>
                <w:lang w:val="en-AU"/>
              </w:rPr>
              <w:t xml:space="preserve">and </w:t>
            </w:r>
            <w:r w:rsidR="00E67152">
              <w:rPr>
                <w:rFonts w:asciiTheme="minorHAnsi" w:hAnsiTheme="minorHAnsi" w:cstheme="minorHAnsi"/>
                <w:color w:val="000000"/>
                <w:sz w:val="20"/>
                <w:szCs w:val="20"/>
                <w:lang w:val="en-AU"/>
              </w:rPr>
              <w:t>includes the</w:t>
            </w:r>
            <w:r w:rsidRPr="00903D6C">
              <w:rPr>
                <w:rFonts w:asciiTheme="minorHAnsi" w:hAnsiTheme="minorHAnsi" w:cstheme="minorHAnsi"/>
                <w:color w:val="000000"/>
                <w:sz w:val="20"/>
                <w:szCs w:val="20"/>
                <w:lang w:val="en-AU"/>
              </w:rPr>
              <w:t xml:space="preserve"> </w:t>
            </w:r>
            <w:hyperlink r:id="rId25" w:tooltip="National Quality Standard" w:history="1">
              <w:r w:rsidRPr="00903D6C">
                <w:rPr>
                  <w:rFonts w:asciiTheme="minorHAnsi" w:hAnsiTheme="minorHAnsi" w:cstheme="minorHAnsi"/>
                  <w:color w:val="000000"/>
                  <w:sz w:val="20"/>
                  <w:szCs w:val="20"/>
                  <w:lang w:val="en-AU"/>
                </w:rPr>
                <w:t>National Quality Standard</w:t>
              </w:r>
            </w:hyperlink>
            <w:r w:rsidR="00E67152">
              <w:rPr>
                <w:rFonts w:asciiTheme="minorHAnsi" w:hAnsiTheme="minorHAnsi" w:cstheme="minorHAnsi"/>
                <w:color w:val="000000"/>
                <w:sz w:val="20"/>
                <w:szCs w:val="20"/>
                <w:lang w:val="en-AU"/>
              </w:rPr>
              <w:t xml:space="preserve"> and associated assessment and rating system, the Early Years Learning Framework (</w:t>
            </w:r>
            <w:r w:rsidR="00E67152" w:rsidRPr="00E67152">
              <w:rPr>
                <w:rFonts w:asciiTheme="minorHAnsi" w:hAnsiTheme="minorHAnsi" w:cstheme="minorHAnsi"/>
                <w:color w:val="000000"/>
                <w:sz w:val="20"/>
                <w:szCs w:val="20"/>
                <w:lang w:val="en-AU"/>
              </w:rPr>
              <w:t>a nationally consistent early years curriculum</w:t>
            </w:r>
            <w:r w:rsidR="00E67152" w:rsidRPr="00D41DEB">
              <w:rPr>
                <w:rFonts w:asciiTheme="minorHAnsi" w:hAnsiTheme="minorHAnsi" w:cstheme="minorHAnsi"/>
                <w:color w:val="000000"/>
                <w:sz w:val="20"/>
                <w:szCs w:val="20"/>
                <w:lang w:val="en-AU"/>
              </w:rPr>
              <w:t>)</w:t>
            </w:r>
            <w:r w:rsidR="00947C7A">
              <w:rPr>
                <w:rFonts w:asciiTheme="minorHAnsi" w:hAnsiTheme="minorHAnsi" w:cstheme="minorHAnsi"/>
                <w:color w:val="000000"/>
                <w:sz w:val="20"/>
                <w:szCs w:val="20"/>
                <w:lang w:val="en-AU"/>
              </w:rPr>
              <w:t>,</w:t>
            </w:r>
            <w:r w:rsidR="00E67152" w:rsidRPr="00E67152">
              <w:rPr>
                <w:rFonts w:asciiTheme="minorHAnsi" w:hAnsiTheme="minorHAnsi" w:cstheme="minorHAnsi"/>
                <w:color w:val="000000"/>
                <w:sz w:val="20"/>
                <w:szCs w:val="20"/>
                <w:lang w:val="en-AU"/>
              </w:rPr>
              <w:t xml:space="preserve"> a regulatory authority in each </w:t>
            </w:r>
            <w:r w:rsidR="0037370A">
              <w:rPr>
                <w:rFonts w:asciiTheme="minorHAnsi" w:hAnsiTheme="minorHAnsi" w:cstheme="minorHAnsi"/>
                <w:color w:val="000000"/>
                <w:sz w:val="20"/>
                <w:szCs w:val="20"/>
                <w:lang w:val="en-AU"/>
              </w:rPr>
              <w:t>state</w:t>
            </w:r>
            <w:r w:rsidR="00E67152" w:rsidRPr="00E67152">
              <w:rPr>
                <w:rFonts w:asciiTheme="minorHAnsi" w:hAnsiTheme="minorHAnsi" w:cstheme="minorHAnsi"/>
                <w:color w:val="000000"/>
                <w:sz w:val="20"/>
                <w:szCs w:val="20"/>
                <w:lang w:val="en-AU"/>
              </w:rPr>
              <w:t xml:space="preserve"> and </w:t>
            </w:r>
            <w:r w:rsidR="0037370A">
              <w:rPr>
                <w:rFonts w:asciiTheme="minorHAnsi" w:hAnsiTheme="minorHAnsi" w:cstheme="minorHAnsi"/>
                <w:color w:val="000000"/>
                <w:sz w:val="20"/>
                <w:szCs w:val="20"/>
                <w:lang w:val="en-AU"/>
              </w:rPr>
              <w:t>territory</w:t>
            </w:r>
            <w:r w:rsidR="00E67152" w:rsidRPr="00E67152">
              <w:rPr>
                <w:rFonts w:asciiTheme="minorHAnsi" w:hAnsiTheme="minorHAnsi" w:cstheme="minorHAnsi"/>
                <w:color w:val="000000"/>
                <w:sz w:val="20"/>
                <w:szCs w:val="20"/>
                <w:lang w:val="en-AU"/>
              </w:rPr>
              <w:t xml:space="preserve"> to administer the NQF, and ACE</w:t>
            </w:r>
            <w:r w:rsidR="00E8078F">
              <w:rPr>
                <w:rFonts w:asciiTheme="minorHAnsi" w:hAnsiTheme="minorHAnsi" w:cstheme="minorHAnsi"/>
                <w:color w:val="000000"/>
                <w:sz w:val="20"/>
                <w:szCs w:val="20"/>
                <w:lang w:val="en-AU"/>
              </w:rPr>
              <w:t>C</w:t>
            </w:r>
            <w:r w:rsidR="00E67152" w:rsidRPr="00E67152">
              <w:rPr>
                <w:rFonts w:asciiTheme="minorHAnsi" w:hAnsiTheme="minorHAnsi" w:cstheme="minorHAnsi"/>
                <w:color w:val="000000"/>
                <w:sz w:val="20"/>
                <w:szCs w:val="20"/>
                <w:lang w:val="en-AU"/>
              </w:rPr>
              <w:t>QA.</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National Quality Standard (NQS)</w:t>
            </w:r>
          </w:p>
        </w:tc>
        <w:tc>
          <w:tcPr>
            <w:tcW w:w="6299" w:type="dxa"/>
          </w:tcPr>
          <w:p w:rsidR="00E67152" w:rsidRPr="00903D6C" w:rsidRDefault="00E14908" w:rsidP="00E67152">
            <w:pPr>
              <w:pStyle w:val="ListParagraph"/>
              <w:ind w:left="0"/>
              <w:rPr>
                <w:rFonts w:cstheme="minorHAnsi"/>
                <w:sz w:val="20"/>
                <w:szCs w:val="20"/>
              </w:rPr>
            </w:pPr>
            <w:r w:rsidRPr="00903D6C">
              <w:rPr>
                <w:rFonts w:cstheme="minorHAnsi"/>
                <w:sz w:val="20"/>
                <w:szCs w:val="20"/>
              </w:rPr>
              <w:t xml:space="preserve">The </w:t>
            </w:r>
            <w:r w:rsidR="00E67152">
              <w:rPr>
                <w:rFonts w:cstheme="minorHAnsi"/>
                <w:sz w:val="20"/>
                <w:szCs w:val="20"/>
              </w:rPr>
              <w:t xml:space="preserve">NQS </w:t>
            </w:r>
            <w:r w:rsidRPr="00903D6C">
              <w:rPr>
                <w:rFonts w:cstheme="minorHAnsi"/>
                <w:sz w:val="20"/>
                <w:szCs w:val="20"/>
              </w:rPr>
              <w:t xml:space="preserve">sets a </w:t>
            </w:r>
            <w:r w:rsidR="00E67152">
              <w:rPr>
                <w:rFonts w:cstheme="minorHAnsi"/>
                <w:sz w:val="20"/>
                <w:szCs w:val="20"/>
              </w:rPr>
              <w:t xml:space="preserve">consistent </w:t>
            </w:r>
            <w:r w:rsidRPr="00903D6C">
              <w:rPr>
                <w:rFonts w:cstheme="minorHAnsi"/>
                <w:sz w:val="20"/>
                <w:szCs w:val="20"/>
              </w:rPr>
              <w:t>national benchmark for the quality of education and care services. It brings together seven key quality areas important to outcomes for children</w:t>
            </w:r>
            <w:r w:rsidR="00F526BF">
              <w:rPr>
                <w:rFonts w:cstheme="minorHAnsi"/>
                <w:sz w:val="20"/>
                <w:szCs w:val="20"/>
              </w:rPr>
              <w:t>,</w:t>
            </w:r>
            <w:r w:rsidRPr="00903D6C">
              <w:rPr>
                <w:rFonts w:cstheme="minorHAnsi"/>
                <w:sz w:val="20"/>
                <w:szCs w:val="20"/>
              </w:rPr>
              <w:t xml:space="preserve"> and gives services and families a better understanding of the attributes of a quality service. </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Parents</w:t>
            </w:r>
          </w:p>
        </w:tc>
        <w:tc>
          <w:tcPr>
            <w:tcW w:w="6299" w:type="dxa"/>
          </w:tcPr>
          <w:p w:rsidR="00E14908" w:rsidRPr="00903D6C" w:rsidRDefault="00E14908" w:rsidP="001C2E1A">
            <w:pPr>
              <w:pStyle w:val="ListParagraph"/>
              <w:ind w:left="0"/>
              <w:rPr>
                <w:rFonts w:cstheme="minorHAnsi"/>
                <w:sz w:val="20"/>
                <w:szCs w:val="20"/>
              </w:rPr>
            </w:pPr>
            <w:r w:rsidRPr="00903D6C">
              <w:rPr>
                <w:rFonts w:cstheme="minorHAnsi"/>
                <w:sz w:val="20"/>
                <w:szCs w:val="20"/>
              </w:rPr>
              <w:t>The term parents is used in this report to refer to all adults with significant responsibilities for raising children including mothers, fathers, grandparents, foster or kinship carers, guardians, and other family members, carers or members of the community.</w:t>
            </w:r>
          </w:p>
        </w:tc>
      </w:tr>
      <w:tr w:rsidR="00E14908" w:rsidRPr="00903D6C" w:rsidTr="00E14908">
        <w:tc>
          <w:tcPr>
            <w:tcW w:w="2223" w:type="dxa"/>
          </w:tcPr>
          <w:p w:rsidR="00E14908" w:rsidRPr="00903D6C" w:rsidRDefault="003811B2" w:rsidP="00CB4751">
            <w:pPr>
              <w:pStyle w:val="ListParagraph"/>
              <w:ind w:left="0"/>
              <w:rPr>
                <w:rFonts w:cstheme="minorHAnsi"/>
                <w:sz w:val="20"/>
                <w:szCs w:val="20"/>
              </w:rPr>
            </w:pPr>
            <w:r w:rsidRPr="00903D6C">
              <w:rPr>
                <w:rFonts w:cstheme="minorHAnsi"/>
                <w:sz w:val="20"/>
                <w:szCs w:val="20"/>
              </w:rPr>
              <w:t>Programme for International Student Assessment (PISA)</w:t>
            </w:r>
          </w:p>
        </w:tc>
        <w:tc>
          <w:tcPr>
            <w:tcW w:w="6299" w:type="dxa"/>
          </w:tcPr>
          <w:p w:rsidR="00E14908" w:rsidRPr="00903D6C" w:rsidRDefault="00E14908" w:rsidP="003811B2">
            <w:pPr>
              <w:pStyle w:val="ListParagraph"/>
              <w:ind w:left="0"/>
              <w:rPr>
                <w:rFonts w:eastAsia="Times New Roman" w:cstheme="minorHAnsi"/>
                <w:sz w:val="20"/>
                <w:szCs w:val="20"/>
                <w:lang w:eastAsia="en-AU"/>
              </w:rPr>
            </w:pPr>
            <w:r w:rsidRPr="00903D6C">
              <w:rPr>
                <w:rFonts w:cstheme="minorHAnsi"/>
                <w:sz w:val="20"/>
                <w:szCs w:val="20"/>
              </w:rPr>
              <w:t>PISA</w:t>
            </w:r>
            <w:r w:rsidR="003811B2">
              <w:rPr>
                <w:rFonts w:cstheme="minorHAnsi"/>
                <w:sz w:val="20"/>
                <w:szCs w:val="20"/>
              </w:rPr>
              <w:t xml:space="preserve"> </w:t>
            </w:r>
            <w:r w:rsidRPr="00903D6C">
              <w:rPr>
                <w:rFonts w:cstheme="minorHAnsi"/>
                <w:sz w:val="20"/>
                <w:szCs w:val="20"/>
              </w:rPr>
              <w:t xml:space="preserve">is a triennial international </w:t>
            </w:r>
            <w:r w:rsidR="008F3AA6" w:rsidRPr="001752FD">
              <w:rPr>
                <w:rFonts w:cstheme="minorHAnsi"/>
                <w:sz w:val="20"/>
                <w:szCs w:val="20"/>
              </w:rPr>
              <w:t>survey that</w:t>
            </w:r>
            <w:r w:rsidRPr="00903D6C">
              <w:rPr>
                <w:rFonts w:cstheme="minorHAnsi"/>
                <w:sz w:val="20"/>
                <w:szCs w:val="20"/>
              </w:rPr>
              <w:t xml:space="preserve"> aims to evaluate education systems worldwide by testing the </w:t>
            </w:r>
            <w:r w:rsidR="003811B2">
              <w:rPr>
                <w:rFonts w:cstheme="minorHAnsi"/>
                <w:sz w:val="20"/>
                <w:szCs w:val="20"/>
              </w:rPr>
              <w:t xml:space="preserve">skills and knowledge of 15-year </w:t>
            </w:r>
            <w:r w:rsidRPr="00903D6C">
              <w:rPr>
                <w:rFonts w:cstheme="minorHAnsi"/>
                <w:sz w:val="20"/>
                <w:szCs w:val="20"/>
              </w:rPr>
              <w:t>old students in 72 countries in science, mathematics, reading, collaborative problem solving and financial literacy.</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 xml:space="preserve">Proportionate universalism </w:t>
            </w:r>
          </w:p>
        </w:tc>
        <w:tc>
          <w:tcPr>
            <w:tcW w:w="6299" w:type="dxa"/>
          </w:tcPr>
          <w:p w:rsidR="00E14908" w:rsidRPr="00903D6C" w:rsidRDefault="00E14908" w:rsidP="003811B2">
            <w:pPr>
              <w:pStyle w:val="ListParagraph"/>
              <w:ind w:left="0"/>
              <w:rPr>
                <w:rFonts w:cstheme="minorHAnsi"/>
                <w:sz w:val="20"/>
                <w:szCs w:val="20"/>
              </w:rPr>
            </w:pPr>
            <w:r w:rsidRPr="00903D6C">
              <w:rPr>
                <w:rFonts w:cstheme="minorHAnsi"/>
                <w:sz w:val="20"/>
                <w:szCs w:val="20"/>
              </w:rPr>
              <w:t xml:space="preserve">This concept involves the implementation of a common (universal) provision at a population level for all, with </w:t>
            </w:r>
            <w:r w:rsidR="008F3AA6">
              <w:rPr>
                <w:rFonts w:cstheme="minorHAnsi"/>
                <w:sz w:val="20"/>
                <w:szCs w:val="20"/>
              </w:rPr>
              <w:t>extra support</w:t>
            </w:r>
            <w:r w:rsidRPr="00903D6C">
              <w:rPr>
                <w:rFonts w:cstheme="minorHAnsi"/>
                <w:sz w:val="20"/>
                <w:szCs w:val="20"/>
              </w:rPr>
              <w:t xml:space="preserve"> for those with additional needs.</w:t>
            </w:r>
            <w:r w:rsidR="003811B2">
              <w:rPr>
                <w:rFonts w:cstheme="minorHAnsi"/>
                <w:sz w:val="20"/>
                <w:szCs w:val="20"/>
              </w:rPr>
              <w:t xml:space="preserve"> Also known as progressive universalism. </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Preschool</w:t>
            </w:r>
          </w:p>
        </w:tc>
        <w:tc>
          <w:tcPr>
            <w:tcW w:w="6299" w:type="dxa"/>
          </w:tcPr>
          <w:p w:rsidR="00E14908" w:rsidRPr="00903D6C" w:rsidRDefault="00E14908" w:rsidP="003811B2">
            <w:pPr>
              <w:pStyle w:val="ListParagraph"/>
              <w:ind w:left="0"/>
              <w:rPr>
                <w:rFonts w:cstheme="minorHAnsi"/>
                <w:sz w:val="20"/>
                <w:szCs w:val="20"/>
              </w:rPr>
            </w:pPr>
            <w:r w:rsidRPr="00903D6C">
              <w:rPr>
                <w:rFonts w:cstheme="minorHAnsi"/>
                <w:sz w:val="20"/>
                <w:szCs w:val="20"/>
              </w:rPr>
              <w:t xml:space="preserve">Preschool refers to </w:t>
            </w:r>
            <w:r w:rsidR="003811B2">
              <w:rPr>
                <w:rFonts w:cstheme="minorHAnsi"/>
                <w:sz w:val="20"/>
                <w:szCs w:val="20"/>
              </w:rPr>
              <w:t xml:space="preserve">an early childhood </w:t>
            </w:r>
            <w:r w:rsidRPr="00903D6C">
              <w:rPr>
                <w:rFonts w:cstheme="minorHAnsi"/>
                <w:sz w:val="20"/>
                <w:szCs w:val="20"/>
              </w:rPr>
              <w:t>education program provided to children before school (</w:t>
            </w:r>
            <w:r w:rsidR="003811B2">
              <w:rPr>
                <w:rFonts w:cstheme="minorHAnsi"/>
                <w:sz w:val="20"/>
                <w:szCs w:val="20"/>
              </w:rPr>
              <w:t xml:space="preserve">known as </w:t>
            </w:r>
            <w:r w:rsidRPr="00903D6C">
              <w:rPr>
                <w:rFonts w:cstheme="minorHAnsi"/>
                <w:sz w:val="20"/>
                <w:szCs w:val="20"/>
              </w:rPr>
              <w:t xml:space="preserve">kindergarten in some jurisdictions). </w:t>
            </w:r>
            <w:r w:rsidR="008F3AA6">
              <w:rPr>
                <w:rFonts w:cstheme="minorHAnsi"/>
                <w:sz w:val="20"/>
                <w:szCs w:val="20"/>
              </w:rPr>
              <w:t xml:space="preserve">A </w:t>
            </w:r>
            <w:r w:rsidR="008F3AA6" w:rsidRPr="008F3AA6">
              <w:rPr>
                <w:rFonts w:cstheme="minorHAnsi"/>
                <w:sz w:val="20"/>
                <w:szCs w:val="20"/>
              </w:rPr>
              <w:t>bachelor</w:t>
            </w:r>
            <w:r w:rsidR="008F3AA6">
              <w:rPr>
                <w:rFonts w:cstheme="minorHAnsi"/>
                <w:sz w:val="20"/>
                <w:szCs w:val="20"/>
              </w:rPr>
              <w:t>-</w:t>
            </w:r>
            <w:r w:rsidR="008F3AA6" w:rsidRPr="008F3AA6">
              <w:rPr>
                <w:rFonts w:cstheme="minorHAnsi"/>
                <w:sz w:val="20"/>
                <w:szCs w:val="20"/>
              </w:rPr>
              <w:t>qualified teacher</w:t>
            </w:r>
            <w:r w:rsidR="008F3AA6" w:rsidRPr="008F3AA6" w:rsidDel="008F3AA6">
              <w:rPr>
                <w:rFonts w:cstheme="minorHAnsi"/>
                <w:sz w:val="20"/>
                <w:szCs w:val="20"/>
              </w:rPr>
              <w:t xml:space="preserve"> </w:t>
            </w:r>
            <w:r w:rsidR="003811B2">
              <w:rPr>
                <w:rFonts w:cstheme="minorHAnsi"/>
                <w:sz w:val="20"/>
                <w:szCs w:val="20"/>
              </w:rPr>
              <w:t xml:space="preserve">usually </w:t>
            </w:r>
            <w:r w:rsidR="003811B2" w:rsidRPr="008F3AA6">
              <w:rPr>
                <w:rFonts w:cstheme="minorHAnsi"/>
                <w:sz w:val="20"/>
                <w:szCs w:val="20"/>
              </w:rPr>
              <w:t>deliver</w:t>
            </w:r>
            <w:r w:rsidR="008F3AA6">
              <w:rPr>
                <w:rFonts w:cstheme="minorHAnsi"/>
                <w:sz w:val="20"/>
                <w:szCs w:val="20"/>
              </w:rPr>
              <w:t xml:space="preserve">s it. </w:t>
            </w:r>
            <w:r w:rsidR="008F3AA6" w:rsidRPr="008F3AA6">
              <w:rPr>
                <w:rFonts w:cstheme="minorHAnsi"/>
                <w:sz w:val="20"/>
                <w:szCs w:val="20"/>
              </w:rPr>
              <w:t>A range of service types delivers</w:t>
            </w:r>
            <w:r w:rsidRPr="00903D6C">
              <w:rPr>
                <w:rFonts w:cstheme="minorHAnsi"/>
                <w:sz w:val="20"/>
                <w:szCs w:val="20"/>
              </w:rPr>
              <w:t xml:space="preserve"> preschool including long day care services, standalone preschool services or</w:t>
            </w:r>
            <w:r w:rsidR="003811B2">
              <w:rPr>
                <w:rFonts w:cstheme="minorHAnsi"/>
                <w:sz w:val="20"/>
                <w:szCs w:val="20"/>
              </w:rPr>
              <w:t xml:space="preserve"> preschools attached to schools</w:t>
            </w:r>
            <w:r w:rsidRPr="00903D6C">
              <w:rPr>
                <w:rFonts w:cstheme="minorHAnsi"/>
                <w:sz w:val="20"/>
                <w:szCs w:val="20"/>
              </w:rPr>
              <w:t xml:space="preserve">. </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Self-regulation</w:t>
            </w:r>
          </w:p>
        </w:tc>
        <w:tc>
          <w:tcPr>
            <w:tcW w:w="6299" w:type="dxa"/>
          </w:tcPr>
          <w:p w:rsidR="00E14908" w:rsidRPr="00903D6C" w:rsidRDefault="00E14908" w:rsidP="006F6A34">
            <w:pPr>
              <w:pStyle w:val="ListParagraph"/>
              <w:tabs>
                <w:tab w:val="left" w:pos="440"/>
              </w:tabs>
              <w:ind w:left="0"/>
              <w:rPr>
                <w:rFonts w:cstheme="minorHAnsi"/>
                <w:sz w:val="20"/>
                <w:szCs w:val="20"/>
              </w:rPr>
            </w:pPr>
            <w:r w:rsidRPr="00903D6C">
              <w:rPr>
                <w:rFonts w:cstheme="minorHAnsi"/>
                <w:bCs/>
                <w:sz w:val="20"/>
                <w:szCs w:val="20"/>
              </w:rPr>
              <w:t>Self-regulation</w:t>
            </w:r>
            <w:r w:rsidRPr="00903D6C">
              <w:rPr>
                <w:rFonts w:cstheme="minorHAnsi"/>
                <w:sz w:val="20"/>
                <w:szCs w:val="20"/>
              </w:rPr>
              <w:t xml:space="preserve"> is the ability to monitor and control </w:t>
            </w:r>
            <w:r w:rsidR="006F6A34">
              <w:rPr>
                <w:rFonts w:cstheme="minorHAnsi"/>
                <w:sz w:val="20"/>
                <w:szCs w:val="20"/>
              </w:rPr>
              <w:t xml:space="preserve">one’s </w:t>
            </w:r>
            <w:r w:rsidRPr="00903D6C">
              <w:rPr>
                <w:rFonts w:cstheme="minorHAnsi"/>
                <w:sz w:val="20"/>
                <w:szCs w:val="20"/>
              </w:rPr>
              <w:t xml:space="preserve">own behaviour, emotions or thoughts, altering them in accordance with the demands of the situation. It includes the </w:t>
            </w:r>
            <w:r w:rsidR="008F3AA6">
              <w:rPr>
                <w:rFonts w:cstheme="minorHAnsi"/>
                <w:sz w:val="20"/>
                <w:szCs w:val="20"/>
              </w:rPr>
              <w:t>ability</w:t>
            </w:r>
            <w:r w:rsidR="008F3AA6" w:rsidRPr="008F3AA6">
              <w:rPr>
                <w:rFonts w:cstheme="minorHAnsi"/>
                <w:sz w:val="20"/>
                <w:szCs w:val="20"/>
              </w:rPr>
              <w:t xml:space="preserve"> </w:t>
            </w:r>
            <w:r w:rsidRPr="00903D6C">
              <w:rPr>
                <w:rFonts w:cstheme="minorHAnsi"/>
                <w:sz w:val="20"/>
                <w:szCs w:val="20"/>
              </w:rPr>
              <w:t>to inhibit first responses, resist interference from irrelevant stimulation and persist on relevant tasks even</w:t>
            </w:r>
            <w:r w:rsidR="00F40578">
              <w:rPr>
                <w:rFonts w:cstheme="minorHAnsi"/>
                <w:sz w:val="20"/>
                <w:szCs w:val="20"/>
              </w:rPr>
              <w:t xml:space="preserve"> when</w:t>
            </w:r>
            <w:r w:rsidRPr="00903D6C">
              <w:rPr>
                <w:rFonts w:cstheme="minorHAnsi"/>
                <w:sz w:val="20"/>
                <w:szCs w:val="20"/>
              </w:rPr>
              <w:t xml:space="preserve"> </w:t>
            </w:r>
            <w:r w:rsidR="006F6A34">
              <w:rPr>
                <w:rFonts w:cstheme="minorHAnsi"/>
                <w:sz w:val="20"/>
                <w:szCs w:val="20"/>
              </w:rPr>
              <w:t>not enjoyable</w:t>
            </w:r>
            <w:r w:rsidRPr="00903D6C">
              <w:rPr>
                <w:rFonts w:cstheme="minorHAnsi"/>
                <w:sz w:val="20"/>
                <w:szCs w:val="20"/>
              </w:rPr>
              <w:t>.</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The Review</w:t>
            </w:r>
          </w:p>
        </w:tc>
        <w:tc>
          <w:tcPr>
            <w:tcW w:w="6299" w:type="dxa"/>
          </w:tcPr>
          <w:p w:rsidR="00E14908" w:rsidRPr="00903D6C" w:rsidRDefault="006F6A34" w:rsidP="00CB4751">
            <w:pPr>
              <w:pStyle w:val="ListParagraph"/>
              <w:ind w:left="0"/>
              <w:rPr>
                <w:rFonts w:cstheme="minorHAnsi"/>
                <w:sz w:val="20"/>
                <w:szCs w:val="20"/>
              </w:rPr>
            </w:pPr>
            <w:r>
              <w:rPr>
                <w:rFonts w:cstheme="minorHAnsi"/>
                <w:sz w:val="20"/>
                <w:szCs w:val="20"/>
              </w:rPr>
              <w:t xml:space="preserve">The </w:t>
            </w:r>
            <w:r w:rsidRPr="006F6A34">
              <w:rPr>
                <w:rFonts w:cstheme="minorHAnsi"/>
                <w:sz w:val="20"/>
                <w:szCs w:val="20"/>
              </w:rPr>
              <w:t>Review to Achieve Educational Excellence in Australian Schools through Early Childhood Interventions</w:t>
            </w:r>
            <w:r w:rsidR="00061331">
              <w:rPr>
                <w:rFonts w:cstheme="minorHAnsi"/>
                <w:sz w:val="20"/>
                <w:szCs w:val="20"/>
              </w:rPr>
              <w:t>, undertaken by Ms Susan Pascoe AM and Professor Deborah Brennan.</w:t>
            </w:r>
          </w:p>
        </w:tc>
      </w:tr>
      <w:tr w:rsidR="00E14908" w:rsidRPr="00903D6C" w:rsidTr="00E14908">
        <w:tc>
          <w:tcPr>
            <w:tcW w:w="2223" w:type="dxa"/>
          </w:tcPr>
          <w:p w:rsidR="00E14908" w:rsidRPr="00903D6C" w:rsidRDefault="006F6A34" w:rsidP="00CB4751">
            <w:pPr>
              <w:pStyle w:val="ListParagraph"/>
              <w:ind w:left="0"/>
              <w:rPr>
                <w:rFonts w:cstheme="minorHAnsi"/>
                <w:sz w:val="20"/>
                <w:szCs w:val="20"/>
              </w:rPr>
            </w:pPr>
            <w:r w:rsidRPr="00903D6C">
              <w:rPr>
                <w:rFonts w:cstheme="minorHAnsi"/>
                <w:color w:val="1D1D1D"/>
                <w:sz w:val="20"/>
                <w:szCs w:val="20"/>
              </w:rPr>
              <w:t>Trends in International Mathematics and Science Study (TIMSS</w:t>
            </w:r>
            <w:r>
              <w:rPr>
                <w:rFonts w:cstheme="minorHAnsi"/>
                <w:color w:val="1D1D1D"/>
                <w:sz w:val="20"/>
                <w:szCs w:val="20"/>
              </w:rPr>
              <w:t>)</w:t>
            </w:r>
          </w:p>
        </w:tc>
        <w:tc>
          <w:tcPr>
            <w:tcW w:w="6299" w:type="dxa"/>
          </w:tcPr>
          <w:p w:rsidR="00E14908" w:rsidRPr="00903D6C" w:rsidRDefault="00E14908" w:rsidP="001C2E1A">
            <w:pPr>
              <w:pStyle w:val="ListParagraph"/>
              <w:ind w:left="0"/>
              <w:rPr>
                <w:rFonts w:cstheme="minorHAnsi"/>
                <w:color w:val="1D1D1D"/>
                <w:sz w:val="20"/>
                <w:szCs w:val="20"/>
              </w:rPr>
            </w:pPr>
            <w:r w:rsidRPr="00903D6C">
              <w:rPr>
                <w:rFonts w:cstheme="minorHAnsi"/>
                <w:color w:val="1D1D1D"/>
                <w:sz w:val="20"/>
                <w:szCs w:val="20"/>
              </w:rPr>
              <w:t xml:space="preserve">TIMSS is an international assessment conducted on a four-year cycle of the mathematics and science knowledge of students in </w:t>
            </w:r>
            <w:r w:rsidR="001C2E1A">
              <w:rPr>
                <w:rFonts w:cstheme="minorHAnsi"/>
                <w:color w:val="1D1D1D"/>
                <w:sz w:val="20"/>
                <w:szCs w:val="20"/>
              </w:rPr>
              <w:t>y</w:t>
            </w:r>
            <w:r w:rsidRPr="00903D6C">
              <w:rPr>
                <w:rFonts w:cstheme="minorHAnsi"/>
                <w:color w:val="1D1D1D"/>
                <w:sz w:val="20"/>
                <w:szCs w:val="20"/>
              </w:rPr>
              <w:t xml:space="preserve">ears </w:t>
            </w:r>
            <w:r w:rsidR="001C2E1A" w:rsidRPr="00D41DEB">
              <w:rPr>
                <w:rFonts w:cstheme="minorHAnsi"/>
                <w:color w:val="1D1D1D"/>
                <w:sz w:val="20"/>
                <w:szCs w:val="20"/>
              </w:rPr>
              <w:t>4</w:t>
            </w:r>
            <w:r w:rsidR="001D7109">
              <w:rPr>
                <w:rFonts w:cstheme="minorHAnsi"/>
                <w:color w:val="1D1D1D"/>
                <w:sz w:val="20"/>
                <w:szCs w:val="20"/>
              </w:rPr>
              <w:t xml:space="preserve"> </w:t>
            </w:r>
            <w:r w:rsidRPr="001D7109">
              <w:rPr>
                <w:rFonts w:cstheme="minorHAnsi"/>
                <w:color w:val="1D1D1D"/>
                <w:sz w:val="20"/>
                <w:szCs w:val="20"/>
              </w:rPr>
              <w:t>and</w:t>
            </w:r>
            <w:r w:rsidRPr="00903D6C">
              <w:rPr>
                <w:rFonts w:cstheme="minorHAnsi"/>
                <w:color w:val="1D1D1D"/>
                <w:sz w:val="20"/>
                <w:szCs w:val="20"/>
              </w:rPr>
              <w:t xml:space="preserve"> </w:t>
            </w:r>
            <w:r w:rsidR="001C2E1A">
              <w:rPr>
                <w:rFonts w:cstheme="minorHAnsi"/>
                <w:color w:val="1D1D1D"/>
                <w:sz w:val="20"/>
                <w:szCs w:val="20"/>
              </w:rPr>
              <w:t xml:space="preserve">8 </w:t>
            </w:r>
            <w:r w:rsidRPr="00903D6C">
              <w:rPr>
                <w:rFonts w:cstheme="minorHAnsi"/>
                <w:color w:val="1D1D1D"/>
                <w:sz w:val="20"/>
                <w:szCs w:val="20"/>
              </w:rPr>
              <w:t xml:space="preserve">around the world. Internationally comparative data enables participating nations to compare students' educational achievement across borders. </w:t>
            </w:r>
          </w:p>
        </w:tc>
      </w:tr>
      <w:tr w:rsidR="00E14908" w:rsidRPr="00903D6C" w:rsidTr="00E14908">
        <w:tc>
          <w:tcPr>
            <w:tcW w:w="2223" w:type="dxa"/>
          </w:tcPr>
          <w:p w:rsidR="00E14908" w:rsidRPr="00903D6C" w:rsidRDefault="00E14908" w:rsidP="00CB4751">
            <w:pPr>
              <w:pStyle w:val="ListParagraph"/>
              <w:ind w:left="0"/>
              <w:rPr>
                <w:rFonts w:cstheme="minorHAnsi"/>
                <w:sz w:val="20"/>
                <w:szCs w:val="20"/>
              </w:rPr>
            </w:pPr>
            <w:r w:rsidRPr="00903D6C">
              <w:rPr>
                <w:rFonts w:cstheme="minorHAnsi"/>
                <w:sz w:val="20"/>
                <w:szCs w:val="20"/>
              </w:rPr>
              <w:t>Universal Access</w:t>
            </w:r>
          </w:p>
        </w:tc>
        <w:tc>
          <w:tcPr>
            <w:tcW w:w="6299" w:type="dxa"/>
          </w:tcPr>
          <w:p w:rsidR="00E14908" w:rsidRPr="00A516DA" w:rsidRDefault="00E14908" w:rsidP="00F526BF">
            <w:pPr>
              <w:pStyle w:val="ListParagraph"/>
              <w:ind w:left="0"/>
              <w:rPr>
                <w:rFonts w:cstheme="minorHAnsi"/>
                <w:color w:val="1D1D1D"/>
                <w:sz w:val="20"/>
                <w:szCs w:val="20"/>
              </w:rPr>
            </w:pPr>
            <w:r w:rsidRPr="00903D6C">
              <w:rPr>
                <w:rFonts w:cstheme="minorHAnsi"/>
                <w:color w:val="1D1D1D"/>
                <w:sz w:val="20"/>
                <w:szCs w:val="20"/>
              </w:rPr>
              <w:t xml:space="preserve">Universal Access </w:t>
            </w:r>
            <w:r w:rsidR="00924A05">
              <w:rPr>
                <w:rFonts w:cstheme="minorHAnsi"/>
                <w:color w:val="1D1D1D"/>
                <w:sz w:val="20"/>
                <w:szCs w:val="20"/>
              </w:rPr>
              <w:t xml:space="preserve">(capitalised) </w:t>
            </w:r>
            <w:r w:rsidRPr="00903D6C">
              <w:rPr>
                <w:rFonts w:cstheme="minorHAnsi"/>
                <w:color w:val="1D1D1D"/>
                <w:sz w:val="20"/>
                <w:szCs w:val="20"/>
              </w:rPr>
              <w:t xml:space="preserve">is the term used to describe the </w:t>
            </w:r>
            <w:r w:rsidR="00A605F1">
              <w:rPr>
                <w:rFonts w:cstheme="minorHAnsi"/>
                <w:color w:val="1D1D1D"/>
                <w:sz w:val="20"/>
                <w:szCs w:val="20"/>
              </w:rPr>
              <w:t>Commonwealth</w:t>
            </w:r>
            <w:r w:rsidRPr="001752FD">
              <w:rPr>
                <w:rFonts w:cstheme="minorHAnsi"/>
                <w:color w:val="1D1D1D"/>
                <w:sz w:val="20"/>
                <w:szCs w:val="20"/>
              </w:rPr>
              <w:t xml:space="preserve">, </w:t>
            </w:r>
            <w:r w:rsidR="001752FD">
              <w:rPr>
                <w:rFonts w:cstheme="minorHAnsi"/>
                <w:color w:val="1D1D1D"/>
                <w:sz w:val="20"/>
                <w:szCs w:val="20"/>
              </w:rPr>
              <w:t>s</w:t>
            </w:r>
            <w:r w:rsidRPr="00903D6C">
              <w:rPr>
                <w:rFonts w:cstheme="minorHAnsi"/>
                <w:color w:val="1D1D1D"/>
                <w:sz w:val="20"/>
                <w:szCs w:val="20"/>
              </w:rPr>
              <w:t xml:space="preserve">tate and </w:t>
            </w:r>
            <w:r w:rsidR="001752FD">
              <w:rPr>
                <w:rFonts w:cstheme="minorHAnsi"/>
                <w:color w:val="1D1D1D"/>
                <w:sz w:val="20"/>
                <w:szCs w:val="20"/>
              </w:rPr>
              <w:t>t</w:t>
            </w:r>
            <w:r w:rsidRPr="001752FD">
              <w:rPr>
                <w:rFonts w:cstheme="minorHAnsi"/>
                <w:color w:val="1D1D1D"/>
                <w:sz w:val="20"/>
                <w:szCs w:val="20"/>
              </w:rPr>
              <w:t xml:space="preserve">erritory </w:t>
            </w:r>
            <w:r w:rsidR="001752FD">
              <w:rPr>
                <w:rFonts w:cstheme="minorHAnsi"/>
                <w:color w:val="1D1D1D"/>
                <w:sz w:val="20"/>
                <w:szCs w:val="20"/>
              </w:rPr>
              <w:t>g</w:t>
            </w:r>
            <w:r w:rsidRPr="00903D6C">
              <w:rPr>
                <w:rFonts w:cstheme="minorHAnsi"/>
                <w:color w:val="1D1D1D"/>
                <w:sz w:val="20"/>
                <w:szCs w:val="20"/>
              </w:rPr>
              <w:t>overnments’</w:t>
            </w:r>
            <w:r w:rsidR="006F6A34">
              <w:rPr>
                <w:rFonts w:cstheme="minorHAnsi"/>
                <w:color w:val="1D1D1D"/>
                <w:sz w:val="20"/>
                <w:szCs w:val="20"/>
              </w:rPr>
              <w:t xml:space="preserve"> current </w:t>
            </w:r>
            <w:r w:rsidRPr="00903D6C">
              <w:rPr>
                <w:rFonts w:cstheme="minorHAnsi"/>
                <w:color w:val="1D1D1D"/>
                <w:sz w:val="20"/>
                <w:szCs w:val="20"/>
              </w:rPr>
              <w:t xml:space="preserve">commitment to a quality preschool program available to all children in the year before school. A program considered to meet Universal Access requirements is </w:t>
            </w:r>
            <w:r w:rsidR="006F6A34">
              <w:rPr>
                <w:rFonts w:cstheme="minorHAnsi"/>
                <w:color w:val="1D1D1D"/>
                <w:sz w:val="20"/>
                <w:szCs w:val="20"/>
              </w:rPr>
              <w:t xml:space="preserve">one </w:t>
            </w:r>
            <w:r w:rsidRPr="00903D6C">
              <w:rPr>
                <w:rFonts w:cstheme="minorHAnsi"/>
                <w:color w:val="1D1D1D"/>
                <w:sz w:val="20"/>
                <w:szCs w:val="20"/>
              </w:rPr>
              <w:t xml:space="preserve">delivered by an early childhood teacher that meets </w:t>
            </w:r>
            <w:r w:rsidR="00A440FD">
              <w:rPr>
                <w:rFonts w:cstheme="minorHAnsi"/>
                <w:color w:val="1D1D1D"/>
                <w:sz w:val="20"/>
                <w:szCs w:val="20"/>
              </w:rPr>
              <w:t>NQF</w:t>
            </w:r>
            <w:r w:rsidRPr="00903D6C">
              <w:rPr>
                <w:rFonts w:cstheme="minorHAnsi"/>
                <w:color w:val="1D1D1D"/>
                <w:sz w:val="20"/>
                <w:szCs w:val="20"/>
              </w:rPr>
              <w:t xml:space="preserve"> requirements, for 600 hours a year</w:t>
            </w:r>
            <w:r w:rsidR="001C2E1A">
              <w:rPr>
                <w:rFonts w:cstheme="minorHAnsi"/>
                <w:color w:val="1D1D1D"/>
                <w:sz w:val="20"/>
                <w:szCs w:val="20"/>
              </w:rPr>
              <w:t xml:space="preserve"> (equivalent to 15 hours per week for 40 weeks)</w:t>
            </w:r>
            <w:r w:rsidRPr="00903D6C">
              <w:rPr>
                <w:rFonts w:cstheme="minorHAnsi"/>
                <w:color w:val="1D1D1D"/>
                <w:sz w:val="20"/>
                <w:szCs w:val="20"/>
              </w:rPr>
              <w:t>.</w:t>
            </w:r>
            <w:r w:rsidR="00924A05">
              <w:rPr>
                <w:rFonts w:cstheme="minorHAnsi"/>
                <w:color w:val="1D1D1D"/>
                <w:sz w:val="20"/>
                <w:szCs w:val="20"/>
              </w:rPr>
              <w:t xml:space="preserve"> The term universal access (</w:t>
            </w:r>
            <w:proofErr w:type="spellStart"/>
            <w:r w:rsidR="00924A05">
              <w:rPr>
                <w:rFonts w:cstheme="minorHAnsi"/>
                <w:color w:val="1D1D1D"/>
                <w:sz w:val="20"/>
                <w:szCs w:val="20"/>
              </w:rPr>
              <w:t>uncapitalised</w:t>
            </w:r>
            <w:proofErr w:type="spellEnd"/>
            <w:r w:rsidR="00924A05">
              <w:rPr>
                <w:rFonts w:cstheme="minorHAnsi"/>
                <w:color w:val="1D1D1D"/>
                <w:sz w:val="20"/>
                <w:szCs w:val="20"/>
              </w:rPr>
              <w:t xml:space="preserve">) is used to describe the concept of access to a service being provided to all relevant children. </w:t>
            </w:r>
          </w:p>
        </w:tc>
      </w:tr>
      <w:tr w:rsidR="00F40578" w:rsidRPr="00903D6C" w:rsidTr="00E14908">
        <w:tc>
          <w:tcPr>
            <w:tcW w:w="2223" w:type="dxa"/>
          </w:tcPr>
          <w:p w:rsidR="00F40578" w:rsidRPr="00903D6C" w:rsidRDefault="00F40578" w:rsidP="00CB4751">
            <w:pPr>
              <w:pStyle w:val="ListParagraph"/>
              <w:ind w:left="0"/>
              <w:rPr>
                <w:rFonts w:cstheme="minorHAnsi"/>
                <w:sz w:val="20"/>
                <w:szCs w:val="20"/>
              </w:rPr>
            </w:pPr>
            <w:r>
              <w:rPr>
                <w:rFonts w:cstheme="minorHAnsi"/>
                <w:sz w:val="20"/>
                <w:szCs w:val="20"/>
              </w:rPr>
              <w:t>Year before school</w:t>
            </w:r>
          </w:p>
        </w:tc>
        <w:tc>
          <w:tcPr>
            <w:tcW w:w="6299" w:type="dxa"/>
          </w:tcPr>
          <w:p w:rsidR="00F40578" w:rsidRPr="00903D6C" w:rsidRDefault="00F40578" w:rsidP="00F40578">
            <w:pPr>
              <w:pStyle w:val="ListParagraph"/>
              <w:ind w:left="0"/>
              <w:rPr>
                <w:rFonts w:cstheme="minorHAnsi"/>
                <w:color w:val="1D1D1D"/>
                <w:sz w:val="20"/>
                <w:szCs w:val="20"/>
              </w:rPr>
            </w:pPr>
            <w:r>
              <w:rPr>
                <w:rFonts w:cstheme="minorHAnsi"/>
                <w:color w:val="1D1D1D"/>
                <w:sz w:val="20"/>
                <w:szCs w:val="20"/>
              </w:rPr>
              <w:t>Refers to the year before full</w:t>
            </w:r>
            <w:r w:rsidR="001D7109">
              <w:rPr>
                <w:rFonts w:cstheme="minorHAnsi"/>
                <w:color w:val="1D1D1D"/>
                <w:sz w:val="20"/>
                <w:szCs w:val="20"/>
              </w:rPr>
              <w:t>-</w:t>
            </w:r>
            <w:r>
              <w:rPr>
                <w:rFonts w:cstheme="minorHAnsi"/>
                <w:color w:val="1D1D1D"/>
                <w:sz w:val="20"/>
                <w:szCs w:val="20"/>
              </w:rPr>
              <w:t>time schooling</w:t>
            </w:r>
            <w:r w:rsidR="00F526BF">
              <w:rPr>
                <w:rFonts w:cstheme="minorHAnsi"/>
                <w:color w:val="1D1D1D"/>
                <w:sz w:val="20"/>
                <w:szCs w:val="20"/>
              </w:rPr>
              <w:t>,</w:t>
            </w:r>
            <w:r w:rsidR="00024BAF">
              <w:rPr>
                <w:rFonts w:cstheme="minorHAnsi"/>
                <w:color w:val="1D1D1D"/>
                <w:sz w:val="20"/>
                <w:szCs w:val="20"/>
              </w:rPr>
              <w:t xml:space="preserve"> </w:t>
            </w:r>
            <w:r w:rsidR="00F526BF">
              <w:rPr>
                <w:rFonts w:cstheme="minorHAnsi"/>
                <w:color w:val="1D1D1D"/>
                <w:sz w:val="20"/>
                <w:szCs w:val="20"/>
              </w:rPr>
              <w:t>r</w:t>
            </w:r>
            <w:r>
              <w:rPr>
                <w:rFonts w:cstheme="minorHAnsi"/>
                <w:color w:val="1D1D1D"/>
                <w:sz w:val="20"/>
                <w:szCs w:val="20"/>
              </w:rPr>
              <w:t xml:space="preserve">ecognising </w:t>
            </w:r>
            <w:r w:rsidR="00024BAF">
              <w:rPr>
                <w:rFonts w:cstheme="minorHAnsi"/>
                <w:color w:val="1D1D1D"/>
                <w:sz w:val="20"/>
                <w:szCs w:val="20"/>
              </w:rPr>
              <w:t xml:space="preserve">differences in the school starting age between jurisdictions, and </w:t>
            </w:r>
            <w:r>
              <w:rPr>
                <w:rFonts w:cstheme="minorHAnsi"/>
                <w:color w:val="1D1D1D"/>
                <w:sz w:val="20"/>
                <w:szCs w:val="20"/>
              </w:rPr>
              <w:t>that in some jurisdictions</w:t>
            </w:r>
            <w:r w:rsidR="003C37BA">
              <w:rPr>
                <w:rFonts w:cstheme="minorHAnsi"/>
                <w:color w:val="1D1D1D"/>
                <w:sz w:val="20"/>
                <w:szCs w:val="20"/>
              </w:rPr>
              <w:t xml:space="preserve"> </w:t>
            </w:r>
            <w:r>
              <w:rPr>
                <w:rFonts w:cstheme="minorHAnsi"/>
                <w:color w:val="1D1D1D"/>
                <w:sz w:val="20"/>
                <w:szCs w:val="20"/>
              </w:rPr>
              <w:t xml:space="preserve">preschool can be considered part of a school or school system. </w:t>
            </w:r>
          </w:p>
        </w:tc>
      </w:tr>
    </w:tbl>
    <w:p w:rsidR="00602D41" w:rsidRDefault="00602D41" w:rsidP="00602D41"/>
    <w:p w:rsidR="00135330" w:rsidRDefault="00135330">
      <w:r>
        <w:br w:type="page"/>
      </w:r>
    </w:p>
    <w:p w:rsidR="00135330" w:rsidRDefault="00135330" w:rsidP="0057628C">
      <w:pPr>
        <w:pStyle w:val="Heading1"/>
      </w:pPr>
      <w:bookmarkStart w:id="51" w:name="_Toc373586269"/>
      <w:bookmarkStart w:id="52" w:name="_Toc500850787"/>
      <w:r>
        <w:t>Review process</w:t>
      </w:r>
      <w:bookmarkEnd w:id="51"/>
      <w:bookmarkEnd w:id="52"/>
    </w:p>
    <w:p w:rsidR="00135330" w:rsidRDefault="00135330" w:rsidP="0057628C">
      <w:pPr>
        <w:spacing w:after="120"/>
      </w:pPr>
    </w:p>
    <w:p w:rsidR="00135330" w:rsidRDefault="00BE60ED" w:rsidP="0057628C">
      <w:pPr>
        <w:spacing w:after="120"/>
      </w:pPr>
      <w:r w:rsidRPr="00AE12E9">
        <w:t xml:space="preserve">Senior officials from the first ministers’ departments of all </w:t>
      </w:r>
      <w:r w:rsidR="0037370A">
        <w:t>states</w:t>
      </w:r>
      <w:r w:rsidRPr="00AE12E9">
        <w:t xml:space="preserve"> and </w:t>
      </w:r>
      <w:r w:rsidR="0037370A">
        <w:t>territories</w:t>
      </w:r>
      <w:r w:rsidRPr="00AE12E9">
        <w:t xml:space="preserve"> commissioned the Review</w:t>
      </w:r>
      <w:r w:rsidR="00135330" w:rsidRPr="00FD6708">
        <w:t>.</w:t>
      </w:r>
      <w:r w:rsidR="00135330">
        <w:t xml:space="preserve"> The Review members were appointed in late August 2017, with a</w:t>
      </w:r>
      <w:r w:rsidR="00EC7689">
        <w:t>n original reporting date of 27 </w:t>
      </w:r>
      <w:r w:rsidR="00135330">
        <w:t>October</w:t>
      </w:r>
      <w:r w:rsidR="003B075C">
        <w:t xml:space="preserve"> 2017</w:t>
      </w:r>
      <w:r w:rsidR="00135330">
        <w:t xml:space="preserve">. This was subsequently extended by agreement. </w:t>
      </w:r>
    </w:p>
    <w:p w:rsidR="00135330" w:rsidRDefault="00135330" w:rsidP="0057628C">
      <w:pPr>
        <w:spacing w:after="120"/>
      </w:pPr>
      <w:r>
        <w:t xml:space="preserve">All commissioning jurisdictions contributed to the Review, including through </w:t>
      </w:r>
      <w:r w:rsidR="00EC7689">
        <w:t xml:space="preserve">the provision of </w:t>
      </w:r>
      <w:r>
        <w:t xml:space="preserve">financial </w:t>
      </w:r>
      <w:r w:rsidR="00EC7689">
        <w:t xml:space="preserve">and </w:t>
      </w:r>
      <w:r>
        <w:t xml:space="preserve">logistical support, staffing and information. The Review appreciates the cooperation and support of </w:t>
      </w:r>
      <w:r w:rsidR="00EC7689">
        <w:t xml:space="preserve">all </w:t>
      </w:r>
      <w:r>
        <w:t xml:space="preserve">the commissioning jurisdictions. </w:t>
      </w:r>
    </w:p>
    <w:p w:rsidR="00135330" w:rsidRDefault="00135330" w:rsidP="00B055B7">
      <w:pPr>
        <w:spacing w:after="120"/>
      </w:pPr>
      <w:r>
        <w:t xml:space="preserve">The Review has been supported by a small secretariat, with members contributed from the Queensland, South Australian and Victorian public services. </w:t>
      </w:r>
    </w:p>
    <w:p w:rsidR="00135330" w:rsidRDefault="00135330" w:rsidP="00B055B7">
      <w:r>
        <w:t xml:space="preserve">In addition, the commissioning jurisdictions arranged three supporting experts to </w:t>
      </w:r>
      <w:r w:rsidR="00EC7689">
        <w:t xml:space="preserve">advise </w:t>
      </w:r>
      <w:r>
        <w:t>the Review</w:t>
      </w:r>
      <w:r w:rsidR="00BE60ED">
        <w:t xml:space="preserve">: </w:t>
      </w:r>
      <w:r>
        <w:t xml:space="preserve">Associate Professor Tricia </w:t>
      </w:r>
      <w:proofErr w:type="spellStart"/>
      <w:r>
        <w:t>Eadie</w:t>
      </w:r>
      <w:proofErr w:type="spellEnd"/>
      <w:r>
        <w:t xml:space="preserve">, Professor Matthew </w:t>
      </w:r>
      <w:proofErr w:type="spellStart"/>
      <w:r>
        <w:t>Gray</w:t>
      </w:r>
      <w:proofErr w:type="spellEnd"/>
      <w:r>
        <w:t xml:space="preserve"> and Professor Karen Thorpe. In addi</w:t>
      </w:r>
      <w:r w:rsidR="0007743F">
        <w:t>tion, Professor Collette Tayler</w:t>
      </w:r>
      <w:r>
        <w:t xml:space="preserve"> provided </w:t>
      </w:r>
      <w:r w:rsidR="008B6028">
        <w:t>further</w:t>
      </w:r>
      <w:r>
        <w:t xml:space="preserve"> expert advice.</w:t>
      </w:r>
    </w:p>
    <w:p w:rsidR="00135330" w:rsidRDefault="00135330" w:rsidP="00B055B7">
      <w:pPr>
        <w:spacing w:after="120"/>
      </w:pPr>
      <w:r>
        <w:t>The Review’s work has involved two key aspects.</w:t>
      </w:r>
    </w:p>
    <w:p w:rsidR="00135330" w:rsidRDefault="00135330" w:rsidP="00B055B7">
      <w:pPr>
        <w:spacing w:after="120"/>
      </w:pPr>
      <w:r w:rsidRPr="006A06D5">
        <w:t>First</w:t>
      </w:r>
      <w:r w:rsidR="00BE60ED">
        <w:t>ly</w:t>
      </w:r>
      <w:r>
        <w:t xml:space="preserve">, examination of existing information, data, evidence and literature </w:t>
      </w:r>
      <w:r w:rsidR="00BE60ED">
        <w:t>that was</w:t>
      </w:r>
      <w:r w:rsidRPr="00BE60ED">
        <w:t xml:space="preserve"> </w:t>
      </w:r>
      <w:r>
        <w:t>relevant to the terms of reference. In addition to publicly available information, some individuals and organisations shared confidential insight</w:t>
      </w:r>
      <w:r w:rsidR="003357B8">
        <w:t>s</w:t>
      </w:r>
      <w:r>
        <w:t xml:space="preserve">, including detail of unpublished research and </w:t>
      </w:r>
      <w:r w:rsidR="00BE60ED" w:rsidRPr="00BE60ED">
        <w:t>evaluations that</w:t>
      </w:r>
      <w:r>
        <w:t xml:space="preserve"> have informed the Review’s work but have, by agreement, not been attributed. </w:t>
      </w:r>
    </w:p>
    <w:p w:rsidR="00135330" w:rsidRDefault="00135330" w:rsidP="00B055B7">
      <w:pPr>
        <w:spacing w:after="120"/>
      </w:pPr>
      <w:r w:rsidRPr="00C4073E">
        <w:t>Second</w:t>
      </w:r>
      <w:r w:rsidR="00BE60ED">
        <w:t>ly</w:t>
      </w:r>
      <w:r>
        <w:t xml:space="preserve">, the Review undertook targeted consultations across Australia. While limited to a degree by the time available, the Review travelled to each </w:t>
      </w:r>
      <w:r w:rsidR="0037370A">
        <w:t>state</w:t>
      </w:r>
      <w:r>
        <w:t xml:space="preserve"> and </w:t>
      </w:r>
      <w:r w:rsidR="0037370A">
        <w:t>territory</w:t>
      </w:r>
      <w:r>
        <w:t>, and heard from government officials, service providers, early child</w:t>
      </w:r>
      <w:r w:rsidR="00EC7689">
        <w:t>hood</w:t>
      </w:r>
      <w:r>
        <w:t xml:space="preserve"> practitioners, unions, peak bodies, academics, parent representatives and others with interest or expertise in the area. The Review was also able to meet with a number of international early childhood experts.</w:t>
      </w:r>
    </w:p>
    <w:p w:rsidR="009C22FA" w:rsidRPr="000578D4" w:rsidRDefault="009C22FA" w:rsidP="00B055B7">
      <w:pPr>
        <w:autoSpaceDE w:val="0"/>
        <w:autoSpaceDN w:val="0"/>
        <w:adjustRightInd w:val="0"/>
        <w:spacing w:after="120"/>
      </w:pPr>
      <w:r w:rsidRPr="000578D4">
        <w:t xml:space="preserve">The Review's consultations sought </w:t>
      </w:r>
      <w:r w:rsidR="00EC7689">
        <w:t xml:space="preserve">views </w:t>
      </w:r>
      <w:r w:rsidRPr="000578D4">
        <w:t>on current successes, challenges and priorities in early childhood. The consultations helped identify areas for further investigation and provided valuable perspectives on the different challenges and o</w:t>
      </w:r>
      <w:r w:rsidR="00EC7689">
        <w:t xml:space="preserve">pportunities across Australia. </w:t>
      </w:r>
    </w:p>
    <w:p w:rsidR="009C22FA" w:rsidRPr="000578D4" w:rsidRDefault="009C22FA" w:rsidP="00B055B7">
      <w:pPr>
        <w:autoSpaceDE w:val="0"/>
        <w:autoSpaceDN w:val="0"/>
        <w:adjustRightInd w:val="0"/>
        <w:spacing w:after="120"/>
      </w:pPr>
      <w:r w:rsidRPr="000578D4">
        <w:t>Many themes from the consultations were consistent across jurisdictions, relating to key areas such as early childhood training and workforce, greater connection and/or integration of education and health services, and partnerships with families. There were strong and consistent calls for sustainable policy and funding for Universal Access</w:t>
      </w:r>
      <w:r w:rsidR="00C4073E">
        <w:t>,</w:t>
      </w:r>
      <w:r w:rsidRPr="000578D4">
        <w:t xml:space="preserve"> the National Quality Framework, </w:t>
      </w:r>
      <w:r w:rsidR="00DB6F5B">
        <w:t>and</w:t>
      </w:r>
      <w:r w:rsidRPr="000578D4">
        <w:t xml:space="preserve"> for a new wave of early childhood reform, particularly for three year olds.</w:t>
      </w:r>
    </w:p>
    <w:p w:rsidR="009C22FA" w:rsidRDefault="001C2E1A" w:rsidP="00B055B7">
      <w:pPr>
        <w:spacing w:after="120"/>
      </w:pPr>
      <w:r>
        <w:t>T</w:t>
      </w:r>
      <w:r w:rsidR="009C22FA" w:rsidRPr="000578D4">
        <w:t>he Re</w:t>
      </w:r>
      <w:r w:rsidR="00EC7689">
        <w:t>view heard of many jurisdiction-</w:t>
      </w:r>
      <w:r w:rsidR="009C22FA" w:rsidRPr="000578D4">
        <w:t xml:space="preserve">specific issues such as funding anomalies, challenges in dispersed, rural or remote communities, and acknowledgement of cultural perspectives in service delivery for </w:t>
      </w:r>
      <w:r w:rsidR="00BC01A6">
        <w:t>Indigenous</w:t>
      </w:r>
      <w:r w:rsidR="009C22FA" w:rsidRPr="000578D4">
        <w:t xml:space="preserve"> communities.</w:t>
      </w:r>
    </w:p>
    <w:p w:rsidR="00135330" w:rsidRDefault="00135330" w:rsidP="0057628C">
      <w:pPr>
        <w:spacing w:after="120"/>
      </w:pPr>
      <w:r>
        <w:t xml:space="preserve">In addition to hearing from a broad range of stakeholders, the Review was able to draw </w:t>
      </w:r>
      <w:r w:rsidR="00C4073E">
        <w:t>up</w:t>
      </w:r>
      <w:r w:rsidRPr="00C4073E">
        <w:t>on</w:t>
      </w:r>
      <w:r>
        <w:t xml:space="preserve"> considerable public information, including submissions to previous inquiries and reviews. Therefore, while the Review’s timeframes meant that a public call for submissions or broader consultation was not practicable, it is confident that it has sufficient breadth of perspective.</w:t>
      </w:r>
    </w:p>
    <w:p w:rsidR="00135330" w:rsidRDefault="003B075C" w:rsidP="0057628C">
      <w:pPr>
        <w:spacing w:after="120"/>
      </w:pPr>
      <w:r>
        <w:t xml:space="preserve">The Review appreciates the time, thought and candour of all those consulted. </w:t>
      </w:r>
      <w:r w:rsidR="00135330">
        <w:t xml:space="preserve">In order to encourage candour, the Review undertook its consultations on a confidential basis, on the understanding that views would not be attributed to individuals, organisations or jurisdictions. </w:t>
      </w:r>
    </w:p>
    <w:p w:rsidR="00135330" w:rsidRDefault="00135330" w:rsidP="003B075C">
      <w:pPr>
        <w:spacing w:after="120"/>
      </w:pPr>
      <w:r>
        <w:t xml:space="preserve">While informed greatly by the cooperation of the commissioning jurisdictions, consultations and supporting experts, the analysis, findings and recommendations in this report </w:t>
      </w:r>
      <w:r w:rsidR="001A7654">
        <w:t xml:space="preserve">are those of the Review alone. </w:t>
      </w:r>
      <w:r>
        <w:br w:type="page"/>
      </w:r>
    </w:p>
    <w:p w:rsidR="00AD224E" w:rsidRDefault="00AD224E" w:rsidP="004957FA">
      <w:pPr>
        <w:pStyle w:val="Heading1"/>
      </w:pPr>
      <w:bookmarkStart w:id="53" w:name="_Toc500850788"/>
      <w:r>
        <w:t>About the Reviewers</w:t>
      </w:r>
      <w:bookmarkEnd w:id="53"/>
    </w:p>
    <w:p w:rsidR="004957FA" w:rsidRPr="004957FA" w:rsidRDefault="004957FA" w:rsidP="004957FA">
      <w:pPr>
        <w:rPr>
          <w:sz w:val="16"/>
          <w:szCs w:val="16"/>
        </w:rPr>
      </w:pPr>
    </w:p>
    <w:p w:rsidR="003357B8" w:rsidRDefault="003357B8" w:rsidP="003357B8">
      <w:pPr>
        <w:rPr>
          <w:b/>
        </w:rPr>
      </w:pPr>
      <w:r w:rsidRPr="003357B8">
        <w:rPr>
          <w:b/>
        </w:rPr>
        <w:t>Susan Pascoe AM, FAICD, FIPAA, FACE</w:t>
      </w:r>
    </w:p>
    <w:p w:rsidR="003357B8" w:rsidRPr="003357B8" w:rsidRDefault="004957FA" w:rsidP="003357B8">
      <w:pPr>
        <w:rPr>
          <w:b/>
        </w:rPr>
      </w:pPr>
      <w:r>
        <w:rPr>
          <w:noProof/>
          <w:lang w:eastAsia="en-AU"/>
        </w:rPr>
        <w:drawing>
          <wp:inline distT="0" distB="0" distL="0" distR="0" wp14:anchorId="1BDE56D4" wp14:editId="44FBB363">
            <wp:extent cx="733530" cy="106254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34568" cy="1064043"/>
                    </a:xfrm>
                    <a:prstGeom prst="rect">
                      <a:avLst/>
                    </a:prstGeom>
                  </pic:spPr>
                </pic:pic>
              </a:graphicData>
            </a:graphic>
          </wp:inline>
        </w:drawing>
      </w:r>
    </w:p>
    <w:p w:rsidR="003357B8" w:rsidRPr="003357B8" w:rsidRDefault="003357B8" w:rsidP="003357B8">
      <w:r w:rsidRPr="003357B8">
        <w:t xml:space="preserve">Susan Pascoe is President and Chair of the Australian Council for International Development (ACFID), Chair of the Community Director’s Council and of the Principals Australia Institute Certification Advisory Board.  </w:t>
      </w:r>
    </w:p>
    <w:p w:rsidR="003357B8" w:rsidRPr="003357B8" w:rsidRDefault="003357B8" w:rsidP="003357B8">
      <w:r w:rsidRPr="003357B8">
        <w:t>Ms Pascoe was the inaugural Commissioner for the Australian Charities and Not-for-profits Commission (ACNC), Australia's first national, independent regulator of charities from 2012–</w:t>
      </w:r>
      <w:r w:rsidR="00F526BF">
        <w:t>20</w:t>
      </w:r>
      <w:r w:rsidRPr="003357B8">
        <w:t xml:space="preserve">17.  </w:t>
      </w:r>
    </w:p>
    <w:p w:rsidR="003357B8" w:rsidRPr="003357B8" w:rsidRDefault="003357B8" w:rsidP="003357B8">
      <w:r w:rsidRPr="003357B8">
        <w:t xml:space="preserve">Prior to this appointment, Ms Pascoe was Commissioner of the State Services Authority in Victoria where she chaired regulatory and governance reviews. She was appointed in 2009 as one of three Commissioners for the Royal Commission into Victoria’s Black Saturday Bushfires. </w:t>
      </w:r>
    </w:p>
    <w:p w:rsidR="003357B8" w:rsidRPr="003357B8" w:rsidRDefault="003357B8" w:rsidP="003357B8">
      <w:r w:rsidRPr="003357B8">
        <w:t xml:space="preserve">Ms Pascoe’s earlier career was in education. She served as President of the Australian College of Educators, CEO of the Victorian Curriculum and Assessment Authority and Chief Executive of the Catholic Education Commission of Victoria. Ms Pascoe chaired the Australian National Commission for UNESCO and has chaired or served on a number of education, health and government boards.  </w:t>
      </w:r>
    </w:p>
    <w:p w:rsidR="003357B8" w:rsidRDefault="003357B8" w:rsidP="003357B8">
      <w:r w:rsidRPr="003357B8">
        <w:t>Ms Pascoe’s significant achievements were acknowledged in 2007 when she was appointed Member of the Order of Australia for service to education. In 2016 she was awarded the Leadership in Government Award for her outstanding contribution to public administration in Australia</w:t>
      </w:r>
      <w:r>
        <w:t>.</w:t>
      </w:r>
    </w:p>
    <w:p w:rsidR="003357B8" w:rsidRPr="00D51254" w:rsidRDefault="003357B8" w:rsidP="003357B8">
      <w:pPr>
        <w:rPr>
          <w:b/>
        </w:rPr>
      </w:pPr>
      <w:r w:rsidRPr="00D51254">
        <w:rPr>
          <w:b/>
        </w:rPr>
        <w:t>Professor Deborah Brennan</w:t>
      </w:r>
      <w:r w:rsidR="00F526BF">
        <w:rPr>
          <w:b/>
        </w:rPr>
        <w:t xml:space="preserve"> </w:t>
      </w:r>
      <w:r w:rsidR="00F526BF" w:rsidRPr="003357B8">
        <w:t>PhD FASSA</w:t>
      </w:r>
      <w:r w:rsidRPr="00D51254">
        <w:rPr>
          <w:b/>
        </w:rPr>
        <w:t xml:space="preserve"> </w:t>
      </w:r>
    </w:p>
    <w:p w:rsidR="003357B8" w:rsidRPr="003357B8" w:rsidRDefault="004957FA" w:rsidP="003357B8">
      <w:r>
        <w:rPr>
          <w:noProof/>
          <w:lang w:eastAsia="en-AU"/>
        </w:rPr>
        <w:drawing>
          <wp:inline distT="0" distB="0" distL="0" distR="0" wp14:anchorId="5A40C5C4" wp14:editId="67889545">
            <wp:extent cx="914400" cy="113978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15935" cy="1141694"/>
                    </a:xfrm>
                    <a:prstGeom prst="rect">
                      <a:avLst/>
                    </a:prstGeom>
                  </pic:spPr>
                </pic:pic>
              </a:graphicData>
            </a:graphic>
          </wp:inline>
        </w:drawing>
      </w:r>
    </w:p>
    <w:p w:rsidR="003357B8" w:rsidRPr="003357B8" w:rsidRDefault="003357B8" w:rsidP="003357B8">
      <w:r w:rsidRPr="003357B8">
        <w:t xml:space="preserve">Deborah Brennan is Professor in the Social Policy Research Centre (SPRC), UNSW. Her research focuses on gender and social policy, especially early childhood education and care, family benefits and parental leave. She is an international expert on the impact of private markets on human services. Deborah has active research collaborations with scholars in the UK, Canada and New Zealand. She works closely with government agencies, non-government organisations and community groups. Her current research on the connections between care </w:t>
      </w:r>
      <w:proofErr w:type="spellStart"/>
      <w:r w:rsidRPr="003357B8">
        <w:t>marketisation</w:t>
      </w:r>
      <w:proofErr w:type="spellEnd"/>
      <w:r w:rsidRPr="003357B8">
        <w:t xml:space="preserve"> and reliance of low-paid migrant labour is funded by the Australian Research Council and the Social Sciences and Humanities Council of Canada. </w:t>
      </w:r>
    </w:p>
    <w:p w:rsidR="00AD224E" w:rsidRPr="00845D6F" w:rsidRDefault="003357B8" w:rsidP="00845D6F">
      <w:r w:rsidRPr="003357B8">
        <w:t xml:space="preserve">Professor Brennan has provided advice to governments in Australia, Canada and the UK and has held visiting positions at the London School of Economics, Oxford University and Trinity College Dublin. A former president of the Australian Political Science Association and the Inaugural President of the National Association of Community Based Child Care, she is the author of several books and numerous scholarly articles, book chapters and reports on gender, politics and family policy.  </w:t>
      </w:r>
      <w:bookmarkStart w:id="54" w:name="_Toc373586270"/>
    </w:p>
    <w:p w:rsidR="00084096" w:rsidRDefault="00084096" w:rsidP="00084096">
      <w:pPr>
        <w:pStyle w:val="Heading1"/>
      </w:pPr>
      <w:bookmarkStart w:id="55" w:name="_Toc500850789"/>
      <w:r>
        <w:t>Terms of reference</w:t>
      </w:r>
      <w:bookmarkEnd w:id="54"/>
      <w:bookmarkEnd w:id="55"/>
    </w:p>
    <w:p w:rsidR="00084096" w:rsidRDefault="00084096" w:rsidP="00084096">
      <w:pPr>
        <w:jc w:val="center"/>
        <w:rPr>
          <w:b/>
          <w:sz w:val="24"/>
          <w:szCs w:val="24"/>
        </w:rPr>
      </w:pPr>
    </w:p>
    <w:p w:rsidR="00084096" w:rsidRPr="004A098F" w:rsidRDefault="00084096" w:rsidP="00084096">
      <w:pPr>
        <w:jc w:val="center"/>
        <w:rPr>
          <w:b/>
          <w:sz w:val="24"/>
          <w:szCs w:val="24"/>
        </w:rPr>
      </w:pPr>
      <w:r w:rsidRPr="004A098F">
        <w:rPr>
          <w:b/>
          <w:sz w:val="24"/>
          <w:szCs w:val="24"/>
        </w:rPr>
        <w:t>Review to Achieve Educational Excellence in Australian Schools through Early Childhood Interventions</w:t>
      </w:r>
    </w:p>
    <w:p w:rsidR="00084096" w:rsidRPr="005A0F77" w:rsidRDefault="00084096" w:rsidP="00084096">
      <w:pPr>
        <w:spacing w:after="120"/>
        <w:rPr>
          <w:sz w:val="20"/>
          <w:szCs w:val="24"/>
        </w:rPr>
      </w:pPr>
      <w:r w:rsidRPr="005A0F77">
        <w:rPr>
          <w:sz w:val="20"/>
          <w:szCs w:val="24"/>
        </w:rPr>
        <w:t>Evidence from organisations such as the Organisation for Economic Co-operation and Development (OECD) is clear that countries with high levels of performance in school education and post school outcomes base this success on strong early childhood foundations.</w:t>
      </w:r>
      <w:r w:rsidRPr="005A0F77">
        <w:rPr>
          <w:color w:val="1F497D"/>
          <w:sz w:val="20"/>
          <w:szCs w:val="24"/>
        </w:rPr>
        <w:t xml:space="preserve"> </w:t>
      </w:r>
      <w:r w:rsidRPr="005A0F77">
        <w:rPr>
          <w:sz w:val="20"/>
          <w:szCs w:val="24"/>
        </w:rPr>
        <w:t>The Commonwealth Government’s new school funding reforms will result in increased levels of investment in schools by the Commonwealth.</w:t>
      </w:r>
      <w:r w:rsidRPr="005A0F77">
        <w:rPr>
          <w:sz w:val="18"/>
        </w:rPr>
        <w:t xml:space="preserve"> </w:t>
      </w:r>
      <w:r w:rsidRPr="005A0F77">
        <w:rPr>
          <w:sz w:val="20"/>
          <w:szCs w:val="24"/>
        </w:rPr>
        <w:t>This is in addition to current record investments in education by State</w:t>
      </w:r>
      <w:r w:rsidR="00DB6F5B">
        <w:rPr>
          <w:sz w:val="20"/>
          <w:szCs w:val="24"/>
        </w:rPr>
        <w:t>s</w:t>
      </w:r>
      <w:r w:rsidRPr="005A0F77">
        <w:rPr>
          <w:sz w:val="20"/>
          <w:szCs w:val="24"/>
        </w:rPr>
        <w:t xml:space="preserve"> and Territories.</w:t>
      </w:r>
    </w:p>
    <w:p w:rsidR="00084096" w:rsidRPr="005A0F77" w:rsidRDefault="00084096" w:rsidP="00084096">
      <w:pPr>
        <w:spacing w:after="120"/>
        <w:rPr>
          <w:sz w:val="20"/>
          <w:szCs w:val="24"/>
        </w:rPr>
      </w:pPr>
      <w:r w:rsidRPr="005A0F77">
        <w:rPr>
          <w:sz w:val="20"/>
          <w:szCs w:val="24"/>
        </w:rPr>
        <w:t>The Commonwealth Government has established the Review to Achieve Educational Excellence in Australian Schools, to be chaired by Mr David Gonski AC, to provide advice on how this extra Commonwealth funding should be used by Australian schools and school systems to improve school performance and student achievement (Gonski Review).</w:t>
      </w:r>
      <w:r>
        <w:rPr>
          <w:sz w:val="20"/>
          <w:szCs w:val="24"/>
        </w:rPr>
        <w:t xml:space="preserve"> </w:t>
      </w:r>
      <w:r w:rsidRPr="005A0F77">
        <w:rPr>
          <w:sz w:val="20"/>
          <w:szCs w:val="24"/>
        </w:rPr>
        <w:t>The terms of reference for the review are limited to interventions by schools and school systems.</w:t>
      </w:r>
    </w:p>
    <w:p w:rsidR="00084096" w:rsidRPr="005A0F77" w:rsidRDefault="00084096" w:rsidP="00084096">
      <w:pPr>
        <w:spacing w:after="120"/>
        <w:rPr>
          <w:sz w:val="20"/>
          <w:szCs w:val="24"/>
        </w:rPr>
      </w:pPr>
      <w:r w:rsidRPr="005A0F77">
        <w:rPr>
          <w:sz w:val="20"/>
          <w:szCs w:val="24"/>
        </w:rPr>
        <w:t>State and territory officials have commissioned an additional piece of work, which takes the Gonski Review Terms of Reference and applies this to the years before school (0-5 years) (Early Childhood Review). The intention is that the Early C</w:t>
      </w:r>
      <w:r w:rsidRPr="00093BBA">
        <w:rPr>
          <w:sz w:val="20"/>
          <w:szCs w:val="24"/>
        </w:rPr>
        <w:t>hildhood Review report</w:t>
      </w:r>
      <w:r w:rsidRPr="005A0F77">
        <w:rPr>
          <w:sz w:val="20"/>
          <w:szCs w:val="24"/>
        </w:rPr>
        <w:t xml:space="preserve"> will complement the Gonski Review and will inform discussions on the role of early childhood education in improving school performance and student achievement.</w:t>
      </w:r>
    </w:p>
    <w:p w:rsidR="00084096" w:rsidRPr="005A0F77" w:rsidRDefault="00084096" w:rsidP="00084096">
      <w:pPr>
        <w:spacing w:after="120"/>
        <w:rPr>
          <w:sz w:val="20"/>
          <w:szCs w:val="24"/>
        </w:rPr>
      </w:pPr>
      <w:r w:rsidRPr="005A0F77">
        <w:rPr>
          <w:sz w:val="20"/>
          <w:szCs w:val="24"/>
        </w:rPr>
        <w:t xml:space="preserve">States and Territories acknowledge that a quality early childhood education and care experience can be achieved in different ways and through different service settings. The Early Childhood Review will examine the effectiveness of quality early childhood interventions generally, noting that these interventions can be delivered across a range of different education and care settings in the years before school, within the context of the national laws and quality standards and Early Years Learning Framework. </w:t>
      </w:r>
    </w:p>
    <w:p w:rsidR="00084096" w:rsidRPr="005A0F77" w:rsidRDefault="00084096" w:rsidP="00084096">
      <w:pPr>
        <w:spacing w:after="0"/>
        <w:rPr>
          <w:sz w:val="20"/>
          <w:szCs w:val="24"/>
        </w:rPr>
      </w:pPr>
      <w:r w:rsidRPr="005A0F77">
        <w:rPr>
          <w:sz w:val="20"/>
          <w:szCs w:val="24"/>
        </w:rPr>
        <w:t>The Early Childhood Review will report to the commissioning jurisdictions and be made available to all COAG members.</w:t>
      </w:r>
      <w:r>
        <w:rPr>
          <w:sz w:val="20"/>
          <w:szCs w:val="24"/>
        </w:rPr>
        <w:t xml:space="preserve"> </w:t>
      </w:r>
      <w:r w:rsidRPr="005A0F77">
        <w:rPr>
          <w:sz w:val="20"/>
          <w:szCs w:val="24"/>
        </w:rPr>
        <w:t>It will examine evidence and make recommendations on the most effective interventions to be deployed in early childhood.</w:t>
      </w:r>
      <w:r>
        <w:rPr>
          <w:sz w:val="20"/>
          <w:szCs w:val="24"/>
        </w:rPr>
        <w:t xml:space="preserve"> </w:t>
      </w:r>
      <w:r w:rsidRPr="005A0F77">
        <w:rPr>
          <w:sz w:val="20"/>
          <w:szCs w:val="24"/>
        </w:rPr>
        <w:t>In particular, the Early Childhood Review will focus on the effective and efficient use of funding to:</w:t>
      </w:r>
    </w:p>
    <w:p w:rsidR="00084096" w:rsidRPr="005A0F77" w:rsidRDefault="00084096" w:rsidP="00084096">
      <w:pPr>
        <w:pStyle w:val="ListParagraph"/>
        <w:numPr>
          <w:ilvl w:val="0"/>
          <w:numId w:val="2"/>
        </w:numPr>
        <w:spacing w:after="120"/>
        <w:rPr>
          <w:sz w:val="20"/>
          <w:szCs w:val="24"/>
        </w:rPr>
      </w:pPr>
      <w:r w:rsidRPr="005A0F77">
        <w:rPr>
          <w:sz w:val="20"/>
          <w:szCs w:val="24"/>
        </w:rPr>
        <w:t xml:space="preserve">Improve children’s school readiness, with a particular focus on disadvantaged and vulnerable children </w:t>
      </w:r>
    </w:p>
    <w:p w:rsidR="00084096" w:rsidRPr="005A0F77" w:rsidRDefault="00084096" w:rsidP="00084096">
      <w:pPr>
        <w:pStyle w:val="ListParagraph"/>
        <w:numPr>
          <w:ilvl w:val="0"/>
          <w:numId w:val="2"/>
        </w:numPr>
        <w:spacing w:after="120"/>
        <w:rPr>
          <w:sz w:val="20"/>
          <w:szCs w:val="24"/>
        </w:rPr>
      </w:pPr>
      <w:r w:rsidRPr="005A0F77">
        <w:rPr>
          <w:sz w:val="20"/>
          <w:szCs w:val="24"/>
        </w:rPr>
        <w:t>Improve learning and development outcomes across all cohorts of students and Australia’s national performance, as measured by national and international assessments of student achievement</w:t>
      </w:r>
    </w:p>
    <w:p w:rsidR="00084096" w:rsidRPr="005A0F77" w:rsidRDefault="00084096" w:rsidP="00084096">
      <w:pPr>
        <w:pStyle w:val="ListParagraph"/>
        <w:numPr>
          <w:ilvl w:val="0"/>
          <w:numId w:val="2"/>
        </w:numPr>
        <w:spacing w:after="120"/>
        <w:rPr>
          <w:sz w:val="20"/>
          <w:szCs w:val="24"/>
        </w:rPr>
      </w:pPr>
      <w:r w:rsidRPr="005A0F77">
        <w:rPr>
          <w:sz w:val="20"/>
          <w:szCs w:val="24"/>
        </w:rPr>
        <w:t>Improve the preparedness of school leavers to succeed in employment, further training or higher education.</w:t>
      </w:r>
    </w:p>
    <w:p w:rsidR="00084096" w:rsidRPr="005A0F77" w:rsidRDefault="00084096" w:rsidP="00084096">
      <w:pPr>
        <w:spacing w:after="0"/>
        <w:rPr>
          <w:sz w:val="20"/>
          <w:szCs w:val="24"/>
        </w:rPr>
      </w:pPr>
      <w:r w:rsidRPr="005A0F77">
        <w:rPr>
          <w:sz w:val="20"/>
          <w:szCs w:val="24"/>
        </w:rPr>
        <w:t>To support these recommendations, the Review will also:</w:t>
      </w:r>
    </w:p>
    <w:p w:rsidR="00084096" w:rsidRPr="005A0F77" w:rsidRDefault="00084096" w:rsidP="00084096">
      <w:pPr>
        <w:pStyle w:val="ListParagraph"/>
        <w:numPr>
          <w:ilvl w:val="0"/>
          <w:numId w:val="3"/>
        </w:numPr>
        <w:spacing w:after="120"/>
        <w:rPr>
          <w:sz w:val="20"/>
          <w:szCs w:val="24"/>
        </w:rPr>
      </w:pPr>
      <w:r w:rsidRPr="00093BBA">
        <w:rPr>
          <w:sz w:val="20"/>
          <w:szCs w:val="24"/>
        </w:rPr>
        <w:t>Examine the return on investment in early childhood education, including in improving school performance and student achievement, national economic productivity and general educational and life outcomes</w:t>
      </w:r>
      <w:r w:rsidRPr="005A0F77">
        <w:rPr>
          <w:sz w:val="20"/>
          <w:szCs w:val="24"/>
        </w:rPr>
        <w:t xml:space="preserve">. </w:t>
      </w:r>
    </w:p>
    <w:p w:rsidR="00084096" w:rsidRPr="005A0F77" w:rsidRDefault="00084096" w:rsidP="00084096">
      <w:pPr>
        <w:pStyle w:val="ListParagraph"/>
        <w:numPr>
          <w:ilvl w:val="0"/>
          <w:numId w:val="3"/>
        </w:numPr>
        <w:spacing w:after="120"/>
        <w:rPr>
          <w:sz w:val="20"/>
          <w:szCs w:val="24"/>
        </w:rPr>
      </w:pPr>
      <w:r w:rsidRPr="005A0F77">
        <w:rPr>
          <w:sz w:val="20"/>
          <w:szCs w:val="24"/>
        </w:rPr>
        <w:t>Propose related transparency and accountability measures that support the effective monitoring, reporting and application of investment.</w:t>
      </w:r>
    </w:p>
    <w:p w:rsidR="00084096" w:rsidRPr="005A0F77" w:rsidRDefault="00084096" w:rsidP="00084096">
      <w:pPr>
        <w:spacing w:after="120"/>
        <w:rPr>
          <w:sz w:val="20"/>
          <w:szCs w:val="24"/>
        </w:rPr>
      </w:pPr>
      <w:r w:rsidRPr="005A0F77">
        <w:rPr>
          <w:sz w:val="20"/>
          <w:szCs w:val="24"/>
        </w:rPr>
        <w:t>The Review Panel will draw on education experts, academics and practitioners with experience in education systems and teaching and learning methodologies, both internationally and within Australia, as well as states and territories and representatives of providers of early childhood services.</w:t>
      </w:r>
    </w:p>
    <w:p w:rsidR="00084096" w:rsidRPr="005A0F77" w:rsidRDefault="00084096" w:rsidP="00084096">
      <w:pPr>
        <w:spacing w:after="120"/>
        <w:rPr>
          <w:sz w:val="20"/>
          <w:szCs w:val="24"/>
        </w:rPr>
      </w:pPr>
      <w:r w:rsidRPr="005A0F77">
        <w:rPr>
          <w:sz w:val="20"/>
          <w:szCs w:val="24"/>
        </w:rPr>
        <w:t>The Early Childhood Review will provide its final report to commissioning jurisdictions no later than 27 October 2017, ahead of COAG discussions about early childhood reform and the progress of school funding reforms at the second COAG meeting in 2017.</w:t>
      </w:r>
      <w:r w:rsidRPr="00F367DC">
        <w:rPr>
          <w:rStyle w:val="FootnoteReference"/>
          <w:sz w:val="20"/>
          <w:szCs w:val="24"/>
        </w:rPr>
        <w:t xml:space="preserve"> </w:t>
      </w:r>
      <w:r w:rsidRPr="005A0F77">
        <w:rPr>
          <w:rStyle w:val="FootnoteReference"/>
          <w:sz w:val="20"/>
          <w:szCs w:val="24"/>
        </w:rPr>
        <w:footnoteReference w:id="9"/>
      </w:r>
    </w:p>
    <w:p w:rsidR="00084096" w:rsidRDefault="00084096" w:rsidP="00084096">
      <w:pPr>
        <w:rPr>
          <w:b/>
        </w:rPr>
      </w:pPr>
    </w:p>
    <w:p w:rsidR="00084096" w:rsidRDefault="00084096" w:rsidP="00084096">
      <w:pPr>
        <w:rPr>
          <w:b/>
        </w:rPr>
      </w:pPr>
      <w:r>
        <w:rPr>
          <w:b/>
        </w:rPr>
        <w:br w:type="page"/>
      </w:r>
    </w:p>
    <w:p w:rsidR="00135330" w:rsidRPr="00DA6FD6" w:rsidRDefault="00206F7A" w:rsidP="00FE14F5">
      <w:pPr>
        <w:pStyle w:val="Heading1"/>
      </w:pPr>
      <w:bookmarkStart w:id="56" w:name="_Toc373586271"/>
      <w:bookmarkStart w:id="57" w:name="_Toc500850790"/>
      <w:r>
        <w:t>Endnotes</w:t>
      </w:r>
      <w:bookmarkEnd w:id="56"/>
      <w:bookmarkEnd w:id="57"/>
    </w:p>
    <w:sectPr w:rsidR="00135330" w:rsidRPr="00DA6FD6" w:rsidSect="003D452F">
      <w:headerReference w:type="default" r:id="rId28"/>
      <w:footerReference w:type="default" r:id="rId29"/>
      <w:footnotePr>
        <w:numFmt w:val="lowerRoman"/>
      </w:footnotePr>
      <w:endnotePr>
        <w:numFmt w:val="decimal"/>
      </w:endnotePr>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78" w:rsidRDefault="00A76D78" w:rsidP="001E5DF0">
      <w:pPr>
        <w:spacing w:after="0"/>
      </w:pPr>
      <w:r>
        <w:separator/>
      </w:r>
    </w:p>
  </w:endnote>
  <w:endnote w:type="continuationSeparator" w:id="0">
    <w:p w:rsidR="00A76D78" w:rsidRDefault="00A76D78" w:rsidP="001E5DF0">
      <w:pPr>
        <w:spacing w:after="0"/>
      </w:pPr>
      <w:r>
        <w:continuationSeparator/>
      </w:r>
    </w:p>
  </w:endnote>
  <w:endnote w:type="continuationNotice" w:id="1">
    <w:p w:rsidR="00A76D78" w:rsidRDefault="00A76D78">
      <w:pPr>
        <w:spacing w:after="0"/>
      </w:pPr>
    </w:p>
  </w:endnote>
  <w:endnote w:id="2">
    <w:p w:rsidR="00DD13F8" w:rsidRPr="00D51254" w:rsidRDefault="00DD13F8" w:rsidP="00EE0AC8">
      <w:pPr>
        <w:autoSpaceDE w:val="0"/>
        <w:autoSpaceDN w:val="0"/>
        <w:adjustRightInd w:val="0"/>
        <w:spacing w:after="0"/>
        <w:rPr>
          <w:color w:val="000000" w:themeColor="text1"/>
          <w:sz w:val="18"/>
          <w:szCs w:val="18"/>
        </w:rPr>
      </w:pPr>
      <w:r w:rsidRPr="001E5266">
        <w:rPr>
          <w:rStyle w:val="EndnoteReference"/>
          <w:color w:val="000000" w:themeColor="text1"/>
          <w:sz w:val="18"/>
          <w:szCs w:val="18"/>
        </w:rPr>
        <w:endnoteRef/>
      </w:r>
      <w:r w:rsidRPr="001E5266">
        <w:rPr>
          <w:color w:val="000000" w:themeColor="text1"/>
          <w:sz w:val="18"/>
          <w:szCs w:val="18"/>
        </w:rPr>
        <w:t xml:space="preserve"> </w:t>
      </w:r>
      <w:r w:rsidRPr="00D51254">
        <w:rPr>
          <w:color w:val="000000" w:themeColor="text1"/>
          <w:sz w:val="18"/>
          <w:szCs w:val="18"/>
        </w:rPr>
        <w:t xml:space="preserve">Early Learning: Everyone Benefits. (2017). </w:t>
      </w:r>
      <w:r w:rsidRPr="00D51254">
        <w:rPr>
          <w:i/>
          <w:color w:val="000000" w:themeColor="text1"/>
          <w:sz w:val="18"/>
          <w:szCs w:val="18"/>
        </w:rPr>
        <w:t xml:space="preserve">State of early learning in Australia 2017. </w:t>
      </w:r>
      <w:r w:rsidRPr="00D51254">
        <w:rPr>
          <w:color w:val="000000" w:themeColor="text1"/>
          <w:sz w:val="18"/>
          <w:szCs w:val="18"/>
        </w:rPr>
        <w:t xml:space="preserve">Canberra, ACT: Early Childhood Australia. Available at: </w:t>
      </w:r>
      <w:hyperlink r:id="rId1" w:history="1">
        <w:r w:rsidRPr="00D51254">
          <w:rPr>
            <w:rStyle w:val="Hyperlink"/>
            <w:color w:val="000000" w:themeColor="text1"/>
            <w:sz w:val="18"/>
            <w:szCs w:val="18"/>
          </w:rPr>
          <w:t>https://d3n8a8pro7vhmx.cloudfront.net/everyonebenefits/pages/73/attachments/original/1504689599/ELEB-Report-web.pdf?1504689599</w:t>
        </w:r>
      </w:hyperlink>
    </w:p>
  </w:endnote>
  <w:endnote w:id="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Harrison, L. J., </w:t>
      </w:r>
      <w:proofErr w:type="spellStart"/>
      <w:r w:rsidRPr="00D51254">
        <w:rPr>
          <w:color w:val="000000" w:themeColor="text1"/>
          <w:sz w:val="18"/>
          <w:szCs w:val="18"/>
        </w:rPr>
        <w:t>Goldfeld</w:t>
      </w:r>
      <w:proofErr w:type="spellEnd"/>
      <w:r w:rsidRPr="00D51254">
        <w:rPr>
          <w:color w:val="000000" w:themeColor="text1"/>
          <w:sz w:val="18"/>
          <w:szCs w:val="18"/>
        </w:rPr>
        <w:t>, S., Metcalfe, E., &amp; Moore, T. (2012).</w:t>
      </w:r>
      <w:r w:rsidRPr="00D51254">
        <w:rPr>
          <w:i/>
          <w:color w:val="000000" w:themeColor="text1"/>
          <w:sz w:val="18"/>
          <w:szCs w:val="18"/>
        </w:rPr>
        <w:t xml:space="preserve"> Early learning programs that promote children’s developmental and educational outcomes (Resource sheet no. 15). </w:t>
      </w:r>
      <w:r w:rsidRPr="00D51254">
        <w:rPr>
          <w:color w:val="000000" w:themeColor="text1"/>
          <w:sz w:val="18"/>
          <w:szCs w:val="18"/>
        </w:rPr>
        <w:t xml:space="preserve">Produced for the Closing the Gap Clearinghouse. Canberra, ACT: Australian Institute of Health and Welfare &amp; Melbourne: Australian Institute of Family Studies. Retrieved from </w:t>
      </w:r>
      <w:hyperlink r:id="rId2" w:history="1">
        <w:r w:rsidRPr="00D51254">
          <w:rPr>
            <w:rStyle w:val="Hyperlink"/>
            <w:color w:val="000000" w:themeColor="text1"/>
            <w:sz w:val="18"/>
            <w:szCs w:val="18"/>
          </w:rPr>
          <w:t>https://researchoutput.csu.edu.au/ws/portalfiles/portal/9387429</w:t>
        </w:r>
      </w:hyperlink>
      <w:r w:rsidRPr="00D51254">
        <w:rPr>
          <w:color w:val="000000" w:themeColor="text1"/>
          <w:sz w:val="18"/>
          <w:szCs w:val="18"/>
        </w:rPr>
        <w:t xml:space="preserve"> </w:t>
      </w:r>
    </w:p>
  </w:endnote>
  <w:endnote w:id="4">
    <w:p w:rsidR="00DD13F8" w:rsidRPr="00D51254" w:rsidRDefault="00DD13F8" w:rsidP="00EE0AC8">
      <w:pPr>
        <w:pStyle w:val="EndnoteText"/>
        <w:rPr>
          <w:rStyle w:val="Hyperlink"/>
          <w:rFonts w:cs="Arial"/>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Early Childhood Australia. (2013). </w:t>
      </w:r>
      <w:r w:rsidRPr="00D51254">
        <w:rPr>
          <w:i/>
          <w:color w:val="000000" w:themeColor="text1"/>
          <w:sz w:val="18"/>
          <w:szCs w:val="18"/>
        </w:rPr>
        <w:t>Play-based approaches to literacy and numeracy: National Quality Standard Professional Learning Program</w:t>
      </w:r>
      <w:r w:rsidRPr="00D51254">
        <w:rPr>
          <w:rFonts w:cs="Arial"/>
          <w:i/>
          <w:color w:val="000000" w:themeColor="text1"/>
          <w:sz w:val="18"/>
          <w:szCs w:val="18"/>
        </w:rPr>
        <w:t xml:space="preserve"> (NQS PLP) E- Newsletter No. 66.</w:t>
      </w:r>
      <w:r w:rsidRPr="00D51254">
        <w:rPr>
          <w:rFonts w:cs="Arial"/>
          <w:color w:val="000000" w:themeColor="text1"/>
          <w:sz w:val="18"/>
          <w:szCs w:val="18"/>
        </w:rPr>
        <w:t xml:space="preserve"> Retrieved from</w:t>
      </w:r>
      <w:r w:rsidRPr="00D51254">
        <w:rPr>
          <w:rFonts w:cs="Arial"/>
          <w:strike/>
          <w:color w:val="000000" w:themeColor="text1"/>
          <w:sz w:val="18"/>
          <w:szCs w:val="18"/>
        </w:rPr>
        <w:t xml:space="preserve"> </w:t>
      </w:r>
      <w:hyperlink r:id="rId3" w:history="1">
        <w:r w:rsidRPr="00D51254">
          <w:rPr>
            <w:rStyle w:val="Hyperlink"/>
            <w:rFonts w:cs="Arial"/>
            <w:color w:val="000000" w:themeColor="text1"/>
            <w:sz w:val="18"/>
            <w:szCs w:val="18"/>
          </w:rPr>
          <w:t>http://www.earlychildhoodaustralia.org.au/nqsplp/wp-content/uploads/2013/11/NQS_PLP_E-Newsletter_No66.pdf</w:t>
        </w:r>
      </w:hyperlink>
      <w:r w:rsidRPr="00D51254">
        <w:rPr>
          <w:rStyle w:val="Hyperlink"/>
          <w:rFonts w:cs="Arial"/>
          <w:color w:val="000000" w:themeColor="text1"/>
          <w:sz w:val="18"/>
          <w:szCs w:val="18"/>
        </w:rPr>
        <w:t xml:space="preserve"> </w:t>
      </w:r>
    </w:p>
    <w:p w:rsidR="00DD13F8" w:rsidRPr="00D51254" w:rsidRDefault="00DD13F8" w:rsidP="00EE0AC8">
      <w:pPr>
        <w:pStyle w:val="EndnoteText"/>
        <w:rPr>
          <w:color w:val="000000" w:themeColor="text1"/>
          <w:sz w:val="18"/>
          <w:szCs w:val="18"/>
        </w:rPr>
      </w:pPr>
      <w:r w:rsidRPr="00D51254">
        <w:rPr>
          <w:color w:val="000000" w:themeColor="text1"/>
          <w:sz w:val="18"/>
          <w:szCs w:val="18"/>
        </w:rPr>
        <w:t xml:space="preserve">Jones, L. (2016). </w:t>
      </w:r>
      <w:r w:rsidRPr="00D51254">
        <w:rPr>
          <w:i/>
          <w:color w:val="000000" w:themeColor="text1"/>
          <w:sz w:val="18"/>
          <w:szCs w:val="18"/>
        </w:rPr>
        <w:t>What is play-based learning?</w:t>
      </w:r>
      <w:r w:rsidRPr="00D51254">
        <w:rPr>
          <w:color w:val="000000" w:themeColor="text1"/>
          <w:sz w:val="18"/>
          <w:szCs w:val="18"/>
        </w:rPr>
        <w:t xml:space="preserve"> Retrieved on 30 October 2017 from </w:t>
      </w:r>
      <w:hyperlink r:id="rId4" w:history="1">
        <w:r w:rsidRPr="00D51254">
          <w:rPr>
            <w:rStyle w:val="Hyperlink"/>
            <w:color w:val="000000" w:themeColor="text1"/>
            <w:sz w:val="18"/>
            <w:szCs w:val="18"/>
          </w:rPr>
          <w:t>https://www.goodstart.org.au/news-and-advice/october-2016/what-is%C2%A0play-based-learning</w:t>
        </w:r>
      </w:hyperlink>
    </w:p>
  </w:endnote>
  <w:endnote w:id="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Organisation for Economic Co-operation and Development (OECD).</w:t>
      </w:r>
      <w:r w:rsidRPr="00D51254">
        <w:rPr>
          <w:color w:val="000000" w:themeColor="text1"/>
          <w:sz w:val="18"/>
          <w:szCs w:val="18"/>
        </w:rPr>
        <w:t xml:space="preserve"> </w:t>
      </w:r>
      <w:r w:rsidRPr="00D51254">
        <w:rPr>
          <w:rFonts w:cs="Arial"/>
          <w:color w:val="000000" w:themeColor="text1"/>
          <w:sz w:val="18"/>
          <w:szCs w:val="18"/>
        </w:rPr>
        <w:t xml:space="preserve">(2015). </w:t>
      </w:r>
      <w:r w:rsidRPr="00D51254">
        <w:rPr>
          <w:rFonts w:cs="Arial"/>
          <w:i/>
          <w:color w:val="000000" w:themeColor="text1"/>
          <w:sz w:val="18"/>
          <w:szCs w:val="18"/>
        </w:rPr>
        <w:t>Early learning and development: Common understandings.</w:t>
      </w:r>
      <w:r w:rsidRPr="00D51254">
        <w:rPr>
          <w:rFonts w:cs="Arial"/>
          <w:color w:val="000000" w:themeColor="text1"/>
          <w:sz w:val="18"/>
          <w:szCs w:val="18"/>
        </w:rPr>
        <w:t xml:space="preserve"> Network on Early Childhood Education and Care. Retrieved from </w:t>
      </w:r>
      <w:hyperlink r:id="rId5" w:history="1">
        <w:r w:rsidRPr="00D51254">
          <w:rPr>
            <w:rStyle w:val="Hyperlink"/>
            <w:rFonts w:cs="Arial"/>
            <w:color w:val="000000" w:themeColor="text1"/>
            <w:sz w:val="18"/>
            <w:szCs w:val="18"/>
          </w:rPr>
          <w:t>http://www.oecd.org/edu/school/ECEC-Network-Common-Understandings-on-Early-Learning-and-Development.pdf</w:t>
        </w:r>
      </w:hyperlink>
    </w:p>
  </w:endnote>
  <w:endnote w:id="6">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rPr>
        <w:t xml:space="preserve">Government Department of Education, Employment and Workplace Relations. (2009). </w:t>
      </w:r>
      <w:r w:rsidRPr="00D51254">
        <w:rPr>
          <w:i/>
          <w:color w:val="000000" w:themeColor="text1"/>
          <w:sz w:val="18"/>
        </w:rPr>
        <w:t>Belonging, Being, Becoming: The Early Years Learning Framework</w:t>
      </w:r>
      <w:r w:rsidRPr="00D51254">
        <w:rPr>
          <w:i/>
          <w:color w:val="000000" w:themeColor="text1"/>
          <w:sz w:val="18"/>
          <w:vertAlign w:val="superscript"/>
        </w:rPr>
        <w:t xml:space="preserve"> </w:t>
      </w:r>
      <w:r w:rsidRPr="00D51254">
        <w:rPr>
          <w:i/>
          <w:color w:val="000000" w:themeColor="text1"/>
          <w:sz w:val="18"/>
        </w:rPr>
        <w:t xml:space="preserve">for Australia. </w:t>
      </w:r>
      <w:r w:rsidRPr="00D51254">
        <w:rPr>
          <w:color w:val="000000" w:themeColor="text1"/>
          <w:sz w:val="18"/>
        </w:rPr>
        <w:t>Canberra, ACT: Commonwealth of Australia.</w:t>
      </w:r>
      <w:r w:rsidRPr="00D51254">
        <w:rPr>
          <w:i/>
          <w:color w:val="000000" w:themeColor="text1"/>
          <w:sz w:val="18"/>
        </w:rPr>
        <w:t xml:space="preserve"> </w:t>
      </w:r>
      <w:r w:rsidRPr="00D51254">
        <w:rPr>
          <w:color w:val="000000" w:themeColor="text1"/>
          <w:sz w:val="18"/>
        </w:rPr>
        <w:t xml:space="preserve">Retrieved from </w:t>
      </w:r>
      <w:hyperlink r:id="rId6" w:history="1">
        <w:r w:rsidRPr="00D51254">
          <w:rPr>
            <w:rStyle w:val="Hyperlink"/>
            <w:color w:val="000000" w:themeColor="text1"/>
            <w:sz w:val="18"/>
          </w:rPr>
          <w:t>http://files.acecqa.gov.au/files/National-Quality-Framework-Resources-Kit/belonging_being_and_becoming_the_early_years_learning_framework_for_australia.pdf</w:t>
        </w:r>
      </w:hyperlink>
    </w:p>
  </w:endnote>
  <w:endnote w:id="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Winter, P. (2010). </w:t>
      </w:r>
      <w:r w:rsidRPr="00D51254">
        <w:rPr>
          <w:i/>
          <w:color w:val="000000" w:themeColor="text1"/>
          <w:sz w:val="18"/>
          <w:szCs w:val="18"/>
        </w:rPr>
        <w:t>Engaging families in the early childhood development story. Neuroscience and early childhood development: Summary of selected literature and key messages for parenting.</w:t>
      </w:r>
      <w:r w:rsidRPr="00D51254">
        <w:rPr>
          <w:color w:val="000000" w:themeColor="text1"/>
          <w:sz w:val="18"/>
          <w:szCs w:val="18"/>
        </w:rPr>
        <w:t xml:space="preserve"> A national project conducted on behalf of the Ministerial Council for Education, Early Childhood Development and Youth Affairs. Retrieved from </w:t>
      </w:r>
      <w:hyperlink r:id="rId7" w:history="1">
        <w:r w:rsidRPr="00D51254">
          <w:rPr>
            <w:rStyle w:val="Hyperlink"/>
            <w:color w:val="000000" w:themeColor="text1"/>
            <w:sz w:val="18"/>
            <w:szCs w:val="18"/>
          </w:rPr>
          <w:t>http://www.scseec.edu.au/site/DefaultSite/filesystem/documents/Reports%20and%20publications/Publications/Early%20childhood%20education/Engaging%20Families%20in%20the%20ECD%20Story-Neuroscience%20and%20ECD.pdf</w:t>
        </w:r>
      </w:hyperlink>
    </w:p>
  </w:endnote>
  <w:endnote w:id="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Employment and Workplace Relations. (2009). </w:t>
      </w:r>
      <w:r w:rsidRPr="00D51254">
        <w:rPr>
          <w:i/>
          <w:color w:val="000000" w:themeColor="text1"/>
          <w:sz w:val="18"/>
          <w:szCs w:val="18"/>
        </w:rPr>
        <w:t>Belonging, Being, Becoming: The Early Years Learning Framework</w:t>
      </w:r>
      <w:r w:rsidRPr="00D51254">
        <w:rPr>
          <w:rStyle w:val="EndnoteReference"/>
          <w:i/>
          <w:color w:val="000000" w:themeColor="text1"/>
          <w:sz w:val="18"/>
          <w:szCs w:val="18"/>
        </w:rPr>
        <w:t xml:space="preserve"> </w:t>
      </w:r>
      <w:r w:rsidRPr="00D51254">
        <w:rPr>
          <w:i/>
          <w:color w:val="000000" w:themeColor="text1"/>
          <w:sz w:val="18"/>
          <w:szCs w:val="18"/>
        </w:rPr>
        <w:t xml:space="preserve">for Australia. </w:t>
      </w:r>
    </w:p>
  </w:endnote>
  <w:endnote w:id="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Winter, P. (2010). </w:t>
      </w:r>
    </w:p>
  </w:endnote>
  <w:endnote w:id="10">
    <w:p w:rsidR="00DD13F8" w:rsidRPr="00D51254" w:rsidRDefault="00DD13F8" w:rsidP="00EE0AC8">
      <w:pPr>
        <w:pStyle w:val="CommentText"/>
        <w:spacing w:after="0"/>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Style w:val="EndnoteReference"/>
          <w:color w:val="000000" w:themeColor="text1"/>
          <w:sz w:val="18"/>
          <w:szCs w:val="18"/>
        </w:rPr>
        <w:t xml:space="preserve"> </w:t>
      </w:r>
      <w:r w:rsidRPr="00D51254">
        <w:rPr>
          <w:color w:val="000000" w:themeColor="text1"/>
          <w:sz w:val="18"/>
          <w:szCs w:val="18"/>
        </w:rPr>
        <w:t xml:space="preserve">Harrison, L. J., </w:t>
      </w:r>
      <w:proofErr w:type="spellStart"/>
      <w:r w:rsidRPr="00D51254">
        <w:rPr>
          <w:color w:val="000000" w:themeColor="text1"/>
          <w:sz w:val="18"/>
          <w:szCs w:val="18"/>
        </w:rPr>
        <w:t>Goldfeld</w:t>
      </w:r>
      <w:proofErr w:type="spellEnd"/>
      <w:r w:rsidRPr="00D51254">
        <w:rPr>
          <w:color w:val="000000" w:themeColor="text1"/>
          <w:sz w:val="18"/>
          <w:szCs w:val="18"/>
        </w:rPr>
        <w:t>, S., Metcalfe, E., &amp; Moore, T. (2012).</w:t>
      </w:r>
      <w:r w:rsidRPr="00D51254">
        <w:rPr>
          <w:i/>
          <w:color w:val="000000" w:themeColor="text1"/>
          <w:sz w:val="18"/>
          <w:szCs w:val="18"/>
        </w:rPr>
        <w:t xml:space="preserve"> </w:t>
      </w:r>
    </w:p>
    <w:p w:rsidR="00DD13F8" w:rsidRPr="00D51254" w:rsidRDefault="00DD13F8" w:rsidP="00EE0AC8">
      <w:pPr>
        <w:autoSpaceDE w:val="0"/>
        <w:autoSpaceDN w:val="0"/>
        <w:adjustRightInd w:val="0"/>
        <w:spacing w:after="0"/>
        <w:rPr>
          <w:rStyle w:val="Hyperlink"/>
          <w:rFonts w:cs="MyriadPro-Regular"/>
          <w:color w:val="000000" w:themeColor="text1"/>
          <w:sz w:val="18"/>
          <w:szCs w:val="18"/>
        </w:rPr>
      </w:pPr>
      <w:r w:rsidRPr="00D51254">
        <w:rPr>
          <w:rFonts w:cs="MyriadPro-Regular"/>
          <w:color w:val="000000" w:themeColor="text1"/>
          <w:sz w:val="18"/>
          <w:szCs w:val="18"/>
        </w:rPr>
        <w:t xml:space="preserve">Raver, C. C. &amp; </w:t>
      </w:r>
      <w:proofErr w:type="spellStart"/>
      <w:r w:rsidRPr="00D51254">
        <w:rPr>
          <w:rFonts w:cs="MyriadPro-Regular"/>
          <w:color w:val="000000" w:themeColor="text1"/>
          <w:sz w:val="18"/>
          <w:szCs w:val="18"/>
        </w:rPr>
        <w:t>Knitzer</w:t>
      </w:r>
      <w:proofErr w:type="spellEnd"/>
      <w:r w:rsidRPr="00D51254">
        <w:rPr>
          <w:rFonts w:cs="MyriadPro-Regular"/>
          <w:color w:val="000000" w:themeColor="text1"/>
          <w:sz w:val="18"/>
          <w:szCs w:val="18"/>
        </w:rPr>
        <w:t xml:space="preserve">, J. (2002). </w:t>
      </w:r>
      <w:r w:rsidRPr="00D51254">
        <w:rPr>
          <w:rFonts w:cs="MyriadPro-Regular"/>
          <w:i/>
          <w:color w:val="000000" w:themeColor="text1"/>
          <w:sz w:val="18"/>
          <w:szCs w:val="18"/>
        </w:rPr>
        <w:t>Ready to enter: what research tells policymakers about strategies to promote social and emotional school readiness among three- and four-year-old children. Promoting the Emotional Well-Being of Children and Families Policy Paper No. 3.</w:t>
      </w:r>
      <w:r w:rsidRPr="00D51254">
        <w:rPr>
          <w:rFonts w:cs="MyriadPro-Regular"/>
          <w:color w:val="000000" w:themeColor="text1"/>
          <w:sz w:val="18"/>
          <w:szCs w:val="18"/>
        </w:rPr>
        <w:t xml:space="preserve"> New York: National Center for Children in Poverty, Columbia University. Retrieved from </w:t>
      </w:r>
      <w:hyperlink r:id="rId8" w:history="1">
        <w:r w:rsidRPr="00D51254">
          <w:rPr>
            <w:rStyle w:val="Hyperlink"/>
            <w:rFonts w:cs="MyriadPro-Regular"/>
            <w:color w:val="000000" w:themeColor="text1"/>
            <w:sz w:val="18"/>
            <w:szCs w:val="18"/>
          </w:rPr>
          <w:t>http://www.nccp.org/publications/pdf/text_485.pdf</w:t>
        </w:r>
      </w:hyperlink>
      <w:r w:rsidRPr="00D51254">
        <w:rPr>
          <w:rStyle w:val="Hyperlink"/>
          <w:rFonts w:cs="MyriadPro-Regular"/>
          <w:color w:val="000000" w:themeColor="text1"/>
          <w:sz w:val="18"/>
          <w:szCs w:val="18"/>
          <w:u w:val="none"/>
        </w:rPr>
        <w:t xml:space="preserve"> and</w:t>
      </w:r>
    </w:p>
    <w:p w:rsidR="00DD13F8" w:rsidRPr="00D51254" w:rsidRDefault="00DD13F8" w:rsidP="00EE0AC8">
      <w:pPr>
        <w:autoSpaceDE w:val="0"/>
        <w:autoSpaceDN w:val="0"/>
        <w:adjustRightInd w:val="0"/>
        <w:spacing w:after="0"/>
        <w:rPr>
          <w:rStyle w:val="EndnoteReference"/>
          <w:color w:val="000000" w:themeColor="text1"/>
          <w:sz w:val="18"/>
          <w:szCs w:val="18"/>
        </w:rPr>
      </w:pPr>
      <w:r w:rsidRPr="00D51254">
        <w:rPr>
          <w:color w:val="000000" w:themeColor="text1"/>
          <w:sz w:val="18"/>
          <w:szCs w:val="18"/>
        </w:rPr>
        <w:t xml:space="preserve">Murray, E., &amp; Harrison L. J. (2011). </w:t>
      </w:r>
      <w:r w:rsidRPr="00D51254">
        <w:rPr>
          <w:i/>
          <w:color w:val="000000" w:themeColor="text1"/>
          <w:sz w:val="18"/>
          <w:szCs w:val="18"/>
        </w:rPr>
        <w:t>The influence of being ready to learn on children’s early school literacy and numeracy achievement</w:t>
      </w:r>
      <w:r w:rsidRPr="00D51254">
        <w:rPr>
          <w:color w:val="000000" w:themeColor="text1"/>
          <w:sz w:val="18"/>
          <w:szCs w:val="18"/>
        </w:rPr>
        <w:t>. Educational Psychology 31(5), 529–545.</w:t>
      </w:r>
    </w:p>
  </w:endnote>
  <w:endnote w:id="11">
    <w:p w:rsidR="00DD13F8" w:rsidRPr="00D51254" w:rsidRDefault="00DD13F8" w:rsidP="00EE0AC8">
      <w:pPr>
        <w:autoSpaceDE w:val="0"/>
        <w:autoSpaceDN w:val="0"/>
        <w:adjustRightInd w:val="0"/>
        <w:spacing w:after="0"/>
        <w:rPr>
          <w:rStyle w:val="Hyperlink"/>
          <w:color w:val="000000" w:themeColor="text1"/>
          <w:sz w:val="18"/>
          <w:szCs w:val="18"/>
          <w:u w:val="none"/>
        </w:rPr>
      </w:pPr>
      <w:r w:rsidRPr="00D51254">
        <w:rPr>
          <w:rStyle w:val="EndnoteReference"/>
          <w:color w:val="000000" w:themeColor="text1"/>
          <w:sz w:val="18"/>
          <w:szCs w:val="18"/>
        </w:rPr>
        <w:endnoteRef/>
      </w:r>
      <w:r w:rsidRPr="00D51254">
        <w:rPr>
          <w:rStyle w:val="EndnoteReference"/>
          <w:color w:val="000000" w:themeColor="text1"/>
          <w:sz w:val="18"/>
          <w:szCs w:val="18"/>
        </w:rPr>
        <w:t xml:space="preserve"> </w:t>
      </w:r>
      <w:r w:rsidRPr="00D51254">
        <w:rPr>
          <w:color w:val="000000" w:themeColor="text1"/>
          <w:sz w:val="18"/>
          <w:szCs w:val="18"/>
        </w:rPr>
        <w:t xml:space="preserve">Bowes, J., Harrison L., </w:t>
      </w:r>
      <w:proofErr w:type="spellStart"/>
      <w:r w:rsidRPr="00D51254">
        <w:rPr>
          <w:color w:val="000000" w:themeColor="text1"/>
          <w:sz w:val="18"/>
          <w:szCs w:val="18"/>
        </w:rPr>
        <w:t>Sweller</w:t>
      </w:r>
      <w:proofErr w:type="spellEnd"/>
      <w:r w:rsidRPr="00D51254">
        <w:rPr>
          <w:color w:val="000000" w:themeColor="text1"/>
          <w:sz w:val="18"/>
          <w:szCs w:val="18"/>
        </w:rPr>
        <w:t xml:space="preserve">, N., Taylor, A., &amp; </w:t>
      </w:r>
      <w:proofErr w:type="spellStart"/>
      <w:r w:rsidRPr="00D51254">
        <w:rPr>
          <w:color w:val="000000" w:themeColor="text1"/>
          <w:sz w:val="18"/>
          <w:szCs w:val="18"/>
        </w:rPr>
        <w:t>Neilsen</w:t>
      </w:r>
      <w:proofErr w:type="spellEnd"/>
      <w:r w:rsidRPr="00D51254">
        <w:rPr>
          <w:color w:val="000000" w:themeColor="text1"/>
          <w:sz w:val="18"/>
          <w:szCs w:val="18"/>
        </w:rPr>
        <w:t xml:space="preserve">-Hewett, C. (2009). </w:t>
      </w:r>
      <w:r w:rsidRPr="00D51254">
        <w:rPr>
          <w:i/>
          <w:color w:val="000000" w:themeColor="text1"/>
          <w:sz w:val="18"/>
          <w:szCs w:val="18"/>
        </w:rPr>
        <w:t>From child care to school: Influences on children’s adjustment and achievement in the year before school and the first year of school. Findings from the Child Care Choices Longitudinal Extension Study.</w:t>
      </w:r>
      <w:r w:rsidRPr="00D51254">
        <w:rPr>
          <w:color w:val="000000" w:themeColor="text1"/>
          <w:sz w:val="18"/>
          <w:szCs w:val="18"/>
        </w:rPr>
        <w:t xml:space="preserve"> NSW Department of Community Services. Retrieved from </w:t>
      </w:r>
      <w:hyperlink r:id="rId9" w:history="1">
        <w:r w:rsidRPr="00D51254">
          <w:rPr>
            <w:rStyle w:val="Hyperlink"/>
            <w:color w:val="000000" w:themeColor="text1"/>
            <w:sz w:val="18"/>
            <w:szCs w:val="18"/>
          </w:rPr>
          <w:t>http://www.community.nsw.gov.au/__data/assets/pdf_file/0008/321596/research_childcare_school.pdf</w:t>
        </w:r>
      </w:hyperlink>
      <w:r w:rsidRPr="00D51254">
        <w:rPr>
          <w:rStyle w:val="Hyperlink"/>
          <w:color w:val="000000" w:themeColor="text1"/>
          <w:sz w:val="18"/>
          <w:szCs w:val="18"/>
          <w:u w:val="none"/>
        </w:rPr>
        <w:t xml:space="preserve"> and </w:t>
      </w:r>
    </w:p>
    <w:p w:rsidR="00DD13F8" w:rsidRPr="00D51254" w:rsidRDefault="00DD13F8" w:rsidP="00EE0AC8">
      <w:pPr>
        <w:autoSpaceDE w:val="0"/>
        <w:autoSpaceDN w:val="0"/>
        <w:adjustRightInd w:val="0"/>
        <w:spacing w:after="0"/>
        <w:rPr>
          <w:rStyle w:val="EndnoteReference"/>
          <w:color w:val="000000" w:themeColor="text1"/>
          <w:sz w:val="18"/>
          <w:szCs w:val="18"/>
          <w:vertAlign w:val="baseline"/>
        </w:rPr>
      </w:pPr>
      <w:proofErr w:type="spellStart"/>
      <w:r w:rsidRPr="00D51254">
        <w:rPr>
          <w:color w:val="000000" w:themeColor="text1"/>
          <w:sz w:val="18"/>
          <w:szCs w:val="18"/>
        </w:rPr>
        <w:t>Halfon</w:t>
      </w:r>
      <w:proofErr w:type="spellEnd"/>
      <w:r w:rsidRPr="00D51254">
        <w:rPr>
          <w:color w:val="000000" w:themeColor="text1"/>
          <w:sz w:val="18"/>
          <w:szCs w:val="18"/>
        </w:rPr>
        <w:t xml:space="preserve">, N., Shulman, E., &amp; Hochstein, M. (2001). Brain development in early childhood. In N. </w:t>
      </w:r>
      <w:proofErr w:type="spellStart"/>
      <w:r w:rsidRPr="00D51254">
        <w:rPr>
          <w:color w:val="000000" w:themeColor="text1"/>
          <w:sz w:val="18"/>
          <w:szCs w:val="18"/>
        </w:rPr>
        <w:t>Halfon</w:t>
      </w:r>
      <w:proofErr w:type="spellEnd"/>
      <w:r w:rsidRPr="00D51254">
        <w:rPr>
          <w:color w:val="000000" w:themeColor="text1"/>
          <w:sz w:val="18"/>
          <w:szCs w:val="18"/>
        </w:rPr>
        <w:t xml:space="preserve">, E. Shulman &amp; M. Hochstein (Eds.). </w:t>
      </w:r>
      <w:r w:rsidRPr="00D51254">
        <w:rPr>
          <w:i/>
          <w:color w:val="000000" w:themeColor="text1"/>
          <w:sz w:val="18"/>
          <w:szCs w:val="18"/>
        </w:rPr>
        <w:t>Building community systems for young children (</w:t>
      </w:r>
      <w:proofErr w:type="spellStart"/>
      <w:r w:rsidRPr="00D51254">
        <w:rPr>
          <w:color w:val="000000" w:themeColor="text1"/>
          <w:sz w:val="18"/>
          <w:szCs w:val="18"/>
        </w:rPr>
        <w:t>ppp</w:t>
      </w:r>
      <w:proofErr w:type="spellEnd"/>
      <w:r w:rsidRPr="00D51254">
        <w:rPr>
          <w:color w:val="000000" w:themeColor="text1"/>
          <w:sz w:val="18"/>
          <w:szCs w:val="18"/>
        </w:rPr>
        <w:t xml:space="preserve">. 1-28). Los Angeles, California: UCLA Center for Healthier Children, Families and Communities. Retrieved from </w:t>
      </w:r>
      <w:hyperlink r:id="rId10" w:history="1">
        <w:r w:rsidRPr="00D51254">
          <w:rPr>
            <w:rStyle w:val="Hyperlink"/>
            <w:color w:val="000000" w:themeColor="text1"/>
            <w:sz w:val="18"/>
            <w:szCs w:val="18"/>
          </w:rPr>
          <w:t>http://files.eric.ed.gov/fulltext/ED467320.pdf</w:t>
        </w:r>
      </w:hyperlink>
    </w:p>
  </w:endnote>
  <w:endnote w:id="1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 xml:space="preserve">Center on the Developing Child at Harvard University (2014). </w:t>
      </w:r>
      <w:r w:rsidRPr="00D51254">
        <w:rPr>
          <w:i/>
          <w:color w:val="000000" w:themeColor="text1"/>
          <w:sz w:val="18"/>
        </w:rPr>
        <w:t xml:space="preserve">A Decade of Science Informing Policy: The Story of the National Scientific Council on the Developing </w:t>
      </w:r>
      <w:r w:rsidRPr="00D51254">
        <w:rPr>
          <w:i/>
          <w:color w:val="000000" w:themeColor="text1"/>
          <w:sz w:val="18"/>
          <w:szCs w:val="18"/>
        </w:rPr>
        <w:t xml:space="preserve">Child. </w:t>
      </w:r>
      <w:r w:rsidRPr="00D51254">
        <w:rPr>
          <w:color w:val="000000" w:themeColor="text1"/>
          <w:sz w:val="18"/>
          <w:szCs w:val="18"/>
        </w:rPr>
        <w:t xml:space="preserve">Retrieved from: </w:t>
      </w:r>
      <w:hyperlink r:id="rId11" w:history="1">
        <w:r w:rsidRPr="00D51254">
          <w:rPr>
            <w:rStyle w:val="Hyperlink"/>
            <w:color w:val="000000" w:themeColor="text1"/>
            <w:sz w:val="18"/>
            <w:szCs w:val="18"/>
          </w:rPr>
          <w:t>http://developingchild.harvard.edu/wp-content/uploads/2015/09/A-Decade-of-Science-Informing-Policy.pdf</w:t>
        </w:r>
      </w:hyperlink>
    </w:p>
  </w:endnote>
  <w:endnote w:id="13">
    <w:p w:rsidR="00DD13F8" w:rsidRPr="00D51254" w:rsidRDefault="00DD13F8" w:rsidP="00EE0AC8">
      <w:pPr>
        <w:pStyle w:val="EndnoteText"/>
        <w:tabs>
          <w:tab w:val="left" w:pos="6515"/>
          <w:tab w:val="left" w:pos="6896"/>
        </w:tabs>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Commonwealth</w:t>
      </w:r>
      <w:r w:rsidRPr="00D51254">
        <w:rPr>
          <w:rFonts w:cs="Calibri"/>
          <w:color w:val="000000" w:themeColor="text1"/>
          <w:sz w:val="18"/>
          <w:szCs w:val="18"/>
        </w:rPr>
        <w:t xml:space="preserve"> Government. (2017, April 28). Your child and neuroscience: Learning potential. Retrieved from </w:t>
      </w:r>
      <w:hyperlink r:id="rId12" w:history="1">
        <w:r w:rsidRPr="00D51254">
          <w:rPr>
            <w:rStyle w:val="Hyperlink"/>
            <w:rFonts w:cs="Calibri"/>
            <w:color w:val="000000" w:themeColor="text1"/>
            <w:sz w:val="18"/>
            <w:szCs w:val="18"/>
          </w:rPr>
          <w:t>https://www.learningpotential.gov.au/your-child-and-neuroscience-2</w:t>
        </w:r>
      </w:hyperlink>
    </w:p>
  </w:endnote>
  <w:endnote w:id="1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Moore, T.G., </w:t>
      </w:r>
      <w:proofErr w:type="spellStart"/>
      <w:r w:rsidRPr="00D51254">
        <w:rPr>
          <w:color w:val="000000" w:themeColor="text1"/>
          <w:sz w:val="18"/>
          <w:szCs w:val="18"/>
        </w:rPr>
        <w:t>Arefadib</w:t>
      </w:r>
      <w:proofErr w:type="spellEnd"/>
      <w:r w:rsidRPr="00D51254">
        <w:rPr>
          <w:color w:val="000000" w:themeColor="text1"/>
          <w:sz w:val="18"/>
          <w:szCs w:val="18"/>
        </w:rPr>
        <w:t xml:space="preserve">, N., </w:t>
      </w:r>
      <w:proofErr w:type="spellStart"/>
      <w:r w:rsidRPr="00D51254">
        <w:rPr>
          <w:color w:val="000000" w:themeColor="text1"/>
          <w:sz w:val="18"/>
          <w:szCs w:val="18"/>
        </w:rPr>
        <w:t>Deery</w:t>
      </w:r>
      <w:proofErr w:type="spellEnd"/>
      <w:r w:rsidRPr="00D51254">
        <w:rPr>
          <w:color w:val="000000" w:themeColor="text1"/>
          <w:sz w:val="18"/>
          <w:szCs w:val="18"/>
        </w:rPr>
        <w:t xml:space="preserve">, A., Keyes, M., &amp; West, S. (2017). </w:t>
      </w:r>
      <w:r w:rsidRPr="00D51254">
        <w:rPr>
          <w:i/>
          <w:color w:val="000000" w:themeColor="text1"/>
          <w:sz w:val="18"/>
          <w:szCs w:val="18"/>
        </w:rPr>
        <w:t>The first thousand days: An evidence paper – summary.</w:t>
      </w:r>
      <w:r w:rsidRPr="00D51254">
        <w:rPr>
          <w:color w:val="000000" w:themeColor="text1"/>
          <w:sz w:val="18"/>
          <w:szCs w:val="18"/>
        </w:rPr>
        <w:t xml:space="preserve"> Parkville, Victoria: Centre for Community Child Health, Murdoch Children’s Research Institute. Retrieved from </w:t>
      </w:r>
      <w:hyperlink r:id="rId13" w:history="1">
        <w:r w:rsidRPr="00D51254">
          <w:rPr>
            <w:rStyle w:val="Hyperlink"/>
            <w:color w:val="000000" w:themeColor="text1"/>
            <w:sz w:val="18"/>
            <w:szCs w:val="18"/>
          </w:rPr>
          <w:t>http://apo.org.au/system/files/108431/apo-nid108431-436656.pdf</w:t>
        </w:r>
      </w:hyperlink>
    </w:p>
  </w:endnote>
  <w:endnote w:id="15">
    <w:p w:rsidR="00DD13F8" w:rsidRPr="00D51254" w:rsidRDefault="00DD13F8" w:rsidP="00EE0AC8">
      <w:pPr>
        <w:pStyle w:val="CommentText"/>
        <w:spacing w:after="0"/>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Britto</w:t>
      </w:r>
      <w:proofErr w:type="spellEnd"/>
      <w:r w:rsidRPr="00D51254">
        <w:rPr>
          <w:color w:val="000000" w:themeColor="text1"/>
          <w:sz w:val="18"/>
          <w:szCs w:val="18"/>
        </w:rPr>
        <w:t xml:space="preserve">, P. R. (2017). </w:t>
      </w:r>
      <w:r w:rsidRPr="00D51254">
        <w:rPr>
          <w:i/>
          <w:color w:val="000000" w:themeColor="text1"/>
          <w:sz w:val="18"/>
          <w:szCs w:val="18"/>
        </w:rPr>
        <w:t>Early moments matter for every child.</w:t>
      </w:r>
      <w:r w:rsidRPr="00D51254">
        <w:rPr>
          <w:color w:val="000000" w:themeColor="text1"/>
          <w:sz w:val="18"/>
          <w:szCs w:val="18"/>
        </w:rPr>
        <w:t xml:space="preserve"> New York, NY: United Nations Children’s Fund (UNICEF). Retrieved from </w:t>
      </w:r>
      <w:hyperlink r:id="rId14" w:history="1">
        <w:r w:rsidRPr="00D51254">
          <w:rPr>
            <w:rStyle w:val="Hyperlink"/>
            <w:color w:val="000000" w:themeColor="text1"/>
            <w:sz w:val="18"/>
            <w:szCs w:val="18"/>
          </w:rPr>
          <w:t>https://www.unicef.org/publications/files/UNICEF_Early_Moments_Matter_for_Every_Child.pdf</w:t>
        </w:r>
      </w:hyperlink>
    </w:p>
  </w:endnote>
  <w:endnote w:id="1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Winter, P. (2010). </w:t>
      </w:r>
    </w:p>
  </w:endnote>
  <w:endnote w:id="17">
    <w:p w:rsidR="00DD13F8" w:rsidRPr="00D51254" w:rsidRDefault="00DD13F8" w:rsidP="00FD6932">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Centre on the Developing Child at Harvard University. (2011). </w:t>
      </w:r>
      <w:r w:rsidRPr="00D51254">
        <w:rPr>
          <w:i/>
          <w:color w:val="000000" w:themeColor="text1"/>
          <w:sz w:val="18"/>
          <w:szCs w:val="18"/>
        </w:rPr>
        <w:t>Building the brain’s “Air Traffic Control” System: How early experiences shape the development of Executive Function:</w:t>
      </w:r>
      <w:r w:rsidRPr="00D51254">
        <w:rPr>
          <w:color w:val="000000" w:themeColor="text1"/>
          <w:sz w:val="18"/>
          <w:szCs w:val="18"/>
        </w:rPr>
        <w:t xml:space="preserve"> Working Paper No. 11</w:t>
      </w:r>
      <w:r w:rsidRPr="00D51254">
        <w:rPr>
          <w:i/>
          <w:color w:val="000000" w:themeColor="text1"/>
          <w:sz w:val="18"/>
          <w:szCs w:val="18"/>
        </w:rPr>
        <w:t>.</w:t>
      </w:r>
      <w:r w:rsidRPr="00D51254">
        <w:rPr>
          <w:color w:val="000000" w:themeColor="text1"/>
          <w:sz w:val="18"/>
          <w:szCs w:val="18"/>
        </w:rPr>
        <w:t xml:space="preserve"> Retrieved from </w:t>
      </w:r>
      <w:hyperlink r:id="rId15" w:history="1">
        <w:r w:rsidRPr="00D51254">
          <w:rPr>
            <w:rStyle w:val="Hyperlink"/>
            <w:color w:val="000000" w:themeColor="text1"/>
            <w:sz w:val="18"/>
            <w:szCs w:val="18"/>
          </w:rPr>
          <w:t>http://developingchild.harvard.edu/wp-content/uploads/2011/05/How-Early-Experiences-Shape-the-Development-of-Executive-Function.pdf</w:t>
        </w:r>
      </w:hyperlink>
      <w:r w:rsidRPr="00D51254">
        <w:rPr>
          <w:color w:val="000000" w:themeColor="text1"/>
          <w:sz w:val="18"/>
          <w:szCs w:val="18"/>
        </w:rPr>
        <w:t xml:space="preserve"> and </w:t>
      </w:r>
    </w:p>
    <w:p w:rsidR="00DD13F8" w:rsidRPr="00D51254" w:rsidRDefault="00DD13F8" w:rsidP="00FD6932">
      <w:pPr>
        <w:pStyle w:val="EndnoteText"/>
        <w:rPr>
          <w:color w:val="000000" w:themeColor="text1"/>
        </w:rPr>
      </w:pPr>
      <w:r w:rsidRPr="00D51254">
        <w:rPr>
          <w:color w:val="000000" w:themeColor="text1"/>
          <w:sz w:val="18"/>
          <w:szCs w:val="18"/>
        </w:rPr>
        <w:t xml:space="preserve">Center on the Developing Child at Harvard University. (2012). </w:t>
      </w:r>
      <w:r w:rsidRPr="00D51254">
        <w:rPr>
          <w:i/>
          <w:color w:val="000000" w:themeColor="text1"/>
          <w:sz w:val="18"/>
          <w:szCs w:val="18"/>
        </w:rPr>
        <w:t xml:space="preserve">Executive Function: Skills for Life and Learning </w:t>
      </w:r>
      <w:r w:rsidRPr="00D51254">
        <w:rPr>
          <w:color w:val="000000" w:themeColor="text1"/>
          <w:sz w:val="18"/>
          <w:szCs w:val="18"/>
        </w:rPr>
        <w:t xml:space="preserve">(in Brief). Retrieved from </w:t>
      </w:r>
      <w:hyperlink r:id="rId16" w:history="1">
        <w:r w:rsidRPr="00D51254">
          <w:rPr>
            <w:rStyle w:val="Hyperlink"/>
            <w:color w:val="000000" w:themeColor="text1"/>
            <w:sz w:val="18"/>
            <w:szCs w:val="18"/>
          </w:rPr>
          <w:t>https://46y5eh11fhgw3ve3ytpwxt9r-wpengine.netdna-ssl.com/wp-content/uploads/2015/05/InBrief-Executive-Function-Skills-for-Life-and-Learning-2.pdf</w:t>
        </w:r>
      </w:hyperlink>
    </w:p>
    <w:p w:rsidR="00DD13F8" w:rsidRPr="00D51254" w:rsidRDefault="00DD13F8" w:rsidP="00FD6932">
      <w:pPr>
        <w:pStyle w:val="EndnoteText"/>
        <w:rPr>
          <w:color w:val="000000" w:themeColor="text1"/>
          <w:sz w:val="18"/>
          <w:szCs w:val="18"/>
        </w:rPr>
      </w:pPr>
    </w:p>
  </w:endnote>
  <w:endnote w:id="1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The Foundation for Young Australians. (2017). </w:t>
      </w:r>
      <w:r w:rsidRPr="00D51254">
        <w:rPr>
          <w:i/>
          <w:color w:val="000000" w:themeColor="text1"/>
          <w:sz w:val="18"/>
          <w:szCs w:val="18"/>
        </w:rPr>
        <w:t>The New Work Smarts: Thriving in the New Work order.</w:t>
      </w:r>
      <w:r w:rsidRPr="00D51254">
        <w:rPr>
          <w:color w:val="000000" w:themeColor="text1"/>
          <w:sz w:val="18"/>
          <w:szCs w:val="18"/>
        </w:rPr>
        <w:t xml:space="preserve"> FYA’s New Work Order report series</w:t>
      </w:r>
      <w:r w:rsidRPr="00D51254">
        <w:rPr>
          <w:i/>
          <w:color w:val="000000" w:themeColor="text1"/>
          <w:sz w:val="18"/>
          <w:szCs w:val="18"/>
        </w:rPr>
        <w:t>.</w:t>
      </w:r>
      <w:r w:rsidRPr="00D51254">
        <w:rPr>
          <w:color w:val="000000" w:themeColor="text1"/>
          <w:sz w:val="18"/>
          <w:szCs w:val="18"/>
        </w:rPr>
        <w:t xml:space="preserve"> Sydney, Australia: The Foundation for Young Australians. Retrieved from </w:t>
      </w:r>
      <w:hyperlink r:id="rId17" w:history="1">
        <w:r w:rsidRPr="00D51254">
          <w:rPr>
            <w:rStyle w:val="Hyperlink"/>
            <w:color w:val="000000" w:themeColor="text1"/>
            <w:sz w:val="18"/>
            <w:szCs w:val="18"/>
          </w:rPr>
          <w:t>https://www.fya.org.au/wp-content/uploads/2017/07/FYA_TheNewWorkSmarts_July2017.pdf</w:t>
        </w:r>
      </w:hyperlink>
    </w:p>
  </w:endnote>
  <w:endnote w:id="1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The Foundation for Young Australians. (2017). </w:t>
      </w:r>
    </w:p>
  </w:endnote>
  <w:endnote w:id="2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Early Learning: Everyone Benefits. (2017). p.31. </w:t>
      </w:r>
    </w:p>
  </w:endnote>
  <w:endnote w:id="2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MyriadPro-Regular"/>
          <w:color w:val="000000" w:themeColor="text1"/>
          <w:sz w:val="18"/>
          <w:szCs w:val="18"/>
        </w:rPr>
        <w:t xml:space="preserve">Raver, C. C. &amp; </w:t>
      </w:r>
      <w:proofErr w:type="spellStart"/>
      <w:r w:rsidRPr="00D51254">
        <w:rPr>
          <w:rFonts w:cs="MyriadPro-Regular"/>
          <w:color w:val="000000" w:themeColor="text1"/>
          <w:sz w:val="18"/>
          <w:szCs w:val="18"/>
        </w:rPr>
        <w:t>Knitzer</w:t>
      </w:r>
      <w:proofErr w:type="spellEnd"/>
      <w:r w:rsidRPr="00D51254">
        <w:rPr>
          <w:rFonts w:cs="MyriadPro-Regular"/>
          <w:color w:val="000000" w:themeColor="text1"/>
          <w:sz w:val="18"/>
          <w:szCs w:val="18"/>
        </w:rPr>
        <w:t xml:space="preserve">, J. (2002) and </w:t>
      </w:r>
      <w:r w:rsidRPr="00D51254">
        <w:rPr>
          <w:color w:val="000000" w:themeColor="text1"/>
          <w:sz w:val="18"/>
          <w:szCs w:val="18"/>
        </w:rPr>
        <w:t>Winter, P. (2010).</w:t>
      </w:r>
    </w:p>
  </w:endnote>
  <w:endnote w:id="22">
    <w:p w:rsidR="00DD13F8" w:rsidRPr="00D51254" w:rsidRDefault="00DD13F8" w:rsidP="00EE0AC8">
      <w:pPr>
        <w:pStyle w:val="Default"/>
        <w:rPr>
          <w:rFonts w:asciiTheme="minorHAnsi" w:hAnsiTheme="minorHAnsi"/>
          <w:color w:val="000000" w:themeColor="text1"/>
          <w:sz w:val="18"/>
          <w:szCs w:val="18"/>
        </w:rPr>
      </w:pPr>
      <w:r w:rsidRPr="00D51254">
        <w:rPr>
          <w:rStyle w:val="EndnoteReference"/>
          <w:rFonts w:asciiTheme="minorHAnsi" w:hAnsiTheme="minorHAnsi"/>
          <w:color w:val="000000" w:themeColor="text1"/>
          <w:sz w:val="18"/>
          <w:szCs w:val="18"/>
        </w:rPr>
        <w:endnoteRef/>
      </w:r>
      <w:r w:rsidRPr="00D51254">
        <w:rPr>
          <w:rFonts w:asciiTheme="minorHAnsi" w:hAnsiTheme="minorHAnsi"/>
          <w:color w:val="000000" w:themeColor="text1"/>
          <w:sz w:val="18"/>
          <w:szCs w:val="18"/>
        </w:rPr>
        <w:t xml:space="preserve"> Victoria University. (2017). Early Learning in STEM. Multimodal learning in the 21</w:t>
      </w:r>
      <w:r w:rsidRPr="00D51254">
        <w:rPr>
          <w:rFonts w:asciiTheme="minorHAnsi" w:hAnsiTheme="minorHAnsi"/>
          <w:color w:val="000000" w:themeColor="text1"/>
          <w:sz w:val="18"/>
          <w:szCs w:val="18"/>
          <w:vertAlign w:val="superscript"/>
        </w:rPr>
        <w:t>st</w:t>
      </w:r>
      <w:r w:rsidRPr="00D51254">
        <w:rPr>
          <w:rFonts w:asciiTheme="minorHAnsi" w:hAnsiTheme="minorHAnsi"/>
          <w:color w:val="000000" w:themeColor="text1"/>
          <w:sz w:val="18"/>
          <w:szCs w:val="18"/>
        </w:rPr>
        <w:t xml:space="preserve"> century. Project Report. </w:t>
      </w:r>
    </w:p>
    <w:p w:rsidR="00DD13F8" w:rsidRPr="00D51254" w:rsidRDefault="00DD13F8" w:rsidP="00EE0AC8">
      <w:pPr>
        <w:pStyle w:val="EndnoteText"/>
        <w:rPr>
          <w:rStyle w:val="Hyperlink"/>
          <w:rFonts w:cs="Calibri"/>
          <w:iCs/>
          <w:color w:val="000000" w:themeColor="text1"/>
          <w:sz w:val="18"/>
          <w:szCs w:val="18"/>
          <w:u w:val="none"/>
        </w:rPr>
      </w:pPr>
      <w:r w:rsidRPr="00D51254">
        <w:rPr>
          <w:rFonts w:cs="Calibri"/>
          <w:i/>
          <w:iCs/>
          <w:color w:val="000000" w:themeColor="text1"/>
          <w:sz w:val="18"/>
          <w:szCs w:val="18"/>
        </w:rPr>
        <w:t xml:space="preserve">Research commissioned by the Australian Government Department of Education and Training under the Early Learning STEM Australia (ELSA) pilot program initiative. </w:t>
      </w:r>
      <w:r w:rsidRPr="00D51254">
        <w:rPr>
          <w:rFonts w:cs="Calibri"/>
          <w:iCs/>
          <w:color w:val="000000" w:themeColor="text1"/>
          <w:sz w:val="18"/>
          <w:szCs w:val="18"/>
        </w:rPr>
        <w:t xml:space="preserve">Melbourne: College of Education, Victoria University. Retrieved from </w:t>
      </w:r>
      <w:hyperlink r:id="rId18" w:history="1">
        <w:r w:rsidRPr="00D51254">
          <w:rPr>
            <w:rStyle w:val="Hyperlink"/>
            <w:rFonts w:cs="Calibri"/>
            <w:iCs/>
            <w:color w:val="000000" w:themeColor="text1"/>
            <w:sz w:val="18"/>
            <w:szCs w:val="18"/>
          </w:rPr>
          <w:t>https://docs.education.gov.au/system/files/doc/other/early-learning-in-stem-final-report.pdf</w:t>
        </w:r>
      </w:hyperlink>
      <w:r w:rsidRPr="00D51254">
        <w:rPr>
          <w:rStyle w:val="Hyperlink"/>
          <w:rFonts w:cs="Calibri"/>
          <w:iCs/>
          <w:color w:val="000000" w:themeColor="text1"/>
          <w:sz w:val="18"/>
          <w:szCs w:val="18"/>
          <w:u w:val="none"/>
        </w:rPr>
        <w:t xml:space="preserve"> and</w:t>
      </w:r>
    </w:p>
    <w:p w:rsidR="00DD13F8" w:rsidRPr="00D51254" w:rsidRDefault="00DD13F8" w:rsidP="00FD6932">
      <w:pPr>
        <w:pStyle w:val="EndnoteText"/>
        <w:rPr>
          <w:color w:val="000000" w:themeColor="text1"/>
          <w:sz w:val="18"/>
          <w:szCs w:val="18"/>
        </w:rPr>
      </w:pPr>
      <w:r w:rsidRPr="00D51254">
        <w:rPr>
          <w:color w:val="000000" w:themeColor="text1"/>
          <w:sz w:val="18"/>
          <w:szCs w:val="18"/>
        </w:rPr>
        <w:t xml:space="preserve">Education Council. (2015). </w:t>
      </w:r>
      <w:r w:rsidRPr="00D51254">
        <w:rPr>
          <w:i/>
          <w:color w:val="000000" w:themeColor="text1"/>
          <w:sz w:val="18"/>
          <w:szCs w:val="18"/>
        </w:rPr>
        <w:t xml:space="preserve">National STEM School Education Strategy: A comprehensive plan for science, technology, engineering and mathematics education in Australia. </w:t>
      </w:r>
      <w:r w:rsidRPr="00D51254">
        <w:rPr>
          <w:color w:val="000000" w:themeColor="text1"/>
          <w:sz w:val="18"/>
          <w:szCs w:val="18"/>
        </w:rPr>
        <w:t xml:space="preserve">Retrieved from </w:t>
      </w:r>
      <w:hyperlink r:id="rId19" w:history="1">
        <w:r w:rsidRPr="00D51254">
          <w:rPr>
            <w:rStyle w:val="Hyperlink"/>
            <w:color w:val="000000" w:themeColor="text1"/>
            <w:sz w:val="18"/>
            <w:szCs w:val="18"/>
          </w:rPr>
          <w:t>http://www.educationcouncil.edu.au/site/DefaultSite/filesystem/documents/National%20STEM%20School%20Education%20Strategy.pdf</w:t>
        </w:r>
      </w:hyperlink>
    </w:p>
  </w:endnote>
  <w:endnote w:id="23">
    <w:p w:rsidR="00DD13F8" w:rsidRPr="00D51254" w:rsidRDefault="00DD13F8" w:rsidP="00A516DA">
      <w:pPr>
        <w:spacing w:after="0"/>
        <w:rPr>
          <w:rFonts w:eastAsia="Times New Roman" w:cs="Arial"/>
          <w:color w:val="000000" w:themeColor="text1"/>
          <w:sz w:val="18"/>
          <w:szCs w:val="16"/>
          <w:lang w:eastAsia="en-AU"/>
        </w:rPr>
      </w:pPr>
      <w:r w:rsidRPr="00D51254">
        <w:rPr>
          <w:rStyle w:val="EndnoteReference"/>
          <w:color w:val="000000" w:themeColor="text1"/>
          <w:sz w:val="18"/>
          <w:szCs w:val="16"/>
        </w:rPr>
        <w:endnoteRef/>
      </w:r>
      <w:r w:rsidRPr="00D51254">
        <w:rPr>
          <w:color w:val="000000" w:themeColor="text1"/>
          <w:sz w:val="18"/>
          <w:szCs w:val="16"/>
        </w:rPr>
        <w:t xml:space="preserve"> </w:t>
      </w:r>
      <w:r w:rsidRPr="00D51254">
        <w:rPr>
          <w:rFonts w:eastAsia="Times New Roman" w:cs="Arial"/>
          <w:color w:val="000000" w:themeColor="text1"/>
          <w:sz w:val="18"/>
          <w:szCs w:val="16"/>
          <w:lang w:eastAsia="en-AU"/>
        </w:rPr>
        <w:t xml:space="preserve">Council for Early Childhood Development (2010) in </w:t>
      </w:r>
      <w:proofErr w:type="spellStart"/>
      <w:r w:rsidRPr="00D51254">
        <w:rPr>
          <w:rFonts w:eastAsia="Times New Roman" w:cs="Arial"/>
          <w:color w:val="000000" w:themeColor="text1"/>
          <w:sz w:val="18"/>
          <w:szCs w:val="16"/>
          <w:lang w:eastAsia="en-AU"/>
        </w:rPr>
        <w:t>Naudeau</w:t>
      </w:r>
      <w:proofErr w:type="spellEnd"/>
      <w:r w:rsidRPr="00D51254">
        <w:rPr>
          <w:rFonts w:eastAsia="Times New Roman" w:cs="Arial"/>
          <w:color w:val="000000" w:themeColor="text1"/>
          <w:sz w:val="18"/>
          <w:szCs w:val="16"/>
          <w:lang w:eastAsia="en-AU"/>
        </w:rPr>
        <w:t xml:space="preserve"> S. et al. (2011). OECD (2015b), Starting Strong IV: Monitoring Quality in Early Childhood Education and Care (ECEC), OECD Publishing, Paris. Retrieved from: </w:t>
      </w:r>
      <w:hyperlink r:id="rId20" w:history="1">
        <w:r w:rsidRPr="00D51254">
          <w:rPr>
            <w:rStyle w:val="Hyperlink"/>
            <w:rFonts w:eastAsia="Times New Roman" w:cs="Arial"/>
            <w:color w:val="000000" w:themeColor="text1"/>
            <w:sz w:val="18"/>
            <w:szCs w:val="16"/>
            <w:lang w:eastAsia="en-AU"/>
          </w:rPr>
          <w:t>http://www.sel-gipes.com/uploads/1/2/3/3/12332890/2015_-_ocde__-_starting_strong_iv_monitoring_quality_in_early_childhood_education_and_care.pdf</w:t>
        </w:r>
      </w:hyperlink>
    </w:p>
  </w:endnote>
  <w:endnote w:id="2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Moore, T.G., </w:t>
      </w:r>
      <w:proofErr w:type="spellStart"/>
      <w:r w:rsidRPr="00D51254">
        <w:rPr>
          <w:color w:val="000000" w:themeColor="text1"/>
          <w:sz w:val="18"/>
          <w:szCs w:val="18"/>
        </w:rPr>
        <w:t>Arefadib</w:t>
      </w:r>
      <w:proofErr w:type="spellEnd"/>
      <w:r w:rsidRPr="00D51254">
        <w:rPr>
          <w:color w:val="000000" w:themeColor="text1"/>
          <w:sz w:val="18"/>
          <w:szCs w:val="18"/>
        </w:rPr>
        <w:t xml:space="preserve">, N., </w:t>
      </w:r>
      <w:proofErr w:type="spellStart"/>
      <w:r w:rsidRPr="00D51254">
        <w:rPr>
          <w:color w:val="000000" w:themeColor="text1"/>
          <w:sz w:val="18"/>
          <w:szCs w:val="18"/>
        </w:rPr>
        <w:t>Deery</w:t>
      </w:r>
      <w:proofErr w:type="spellEnd"/>
      <w:r w:rsidRPr="00D51254">
        <w:rPr>
          <w:color w:val="000000" w:themeColor="text1"/>
          <w:sz w:val="18"/>
          <w:szCs w:val="18"/>
        </w:rPr>
        <w:t xml:space="preserve">, A., Keyes, M. &amp; West, S. (2017). </w:t>
      </w:r>
    </w:p>
  </w:endnote>
  <w:endnote w:id="25">
    <w:p w:rsidR="00DD13F8" w:rsidRPr="00D51254" w:rsidRDefault="00DD13F8" w:rsidP="0007159A">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szCs w:val="18"/>
        </w:rPr>
        <w:t xml:space="preserve">Moore, T.G., </w:t>
      </w:r>
      <w:proofErr w:type="spellStart"/>
      <w:r w:rsidRPr="00D51254">
        <w:rPr>
          <w:color w:val="000000" w:themeColor="text1"/>
          <w:sz w:val="18"/>
          <w:szCs w:val="18"/>
        </w:rPr>
        <w:t>Arefadib</w:t>
      </w:r>
      <w:proofErr w:type="spellEnd"/>
      <w:r w:rsidRPr="00D51254">
        <w:rPr>
          <w:color w:val="000000" w:themeColor="text1"/>
          <w:sz w:val="18"/>
          <w:szCs w:val="18"/>
        </w:rPr>
        <w:t xml:space="preserve">, N., </w:t>
      </w:r>
      <w:proofErr w:type="spellStart"/>
      <w:r w:rsidRPr="00D51254">
        <w:rPr>
          <w:color w:val="000000" w:themeColor="text1"/>
          <w:sz w:val="18"/>
          <w:szCs w:val="18"/>
        </w:rPr>
        <w:t>Deery</w:t>
      </w:r>
      <w:proofErr w:type="spellEnd"/>
      <w:r w:rsidRPr="00D51254">
        <w:rPr>
          <w:color w:val="000000" w:themeColor="text1"/>
          <w:sz w:val="18"/>
          <w:szCs w:val="18"/>
        </w:rPr>
        <w:t xml:space="preserve">, A., Keyes, M., &amp; West, S. (2017). </w:t>
      </w:r>
    </w:p>
  </w:endnote>
  <w:endnote w:id="2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Medical Association (2010, April 14). Developmental health and wellbeing of Australia’s children and young people – revised 2010 [Position statement].</w:t>
      </w:r>
      <w:r w:rsidRPr="00D51254">
        <w:rPr>
          <w:i/>
          <w:color w:val="000000" w:themeColor="text1"/>
          <w:sz w:val="18"/>
          <w:szCs w:val="18"/>
        </w:rPr>
        <w:t xml:space="preserve"> </w:t>
      </w:r>
      <w:r w:rsidRPr="00D51254">
        <w:rPr>
          <w:color w:val="000000" w:themeColor="text1"/>
          <w:sz w:val="18"/>
          <w:szCs w:val="18"/>
        </w:rPr>
        <w:t xml:space="preserve">Retrieved from </w:t>
      </w:r>
      <w:hyperlink r:id="rId21" w:history="1">
        <w:r w:rsidRPr="00D51254">
          <w:rPr>
            <w:rStyle w:val="Hyperlink"/>
            <w:color w:val="000000" w:themeColor="text1"/>
            <w:sz w:val="18"/>
            <w:szCs w:val="18"/>
          </w:rPr>
          <w:t>https://ama.com.au/position-statement/developmental-health-and-wellbeing-australia%E2%80%99s-children-and-young-people-revised</w:t>
        </w:r>
      </w:hyperlink>
    </w:p>
  </w:endnote>
  <w:endnote w:id="2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Medical Association (2010, April 14). </w:t>
      </w:r>
    </w:p>
  </w:endnote>
  <w:endnote w:id="2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Marmot, M. (2016). 2016 Boyer Lectures: Give every child the best start [Transcript]. Retrieved from </w:t>
      </w:r>
      <w:hyperlink r:id="rId22" w:anchor="transcript" w:history="1">
        <w:r w:rsidRPr="00D51254">
          <w:rPr>
            <w:rStyle w:val="Hyperlink"/>
            <w:color w:val="000000" w:themeColor="text1"/>
            <w:sz w:val="18"/>
            <w:szCs w:val="18"/>
          </w:rPr>
          <w:t>http://www.abc.net.au/radionational/programs/boyerlectures/boyer-lecture-give-every-child-the-best-start/7787486#transcript</w:t>
        </w:r>
      </w:hyperlink>
    </w:p>
  </w:endnote>
  <w:endnote w:id="2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Marmot, M. (2016). </w:t>
      </w:r>
    </w:p>
  </w:endnote>
  <w:endnote w:id="3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Jha</w:t>
      </w:r>
      <w:proofErr w:type="spellEnd"/>
      <w:r w:rsidRPr="00D51254">
        <w:rPr>
          <w:color w:val="000000" w:themeColor="text1"/>
          <w:sz w:val="18"/>
          <w:szCs w:val="18"/>
        </w:rPr>
        <w:t>, T. (2016).</w:t>
      </w:r>
      <w:r w:rsidRPr="00D51254">
        <w:rPr>
          <w:i/>
          <w:color w:val="000000" w:themeColor="text1"/>
          <w:sz w:val="18"/>
          <w:szCs w:val="18"/>
        </w:rPr>
        <w:t xml:space="preserve"> Early Childhood Intervention: Assessing the evidence</w:t>
      </w:r>
      <w:r w:rsidRPr="00D51254">
        <w:rPr>
          <w:color w:val="000000" w:themeColor="text1"/>
          <w:sz w:val="18"/>
          <w:szCs w:val="18"/>
        </w:rPr>
        <w:t xml:space="preserve">, </w:t>
      </w:r>
      <w:r w:rsidRPr="00D51254">
        <w:rPr>
          <w:i/>
          <w:color w:val="000000" w:themeColor="text1"/>
          <w:sz w:val="18"/>
          <w:szCs w:val="18"/>
        </w:rPr>
        <w:t>Research Report 19.</w:t>
      </w:r>
      <w:r w:rsidRPr="00D51254">
        <w:rPr>
          <w:color w:val="000000" w:themeColor="text1"/>
          <w:sz w:val="18"/>
          <w:szCs w:val="18"/>
        </w:rPr>
        <w:t xml:space="preserve"> Sydney, NSW: The Centre for Independent Studies. Retrieved from </w:t>
      </w:r>
      <w:hyperlink r:id="rId23" w:history="1">
        <w:r w:rsidRPr="00D51254">
          <w:rPr>
            <w:rStyle w:val="Hyperlink"/>
            <w:color w:val="000000" w:themeColor="text1"/>
            <w:sz w:val="18"/>
            <w:szCs w:val="18"/>
          </w:rPr>
          <w:t>https://www.cis.org.au/app/uploads/2016/09/rr19.pdf</w:t>
        </w:r>
      </w:hyperlink>
    </w:p>
  </w:endnote>
  <w:endnote w:id="31">
    <w:p w:rsidR="00DD13F8" w:rsidRPr="00D51254" w:rsidRDefault="00DD13F8" w:rsidP="00EE0AC8">
      <w:pPr>
        <w:pStyle w:val="EndnoteText"/>
        <w:rPr>
          <w:rFonts w:cstheme="minorHAnsi"/>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U.S. Department of Health and Human Services (2006).</w:t>
      </w:r>
      <w:r w:rsidRPr="00D51254">
        <w:rPr>
          <w:rFonts w:cstheme="minorHAnsi"/>
          <w:color w:val="000000" w:themeColor="text1"/>
          <w:sz w:val="18"/>
          <w:szCs w:val="18"/>
        </w:rPr>
        <w:t xml:space="preserve">The </w:t>
      </w:r>
      <w:proofErr w:type="spellStart"/>
      <w:r w:rsidRPr="00D51254">
        <w:rPr>
          <w:rFonts w:cstheme="minorHAnsi"/>
          <w:color w:val="000000" w:themeColor="text1"/>
          <w:sz w:val="18"/>
          <w:szCs w:val="18"/>
        </w:rPr>
        <w:t>NiCHD</w:t>
      </w:r>
      <w:proofErr w:type="spellEnd"/>
      <w:r w:rsidRPr="00D51254">
        <w:rPr>
          <w:rFonts w:cstheme="minorHAnsi"/>
          <w:color w:val="000000" w:themeColor="text1"/>
          <w:sz w:val="18"/>
          <w:szCs w:val="18"/>
        </w:rPr>
        <w:t xml:space="preserve"> Study of Early Child Care and Youth Development – findings for children up to age 4 ½ years. Retrieved from: </w:t>
      </w:r>
      <w:hyperlink r:id="rId24" w:history="1">
        <w:r w:rsidRPr="00D51254">
          <w:rPr>
            <w:rStyle w:val="Hyperlink"/>
            <w:rFonts w:cstheme="minorHAnsi"/>
            <w:color w:val="000000" w:themeColor="text1"/>
            <w:sz w:val="18"/>
            <w:szCs w:val="18"/>
          </w:rPr>
          <w:t>https://www.nichd.nih.gov/publications/pubs/documents/seccyd_06.pdf</w:t>
        </w:r>
      </w:hyperlink>
    </w:p>
  </w:endnote>
  <w:endnote w:id="32">
    <w:p w:rsidR="00DD13F8" w:rsidRPr="00FB2279" w:rsidRDefault="00DD13F8" w:rsidP="00EE0AC8">
      <w:pPr>
        <w:autoSpaceDE w:val="0"/>
        <w:autoSpaceDN w:val="0"/>
        <w:adjustRightInd w:val="0"/>
        <w:spacing w:after="0"/>
        <w:rPr>
          <w:rFonts w:cstheme="minorHAnsi"/>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rFonts w:cstheme="minorHAnsi"/>
          <w:color w:val="000000" w:themeColor="text1"/>
          <w:sz w:val="18"/>
          <w:szCs w:val="18"/>
        </w:rPr>
        <w:t>Melhuish</w:t>
      </w:r>
      <w:proofErr w:type="spellEnd"/>
      <w:r w:rsidRPr="00D51254">
        <w:rPr>
          <w:rFonts w:cstheme="minorHAnsi"/>
          <w:color w:val="000000" w:themeColor="text1"/>
          <w:sz w:val="18"/>
          <w:szCs w:val="18"/>
        </w:rPr>
        <w:t xml:space="preserve">, E, Phan, M, Sylva, K, Sammons, P, </w:t>
      </w:r>
      <w:proofErr w:type="spellStart"/>
      <w:r w:rsidRPr="00D51254">
        <w:rPr>
          <w:rFonts w:cstheme="minorHAnsi"/>
          <w:color w:val="000000" w:themeColor="text1"/>
          <w:sz w:val="18"/>
          <w:szCs w:val="18"/>
        </w:rPr>
        <w:t>Siraj</w:t>
      </w:r>
      <w:proofErr w:type="spellEnd"/>
      <w:r w:rsidRPr="00D51254">
        <w:rPr>
          <w:rFonts w:cstheme="minorHAnsi"/>
          <w:color w:val="000000" w:themeColor="text1"/>
          <w:sz w:val="18"/>
          <w:szCs w:val="18"/>
        </w:rPr>
        <w:t xml:space="preserve">-Blatchford, I, &amp; Taggart, B. 2008. Effects of the Home Learning Environment and Preschool Center Experience upon Literacy and Numeracy Development in Early Primary School. Retrieved from: </w:t>
      </w:r>
      <w:hyperlink r:id="rId25" w:history="1">
        <w:r w:rsidRPr="00FB2279">
          <w:rPr>
            <w:rStyle w:val="Hyperlink"/>
            <w:color w:val="000000" w:themeColor="text1"/>
            <w:sz w:val="18"/>
            <w:szCs w:val="18"/>
          </w:rPr>
          <w:t>https://pdfs.semanticscholar.org/9c4e/643a74b6fb295fc8a5d1092b4dae396a0b1d.pdf</w:t>
        </w:r>
      </w:hyperlink>
    </w:p>
  </w:endnote>
  <w:endnote w:id="33">
    <w:p w:rsidR="00DD13F8" w:rsidRPr="00D51254" w:rsidRDefault="00DD13F8" w:rsidP="00EE0AC8">
      <w:pPr>
        <w:autoSpaceDE w:val="0"/>
        <w:autoSpaceDN w:val="0"/>
        <w:adjustRightInd w:val="0"/>
        <w:spacing w:after="0"/>
        <w:rPr>
          <w:rFonts w:cstheme="minorHAnsi"/>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theme="minorHAnsi"/>
          <w:color w:val="000000" w:themeColor="text1"/>
          <w:sz w:val="18"/>
          <w:szCs w:val="18"/>
        </w:rPr>
        <w:t xml:space="preserve">Sammons, P., Sylva, K., </w:t>
      </w:r>
      <w:proofErr w:type="spellStart"/>
      <w:r w:rsidRPr="00D51254">
        <w:rPr>
          <w:rFonts w:cstheme="minorHAnsi"/>
          <w:color w:val="000000" w:themeColor="text1"/>
          <w:sz w:val="18"/>
          <w:szCs w:val="18"/>
        </w:rPr>
        <w:t>Melhuish</w:t>
      </w:r>
      <w:proofErr w:type="spellEnd"/>
      <w:r w:rsidRPr="00D51254">
        <w:rPr>
          <w:rFonts w:cstheme="minorHAnsi"/>
          <w:color w:val="000000" w:themeColor="text1"/>
          <w:sz w:val="18"/>
          <w:szCs w:val="18"/>
        </w:rPr>
        <w:t xml:space="preserve">, E., </w:t>
      </w:r>
      <w:proofErr w:type="spellStart"/>
      <w:r w:rsidRPr="00D51254">
        <w:rPr>
          <w:rFonts w:cstheme="minorHAnsi"/>
          <w:color w:val="000000" w:themeColor="text1"/>
          <w:sz w:val="18"/>
          <w:szCs w:val="18"/>
        </w:rPr>
        <w:t>Siraj</w:t>
      </w:r>
      <w:proofErr w:type="spellEnd"/>
      <w:r w:rsidRPr="00D51254">
        <w:rPr>
          <w:rFonts w:cstheme="minorHAnsi"/>
          <w:color w:val="000000" w:themeColor="text1"/>
          <w:sz w:val="18"/>
          <w:szCs w:val="18"/>
        </w:rPr>
        <w:t xml:space="preserve">-Blatchford, I., Taggart, B., Hunt, S. &amp; </w:t>
      </w:r>
      <w:proofErr w:type="spellStart"/>
      <w:r w:rsidRPr="00D51254">
        <w:rPr>
          <w:rFonts w:cstheme="minorHAnsi"/>
          <w:color w:val="000000" w:themeColor="text1"/>
          <w:sz w:val="18"/>
          <w:szCs w:val="18"/>
        </w:rPr>
        <w:t>Jelicic</w:t>
      </w:r>
      <w:proofErr w:type="spellEnd"/>
      <w:r w:rsidRPr="00D51254">
        <w:rPr>
          <w:rFonts w:cstheme="minorHAnsi"/>
          <w:color w:val="000000" w:themeColor="text1"/>
          <w:sz w:val="18"/>
          <w:szCs w:val="18"/>
        </w:rPr>
        <w:t>, H. (2008). Influences on children's cognitive and social development in Year 6. Sheffield, United Kingdom: Department for Children Schools and Families. http://ro.uow.edu.au/cgi/viewcontent.cgi?article=3432&amp;context=sspapers</w:t>
      </w:r>
    </w:p>
  </w:endnote>
  <w:endnote w:id="34">
    <w:p w:rsidR="00DD13F8" w:rsidRPr="00D51254" w:rsidRDefault="00DD13F8" w:rsidP="00EE0AC8">
      <w:pPr>
        <w:autoSpaceDE w:val="0"/>
        <w:autoSpaceDN w:val="0"/>
        <w:adjustRightInd w:val="0"/>
        <w:spacing w:after="0"/>
        <w:rPr>
          <w:rFonts w:cstheme="minorHAns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theme="minorHAnsi"/>
          <w:color w:val="000000" w:themeColor="text1"/>
          <w:sz w:val="18"/>
          <w:szCs w:val="18"/>
        </w:rPr>
        <w:t xml:space="preserve">Sylva, K, </w:t>
      </w:r>
      <w:proofErr w:type="spellStart"/>
      <w:r w:rsidRPr="00D51254">
        <w:rPr>
          <w:rFonts w:cstheme="minorHAnsi"/>
          <w:color w:val="000000" w:themeColor="text1"/>
          <w:sz w:val="18"/>
          <w:szCs w:val="18"/>
        </w:rPr>
        <w:t>Melhuish</w:t>
      </w:r>
      <w:proofErr w:type="spellEnd"/>
      <w:r w:rsidRPr="00D51254">
        <w:rPr>
          <w:rFonts w:cstheme="minorHAnsi"/>
          <w:color w:val="000000" w:themeColor="text1"/>
          <w:sz w:val="18"/>
          <w:szCs w:val="18"/>
        </w:rPr>
        <w:t xml:space="preserve">, E, Sammons, P, </w:t>
      </w:r>
      <w:proofErr w:type="spellStart"/>
      <w:r w:rsidRPr="00D51254">
        <w:rPr>
          <w:rFonts w:cstheme="minorHAnsi"/>
          <w:color w:val="000000" w:themeColor="text1"/>
          <w:sz w:val="18"/>
          <w:szCs w:val="18"/>
        </w:rPr>
        <w:t>Siraj</w:t>
      </w:r>
      <w:proofErr w:type="spellEnd"/>
      <w:r w:rsidRPr="00D51254">
        <w:rPr>
          <w:rFonts w:cstheme="minorHAnsi"/>
          <w:color w:val="000000" w:themeColor="text1"/>
          <w:sz w:val="18"/>
          <w:szCs w:val="18"/>
        </w:rPr>
        <w:t>-Blatchford, I, Taggart, B. 2004 Effective</w:t>
      </w:r>
    </w:p>
    <w:p w:rsidR="00DD13F8" w:rsidRPr="00D51254" w:rsidRDefault="00DD13F8" w:rsidP="00EE0AC8">
      <w:pPr>
        <w:autoSpaceDE w:val="0"/>
        <w:autoSpaceDN w:val="0"/>
        <w:adjustRightInd w:val="0"/>
        <w:spacing w:after="0"/>
        <w:rPr>
          <w:rFonts w:cstheme="minorHAnsi"/>
          <w:color w:val="000000" w:themeColor="text1"/>
          <w:sz w:val="18"/>
          <w:szCs w:val="18"/>
        </w:rPr>
      </w:pPr>
      <w:r w:rsidRPr="00D51254">
        <w:rPr>
          <w:rFonts w:cstheme="minorHAnsi"/>
          <w:color w:val="000000" w:themeColor="text1"/>
          <w:sz w:val="18"/>
          <w:szCs w:val="18"/>
        </w:rPr>
        <w:t xml:space="preserve"> Provision of </w:t>
      </w:r>
      <w:proofErr w:type="spellStart"/>
      <w:r w:rsidRPr="00D51254">
        <w:rPr>
          <w:rFonts w:cstheme="minorHAnsi"/>
          <w:color w:val="000000" w:themeColor="text1"/>
          <w:sz w:val="18"/>
          <w:szCs w:val="18"/>
        </w:rPr>
        <w:t>PreSchool</w:t>
      </w:r>
      <w:proofErr w:type="spellEnd"/>
      <w:r w:rsidRPr="00D51254">
        <w:rPr>
          <w:rFonts w:cstheme="minorHAnsi"/>
          <w:color w:val="000000" w:themeColor="text1"/>
          <w:sz w:val="18"/>
          <w:szCs w:val="18"/>
        </w:rPr>
        <w:t xml:space="preserve"> Education (EPPE) Project: Findings from Preschool to end</w:t>
      </w:r>
    </w:p>
    <w:p w:rsidR="00DD13F8" w:rsidRPr="00D51254" w:rsidRDefault="00DD13F8" w:rsidP="00A516DA">
      <w:pPr>
        <w:autoSpaceDE w:val="0"/>
        <w:autoSpaceDN w:val="0"/>
        <w:adjustRightInd w:val="0"/>
        <w:spacing w:after="0"/>
        <w:rPr>
          <w:color w:val="000000" w:themeColor="text1"/>
          <w:sz w:val="18"/>
          <w:szCs w:val="18"/>
          <w:highlight w:val="yellow"/>
        </w:rPr>
      </w:pPr>
      <w:r w:rsidRPr="00D51254">
        <w:rPr>
          <w:rFonts w:cstheme="minorHAnsi"/>
          <w:color w:val="000000" w:themeColor="text1"/>
          <w:sz w:val="18"/>
          <w:szCs w:val="18"/>
        </w:rPr>
        <w:t xml:space="preserve"> of Key Stage 1 2004. http://ro.uow.edu.au/cgi/viewcontent.cgi?article=3155&amp;context=sspapers</w:t>
      </w:r>
    </w:p>
  </w:endnote>
  <w:endnote w:id="35">
    <w:p w:rsidR="00DD13F8" w:rsidRPr="00D51254" w:rsidRDefault="00DD13F8" w:rsidP="0054415A">
      <w:pPr>
        <w:autoSpaceDE w:val="0"/>
        <w:autoSpaceDN w:val="0"/>
        <w:adjustRightInd w:val="0"/>
        <w:spacing w:after="0"/>
        <w:rPr>
          <w:rFonts w:ascii="Calibri" w:hAnsi="Calibri" w:cs="Calibri"/>
          <w:color w:val="000000" w:themeColor="text1"/>
          <w:sz w:val="18"/>
          <w:szCs w:val="18"/>
        </w:rPr>
      </w:pPr>
      <w:r w:rsidRPr="00D51254">
        <w:rPr>
          <w:rStyle w:val="EndnoteReference"/>
          <w:color w:val="000000" w:themeColor="text1"/>
        </w:rPr>
        <w:endnoteRef/>
      </w:r>
      <w:r w:rsidRPr="00D51254">
        <w:rPr>
          <w:color w:val="000000" w:themeColor="text1"/>
        </w:rPr>
        <w:t xml:space="preserve"> </w:t>
      </w:r>
      <w:r w:rsidRPr="00D51254">
        <w:rPr>
          <w:rFonts w:ascii="Calibri" w:hAnsi="Calibri" w:cs="Calibri"/>
          <w:color w:val="000000" w:themeColor="text1"/>
          <w:sz w:val="18"/>
          <w:szCs w:val="18"/>
        </w:rPr>
        <w:t xml:space="preserve">Yu, M and </w:t>
      </w:r>
      <w:proofErr w:type="spellStart"/>
      <w:r w:rsidRPr="00D51254">
        <w:rPr>
          <w:rFonts w:ascii="Calibri" w:hAnsi="Calibri" w:cs="Calibri"/>
          <w:color w:val="000000" w:themeColor="text1"/>
          <w:sz w:val="18"/>
          <w:szCs w:val="18"/>
        </w:rPr>
        <w:t>Daraganova</w:t>
      </w:r>
      <w:proofErr w:type="spellEnd"/>
      <w:r w:rsidRPr="00D51254">
        <w:rPr>
          <w:rFonts w:ascii="Calibri" w:hAnsi="Calibri" w:cs="Calibri"/>
          <w:color w:val="000000" w:themeColor="text1"/>
          <w:sz w:val="18"/>
          <w:szCs w:val="18"/>
        </w:rPr>
        <w:t>, G Children’s early home learning environment and learning outcomes in the early years of school, Australian Institute of Family Studies, LSAC Annual Statistical Report 2014. Retrieved from:</w:t>
      </w:r>
    </w:p>
    <w:p w:rsidR="00DD13F8" w:rsidRPr="00D51254" w:rsidRDefault="003A6BCA" w:rsidP="0054415A">
      <w:pPr>
        <w:pStyle w:val="EndnoteText"/>
        <w:rPr>
          <w:color w:val="000000" w:themeColor="text1"/>
        </w:rPr>
      </w:pPr>
      <w:hyperlink r:id="rId26" w:history="1">
        <w:r w:rsidR="00DD13F8" w:rsidRPr="00D51254">
          <w:rPr>
            <w:rStyle w:val="Hyperlink"/>
            <w:rFonts w:ascii="Calibri" w:hAnsi="Calibri" w:cs="Calibri"/>
            <w:color w:val="000000" w:themeColor="text1"/>
            <w:sz w:val="18"/>
            <w:szCs w:val="18"/>
          </w:rPr>
          <w:t>http://www.growingupinaustralia.gov.au/pubs/asr/2014/asr2014d.pdf</w:t>
        </w:r>
      </w:hyperlink>
    </w:p>
  </w:endnote>
  <w:endnote w:id="36">
    <w:p w:rsidR="00DD13F8" w:rsidRPr="00D51254" w:rsidRDefault="00DD13F8" w:rsidP="00E67237">
      <w:pPr>
        <w:autoSpaceDE w:val="0"/>
        <w:autoSpaceDN w:val="0"/>
        <w:adjustRightInd w:val="0"/>
        <w:spacing w:after="0"/>
        <w:rPr>
          <w:rFonts w:cstheme="minorHAnsi"/>
          <w:iCs/>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theme="minorHAnsi"/>
          <w:color w:val="000000" w:themeColor="text1"/>
          <w:sz w:val="18"/>
          <w:szCs w:val="18"/>
        </w:rPr>
        <w:t xml:space="preserve">Kiernan, KE &amp; Mensah, FK (2011), Poverty, family resources and children’s educational attainment: The mediating role of parenting. </w:t>
      </w:r>
      <w:r w:rsidRPr="00D51254">
        <w:rPr>
          <w:rFonts w:cstheme="minorHAnsi"/>
          <w:i/>
          <w:iCs/>
          <w:color w:val="000000" w:themeColor="text1"/>
          <w:sz w:val="18"/>
          <w:szCs w:val="18"/>
        </w:rPr>
        <w:t xml:space="preserve">British Educational Research Journal, Vol. 37, No. 2, April 2011, </w:t>
      </w:r>
      <w:proofErr w:type="spellStart"/>
      <w:r w:rsidRPr="00D51254">
        <w:rPr>
          <w:rFonts w:cstheme="minorHAnsi"/>
          <w:i/>
          <w:iCs/>
          <w:color w:val="000000" w:themeColor="text1"/>
          <w:sz w:val="18"/>
          <w:szCs w:val="18"/>
        </w:rPr>
        <w:t>ppp</w:t>
      </w:r>
      <w:proofErr w:type="spellEnd"/>
      <w:r w:rsidRPr="00D51254">
        <w:rPr>
          <w:rFonts w:cstheme="minorHAnsi"/>
          <w:i/>
          <w:iCs/>
          <w:color w:val="000000" w:themeColor="text1"/>
          <w:sz w:val="18"/>
          <w:szCs w:val="18"/>
        </w:rPr>
        <w:t xml:space="preserve">. 317–336. </w:t>
      </w:r>
      <w:r w:rsidRPr="00D51254">
        <w:rPr>
          <w:rFonts w:cstheme="minorHAnsi"/>
          <w:iCs/>
          <w:color w:val="000000" w:themeColor="text1"/>
          <w:sz w:val="18"/>
          <w:szCs w:val="18"/>
        </w:rPr>
        <w:t>Retrieved from: http://onlinelibrary.wiley.com/doi/10.1080/01411921003596911/pdf</w:t>
      </w:r>
    </w:p>
  </w:endnote>
  <w:endnote w:id="37">
    <w:p w:rsidR="00DD13F8" w:rsidRPr="00D51254" w:rsidRDefault="00DD13F8" w:rsidP="00B20DBB">
      <w:pPr>
        <w:spacing w:after="0"/>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OECD (2001). </w:t>
      </w:r>
      <w:r w:rsidRPr="00D51254">
        <w:rPr>
          <w:i/>
          <w:color w:val="000000" w:themeColor="text1"/>
          <w:sz w:val="18"/>
          <w:szCs w:val="18"/>
        </w:rPr>
        <w:t>OECD Country Note: Early childhood education and care policy in Australia</w:t>
      </w:r>
      <w:r w:rsidRPr="00D51254">
        <w:rPr>
          <w:color w:val="000000" w:themeColor="text1"/>
          <w:sz w:val="18"/>
          <w:szCs w:val="18"/>
        </w:rPr>
        <w:t xml:space="preserve">. Retrieved from </w:t>
      </w:r>
      <w:hyperlink r:id="rId27" w:history="1">
        <w:r w:rsidRPr="00D51254">
          <w:rPr>
            <w:rStyle w:val="Hyperlink"/>
            <w:color w:val="000000" w:themeColor="text1"/>
            <w:sz w:val="18"/>
            <w:szCs w:val="18"/>
          </w:rPr>
          <w:t>http://www.oecd.org/australia/2673543.pdf</w:t>
        </w:r>
      </w:hyperlink>
      <w:r w:rsidRPr="00D51254">
        <w:rPr>
          <w:color w:val="000000" w:themeColor="text1"/>
          <w:sz w:val="18"/>
          <w:szCs w:val="18"/>
        </w:rPr>
        <w:t xml:space="preserve"> </w:t>
      </w:r>
    </w:p>
  </w:endnote>
  <w:endnote w:id="38">
    <w:p w:rsidR="00DD13F8" w:rsidRPr="00D51254" w:rsidRDefault="00DD13F8" w:rsidP="00B20DBB">
      <w:pPr>
        <w:spacing w:after="0"/>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OECD (2001). </w:t>
      </w:r>
      <w:r w:rsidRPr="00D51254">
        <w:rPr>
          <w:i/>
          <w:color w:val="000000" w:themeColor="text1"/>
          <w:sz w:val="18"/>
          <w:szCs w:val="18"/>
        </w:rPr>
        <w:t>OECD Country Note: Early childhood education and care policy in Australia</w:t>
      </w:r>
      <w:r w:rsidRPr="00D51254">
        <w:rPr>
          <w:color w:val="000000" w:themeColor="text1"/>
        </w:rPr>
        <w:t xml:space="preserve"> </w:t>
      </w:r>
      <w:r w:rsidRPr="00D51254">
        <w:rPr>
          <w:color w:val="000000" w:themeColor="text1"/>
          <w:sz w:val="18"/>
          <w:szCs w:val="18"/>
        </w:rPr>
        <w:t>and</w:t>
      </w:r>
    </w:p>
    <w:p w:rsidR="00DD13F8" w:rsidRPr="00D51254" w:rsidRDefault="00DD13F8" w:rsidP="00B20DBB">
      <w:pPr>
        <w:spacing w:after="0"/>
        <w:rPr>
          <w:color w:val="000000" w:themeColor="text1"/>
          <w:sz w:val="18"/>
          <w:szCs w:val="18"/>
        </w:rPr>
      </w:pPr>
      <w:r w:rsidRPr="00D51254">
        <w:rPr>
          <w:color w:val="000000" w:themeColor="text1"/>
          <w:sz w:val="18"/>
          <w:szCs w:val="18"/>
        </w:rPr>
        <w:t xml:space="preserve">Elliott, A. (2006). </w:t>
      </w:r>
      <w:r w:rsidRPr="00D51254">
        <w:rPr>
          <w:i/>
          <w:color w:val="000000" w:themeColor="text1"/>
          <w:sz w:val="18"/>
          <w:szCs w:val="18"/>
        </w:rPr>
        <w:t>Early Childhood Education: Pathways to quality and equity for all children.</w:t>
      </w:r>
      <w:r w:rsidRPr="00D51254">
        <w:rPr>
          <w:color w:val="000000" w:themeColor="text1"/>
          <w:sz w:val="18"/>
          <w:szCs w:val="18"/>
        </w:rPr>
        <w:t xml:space="preserve"> Camberwell, Victoria: Australian Council for Educational Research. Retrieved from </w:t>
      </w:r>
      <w:hyperlink r:id="rId28" w:history="1">
        <w:r w:rsidRPr="00D51254">
          <w:rPr>
            <w:rStyle w:val="Hyperlink"/>
            <w:color w:val="000000" w:themeColor="text1"/>
            <w:sz w:val="18"/>
            <w:szCs w:val="18"/>
          </w:rPr>
          <w:t>http://research.acer.edu.au/cgi/viewcontent.cgi?article=1003&amp;context=aer</w:t>
        </w:r>
      </w:hyperlink>
    </w:p>
  </w:endnote>
  <w:endnote w:id="39">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lang w:val="en-GB"/>
        </w:rPr>
        <w:t xml:space="preserve">Brennan, D. (1998). </w:t>
      </w:r>
      <w:r w:rsidRPr="00D51254">
        <w:rPr>
          <w:i/>
          <w:color w:val="000000" w:themeColor="text1"/>
          <w:sz w:val="18"/>
          <w:lang w:val="en-GB"/>
        </w:rPr>
        <w:t>The Politics of Australian Child Care: Philanthropy to Feminism and Beyond</w:t>
      </w:r>
      <w:r w:rsidRPr="00D51254">
        <w:rPr>
          <w:color w:val="000000" w:themeColor="text1"/>
          <w:sz w:val="18"/>
          <w:lang w:val="en-GB"/>
        </w:rPr>
        <w:t>, 2</w:t>
      </w:r>
      <w:r w:rsidRPr="00D51254">
        <w:rPr>
          <w:color w:val="000000" w:themeColor="text1"/>
          <w:sz w:val="18"/>
          <w:vertAlign w:val="superscript"/>
          <w:lang w:val="en-GB"/>
        </w:rPr>
        <w:t>nd</w:t>
      </w:r>
      <w:r w:rsidRPr="00D51254">
        <w:rPr>
          <w:color w:val="000000" w:themeColor="text1"/>
          <w:sz w:val="18"/>
          <w:lang w:val="en-GB"/>
        </w:rPr>
        <w:t xml:space="preserve"> </w:t>
      </w:r>
      <w:proofErr w:type="spellStart"/>
      <w:r w:rsidRPr="00D51254">
        <w:rPr>
          <w:color w:val="000000" w:themeColor="text1"/>
          <w:sz w:val="18"/>
          <w:lang w:val="en-GB"/>
        </w:rPr>
        <w:t>edn</w:t>
      </w:r>
      <w:proofErr w:type="spellEnd"/>
      <w:r w:rsidRPr="00D51254">
        <w:rPr>
          <w:color w:val="000000" w:themeColor="text1"/>
          <w:sz w:val="18"/>
          <w:lang w:val="en-GB"/>
        </w:rPr>
        <w:t>, Cambridge: Cambridge University Press</w:t>
      </w:r>
    </w:p>
  </w:endnote>
  <w:endnote w:id="40">
    <w:p w:rsidR="00DD13F8" w:rsidRPr="00D51254" w:rsidRDefault="00DD13F8" w:rsidP="00B20DBB">
      <w:pPr>
        <w:spacing w:after="0"/>
        <w:rPr>
          <w:color w:val="000000" w:themeColor="text1"/>
          <w:sz w:val="18"/>
          <w:szCs w:val="18"/>
          <w:u w:val="single"/>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the Prime Minister and Cabinet. (2014). </w:t>
      </w:r>
      <w:r w:rsidRPr="00D51254">
        <w:rPr>
          <w:i/>
          <w:color w:val="000000" w:themeColor="text1"/>
          <w:sz w:val="18"/>
          <w:szCs w:val="18"/>
        </w:rPr>
        <w:t>Reform of the Federation White Paper: Roles and responsibilities in education. Part A: Early childhood and schools, Issues Paper 4</w:t>
      </w:r>
      <w:r w:rsidRPr="00D51254">
        <w:rPr>
          <w:color w:val="000000" w:themeColor="text1"/>
          <w:sz w:val="18"/>
          <w:szCs w:val="18"/>
        </w:rPr>
        <w:t xml:space="preserve">. Retrieved from </w:t>
      </w:r>
      <w:hyperlink r:id="rId29" w:history="1">
        <w:r w:rsidRPr="00D51254">
          <w:rPr>
            <w:rStyle w:val="Hyperlink"/>
            <w:color w:val="000000" w:themeColor="text1"/>
            <w:sz w:val="18"/>
            <w:szCs w:val="18"/>
          </w:rPr>
          <w:t>http://apo.org.au/system/files/56125/apo-nid56125-59476.pdf</w:t>
        </w:r>
      </w:hyperlink>
      <w:r w:rsidRPr="00D51254">
        <w:rPr>
          <w:rStyle w:val="Hyperlink"/>
          <w:color w:val="000000" w:themeColor="text1"/>
          <w:sz w:val="18"/>
          <w:szCs w:val="18"/>
        </w:rPr>
        <w:t xml:space="preserve"> </w:t>
      </w:r>
      <w:r w:rsidRPr="00D51254">
        <w:rPr>
          <w:color w:val="000000" w:themeColor="text1"/>
          <w:sz w:val="18"/>
          <w:szCs w:val="18"/>
        </w:rPr>
        <w:t xml:space="preserve">and </w:t>
      </w:r>
    </w:p>
    <w:p w:rsidR="00DD13F8" w:rsidRPr="00D51254" w:rsidRDefault="00DD13F8" w:rsidP="00B20DBB">
      <w:pPr>
        <w:spacing w:after="0"/>
        <w:rPr>
          <w:color w:val="000000" w:themeColor="text1"/>
          <w:sz w:val="18"/>
          <w:szCs w:val="18"/>
        </w:rPr>
      </w:pPr>
      <w:r w:rsidRPr="00D51254">
        <w:rPr>
          <w:color w:val="000000" w:themeColor="text1"/>
          <w:sz w:val="18"/>
          <w:szCs w:val="18"/>
        </w:rPr>
        <w:t xml:space="preserve">OECD (2001). </w:t>
      </w:r>
      <w:r w:rsidRPr="00D51254">
        <w:rPr>
          <w:i/>
          <w:color w:val="000000" w:themeColor="text1"/>
          <w:sz w:val="18"/>
          <w:szCs w:val="18"/>
        </w:rPr>
        <w:t>OECD Country Note: Early childhood education and care policy in Australia</w:t>
      </w:r>
      <w:r w:rsidRPr="00D51254">
        <w:rPr>
          <w:color w:val="000000" w:themeColor="text1"/>
          <w:sz w:val="18"/>
          <w:szCs w:val="18"/>
        </w:rPr>
        <w:t xml:space="preserve">. </w:t>
      </w:r>
    </w:p>
  </w:endnote>
  <w:endnote w:id="4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the Prime Minister and Cabinet. (2014). </w:t>
      </w:r>
    </w:p>
  </w:endnote>
  <w:endnote w:id="4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Council of Australian Governments. (2009</w:t>
      </w:r>
      <w:r w:rsidRPr="00D51254">
        <w:rPr>
          <w:i/>
          <w:color w:val="000000" w:themeColor="text1"/>
          <w:sz w:val="18"/>
          <w:szCs w:val="18"/>
        </w:rPr>
        <w:t>). Investing in the Early Years – A National Early Childhood Development Strategy</w:t>
      </w:r>
      <w:r w:rsidRPr="00D51254">
        <w:rPr>
          <w:rFonts w:eastAsia="Arial Unicode MS" w:cs="Arial Unicode MS"/>
          <w:color w:val="000000" w:themeColor="text1"/>
          <w:sz w:val="18"/>
          <w:szCs w:val="18"/>
          <w:shd w:val="clear" w:color="auto" w:fill="FFFFFF"/>
        </w:rPr>
        <w:t xml:space="preserve">. </w:t>
      </w:r>
      <w:r w:rsidRPr="00D51254">
        <w:rPr>
          <w:color w:val="000000" w:themeColor="text1"/>
          <w:sz w:val="18"/>
          <w:szCs w:val="18"/>
        </w:rPr>
        <w:t>Retrieved from</w:t>
      </w:r>
      <w:r w:rsidRPr="00D51254">
        <w:rPr>
          <w:rFonts w:eastAsia="Arial Unicode MS" w:cs="Arial Unicode MS"/>
          <w:color w:val="000000" w:themeColor="text1"/>
          <w:sz w:val="18"/>
          <w:szCs w:val="18"/>
          <w:shd w:val="clear" w:color="auto" w:fill="FFFFFF"/>
        </w:rPr>
        <w:t xml:space="preserve"> </w:t>
      </w:r>
      <w:hyperlink r:id="rId30" w:history="1">
        <w:r w:rsidRPr="00D51254">
          <w:rPr>
            <w:rStyle w:val="Hyperlink"/>
            <w:color w:val="000000" w:themeColor="text1"/>
            <w:sz w:val="18"/>
            <w:szCs w:val="18"/>
          </w:rPr>
          <w:t>http://www.startingblocks.gov.au/media/1104/national_ecd_strategy.pdf</w:t>
        </w:r>
      </w:hyperlink>
      <w:r w:rsidRPr="00D51254">
        <w:rPr>
          <w:color w:val="000000" w:themeColor="text1"/>
          <w:sz w:val="18"/>
          <w:szCs w:val="18"/>
        </w:rPr>
        <w:t xml:space="preserve"> </w:t>
      </w:r>
    </w:p>
  </w:endnote>
  <w:endnote w:id="4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Council of Australian Governments. (</w:t>
      </w:r>
      <w:proofErr w:type="spellStart"/>
      <w:r w:rsidRPr="00D51254">
        <w:rPr>
          <w:color w:val="000000" w:themeColor="text1"/>
          <w:sz w:val="18"/>
          <w:szCs w:val="18"/>
        </w:rPr>
        <w:t>n.d.</w:t>
      </w:r>
      <w:proofErr w:type="spellEnd"/>
      <w:r w:rsidRPr="00D51254">
        <w:rPr>
          <w:color w:val="000000" w:themeColor="text1"/>
          <w:sz w:val="18"/>
          <w:szCs w:val="18"/>
        </w:rPr>
        <w:t xml:space="preserve">). National Partnership Agreement on Universal Access to Early Childhood Education- 2016 and 2017. Retrieved from </w:t>
      </w:r>
      <w:hyperlink r:id="rId31" w:history="1">
        <w:r w:rsidRPr="00D51254">
          <w:rPr>
            <w:rStyle w:val="Hyperlink"/>
            <w:color w:val="000000" w:themeColor="text1"/>
            <w:sz w:val="18"/>
            <w:szCs w:val="18"/>
          </w:rPr>
          <w:t>http://www.federalfinancialrelations.gov.au/content/npa/education/national-partnership/2016_2017_universal_access_NP.pdf</w:t>
        </w:r>
      </w:hyperlink>
    </w:p>
  </w:endnote>
  <w:endnote w:id="4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Review analysis of tables 3A.5 and 3A.6, Steering Committee for the Review of Government Service Provision (SCRGSP). (2017)</w:t>
      </w:r>
      <w:r w:rsidRPr="00D51254">
        <w:rPr>
          <w:i/>
          <w:color w:val="000000" w:themeColor="text1"/>
          <w:sz w:val="18"/>
          <w:szCs w:val="18"/>
        </w:rPr>
        <w:t xml:space="preserve">. Report on Government Services 2017, Vol. B: Child care, education and training. </w:t>
      </w:r>
      <w:r w:rsidRPr="00D51254">
        <w:rPr>
          <w:color w:val="000000" w:themeColor="text1"/>
          <w:sz w:val="18"/>
          <w:szCs w:val="18"/>
        </w:rPr>
        <w:t xml:space="preserve">Canberra, ACT: Productivity Commission. Retrieved from </w:t>
      </w:r>
      <w:hyperlink r:id="rId32" w:history="1">
        <w:r w:rsidRPr="00D51254">
          <w:rPr>
            <w:rStyle w:val="Hyperlink"/>
            <w:color w:val="000000" w:themeColor="text1"/>
            <w:sz w:val="18"/>
            <w:szCs w:val="18"/>
          </w:rPr>
          <w:t>https://www.pc.gov.au/research/ongoing/report-on-government-services/2017/child-care-education-and-training</w:t>
        </w:r>
      </w:hyperlink>
    </w:p>
  </w:endnote>
  <w:endnote w:id="45">
    <w:p w:rsidR="00DD13F8" w:rsidRPr="00D51254" w:rsidRDefault="00DD13F8" w:rsidP="00EE0AC8">
      <w:pPr>
        <w:pStyle w:val="EndnoteText"/>
        <w:tabs>
          <w:tab w:val="left" w:pos="5316"/>
        </w:tabs>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Children’s Education and Care Quality Authority (ACECQA). (</w:t>
      </w:r>
      <w:proofErr w:type="spellStart"/>
      <w:r w:rsidRPr="00D51254">
        <w:rPr>
          <w:color w:val="000000" w:themeColor="text1"/>
          <w:sz w:val="18"/>
          <w:szCs w:val="18"/>
        </w:rPr>
        <w:t>n.d.</w:t>
      </w:r>
      <w:proofErr w:type="spellEnd"/>
      <w:r w:rsidRPr="00D51254">
        <w:rPr>
          <w:color w:val="000000" w:themeColor="text1"/>
          <w:sz w:val="18"/>
          <w:szCs w:val="18"/>
        </w:rPr>
        <w:t xml:space="preserve">). National Quality Framework overview: Information sheet. Retrieved from </w:t>
      </w:r>
      <w:hyperlink r:id="rId33" w:history="1">
        <w:r w:rsidRPr="00D51254">
          <w:rPr>
            <w:rStyle w:val="Hyperlink"/>
            <w:color w:val="000000" w:themeColor="text1"/>
            <w:sz w:val="18"/>
            <w:szCs w:val="18"/>
          </w:rPr>
          <w:t>http://files.acecqa.gov.au/files/Information_Sheets/Overview.pdf</w:t>
        </w:r>
      </w:hyperlink>
    </w:p>
  </w:endnote>
  <w:endnote w:id="4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This is a calculation of the total funding made available to states and territories under the initial NP NQA ($61.27m), the extension payment for 2014-15 at the rate of the last payment under the initial NP NQA ($19.08m), and the total available under the NP NQA 2015-16 to 2017-18 ($61.056m).</w:t>
      </w:r>
    </w:p>
  </w:endnote>
  <w:endnote w:id="4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Council of Australian Governments. (</w:t>
      </w:r>
      <w:proofErr w:type="spellStart"/>
      <w:r w:rsidRPr="00D51254">
        <w:rPr>
          <w:color w:val="000000" w:themeColor="text1"/>
          <w:sz w:val="18"/>
          <w:szCs w:val="18"/>
        </w:rPr>
        <w:t>n.d.</w:t>
      </w:r>
      <w:proofErr w:type="spellEnd"/>
      <w:r w:rsidRPr="00D51254">
        <w:rPr>
          <w:color w:val="000000" w:themeColor="text1"/>
          <w:sz w:val="18"/>
          <w:szCs w:val="18"/>
        </w:rPr>
        <w:t xml:space="preserve">). National Partnership Agreement on the National Quality Agenda for Early Childhood Education and Care - 2015-16 to 2017-18. Retrieved from </w:t>
      </w:r>
      <w:hyperlink r:id="rId34" w:history="1">
        <w:r w:rsidRPr="00D51254">
          <w:rPr>
            <w:rStyle w:val="Hyperlink"/>
            <w:color w:val="000000" w:themeColor="text1"/>
            <w:sz w:val="18"/>
            <w:szCs w:val="18"/>
          </w:rPr>
          <w:t>http://www.federalfinancialrelations.gov.au/content/npa/education/national-partnership/National-Quality-Early-Childhood-Education-2018-NP.pdf</w:t>
        </w:r>
      </w:hyperlink>
      <w:r w:rsidRPr="00D51254">
        <w:rPr>
          <w:color w:val="000000" w:themeColor="text1"/>
          <w:sz w:val="18"/>
          <w:szCs w:val="18"/>
        </w:rPr>
        <w:t xml:space="preserve"> </w:t>
      </w:r>
    </w:p>
  </w:endnote>
  <w:endnote w:id="4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Co</w:t>
      </w:r>
      <w:r w:rsidRPr="00D51254">
        <w:rPr>
          <w:rFonts w:cs="Helv"/>
          <w:color w:val="000000" w:themeColor="text1"/>
          <w:sz w:val="18"/>
          <w:szCs w:val="18"/>
        </w:rPr>
        <w:t>uncil of Australian Governments. (</w:t>
      </w:r>
      <w:proofErr w:type="spellStart"/>
      <w:r w:rsidRPr="00D51254">
        <w:rPr>
          <w:rFonts w:cs="Helv"/>
          <w:color w:val="000000" w:themeColor="text1"/>
          <w:sz w:val="18"/>
          <w:szCs w:val="18"/>
        </w:rPr>
        <w:t>n.d.</w:t>
      </w:r>
      <w:proofErr w:type="spellEnd"/>
      <w:r w:rsidRPr="00D51254">
        <w:rPr>
          <w:rFonts w:cs="Helv"/>
          <w:color w:val="000000" w:themeColor="text1"/>
          <w:sz w:val="18"/>
          <w:szCs w:val="18"/>
        </w:rPr>
        <w:t xml:space="preserve">). </w:t>
      </w:r>
      <w:r w:rsidRPr="00D51254">
        <w:rPr>
          <w:color w:val="000000" w:themeColor="text1"/>
          <w:sz w:val="18"/>
          <w:szCs w:val="18"/>
        </w:rPr>
        <w:t xml:space="preserve">National Partnership Agreement on the National Quality Agenda for Early Childhood Education and Care – 2015–16 to 2017–18. </w:t>
      </w:r>
    </w:p>
  </w:endnote>
  <w:endnote w:id="49">
    <w:p w:rsidR="00DD13F8" w:rsidRPr="00D51254" w:rsidRDefault="00DD13F8" w:rsidP="0022159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SCRGSP. (2008). </w:t>
      </w:r>
      <w:r w:rsidRPr="00D51254">
        <w:rPr>
          <w:i/>
          <w:color w:val="000000" w:themeColor="text1"/>
          <w:sz w:val="18"/>
          <w:szCs w:val="18"/>
        </w:rPr>
        <w:t>Factsheet: Children’s Services (Chapter 3).</w:t>
      </w:r>
      <w:r w:rsidRPr="00D51254">
        <w:rPr>
          <w:color w:val="000000" w:themeColor="text1"/>
          <w:sz w:val="18"/>
          <w:szCs w:val="18"/>
        </w:rPr>
        <w:t xml:space="preserve"> Retrieved from: </w:t>
      </w:r>
      <w:hyperlink r:id="rId35" w:history="1">
        <w:r w:rsidRPr="00D51254">
          <w:rPr>
            <w:rStyle w:val="Hyperlink"/>
            <w:color w:val="000000" w:themeColor="text1"/>
            <w:sz w:val="18"/>
            <w:szCs w:val="18"/>
          </w:rPr>
          <w:t>https://www.pc.gov.au/research/ongoing/report-on-government-services/2008/2008/81-factsheet-chapter03.pdf</w:t>
        </w:r>
      </w:hyperlink>
    </w:p>
  </w:endnote>
  <w:endnote w:id="5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3.4, SCRGSP).. (2017)</w:t>
      </w:r>
      <w:r w:rsidRPr="00D51254">
        <w:rPr>
          <w:i/>
          <w:color w:val="000000" w:themeColor="text1"/>
          <w:sz w:val="18"/>
          <w:szCs w:val="18"/>
        </w:rPr>
        <w:t xml:space="preserve">. Report on Government Services 2017, Vol. B: Child care, education and training. </w:t>
      </w:r>
    </w:p>
  </w:endnote>
  <w:endnote w:id="5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(2017, August 31). </w:t>
      </w:r>
      <w:r w:rsidRPr="00D51254">
        <w:rPr>
          <w:i/>
          <w:color w:val="000000" w:themeColor="text1"/>
          <w:sz w:val="18"/>
          <w:szCs w:val="18"/>
        </w:rPr>
        <w:t xml:space="preserve">New child care package – key changes for families </w:t>
      </w:r>
      <w:r w:rsidRPr="00D51254">
        <w:rPr>
          <w:color w:val="000000" w:themeColor="text1"/>
          <w:sz w:val="18"/>
          <w:szCs w:val="18"/>
        </w:rPr>
        <w:t xml:space="preserve">[Fact sheet]. Retrieved from </w:t>
      </w:r>
      <w:hyperlink r:id="rId36" w:history="1">
        <w:r w:rsidRPr="00D51254">
          <w:rPr>
            <w:rStyle w:val="Hyperlink"/>
            <w:color w:val="000000" w:themeColor="text1"/>
            <w:sz w:val="18"/>
            <w:szCs w:val="18"/>
          </w:rPr>
          <w:t>https://docs.education.gov.au/system/files/doc/other/key_changes_for_families_fact_sheet_310817.pdf</w:t>
        </w:r>
      </w:hyperlink>
    </w:p>
  </w:endnote>
  <w:endnote w:id="5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i/>
          <w:color w:val="000000" w:themeColor="text1"/>
          <w:sz w:val="18"/>
          <w:szCs w:val="18"/>
        </w:rPr>
        <w:t xml:space="preserve">  </w:t>
      </w:r>
      <w:r w:rsidRPr="00D51254">
        <w:rPr>
          <w:color w:val="000000" w:themeColor="text1"/>
          <w:sz w:val="18"/>
          <w:szCs w:val="18"/>
        </w:rPr>
        <w:t xml:space="preserve"> Review analysis ,tables 3A.4, 3A.5 and 3A.6, SCRGSP (2017)</w:t>
      </w:r>
      <w:r w:rsidRPr="00D51254">
        <w:rPr>
          <w:i/>
          <w:color w:val="000000" w:themeColor="text1"/>
          <w:sz w:val="18"/>
          <w:szCs w:val="18"/>
        </w:rPr>
        <w:t xml:space="preserve">. </w:t>
      </w:r>
      <w:r w:rsidRPr="00D51254">
        <w:rPr>
          <w:color w:val="000000" w:themeColor="text1"/>
          <w:sz w:val="18"/>
          <w:szCs w:val="18"/>
        </w:rPr>
        <w:t>and</w:t>
      </w:r>
    </w:p>
    <w:p w:rsidR="00DD13F8" w:rsidRPr="00D51254" w:rsidRDefault="00DD13F8" w:rsidP="00EE0AC8">
      <w:pPr>
        <w:pStyle w:val="EndnoteText"/>
        <w:rPr>
          <w:color w:val="000000" w:themeColor="text1"/>
          <w:sz w:val="18"/>
        </w:rPr>
      </w:pPr>
      <w:r w:rsidRPr="00D51254">
        <w:rPr>
          <w:color w:val="000000" w:themeColor="text1"/>
          <w:sz w:val="18"/>
          <w:szCs w:val="18"/>
        </w:rPr>
        <w:t>Tables 3A.5 and 3A.6, Steering Committee for the Review of Government Service Provision (SGRGSP) (2009)</w:t>
      </w:r>
    </w:p>
  </w:endnote>
  <w:endnote w:id="5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Curriculum, Assessment and Reporting Authority (ACARA). (2017). </w:t>
      </w:r>
      <w:r w:rsidRPr="00D51254">
        <w:rPr>
          <w:i/>
          <w:color w:val="000000" w:themeColor="text1"/>
          <w:sz w:val="18"/>
          <w:szCs w:val="18"/>
        </w:rPr>
        <w:t>National Report on Schooling in Australia 2015</w:t>
      </w:r>
      <w:r w:rsidRPr="00D51254">
        <w:rPr>
          <w:color w:val="000000" w:themeColor="text1"/>
          <w:sz w:val="18"/>
          <w:szCs w:val="18"/>
        </w:rPr>
        <w:t xml:space="preserve">. Retrieved from </w:t>
      </w:r>
      <w:hyperlink r:id="rId37" w:history="1">
        <w:r w:rsidRPr="00D51254">
          <w:rPr>
            <w:rStyle w:val="Hyperlink"/>
            <w:color w:val="000000" w:themeColor="text1"/>
            <w:sz w:val="18"/>
            <w:szCs w:val="18"/>
          </w:rPr>
          <w:t>http://www.acara.edu.au/docs/default-source/default-document-library/national-report-on-schooling-in-australia-2015.pdf?sfvrsn=0</w:t>
        </w:r>
      </w:hyperlink>
    </w:p>
  </w:endnote>
  <w:endnote w:id="54">
    <w:p w:rsidR="00DD13F8" w:rsidRPr="00D51254" w:rsidRDefault="00DD13F8" w:rsidP="0022159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(2017, November 16). </w:t>
      </w:r>
      <w:r w:rsidRPr="00D51254">
        <w:rPr>
          <w:i/>
          <w:color w:val="000000" w:themeColor="text1"/>
          <w:sz w:val="18"/>
          <w:szCs w:val="18"/>
        </w:rPr>
        <w:t>School funding.</w:t>
      </w:r>
      <w:r w:rsidRPr="00D51254">
        <w:rPr>
          <w:color w:val="000000" w:themeColor="text1"/>
          <w:sz w:val="18"/>
          <w:szCs w:val="18"/>
        </w:rPr>
        <w:t xml:space="preserve"> Retrieved on 17 November 2017 from </w:t>
      </w:r>
      <w:hyperlink r:id="rId38" w:history="1">
        <w:r w:rsidRPr="00D51254">
          <w:rPr>
            <w:rStyle w:val="Hyperlink"/>
            <w:color w:val="000000" w:themeColor="text1"/>
            <w:sz w:val="18"/>
            <w:szCs w:val="18"/>
          </w:rPr>
          <w:t>https://www.education.gov.au/funding-schools</w:t>
        </w:r>
      </w:hyperlink>
    </w:p>
  </w:endnote>
  <w:endnote w:id="5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(2015). </w:t>
      </w:r>
      <w:r w:rsidRPr="00D51254">
        <w:rPr>
          <w:i/>
          <w:color w:val="000000" w:themeColor="text1"/>
          <w:sz w:val="18"/>
          <w:szCs w:val="18"/>
        </w:rPr>
        <w:t>Australian Early Development Census national report 2015:  A snapshot of early childhood development in Australia</w:t>
      </w:r>
      <w:r w:rsidRPr="00D51254">
        <w:rPr>
          <w:color w:val="000000" w:themeColor="text1"/>
          <w:sz w:val="18"/>
          <w:szCs w:val="18"/>
        </w:rPr>
        <w:t xml:space="preserve">. Retrieved from </w:t>
      </w:r>
      <w:hyperlink r:id="rId39" w:history="1">
        <w:r w:rsidRPr="00D51254">
          <w:rPr>
            <w:rStyle w:val="Hyperlink"/>
            <w:color w:val="000000" w:themeColor="text1"/>
            <w:sz w:val="18"/>
            <w:szCs w:val="18"/>
          </w:rPr>
          <w:t>http://www.aedc.gov.au/resources/detail/2015-aedc-national-report</w:t>
        </w:r>
      </w:hyperlink>
    </w:p>
  </w:endnote>
  <w:endnote w:id="5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Government. (2014). </w:t>
      </w:r>
      <w:r w:rsidRPr="00D51254">
        <w:rPr>
          <w:i/>
          <w:color w:val="000000" w:themeColor="text1"/>
          <w:sz w:val="18"/>
          <w:szCs w:val="18"/>
        </w:rPr>
        <w:t>Research Snapshot. The predictive validity of the Early Development Instrument (EDI): Predicting later cognitive and behavioural outcomes</w:t>
      </w:r>
      <w:r w:rsidRPr="00D51254">
        <w:rPr>
          <w:color w:val="000000" w:themeColor="text1"/>
          <w:sz w:val="18"/>
          <w:szCs w:val="18"/>
        </w:rPr>
        <w:t xml:space="preserve">. Retrieved from </w:t>
      </w:r>
      <w:hyperlink r:id="rId40" w:history="1">
        <w:r w:rsidRPr="00D51254">
          <w:rPr>
            <w:rStyle w:val="Hyperlink"/>
            <w:color w:val="000000" w:themeColor="text1"/>
            <w:sz w:val="18"/>
            <w:szCs w:val="18"/>
          </w:rPr>
          <w:t>https://www.aedc.gov.au/resources/detail/the-predictive-validity-of-the-aedc-predicting-later-cognitive-and-behavioural-outcomes</w:t>
        </w:r>
      </w:hyperlink>
      <w:r w:rsidRPr="00D51254">
        <w:rPr>
          <w:color w:val="000000" w:themeColor="text1"/>
          <w:sz w:val="18"/>
          <w:szCs w:val="18"/>
        </w:rPr>
        <w:t xml:space="preserve"> </w:t>
      </w:r>
    </w:p>
  </w:endnote>
  <w:endnote w:id="57">
    <w:p w:rsidR="00DD13F8" w:rsidRPr="00D51254" w:rsidRDefault="00DD13F8">
      <w:pPr>
        <w:pStyle w:val="EndnoteText"/>
        <w:rPr>
          <w:color w:val="000000" w:themeColor="text1"/>
          <w:sz w:val="18"/>
        </w:rPr>
      </w:pPr>
      <w:r w:rsidRPr="00D51254">
        <w:rPr>
          <w:rStyle w:val="EndnoteReference"/>
          <w:color w:val="000000" w:themeColor="text1"/>
        </w:rPr>
        <w:endnoteRef/>
      </w:r>
      <w:r w:rsidRPr="00D51254">
        <w:rPr>
          <w:color w:val="000000" w:themeColor="text1"/>
        </w:rPr>
        <w:t xml:space="preserve"> </w:t>
      </w:r>
      <w:proofErr w:type="spellStart"/>
      <w:r w:rsidRPr="00D51254">
        <w:rPr>
          <w:color w:val="000000" w:themeColor="text1"/>
          <w:sz w:val="18"/>
        </w:rPr>
        <w:t>Skattebol</w:t>
      </w:r>
      <w:proofErr w:type="spellEnd"/>
      <w:r w:rsidRPr="00D51254">
        <w:rPr>
          <w:color w:val="000000" w:themeColor="text1"/>
          <w:sz w:val="18"/>
        </w:rPr>
        <w:t xml:space="preserve">, J., et al. (2014) </w:t>
      </w:r>
      <w:r w:rsidRPr="00D51254">
        <w:rPr>
          <w:i/>
          <w:color w:val="000000" w:themeColor="text1"/>
          <w:sz w:val="18"/>
        </w:rPr>
        <w:t>Families at the Centre: What do low income families say about care and education for their young children?</w:t>
      </w:r>
      <w:r w:rsidRPr="00D51254">
        <w:rPr>
          <w:color w:val="000000" w:themeColor="text1"/>
          <w:sz w:val="18"/>
        </w:rPr>
        <w:t xml:space="preserve"> (SPRC Report 28/2014). Sydney: Social Policy Research Centre, UNSW Australia and</w:t>
      </w:r>
    </w:p>
    <w:p w:rsidR="00DD13F8" w:rsidRPr="00D51254" w:rsidRDefault="00DD13F8">
      <w:pPr>
        <w:pStyle w:val="EndnoteText"/>
        <w:rPr>
          <w:color w:val="000000" w:themeColor="text1"/>
        </w:rPr>
      </w:pPr>
      <w:r w:rsidRPr="00D51254">
        <w:rPr>
          <w:color w:val="000000" w:themeColor="text1"/>
          <w:sz w:val="18"/>
        </w:rPr>
        <w:t xml:space="preserve">Harris, N., &amp; Tinning. B. (2012). ‘Hearing parents’ and carers’ voices: experiences of accessing quality long day care in northern regional Australia’. </w:t>
      </w:r>
      <w:r w:rsidRPr="00D51254">
        <w:rPr>
          <w:i/>
          <w:color w:val="000000" w:themeColor="text1"/>
          <w:sz w:val="18"/>
        </w:rPr>
        <w:t>Australasian Journal of Early Childhood</w:t>
      </w:r>
      <w:r w:rsidRPr="00D51254">
        <w:rPr>
          <w:color w:val="000000" w:themeColor="text1"/>
          <w:sz w:val="18"/>
        </w:rPr>
        <w:t>, 37 (3), 14-21</w:t>
      </w:r>
    </w:p>
  </w:endnote>
  <w:endnote w:id="58">
    <w:p w:rsidR="00DD13F8" w:rsidRPr="00D51254" w:rsidRDefault="00DD13F8" w:rsidP="00EE0AC8">
      <w:pPr>
        <w:autoSpaceDE w:val="0"/>
        <w:autoSpaceDN w:val="0"/>
        <w:adjustRightInd w:val="0"/>
        <w:spacing w:after="0"/>
        <w:rPr>
          <w:color w:val="000000" w:themeColor="text1"/>
          <w:sz w:val="18"/>
          <w:szCs w:val="18"/>
          <w:highlight w:val="green"/>
        </w:rPr>
      </w:pPr>
      <w:r w:rsidRPr="00D51254">
        <w:rPr>
          <w:rStyle w:val="EndnoteReference"/>
          <w:color w:val="000000" w:themeColor="text1"/>
          <w:sz w:val="18"/>
          <w:szCs w:val="18"/>
        </w:rPr>
        <w:endnoteRef/>
      </w:r>
      <w:r w:rsidRPr="00D51254">
        <w:rPr>
          <w:color w:val="000000" w:themeColor="text1"/>
          <w:sz w:val="18"/>
          <w:szCs w:val="18"/>
        </w:rPr>
        <w:t xml:space="preserve">   Harrison, L. J., </w:t>
      </w:r>
      <w:proofErr w:type="spellStart"/>
      <w:r w:rsidRPr="00D51254">
        <w:rPr>
          <w:color w:val="000000" w:themeColor="text1"/>
          <w:sz w:val="18"/>
          <w:szCs w:val="18"/>
        </w:rPr>
        <w:t>Goldfeld</w:t>
      </w:r>
      <w:proofErr w:type="spellEnd"/>
      <w:r w:rsidRPr="00D51254">
        <w:rPr>
          <w:color w:val="000000" w:themeColor="text1"/>
          <w:sz w:val="18"/>
          <w:szCs w:val="18"/>
        </w:rPr>
        <w:t>, S., Metcalfe, E., &amp; Moore, T. (2012).</w:t>
      </w:r>
      <w:r w:rsidRPr="00D51254">
        <w:rPr>
          <w:i/>
          <w:color w:val="000000" w:themeColor="text1"/>
          <w:sz w:val="18"/>
          <w:szCs w:val="18"/>
        </w:rPr>
        <w:t xml:space="preserve"> </w:t>
      </w:r>
    </w:p>
  </w:endnote>
  <w:endnote w:id="5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Note not all services fall under the National Quality Framework, for example preschools in Tasmania or Western Australia. Source: ACECQA. </w:t>
      </w:r>
      <w:r w:rsidRPr="00D51254">
        <w:rPr>
          <w:i/>
          <w:color w:val="000000" w:themeColor="text1"/>
          <w:sz w:val="18"/>
          <w:szCs w:val="18"/>
        </w:rPr>
        <w:t xml:space="preserve">NQF Snapshot Q3 2017. </w:t>
      </w:r>
      <w:r w:rsidRPr="00D51254">
        <w:rPr>
          <w:color w:val="000000" w:themeColor="text1"/>
          <w:sz w:val="18"/>
          <w:szCs w:val="18"/>
        </w:rPr>
        <w:t xml:space="preserve">Sydney, NSW: ACECQA. Retrieved from </w:t>
      </w:r>
      <w:hyperlink r:id="rId41" w:history="1">
        <w:r w:rsidRPr="00D51254">
          <w:rPr>
            <w:rStyle w:val="Hyperlink"/>
            <w:color w:val="000000" w:themeColor="text1"/>
            <w:sz w:val="18"/>
            <w:szCs w:val="18"/>
          </w:rPr>
          <w:t>http://www.acecqa.gov.au/national-quality-framework/national-quality-framework-snapshots</w:t>
        </w:r>
      </w:hyperlink>
    </w:p>
  </w:endnote>
  <w:endnote w:id="6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ABS. (2017, February 16). 4240.0 -</w:t>
      </w:r>
      <w:r w:rsidRPr="00D51254">
        <w:rPr>
          <w:i/>
          <w:color w:val="000000" w:themeColor="text1"/>
          <w:sz w:val="18"/>
          <w:szCs w:val="18"/>
        </w:rPr>
        <w:t xml:space="preserve"> Preschool Education, Australia 2016</w:t>
      </w:r>
      <w:r w:rsidRPr="00D51254">
        <w:rPr>
          <w:color w:val="000000" w:themeColor="text1"/>
          <w:sz w:val="18"/>
          <w:szCs w:val="18"/>
        </w:rPr>
        <w:t xml:space="preserve">.   </w:t>
      </w:r>
    </w:p>
  </w:endnote>
  <w:endnote w:id="61">
    <w:p w:rsidR="00DD13F8" w:rsidRPr="00D51254" w:rsidRDefault="00DD13F8" w:rsidP="0022159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Fox, S., &amp; Geddes, M. (2016</w:t>
      </w:r>
      <w:r w:rsidRPr="00D51254">
        <w:rPr>
          <w:i/>
          <w:iCs/>
          <w:color w:val="000000" w:themeColor="text1"/>
          <w:sz w:val="18"/>
          <w:szCs w:val="18"/>
        </w:rPr>
        <w:t>). Preschool - Two years are better than one: Developing a preschool program for Australian 3 year olds – evidence, policy and implementation</w:t>
      </w:r>
      <w:r w:rsidRPr="00D51254">
        <w:rPr>
          <w:color w:val="000000" w:themeColor="text1"/>
          <w:sz w:val="18"/>
          <w:szCs w:val="18"/>
        </w:rPr>
        <w:t xml:space="preserve">, Mitchell Institute Policy Paper No. 03/2016. Melbourne, Victoria: Mitchell Institute. Retrieved from </w:t>
      </w:r>
      <w:hyperlink r:id="rId42" w:history="1">
        <w:r w:rsidRPr="00D51254">
          <w:rPr>
            <w:rStyle w:val="Hyperlink"/>
            <w:color w:val="000000" w:themeColor="text1"/>
            <w:sz w:val="18"/>
            <w:szCs w:val="18"/>
          </w:rPr>
          <w:t>http://www.mitchellinstitute.org.au/reports/two-years-preschool/</w:t>
        </w:r>
      </w:hyperlink>
      <w:r w:rsidRPr="00D51254">
        <w:rPr>
          <w:color w:val="000000" w:themeColor="text1"/>
          <w:sz w:val="18"/>
          <w:szCs w:val="18"/>
        </w:rPr>
        <w:t xml:space="preserve"> </w:t>
      </w:r>
    </w:p>
  </w:endnote>
  <w:endnote w:id="6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Fox, S., &amp; Geddes, M. (2016</w:t>
      </w:r>
      <w:r w:rsidRPr="00D51254">
        <w:rPr>
          <w:i/>
          <w:iCs/>
          <w:color w:val="000000" w:themeColor="text1"/>
          <w:sz w:val="18"/>
          <w:szCs w:val="18"/>
        </w:rPr>
        <w:t xml:space="preserve">). </w:t>
      </w:r>
    </w:p>
  </w:endnote>
  <w:endnote w:id="63">
    <w:p w:rsidR="00DD13F8" w:rsidRPr="00D51254" w:rsidRDefault="00DD13F8" w:rsidP="00EC2F5E">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Bureau of Statistics (ABS). (2017, March 8). 4240.0 -</w:t>
      </w:r>
      <w:r w:rsidRPr="00D51254">
        <w:rPr>
          <w:i/>
          <w:color w:val="000000" w:themeColor="text1"/>
          <w:sz w:val="18"/>
          <w:szCs w:val="18"/>
        </w:rPr>
        <w:t xml:space="preserve"> Preschool Education, Australia 2016</w:t>
      </w:r>
      <w:r w:rsidRPr="00D51254">
        <w:rPr>
          <w:color w:val="000000" w:themeColor="text1"/>
          <w:sz w:val="18"/>
          <w:szCs w:val="18"/>
        </w:rPr>
        <w:t xml:space="preserve">. Retrieved from </w:t>
      </w:r>
      <w:hyperlink r:id="rId43" w:history="1">
        <w:r w:rsidRPr="00D51254">
          <w:rPr>
            <w:rStyle w:val="Hyperlink"/>
            <w:color w:val="000000" w:themeColor="text1"/>
            <w:sz w:val="18"/>
            <w:szCs w:val="18"/>
          </w:rPr>
          <w:t>http://www.abs.gov.au/ausstats/abs@.nsf/mf/4240.0</w:t>
        </w:r>
      </w:hyperlink>
    </w:p>
  </w:endnote>
  <w:endnote w:id="64">
    <w:p w:rsidR="00DD13F8" w:rsidRPr="00D51254" w:rsidRDefault="00DD13F8" w:rsidP="00EC2F5E">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Graph 2, ABS. (2017, March 8). 4240.0 -</w:t>
      </w:r>
      <w:r w:rsidRPr="00D51254">
        <w:rPr>
          <w:i/>
          <w:color w:val="000000" w:themeColor="text1"/>
          <w:sz w:val="18"/>
          <w:szCs w:val="18"/>
        </w:rPr>
        <w:t xml:space="preserve"> Preschool Education, Australia 2016</w:t>
      </w:r>
      <w:r w:rsidRPr="00D51254">
        <w:rPr>
          <w:color w:val="000000" w:themeColor="text1"/>
          <w:sz w:val="18"/>
          <w:szCs w:val="18"/>
        </w:rPr>
        <w:t xml:space="preserve">.   </w:t>
      </w:r>
    </w:p>
  </w:endnote>
  <w:endnote w:id="65">
    <w:p w:rsidR="00DD13F8" w:rsidRPr="00D51254" w:rsidRDefault="00DD13F8" w:rsidP="00EC2F5E">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Graph 1, ABS. (2017, March 8). 4240.0 -</w:t>
      </w:r>
      <w:r w:rsidRPr="00D51254">
        <w:rPr>
          <w:i/>
          <w:color w:val="000000" w:themeColor="text1"/>
          <w:sz w:val="18"/>
          <w:szCs w:val="18"/>
        </w:rPr>
        <w:t xml:space="preserve"> Preschool Education, Australia 2016</w:t>
      </w:r>
      <w:r w:rsidRPr="00D51254">
        <w:rPr>
          <w:color w:val="000000" w:themeColor="text1"/>
          <w:sz w:val="18"/>
          <w:szCs w:val="18"/>
        </w:rPr>
        <w:t xml:space="preserve">.   </w:t>
      </w:r>
    </w:p>
  </w:endnote>
  <w:endnote w:id="6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ABS. (2017, March 8). 4240.0.</w:t>
      </w:r>
      <w:r w:rsidRPr="00D51254">
        <w:rPr>
          <w:i/>
          <w:color w:val="000000" w:themeColor="text1"/>
          <w:sz w:val="18"/>
          <w:szCs w:val="18"/>
        </w:rPr>
        <w:t xml:space="preserve"> </w:t>
      </w:r>
      <w:r w:rsidRPr="00D51254">
        <w:rPr>
          <w:i/>
          <w:color w:val="000000" w:themeColor="text1"/>
          <w:sz w:val="18"/>
        </w:rPr>
        <w:t>Preschool Education</w:t>
      </w:r>
      <w:r w:rsidRPr="00D51254">
        <w:rPr>
          <w:i/>
          <w:color w:val="000000" w:themeColor="text1"/>
          <w:sz w:val="18"/>
          <w:szCs w:val="18"/>
        </w:rPr>
        <w:t>, Australia</w:t>
      </w:r>
      <w:r w:rsidRPr="00D51254">
        <w:rPr>
          <w:i/>
          <w:color w:val="000000" w:themeColor="text1"/>
          <w:sz w:val="18"/>
        </w:rPr>
        <w:t xml:space="preserve"> 2016</w:t>
      </w:r>
      <w:r w:rsidRPr="00D51254">
        <w:rPr>
          <w:color w:val="000000" w:themeColor="text1"/>
          <w:sz w:val="18"/>
          <w:szCs w:val="18"/>
        </w:rPr>
        <w:t xml:space="preserve">  </w:t>
      </w:r>
      <w:r w:rsidRPr="00D51254">
        <w:rPr>
          <w:i/>
          <w:color w:val="000000" w:themeColor="text1"/>
          <w:sz w:val="18"/>
          <w:szCs w:val="18"/>
        </w:rPr>
        <w:t>.</w:t>
      </w:r>
    </w:p>
  </w:endnote>
  <w:endnote w:id="6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ABS. (2017, March 8). 4240.0.</w:t>
      </w:r>
      <w:r w:rsidRPr="00D51254">
        <w:rPr>
          <w:i/>
          <w:color w:val="000000" w:themeColor="text1"/>
          <w:sz w:val="18"/>
          <w:szCs w:val="18"/>
        </w:rPr>
        <w:t xml:space="preserve"> </w:t>
      </w:r>
      <w:r w:rsidRPr="00D51254">
        <w:rPr>
          <w:i/>
          <w:color w:val="000000" w:themeColor="text1"/>
          <w:sz w:val="18"/>
        </w:rPr>
        <w:t>Preschool Education</w:t>
      </w:r>
      <w:r w:rsidRPr="00D51254">
        <w:rPr>
          <w:i/>
          <w:color w:val="000000" w:themeColor="text1"/>
          <w:sz w:val="18"/>
          <w:szCs w:val="18"/>
        </w:rPr>
        <w:t>, Australia</w:t>
      </w:r>
      <w:r w:rsidRPr="00D51254">
        <w:rPr>
          <w:i/>
          <w:color w:val="000000" w:themeColor="text1"/>
          <w:sz w:val="18"/>
        </w:rPr>
        <w:t xml:space="preserve"> 2016</w:t>
      </w:r>
      <w:r w:rsidRPr="00D51254">
        <w:rPr>
          <w:color w:val="000000" w:themeColor="text1"/>
          <w:sz w:val="18"/>
          <w:szCs w:val="18"/>
        </w:rPr>
        <w:t xml:space="preserve">  </w:t>
      </w:r>
      <w:r w:rsidRPr="00D51254">
        <w:rPr>
          <w:i/>
          <w:color w:val="000000" w:themeColor="text1"/>
          <w:sz w:val="18"/>
          <w:szCs w:val="18"/>
        </w:rPr>
        <w:t>.</w:t>
      </w:r>
    </w:p>
  </w:endnote>
  <w:endnote w:id="6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Gregory, T., </w:t>
      </w:r>
      <w:proofErr w:type="spellStart"/>
      <w:r w:rsidRPr="00D51254">
        <w:rPr>
          <w:color w:val="000000" w:themeColor="text1"/>
          <w:sz w:val="18"/>
          <w:szCs w:val="18"/>
        </w:rPr>
        <w:t>Sincovich</w:t>
      </w:r>
      <w:proofErr w:type="spellEnd"/>
      <w:r w:rsidRPr="00D51254">
        <w:rPr>
          <w:color w:val="000000" w:themeColor="text1"/>
          <w:sz w:val="18"/>
          <w:szCs w:val="18"/>
        </w:rPr>
        <w:t xml:space="preserve">, A., Harman-Smith, Y., &amp; Brinkman, S. (2017). </w:t>
      </w:r>
      <w:r w:rsidRPr="00D51254">
        <w:rPr>
          <w:i/>
          <w:color w:val="000000" w:themeColor="text1"/>
          <w:sz w:val="18"/>
          <w:szCs w:val="18"/>
        </w:rPr>
        <w:t>The reach of Playgroups across Australia and their benefits for children’s development: A comparison of 2012 and 2015 AEDC data</w:t>
      </w:r>
      <w:r w:rsidRPr="00D51254">
        <w:rPr>
          <w:color w:val="000000" w:themeColor="text1"/>
          <w:sz w:val="18"/>
          <w:szCs w:val="18"/>
        </w:rPr>
        <w:t xml:space="preserve">. Adelaide, South Australia: Telethon Kids Institute. Retrieved from </w:t>
      </w:r>
      <w:hyperlink r:id="rId44" w:history="1">
        <w:r w:rsidRPr="00D51254">
          <w:rPr>
            <w:rStyle w:val="Hyperlink"/>
            <w:color w:val="000000" w:themeColor="text1"/>
            <w:sz w:val="18"/>
            <w:szCs w:val="18"/>
          </w:rPr>
          <w:t>https://playgroupaustralia.org.au/wp-content/uploads/2017/03/Impact-of-playgroup-on-child-development-Jan-2017-Telethon-Kids-Institute.pdf</w:t>
        </w:r>
      </w:hyperlink>
    </w:p>
  </w:endnote>
  <w:endnote w:id="6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Commerford</w:t>
      </w:r>
      <w:proofErr w:type="spellEnd"/>
      <w:r w:rsidRPr="00D51254">
        <w:rPr>
          <w:color w:val="000000" w:themeColor="text1"/>
          <w:sz w:val="18"/>
          <w:szCs w:val="18"/>
        </w:rPr>
        <w:t xml:space="preserve">, J., &amp; Robinson, E. (2016). </w:t>
      </w:r>
      <w:r w:rsidRPr="00D51254">
        <w:rPr>
          <w:i/>
          <w:color w:val="000000" w:themeColor="text1"/>
          <w:sz w:val="18"/>
          <w:szCs w:val="18"/>
        </w:rPr>
        <w:t>Supported playgroups for parents and children: The evidence for their benefits. (CFCA Paper No. 40).</w:t>
      </w:r>
      <w:r w:rsidRPr="00D51254">
        <w:rPr>
          <w:color w:val="000000" w:themeColor="text1"/>
          <w:sz w:val="18"/>
          <w:szCs w:val="18"/>
        </w:rPr>
        <w:t xml:space="preserve"> Melbourne, Victoria: Child Family Community Australia information exchange, Australian Institute of Family Studies. Retrieved from </w:t>
      </w:r>
      <w:hyperlink r:id="rId45" w:history="1">
        <w:r w:rsidRPr="00D51254">
          <w:rPr>
            <w:rStyle w:val="Hyperlink"/>
            <w:color w:val="000000" w:themeColor="text1"/>
            <w:sz w:val="18"/>
            <w:szCs w:val="18"/>
          </w:rPr>
          <w:t>https://aifs.gov.au/cfca/publications/supported-playgroups-parents-and-children</w:t>
        </w:r>
      </w:hyperlink>
    </w:p>
  </w:endnote>
  <w:endnote w:id="7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Government. (2017). </w:t>
      </w:r>
      <w:r w:rsidRPr="00D51254">
        <w:rPr>
          <w:i/>
          <w:color w:val="000000" w:themeColor="text1"/>
          <w:sz w:val="18"/>
          <w:szCs w:val="18"/>
        </w:rPr>
        <w:t xml:space="preserve">National Report: National Partnership Agreement on Universal Access to Early Childhood Education – 2015. </w:t>
      </w:r>
      <w:r w:rsidRPr="00D51254">
        <w:rPr>
          <w:color w:val="000000" w:themeColor="text1"/>
          <w:sz w:val="18"/>
          <w:szCs w:val="18"/>
        </w:rPr>
        <w:t xml:space="preserve">Retrieved from </w:t>
      </w:r>
      <w:hyperlink r:id="rId46" w:history="1">
        <w:r w:rsidRPr="00D51254">
          <w:rPr>
            <w:rStyle w:val="Hyperlink"/>
            <w:color w:val="000000" w:themeColor="text1"/>
            <w:sz w:val="18"/>
            <w:szCs w:val="18"/>
          </w:rPr>
          <w:t>https://docs.education.gov.au/node/43486</w:t>
        </w:r>
      </w:hyperlink>
      <w:r w:rsidRPr="00D51254">
        <w:rPr>
          <w:color w:val="000000" w:themeColor="text1"/>
          <w:sz w:val="18"/>
          <w:szCs w:val="18"/>
        </w:rPr>
        <w:t xml:space="preserve"> </w:t>
      </w:r>
    </w:p>
  </w:endnote>
  <w:endnote w:id="71">
    <w:p w:rsidR="00DD13F8" w:rsidRPr="00D51254" w:rsidRDefault="00DD13F8" w:rsidP="00EE0AC8">
      <w:pPr>
        <w:pStyle w:val="EndnoteText"/>
        <w:rPr>
          <w:rFonts w:eastAsiaTheme="minorEastAsia"/>
          <w:color w:val="000000" w:themeColor="text1"/>
          <w:sz w:val="18"/>
          <w:szCs w:val="18"/>
          <w:shd w:val="clear" w:color="auto" w:fill="FFFFFF"/>
        </w:rPr>
      </w:pPr>
      <w:r w:rsidRPr="00D51254">
        <w:rPr>
          <w:rStyle w:val="EndnoteReference"/>
          <w:color w:val="000000" w:themeColor="text1"/>
          <w:sz w:val="18"/>
          <w:szCs w:val="18"/>
        </w:rPr>
        <w:endnoteRef/>
      </w:r>
      <w:r w:rsidRPr="00D51254">
        <w:rPr>
          <w:color w:val="000000" w:themeColor="text1"/>
          <w:sz w:val="18"/>
          <w:szCs w:val="18"/>
        </w:rPr>
        <w:t xml:space="preserve"> ABS. (2017, October 23). Community and personal service workers on the rise. [Media release]. Retrieved from </w:t>
      </w:r>
      <w:hyperlink r:id="rId47" w:history="1">
        <w:r w:rsidRPr="00D51254">
          <w:rPr>
            <w:rStyle w:val="Hyperlink"/>
            <w:color w:val="000000" w:themeColor="text1"/>
            <w:sz w:val="18"/>
            <w:szCs w:val="18"/>
          </w:rPr>
          <w:t>http://www.abs.gov.au/AUSSTATS/abs@.nsf/mediareleasesbyReleaseDate/03B07F4B9599CBAECA2581D3001504D1?OpenDocument</w:t>
        </w:r>
      </w:hyperlink>
    </w:p>
  </w:endnote>
  <w:endnote w:id="72">
    <w:p w:rsidR="00DD13F8" w:rsidRPr="00D51254" w:rsidRDefault="00DD13F8" w:rsidP="00A657A0">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Early Learning: Everyone Benefits. (2017). </w:t>
      </w:r>
    </w:p>
  </w:endnote>
  <w:endnote w:id="7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rStyle w:val="Hyperlink"/>
          <w:color w:val="000000" w:themeColor="text1"/>
          <w:sz w:val="18"/>
          <w:szCs w:val="18"/>
        </w:rPr>
        <w:t xml:space="preserve"> </w:t>
      </w:r>
      <w:r w:rsidRPr="00D51254">
        <w:rPr>
          <w:color w:val="000000" w:themeColor="text1"/>
          <w:sz w:val="18"/>
          <w:szCs w:val="18"/>
        </w:rPr>
        <w:t xml:space="preserve">  Fox, S., &amp; Geddes, M. (2016</w:t>
      </w:r>
      <w:r w:rsidRPr="00D51254">
        <w:rPr>
          <w:i/>
          <w:iCs/>
          <w:color w:val="000000" w:themeColor="text1"/>
          <w:sz w:val="18"/>
          <w:szCs w:val="18"/>
        </w:rPr>
        <w:t xml:space="preserve">). </w:t>
      </w:r>
    </w:p>
  </w:endnote>
  <w:endnote w:id="7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Gregory, T., </w:t>
      </w:r>
      <w:proofErr w:type="spellStart"/>
      <w:r w:rsidRPr="00D51254">
        <w:rPr>
          <w:color w:val="000000" w:themeColor="text1"/>
          <w:sz w:val="18"/>
          <w:szCs w:val="18"/>
        </w:rPr>
        <w:t>Sincovich</w:t>
      </w:r>
      <w:proofErr w:type="spellEnd"/>
      <w:r w:rsidRPr="00D51254">
        <w:rPr>
          <w:color w:val="000000" w:themeColor="text1"/>
          <w:sz w:val="18"/>
          <w:szCs w:val="18"/>
        </w:rPr>
        <w:t xml:space="preserve">, A., Harman-Smith, Y., &amp; Brinkman, S. (2017). </w:t>
      </w:r>
    </w:p>
  </w:endnote>
  <w:endnote w:id="7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(2015). </w:t>
      </w:r>
      <w:r w:rsidRPr="00D51254">
        <w:rPr>
          <w:i/>
          <w:color w:val="000000" w:themeColor="text1"/>
          <w:sz w:val="18"/>
          <w:szCs w:val="18"/>
        </w:rPr>
        <w:t>Australian Early Development Census national report 2015:  A snapshot of early childhood development in Australia</w:t>
      </w:r>
      <w:r w:rsidRPr="00D51254">
        <w:rPr>
          <w:color w:val="000000" w:themeColor="text1"/>
          <w:sz w:val="18"/>
          <w:szCs w:val="18"/>
        </w:rPr>
        <w:t>.</w:t>
      </w:r>
    </w:p>
  </w:endnote>
  <w:endnote w:id="76">
    <w:p w:rsidR="00DD13F8" w:rsidRPr="00D51254" w:rsidRDefault="00DD13F8" w:rsidP="00EE0AC8">
      <w:pPr>
        <w:pStyle w:val="EndnoteText"/>
        <w:rPr>
          <w:color w:val="000000" w:themeColor="text1"/>
          <w:sz w:val="18"/>
          <w:szCs w:val="18"/>
          <w:u w:val="single"/>
        </w:rPr>
      </w:pPr>
      <w:r w:rsidRPr="00D51254">
        <w:rPr>
          <w:rStyle w:val="EndnoteReference"/>
          <w:color w:val="000000" w:themeColor="text1"/>
          <w:sz w:val="18"/>
          <w:szCs w:val="18"/>
        </w:rPr>
        <w:endnoteRef/>
      </w:r>
      <w:r w:rsidRPr="00D51254">
        <w:rPr>
          <w:color w:val="000000" w:themeColor="text1"/>
          <w:sz w:val="18"/>
          <w:szCs w:val="18"/>
        </w:rPr>
        <w:t xml:space="preserve"> ACECQA. </w:t>
      </w:r>
      <w:r w:rsidRPr="00D51254">
        <w:rPr>
          <w:i/>
          <w:color w:val="000000" w:themeColor="text1"/>
          <w:sz w:val="18"/>
          <w:szCs w:val="18"/>
        </w:rPr>
        <w:t xml:space="preserve">NQF Snapshot Q3 2017. </w:t>
      </w:r>
    </w:p>
  </w:endnote>
  <w:endnote w:id="77">
    <w:p w:rsidR="00DD13F8" w:rsidRPr="00D51254" w:rsidRDefault="00DD13F8" w:rsidP="00EE0AC8">
      <w:pPr>
        <w:pStyle w:val="EndnoteText"/>
        <w:rPr>
          <w:color w:val="000000" w:themeColor="text1"/>
          <w:sz w:val="18"/>
          <w:szCs w:val="18"/>
          <w:u w:val="single"/>
        </w:rPr>
      </w:pPr>
      <w:r w:rsidRPr="00D51254">
        <w:rPr>
          <w:rStyle w:val="EndnoteReference"/>
          <w:color w:val="000000" w:themeColor="text1"/>
          <w:sz w:val="18"/>
          <w:szCs w:val="18"/>
        </w:rPr>
        <w:endnoteRef/>
      </w:r>
      <w:r w:rsidRPr="00D51254">
        <w:rPr>
          <w:color w:val="000000" w:themeColor="text1"/>
          <w:sz w:val="18"/>
          <w:szCs w:val="18"/>
        </w:rPr>
        <w:t xml:space="preserve"> ACECQA. </w:t>
      </w:r>
      <w:r w:rsidRPr="00D51254">
        <w:rPr>
          <w:i/>
          <w:color w:val="000000" w:themeColor="text1"/>
          <w:sz w:val="18"/>
          <w:szCs w:val="18"/>
        </w:rPr>
        <w:t xml:space="preserve">NQF Snapshot Q3 2017. </w:t>
      </w:r>
    </w:p>
  </w:endnote>
  <w:endnote w:id="7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ACECQA. (Various). </w:t>
      </w:r>
      <w:r w:rsidRPr="00D51254">
        <w:rPr>
          <w:i/>
          <w:color w:val="000000" w:themeColor="text1"/>
          <w:sz w:val="18"/>
          <w:szCs w:val="18"/>
        </w:rPr>
        <w:t>National Quality Framework Snapshots.</w:t>
      </w:r>
      <w:r w:rsidRPr="00D51254">
        <w:rPr>
          <w:color w:val="000000" w:themeColor="text1"/>
          <w:sz w:val="18"/>
          <w:szCs w:val="18"/>
        </w:rPr>
        <w:t xml:space="preserve"> Retrieved from </w:t>
      </w:r>
      <w:hyperlink r:id="rId48" w:history="1">
        <w:r w:rsidRPr="00D51254">
          <w:rPr>
            <w:rStyle w:val="Hyperlink"/>
            <w:color w:val="000000" w:themeColor="text1"/>
            <w:sz w:val="18"/>
            <w:szCs w:val="18"/>
          </w:rPr>
          <w:t>http://www.acecqa.gov.au/national-quality-framework/national-quality-framework-snapshots</w:t>
        </w:r>
      </w:hyperlink>
      <w:r w:rsidRPr="00D51254">
        <w:rPr>
          <w:color w:val="000000" w:themeColor="text1"/>
          <w:sz w:val="18"/>
          <w:szCs w:val="18"/>
        </w:rPr>
        <w:t xml:space="preserve"> </w:t>
      </w:r>
    </w:p>
  </w:endnote>
  <w:endnote w:id="7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Government Department of the Prime Minister and Cabinet. (</w:t>
      </w:r>
      <w:proofErr w:type="spellStart"/>
      <w:r w:rsidRPr="00D51254">
        <w:rPr>
          <w:color w:val="000000" w:themeColor="text1"/>
          <w:sz w:val="18"/>
          <w:szCs w:val="18"/>
        </w:rPr>
        <w:t>n.d.</w:t>
      </w:r>
      <w:proofErr w:type="spellEnd"/>
      <w:r w:rsidRPr="00D51254">
        <w:rPr>
          <w:color w:val="000000" w:themeColor="text1"/>
          <w:sz w:val="18"/>
          <w:szCs w:val="18"/>
        </w:rPr>
        <w:t xml:space="preserve">). Performance reporting dashboard: Provide universal access to preschool. Retrieved on 13 October, 2017 from </w:t>
      </w:r>
      <w:hyperlink r:id="rId49" w:history="1">
        <w:r w:rsidRPr="00D51254">
          <w:rPr>
            <w:rStyle w:val="Hyperlink"/>
            <w:color w:val="000000" w:themeColor="text1"/>
            <w:sz w:val="18"/>
            <w:szCs w:val="18"/>
          </w:rPr>
          <w:t>http://performancedashboard.d61.io/education/education_uaece</w:t>
        </w:r>
      </w:hyperlink>
    </w:p>
  </w:endnote>
  <w:endnote w:id="8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3.12, SCRGSP. (2017)</w:t>
      </w:r>
      <w:r w:rsidRPr="00D51254">
        <w:rPr>
          <w:i/>
          <w:color w:val="000000" w:themeColor="text1"/>
          <w:sz w:val="18"/>
          <w:szCs w:val="18"/>
        </w:rPr>
        <w:t>. Report on Government Services 2017, Vol. B: Child care, education and training.</w:t>
      </w:r>
      <w:r w:rsidRPr="00D51254">
        <w:rPr>
          <w:color w:val="000000" w:themeColor="text1"/>
          <w:sz w:val="18"/>
        </w:rPr>
        <w:t xml:space="preserve"> </w:t>
      </w:r>
    </w:p>
  </w:endnote>
  <w:endnote w:id="8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B Baxter, J., &amp; Hand, K. (2013). </w:t>
      </w:r>
      <w:r w:rsidRPr="00D51254">
        <w:rPr>
          <w:i/>
          <w:color w:val="000000" w:themeColor="text1"/>
          <w:sz w:val="18"/>
          <w:szCs w:val="18"/>
        </w:rPr>
        <w:t>Access to early childhood education in Australia</w:t>
      </w:r>
      <w:r w:rsidRPr="00D51254">
        <w:rPr>
          <w:color w:val="000000" w:themeColor="text1"/>
          <w:sz w:val="18"/>
          <w:szCs w:val="18"/>
        </w:rPr>
        <w:t xml:space="preserve"> (Research Report No. 24). Melbourne, Victoria: Australian Institute of Family Studies. Retrieved from </w:t>
      </w:r>
      <w:hyperlink r:id="rId50" w:history="1">
        <w:r w:rsidRPr="00D51254">
          <w:rPr>
            <w:rStyle w:val="Hyperlink"/>
            <w:color w:val="000000" w:themeColor="text1"/>
            <w:sz w:val="18"/>
            <w:szCs w:val="18"/>
          </w:rPr>
          <w:t>https://aifs.gov.au/sites/default/files/publication-documents/rr24.pdf</w:t>
        </w:r>
      </w:hyperlink>
      <w:r w:rsidRPr="00D51254">
        <w:rPr>
          <w:color w:val="000000" w:themeColor="text1"/>
          <w:sz w:val="18"/>
          <w:szCs w:val="18"/>
        </w:rPr>
        <w:t xml:space="preserve"> and </w:t>
      </w:r>
    </w:p>
    <w:p w:rsidR="00DD13F8" w:rsidRPr="00D51254" w:rsidRDefault="00DD13F8" w:rsidP="00EE0AC8">
      <w:pPr>
        <w:pStyle w:val="EndnoteText"/>
        <w:rPr>
          <w:color w:val="000000" w:themeColor="text1"/>
          <w:sz w:val="18"/>
          <w:szCs w:val="18"/>
        </w:rPr>
      </w:pPr>
      <w:r w:rsidRPr="00D51254">
        <w:rPr>
          <w:color w:val="000000" w:themeColor="text1"/>
          <w:sz w:val="18"/>
          <w:szCs w:val="18"/>
        </w:rPr>
        <w:t xml:space="preserve">O’Connell, M., Fox, S., </w:t>
      </w:r>
      <w:proofErr w:type="spellStart"/>
      <w:r w:rsidRPr="00D51254">
        <w:rPr>
          <w:color w:val="000000" w:themeColor="text1"/>
          <w:sz w:val="18"/>
          <w:szCs w:val="18"/>
        </w:rPr>
        <w:t>Hinz</w:t>
      </w:r>
      <w:proofErr w:type="spellEnd"/>
      <w:r w:rsidRPr="00D51254">
        <w:rPr>
          <w:color w:val="000000" w:themeColor="text1"/>
          <w:sz w:val="18"/>
          <w:szCs w:val="18"/>
        </w:rPr>
        <w:t xml:space="preserve">, B., &amp; Cole, H. (2016). </w:t>
      </w:r>
      <w:r w:rsidRPr="00D51254">
        <w:rPr>
          <w:i/>
          <w:color w:val="000000" w:themeColor="text1"/>
          <w:sz w:val="18"/>
          <w:szCs w:val="18"/>
        </w:rPr>
        <w:t xml:space="preserve">Quality early education for all: Fostering, entrepreneurial, resilient and capable leaders, </w:t>
      </w:r>
      <w:r w:rsidRPr="00D51254">
        <w:rPr>
          <w:color w:val="000000" w:themeColor="text1"/>
          <w:sz w:val="18"/>
          <w:szCs w:val="18"/>
        </w:rPr>
        <w:t xml:space="preserve">Mitchell Institute policy paper No. 01/2016. Melbourne, Victoria: Mitchell Institute. Retrieved from </w:t>
      </w:r>
      <w:hyperlink r:id="rId51" w:history="1">
        <w:r w:rsidRPr="00D51254">
          <w:rPr>
            <w:rStyle w:val="Hyperlink"/>
            <w:color w:val="000000" w:themeColor="text1"/>
            <w:sz w:val="18"/>
            <w:szCs w:val="18"/>
          </w:rPr>
          <w:t>http://www.mitchellinstitute.org.au/reports/quality-early-education-for-all/</w:t>
        </w:r>
      </w:hyperlink>
    </w:p>
  </w:endnote>
  <w:endnote w:id="82">
    <w:p w:rsidR="00DD13F8" w:rsidRPr="00D51254" w:rsidRDefault="00DD13F8" w:rsidP="002770A2">
      <w:pPr>
        <w:spacing w:after="0"/>
        <w:rPr>
          <w:rStyle w:val="Hyperlink"/>
          <w:color w:val="000000" w:themeColor="text1"/>
          <w:sz w:val="18"/>
          <w:szCs w:val="18"/>
          <w:u w:val="none"/>
        </w:rPr>
      </w:pPr>
      <w:r w:rsidRPr="00D51254">
        <w:rPr>
          <w:rStyle w:val="EndnoteReference"/>
          <w:color w:val="000000" w:themeColor="text1"/>
          <w:sz w:val="18"/>
          <w:szCs w:val="18"/>
        </w:rPr>
        <w:endnoteRef/>
      </w:r>
      <w:r w:rsidRPr="00D51254">
        <w:rPr>
          <w:color w:val="000000" w:themeColor="text1"/>
          <w:sz w:val="18"/>
          <w:szCs w:val="18"/>
        </w:rPr>
        <w:t xml:space="preserve"> p. 355, Productivity Commission. (2011). </w:t>
      </w:r>
      <w:r w:rsidRPr="00D51254">
        <w:rPr>
          <w:i/>
          <w:color w:val="000000" w:themeColor="text1"/>
          <w:sz w:val="18"/>
          <w:szCs w:val="18"/>
        </w:rPr>
        <w:t>Early childhood development workforce:</w:t>
      </w:r>
      <w:r w:rsidRPr="00D51254">
        <w:rPr>
          <w:color w:val="000000" w:themeColor="text1"/>
          <w:sz w:val="18"/>
          <w:szCs w:val="18"/>
        </w:rPr>
        <w:t xml:space="preserve"> </w:t>
      </w:r>
      <w:r w:rsidRPr="00D51254">
        <w:rPr>
          <w:i/>
          <w:color w:val="000000" w:themeColor="text1"/>
          <w:sz w:val="18"/>
          <w:szCs w:val="18"/>
        </w:rPr>
        <w:t>Productivity Commission Research Report.</w:t>
      </w:r>
      <w:r w:rsidRPr="00D51254">
        <w:rPr>
          <w:color w:val="000000" w:themeColor="text1"/>
          <w:sz w:val="18"/>
          <w:szCs w:val="18"/>
        </w:rPr>
        <w:t xml:space="preserve"> Melbourne: Productivity Commission, Australian Government. Retrieved from </w:t>
      </w:r>
      <w:hyperlink r:id="rId52" w:history="1">
        <w:r w:rsidRPr="00D51254">
          <w:rPr>
            <w:rStyle w:val="Hyperlink"/>
            <w:color w:val="000000" w:themeColor="text1"/>
            <w:sz w:val="18"/>
            <w:szCs w:val="18"/>
          </w:rPr>
          <w:t>https://www.pc.gov.au/inquiries/completed/education-workforce-early-childhood/report</w:t>
        </w:r>
      </w:hyperlink>
      <w:r w:rsidRPr="00D51254">
        <w:rPr>
          <w:rStyle w:val="Hyperlink"/>
          <w:color w:val="000000" w:themeColor="text1"/>
          <w:sz w:val="18"/>
          <w:szCs w:val="18"/>
        </w:rPr>
        <w:t xml:space="preserve"> </w:t>
      </w:r>
      <w:r w:rsidRPr="00D51254">
        <w:rPr>
          <w:rStyle w:val="Hyperlink"/>
          <w:color w:val="000000" w:themeColor="text1"/>
          <w:sz w:val="18"/>
          <w:szCs w:val="18"/>
          <w:u w:val="none"/>
        </w:rPr>
        <w:t xml:space="preserve">and </w:t>
      </w:r>
    </w:p>
    <w:p w:rsidR="00DD13F8" w:rsidRPr="00D51254" w:rsidRDefault="00DD13F8" w:rsidP="002770A2">
      <w:pPr>
        <w:spacing w:after="0"/>
        <w:rPr>
          <w:color w:val="000000" w:themeColor="text1"/>
          <w:sz w:val="18"/>
          <w:szCs w:val="18"/>
        </w:rPr>
      </w:pPr>
      <w:r w:rsidRPr="00D51254">
        <w:rPr>
          <w:color w:val="000000" w:themeColor="text1"/>
          <w:sz w:val="18"/>
          <w:szCs w:val="18"/>
        </w:rPr>
        <w:t>Secretariat of National Aboriginal and Islander Child Care. (2012</w:t>
      </w:r>
      <w:r w:rsidRPr="00D51254">
        <w:rPr>
          <w:i/>
          <w:color w:val="000000" w:themeColor="text1"/>
          <w:sz w:val="18"/>
          <w:szCs w:val="18"/>
        </w:rPr>
        <w:t>). Improved outcomes for Aboriginal and Torres Strait Islander Children and Families in early childhood education and care services: Learning from good practice</w:t>
      </w:r>
      <w:r w:rsidRPr="00D51254">
        <w:rPr>
          <w:color w:val="000000" w:themeColor="text1"/>
          <w:sz w:val="18"/>
          <w:szCs w:val="18"/>
        </w:rPr>
        <w:t xml:space="preserve">. Retrieved from </w:t>
      </w:r>
      <w:hyperlink r:id="rId53" w:history="1">
        <w:r w:rsidRPr="00D51254">
          <w:rPr>
            <w:rStyle w:val="Hyperlink"/>
            <w:color w:val="000000" w:themeColor="text1"/>
            <w:sz w:val="18"/>
            <w:szCs w:val="18"/>
          </w:rPr>
          <w:t>http://www.snaicc.org.au/wp-content/uploads/2015/12/02811.pdf</w:t>
        </w:r>
      </w:hyperlink>
      <w:r w:rsidRPr="00D51254">
        <w:rPr>
          <w:color w:val="000000" w:themeColor="text1"/>
          <w:sz w:val="18"/>
          <w:szCs w:val="18"/>
        </w:rPr>
        <w:t xml:space="preserve"> and </w:t>
      </w:r>
    </w:p>
    <w:p w:rsidR="00DD13F8" w:rsidRPr="00D51254" w:rsidRDefault="00DD13F8" w:rsidP="002770A2">
      <w:pPr>
        <w:spacing w:after="0"/>
        <w:rPr>
          <w:rStyle w:val="Hyperlink"/>
          <w:color w:val="000000" w:themeColor="text1"/>
          <w:sz w:val="18"/>
          <w:szCs w:val="18"/>
          <w:u w:val="none"/>
        </w:rPr>
      </w:pPr>
      <w:proofErr w:type="spellStart"/>
      <w:r w:rsidRPr="00D51254">
        <w:rPr>
          <w:color w:val="000000" w:themeColor="text1"/>
          <w:sz w:val="18"/>
          <w:szCs w:val="18"/>
        </w:rPr>
        <w:t>Kellard</w:t>
      </w:r>
      <w:proofErr w:type="spellEnd"/>
      <w:r w:rsidRPr="00D51254">
        <w:rPr>
          <w:color w:val="000000" w:themeColor="text1"/>
          <w:sz w:val="18"/>
          <w:szCs w:val="18"/>
        </w:rPr>
        <w:t xml:space="preserve">, K., &amp; </w:t>
      </w:r>
      <w:proofErr w:type="spellStart"/>
      <w:r w:rsidRPr="00D51254">
        <w:rPr>
          <w:color w:val="000000" w:themeColor="text1"/>
          <w:sz w:val="18"/>
          <w:szCs w:val="18"/>
        </w:rPr>
        <w:t>Paddon</w:t>
      </w:r>
      <w:proofErr w:type="spellEnd"/>
      <w:r w:rsidRPr="00D51254">
        <w:rPr>
          <w:color w:val="000000" w:themeColor="text1"/>
          <w:sz w:val="18"/>
          <w:szCs w:val="18"/>
        </w:rPr>
        <w:t xml:space="preserve">, H. (2016). </w:t>
      </w:r>
      <w:r w:rsidRPr="00D51254">
        <w:rPr>
          <w:i/>
          <w:color w:val="000000" w:themeColor="text1"/>
          <w:sz w:val="18"/>
          <w:szCs w:val="18"/>
        </w:rPr>
        <w:t xml:space="preserve">Indigenous participation in early childhood education and care - Qualitative Case Studies. </w:t>
      </w:r>
      <w:r w:rsidRPr="00D51254">
        <w:rPr>
          <w:color w:val="000000" w:themeColor="text1"/>
          <w:sz w:val="18"/>
          <w:szCs w:val="18"/>
        </w:rPr>
        <w:t xml:space="preserve">Melbourne, Victoria: The Social Research Centre. Retrieved from </w:t>
      </w:r>
      <w:hyperlink r:id="rId54" w:history="1">
        <w:r w:rsidRPr="00D51254">
          <w:rPr>
            <w:rStyle w:val="Hyperlink"/>
            <w:color w:val="000000" w:themeColor="text1"/>
            <w:sz w:val="18"/>
            <w:szCs w:val="18"/>
          </w:rPr>
          <w:t>https://docs.education.gov.au/system/files/doc/other/indigenous_participation_in_ecec_-_qualitative_study.pdf</w:t>
        </w:r>
      </w:hyperlink>
      <w:r w:rsidRPr="00D51254">
        <w:rPr>
          <w:rStyle w:val="Hyperlink"/>
          <w:color w:val="000000" w:themeColor="text1"/>
          <w:sz w:val="18"/>
          <w:u w:val="none"/>
        </w:rPr>
        <w:t xml:space="preserve"> </w:t>
      </w:r>
      <w:r w:rsidRPr="00D51254">
        <w:rPr>
          <w:rStyle w:val="Hyperlink"/>
          <w:color w:val="000000" w:themeColor="text1"/>
          <w:sz w:val="18"/>
          <w:szCs w:val="18"/>
          <w:u w:val="none"/>
        </w:rPr>
        <w:t xml:space="preserve">and </w:t>
      </w:r>
    </w:p>
    <w:p w:rsidR="00DD13F8" w:rsidRPr="00D51254" w:rsidRDefault="00DD13F8" w:rsidP="002770A2">
      <w:pPr>
        <w:spacing w:after="0"/>
        <w:rPr>
          <w:color w:val="000000" w:themeColor="text1"/>
          <w:sz w:val="18"/>
        </w:rPr>
      </w:pPr>
      <w:proofErr w:type="spellStart"/>
      <w:r w:rsidRPr="00D51254">
        <w:rPr>
          <w:color w:val="000000" w:themeColor="text1"/>
          <w:sz w:val="18"/>
          <w:szCs w:val="18"/>
        </w:rPr>
        <w:t>Trudgett</w:t>
      </w:r>
      <w:proofErr w:type="spellEnd"/>
      <w:r w:rsidRPr="00D51254">
        <w:rPr>
          <w:color w:val="000000" w:themeColor="text1"/>
          <w:sz w:val="18"/>
          <w:szCs w:val="18"/>
        </w:rPr>
        <w:t xml:space="preserve">, M. &amp; Grace, R. (2011). Engaging with early childhood education and care services: The perspectives of Indigenous Australian mothers and their young children. </w:t>
      </w:r>
      <w:proofErr w:type="spellStart"/>
      <w:r w:rsidRPr="00D51254">
        <w:rPr>
          <w:i/>
          <w:color w:val="000000" w:themeColor="text1"/>
          <w:sz w:val="18"/>
          <w:szCs w:val="18"/>
        </w:rPr>
        <w:t>Kulumun</w:t>
      </w:r>
      <w:proofErr w:type="spellEnd"/>
      <w:r w:rsidRPr="00D51254">
        <w:rPr>
          <w:i/>
          <w:color w:val="000000" w:themeColor="text1"/>
          <w:sz w:val="18"/>
          <w:szCs w:val="18"/>
        </w:rPr>
        <w:t xml:space="preserve"> Indigenous Online Journal</w:t>
      </w:r>
      <w:r w:rsidRPr="00D51254">
        <w:rPr>
          <w:color w:val="000000" w:themeColor="text1"/>
          <w:sz w:val="18"/>
          <w:szCs w:val="18"/>
        </w:rPr>
        <w:t xml:space="preserve">, Vol.1(17). Retrieved from </w:t>
      </w:r>
      <w:hyperlink r:id="rId55" w:history="1">
        <w:r w:rsidRPr="00D51254">
          <w:rPr>
            <w:rStyle w:val="Hyperlink"/>
            <w:color w:val="000000" w:themeColor="text1"/>
            <w:sz w:val="18"/>
            <w:szCs w:val="18"/>
          </w:rPr>
          <w:t>http://citeseerx.ist.psu.edu/viewdoc/download?doi=10.1.1.453.2705&amp;rep=rep1&amp;type=pdf</w:t>
        </w:r>
      </w:hyperlink>
      <w:r w:rsidRPr="00D51254">
        <w:rPr>
          <w:color w:val="000000" w:themeColor="text1"/>
          <w:sz w:val="18"/>
          <w:szCs w:val="18"/>
        </w:rPr>
        <w:t xml:space="preserve"> </w:t>
      </w:r>
    </w:p>
  </w:endnote>
  <w:endnote w:id="83">
    <w:p w:rsidR="00DD13F8" w:rsidRPr="00D51254" w:rsidRDefault="00DD13F8" w:rsidP="00EE0AC8">
      <w:pPr>
        <w:pStyle w:val="EndnoteText"/>
        <w:rPr>
          <w:rStyle w:val="Hyperlink"/>
          <w:color w:val="000000" w:themeColor="text1"/>
          <w:sz w:val="18"/>
          <w:szCs w:val="18"/>
          <w:u w:val="none"/>
        </w:rPr>
      </w:pPr>
      <w:r w:rsidRPr="00D51254">
        <w:rPr>
          <w:rStyle w:val="EndnoteReference"/>
          <w:color w:val="000000" w:themeColor="text1"/>
          <w:sz w:val="18"/>
          <w:szCs w:val="18"/>
        </w:rPr>
        <w:endnoteRef/>
      </w:r>
      <w:r w:rsidRPr="00D51254">
        <w:rPr>
          <w:color w:val="000000" w:themeColor="text1"/>
          <w:sz w:val="18"/>
          <w:szCs w:val="18"/>
        </w:rPr>
        <w:t xml:space="preserve"> Urbis. (2014</w:t>
      </w:r>
      <w:r w:rsidRPr="00D51254">
        <w:rPr>
          <w:i/>
          <w:color w:val="000000" w:themeColor="text1"/>
          <w:sz w:val="18"/>
          <w:szCs w:val="18"/>
        </w:rPr>
        <w:t>). Evaluation of the National Partnership Agreement on Indigenous Early Childhood Development: Final report.</w:t>
      </w:r>
      <w:r w:rsidRPr="00D51254">
        <w:rPr>
          <w:color w:val="000000" w:themeColor="text1"/>
          <w:sz w:val="18"/>
          <w:szCs w:val="18"/>
        </w:rPr>
        <w:t xml:space="preserve"> Retrieved from </w:t>
      </w:r>
      <w:hyperlink r:id="rId56" w:history="1">
        <w:r w:rsidRPr="00D51254">
          <w:rPr>
            <w:rStyle w:val="Hyperlink"/>
            <w:color w:val="000000" w:themeColor="text1"/>
            <w:sz w:val="18"/>
            <w:szCs w:val="18"/>
          </w:rPr>
          <w:t>http://urbis.com.au/app/uploads/2015/05/Evaluation-of-the-National-Partnership-Agreement-on-Indigenous-Early-Childhood-Development.pdf</w:t>
        </w:r>
      </w:hyperlink>
      <w:r w:rsidRPr="00D51254">
        <w:rPr>
          <w:rStyle w:val="Hyperlink"/>
          <w:color w:val="000000" w:themeColor="text1"/>
          <w:sz w:val="18"/>
          <w:u w:val="none"/>
        </w:rPr>
        <w:t xml:space="preserve"> </w:t>
      </w:r>
      <w:r w:rsidRPr="00D51254">
        <w:rPr>
          <w:rStyle w:val="Hyperlink"/>
          <w:color w:val="000000" w:themeColor="text1"/>
          <w:sz w:val="18"/>
          <w:szCs w:val="18"/>
          <w:u w:val="none"/>
        </w:rPr>
        <w:t xml:space="preserve">and </w:t>
      </w:r>
    </w:p>
    <w:p w:rsidR="00DD13F8" w:rsidRPr="00D51254" w:rsidRDefault="00DD13F8" w:rsidP="00EE0AC8">
      <w:pPr>
        <w:pStyle w:val="EndnoteText"/>
        <w:rPr>
          <w:color w:val="000000" w:themeColor="text1"/>
          <w:sz w:val="18"/>
          <w:szCs w:val="18"/>
        </w:rPr>
      </w:pPr>
      <w:r w:rsidRPr="00D51254">
        <w:rPr>
          <w:color w:val="000000" w:themeColor="text1"/>
          <w:sz w:val="18"/>
          <w:szCs w:val="18"/>
        </w:rPr>
        <w:t xml:space="preserve">Deloitte Access Economics. (2014). </w:t>
      </w:r>
      <w:r w:rsidRPr="00D51254">
        <w:rPr>
          <w:i/>
          <w:color w:val="000000" w:themeColor="text1"/>
          <w:sz w:val="18"/>
          <w:szCs w:val="18"/>
        </w:rPr>
        <w:t>Review of the National Partnership Agreement on Universal Access to Early Childhood Education.</w:t>
      </w:r>
      <w:r w:rsidRPr="00D51254">
        <w:rPr>
          <w:color w:val="000000" w:themeColor="text1"/>
          <w:sz w:val="18"/>
          <w:szCs w:val="18"/>
        </w:rPr>
        <w:t xml:space="preserve"> Retrieved from </w:t>
      </w:r>
      <w:hyperlink r:id="rId57" w:history="1">
        <w:r w:rsidRPr="00D51254">
          <w:rPr>
            <w:rStyle w:val="Hyperlink"/>
            <w:color w:val="000000" w:themeColor="text1"/>
            <w:sz w:val="18"/>
            <w:szCs w:val="18"/>
          </w:rPr>
          <w:t>http://www.educationcouncil.edu.au/site/DefaultSite/filesystem/documents/Reports%20and%20publications/EC%20Publications/NP_UAECE%20Review-220415.pdf</w:t>
        </w:r>
      </w:hyperlink>
    </w:p>
  </w:endnote>
  <w:endnote w:id="84">
    <w:p w:rsidR="00DD13F8" w:rsidRPr="00D51254" w:rsidRDefault="00DD13F8" w:rsidP="008149F0">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ABS (2017, March 8). 4240.0 -</w:t>
      </w:r>
      <w:r w:rsidRPr="00D51254">
        <w:rPr>
          <w:i/>
          <w:color w:val="000000" w:themeColor="text1"/>
          <w:sz w:val="18"/>
          <w:szCs w:val="18"/>
        </w:rPr>
        <w:t xml:space="preserve"> Preschool Education, Australia 2016</w:t>
      </w:r>
      <w:r w:rsidRPr="00D51254">
        <w:rPr>
          <w:color w:val="000000" w:themeColor="text1"/>
          <w:sz w:val="18"/>
          <w:szCs w:val="18"/>
        </w:rPr>
        <w:t xml:space="preserve">.  </w:t>
      </w:r>
    </w:p>
  </w:endnote>
  <w:endnote w:id="8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ACECQA. </w:t>
      </w:r>
      <w:r w:rsidRPr="00D51254">
        <w:rPr>
          <w:i/>
          <w:color w:val="000000" w:themeColor="text1"/>
          <w:sz w:val="18"/>
          <w:szCs w:val="18"/>
        </w:rPr>
        <w:t>NQF Snapshot Q3 2017.</w:t>
      </w:r>
      <w:r w:rsidRPr="00D51254">
        <w:rPr>
          <w:color w:val="000000" w:themeColor="text1"/>
          <w:sz w:val="18"/>
          <w:szCs w:val="18"/>
        </w:rPr>
        <w:t xml:space="preserve"> </w:t>
      </w:r>
    </w:p>
  </w:endnote>
  <w:endnote w:id="86">
    <w:p w:rsidR="00DD13F8" w:rsidRPr="00D51254" w:rsidRDefault="00DD13F8" w:rsidP="00EE0AC8">
      <w:pPr>
        <w:pStyle w:val="EndnoteText"/>
        <w:tabs>
          <w:tab w:val="left" w:pos="1845"/>
        </w:tabs>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table 3A.60, SCRGSP. (2017). </w:t>
      </w:r>
      <w:r w:rsidRPr="00D51254">
        <w:rPr>
          <w:i/>
          <w:color w:val="000000" w:themeColor="text1"/>
          <w:sz w:val="18"/>
          <w:szCs w:val="18"/>
        </w:rPr>
        <w:t xml:space="preserve">Report on Government Services 2017, Vol. B: Child care, education and training. </w:t>
      </w:r>
    </w:p>
  </w:endnote>
  <w:endnote w:id="8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Cloney</w:t>
      </w:r>
      <w:proofErr w:type="spellEnd"/>
      <w:r w:rsidRPr="00D51254">
        <w:rPr>
          <w:color w:val="000000" w:themeColor="text1"/>
          <w:sz w:val="18"/>
          <w:szCs w:val="18"/>
        </w:rPr>
        <w:t xml:space="preserve">, D., Cleveland, G., Hattie, J., &amp; Tayler, C. (2016). Variations in the availability and quality of early childhood education and care by socioeconomic status of </w:t>
      </w:r>
      <w:proofErr w:type="spellStart"/>
      <w:r w:rsidRPr="00D51254">
        <w:rPr>
          <w:color w:val="000000" w:themeColor="text1"/>
          <w:sz w:val="18"/>
          <w:szCs w:val="18"/>
        </w:rPr>
        <w:t>neighborhoods</w:t>
      </w:r>
      <w:proofErr w:type="spellEnd"/>
      <w:r w:rsidRPr="00D51254">
        <w:rPr>
          <w:color w:val="000000" w:themeColor="text1"/>
          <w:sz w:val="18"/>
          <w:szCs w:val="18"/>
        </w:rPr>
        <w:t xml:space="preserve">. </w:t>
      </w:r>
      <w:r w:rsidRPr="00D51254">
        <w:rPr>
          <w:i/>
          <w:color w:val="000000" w:themeColor="text1"/>
          <w:sz w:val="18"/>
          <w:szCs w:val="18"/>
        </w:rPr>
        <w:t>Early Education and Development,</w:t>
      </w:r>
      <w:r w:rsidRPr="00D51254">
        <w:rPr>
          <w:color w:val="000000" w:themeColor="text1"/>
          <w:sz w:val="18"/>
          <w:szCs w:val="18"/>
        </w:rPr>
        <w:t xml:space="preserve"> 27:3, 384-401, DOI: 10.1080/10409289.2015.1076674 </w:t>
      </w:r>
    </w:p>
  </w:endnote>
  <w:endnote w:id="88">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szCs w:val="18"/>
        </w:rPr>
        <w:t xml:space="preserve">ABS. (2016, May 3). </w:t>
      </w:r>
      <w:r w:rsidRPr="00D51254">
        <w:rPr>
          <w:rFonts w:cs="Arial"/>
          <w:bCs/>
          <w:i/>
          <w:color w:val="000000" w:themeColor="text1"/>
          <w:sz w:val="18"/>
          <w:szCs w:val="18"/>
          <w:shd w:val="clear" w:color="auto" w:fill="FFFFFF"/>
        </w:rPr>
        <w:t>Barriers and Incentives to Labour Force Participation, Australia, July 2014 to June 2015</w:t>
      </w:r>
      <w:r w:rsidRPr="00D51254">
        <w:rPr>
          <w:color w:val="000000" w:themeColor="text1"/>
          <w:sz w:val="18"/>
          <w:szCs w:val="18"/>
        </w:rPr>
        <w:t xml:space="preserve"> , retrieved from: http://www.abs.gov.au/ausstats/abs@.nsf/mf/6239.0</w:t>
      </w:r>
    </w:p>
  </w:endnote>
  <w:endnote w:id="89">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the Prime Minister and Cabinet. (2017, July 6). </w:t>
      </w:r>
      <w:r w:rsidRPr="00D51254">
        <w:rPr>
          <w:i/>
          <w:color w:val="000000" w:themeColor="text1"/>
          <w:sz w:val="18"/>
          <w:szCs w:val="18"/>
        </w:rPr>
        <w:t xml:space="preserve">Towards 2025: Boosting Australian women’s workforce participation </w:t>
      </w:r>
      <w:r w:rsidRPr="00D51254">
        <w:rPr>
          <w:color w:val="000000" w:themeColor="text1"/>
          <w:sz w:val="18"/>
          <w:szCs w:val="18"/>
        </w:rPr>
        <w:t xml:space="preserve">[Media release]. Retrieved from </w:t>
      </w:r>
      <w:hyperlink r:id="rId58" w:history="1">
        <w:r w:rsidRPr="00D51254">
          <w:rPr>
            <w:rStyle w:val="Hyperlink"/>
            <w:color w:val="000000" w:themeColor="text1"/>
            <w:sz w:val="18"/>
            <w:szCs w:val="18"/>
          </w:rPr>
          <w:t>https://ministers.pmc.gov.au/cash/2017/towards-2025-boosting-australian-womens-workforce-participation</w:t>
        </w:r>
      </w:hyperlink>
    </w:p>
  </w:endnote>
  <w:endnote w:id="9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Weston, R., Qu, L., &amp; Baxter. J. (2013). </w:t>
      </w:r>
      <w:r w:rsidRPr="00D51254">
        <w:rPr>
          <w:i/>
          <w:color w:val="000000" w:themeColor="text1"/>
          <w:sz w:val="18"/>
          <w:szCs w:val="18"/>
        </w:rPr>
        <w:t>Australian families with children and adolescents</w:t>
      </w:r>
      <w:r w:rsidRPr="00D51254">
        <w:rPr>
          <w:color w:val="000000" w:themeColor="text1"/>
          <w:sz w:val="18"/>
          <w:szCs w:val="18"/>
        </w:rPr>
        <w:t xml:space="preserve"> (Australian Family Trends No. 5). Retrieved from </w:t>
      </w:r>
      <w:hyperlink r:id="rId59" w:history="1">
        <w:r w:rsidRPr="00D51254">
          <w:rPr>
            <w:rStyle w:val="Hyperlink"/>
            <w:color w:val="000000" w:themeColor="text1"/>
            <w:sz w:val="18"/>
            <w:szCs w:val="18"/>
          </w:rPr>
          <w:t>https://aifs.gov.au/publications/australian-families-children-and-adolescents</w:t>
        </w:r>
      </w:hyperlink>
    </w:p>
  </w:endnote>
  <w:endnote w:id="9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(2015). </w:t>
      </w:r>
      <w:r w:rsidRPr="00D51254">
        <w:rPr>
          <w:i/>
          <w:color w:val="000000" w:themeColor="text1"/>
          <w:sz w:val="18"/>
          <w:szCs w:val="18"/>
        </w:rPr>
        <w:t>Australian Early Development Census national report 2015:   A snapshot of early childhood development in Australia</w:t>
      </w:r>
      <w:r w:rsidRPr="00D51254">
        <w:rPr>
          <w:color w:val="000000" w:themeColor="text1"/>
          <w:sz w:val="18"/>
          <w:szCs w:val="18"/>
        </w:rPr>
        <w:t xml:space="preserve">. </w:t>
      </w:r>
    </w:p>
  </w:endnote>
  <w:endnote w:id="92">
    <w:p w:rsidR="00DD13F8" w:rsidRPr="00D51254" w:rsidRDefault="00DD13F8" w:rsidP="00EE0AC8">
      <w:pPr>
        <w:pStyle w:val="EndnoteText"/>
        <w:rPr>
          <w:b/>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p.15,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(2015). </w:t>
      </w:r>
      <w:r w:rsidRPr="00D51254">
        <w:rPr>
          <w:i/>
          <w:color w:val="000000" w:themeColor="text1"/>
          <w:sz w:val="18"/>
          <w:szCs w:val="18"/>
        </w:rPr>
        <w:t>Australian Early Development Census national report 2015:  A snapshot of early childhood development in Australia</w:t>
      </w:r>
      <w:r w:rsidRPr="00D51254">
        <w:rPr>
          <w:color w:val="000000" w:themeColor="text1"/>
          <w:sz w:val="18"/>
          <w:szCs w:val="18"/>
        </w:rPr>
        <w:t xml:space="preserve">. </w:t>
      </w:r>
    </w:p>
  </w:endnote>
  <w:endnote w:id="93">
    <w:p w:rsidR="00DD13F8" w:rsidRPr="00D51254" w:rsidRDefault="00DD13F8" w:rsidP="00EE0AC8">
      <w:pPr>
        <w:pStyle w:val="EndnoteText"/>
        <w:rPr>
          <w:b/>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Education and Training. (2015). </w:t>
      </w:r>
      <w:r w:rsidRPr="00D51254">
        <w:rPr>
          <w:i/>
          <w:color w:val="000000" w:themeColor="text1"/>
          <w:sz w:val="18"/>
          <w:szCs w:val="18"/>
        </w:rPr>
        <w:t>Australian Early Development Census national report 2015:  A snapshot of early childhood development in Australia</w:t>
      </w:r>
      <w:r w:rsidRPr="00D51254">
        <w:rPr>
          <w:color w:val="000000" w:themeColor="text1"/>
          <w:sz w:val="18"/>
          <w:szCs w:val="18"/>
        </w:rPr>
        <w:t xml:space="preserve">. </w:t>
      </w:r>
    </w:p>
  </w:endnote>
  <w:endnote w:id="9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p.xiii</w:t>
      </w:r>
      <w:proofErr w:type="spellEnd"/>
      <w:r w:rsidRPr="00D51254">
        <w:rPr>
          <w:color w:val="000000" w:themeColor="text1"/>
          <w:sz w:val="18"/>
          <w:szCs w:val="18"/>
        </w:rPr>
        <w:t xml:space="preserve">, Gonski, D., Boston, K., Greiner, K., Lawrence, C., Scales, B., &amp; </w:t>
      </w:r>
      <w:proofErr w:type="spellStart"/>
      <w:r w:rsidRPr="00D51254">
        <w:rPr>
          <w:color w:val="000000" w:themeColor="text1"/>
          <w:sz w:val="18"/>
          <w:szCs w:val="18"/>
        </w:rPr>
        <w:t>Tannock</w:t>
      </w:r>
      <w:proofErr w:type="spellEnd"/>
      <w:r w:rsidRPr="00D51254">
        <w:rPr>
          <w:color w:val="000000" w:themeColor="text1"/>
          <w:sz w:val="18"/>
          <w:szCs w:val="18"/>
        </w:rPr>
        <w:t xml:space="preserve">, P. (2011). </w:t>
      </w:r>
      <w:r w:rsidRPr="00D51254">
        <w:rPr>
          <w:i/>
          <w:color w:val="000000" w:themeColor="text1"/>
          <w:sz w:val="18"/>
          <w:szCs w:val="18"/>
        </w:rPr>
        <w:t xml:space="preserve">Review of funding for schooling. Final report. </w:t>
      </w:r>
      <w:r w:rsidRPr="00D51254">
        <w:rPr>
          <w:color w:val="000000" w:themeColor="text1"/>
          <w:sz w:val="18"/>
          <w:szCs w:val="18"/>
        </w:rPr>
        <w:t xml:space="preserve">Canberra, ACT: Australian Government, Department of Education, Employment and Workplace Relations. Retrieved from </w:t>
      </w:r>
      <w:hyperlink r:id="rId60" w:history="1">
        <w:r w:rsidRPr="00D51254">
          <w:rPr>
            <w:rStyle w:val="Hyperlink"/>
            <w:color w:val="000000" w:themeColor="text1"/>
            <w:sz w:val="18"/>
            <w:szCs w:val="18"/>
          </w:rPr>
          <w:t>https://docs.education.gov.au/system/files/doc/other/review-of-funding-for-schooling-final-report-dec-2011.pdf</w:t>
        </w:r>
      </w:hyperlink>
    </w:p>
  </w:endnote>
  <w:endnote w:id="9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OECD (2015). PISA 2015 – compare your country. Retrieved from: http://www.compareyourcountry.org/pisa/country/aus?lg=en</w:t>
      </w:r>
    </w:p>
  </w:endnote>
  <w:endnote w:id="96">
    <w:p w:rsidR="00DD13F8" w:rsidRPr="00D51254" w:rsidRDefault="00DD13F8" w:rsidP="00EE0AC8">
      <w:pPr>
        <w:spacing w:after="0"/>
        <w:rPr>
          <w:rFonts w:eastAsia="Times New Roman" w:cs="Arial"/>
          <w:color w:val="000000" w:themeColor="text1"/>
          <w:sz w:val="18"/>
          <w:szCs w:val="18"/>
          <w:lang w:val="en-US" w:eastAsia="en-AU"/>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eastAsia="Times New Roman" w:cs="Arial"/>
          <w:color w:val="000000" w:themeColor="text1"/>
          <w:sz w:val="18"/>
          <w:szCs w:val="18"/>
          <w:lang w:val="en-US" w:eastAsia="en-AU"/>
        </w:rPr>
        <w:t xml:space="preserve">Martin, M. O., Mullis, I. V. S., Foy, P., &amp; Hooper, M. (2016). </w:t>
      </w:r>
      <w:r w:rsidRPr="00D51254">
        <w:rPr>
          <w:rFonts w:eastAsia="Times New Roman" w:cs="Arial"/>
          <w:i/>
          <w:iCs/>
          <w:color w:val="000000" w:themeColor="text1"/>
          <w:sz w:val="18"/>
          <w:szCs w:val="18"/>
          <w:lang w:val="en-US" w:eastAsia="en-AU"/>
        </w:rPr>
        <w:t>TIMSS 2015 International Results in Science.</w:t>
      </w:r>
      <w:r w:rsidRPr="00D51254">
        <w:rPr>
          <w:rFonts w:eastAsia="Times New Roman" w:cs="Arial"/>
          <w:color w:val="000000" w:themeColor="text1"/>
          <w:sz w:val="18"/>
          <w:szCs w:val="18"/>
          <w:lang w:val="en-US" w:eastAsia="en-AU"/>
        </w:rPr>
        <w:t xml:space="preserve"> Retrieved from Boston College, TIMSS &amp; PIRLS International Study Center website </w:t>
      </w:r>
      <w:hyperlink r:id="rId61" w:history="1">
        <w:r w:rsidRPr="00D51254">
          <w:rPr>
            <w:rStyle w:val="Hyperlink"/>
            <w:rFonts w:eastAsia="Times New Roman" w:cs="Arial"/>
            <w:color w:val="000000" w:themeColor="text1"/>
            <w:sz w:val="18"/>
            <w:szCs w:val="18"/>
            <w:lang w:val="en-US" w:eastAsia="en-AU"/>
          </w:rPr>
          <w:t>http://timssandpirls.bc.edu/timss2015/international-results/</w:t>
        </w:r>
      </w:hyperlink>
      <w:r w:rsidRPr="00D51254">
        <w:rPr>
          <w:rFonts w:eastAsia="Times New Roman" w:cs="Arial"/>
          <w:color w:val="000000" w:themeColor="text1"/>
          <w:sz w:val="18"/>
          <w:szCs w:val="18"/>
          <w:lang w:val="en-US" w:eastAsia="en-AU"/>
        </w:rPr>
        <w:t xml:space="preserve"> and</w:t>
      </w:r>
    </w:p>
    <w:p w:rsidR="00DD13F8" w:rsidRPr="00D51254" w:rsidRDefault="00DD13F8" w:rsidP="00EE0AC8">
      <w:pPr>
        <w:spacing w:after="0"/>
        <w:rPr>
          <w:rFonts w:eastAsia="Times New Roman" w:cs="Arial"/>
          <w:color w:val="000000" w:themeColor="text1"/>
          <w:sz w:val="18"/>
          <w:szCs w:val="18"/>
          <w:lang w:val="en-US" w:eastAsia="en-AU"/>
        </w:rPr>
      </w:pPr>
      <w:r w:rsidRPr="00D51254">
        <w:rPr>
          <w:rFonts w:eastAsia="Times New Roman" w:cs="Arial"/>
          <w:color w:val="000000" w:themeColor="text1"/>
          <w:sz w:val="18"/>
          <w:szCs w:val="18"/>
          <w:lang w:val="en-US" w:eastAsia="en-AU"/>
        </w:rPr>
        <w:t xml:space="preserve">Mullis, I. V. S., Martin, M. O., Foy, P., &amp; Hooper, M. (2016). </w:t>
      </w:r>
      <w:r w:rsidRPr="00D51254">
        <w:rPr>
          <w:rFonts w:eastAsia="Times New Roman" w:cs="Arial"/>
          <w:i/>
          <w:color w:val="000000" w:themeColor="text1"/>
          <w:sz w:val="18"/>
          <w:szCs w:val="18"/>
          <w:lang w:val="en-US" w:eastAsia="en-AU"/>
        </w:rPr>
        <w:t>TIMSS 2015 International Results in Mathematics.</w:t>
      </w:r>
      <w:r w:rsidRPr="00D51254">
        <w:rPr>
          <w:rFonts w:eastAsia="Times New Roman" w:cs="Arial"/>
          <w:color w:val="000000" w:themeColor="text1"/>
          <w:sz w:val="18"/>
          <w:szCs w:val="18"/>
          <w:lang w:val="en-US" w:eastAsia="en-AU"/>
        </w:rPr>
        <w:t xml:space="preserve"> Retrieved from Boston College, TIMSS &amp; PIRLS International Study Center website </w:t>
      </w:r>
      <w:hyperlink r:id="rId62" w:history="1">
        <w:r w:rsidRPr="00D51254">
          <w:rPr>
            <w:rStyle w:val="Hyperlink"/>
            <w:rFonts w:eastAsia="Times New Roman" w:cs="Arial"/>
            <w:color w:val="000000" w:themeColor="text1"/>
            <w:sz w:val="18"/>
            <w:szCs w:val="18"/>
            <w:lang w:val="en-US" w:eastAsia="en-AU"/>
          </w:rPr>
          <w:t>http://timssandpirls.bc.edu/timss2015/international-results/</w:t>
        </w:r>
      </w:hyperlink>
    </w:p>
  </w:endnote>
  <w:endnote w:id="97">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szCs w:val="18"/>
        </w:rPr>
        <w:t xml:space="preserve">Thomson, S (2016). Australian schools continue to fall behind other countries in maths and science. </w:t>
      </w:r>
      <w:r w:rsidRPr="00D51254">
        <w:rPr>
          <w:i/>
          <w:color w:val="000000" w:themeColor="text1"/>
          <w:sz w:val="18"/>
          <w:szCs w:val="18"/>
        </w:rPr>
        <w:t xml:space="preserve">The Conversation. </w:t>
      </w:r>
      <w:r w:rsidRPr="00D51254">
        <w:rPr>
          <w:color w:val="000000" w:themeColor="text1"/>
          <w:sz w:val="18"/>
          <w:szCs w:val="18"/>
        </w:rPr>
        <w:t>Retrieved from: https://theconversation.com/australian-schools-continue-to-fall-behind-other-countries-in-maths-and-science-69341</w:t>
      </w:r>
    </w:p>
  </w:endnote>
  <w:endnote w:id="98">
    <w:p w:rsidR="00DD13F8" w:rsidRPr="00D51254" w:rsidRDefault="00DD13F8">
      <w:pPr>
        <w:pStyle w:val="EndnoteText"/>
        <w:rPr>
          <w:color w:val="000000" w:themeColor="text1"/>
          <w:sz w:val="18"/>
          <w:szCs w:val="18"/>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szCs w:val="18"/>
        </w:rPr>
        <w:t xml:space="preserve">Heckman, J, ‘Invest in the Very Young’, Tremblay RE, Barr RG, Peters </w:t>
      </w:r>
      <w:proofErr w:type="spellStart"/>
      <w:r w:rsidRPr="00D51254">
        <w:rPr>
          <w:color w:val="000000" w:themeColor="text1"/>
          <w:sz w:val="18"/>
          <w:szCs w:val="18"/>
        </w:rPr>
        <w:t>RDeV</w:t>
      </w:r>
      <w:proofErr w:type="spellEnd"/>
      <w:r w:rsidRPr="00D51254">
        <w:rPr>
          <w:color w:val="000000" w:themeColor="text1"/>
          <w:sz w:val="18"/>
          <w:szCs w:val="18"/>
        </w:rPr>
        <w:t xml:space="preserve">, eds. </w:t>
      </w:r>
      <w:proofErr w:type="spellStart"/>
      <w:r w:rsidRPr="00D51254">
        <w:rPr>
          <w:color w:val="000000" w:themeColor="text1"/>
          <w:sz w:val="18"/>
          <w:szCs w:val="18"/>
        </w:rPr>
        <w:t>Encyclopedia</w:t>
      </w:r>
      <w:proofErr w:type="spellEnd"/>
      <w:r w:rsidRPr="00D51254">
        <w:rPr>
          <w:color w:val="000000" w:themeColor="text1"/>
          <w:sz w:val="18"/>
          <w:szCs w:val="18"/>
        </w:rPr>
        <w:t xml:space="preserve"> on Early Childhood Development [online]. Montreal, Quebec: Centre of Excellence for Early Childhood Development; 2004:1-2. Retrieved from: </w:t>
      </w:r>
      <w:hyperlink r:id="rId63" w:history="1">
        <w:r w:rsidRPr="00D51254">
          <w:rPr>
            <w:rStyle w:val="Hyperlink"/>
            <w:color w:val="000000" w:themeColor="text1"/>
            <w:sz w:val="18"/>
            <w:szCs w:val="18"/>
          </w:rPr>
          <w:t>http://www.childencyclopedia.com/documents/HeckmanANGxp.pdf</w:t>
        </w:r>
      </w:hyperlink>
    </w:p>
  </w:endnote>
  <w:endnote w:id="99">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p>
  </w:endnote>
  <w:endnote w:id="10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Phillips, D, et al. (2017). </w:t>
      </w:r>
      <w:r w:rsidRPr="00D51254">
        <w:rPr>
          <w:i/>
          <w:color w:val="000000" w:themeColor="text1"/>
          <w:sz w:val="18"/>
          <w:szCs w:val="18"/>
        </w:rPr>
        <w:t xml:space="preserve">Puzzling it out: The current state of scientific knowledge on pre-kindergarten effects – A consensus statement. </w:t>
      </w:r>
      <w:r w:rsidRPr="00D51254">
        <w:rPr>
          <w:color w:val="000000" w:themeColor="text1"/>
          <w:sz w:val="18"/>
          <w:szCs w:val="18"/>
        </w:rPr>
        <w:t xml:space="preserve">Washington DC: Brookings Institution. Retrieved from: </w:t>
      </w:r>
      <w:hyperlink r:id="rId64" w:history="1">
        <w:r w:rsidRPr="00D51254">
          <w:rPr>
            <w:rStyle w:val="Hyperlink"/>
            <w:color w:val="000000" w:themeColor="text1"/>
            <w:sz w:val="18"/>
            <w:szCs w:val="18"/>
          </w:rPr>
          <w:t>https://www.brookings.edu/research/puzzling-it-out-the-current-state-of-scientific-knowledge-on-pre-kindergarten-effects/</w:t>
        </w:r>
      </w:hyperlink>
    </w:p>
  </w:endnote>
  <w:endnote w:id="10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Government Department of Education and Training. (2017).</w:t>
      </w:r>
      <w:r w:rsidRPr="00D51254">
        <w:rPr>
          <w:i/>
          <w:color w:val="000000" w:themeColor="text1"/>
          <w:sz w:val="18"/>
          <w:szCs w:val="18"/>
        </w:rPr>
        <w:t xml:space="preserve"> Quality schools: Review to achieve educational excellence in Australian schools – Terms of Reference. </w:t>
      </w:r>
      <w:r w:rsidRPr="00D51254">
        <w:rPr>
          <w:color w:val="000000" w:themeColor="text1"/>
          <w:sz w:val="18"/>
          <w:szCs w:val="18"/>
        </w:rPr>
        <w:t xml:space="preserve">Retrieved from </w:t>
      </w:r>
      <w:hyperlink r:id="rId65" w:history="1">
        <w:r w:rsidRPr="00D51254">
          <w:rPr>
            <w:rStyle w:val="Hyperlink"/>
            <w:color w:val="000000" w:themeColor="text1"/>
            <w:sz w:val="18"/>
            <w:szCs w:val="18"/>
          </w:rPr>
          <w:t>https://docs.education.gov.au/system/files/doc/other/tors.pdf</w:t>
        </w:r>
      </w:hyperlink>
    </w:p>
  </w:endnote>
  <w:endnote w:id="102">
    <w:p w:rsidR="00DD13F8" w:rsidRPr="00D51254" w:rsidRDefault="00DD13F8" w:rsidP="00EE0AC8">
      <w:pPr>
        <w:pStyle w:val="EndnoteText"/>
        <w:rPr>
          <w:color w:val="000000" w:themeColor="text1"/>
          <w:sz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rFonts w:eastAsia="Times New Roman"/>
          <w:color w:val="000000" w:themeColor="text1"/>
          <w:sz w:val="18"/>
          <w:szCs w:val="18"/>
        </w:rPr>
        <w:t xml:space="preserve"> </w:t>
      </w:r>
      <w:r w:rsidRPr="00D51254">
        <w:rPr>
          <w:color w:val="000000" w:themeColor="text1"/>
          <w:sz w:val="18"/>
          <w:szCs w:val="18"/>
        </w:rPr>
        <w:t xml:space="preserve">(2016). </w:t>
      </w:r>
      <w:r w:rsidRPr="00D51254">
        <w:rPr>
          <w:i/>
          <w:color w:val="000000" w:themeColor="text1"/>
          <w:sz w:val="18"/>
          <w:szCs w:val="18"/>
        </w:rPr>
        <w:t xml:space="preserve">Low performing students: why they fall behind and how to help them succeed. </w:t>
      </w:r>
      <w:r w:rsidRPr="00D51254">
        <w:rPr>
          <w:color w:val="000000" w:themeColor="text1"/>
          <w:sz w:val="18"/>
          <w:szCs w:val="18"/>
        </w:rPr>
        <w:t xml:space="preserve">Paris, France: PISA, OECD publishing. Retrieved from </w:t>
      </w:r>
      <w:hyperlink r:id="rId66" w:history="1">
        <w:r w:rsidRPr="00D51254">
          <w:rPr>
            <w:rStyle w:val="Hyperlink"/>
            <w:color w:val="000000" w:themeColor="text1"/>
            <w:sz w:val="18"/>
            <w:szCs w:val="18"/>
          </w:rPr>
          <w:t>http://www.keepeek.com/Digital-Asset-Management/oecd/education/low-performing-students_9789264250246-en</w:t>
        </w:r>
      </w:hyperlink>
    </w:p>
  </w:endnote>
  <w:endnote w:id="10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rFonts w:cstheme="minorHAnsi"/>
          <w:color w:val="000000" w:themeColor="text1"/>
          <w:sz w:val="18"/>
          <w:szCs w:val="18"/>
        </w:rPr>
        <w:t>Siraj</w:t>
      </w:r>
      <w:proofErr w:type="spellEnd"/>
      <w:r w:rsidRPr="00D51254">
        <w:rPr>
          <w:rFonts w:cstheme="minorHAnsi"/>
          <w:color w:val="000000" w:themeColor="text1"/>
          <w:sz w:val="18"/>
          <w:szCs w:val="18"/>
        </w:rPr>
        <w:t xml:space="preserve">, I., Kingston, D., </w:t>
      </w:r>
      <w:proofErr w:type="spellStart"/>
      <w:r w:rsidRPr="00D51254">
        <w:rPr>
          <w:rFonts w:cstheme="minorHAnsi"/>
          <w:color w:val="000000" w:themeColor="text1"/>
          <w:sz w:val="18"/>
          <w:szCs w:val="18"/>
        </w:rPr>
        <w:t>Neilsen</w:t>
      </w:r>
      <w:proofErr w:type="spellEnd"/>
      <w:r w:rsidRPr="00D51254">
        <w:rPr>
          <w:rFonts w:cstheme="minorHAnsi"/>
          <w:color w:val="000000" w:themeColor="text1"/>
          <w:sz w:val="18"/>
          <w:szCs w:val="18"/>
        </w:rPr>
        <w:t xml:space="preserve">-Hewett, C., Howard, S., </w:t>
      </w:r>
      <w:proofErr w:type="spellStart"/>
      <w:r w:rsidRPr="00D51254">
        <w:rPr>
          <w:rFonts w:cstheme="minorHAnsi"/>
          <w:color w:val="000000" w:themeColor="text1"/>
          <w:sz w:val="18"/>
          <w:szCs w:val="18"/>
        </w:rPr>
        <w:t>Melhuish</w:t>
      </w:r>
      <w:proofErr w:type="spellEnd"/>
      <w:r w:rsidRPr="00D51254">
        <w:rPr>
          <w:rFonts w:cstheme="minorHAnsi"/>
          <w:color w:val="000000" w:themeColor="text1"/>
          <w:sz w:val="18"/>
          <w:szCs w:val="18"/>
        </w:rPr>
        <w:t xml:space="preserve">, E., De </w:t>
      </w:r>
      <w:proofErr w:type="spellStart"/>
      <w:r w:rsidRPr="00D51254">
        <w:rPr>
          <w:rFonts w:cstheme="minorHAnsi"/>
          <w:color w:val="000000" w:themeColor="text1"/>
          <w:sz w:val="18"/>
          <w:szCs w:val="18"/>
        </w:rPr>
        <w:t>Rosnay</w:t>
      </w:r>
      <w:proofErr w:type="spellEnd"/>
      <w:r w:rsidRPr="00D51254">
        <w:rPr>
          <w:rFonts w:cstheme="minorHAnsi"/>
          <w:color w:val="000000" w:themeColor="text1"/>
          <w:sz w:val="18"/>
          <w:szCs w:val="18"/>
        </w:rPr>
        <w:t xml:space="preserve">, M., </w:t>
      </w:r>
      <w:proofErr w:type="spellStart"/>
      <w:r w:rsidRPr="00D51254">
        <w:rPr>
          <w:rFonts w:cstheme="minorHAnsi"/>
          <w:color w:val="000000" w:themeColor="text1"/>
          <w:sz w:val="18"/>
          <w:szCs w:val="18"/>
        </w:rPr>
        <w:t>Duursma</w:t>
      </w:r>
      <w:proofErr w:type="spellEnd"/>
      <w:r w:rsidRPr="00D51254">
        <w:rPr>
          <w:rFonts w:cstheme="minorHAnsi"/>
          <w:color w:val="000000" w:themeColor="text1"/>
          <w:sz w:val="18"/>
          <w:szCs w:val="18"/>
        </w:rPr>
        <w:t xml:space="preserve">, E., &amp; </w:t>
      </w:r>
      <w:proofErr w:type="spellStart"/>
      <w:r w:rsidRPr="00D51254">
        <w:rPr>
          <w:rFonts w:cstheme="minorHAnsi"/>
          <w:color w:val="000000" w:themeColor="text1"/>
          <w:sz w:val="18"/>
          <w:szCs w:val="18"/>
        </w:rPr>
        <w:t>Luu</w:t>
      </w:r>
      <w:proofErr w:type="spellEnd"/>
      <w:r w:rsidRPr="00D51254">
        <w:rPr>
          <w:rFonts w:cstheme="minorHAnsi"/>
          <w:color w:val="000000" w:themeColor="text1"/>
          <w:sz w:val="18"/>
          <w:szCs w:val="18"/>
        </w:rPr>
        <w:t xml:space="preserve">, B. (2017). </w:t>
      </w:r>
      <w:r w:rsidRPr="00D51254">
        <w:rPr>
          <w:rFonts w:cstheme="minorHAnsi"/>
          <w:i/>
          <w:color w:val="000000" w:themeColor="text1"/>
          <w:sz w:val="18"/>
          <w:szCs w:val="18"/>
        </w:rPr>
        <w:t xml:space="preserve">Fostering Effective Early Learning Study: </w:t>
      </w:r>
      <w:r w:rsidRPr="00D51254">
        <w:rPr>
          <w:i/>
          <w:color w:val="000000" w:themeColor="text1"/>
          <w:sz w:val="18"/>
          <w:szCs w:val="18"/>
        </w:rPr>
        <w:t>A review of the current international evidence considering quality in early childhood education and care programmes – in delivery, pedagogy and child outcomes</w:t>
      </w:r>
      <w:r w:rsidRPr="00D51254">
        <w:rPr>
          <w:color w:val="000000" w:themeColor="text1"/>
          <w:sz w:val="18"/>
          <w:szCs w:val="18"/>
        </w:rPr>
        <w:t>. A</w:t>
      </w:r>
      <w:r w:rsidRPr="00D51254">
        <w:rPr>
          <w:rFonts w:cstheme="minorHAnsi"/>
          <w:color w:val="000000" w:themeColor="text1"/>
          <w:sz w:val="18"/>
          <w:szCs w:val="18"/>
        </w:rPr>
        <w:t xml:space="preserve"> study funded by the NSW Department of Education. Wollongong, NSW: Early Start Research Institute, University of Wollongong. Retrieved from </w:t>
      </w:r>
      <w:hyperlink r:id="rId67" w:history="1">
        <w:r w:rsidRPr="00D51254">
          <w:rPr>
            <w:rStyle w:val="Hyperlink"/>
            <w:rFonts w:cstheme="minorHAnsi"/>
            <w:color w:val="000000" w:themeColor="text1"/>
            <w:sz w:val="18"/>
            <w:szCs w:val="18"/>
          </w:rPr>
          <w:t>https://education.nsw.gov.au/media/ecec/pdf-documents/FEEL-Study-Literature-Review-Final.pdf</w:t>
        </w:r>
      </w:hyperlink>
    </w:p>
  </w:endnote>
  <w:endnote w:id="10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Phillips, D, et al. (2017). </w:t>
      </w:r>
    </w:p>
  </w:endnote>
  <w:endnote w:id="105">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146, </w:t>
      </w:r>
      <w:r w:rsidRPr="00D51254">
        <w:rPr>
          <w:rFonts w:eastAsia="Times New Roman"/>
          <w:color w:val="000000" w:themeColor="text1"/>
          <w:sz w:val="18"/>
          <w:szCs w:val="18"/>
        </w:rPr>
        <w:t xml:space="preserve">OECD </w:t>
      </w:r>
      <w:r w:rsidRPr="00D51254">
        <w:rPr>
          <w:color w:val="000000" w:themeColor="text1"/>
          <w:sz w:val="18"/>
          <w:szCs w:val="18"/>
        </w:rPr>
        <w:t xml:space="preserve">(2017). </w:t>
      </w:r>
      <w:r w:rsidRPr="00D51254">
        <w:rPr>
          <w:i/>
          <w:color w:val="000000" w:themeColor="text1"/>
          <w:sz w:val="18"/>
          <w:szCs w:val="18"/>
        </w:rPr>
        <w:t>Starting Strong.</w:t>
      </w:r>
    </w:p>
  </w:endnote>
  <w:endnote w:id="10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p>
  </w:endnote>
  <w:endnote w:id="10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McCoy, D. C., Yoshikawa, H., </w:t>
      </w:r>
      <w:proofErr w:type="spellStart"/>
      <w:r w:rsidRPr="00D51254">
        <w:rPr>
          <w:color w:val="000000" w:themeColor="text1"/>
          <w:sz w:val="18"/>
          <w:szCs w:val="18"/>
        </w:rPr>
        <w:t>Ziol</w:t>
      </w:r>
      <w:proofErr w:type="spellEnd"/>
      <w:r w:rsidRPr="00D51254">
        <w:rPr>
          <w:color w:val="000000" w:themeColor="text1"/>
          <w:sz w:val="18"/>
          <w:szCs w:val="18"/>
        </w:rPr>
        <w:t xml:space="preserve">-Guest, K. M., Duncan, G., J., Schindler, H. S., Magnuson, K. A., Yang, R., Koepp, A. E., &amp; </w:t>
      </w:r>
      <w:proofErr w:type="spellStart"/>
      <w:r w:rsidRPr="00D51254">
        <w:rPr>
          <w:color w:val="000000" w:themeColor="text1"/>
          <w:sz w:val="18"/>
          <w:szCs w:val="18"/>
        </w:rPr>
        <w:t>Shonkoff</w:t>
      </w:r>
      <w:proofErr w:type="spellEnd"/>
      <w:r w:rsidRPr="00D51254">
        <w:rPr>
          <w:color w:val="000000" w:themeColor="text1"/>
          <w:sz w:val="18"/>
          <w:szCs w:val="18"/>
        </w:rPr>
        <w:t xml:space="preserve">, J. (in press). Impacts of early childhood education on medium- and long-term educational outcomes. </w:t>
      </w:r>
      <w:r w:rsidRPr="00D51254">
        <w:rPr>
          <w:i/>
          <w:iCs/>
          <w:color w:val="000000" w:themeColor="text1"/>
          <w:sz w:val="18"/>
          <w:szCs w:val="18"/>
        </w:rPr>
        <w:t>Educational Researcher</w:t>
      </w:r>
    </w:p>
  </w:endnote>
  <w:endnote w:id="10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McCoy, D. C., Yoshikawa, H., </w:t>
      </w:r>
      <w:proofErr w:type="spellStart"/>
      <w:r w:rsidRPr="00D51254">
        <w:rPr>
          <w:color w:val="000000" w:themeColor="text1"/>
          <w:sz w:val="18"/>
          <w:szCs w:val="18"/>
        </w:rPr>
        <w:t>Ziol</w:t>
      </w:r>
      <w:proofErr w:type="spellEnd"/>
      <w:r w:rsidRPr="00D51254">
        <w:rPr>
          <w:color w:val="000000" w:themeColor="text1"/>
          <w:sz w:val="18"/>
          <w:szCs w:val="18"/>
        </w:rPr>
        <w:t xml:space="preserve">-Guest, K. M., Duncan, G., J., Schindler, H. S., Magnuson, K. A., Yang, R., Koepp, A. E., &amp; </w:t>
      </w:r>
      <w:proofErr w:type="spellStart"/>
      <w:r w:rsidRPr="00D51254">
        <w:rPr>
          <w:color w:val="000000" w:themeColor="text1"/>
          <w:sz w:val="18"/>
          <w:szCs w:val="18"/>
        </w:rPr>
        <w:t>Shonkoff</w:t>
      </w:r>
      <w:proofErr w:type="spellEnd"/>
      <w:r w:rsidRPr="00D51254">
        <w:rPr>
          <w:color w:val="000000" w:themeColor="text1"/>
          <w:sz w:val="18"/>
          <w:szCs w:val="18"/>
        </w:rPr>
        <w:t xml:space="preserve">, J. (in press).  </w:t>
      </w:r>
    </w:p>
  </w:endnote>
  <w:endnote w:id="10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r w:rsidRPr="00D51254">
        <w:rPr>
          <w:i/>
          <w:color w:val="000000" w:themeColor="text1"/>
          <w:sz w:val="18"/>
          <w:szCs w:val="18"/>
        </w:rPr>
        <w:t xml:space="preserve">Effective preschool, primary and secondary education project (EPPSE 3-16+): How preschool influences children and young people’s attainment and developmental outcomes over time. </w:t>
      </w:r>
      <w:r w:rsidRPr="00D51254">
        <w:rPr>
          <w:color w:val="000000" w:themeColor="text1"/>
          <w:sz w:val="18"/>
          <w:szCs w:val="18"/>
        </w:rPr>
        <w:t xml:space="preserve">Research Brief (June 2015). UK: Department for Education. Retrieved from </w:t>
      </w:r>
      <w:hyperlink r:id="rId68" w:history="1">
        <w:r w:rsidRPr="00D51254">
          <w:rPr>
            <w:rStyle w:val="Hyperlink"/>
            <w:color w:val="000000" w:themeColor="text1"/>
            <w:sz w:val="18"/>
            <w:szCs w:val="18"/>
          </w:rPr>
          <w:t>http://dera.ioe.ac.uk/23344/1/RB455_Effective_pre-school_primary_and_secondary_education_project.pdf</w:t>
        </w:r>
      </w:hyperlink>
    </w:p>
  </w:endnote>
  <w:endnote w:id="11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p>
  </w:endnote>
  <w:endnote w:id="11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Warren, D., O’Connor, M., Smart, D., &amp; Edwards, B. (2016). </w:t>
      </w:r>
      <w:r w:rsidRPr="00D51254">
        <w:rPr>
          <w:i/>
          <w:color w:val="000000" w:themeColor="text1"/>
          <w:sz w:val="18"/>
          <w:szCs w:val="18"/>
        </w:rPr>
        <w:t xml:space="preserve">A critical review of the early childhood literature. </w:t>
      </w:r>
      <w:r w:rsidRPr="00D51254">
        <w:rPr>
          <w:color w:val="000000" w:themeColor="text1"/>
          <w:sz w:val="18"/>
          <w:szCs w:val="18"/>
        </w:rPr>
        <w:t>Melbourne, Victoria:</w:t>
      </w:r>
      <w:r w:rsidRPr="00D51254">
        <w:rPr>
          <w:i/>
          <w:color w:val="000000" w:themeColor="text1"/>
          <w:sz w:val="18"/>
          <w:szCs w:val="18"/>
        </w:rPr>
        <w:t xml:space="preserve"> </w:t>
      </w:r>
      <w:r w:rsidRPr="00D51254">
        <w:rPr>
          <w:color w:val="000000" w:themeColor="text1"/>
          <w:sz w:val="18"/>
          <w:szCs w:val="18"/>
        </w:rPr>
        <w:t xml:space="preserve">Australian Institute of Family Studies. Retrieved from </w:t>
      </w:r>
      <w:hyperlink r:id="rId69" w:history="1">
        <w:r w:rsidRPr="00D51254">
          <w:rPr>
            <w:rStyle w:val="Hyperlink"/>
            <w:color w:val="000000" w:themeColor="text1"/>
            <w:sz w:val="18"/>
            <w:szCs w:val="18"/>
          </w:rPr>
          <w:t>https://docs.education.gov.au/system/files/doc/other/aifs_crit_review_ec_lit_final_pdf_0.pdf</w:t>
        </w:r>
      </w:hyperlink>
    </w:p>
  </w:endnote>
  <w:endnote w:id="112">
    <w:p w:rsidR="00DD13F8" w:rsidRPr="00D51254" w:rsidRDefault="00DD13F8" w:rsidP="00EE0AC8">
      <w:pPr>
        <w:pStyle w:val="EndnoteText"/>
        <w:tabs>
          <w:tab w:val="left" w:pos="3954"/>
        </w:tabs>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p>
  </w:endnote>
  <w:endnote w:id="11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p>
  </w:endnote>
  <w:endnote w:id="11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et al., </w:t>
      </w:r>
      <w:r w:rsidRPr="00D51254">
        <w:rPr>
          <w:i/>
          <w:color w:val="000000" w:themeColor="text1"/>
          <w:sz w:val="18"/>
          <w:szCs w:val="18"/>
        </w:rPr>
        <w:t xml:space="preserve">Effective preschool, primary and secondary education project (EPPSE 3-16+) – Research Brief </w:t>
      </w:r>
      <w:r w:rsidRPr="00D51254">
        <w:rPr>
          <w:color w:val="000000" w:themeColor="text1"/>
          <w:sz w:val="18"/>
          <w:szCs w:val="18"/>
        </w:rPr>
        <w:t>(June 2015), Department for Education UK, p. 29. Available at: http://dera.ioe.ac.uk/23344/1/RB455_Effective_pre-school_primary_and_secondary_education_project.pdf</w:t>
      </w:r>
    </w:p>
  </w:endnote>
  <w:endnote w:id="11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p>
  </w:endnote>
  <w:endnote w:id="11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and O’Connell, M., </w:t>
      </w:r>
      <w:proofErr w:type="spellStart"/>
      <w:r w:rsidRPr="00D51254">
        <w:rPr>
          <w:color w:val="000000" w:themeColor="text1"/>
          <w:sz w:val="18"/>
          <w:szCs w:val="18"/>
        </w:rPr>
        <w:t>Fox,S</w:t>
      </w:r>
      <w:proofErr w:type="spellEnd"/>
      <w:r w:rsidRPr="00D51254">
        <w:rPr>
          <w:color w:val="000000" w:themeColor="text1"/>
          <w:sz w:val="18"/>
          <w:szCs w:val="18"/>
        </w:rPr>
        <w:t xml:space="preserve">., </w:t>
      </w:r>
      <w:proofErr w:type="spellStart"/>
      <w:r w:rsidRPr="00D51254">
        <w:rPr>
          <w:color w:val="000000" w:themeColor="text1"/>
          <w:sz w:val="18"/>
          <w:szCs w:val="18"/>
        </w:rPr>
        <w:t>Hinz</w:t>
      </w:r>
      <w:proofErr w:type="spellEnd"/>
      <w:r w:rsidRPr="00D51254">
        <w:rPr>
          <w:color w:val="000000" w:themeColor="text1"/>
          <w:sz w:val="18"/>
          <w:szCs w:val="18"/>
        </w:rPr>
        <w:t xml:space="preserve">, B., &amp; Cole, H. (2016). </w:t>
      </w:r>
    </w:p>
  </w:endnote>
  <w:endnote w:id="11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Schweinhart</w:t>
      </w:r>
      <w:proofErr w:type="spellEnd"/>
      <w:r w:rsidRPr="00D51254">
        <w:rPr>
          <w:color w:val="000000" w:themeColor="text1"/>
          <w:sz w:val="18"/>
          <w:szCs w:val="18"/>
        </w:rPr>
        <w:t xml:space="preserve">, Lawrence J et al, (2005). </w:t>
      </w:r>
      <w:r w:rsidRPr="00D51254">
        <w:rPr>
          <w:i/>
          <w:color w:val="000000" w:themeColor="text1"/>
          <w:sz w:val="18"/>
          <w:szCs w:val="18"/>
        </w:rPr>
        <w:t xml:space="preserve">The High/Scope Perry Preschool Study Through Age 40 – Summary, Conclusions and Frequently Asked Questions </w:t>
      </w:r>
      <w:r w:rsidRPr="00D51254">
        <w:rPr>
          <w:color w:val="000000" w:themeColor="text1"/>
          <w:sz w:val="18"/>
          <w:szCs w:val="18"/>
        </w:rPr>
        <w:t xml:space="preserve">High/Scope Press Michigan. Retrieved from: </w:t>
      </w:r>
      <w:hyperlink r:id="rId70" w:history="1">
        <w:r w:rsidRPr="00D51254">
          <w:rPr>
            <w:rStyle w:val="Hyperlink"/>
            <w:color w:val="000000" w:themeColor="text1"/>
            <w:sz w:val="18"/>
            <w:szCs w:val="18"/>
          </w:rPr>
          <w:t>http://nieer.org/wp-content/uploads/2014/09/specialsummary_rev2011_02_2.pdf</w:t>
        </w:r>
      </w:hyperlink>
    </w:p>
  </w:endnote>
  <w:endnote w:id="11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Barnett, W. S., &amp; Masse, L. N. (2007). </w:t>
      </w:r>
    </w:p>
  </w:endnote>
  <w:endnote w:id="11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Reynolds, A. et.al (2011). School-Based Early Childhood Education and Age-28 Well-Being: Effects by Timing, Dosage, Subgroups. Retrieved from: </w:t>
      </w:r>
      <w:hyperlink r:id="rId71" w:history="1">
        <w:r w:rsidRPr="00D51254">
          <w:rPr>
            <w:rStyle w:val="Hyperlink"/>
            <w:color w:val="000000" w:themeColor="text1"/>
            <w:sz w:val="18"/>
            <w:szCs w:val="18"/>
          </w:rPr>
          <w:t>https://www.ncbi.nlm.nih.gov/pmc/articles/PMC3774305/</w:t>
        </w:r>
      </w:hyperlink>
    </w:p>
  </w:endnote>
  <w:endnote w:id="12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Australian Government. (2014). </w:t>
      </w:r>
      <w:r w:rsidRPr="00D51254">
        <w:rPr>
          <w:i/>
          <w:color w:val="000000" w:themeColor="text1"/>
          <w:sz w:val="18"/>
          <w:szCs w:val="18"/>
        </w:rPr>
        <w:t xml:space="preserve">Research Snapshot – Early childhood education and care and the transition to school. </w:t>
      </w:r>
      <w:r w:rsidRPr="00D51254">
        <w:rPr>
          <w:color w:val="000000" w:themeColor="text1"/>
          <w:sz w:val="18"/>
          <w:szCs w:val="18"/>
        </w:rPr>
        <w:t xml:space="preserve">Retrieved from: </w:t>
      </w:r>
      <w:hyperlink r:id="rId72" w:history="1">
        <w:r w:rsidRPr="00D51254">
          <w:rPr>
            <w:rStyle w:val="Hyperlink"/>
            <w:color w:val="000000" w:themeColor="text1"/>
            <w:sz w:val="18"/>
            <w:szCs w:val="18"/>
          </w:rPr>
          <w:t>http://www.aedc.gov.au/resources/detail/early-childhood-education-and-care-and-the-transition-to-school</w:t>
        </w:r>
      </w:hyperlink>
    </w:p>
  </w:endnote>
  <w:endnote w:id="121">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Early Learning: Everyone Benefits. (2017). </w:t>
      </w:r>
    </w:p>
  </w:endnote>
  <w:endnote w:id="12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Department of Education and Training, Victoria. (2016). </w:t>
      </w:r>
      <w:r w:rsidRPr="00D51254">
        <w:rPr>
          <w:i/>
          <w:color w:val="000000" w:themeColor="text1"/>
          <w:sz w:val="18"/>
          <w:szCs w:val="18"/>
        </w:rPr>
        <w:t xml:space="preserve">The State of Victoria’s Children Report 2015 – tipping the scales for children’s positive development.  </w:t>
      </w:r>
      <w:r w:rsidRPr="00D51254">
        <w:rPr>
          <w:color w:val="000000" w:themeColor="text1"/>
          <w:sz w:val="18"/>
          <w:szCs w:val="18"/>
        </w:rPr>
        <w:t xml:space="preserve">Melbourne, Victoria: Department of Education and Training. Retrieved from </w:t>
      </w:r>
      <w:hyperlink r:id="rId73" w:history="1">
        <w:r w:rsidRPr="00D51254">
          <w:rPr>
            <w:rStyle w:val="Hyperlink"/>
            <w:color w:val="000000" w:themeColor="text1"/>
            <w:sz w:val="18"/>
            <w:szCs w:val="18"/>
          </w:rPr>
          <w:t>http://www.education.vic.gov.au/Documents/about/research/state_of_victorias_children_2015.pdf</w:t>
        </w:r>
      </w:hyperlink>
    </w:p>
  </w:endnote>
  <w:endnote w:id="12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theme="minorHAnsi"/>
          <w:color w:val="000000" w:themeColor="text1"/>
          <w:sz w:val="18"/>
          <w:szCs w:val="18"/>
        </w:rPr>
        <w:t xml:space="preserve">Warren, D., &amp; </w:t>
      </w:r>
      <w:proofErr w:type="spellStart"/>
      <w:r w:rsidRPr="00D51254">
        <w:rPr>
          <w:rFonts w:cstheme="minorHAnsi"/>
          <w:color w:val="000000" w:themeColor="text1"/>
          <w:sz w:val="18"/>
          <w:szCs w:val="18"/>
        </w:rPr>
        <w:t>Haisken-DeNew</w:t>
      </w:r>
      <w:proofErr w:type="spellEnd"/>
      <w:r w:rsidRPr="00D51254">
        <w:rPr>
          <w:rFonts w:cstheme="minorHAnsi"/>
          <w:color w:val="000000" w:themeColor="text1"/>
          <w:sz w:val="18"/>
          <w:szCs w:val="18"/>
        </w:rPr>
        <w:t xml:space="preserve">, J. P. (2013). </w:t>
      </w:r>
      <w:r w:rsidRPr="00D51254">
        <w:rPr>
          <w:rFonts w:cstheme="minorHAnsi"/>
          <w:i/>
          <w:iCs/>
          <w:color w:val="000000" w:themeColor="text1"/>
          <w:sz w:val="18"/>
          <w:szCs w:val="18"/>
        </w:rPr>
        <w:t>Early bird catches the worm: The causal impact of pre-school participation and teacher qualifications on year 3 national NAPLAN cognitive tests</w:t>
      </w:r>
      <w:r w:rsidRPr="00D51254">
        <w:rPr>
          <w:rFonts w:cstheme="minorHAnsi"/>
          <w:color w:val="000000" w:themeColor="text1"/>
          <w:sz w:val="18"/>
          <w:szCs w:val="18"/>
        </w:rPr>
        <w:t>.</w:t>
      </w:r>
      <w:r w:rsidRPr="00D51254">
        <w:rPr>
          <w:color w:val="000000" w:themeColor="text1"/>
          <w:sz w:val="18"/>
          <w:szCs w:val="18"/>
        </w:rPr>
        <w:t xml:space="preserve"> Melbourne Institute Working Paper Series Working Paper No. 34/13. </w:t>
      </w:r>
      <w:r w:rsidRPr="00D51254">
        <w:rPr>
          <w:rFonts w:cstheme="minorHAnsi"/>
          <w:color w:val="000000" w:themeColor="text1"/>
          <w:sz w:val="18"/>
          <w:szCs w:val="18"/>
        </w:rPr>
        <w:t xml:space="preserve">Melbourne, Victoria: Institute of Applied Economic and Social Research, University of Melbourne. Retrieved from </w:t>
      </w:r>
      <w:hyperlink r:id="rId74" w:history="1">
        <w:r w:rsidRPr="00D51254">
          <w:rPr>
            <w:rStyle w:val="Hyperlink"/>
            <w:rFonts w:cstheme="minorHAnsi"/>
            <w:color w:val="000000" w:themeColor="text1"/>
            <w:sz w:val="18"/>
            <w:szCs w:val="18"/>
          </w:rPr>
          <w:t>http://pandora.nla.gov.au/pan/31506/20140214-0141/www.melbourneinstitute.com/downloads/working_paper_series/wp2013n34.pdf</w:t>
        </w:r>
      </w:hyperlink>
    </w:p>
  </w:endnote>
  <w:endnote w:id="12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Holzinger</w:t>
      </w:r>
      <w:proofErr w:type="spellEnd"/>
      <w:r w:rsidRPr="00D51254">
        <w:rPr>
          <w:color w:val="000000" w:themeColor="text1"/>
          <w:sz w:val="18"/>
          <w:szCs w:val="18"/>
        </w:rPr>
        <w:t xml:space="preserve">, L. A., &amp; Biddle, N. (2015). </w:t>
      </w:r>
      <w:r w:rsidRPr="00D51254">
        <w:rPr>
          <w:i/>
          <w:color w:val="000000" w:themeColor="text1"/>
          <w:sz w:val="18"/>
          <w:szCs w:val="18"/>
        </w:rPr>
        <w:t>The relationship between early childhood education and care (ECEC) and the outcomes of Indigenous children: Evidence from the Longitudinal Study of Indigenous Children (LSIC).</w:t>
      </w:r>
      <w:r w:rsidRPr="00D51254">
        <w:rPr>
          <w:color w:val="000000" w:themeColor="text1"/>
          <w:sz w:val="18"/>
          <w:szCs w:val="18"/>
        </w:rPr>
        <w:t xml:space="preserve"> CAEPR Working Paper No. 103/2015. Canberra, ACT: Centre for Aboriginal Economic Policy Research, The Australian National University. Retrieved from </w:t>
      </w:r>
      <w:hyperlink r:id="rId75" w:history="1">
        <w:r w:rsidRPr="00D51254">
          <w:rPr>
            <w:rStyle w:val="Hyperlink"/>
            <w:color w:val="000000" w:themeColor="text1"/>
            <w:sz w:val="18"/>
            <w:szCs w:val="18"/>
          </w:rPr>
          <w:t>http://caepr.anu.edu.au/Publications/WP/2015WP103.php</w:t>
        </w:r>
      </w:hyperlink>
    </w:p>
  </w:endnote>
  <w:endnote w:id="12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In PISA, one year of formal schooling is the equivalent to around 30 points.</w:t>
      </w:r>
    </w:p>
  </w:endnote>
  <w:endnote w:id="126">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p>
  </w:endnote>
  <w:endnote w:id="12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Fox, S., &amp; Geddes, M. (2016</w:t>
      </w:r>
      <w:r w:rsidRPr="00D51254">
        <w:rPr>
          <w:i/>
          <w:iCs/>
          <w:color w:val="000000" w:themeColor="text1"/>
          <w:sz w:val="18"/>
          <w:szCs w:val="18"/>
        </w:rPr>
        <w:t xml:space="preserve">). </w:t>
      </w:r>
    </w:p>
  </w:endnote>
  <w:endnote w:id="12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Centre for Community Child Health (CCCH). (2014). </w:t>
      </w:r>
      <w:r w:rsidRPr="00D51254">
        <w:rPr>
          <w:i/>
          <w:iCs/>
          <w:color w:val="000000" w:themeColor="text1"/>
          <w:sz w:val="18"/>
          <w:szCs w:val="18"/>
        </w:rPr>
        <w:t xml:space="preserve">Research Snapshot: Early childhood education and care and the transition to school. </w:t>
      </w:r>
      <w:r w:rsidRPr="00D51254">
        <w:rPr>
          <w:color w:val="000000" w:themeColor="text1"/>
          <w:sz w:val="18"/>
          <w:szCs w:val="18"/>
        </w:rPr>
        <w:t xml:space="preserve">Project funded by the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Government under the Australian Early Development Census (AEDC) programme. Centre for Community Child Health (CCCH), Royal Children’s Hospital, Melbourne: Commonwealth of Australia.</w:t>
      </w:r>
    </w:p>
    <w:p w:rsidR="00DD13F8" w:rsidRPr="00D51254" w:rsidRDefault="003A6BCA" w:rsidP="00EE0AC8">
      <w:pPr>
        <w:pStyle w:val="EndnoteText"/>
        <w:rPr>
          <w:color w:val="000000" w:themeColor="text1"/>
          <w:sz w:val="18"/>
          <w:szCs w:val="18"/>
          <w:highlight w:val="yellow"/>
        </w:rPr>
      </w:pPr>
      <w:hyperlink r:id="rId76" w:history="1">
        <w:r w:rsidR="00DD13F8" w:rsidRPr="00D51254">
          <w:rPr>
            <w:rStyle w:val="Hyperlink"/>
            <w:color w:val="000000" w:themeColor="text1"/>
            <w:sz w:val="18"/>
            <w:szCs w:val="18"/>
          </w:rPr>
          <w:t>https://www.aedc.gov.au/resources/detail/early-childhood-education-and-care-and-the-transition-to-school</w:t>
        </w:r>
      </w:hyperlink>
      <w:r w:rsidR="00DD13F8" w:rsidRPr="00D51254">
        <w:rPr>
          <w:color w:val="000000" w:themeColor="text1"/>
          <w:sz w:val="18"/>
          <w:szCs w:val="18"/>
        </w:rPr>
        <w:t xml:space="preserve"> </w:t>
      </w:r>
    </w:p>
  </w:endnote>
  <w:endnote w:id="12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Fox, S., &amp; Geddes, M. (2016</w:t>
      </w:r>
      <w:r w:rsidRPr="00D51254">
        <w:rPr>
          <w:i/>
          <w:iCs/>
          <w:color w:val="000000" w:themeColor="text1"/>
          <w:sz w:val="18"/>
          <w:szCs w:val="18"/>
        </w:rPr>
        <w:t xml:space="preserve">). </w:t>
      </w:r>
    </w:p>
  </w:endnote>
  <w:endnote w:id="13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Bennett, J. (2008). Benchmarks for early childhood services in OECD countries. </w:t>
      </w:r>
      <w:proofErr w:type="spellStart"/>
      <w:r w:rsidRPr="00D51254">
        <w:rPr>
          <w:i/>
          <w:color w:val="000000" w:themeColor="text1"/>
          <w:sz w:val="18"/>
          <w:szCs w:val="18"/>
        </w:rPr>
        <w:t>Innocenti</w:t>
      </w:r>
      <w:proofErr w:type="spellEnd"/>
      <w:r w:rsidRPr="00D51254">
        <w:rPr>
          <w:i/>
          <w:color w:val="000000" w:themeColor="text1"/>
          <w:sz w:val="18"/>
          <w:szCs w:val="18"/>
        </w:rPr>
        <w:t xml:space="preserve"> Working Paper 2008-02.</w:t>
      </w:r>
      <w:r w:rsidRPr="00D51254">
        <w:rPr>
          <w:color w:val="000000" w:themeColor="text1"/>
          <w:sz w:val="18"/>
          <w:szCs w:val="18"/>
        </w:rPr>
        <w:t xml:space="preserve"> Florence, Italy: UNICEF </w:t>
      </w:r>
      <w:proofErr w:type="spellStart"/>
      <w:r w:rsidRPr="00D51254">
        <w:rPr>
          <w:color w:val="000000" w:themeColor="text1"/>
          <w:sz w:val="18"/>
          <w:szCs w:val="18"/>
        </w:rPr>
        <w:t>Innocenti</w:t>
      </w:r>
      <w:proofErr w:type="spellEnd"/>
      <w:r w:rsidRPr="00D51254">
        <w:rPr>
          <w:color w:val="000000" w:themeColor="text1"/>
          <w:sz w:val="18"/>
          <w:szCs w:val="18"/>
        </w:rPr>
        <w:t xml:space="preserve"> Research Centre. Retrieved from </w:t>
      </w:r>
      <w:hyperlink r:id="rId77" w:history="1">
        <w:r w:rsidRPr="00D51254">
          <w:rPr>
            <w:rStyle w:val="Hyperlink"/>
            <w:color w:val="000000" w:themeColor="text1"/>
            <w:sz w:val="18"/>
            <w:szCs w:val="18"/>
          </w:rPr>
          <w:t>https://www.unicef-irc.org/publications/pdf/iwp_2008_02_final.pdf</w:t>
        </w:r>
      </w:hyperlink>
    </w:p>
  </w:endnote>
  <w:endnote w:id="131">
    <w:p w:rsidR="00DD13F8" w:rsidRPr="00D51254" w:rsidRDefault="00DD13F8" w:rsidP="00EE0AC8">
      <w:pPr>
        <w:pStyle w:val="Heading1"/>
        <w:spacing w:before="0"/>
        <w:rPr>
          <w:rFonts w:asciiTheme="minorHAnsi" w:eastAsiaTheme="minorHAnsi" w:hAnsiTheme="minorHAnsi" w:cstheme="minorBidi"/>
          <w:b w:val="0"/>
          <w:bCs w:val="0"/>
          <w:color w:val="000000" w:themeColor="text1"/>
          <w:sz w:val="18"/>
          <w:szCs w:val="18"/>
        </w:rPr>
      </w:pPr>
      <w:r w:rsidRPr="00D51254">
        <w:rPr>
          <w:rStyle w:val="EndnoteReference"/>
          <w:rFonts w:asciiTheme="minorHAnsi" w:eastAsiaTheme="minorHAnsi" w:hAnsiTheme="minorHAnsi" w:cstheme="minorBidi"/>
          <w:b w:val="0"/>
          <w:bCs w:val="0"/>
          <w:color w:val="000000" w:themeColor="text1"/>
          <w:sz w:val="18"/>
          <w:szCs w:val="18"/>
        </w:rPr>
        <w:endnoteRef/>
      </w:r>
      <w:r w:rsidRPr="00D51254">
        <w:rPr>
          <w:rStyle w:val="EndnoteReference"/>
          <w:rFonts w:asciiTheme="minorHAnsi" w:eastAsiaTheme="minorHAnsi" w:hAnsiTheme="minorHAnsi" w:cstheme="minorBidi"/>
          <w:b w:val="0"/>
          <w:bCs w:val="0"/>
          <w:color w:val="000000" w:themeColor="text1"/>
          <w:sz w:val="18"/>
          <w:szCs w:val="18"/>
        </w:rPr>
        <w:t xml:space="preserve"> </w:t>
      </w:r>
      <w:r w:rsidRPr="00D51254">
        <w:rPr>
          <w:rFonts w:asciiTheme="minorHAnsi" w:eastAsiaTheme="minorHAnsi" w:hAnsiTheme="minorHAnsi" w:cstheme="minorBidi"/>
          <w:b w:val="0"/>
          <w:bCs w:val="0"/>
          <w:color w:val="000000" w:themeColor="text1"/>
          <w:sz w:val="18"/>
          <w:szCs w:val="18"/>
        </w:rPr>
        <w:t xml:space="preserve">Loeb, S et al (2007). How Much is Too Much? The Influence of Preschool </w:t>
      </w:r>
      <w:proofErr w:type="spellStart"/>
      <w:r w:rsidRPr="00D51254">
        <w:rPr>
          <w:rFonts w:asciiTheme="minorHAnsi" w:eastAsiaTheme="minorHAnsi" w:hAnsiTheme="minorHAnsi" w:cstheme="minorBidi"/>
          <w:b w:val="0"/>
          <w:bCs w:val="0"/>
          <w:color w:val="000000" w:themeColor="text1"/>
          <w:sz w:val="18"/>
          <w:szCs w:val="18"/>
        </w:rPr>
        <w:t>Centers</w:t>
      </w:r>
      <w:proofErr w:type="spellEnd"/>
      <w:r w:rsidRPr="00D51254">
        <w:rPr>
          <w:rFonts w:asciiTheme="minorHAnsi" w:eastAsiaTheme="minorHAnsi" w:hAnsiTheme="minorHAnsi" w:cstheme="minorBidi"/>
          <w:b w:val="0"/>
          <w:bCs w:val="0"/>
          <w:color w:val="000000" w:themeColor="text1"/>
          <w:sz w:val="18"/>
          <w:szCs w:val="18"/>
        </w:rPr>
        <w:t xml:space="preserve"> on Children's Social and Cognitive Development. </w:t>
      </w:r>
      <w:r w:rsidRPr="00D51254">
        <w:rPr>
          <w:rFonts w:asciiTheme="minorHAnsi" w:eastAsiaTheme="minorHAnsi" w:hAnsiTheme="minorHAnsi" w:cstheme="minorBidi"/>
          <w:b w:val="0"/>
          <w:bCs w:val="0"/>
          <w:i/>
          <w:color w:val="000000" w:themeColor="text1"/>
          <w:sz w:val="18"/>
          <w:szCs w:val="18"/>
        </w:rPr>
        <w:t xml:space="preserve">Economics of Education Review, 26,1. </w:t>
      </w:r>
      <w:r w:rsidRPr="00D51254">
        <w:rPr>
          <w:rFonts w:asciiTheme="minorHAnsi" w:eastAsiaTheme="minorHAnsi" w:hAnsiTheme="minorHAnsi" w:cstheme="minorBidi"/>
          <w:b w:val="0"/>
          <w:bCs w:val="0"/>
          <w:color w:val="000000" w:themeColor="text1"/>
          <w:sz w:val="18"/>
          <w:szCs w:val="18"/>
        </w:rPr>
        <w:t xml:space="preserve">Retrieved from: </w:t>
      </w:r>
      <w:hyperlink r:id="rId78" w:history="1">
        <w:r w:rsidRPr="00D51254">
          <w:rPr>
            <w:rStyle w:val="Hyperlink"/>
            <w:rFonts w:asciiTheme="minorHAnsi" w:eastAsiaTheme="minorHAnsi" w:hAnsiTheme="minorHAnsi" w:cstheme="minorBidi"/>
            <w:b w:val="0"/>
            <w:bCs w:val="0"/>
            <w:color w:val="000000" w:themeColor="text1"/>
            <w:sz w:val="18"/>
            <w:szCs w:val="18"/>
          </w:rPr>
          <w:t>http://www.nber.org/papers/w11812</w:t>
        </w:r>
      </w:hyperlink>
    </w:p>
  </w:endnote>
  <w:endnote w:id="13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bCs/>
          <w:color w:val="000000" w:themeColor="text1"/>
          <w:sz w:val="18"/>
          <w:szCs w:val="18"/>
        </w:rPr>
        <w:t xml:space="preserve">Loeb, S et al (2007). </w:t>
      </w:r>
    </w:p>
  </w:endnote>
  <w:endnote w:id="13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Fox, S., &amp; Geddes, M. (2016</w:t>
      </w:r>
      <w:r w:rsidRPr="00D51254">
        <w:rPr>
          <w:i/>
          <w:iCs/>
          <w:color w:val="000000" w:themeColor="text1"/>
          <w:sz w:val="18"/>
          <w:szCs w:val="18"/>
        </w:rPr>
        <w:t xml:space="preserve">). </w:t>
      </w:r>
    </w:p>
  </w:endnote>
  <w:endnote w:id="13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eastAsia="Times New Roman"/>
          <w:color w:val="000000" w:themeColor="text1"/>
          <w:sz w:val="18"/>
          <w:szCs w:val="18"/>
        </w:rPr>
        <w:t xml:space="preserve">OECD </w:t>
      </w:r>
      <w:r w:rsidRPr="00D51254">
        <w:rPr>
          <w:color w:val="000000" w:themeColor="text1"/>
          <w:sz w:val="18"/>
          <w:szCs w:val="18"/>
        </w:rPr>
        <w:t xml:space="preserve">(2015). </w:t>
      </w:r>
      <w:r w:rsidRPr="00D51254">
        <w:rPr>
          <w:i/>
          <w:color w:val="000000" w:themeColor="text1"/>
          <w:sz w:val="18"/>
          <w:szCs w:val="18"/>
        </w:rPr>
        <w:t>OECD skills outlook 2015: Youth, skills and employability.</w:t>
      </w:r>
      <w:r w:rsidRPr="00D51254">
        <w:rPr>
          <w:color w:val="000000" w:themeColor="text1"/>
          <w:sz w:val="18"/>
          <w:szCs w:val="18"/>
        </w:rPr>
        <w:t xml:space="preserve"> Paris: OECD Publishing. </w:t>
      </w:r>
      <w:hyperlink r:id="rId79" w:history="1">
        <w:r w:rsidRPr="00D51254">
          <w:rPr>
            <w:rStyle w:val="Hyperlink"/>
            <w:color w:val="000000" w:themeColor="text1"/>
            <w:sz w:val="18"/>
            <w:szCs w:val="18"/>
          </w:rPr>
          <w:t>http://dx.doi.org/10.1787/9789264234178-en</w:t>
        </w:r>
      </w:hyperlink>
      <w:r w:rsidRPr="00D51254">
        <w:rPr>
          <w:color w:val="000000" w:themeColor="text1"/>
          <w:sz w:val="18"/>
          <w:szCs w:val="18"/>
        </w:rPr>
        <w:t xml:space="preserve"> Retrieved from </w:t>
      </w:r>
      <w:hyperlink r:id="rId80" w:history="1">
        <w:r w:rsidRPr="00D51254">
          <w:rPr>
            <w:rStyle w:val="Hyperlink"/>
            <w:color w:val="000000" w:themeColor="text1"/>
            <w:sz w:val="18"/>
            <w:szCs w:val="18"/>
          </w:rPr>
          <w:t>https://www.mecd.gob.es/dctm/inee/internacional/1-skillsoutlook2015.pdf?documentId=0901e72b81d77c93</w:t>
        </w:r>
      </w:hyperlink>
    </w:p>
  </w:endnote>
  <w:endnote w:id="13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Center on the Developing Child. (2012). </w:t>
      </w:r>
      <w:r w:rsidRPr="00D51254">
        <w:rPr>
          <w:i/>
          <w:color w:val="000000" w:themeColor="text1"/>
          <w:sz w:val="18"/>
          <w:szCs w:val="18"/>
        </w:rPr>
        <w:t>Executive Function: Skills for Life and Learning</w:t>
      </w:r>
      <w:r w:rsidRPr="00D51254">
        <w:rPr>
          <w:color w:val="000000" w:themeColor="text1"/>
          <w:sz w:val="18"/>
          <w:szCs w:val="18"/>
        </w:rPr>
        <w:t xml:space="preserve">. </w:t>
      </w:r>
    </w:p>
  </w:endnote>
  <w:endnote w:id="13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eastAsia="Times New Roman"/>
          <w:color w:val="000000" w:themeColor="text1"/>
          <w:sz w:val="18"/>
          <w:szCs w:val="18"/>
        </w:rPr>
        <w:t xml:space="preserve">OECD </w:t>
      </w:r>
      <w:r w:rsidRPr="00D51254">
        <w:rPr>
          <w:color w:val="000000" w:themeColor="text1"/>
          <w:sz w:val="18"/>
          <w:szCs w:val="18"/>
        </w:rPr>
        <w:t xml:space="preserve">(2015). </w:t>
      </w:r>
      <w:r w:rsidRPr="00D51254">
        <w:rPr>
          <w:i/>
          <w:color w:val="000000" w:themeColor="text1"/>
          <w:sz w:val="18"/>
          <w:szCs w:val="18"/>
        </w:rPr>
        <w:t>OECD skills outlook 2015: Youth, skills and employability.</w:t>
      </w:r>
      <w:r w:rsidRPr="00D51254">
        <w:rPr>
          <w:color w:val="000000" w:themeColor="text1"/>
          <w:sz w:val="18"/>
          <w:szCs w:val="18"/>
        </w:rPr>
        <w:t xml:space="preserve"> </w:t>
      </w:r>
    </w:p>
  </w:endnote>
  <w:endnote w:id="13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University of Otago (2017). Dunedin Multidisciplinary Health and Development Research Unit – About us. Retrieved from: </w:t>
      </w:r>
      <w:hyperlink r:id="rId81" w:history="1">
        <w:r w:rsidRPr="00D51254">
          <w:rPr>
            <w:rStyle w:val="Hyperlink"/>
            <w:color w:val="000000" w:themeColor="text1"/>
            <w:sz w:val="18"/>
            <w:szCs w:val="18"/>
          </w:rPr>
          <w:t>http://dunedinstudy.otago.ac.nz/about-us</w:t>
        </w:r>
      </w:hyperlink>
    </w:p>
  </w:endnote>
  <w:endnote w:id="13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Moffitt, T. E., </w:t>
      </w:r>
      <w:proofErr w:type="spellStart"/>
      <w:r w:rsidRPr="00D51254">
        <w:rPr>
          <w:color w:val="000000" w:themeColor="text1"/>
          <w:sz w:val="18"/>
          <w:szCs w:val="18"/>
        </w:rPr>
        <w:t>Arseneault</w:t>
      </w:r>
      <w:proofErr w:type="spellEnd"/>
      <w:r w:rsidRPr="00D51254">
        <w:rPr>
          <w:color w:val="000000" w:themeColor="text1"/>
          <w:sz w:val="18"/>
          <w:szCs w:val="18"/>
        </w:rPr>
        <w:t xml:space="preserve">, L., </w:t>
      </w:r>
      <w:proofErr w:type="spellStart"/>
      <w:r w:rsidRPr="00D51254">
        <w:rPr>
          <w:color w:val="000000" w:themeColor="text1"/>
          <w:sz w:val="18"/>
          <w:szCs w:val="18"/>
        </w:rPr>
        <w:t>Belskey</w:t>
      </w:r>
      <w:proofErr w:type="spellEnd"/>
      <w:r w:rsidRPr="00D51254">
        <w:rPr>
          <w:color w:val="000000" w:themeColor="text1"/>
          <w:sz w:val="18"/>
          <w:szCs w:val="18"/>
        </w:rPr>
        <w:t xml:space="preserve">, D., Dickson, N., </w:t>
      </w:r>
      <w:proofErr w:type="spellStart"/>
      <w:r w:rsidRPr="00D51254">
        <w:rPr>
          <w:color w:val="000000" w:themeColor="text1"/>
          <w:sz w:val="18"/>
          <w:szCs w:val="18"/>
        </w:rPr>
        <w:t>Hancox</w:t>
      </w:r>
      <w:proofErr w:type="spellEnd"/>
      <w:r w:rsidRPr="00D51254">
        <w:rPr>
          <w:color w:val="000000" w:themeColor="text1"/>
          <w:sz w:val="18"/>
          <w:szCs w:val="18"/>
        </w:rPr>
        <w:t xml:space="preserve">, R., Harrington, H., </w:t>
      </w:r>
      <w:proofErr w:type="spellStart"/>
      <w:r w:rsidRPr="00D51254">
        <w:rPr>
          <w:color w:val="000000" w:themeColor="text1"/>
          <w:sz w:val="18"/>
          <w:szCs w:val="18"/>
        </w:rPr>
        <w:t>Houts</w:t>
      </w:r>
      <w:proofErr w:type="spellEnd"/>
      <w:r w:rsidRPr="00D51254">
        <w:rPr>
          <w:color w:val="000000" w:themeColor="text1"/>
          <w:sz w:val="18"/>
          <w:szCs w:val="18"/>
        </w:rPr>
        <w:t xml:space="preserve">, R., </w:t>
      </w:r>
      <w:proofErr w:type="spellStart"/>
      <w:r w:rsidRPr="00D51254">
        <w:rPr>
          <w:color w:val="000000" w:themeColor="text1"/>
          <w:sz w:val="18"/>
          <w:szCs w:val="18"/>
        </w:rPr>
        <w:t>Poulton</w:t>
      </w:r>
      <w:proofErr w:type="spellEnd"/>
      <w:r w:rsidRPr="00D51254">
        <w:rPr>
          <w:color w:val="000000" w:themeColor="text1"/>
          <w:sz w:val="18"/>
          <w:szCs w:val="18"/>
        </w:rPr>
        <w:t xml:space="preserve">, R., Roberts, B. W., Ross, S., Sears, M. R., Thomson, W. M., </w:t>
      </w:r>
      <w:proofErr w:type="spellStart"/>
      <w:r w:rsidRPr="00D51254">
        <w:rPr>
          <w:color w:val="000000" w:themeColor="text1"/>
          <w:sz w:val="18"/>
          <w:szCs w:val="18"/>
        </w:rPr>
        <w:t>Caspi</w:t>
      </w:r>
      <w:proofErr w:type="spellEnd"/>
      <w:r w:rsidRPr="00D51254">
        <w:rPr>
          <w:color w:val="000000" w:themeColor="text1"/>
          <w:sz w:val="18"/>
          <w:szCs w:val="18"/>
        </w:rPr>
        <w:t xml:space="preserve">, A. (2011). A gradient of childhood self-control predicts health, wealth and public safety. </w:t>
      </w:r>
      <w:r w:rsidRPr="00D51254">
        <w:rPr>
          <w:i/>
          <w:color w:val="000000" w:themeColor="text1"/>
          <w:sz w:val="18"/>
          <w:szCs w:val="18"/>
        </w:rPr>
        <w:t>Proceedings of the National Academy of Sciences of the United States of America (PNAS),</w:t>
      </w:r>
      <w:r w:rsidRPr="00D51254">
        <w:rPr>
          <w:color w:val="000000" w:themeColor="text1"/>
          <w:sz w:val="18"/>
          <w:szCs w:val="18"/>
        </w:rPr>
        <w:t xml:space="preserve"> 108(7), 2693-2698. </w:t>
      </w:r>
      <w:proofErr w:type="spellStart"/>
      <w:r w:rsidRPr="00D51254">
        <w:rPr>
          <w:color w:val="000000" w:themeColor="text1"/>
          <w:sz w:val="18"/>
          <w:szCs w:val="18"/>
        </w:rPr>
        <w:t>doi</w:t>
      </w:r>
      <w:proofErr w:type="spellEnd"/>
      <w:r w:rsidRPr="00D51254">
        <w:rPr>
          <w:color w:val="000000" w:themeColor="text1"/>
          <w:sz w:val="18"/>
          <w:szCs w:val="18"/>
        </w:rPr>
        <w:t>: 10.1073/pnas.1010076108.</w:t>
      </w:r>
      <w:r w:rsidRPr="00D51254">
        <w:rPr>
          <w:rStyle w:val="doi"/>
          <w:color w:val="000000" w:themeColor="text1"/>
          <w:sz w:val="18"/>
          <w:szCs w:val="18"/>
          <w:bdr w:val="none" w:sz="0" w:space="0" w:color="auto" w:frame="1"/>
        </w:rPr>
        <w:t xml:space="preserve"> </w:t>
      </w:r>
      <w:r w:rsidRPr="00D51254">
        <w:rPr>
          <w:color w:val="000000" w:themeColor="text1"/>
          <w:sz w:val="18"/>
          <w:szCs w:val="18"/>
        </w:rPr>
        <w:t xml:space="preserve">Retrieved from </w:t>
      </w:r>
      <w:hyperlink r:id="rId82" w:history="1">
        <w:r w:rsidRPr="00D51254">
          <w:rPr>
            <w:rStyle w:val="Hyperlink"/>
            <w:color w:val="000000" w:themeColor="text1"/>
            <w:sz w:val="18"/>
            <w:szCs w:val="18"/>
          </w:rPr>
          <w:t>http://www.pnas.org/content/108/7/2693.full.pdf?with-ds=yes</w:t>
        </w:r>
      </w:hyperlink>
    </w:p>
  </w:endnote>
  <w:endnote w:id="139">
    <w:p w:rsidR="00DD13F8" w:rsidRPr="00D51254" w:rsidRDefault="00DD13F8" w:rsidP="00EE0AC8">
      <w:pPr>
        <w:pStyle w:val="EndnoteText"/>
        <w:rPr>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Caspi</w:t>
      </w:r>
      <w:proofErr w:type="spellEnd"/>
      <w:r w:rsidRPr="00D51254">
        <w:rPr>
          <w:color w:val="000000" w:themeColor="text1"/>
          <w:sz w:val="18"/>
          <w:szCs w:val="18"/>
        </w:rPr>
        <w:t xml:space="preserve">, A, et al (2016). Childhood forecasting of a small segment of the population with large economic burden. </w:t>
      </w:r>
      <w:r w:rsidRPr="00D51254">
        <w:rPr>
          <w:i/>
          <w:color w:val="000000" w:themeColor="text1"/>
          <w:sz w:val="18"/>
          <w:szCs w:val="18"/>
        </w:rPr>
        <w:t>Nature Human Behaviour,</w:t>
      </w:r>
      <w:r w:rsidRPr="00D51254">
        <w:rPr>
          <w:rFonts w:cs="Arial"/>
          <w:color w:val="000000" w:themeColor="text1"/>
          <w:spacing w:val="3"/>
          <w:sz w:val="18"/>
          <w:szCs w:val="18"/>
          <w:shd w:val="clear" w:color="auto" w:fill="FFFFFF"/>
        </w:rPr>
        <w:t> </w:t>
      </w:r>
      <w:r w:rsidRPr="00D51254">
        <w:rPr>
          <w:i/>
          <w:color w:val="000000" w:themeColor="text1"/>
          <w:sz w:val="18"/>
          <w:szCs w:val="18"/>
        </w:rPr>
        <w:t xml:space="preserve">0005, </w:t>
      </w:r>
      <w:proofErr w:type="spellStart"/>
      <w:r w:rsidRPr="00D51254">
        <w:rPr>
          <w:i/>
          <w:color w:val="000000" w:themeColor="text1"/>
          <w:sz w:val="18"/>
          <w:szCs w:val="18"/>
        </w:rPr>
        <w:t>doi</w:t>
      </w:r>
      <w:proofErr w:type="spellEnd"/>
      <w:r w:rsidRPr="00D51254">
        <w:rPr>
          <w:i/>
          <w:color w:val="000000" w:themeColor="text1"/>
          <w:sz w:val="18"/>
          <w:szCs w:val="18"/>
        </w:rPr>
        <w:t xml:space="preserve">: 10.1038/s41562-016-0005. </w:t>
      </w:r>
      <w:r w:rsidRPr="00D51254">
        <w:rPr>
          <w:color w:val="000000" w:themeColor="text1"/>
          <w:sz w:val="18"/>
          <w:szCs w:val="18"/>
        </w:rPr>
        <w:t xml:space="preserve">Retrieved from: </w:t>
      </w:r>
      <w:hyperlink r:id="rId83" w:history="1">
        <w:r w:rsidRPr="00D51254">
          <w:rPr>
            <w:rStyle w:val="Hyperlink"/>
            <w:color w:val="000000" w:themeColor="text1"/>
            <w:sz w:val="18"/>
            <w:szCs w:val="18"/>
          </w:rPr>
          <w:t>https://www.nature.com/articles/s41562-016-0005</w:t>
        </w:r>
      </w:hyperlink>
    </w:p>
  </w:endnote>
  <w:endnote w:id="14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Poulton</w:t>
      </w:r>
      <w:proofErr w:type="spellEnd"/>
      <w:r w:rsidRPr="00D51254">
        <w:rPr>
          <w:color w:val="000000" w:themeColor="text1"/>
          <w:sz w:val="18"/>
          <w:szCs w:val="18"/>
        </w:rPr>
        <w:t xml:space="preserve">, R. (2016). Childhood disadvantage strongly predicts costly adult life-course outcomes. University of Otago, Dunedin Multidisciplinary Health and Development Research Unit – news and events. Retrieved from: </w:t>
      </w:r>
      <w:hyperlink r:id="rId84" w:history="1">
        <w:r w:rsidRPr="00D51254">
          <w:rPr>
            <w:rStyle w:val="Hyperlink"/>
            <w:color w:val="000000" w:themeColor="text1"/>
            <w:sz w:val="18"/>
            <w:szCs w:val="18"/>
          </w:rPr>
          <w:t>http://dunedinstudy.otago.ac.nz/news-and-events/article/53</w:t>
        </w:r>
      </w:hyperlink>
      <w:r w:rsidRPr="00D51254">
        <w:rPr>
          <w:color w:val="000000" w:themeColor="text1"/>
          <w:sz w:val="18"/>
          <w:szCs w:val="18"/>
        </w:rPr>
        <w:t xml:space="preserve"> and</w:t>
      </w:r>
    </w:p>
    <w:p w:rsidR="00DD13F8" w:rsidRPr="00D51254" w:rsidRDefault="00DD13F8" w:rsidP="00EE0AC8">
      <w:pPr>
        <w:pStyle w:val="EndnoteText"/>
        <w:rPr>
          <w:color w:val="000000" w:themeColor="text1"/>
          <w:sz w:val="18"/>
          <w:szCs w:val="18"/>
        </w:rPr>
      </w:pPr>
      <w:proofErr w:type="spellStart"/>
      <w:r w:rsidRPr="00D51254">
        <w:rPr>
          <w:color w:val="000000" w:themeColor="text1"/>
          <w:sz w:val="18"/>
          <w:szCs w:val="18"/>
        </w:rPr>
        <w:t>Caspi</w:t>
      </w:r>
      <w:proofErr w:type="spellEnd"/>
      <w:r w:rsidRPr="00D51254">
        <w:rPr>
          <w:color w:val="000000" w:themeColor="text1"/>
          <w:sz w:val="18"/>
          <w:szCs w:val="18"/>
        </w:rPr>
        <w:t xml:space="preserve">, A, et al (2016). </w:t>
      </w:r>
    </w:p>
  </w:endnote>
  <w:endnote w:id="14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I. (2015).</w:t>
      </w:r>
    </w:p>
  </w:endnote>
  <w:endnote w:id="14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p>
  </w:endnote>
  <w:endnote w:id="14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Schweinhart</w:t>
      </w:r>
      <w:proofErr w:type="spellEnd"/>
      <w:r w:rsidRPr="00D51254">
        <w:rPr>
          <w:color w:val="000000" w:themeColor="text1"/>
          <w:sz w:val="18"/>
          <w:szCs w:val="18"/>
        </w:rPr>
        <w:t xml:space="preserve">, Lawrence J et al, (2005). </w:t>
      </w:r>
    </w:p>
  </w:endnote>
  <w:endnote w:id="14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Campbell, F</w:t>
      </w:r>
      <w:r w:rsidRPr="00D51254">
        <w:rPr>
          <w:color w:val="000000" w:themeColor="text1"/>
          <w:sz w:val="18"/>
          <w:szCs w:val="18"/>
        </w:rPr>
        <w:t xml:space="preserve">. A., Ramey, C. T., </w:t>
      </w:r>
      <w:proofErr w:type="spellStart"/>
      <w:r w:rsidRPr="00D51254">
        <w:rPr>
          <w:color w:val="000000" w:themeColor="text1"/>
          <w:sz w:val="18"/>
          <w:szCs w:val="18"/>
        </w:rPr>
        <w:t>Pungello</w:t>
      </w:r>
      <w:proofErr w:type="spellEnd"/>
      <w:r w:rsidRPr="00D51254">
        <w:rPr>
          <w:color w:val="000000" w:themeColor="text1"/>
          <w:sz w:val="18"/>
          <w:szCs w:val="18"/>
        </w:rPr>
        <w:t>, E., Sparling, J., &amp; Miller-Johnson, S. (2002).</w:t>
      </w:r>
      <w:r w:rsidRPr="00D51254">
        <w:rPr>
          <w:color w:val="000000" w:themeColor="text1"/>
          <w:sz w:val="18"/>
        </w:rPr>
        <w:t xml:space="preserve"> Early </w:t>
      </w:r>
      <w:r w:rsidRPr="00D51254">
        <w:rPr>
          <w:color w:val="000000" w:themeColor="text1"/>
          <w:sz w:val="18"/>
          <w:szCs w:val="18"/>
        </w:rPr>
        <w:t xml:space="preserve">Childhood </w:t>
      </w:r>
      <w:proofErr w:type="spellStart"/>
      <w:r w:rsidRPr="00D51254">
        <w:rPr>
          <w:color w:val="000000" w:themeColor="text1"/>
          <w:sz w:val="18"/>
          <w:szCs w:val="18"/>
        </w:rPr>
        <w:t>Educationchildhood</w:t>
      </w:r>
      <w:proofErr w:type="spellEnd"/>
      <w:r w:rsidRPr="00D51254">
        <w:rPr>
          <w:color w:val="000000" w:themeColor="text1"/>
          <w:sz w:val="18"/>
          <w:szCs w:val="18"/>
        </w:rPr>
        <w:t xml:space="preserve"> education</w:t>
      </w:r>
      <w:r w:rsidRPr="00D51254">
        <w:rPr>
          <w:color w:val="000000" w:themeColor="text1"/>
          <w:sz w:val="18"/>
        </w:rPr>
        <w:t xml:space="preserve">: Young </w:t>
      </w:r>
      <w:r w:rsidRPr="00D51254">
        <w:rPr>
          <w:color w:val="000000" w:themeColor="text1"/>
          <w:sz w:val="18"/>
          <w:szCs w:val="18"/>
        </w:rPr>
        <w:t>adult outcomes</w:t>
      </w:r>
      <w:r w:rsidRPr="00D51254">
        <w:rPr>
          <w:color w:val="000000" w:themeColor="text1"/>
          <w:sz w:val="18"/>
        </w:rPr>
        <w:t xml:space="preserve"> from the Abecedarian</w:t>
      </w:r>
      <w:r w:rsidRPr="00D51254">
        <w:rPr>
          <w:color w:val="000000" w:themeColor="text1"/>
          <w:sz w:val="18"/>
          <w:szCs w:val="18"/>
        </w:rPr>
        <w:t xml:space="preserve"> project.</w:t>
      </w:r>
      <w:r w:rsidRPr="00D51254">
        <w:rPr>
          <w:color w:val="000000" w:themeColor="text1"/>
          <w:sz w:val="18"/>
        </w:rPr>
        <w:t xml:space="preserve"> </w:t>
      </w:r>
      <w:r w:rsidRPr="00D51254">
        <w:rPr>
          <w:i/>
          <w:color w:val="000000" w:themeColor="text1"/>
          <w:sz w:val="18"/>
        </w:rPr>
        <w:t>Applied Developmental Science</w:t>
      </w:r>
      <w:r w:rsidRPr="00D51254">
        <w:rPr>
          <w:i/>
          <w:color w:val="000000" w:themeColor="text1"/>
          <w:sz w:val="18"/>
          <w:szCs w:val="18"/>
        </w:rPr>
        <w:t>,</w:t>
      </w:r>
      <w:r w:rsidRPr="00D51254">
        <w:rPr>
          <w:i/>
          <w:color w:val="000000" w:themeColor="text1"/>
          <w:sz w:val="18"/>
        </w:rPr>
        <w:t xml:space="preserve"> 6</w:t>
      </w:r>
      <w:r w:rsidRPr="00D51254">
        <w:rPr>
          <w:i/>
          <w:color w:val="000000" w:themeColor="text1"/>
          <w:sz w:val="18"/>
          <w:szCs w:val="18"/>
        </w:rPr>
        <w:t>(1),</w:t>
      </w:r>
      <w:r w:rsidRPr="00D51254">
        <w:rPr>
          <w:color w:val="000000" w:themeColor="text1"/>
          <w:sz w:val="18"/>
        </w:rPr>
        <w:t xml:space="preserve"> 42-57</w:t>
      </w:r>
      <w:r w:rsidRPr="00D51254">
        <w:rPr>
          <w:color w:val="000000" w:themeColor="text1"/>
          <w:sz w:val="18"/>
          <w:szCs w:val="18"/>
        </w:rPr>
        <w:t>. Retrieved from</w:t>
      </w:r>
      <w:r w:rsidRPr="00D51254">
        <w:rPr>
          <w:color w:val="000000" w:themeColor="text1"/>
          <w:sz w:val="18"/>
        </w:rPr>
        <w:t xml:space="preserve"> </w:t>
      </w:r>
      <w:hyperlink r:id="rId85" w:history="1">
        <w:r w:rsidRPr="00D51254">
          <w:rPr>
            <w:rStyle w:val="Hyperlink"/>
            <w:color w:val="000000" w:themeColor="text1"/>
            <w:sz w:val="18"/>
            <w:szCs w:val="18"/>
          </w:rPr>
          <w:t>https://larrycuban.files.wordpress.com/2011/03/campbell-et-al.pdf</w:t>
        </w:r>
      </w:hyperlink>
    </w:p>
  </w:endnote>
  <w:endnote w:id="14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Reynolds, A. et.al (2011).</w:t>
      </w:r>
    </w:p>
  </w:endnote>
  <w:endnote w:id="14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Campbell, F et.al. (2002).</w:t>
      </w:r>
    </w:p>
  </w:endnote>
  <w:endnote w:id="147">
    <w:p w:rsidR="00DD13F8" w:rsidRPr="00D51254" w:rsidRDefault="00DD13F8" w:rsidP="00EE0AC8">
      <w:pPr>
        <w:pStyle w:val="EndnoteText"/>
        <w:rPr>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Schweinhart</w:t>
      </w:r>
      <w:proofErr w:type="spellEnd"/>
      <w:r w:rsidRPr="00D51254">
        <w:rPr>
          <w:color w:val="000000" w:themeColor="text1"/>
          <w:sz w:val="18"/>
          <w:szCs w:val="18"/>
        </w:rPr>
        <w:t xml:space="preserve">, Lawrence J et al, (2005). </w:t>
      </w:r>
    </w:p>
  </w:endnote>
  <w:endnote w:id="148">
    <w:p w:rsidR="00DD13F8" w:rsidRPr="00D51254" w:rsidRDefault="00DD13F8" w:rsidP="00EE0AC8">
      <w:pPr>
        <w:pStyle w:val="EndnoteText"/>
        <w:rPr>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Schweinhart</w:t>
      </w:r>
      <w:proofErr w:type="spellEnd"/>
      <w:r w:rsidRPr="00D51254">
        <w:rPr>
          <w:color w:val="000000" w:themeColor="text1"/>
          <w:sz w:val="18"/>
          <w:szCs w:val="18"/>
        </w:rPr>
        <w:t xml:space="preserve">, Lawrence J et al, (2005). </w:t>
      </w:r>
    </w:p>
  </w:endnote>
  <w:endnote w:id="149">
    <w:p w:rsidR="00DD13F8" w:rsidRPr="00D51254" w:rsidRDefault="00DD13F8" w:rsidP="00EE0AC8">
      <w:pPr>
        <w:pStyle w:val="EndnoteText"/>
        <w:rPr>
          <w:color w:val="000000" w:themeColor="text1"/>
          <w:sz w:val="18"/>
          <w:szCs w:val="18"/>
          <w:highlight w:val="yellow"/>
        </w:rPr>
      </w:pPr>
      <w:r w:rsidRPr="00D51254">
        <w:rPr>
          <w:rStyle w:val="EndnoteReference"/>
          <w:color w:val="000000" w:themeColor="text1"/>
          <w:sz w:val="18"/>
          <w:szCs w:val="18"/>
        </w:rPr>
        <w:endnoteRef/>
      </w:r>
      <w:r w:rsidRPr="00D51254">
        <w:rPr>
          <w:color w:val="000000" w:themeColor="text1"/>
          <w:sz w:val="18"/>
          <w:szCs w:val="18"/>
        </w:rPr>
        <w:t xml:space="preserve"> Reynolds, A. et.al (2011).</w:t>
      </w:r>
    </w:p>
  </w:endnote>
  <w:endnote w:id="15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Schweinhart</w:t>
      </w:r>
      <w:proofErr w:type="spellEnd"/>
      <w:r w:rsidRPr="00D51254">
        <w:rPr>
          <w:color w:val="000000" w:themeColor="text1"/>
          <w:sz w:val="18"/>
          <w:szCs w:val="18"/>
        </w:rPr>
        <w:t xml:space="preserve">, Lawrence J et al, (2005). </w:t>
      </w:r>
    </w:p>
  </w:endnote>
  <w:endnote w:id="15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Campbell, F et.al. (2002).</w:t>
      </w:r>
    </w:p>
  </w:endnote>
  <w:endnote w:id="152">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rPr>
        <w:t xml:space="preserve">Campbell, F. et al (2014) </w:t>
      </w:r>
      <w:r w:rsidRPr="00D51254">
        <w:rPr>
          <w:i/>
          <w:color w:val="000000" w:themeColor="text1"/>
          <w:sz w:val="18"/>
        </w:rPr>
        <w:t xml:space="preserve">Early childhood investments substantially boost adult health. </w:t>
      </w:r>
      <w:r w:rsidRPr="00D51254">
        <w:rPr>
          <w:color w:val="000000" w:themeColor="text1"/>
          <w:sz w:val="18"/>
        </w:rPr>
        <w:t xml:space="preserve">Science </w:t>
      </w:r>
      <w:proofErr w:type="spellStart"/>
      <w:r w:rsidRPr="00D51254">
        <w:rPr>
          <w:color w:val="000000" w:themeColor="text1"/>
          <w:sz w:val="18"/>
        </w:rPr>
        <w:t>vol</w:t>
      </w:r>
      <w:proofErr w:type="spellEnd"/>
      <w:r w:rsidRPr="00D51254">
        <w:rPr>
          <w:color w:val="000000" w:themeColor="text1"/>
          <w:sz w:val="18"/>
        </w:rPr>
        <w:t xml:space="preserve"> 343, 1478 retrieved from: http://science.sciencemag.org/content/343/6178/1478</w:t>
      </w:r>
    </w:p>
  </w:endnote>
  <w:endnote w:id="153">
    <w:p w:rsidR="00DD13F8" w:rsidRPr="00D51254" w:rsidRDefault="00DD13F8" w:rsidP="00D219F0">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Schweinhart</w:t>
      </w:r>
      <w:proofErr w:type="spellEnd"/>
      <w:r w:rsidRPr="00D51254">
        <w:rPr>
          <w:color w:val="000000" w:themeColor="text1"/>
          <w:sz w:val="18"/>
          <w:szCs w:val="18"/>
        </w:rPr>
        <w:t>, Lawrence J et al, (2005).</w:t>
      </w:r>
    </w:p>
  </w:endnote>
  <w:endnote w:id="154">
    <w:p w:rsidR="00DD13F8" w:rsidRPr="00D51254" w:rsidRDefault="00DD13F8" w:rsidP="00D219F0">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Campbell, F et.al. (2002).</w:t>
      </w:r>
    </w:p>
  </w:endnote>
  <w:endnote w:id="155">
    <w:p w:rsidR="00DD13F8" w:rsidRPr="00D51254" w:rsidRDefault="00DD13F8" w:rsidP="00D219F0">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Reynolds, A. et.al (2011). </w:t>
      </w:r>
    </w:p>
  </w:endnote>
  <w:endnote w:id="15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OECD (2014, March). </w:t>
      </w:r>
      <w:r w:rsidRPr="00D51254">
        <w:rPr>
          <w:i/>
          <w:color w:val="000000" w:themeColor="text1"/>
          <w:sz w:val="18"/>
          <w:szCs w:val="18"/>
        </w:rPr>
        <w:t>Skills for Social Progress</w:t>
      </w:r>
      <w:r w:rsidRPr="00D51254">
        <w:rPr>
          <w:color w:val="000000" w:themeColor="text1"/>
          <w:sz w:val="18"/>
          <w:szCs w:val="18"/>
        </w:rPr>
        <w:t xml:space="preserve">. Issues paper presented at the High Level Policy Forum, Sao Paulo, Brazil. Retrieved from </w:t>
      </w:r>
      <w:hyperlink r:id="rId86" w:history="1">
        <w:r w:rsidRPr="00D51254">
          <w:rPr>
            <w:rStyle w:val="Hyperlink"/>
            <w:color w:val="000000" w:themeColor="text1"/>
            <w:sz w:val="18"/>
            <w:szCs w:val="18"/>
          </w:rPr>
          <w:t>https://www.oecd.org/site/espforum2014/IssuesPaperESPForum2014.pdf</w:t>
        </w:r>
      </w:hyperlink>
    </w:p>
  </w:endnote>
  <w:endnote w:id="15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Lumeng</w:t>
      </w:r>
      <w:proofErr w:type="spellEnd"/>
      <w:r w:rsidRPr="00D51254">
        <w:rPr>
          <w:color w:val="000000" w:themeColor="text1"/>
          <w:sz w:val="18"/>
          <w:szCs w:val="18"/>
        </w:rPr>
        <w:t xml:space="preserve">, J. C., </w:t>
      </w:r>
      <w:proofErr w:type="spellStart"/>
      <w:r w:rsidRPr="00D51254">
        <w:rPr>
          <w:color w:val="000000" w:themeColor="text1"/>
          <w:sz w:val="18"/>
          <w:szCs w:val="18"/>
        </w:rPr>
        <w:t>Kaciroti</w:t>
      </w:r>
      <w:proofErr w:type="spellEnd"/>
      <w:r w:rsidRPr="00D51254">
        <w:rPr>
          <w:color w:val="000000" w:themeColor="text1"/>
          <w:sz w:val="18"/>
          <w:szCs w:val="18"/>
        </w:rPr>
        <w:t xml:space="preserve">, N., </w:t>
      </w:r>
      <w:proofErr w:type="spellStart"/>
      <w:r w:rsidRPr="00D51254">
        <w:rPr>
          <w:color w:val="000000" w:themeColor="text1"/>
          <w:sz w:val="18"/>
          <w:szCs w:val="18"/>
        </w:rPr>
        <w:t>Sturza</w:t>
      </w:r>
      <w:proofErr w:type="spellEnd"/>
      <w:r w:rsidRPr="00D51254">
        <w:rPr>
          <w:color w:val="000000" w:themeColor="text1"/>
          <w:sz w:val="18"/>
          <w:szCs w:val="18"/>
        </w:rPr>
        <w:t xml:space="preserve">, J., </w:t>
      </w:r>
      <w:proofErr w:type="spellStart"/>
      <w:r w:rsidRPr="00D51254">
        <w:rPr>
          <w:color w:val="000000" w:themeColor="text1"/>
          <w:sz w:val="18"/>
          <w:szCs w:val="18"/>
        </w:rPr>
        <w:t>Krusky</w:t>
      </w:r>
      <w:proofErr w:type="spellEnd"/>
      <w:r w:rsidRPr="00D51254">
        <w:rPr>
          <w:color w:val="000000" w:themeColor="text1"/>
          <w:sz w:val="18"/>
          <w:szCs w:val="18"/>
        </w:rPr>
        <w:t xml:space="preserve">, A. M., Miller, A. L., Peterson, K. E., &amp; </w:t>
      </w:r>
      <w:proofErr w:type="spellStart"/>
      <w:r w:rsidRPr="00D51254">
        <w:rPr>
          <w:color w:val="000000" w:themeColor="text1"/>
          <w:sz w:val="18"/>
          <w:szCs w:val="18"/>
        </w:rPr>
        <w:t>Reischl</w:t>
      </w:r>
      <w:proofErr w:type="spellEnd"/>
      <w:r w:rsidRPr="00D51254">
        <w:rPr>
          <w:color w:val="000000" w:themeColor="text1"/>
          <w:sz w:val="18"/>
          <w:szCs w:val="18"/>
        </w:rPr>
        <w:t xml:space="preserve">, T. M. (2015). Changes in body mass index associated with Head Start participation. </w:t>
      </w:r>
      <w:proofErr w:type="spellStart"/>
      <w:r w:rsidRPr="00D51254">
        <w:rPr>
          <w:i/>
          <w:iCs/>
          <w:color w:val="000000" w:themeColor="text1"/>
          <w:sz w:val="18"/>
          <w:szCs w:val="18"/>
        </w:rPr>
        <w:t>Pediatrics</w:t>
      </w:r>
      <w:proofErr w:type="spellEnd"/>
      <w:r w:rsidRPr="00D51254">
        <w:rPr>
          <w:color w:val="000000" w:themeColor="text1"/>
          <w:sz w:val="18"/>
          <w:szCs w:val="18"/>
        </w:rPr>
        <w:t xml:space="preserve">, </w:t>
      </w:r>
      <w:r w:rsidRPr="00D51254">
        <w:rPr>
          <w:i/>
          <w:iCs/>
          <w:color w:val="000000" w:themeColor="text1"/>
          <w:sz w:val="18"/>
          <w:szCs w:val="18"/>
        </w:rPr>
        <w:t>135</w:t>
      </w:r>
      <w:r w:rsidRPr="00D51254">
        <w:rPr>
          <w:color w:val="000000" w:themeColor="text1"/>
          <w:sz w:val="18"/>
          <w:szCs w:val="18"/>
        </w:rPr>
        <w:t xml:space="preserve">(2), 449–456. Retrieved from: </w:t>
      </w:r>
      <w:hyperlink r:id="rId87" w:history="1">
        <w:r w:rsidRPr="00D51254">
          <w:rPr>
            <w:rStyle w:val="Hyperlink"/>
            <w:color w:val="000000" w:themeColor="text1"/>
            <w:sz w:val="18"/>
            <w:szCs w:val="18"/>
          </w:rPr>
          <w:t>http://doi.org/10.1542/peds.2014-1725</w:t>
        </w:r>
      </w:hyperlink>
    </w:p>
  </w:endnote>
  <w:endnote w:id="15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Heckman, J. J. (2006). Skill formation and the economics of investing in disadvantaged children. </w:t>
      </w:r>
      <w:r w:rsidRPr="00D51254">
        <w:rPr>
          <w:i/>
          <w:color w:val="000000" w:themeColor="text1"/>
          <w:sz w:val="18"/>
          <w:szCs w:val="18"/>
        </w:rPr>
        <w:t>Science</w:t>
      </w:r>
      <w:r w:rsidRPr="00D51254">
        <w:rPr>
          <w:color w:val="000000" w:themeColor="text1"/>
          <w:sz w:val="18"/>
          <w:szCs w:val="18"/>
        </w:rPr>
        <w:t>,</w:t>
      </w:r>
      <w:r w:rsidRPr="00D51254">
        <w:rPr>
          <w:i/>
          <w:color w:val="000000" w:themeColor="text1"/>
          <w:sz w:val="18"/>
          <w:szCs w:val="18"/>
        </w:rPr>
        <w:t xml:space="preserve"> 312</w:t>
      </w:r>
      <w:r w:rsidRPr="00D51254">
        <w:rPr>
          <w:color w:val="000000" w:themeColor="text1"/>
          <w:sz w:val="18"/>
          <w:szCs w:val="18"/>
        </w:rPr>
        <w:t xml:space="preserve">, 1900-1902. Retrieved from </w:t>
      </w:r>
      <w:hyperlink r:id="rId88" w:history="1">
        <w:r w:rsidRPr="00D51254">
          <w:rPr>
            <w:rStyle w:val="Hyperlink"/>
            <w:color w:val="000000" w:themeColor="text1"/>
            <w:sz w:val="18"/>
            <w:szCs w:val="18"/>
          </w:rPr>
          <w:t>http://jenni.uchicago.edu/papers/Heckman_Science_v312_2006.pdf</w:t>
        </w:r>
      </w:hyperlink>
    </w:p>
  </w:endnote>
  <w:endnote w:id="15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Bivens</w:t>
      </w:r>
      <w:proofErr w:type="spellEnd"/>
      <w:r w:rsidRPr="00D51254">
        <w:rPr>
          <w:color w:val="000000" w:themeColor="text1"/>
          <w:sz w:val="18"/>
          <w:szCs w:val="18"/>
        </w:rPr>
        <w:t xml:space="preserve">, J., Garcia, E., Gould, E., Weiss, E., &amp; Wilson, V. (2016, April 6). </w:t>
      </w:r>
      <w:r w:rsidRPr="00D51254">
        <w:rPr>
          <w:i/>
          <w:color w:val="000000" w:themeColor="text1"/>
          <w:sz w:val="18"/>
          <w:szCs w:val="18"/>
        </w:rPr>
        <w:t xml:space="preserve">It’s time for an ambitious national investment in America’s children. </w:t>
      </w:r>
      <w:r w:rsidRPr="00D51254">
        <w:rPr>
          <w:color w:val="000000" w:themeColor="text1"/>
          <w:sz w:val="18"/>
          <w:szCs w:val="18"/>
        </w:rPr>
        <w:t xml:space="preserve">Washington, DC: Economic Policy Institute. Retrieved from </w:t>
      </w:r>
      <w:hyperlink r:id="rId89" w:history="1">
        <w:r w:rsidRPr="00D51254">
          <w:rPr>
            <w:rStyle w:val="Hyperlink"/>
            <w:color w:val="000000" w:themeColor="text1"/>
            <w:sz w:val="18"/>
            <w:szCs w:val="18"/>
          </w:rPr>
          <w:t>http://www.epi.org/publication/its-time-for-an-ambitious-national-investment-in-americas-children/</w:t>
        </w:r>
      </w:hyperlink>
    </w:p>
  </w:endnote>
  <w:endnote w:id="16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57-66, Phillips, D, et al. (2017). </w:t>
      </w:r>
    </w:p>
  </w:endnote>
  <w:endnote w:id="161">
    <w:p w:rsidR="00DD13F8" w:rsidRPr="00D51254" w:rsidRDefault="00DD13F8" w:rsidP="00EE0AC8">
      <w:pPr>
        <w:pStyle w:val="EndnoteText"/>
        <w:rPr>
          <w:rFonts w:eastAsia="Calibri" w:cs="Calibri"/>
          <w:color w:val="000000" w:themeColor="text1"/>
          <w:sz w:val="18"/>
          <w:szCs w:val="18"/>
          <w:lang w:val="en-US"/>
        </w:rPr>
      </w:pPr>
      <w:r w:rsidRPr="00D51254">
        <w:rPr>
          <w:rStyle w:val="EndnoteReference"/>
          <w:rFonts w:eastAsia="Calibri" w:cs="Calibri"/>
          <w:color w:val="000000" w:themeColor="text1"/>
          <w:sz w:val="18"/>
          <w:szCs w:val="18"/>
        </w:rPr>
        <w:endnoteRef/>
      </w:r>
      <w:r w:rsidRPr="00D51254">
        <w:rPr>
          <w:rFonts w:eastAsia="Calibri" w:cs="Calibri"/>
          <w:color w:val="000000" w:themeColor="text1"/>
          <w:sz w:val="18"/>
          <w:szCs w:val="18"/>
        </w:rPr>
        <w:t xml:space="preserve"> </w:t>
      </w:r>
      <w:proofErr w:type="spellStart"/>
      <w:r w:rsidRPr="00D51254">
        <w:rPr>
          <w:rFonts w:eastAsia="Calibri" w:cs="Calibri"/>
          <w:color w:val="000000" w:themeColor="text1"/>
          <w:sz w:val="18"/>
          <w:szCs w:val="18"/>
          <w:lang w:val="en-US"/>
        </w:rPr>
        <w:t>Karoly</w:t>
      </w:r>
      <w:proofErr w:type="spellEnd"/>
      <w:r w:rsidRPr="00D51254">
        <w:rPr>
          <w:rFonts w:eastAsia="Calibri" w:cs="Calibri"/>
          <w:color w:val="000000" w:themeColor="text1"/>
          <w:sz w:val="18"/>
          <w:szCs w:val="18"/>
          <w:lang w:val="en-US"/>
        </w:rPr>
        <w:t xml:space="preserve">, L. A. (2016). </w:t>
      </w:r>
      <w:r w:rsidRPr="00D51254">
        <w:rPr>
          <w:rFonts w:eastAsia="Calibri" w:cs="Calibri"/>
          <w:color w:val="000000" w:themeColor="text1"/>
          <w:sz w:val="18"/>
          <w:szCs w:val="18"/>
        </w:rPr>
        <w:t xml:space="preserve">The economic returns to early childhood education. </w:t>
      </w:r>
      <w:r w:rsidRPr="00D51254">
        <w:rPr>
          <w:rFonts w:eastAsia="Calibri" w:cs="Calibri"/>
          <w:i/>
          <w:color w:val="000000" w:themeColor="text1"/>
          <w:sz w:val="18"/>
          <w:szCs w:val="18"/>
        </w:rPr>
        <w:t>The Future of Children,</w:t>
      </w:r>
      <w:r w:rsidRPr="00D51254">
        <w:rPr>
          <w:rFonts w:eastAsia="Calibri" w:cs="Calibri"/>
          <w:color w:val="000000" w:themeColor="text1"/>
          <w:sz w:val="18"/>
          <w:szCs w:val="18"/>
        </w:rPr>
        <w:t xml:space="preserve"> 26(2), 37-55. Retrieved from </w:t>
      </w:r>
      <w:hyperlink r:id="rId90">
        <w:r w:rsidRPr="00D51254">
          <w:rPr>
            <w:rStyle w:val="Hyperlink"/>
            <w:rFonts w:eastAsia="Calibri" w:cs="Calibri"/>
            <w:color w:val="000000" w:themeColor="text1"/>
            <w:sz w:val="18"/>
            <w:szCs w:val="18"/>
            <w:lang w:val="en-US"/>
          </w:rPr>
          <w:t>http://files.eric.ed.gov/fulltext/EJ1118537.pdf</w:t>
        </w:r>
      </w:hyperlink>
      <w:r w:rsidRPr="00D51254">
        <w:rPr>
          <w:rFonts w:eastAsia="Calibri" w:cs="Calibri"/>
          <w:color w:val="000000" w:themeColor="text1"/>
          <w:sz w:val="18"/>
          <w:szCs w:val="18"/>
          <w:lang w:val="en-US"/>
        </w:rPr>
        <w:t xml:space="preserve"> ; and</w:t>
      </w:r>
    </w:p>
    <w:p w:rsidR="00DD13F8" w:rsidRPr="00D51254" w:rsidRDefault="00DD13F8" w:rsidP="00EE0AC8">
      <w:pPr>
        <w:pStyle w:val="EndnoteText"/>
        <w:rPr>
          <w:color w:val="000000" w:themeColor="text1"/>
          <w:sz w:val="18"/>
          <w:szCs w:val="18"/>
        </w:rPr>
      </w:pPr>
      <w:r w:rsidRPr="00D51254">
        <w:rPr>
          <w:rFonts w:eastAsia="Calibri" w:cs="Calibri"/>
          <w:color w:val="000000" w:themeColor="text1"/>
          <w:sz w:val="18"/>
          <w:szCs w:val="18"/>
        </w:rPr>
        <w:t xml:space="preserve">Heckman, J. J., Moon, S. H., Pinto, R., </w:t>
      </w:r>
      <w:proofErr w:type="spellStart"/>
      <w:r w:rsidRPr="00D51254">
        <w:rPr>
          <w:rFonts w:eastAsia="Calibri" w:cs="Calibri"/>
          <w:color w:val="000000" w:themeColor="text1"/>
          <w:sz w:val="18"/>
          <w:szCs w:val="18"/>
        </w:rPr>
        <w:t>Savelyev</w:t>
      </w:r>
      <w:proofErr w:type="spellEnd"/>
      <w:r w:rsidRPr="00D51254">
        <w:rPr>
          <w:rFonts w:eastAsia="Calibri" w:cs="Calibri"/>
          <w:color w:val="000000" w:themeColor="text1"/>
          <w:sz w:val="18"/>
          <w:szCs w:val="18"/>
        </w:rPr>
        <w:t xml:space="preserve">, P. A., </w:t>
      </w:r>
      <w:proofErr w:type="spellStart"/>
      <w:r w:rsidRPr="00D51254">
        <w:rPr>
          <w:rFonts w:eastAsia="Calibri" w:cs="Calibri"/>
          <w:color w:val="000000" w:themeColor="text1"/>
          <w:sz w:val="18"/>
          <w:szCs w:val="18"/>
        </w:rPr>
        <w:t>Yavitz</w:t>
      </w:r>
      <w:proofErr w:type="spellEnd"/>
      <w:r w:rsidRPr="00D51254">
        <w:rPr>
          <w:rFonts w:eastAsia="Calibri" w:cs="Calibri"/>
          <w:color w:val="000000" w:themeColor="text1"/>
          <w:sz w:val="18"/>
          <w:szCs w:val="18"/>
        </w:rPr>
        <w:t xml:space="preserve">, A. (2010). The rate of return to the High-Scope Perry Preschool Program. </w:t>
      </w:r>
      <w:r w:rsidRPr="00D51254">
        <w:rPr>
          <w:rFonts w:eastAsia="Calibri" w:cs="Calibri"/>
          <w:i/>
          <w:color w:val="000000" w:themeColor="text1"/>
          <w:sz w:val="18"/>
          <w:szCs w:val="18"/>
        </w:rPr>
        <w:t>Journal of Public Economics,</w:t>
      </w:r>
      <w:r w:rsidRPr="00D51254">
        <w:rPr>
          <w:rFonts w:eastAsia="Calibri" w:cs="Calibri"/>
          <w:color w:val="000000" w:themeColor="text1"/>
          <w:sz w:val="18"/>
          <w:szCs w:val="18"/>
        </w:rPr>
        <w:t xml:space="preserve"> 94, 114-128. Retrieved from </w:t>
      </w:r>
      <w:hyperlink r:id="rId91">
        <w:r w:rsidRPr="00D51254">
          <w:rPr>
            <w:rStyle w:val="Hyperlink"/>
            <w:rFonts w:eastAsia="Calibri" w:cs="Calibri"/>
            <w:color w:val="000000" w:themeColor="text1"/>
            <w:sz w:val="18"/>
            <w:szCs w:val="18"/>
            <w:lang w:val="en-US"/>
          </w:rPr>
          <w:t>https://heckmanequation.org/assets/2017/01/HeckmanMoonPintoSavelyevYavitz_RateofReturnPerryPreschool_2010.pdf</w:t>
        </w:r>
      </w:hyperlink>
    </w:p>
  </w:endnote>
  <w:endnote w:id="162">
    <w:p w:rsidR="00DD13F8" w:rsidRPr="00D51254" w:rsidRDefault="00DD13F8" w:rsidP="00EE0AC8">
      <w:pPr>
        <w:spacing w:after="0"/>
        <w:rPr>
          <w:color w:val="000000" w:themeColor="text1"/>
          <w:sz w:val="18"/>
          <w:szCs w:val="18"/>
          <w:lang w:val="en-US"/>
        </w:rPr>
      </w:pPr>
      <w:r w:rsidRPr="00D51254">
        <w:rPr>
          <w:rStyle w:val="EndnoteReference"/>
          <w:color w:val="000000" w:themeColor="text1"/>
          <w:sz w:val="18"/>
          <w:szCs w:val="18"/>
        </w:rPr>
        <w:endnoteRef/>
      </w:r>
      <w:r w:rsidRPr="00D51254">
        <w:rPr>
          <w:color w:val="000000" w:themeColor="text1"/>
          <w:sz w:val="18"/>
          <w:szCs w:val="18"/>
        </w:rPr>
        <w:t xml:space="preserve"> Dalziel, K. M., Halliday, D., &amp; Segal, L. (2015). Assessment of the cost-benefit literature on early childhood education for vulnerable children: What the findings mean for policy. </w:t>
      </w:r>
      <w:r w:rsidRPr="00D51254">
        <w:rPr>
          <w:i/>
          <w:color w:val="000000" w:themeColor="text1"/>
          <w:sz w:val="18"/>
          <w:szCs w:val="18"/>
        </w:rPr>
        <w:t>SAGE Open</w:t>
      </w:r>
      <w:r w:rsidRPr="00D51254">
        <w:rPr>
          <w:color w:val="000000" w:themeColor="text1"/>
          <w:sz w:val="18"/>
          <w:szCs w:val="18"/>
        </w:rPr>
        <w:t xml:space="preserve"> </w:t>
      </w:r>
      <w:r w:rsidRPr="00D51254">
        <w:rPr>
          <w:i/>
          <w:color w:val="000000" w:themeColor="text1"/>
          <w:sz w:val="18"/>
          <w:szCs w:val="18"/>
        </w:rPr>
        <w:t xml:space="preserve">January-March 2015, </w:t>
      </w:r>
      <w:r w:rsidRPr="00D51254">
        <w:rPr>
          <w:color w:val="000000" w:themeColor="text1"/>
          <w:sz w:val="18"/>
          <w:szCs w:val="18"/>
        </w:rPr>
        <w:t xml:space="preserve">1-14. DOI: 10.1177/2158244015571637 Retrieved from </w:t>
      </w:r>
      <w:hyperlink r:id="rId92">
        <w:r w:rsidRPr="00D51254">
          <w:rPr>
            <w:rStyle w:val="Hyperlink"/>
            <w:color w:val="000000" w:themeColor="text1"/>
            <w:sz w:val="18"/>
            <w:szCs w:val="18"/>
            <w:lang w:val="en-US"/>
          </w:rPr>
          <w:t>http://journals.sagepub.com/doi/pdf/10.1177/2158244015571637</w:t>
        </w:r>
      </w:hyperlink>
      <w:r w:rsidRPr="00D51254">
        <w:rPr>
          <w:rStyle w:val="Hyperlink"/>
          <w:color w:val="000000" w:themeColor="text1"/>
          <w:sz w:val="18"/>
          <w:szCs w:val="18"/>
          <w:u w:val="none"/>
          <w:lang w:val="en-US"/>
        </w:rPr>
        <w:t xml:space="preserve"> and </w:t>
      </w:r>
      <w:r w:rsidRPr="00D51254">
        <w:rPr>
          <w:color w:val="000000" w:themeColor="text1"/>
          <w:sz w:val="18"/>
          <w:szCs w:val="18"/>
        </w:rPr>
        <w:t xml:space="preserve">Garcia, J. L., Heckman, J. J., Leaf, D. E., &amp; </w:t>
      </w:r>
      <w:proofErr w:type="spellStart"/>
      <w:r w:rsidRPr="00D51254">
        <w:rPr>
          <w:color w:val="000000" w:themeColor="text1"/>
          <w:sz w:val="18"/>
          <w:szCs w:val="18"/>
        </w:rPr>
        <w:t>Prados</w:t>
      </w:r>
      <w:proofErr w:type="spellEnd"/>
      <w:r w:rsidRPr="00D51254">
        <w:rPr>
          <w:color w:val="000000" w:themeColor="text1"/>
          <w:sz w:val="18"/>
          <w:szCs w:val="18"/>
        </w:rPr>
        <w:t xml:space="preserve">, M. J. (2016, December 19). </w:t>
      </w:r>
      <w:r w:rsidRPr="00D51254">
        <w:rPr>
          <w:i/>
          <w:color w:val="000000" w:themeColor="text1"/>
          <w:sz w:val="18"/>
          <w:szCs w:val="18"/>
        </w:rPr>
        <w:t xml:space="preserve">The life-cycle benefits of an influential early childhood program. Working Paper 2016-035. </w:t>
      </w:r>
      <w:r w:rsidRPr="00D51254">
        <w:rPr>
          <w:color w:val="000000" w:themeColor="text1"/>
          <w:sz w:val="18"/>
          <w:szCs w:val="18"/>
        </w:rPr>
        <w:t xml:space="preserve">Retrieved from </w:t>
      </w:r>
      <w:hyperlink r:id="rId93">
        <w:r w:rsidRPr="00D51254">
          <w:rPr>
            <w:rStyle w:val="Hyperlink"/>
            <w:color w:val="000000" w:themeColor="text1"/>
            <w:sz w:val="18"/>
            <w:szCs w:val="18"/>
            <w:lang w:val="en-US"/>
          </w:rPr>
          <w:t>https://heckmanequation.org/assets/2017/01/Garcia_Heckman_Leaf_etal_2016_life-cycle-benefits-ecp_r1-p.pdf</w:t>
        </w:r>
      </w:hyperlink>
    </w:p>
  </w:endnote>
  <w:endnote w:id="163">
    <w:p w:rsidR="00DD13F8" w:rsidRPr="00D51254" w:rsidRDefault="00DD13F8" w:rsidP="00EE0AC8">
      <w:pPr>
        <w:pStyle w:val="EndnoteText"/>
        <w:rPr>
          <w:color w:val="000000" w:themeColor="text1"/>
          <w:sz w:val="18"/>
          <w:szCs w:val="18"/>
          <w:lang w:val="en-US"/>
        </w:rPr>
      </w:pPr>
      <w:r w:rsidRPr="00D51254">
        <w:rPr>
          <w:rStyle w:val="EndnoteReference"/>
          <w:rFonts w:eastAsia="Calibri" w:cs="Calibri"/>
          <w:color w:val="000000" w:themeColor="text1"/>
          <w:sz w:val="18"/>
          <w:szCs w:val="18"/>
        </w:rPr>
        <w:endnoteRef/>
      </w:r>
      <w:r w:rsidRPr="00D51254">
        <w:rPr>
          <w:rFonts w:eastAsia="Calibri" w:cs="Calibri"/>
          <w:color w:val="000000" w:themeColor="text1"/>
          <w:sz w:val="18"/>
          <w:szCs w:val="18"/>
        </w:rPr>
        <w:t xml:space="preserve"> </w:t>
      </w:r>
      <w:r w:rsidRPr="00D51254">
        <w:rPr>
          <w:color w:val="000000" w:themeColor="text1"/>
          <w:sz w:val="18"/>
          <w:szCs w:val="18"/>
        </w:rPr>
        <w:t>Phillips, D, et al. (2017).</w:t>
      </w:r>
    </w:p>
  </w:endnote>
  <w:endnote w:id="164">
    <w:p w:rsidR="00DD13F8" w:rsidRPr="00D51254" w:rsidRDefault="00DD13F8" w:rsidP="00EE0AC8">
      <w:pPr>
        <w:pStyle w:val="EndnoteText"/>
        <w:rPr>
          <w:rFonts w:eastAsia="Calibri" w:cs="Calibri"/>
          <w:color w:val="000000" w:themeColor="text1"/>
          <w:sz w:val="18"/>
          <w:szCs w:val="18"/>
        </w:rPr>
      </w:pPr>
      <w:r w:rsidRPr="00D51254">
        <w:rPr>
          <w:rStyle w:val="EndnoteReference"/>
          <w:rFonts w:eastAsia="Calibri" w:cs="Calibri"/>
          <w:color w:val="000000" w:themeColor="text1"/>
          <w:sz w:val="18"/>
          <w:szCs w:val="18"/>
        </w:rPr>
        <w:endnoteRef/>
      </w:r>
      <w:r w:rsidRPr="00D51254">
        <w:rPr>
          <w:rFonts w:eastAsia="Calibri" w:cs="Calibri"/>
          <w:color w:val="000000" w:themeColor="text1"/>
          <w:sz w:val="18"/>
          <w:szCs w:val="18"/>
        </w:rPr>
        <w:t xml:space="preserve"> </w:t>
      </w:r>
      <w:proofErr w:type="spellStart"/>
      <w:r w:rsidRPr="00D51254">
        <w:rPr>
          <w:rFonts w:eastAsia="Calibri" w:cs="Calibri"/>
          <w:color w:val="000000" w:themeColor="text1"/>
          <w:sz w:val="18"/>
          <w:szCs w:val="18"/>
          <w:lang w:val="en-US"/>
        </w:rPr>
        <w:t>Karoly</w:t>
      </w:r>
      <w:proofErr w:type="spellEnd"/>
      <w:r w:rsidRPr="00D51254">
        <w:rPr>
          <w:rFonts w:eastAsia="Calibri" w:cs="Calibri"/>
          <w:color w:val="000000" w:themeColor="text1"/>
          <w:sz w:val="18"/>
          <w:szCs w:val="18"/>
          <w:lang w:val="en-US"/>
        </w:rPr>
        <w:t>, L. A. (2016).</w:t>
      </w:r>
      <w:r w:rsidRPr="00D51254">
        <w:rPr>
          <w:rFonts w:eastAsia="Calibri" w:cs="Calibri"/>
          <w:color w:val="000000" w:themeColor="text1"/>
          <w:sz w:val="18"/>
          <w:szCs w:val="18"/>
        </w:rPr>
        <w:t xml:space="preserve"> </w:t>
      </w:r>
    </w:p>
  </w:endnote>
  <w:endnote w:id="16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rFonts w:eastAsia="Calibri" w:cs="Calibri"/>
          <w:color w:val="000000" w:themeColor="text1"/>
          <w:sz w:val="18"/>
          <w:szCs w:val="18"/>
          <w:lang w:val="en-US"/>
        </w:rPr>
        <w:t>Karoly</w:t>
      </w:r>
      <w:proofErr w:type="spellEnd"/>
      <w:r w:rsidRPr="00D51254">
        <w:rPr>
          <w:rFonts w:eastAsia="Calibri" w:cs="Calibri"/>
          <w:color w:val="000000" w:themeColor="text1"/>
          <w:sz w:val="18"/>
          <w:szCs w:val="18"/>
          <w:lang w:val="en-US"/>
        </w:rPr>
        <w:t xml:space="preserve">, L. A. (2016). </w:t>
      </w:r>
    </w:p>
  </w:endnote>
  <w:endnote w:id="16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Washington State Institute for Public Policy. (2017</w:t>
      </w:r>
      <w:r w:rsidRPr="00D51254">
        <w:rPr>
          <w:i/>
          <w:color w:val="000000" w:themeColor="text1"/>
          <w:sz w:val="18"/>
          <w:szCs w:val="18"/>
        </w:rPr>
        <w:t>). State and district early childhood education programs: Pre-K to 12 Education.</w:t>
      </w:r>
      <w:r w:rsidRPr="00D51254">
        <w:rPr>
          <w:color w:val="000000" w:themeColor="text1"/>
          <w:sz w:val="18"/>
          <w:szCs w:val="18"/>
        </w:rPr>
        <w:t xml:space="preserve"> Benefit-Cost Results. Retrieved from </w:t>
      </w:r>
      <w:hyperlink r:id="rId94" w:history="1">
        <w:r w:rsidRPr="00D51254">
          <w:rPr>
            <w:rStyle w:val="Hyperlink"/>
            <w:color w:val="000000" w:themeColor="text1"/>
            <w:sz w:val="18"/>
            <w:szCs w:val="18"/>
            <w:lang w:val="en-US"/>
          </w:rPr>
          <w:t>www.wsipp.wa.gov/BenefitCost/Program/270</w:t>
        </w:r>
      </w:hyperlink>
      <w:r w:rsidRPr="00D51254">
        <w:rPr>
          <w:color w:val="000000" w:themeColor="text1"/>
          <w:sz w:val="18"/>
          <w:szCs w:val="18"/>
          <w:lang w:val="en-US"/>
        </w:rPr>
        <w:t xml:space="preserve"> </w:t>
      </w:r>
    </w:p>
  </w:endnote>
  <w:endnote w:id="16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van </w:t>
      </w:r>
      <w:proofErr w:type="spellStart"/>
      <w:r w:rsidRPr="00D51254">
        <w:rPr>
          <w:color w:val="000000" w:themeColor="text1"/>
          <w:sz w:val="18"/>
          <w:szCs w:val="18"/>
        </w:rPr>
        <w:t>Huizen</w:t>
      </w:r>
      <w:proofErr w:type="spellEnd"/>
      <w:r w:rsidRPr="00D51254">
        <w:rPr>
          <w:color w:val="000000" w:themeColor="text1"/>
          <w:sz w:val="18"/>
          <w:szCs w:val="18"/>
        </w:rPr>
        <w:t xml:space="preserve">, T., </w:t>
      </w:r>
      <w:proofErr w:type="spellStart"/>
      <w:r w:rsidRPr="00D51254">
        <w:rPr>
          <w:color w:val="000000" w:themeColor="text1"/>
          <w:sz w:val="18"/>
          <w:szCs w:val="18"/>
        </w:rPr>
        <w:t>Dumhs</w:t>
      </w:r>
      <w:proofErr w:type="spellEnd"/>
      <w:r w:rsidRPr="00D51254">
        <w:rPr>
          <w:color w:val="000000" w:themeColor="text1"/>
          <w:sz w:val="18"/>
          <w:szCs w:val="18"/>
        </w:rPr>
        <w:t xml:space="preserve">, L., &amp; </w:t>
      </w:r>
      <w:proofErr w:type="spellStart"/>
      <w:r w:rsidRPr="00D51254">
        <w:rPr>
          <w:color w:val="000000" w:themeColor="text1"/>
          <w:sz w:val="18"/>
          <w:szCs w:val="18"/>
        </w:rPr>
        <w:t>Plantenga</w:t>
      </w:r>
      <w:proofErr w:type="spellEnd"/>
      <w:r w:rsidRPr="00D51254">
        <w:rPr>
          <w:color w:val="000000" w:themeColor="text1"/>
          <w:sz w:val="18"/>
          <w:szCs w:val="18"/>
        </w:rPr>
        <w:t xml:space="preserve">, J. (2016). </w:t>
      </w:r>
      <w:r w:rsidRPr="00D51254">
        <w:rPr>
          <w:i/>
          <w:color w:val="000000" w:themeColor="text1"/>
          <w:sz w:val="18"/>
          <w:szCs w:val="18"/>
        </w:rPr>
        <w:t xml:space="preserve">A cost-benefit analysis of universal preschool education: Evidence from a Spanish reform. </w:t>
      </w:r>
      <w:r w:rsidRPr="00D51254">
        <w:rPr>
          <w:color w:val="000000" w:themeColor="text1"/>
          <w:sz w:val="18"/>
          <w:szCs w:val="18"/>
        </w:rPr>
        <w:t xml:space="preserve">Discussion Paper Series No. 16 -11. </w:t>
      </w:r>
      <w:r w:rsidRPr="00D51254">
        <w:rPr>
          <w:rFonts w:eastAsia="Calibri" w:cs="Calibri"/>
          <w:color w:val="000000" w:themeColor="text1"/>
          <w:sz w:val="18"/>
          <w:szCs w:val="18"/>
        </w:rPr>
        <w:t>The Netherlands: Utrecht School of Economics, Utrecht University.</w:t>
      </w:r>
      <w:r w:rsidRPr="00D51254">
        <w:rPr>
          <w:color w:val="000000" w:themeColor="text1"/>
          <w:sz w:val="18"/>
          <w:szCs w:val="18"/>
        </w:rPr>
        <w:t xml:space="preserve"> Retrieved from </w:t>
      </w:r>
      <w:hyperlink r:id="rId95" w:history="1">
        <w:r w:rsidRPr="00D51254">
          <w:rPr>
            <w:rStyle w:val="Hyperlink"/>
            <w:color w:val="000000" w:themeColor="text1"/>
            <w:sz w:val="18"/>
            <w:szCs w:val="18"/>
          </w:rPr>
          <w:t>https://dspace.library.uu.nl/handle/1874/342312</w:t>
        </w:r>
      </w:hyperlink>
    </w:p>
  </w:endnote>
  <w:endnote w:id="16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Lynch, R., &amp; </w:t>
      </w:r>
      <w:proofErr w:type="spellStart"/>
      <w:r w:rsidRPr="00D51254">
        <w:rPr>
          <w:color w:val="000000" w:themeColor="text1"/>
          <w:sz w:val="18"/>
          <w:szCs w:val="18"/>
        </w:rPr>
        <w:t>Vaghul</w:t>
      </w:r>
      <w:proofErr w:type="spellEnd"/>
      <w:r w:rsidRPr="00D51254">
        <w:rPr>
          <w:color w:val="000000" w:themeColor="text1"/>
          <w:sz w:val="18"/>
          <w:szCs w:val="18"/>
        </w:rPr>
        <w:t xml:space="preserve">, K. (2015, December 2). </w:t>
      </w:r>
      <w:r w:rsidRPr="00D51254">
        <w:rPr>
          <w:i/>
          <w:color w:val="000000" w:themeColor="text1"/>
          <w:sz w:val="18"/>
          <w:szCs w:val="18"/>
        </w:rPr>
        <w:t>The benefits and costs of investing in early childhood education: the fiscal, economic, and societal gains of a universal prekindergarten program in the United States, 2016-2050.</w:t>
      </w:r>
      <w:r w:rsidRPr="00D51254">
        <w:rPr>
          <w:color w:val="000000" w:themeColor="text1"/>
          <w:sz w:val="18"/>
          <w:szCs w:val="18"/>
        </w:rPr>
        <w:t xml:space="preserve"> Washington, DC: Washington Center for Equitable Growth. Retrieved from </w:t>
      </w:r>
      <w:hyperlink r:id="rId96">
        <w:r w:rsidRPr="00D51254">
          <w:rPr>
            <w:rStyle w:val="Hyperlink"/>
            <w:color w:val="000000" w:themeColor="text1"/>
            <w:sz w:val="18"/>
            <w:szCs w:val="18"/>
            <w:lang w:val="en-US"/>
          </w:rPr>
          <w:t>http://equitablegrowth.org/report/the-benefits-and-costs-of-investing-in-early-childhood-education/</w:t>
        </w:r>
      </w:hyperlink>
      <w:r w:rsidRPr="00D51254">
        <w:rPr>
          <w:color w:val="000000" w:themeColor="text1"/>
          <w:sz w:val="18"/>
          <w:szCs w:val="18"/>
          <w:lang w:val="en-US"/>
        </w:rPr>
        <w:t xml:space="preserve"> </w:t>
      </w:r>
    </w:p>
  </w:endnote>
  <w:endnote w:id="16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Phillips, D, et al. (2017). </w:t>
      </w:r>
    </w:p>
  </w:endnote>
  <w:endnote w:id="17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Executive Office of the President of the United States. (2014). </w:t>
      </w:r>
      <w:r w:rsidRPr="00D51254">
        <w:rPr>
          <w:i/>
          <w:color w:val="000000" w:themeColor="text1"/>
          <w:sz w:val="18"/>
          <w:szCs w:val="18"/>
        </w:rPr>
        <w:t>The economics of early childhood investments</w:t>
      </w:r>
      <w:r w:rsidRPr="00D51254">
        <w:rPr>
          <w:color w:val="000000" w:themeColor="text1"/>
          <w:sz w:val="18"/>
          <w:szCs w:val="18"/>
        </w:rPr>
        <w:t xml:space="preserve">. Retrieved from </w:t>
      </w:r>
      <w:hyperlink r:id="rId97">
        <w:r w:rsidRPr="00D51254">
          <w:rPr>
            <w:rStyle w:val="Hyperlink"/>
            <w:color w:val="000000" w:themeColor="text1"/>
            <w:sz w:val="18"/>
            <w:szCs w:val="18"/>
            <w:lang w:val="en-US"/>
          </w:rPr>
          <w:t>https://investinus.org/assets/Early-Childhood-Report.pdf?f50799</w:t>
        </w:r>
      </w:hyperlink>
      <w:r w:rsidRPr="00D51254">
        <w:rPr>
          <w:color w:val="000000" w:themeColor="text1"/>
          <w:sz w:val="18"/>
          <w:szCs w:val="18"/>
          <w:lang w:val="en-US"/>
        </w:rPr>
        <w:t xml:space="preserve"> </w:t>
      </w:r>
    </w:p>
  </w:endnote>
  <w:endnote w:id="171">
    <w:p w:rsidR="00DD13F8" w:rsidRPr="00D51254" w:rsidRDefault="00DD13F8" w:rsidP="00EE0AC8">
      <w:pPr>
        <w:pStyle w:val="EndnoteText"/>
        <w:rPr>
          <w:color w:val="000000" w:themeColor="text1"/>
          <w:sz w:val="18"/>
          <w:szCs w:val="18"/>
          <w:lang w:val="en-US"/>
        </w:rPr>
      </w:pPr>
      <w:r w:rsidRPr="00D51254">
        <w:rPr>
          <w:rStyle w:val="EndnoteReference"/>
          <w:color w:val="000000" w:themeColor="text1"/>
          <w:sz w:val="18"/>
          <w:szCs w:val="18"/>
        </w:rPr>
        <w:endnoteRef/>
      </w:r>
      <w:r w:rsidRPr="00D51254">
        <w:rPr>
          <w:color w:val="000000" w:themeColor="text1"/>
          <w:sz w:val="18"/>
          <w:szCs w:val="18"/>
        </w:rPr>
        <w:t xml:space="preserve"> TD Economics. (2012). </w:t>
      </w:r>
      <w:r w:rsidRPr="00D51254">
        <w:rPr>
          <w:i/>
          <w:color w:val="000000" w:themeColor="text1"/>
          <w:sz w:val="18"/>
          <w:szCs w:val="18"/>
        </w:rPr>
        <w:t>Early childhood education has widespread and long lasting benefits.</w:t>
      </w:r>
      <w:r w:rsidRPr="00D51254">
        <w:rPr>
          <w:color w:val="000000" w:themeColor="text1"/>
          <w:sz w:val="18"/>
          <w:szCs w:val="18"/>
        </w:rPr>
        <w:t xml:space="preserve"> Retrieved from </w:t>
      </w:r>
      <w:hyperlink r:id="rId98">
        <w:r w:rsidRPr="00D51254">
          <w:rPr>
            <w:rStyle w:val="Hyperlink"/>
            <w:color w:val="000000" w:themeColor="text1"/>
            <w:sz w:val="18"/>
            <w:szCs w:val="18"/>
            <w:lang w:val="en-US"/>
          </w:rPr>
          <w:t>http://www.td.com/document/PDF/economics/special/di1112_EarlyChildhoodEducation.pdf</w:t>
        </w:r>
      </w:hyperlink>
      <w:r w:rsidRPr="00D51254">
        <w:rPr>
          <w:color w:val="000000" w:themeColor="text1"/>
          <w:sz w:val="18"/>
          <w:szCs w:val="18"/>
          <w:lang w:val="en-US"/>
        </w:rPr>
        <w:t xml:space="preserve"> </w:t>
      </w:r>
    </w:p>
  </w:endnote>
  <w:endnote w:id="172">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Alexander, C., Beckman, K., Macdonald, A., Renner, C., &amp; Stewart, M. (2017).</w:t>
      </w:r>
      <w:r w:rsidRPr="00D51254">
        <w:rPr>
          <w:i/>
          <w:color w:val="000000" w:themeColor="text1"/>
          <w:sz w:val="18"/>
          <w:szCs w:val="18"/>
        </w:rPr>
        <w:t xml:space="preserve"> Ready for life: A socio-economic analysis of early childhood education and care.</w:t>
      </w:r>
      <w:r w:rsidRPr="00D51254">
        <w:rPr>
          <w:color w:val="000000" w:themeColor="text1"/>
          <w:sz w:val="18"/>
          <w:szCs w:val="18"/>
        </w:rPr>
        <w:t xml:space="preserve"> Ottawa, Canada: The Conference Board of Canada.</w:t>
      </w:r>
      <w:r w:rsidRPr="00D51254">
        <w:rPr>
          <w:i/>
          <w:color w:val="000000" w:themeColor="text1"/>
          <w:sz w:val="18"/>
          <w:szCs w:val="18"/>
        </w:rPr>
        <w:t xml:space="preserve"> </w:t>
      </w:r>
      <w:r w:rsidRPr="00D51254">
        <w:rPr>
          <w:color w:val="000000" w:themeColor="text1"/>
          <w:sz w:val="18"/>
          <w:szCs w:val="18"/>
        </w:rPr>
        <w:t xml:space="preserve">Retrieved from </w:t>
      </w:r>
      <w:hyperlink r:id="rId99" w:history="1">
        <w:r w:rsidRPr="00D51254">
          <w:rPr>
            <w:rStyle w:val="Hyperlink"/>
            <w:color w:val="000000" w:themeColor="text1"/>
            <w:sz w:val="18"/>
            <w:szCs w:val="18"/>
          </w:rPr>
          <w:t>http://mwmccain.ca/reports/2017/10/26/ready-life-socio-economic-analysis-early-childhood-education-and-care/</w:t>
        </w:r>
      </w:hyperlink>
    </w:p>
  </w:endnote>
  <w:endnote w:id="17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Aguirre, E., et al (2006). </w:t>
      </w:r>
      <w:r w:rsidRPr="00D51254">
        <w:rPr>
          <w:i/>
          <w:color w:val="000000" w:themeColor="text1"/>
          <w:sz w:val="18"/>
          <w:szCs w:val="18"/>
        </w:rPr>
        <w:t>A cost-benefit analysis of universally-accessible pre-kindergarten education in Texas</w:t>
      </w:r>
      <w:r w:rsidRPr="00D51254">
        <w:rPr>
          <w:color w:val="000000" w:themeColor="text1"/>
          <w:sz w:val="18"/>
          <w:szCs w:val="18"/>
        </w:rPr>
        <w:t xml:space="preserve">. The Bush School of Government and Public Service, Texas A&amp;M University. Retrieved from </w:t>
      </w:r>
      <w:hyperlink r:id="rId100" w:history="1">
        <w:r w:rsidRPr="00D51254">
          <w:rPr>
            <w:rStyle w:val="Hyperlink"/>
            <w:color w:val="000000" w:themeColor="text1"/>
            <w:sz w:val="18"/>
            <w:szCs w:val="18"/>
          </w:rPr>
          <w:t>http://bush.tamu.edu/psaa/capstones/projects/TECEC2006/ACostBenefitAnalysisofHigh-QualityUniversally-AccessiblePre-KindergartenEducationinTexas.pdf</w:t>
        </w:r>
      </w:hyperlink>
    </w:p>
  </w:endnote>
  <w:endnote w:id="17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color w:val="000000" w:themeColor="text1"/>
          <w:sz w:val="18"/>
          <w:szCs w:val="18"/>
        </w:rPr>
        <w:t>Karoly</w:t>
      </w:r>
      <w:proofErr w:type="spellEnd"/>
      <w:r w:rsidRPr="00D51254">
        <w:rPr>
          <w:color w:val="000000" w:themeColor="text1"/>
          <w:sz w:val="18"/>
          <w:szCs w:val="18"/>
        </w:rPr>
        <w:t xml:space="preserve">, L. A., &amp; Bigelow, J. H. (2005). </w:t>
      </w:r>
      <w:r w:rsidRPr="00D51254">
        <w:rPr>
          <w:i/>
          <w:color w:val="000000" w:themeColor="text1"/>
          <w:sz w:val="18"/>
          <w:szCs w:val="18"/>
          <w:lang w:val="en-US"/>
        </w:rPr>
        <w:t>The economics of investing in universal preschool education in California.</w:t>
      </w:r>
      <w:r w:rsidRPr="00D51254">
        <w:rPr>
          <w:color w:val="000000" w:themeColor="text1"/>
          <w:sz w:val="18"/>
          <w:szCs w:val="18"/>
          <w:lang w:val="en-US"/>
        </w:rPr>
        <w:t xml:space="preserve"> RAND Corporation. Retrieved from </w:t>
      </w:r>
      <w:hyperlink r:id="rId101">
        <w:r w:rsidRPr="00D51254">
          <w:rPr>
            <w:rStyle w:val="Hyperlink"/>
            <w:color w:val="000000" w:themeColor="text1"/>
            <w:sz w:val="18"/>
            <w:szCs w:val="18"/>
            <w:lang w:val="en-US"/>
          </w:rPr>
          <w:t>https://www.rand.org/content/dam/rand/pubs/monographs/2005/RAND_MG349.pdf</w:t>
        </w:r>
      </w:hyperlink>
    </w:p>
  </w:endnote>
  <w:endnote w:id="17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eastAsia="Calibri" w:cs="Calibri"/>
          <w:color w:val="000000" w:themeColor="text1"/>
          <w:sz w:val="18"/>
          <w:szCs w:val="18"/>
        </w:rPr>
        <w:t xml:space="preserve">Heckman, J. J., Moon, S. H., Pinto, R., </w:t>
      </w:r>
      <w:proofErr w:type="spellStart"/>
      <w:r w:rsidRPr="00D51254">
        <w:rPr>
          <w:rFonts w:eastAsia="Calibri" w:cs="Calibri"/>
          <w:color w:val="000000" w:themeColor="text1"/>
          <w:sz w:val="18"/>
          <w:szCs w:val="18"/>
        </w:rPr>
        <w:t>Savelyev</w:t>
      </w:r>
      <w:proofErr w:type="spellEnd"/>
      <w:r w:rsidRPr="00D51254">
        <w:rPr>
          <w:rFonts w:eastAsia="Calibri" w:cs="Calibri"/>
          <w:color w:val="000000" w:themeColor="text1"/>
          <w:sz w:val="18"/>
          <w:szCs w:val="18"/>
        </w:rPr>
        <w:t xml:space="preserve">, P. A., </w:t>
      </w:r>
      <w:proofErr w:type="spellStart"/>
      <w:r w:rsidRPr="00D51254">
        <w:rPr>
          <w:rFonts w:eastAsia="Calibri" w:cs="Calibri"/>
          <w:color w:val="000000" w:themeColor="text1"/>
          <w:sz w:val="18"/>
          <w:szCs w:val="18"/>
        </w:rPr>
        <w:t>Yavitz</w:t>
      </w:r>
      <w:proofErr w:type="spellEnd"/>
      <w:r w:rsidRPr="00D51254">
        <w:rPr>
          <w:rFonts w:eastAsia="Calibri" w:cs="Calibri"/>
          <w:color w:val="000000" w:themeColor="text1"/>
          <w:sz w:val="18"/>
          <w:szCs w:val="18"/>
        </w:rPr>
        <w:t xml:space="preserve">, A. (2010). </w:t>
      </w:r>
    </w:p>
  </w:endnote>
  <w:endnote w:id="17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rFonts w:eastAsia="Calibri" w:cs="Calibri"/>
          <w:color w:val="000000" w:themeColor="text1"/>
          <w:sz w:val="18"/>
          <w:szCs w:val="18"/>
          <w:lang w:val="en-US"/>
        </w:rPr>
        <w:t>Karoly</w:t>
      </w:r>
      <w:proofErr w:type="spellEnd"/>
      <w:r w:rsidRPr="00D51254">
        <w:rPr>
          <w:rFonts w:eastAsia="Calibri" w:cs="Calibri"/>
          <w:color w:val="000000" w:themeColor="text1"/>
          <w:sz w:val="18"/>
          <w:szCs w:val="18"/>
          <w:lang w:val="en-US"/>
        </w:rPr>
        <w:t>, L. A. (2016).</w:t>
      </w:r>
    </w:p>
  </w:endnote>
  <w:endnote w:id="17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PricewaterhouseCoopers (PWC). (2014). </w:t>
      </w:r>
      <w:r w:rsidRPr="00D51254">
        <w:rPr>
          <w:i/>
          <w:color w:val="000000" w:themeColor="text1"/>
          <w:sz w:val="18"/>
          <w:szCs w:val="18"/>
        </w:rPr>
        <w:t>Putting a value on early childhood education and care in Australia.</w:t>
      </w:r>
      <w:r w:rsidRPr="00D51254">
        <w:rPr>
          <w:color w:val="000000" w:themeColor="text1"/>
          <w:sz w:val="18"/>
          <w:szCs w:val="18"/>
        </w:rPr>
        <w:t xml:space="preserve"> </w:t>
      </w:r>
      <w:r w:rsidRPr="00D51254">
        <w:rPr>
          <w:color w:val="000000" w:themeColor="text1"/>
          <w:sz w:val="18"/>
          <w:szCs w:val="18"/>
        </w:rPr>
        <w:br/>
        <w:t xml:space="preserve">Retrieved from </w:t>
      </w:r>
      <w:hyperlink r:id="rId102">
        <w:r w:rsidRPr="00D51254">
          <w:rPr>
            <w:rStyle w:val="Hyperlink"/>
            <w:color w:val="000000" w:themeColor="text1"/>
            <w:sz w:val="18"/>
            <w:szCs w:val="18"/>
          </w:rPr>
          <w:t>https://www.pwc.com.au/pdf/putting-value-on-ecec.pdf</w:t>
        </w:r>
      </w:hyperlink>
      <w:r w:rsidRPr="00D51254">
        <w:rPr>
          <w:color w:val="000000" w:themeColor="text1"/>
          <w:sz w:val="18"/>
          <w:szCs w:val="18"/>
        </w:rPr>
        <w:t xml:space="preserve"> </w:t>
      </w:r>
    </w:p>
  </w:endnote>
  <w:endnote w:id="17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PricewaterhouseCoopers (PWC). (2014).</w:t>
      </w:r>
    </w:p>
  </w:endnote>
  <w:endnote w:id="17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Phillips, D, et al. (2017). </w:t>
      </w:r>
    </w:p>
  </w:endnote>
  <w:endnote w:id="180">
    <w:p w:rsidR="00DD13F8" w:rsidRPr="00D51254" w:rsidRDefault="00DD13F8" w:rsidP="00EE0AC8">
      <w:pPr>
        <w:pStyle w:val="EndnoteText"/>
        <w:rPr>
          <w:color w:val="000000" w:themeColor="text1"/>
          <w:sz w:val="18"/>
          <w:szCs w:val="18"/>
          <w:highlight w:val="green"/>
        </w:rPr>
      </w:pPr>
      <w:r w:rsidRPr="00D51254">
        <w:rPr>
          <w:rStyle w:val="EndnoteReference"/>
          <w:color w:val="000000" w:themeColor="text1"/>
          <w:sz w:val="18"/>
          <w:szCs w:val="18"/>
        </w:rPr>
        <w:endnoteRef/>
      </w:r>
      <w:r w:rsidRPr="00D51254">
        <w:rPr>
          <w:color w:val="000000" w:themeColor="text1"/>
          <w:sz w:val="18"/>
          <w:szCs w:val="18"/>
        </w:rPr>
        <w:t xml:space="preserve"> Lynch, R., &amp; </w:t>
      </w:r>
      <w:proofErr w:type="spellStart"/>
      <w:r w:rsidRPr="00D51254">
        <w:rPr>
          <w:color w:val="000000" w:themeColor="text1"/>
          <w:sz w:val="18"/>
          <w:szCs w:val="18"/>
        </w:rPr>
        <w:t>Vaghul</w:t>
      </w:r>
      <w:proofErr w:type="spellEnd"/>
      <w:r w:rsidRPr="00D51254">
        <w:rPr>
          <w:color w:val="000000" w:themeColor="text1"/>
          <w:sz w:val="18"/>
          <w:szCs w:val="18"/>
        </w:rPr>
        <w:t xml:space="preserve">, K. (2015, December 2). </w:t>
      </w:r>
    </w:p>
    <w:p w:rsidR="00DD13F8" w:rsidRPr="00D51254" w:rsidRDefault="00DD13F8" w:rsidP="00EE0AC8">
      <w:pPr>
        <w:pStyle w:val="EndnoteText"/>
        <w:rPr>
          <w:color w:val="000000" w:themeColor="text1"/>
          <w:sz w:val="18"/>
          <w:szCs w:val="18"/>
        </w:rPr>
      </w:pPr>
      <w:proofErr w:type="spellStart"/>
      <w:r w:rsidRPr="00D51254">
        <w:rPr>
          <w:rFonts w:eastAsia="Calibri" w:cs="Calibri"/>
          <w:color w:val="000000" w:themeColor="text1"/>
          <w:sz w:val="18"/>
          <w:szCs w:val="18"/>
          <w:lang w:val="en-US"/>
        </w:rPr>
        <w:t>Karoly</w:t>
      </w:r>
      <w:proofErr w:type="spellEnd"/>
      <w:r w:rsidRPr="00D51254">
        <w:rPr>
          <w:rFonts w:eastAsia="Calibri" w:cs="Calibri"/>
          <w:color w:val="000000" w:themeColor="text1"/>
          <w:sz w:val="18"/>
          <w:szCs w:val="18"/>
          <w:lang w:val="en-US"/>
        </w:rPr>
        <w:t xml:space="preserve">, L. A. (2016). </w:t>
      </w:r>
      <w:r w:rsidRPr="00D51254">
        <w:rPr>
          <w:rFonts w:eastAsia="Calibri" w:cs="Calibri"/>
          <w:color w:val="000000" w:themeColor="text1"/>
          <w:sz w:val="18"/>
          <w:szCs w:val="18"/>
        </w:rPr>
        <w:t>and</w:t>
      </w:r>
    </w:p>
    <w:p w:rsidR="00DD13F8" w:rsidRPr="00D51254" w:rsidRDefault="00DD13F8" w:rsidP="00EE0AC8">
      <w:pPr>
        <w:pStyle w:val="EndnoteText"/>
        <w:rPr>
          <w:color w:val="000000" w:themeColor="text1"/>
          <w:sz w:val="18"/>
          <w:szCs w:val="18"/>
        </w:rPr>
      </w:pPr>
      <w:r w:rsidRPr="00D51254">
        <w:rPr>
          <w:color w:val="000000" w:themeColor="text1"/>
          <w:sz w:val="18"/>
          <w:szCs w:val="18"/>
        </w:rPr>
        <w:t xml:space="preserve">Executive Office of the President of the United States. (2014). </w:t>
      </w:r>
      <w:r w:rsidRPr="00D51254">
        <w:rPr>
          <w:i/>
          <w:color w:val="000000" w:themeColor="text1"/>
          <w:sz w:val="18"/>
          <w:szCs w:val="18"/>
        </w:rPr>
        <w:t>The economics of early childhood investments</w:t>
      </w:r>
      <w:r w:rsidRPr="00D51254">
        <w:rPr>
          <w:color w:val="000000" w:themeColor="text1"/>
          <w:sz w:val="18"/>
          <w:szCs w:val="18"/>
        </w:rPr>
        <w:t xml:space="preserve">. </w:t>
      </w:r>
    </w:p>
  </w:endnote>
  <w:endnote w:id="181">
    <w:p w:rsidR="00DD13F8" w:rsidRPr="00D51254" w:rsidRDefault="00DD13F8" w:rsidP="00EE0AC8">
      <w:pPr>
        <w:pStyle w:val="EndnoteText"/>
        <w:rPr>
          <w:rFonts w:cstheme="minorHAnsi"/>
          <w:color w:val="000000" w:themeColor="text1"/>
          <w:sz w:val="18"/>
          <w:szCs w:val="18"/>
        </w:rPr>
      </w:pPr>
      <w:r w:rsidRPr="00D51254">
        <w:rPr>
          <w:rStyle w:val="EndnoteReference"/>
          <w:rFonts w:cstheme="minorHAnsi"/>
          <w:color w:val="000000" w:themeColor="text1"/>
          <w:sz w:val="18"/>
          <w:szCs w:val="18"/>
        </w:rPr>
        <w:endnoteRef/>
      </w:r>
      <w:r w:rsidRPr="00D51254">
        <w:rPr>
          <w:rFonts w:cstheme="minorHAnsi"/>
          <w:color w:val="000000" w:themeColor="text1"/>
          <w:sz w:val="18"/>
          <w:szCs w:val="18"/>
        </w:rPr>
        <w:t xml:space="preserve"> </w:t>
      </w:r>
      <w:r w:rsidRPr="00D51254">
        <w:rPr>
          <w:rFonts w:eastAsia="Calibri" w:cs="Calibri"/>
          <w:color w:val="000000" w:themeColor="text1"/>
          <w:sz w:val="18"/>
          <w:szCs w:val="18"/>
        </w:rPr>
        <w:t xml:space="preserve">Heckman, J. J., Moon, S. H., Pinto, R., </w:t>
      </w:r>
      <w:proofErr w:type="spellStart"/>
      <w:r w:rsidRPr="00D51254">
        <w:rPr>
          <w:rFonts w:eastAsia="Calibri" w:cs="Calibri"/>
          <w:color w:val="000000" w:themeColor="text1"/>
          <w:sz w:val="18"/>
          <w:szCs w:val="18"/>
        </w:rPr>
        <w:t>Savelyev</w:t>
      </w:r>
      <w:proofErr w:type="spellEnd"/>
      <w:r w:rsidRPr="00D51254">
        <w:rPr>
          <w:rFonts w:eastAsia="Calibri" w:cs="Calibri"/>
          <w:color w:val="000000" w:themeColor="text1"/>
          <w:sz w:val="18"/>
          <w:szCs w:val="18"/>
        </w:rPr>
        <w:t xml:space="preserve">, P. A., </w:t>
      </w:r>
      <w:proofErr w:type="spellStart"/>
      <w:r w:rsidRPr="00D51254">
        <w:rPr>
          <w:rFonts w:eastAsia="Calibri" w:cs="Calibri"/>
          <w:color w:val="000000" w:themeColor="text1"/>
          <w:sz w:val="18"/>
          <w:szCs w:val="18"/>
        </w:rPr>
        <w:t>Yavitz</w:t>
      </w:r>
      <w:proofErr w:type="spellEnd"/>
      <w:r w:rsidRPr="00D51254">
        <w:rPr>
          <w:rFonts w:eastAsia="Calibri" w:cs="Calibri"/>
          <w:color w:val="000000" w:themeColor="text1"/>
          <w:sz w:val="18"/>
          <w:szCs w:val="18"/>
        </w:rPr>
        <w:t>, A. (2010). and</w:t>
      </w:r>
    </w:p>
    <w:p w:rsidR="00DD13F8" w:rsidRPr="00D51254" w:rsidRDefault="00DD13F8" w:rsidP="00EE0AC8">
      <w:pPr>
        <w:pStyle w:val="EndnoteText"/>
        <w:rPr>
          <w:rFonts w:cstheme="minorHAnsi"/>
          <w:color w:val="000000" w:themeColor="text1"/>
          <w:sz w:val="18"/>
          <w:szCs w:val="18"/>
        </w:rPr>
      </w:pPr>
      <w:r w:rsidRPr="00D51254">
        <w:rPr>
          <w:color w:val="000000" w:themeColor="text1"/>
          <w:sz w:val="18"/>
          <w:szCs w:val="18"/>
        </w:rPr>
        <w:t xml:space="preserve">Executive Office of the President of the United States. (2014). </w:t>
      </w:r>
      <w:r w:rsidRPr="00D51254">
        <w:rPr>
          <w:i/>
          <w:color w:val="000000" w:themeColor="text1"/>
          <w:sz w:val="18"/>
          <w:szCs w:val="18"/>
        </w:rPr>
        <w:t>The economics of early childhood investments</w:t>
      </w:r>
      <w:r w:rsidRPr="00D51254">
        <w:rPr>
          <w:color w:val="000000" w:themeColor="text1"/>
          <w:sz w:val="18"/>
          <w:szCs w:val="18"/>
        </w:rPr>
        <w:t xml:space="preserve">. </w:t>
      </w:r>
    </w:p>
  </w:endnote>
  <w:endnote w:id="182">
    <w:p w:rsidR="00DD13F8" w:rsidRPr="00D51254" w:rsidRDefault="00DD13F8" w:rsidP="00EE0AC8">
      <w:pPr>
        <w:pStyle w:val="EndnoteText"/>
        <w:rPr>
          <w:color w:val="000000" w:themeColor="text1"/>
          <w:sz w:val="18"/>
          <w:szCs w:val="18"/>
        </w:rPr>
      </w:pPr>
      <w:r w:rsidRPr="00D51254">
        <w:rPr>
          <w:rStyle w:val="EndnoteReference"/>
          <w:rFonts w:cstheme="minorHAnsi"/>
          <w:color w:val="000000" w:themeColor="text1"/>
          <w:sz w:val="18"/>
          <w:szCs w:val="18"/>
        </w:rPr>
        <w:endnoteRef/>
      </w:r>
      <w:r w:rsidRPr="00D51254">
        <w:rPr>
          <w:rFonts w:cstheme="minorHAnsi"/>
          <w:color w:val="000000" w:themeColor="text1"/>
          <w:sz w:val="18"/>
          <w:szCs w:val="18"/>
        </w:rPr>
        <w:t xml:space="preserve"> </w:t>
      </w:r>
      <w:r w:rsidRPr="00D51254">
        <w:rPr>
          <w:rFonts w:cstheme="minorHAnsi"/>
          <w:color w:val="000000" w:themeColor="text1"/>
          <w:sz w:val="18"/>
          <w:szCs w:val="18"/>
          <w:shd w:val="clear" w:color="auto" w:fill="FFFFFF"/>
        </w:rPr>
        <w:t xml:space="preserve">Heckman, J. J., &amp; </w:t>
      </w:r>
      <w:proofErr w:type="spellStart"/>
      <w:r w:rsidRPr="00D51254">
        <w:rPr>
          <w:rFonts w:cstheme="minorHAnsi"/>
          <w:color w:val="000000" w:themeColor="text1"/>
          <w:sz w:val="18"/>
          <w:szCs w:val="18"/>
          <w:shd w:val="clear" w:color="auto" w:fill="FFFFFF"/>
        </w:rPr>
        <w:t>Kautz</w:t>
      </w:r>
      <w:proofErr w:type="spellEnd"/>
      <w:r w:rsidRPr="00D51254">
        <w:rPr>
          <w:rFonts w:cstheme="minorHAnsi"/>
          <w:color w:val="000000" w:themeColor="text1"/>
          <w:sz w:val="18"/>
          <w:szCs w:val="18"/>
          <w:shd w:val="clear" w:color="auto" w:fill="FFFFFF"/>
        </w:rPr>
        <w:t>, T. (2012). Hard evidence on soft skills. </w:t>
      </w:r>
      <w:r w:rsidRPr="00D51254">
        <w:rPr>
          <w:rStyle w:val="Emphasis"/>
          <w:rFonts w:cstheme="minorHAnsi"/>
          <w:color w:val="000000" w:themeColor="text1"/>
          <w:sz w:val="18"/>
          <w:szCs w:val="18"/>
          <w:bdr w:val="none" w:sz="0" w:space="0" w:color="auto" w:frame="1"/>
          <w:shd w:val="clear" w:color="auto" w:fill="FFFFFF"/>
        </w:rPr>
        <w:t>Labour Economics</w:t>
      </w:r>
      <w:r w:rsidRPr="00D51254">
        <w:rPr>
          <w:rFonts w:cstheme="minorHAnsi"/>
          <w:color w:val="000000" w:themeColor="text1"/>
          <w:sz w:val="18"/>
          <w:szCs w:val="18"/>
          <w:shd w:val="clear" w:color="auto" w:fill="FFFFFF"/>
        </w:rPr>
        <w:t xml:space="preserve">, 19(4), 451–464. Retrieved from </w:t>
      </w:r>
      <w:hyperlink r:id="rId103" w:history="1">
        <w:r w:rsidRPr="00D51254">
          <w:rPr>
            <w:rStyle w:val="Hyperlink"/>
            <w:rFonts w:cstheme="minorHAnsi"/>
            <w:color w:val="000000" w:themeColor="text1"/>
            <w:sz w:val="18"/>
            <w:szCs w:val="18"/>
            <w:shd w:val="clear" w:color="auto" w:fill="FFFFFF"/>
          </w:rPr>
          <w:t>http://www.nber.org/papers/w18121</w:t>
        </w:r>
      </w:hyperlink>
      <w:r w:rsidRPr="00D51254">
        <w:rPr>
          <w:rFonts w:cstheme="minorHAnsi"/>
          <w:color w:val="000000" w:themeColor="text1"/>
          <w:sz w:val="18"/>
          <w:szCs w:val="18"/>
          <w:shd w:val="clear" w:color="auto" w:fill="FFFFFF"/>
        </w:rPr>
        <w:t xml:space="preserve"> </w:t>
      </w:r>
    </w:p>
  </w:endnote>
  <w:endnote w:id="183">
    <w:p w:rsidR="00DD13F8" w:rsidRPr="00D51254" w:rsidRDefault="00DD13F8" w:rsidP="00EE0AC8">
      <w:pPr>
        <w:pStyle w:val="EndnoteText"/>
        <w:rPr>
          <w:color w:val="000000" w:themeColor="text1"/>
          <w:sz w:val="18"/>
          <w:szCs w:val="18"/>
        </w:rPr>
      </w:pPr>
      <w:r w:rsidRPr="00D51254">
        <w:rPr>
          <w:rStyle w:val="EndnoteReference"/>
          <w:rFonts w:cstheme="minorHAnsi"/>
          <w:color w:val="000000" w:themeColor="text1"/>
          <w:sz w:val="18"/>
          <w:szCs w:val="18"/>
        </w:rPr>
        <w:endnoteRef/>
      </w:r>
      <w:r w:rsidRPr="00D51254">
        <w:rPr>
          <w:rFonts w:cstheme="minorHAnsi"/>
          <w:color w:val="000000" w:themeColor="text1"/>
          <w:sz w:val="18"/>
          <w:szCs w:val="18"/>
        </w:rPr>
        <w:t xml:space="preserve"> </w:t>
      </w:r>
      <w:r w:rsidRPr="00D51254">
        <w:rPr>
          <w:rFonts w:cstheme="minorHAnsi"/>
          <w:color w:val="000000" w:themeColor="text1"/>
          <w:sz w:val="18"/>
          <w:szCs w:val="18"/>
          <w:shd w:val="clear" w:color="auto" w:fill="FFFFFF"/>
        </w:rPr>
        <w:t xml:space="preserve">Heckman, J. J., &amp; </w:t>
      </w:r>
      <w:proofErr w:type="spellStart"/>
      <w:r w:rsidRPr="00D51254">
        <w:rPr>
          <w:rFonts w:cstheme="minorHAnsi"/>
          <w:color w:val="000000" w:themeColor="text1"/>
          <w:sz w:val="18"/>
          <w:szCs w:val="18"/>
          <w:shd w:val="clear" w:color="auto" w:fill="FFFFFF"/>
        </w:rPr>
        <w:t>Kautz</w:t>
      </w:r>
      <w:proofErr w:type="spellEnd"/>
      <w:r w:rsidRPr="00D51254">
        <w:rPr>
          <w:rFonts w:cstheme="minorHAnsi"/>
          <w:color w:val="000000" w:themeColor="text1"/>
          <w:sz w:val="18"/>
          <w:szCs w:val="18"/>
          <w:shd w:val="clear" w:color="auto" w:fill="FFFFFF"/>
        </w:rPr>
        <w:t xml:space="preserve">, T. (2012). </w:t>
      </w:r>
    </w:p>
  </w:endnote>
  <w:endnote w:id="184">
    <w:p w:rsidR="00DD13F8" w:rsidRPr="00D51254" w:rsidRDefault="00DD13F8">
      <w:pPr>
        <w:pStyle w:val="EndnoteText"/>
        <w:rPr>
          <w:color w:val="000000" w:themeColor="text1"/>
          <w:sz w:val="18"/>
          <w:szCs w:val="18"/>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szCs w:val="18"/>
        </w:rPr>
        <w:t xml:space="preserve">Taggart, B., Sylva, K., </w:t>
      </w:r>
      <w:proofErr w:type="spellStart"/>
      <w:r w:rsidRPr="00D51254">
        <w:rPr>
          <w:color w:val="000000" w:themeColor="text1"/>
          <w:sz w:val="18"/>
          <w:szCs w:val="18"/>
        </w:rPr>
        <w:t>Melhuish</w:t>
      </w:r>
      <w:proofErr w:type="spellEnd"/>
      <w:r w:rsidRPr="00D51254">
        <w:rPr>
          <w:color w:val="000000" w:themeColor="text1"/>
          <w:sz w:val="18"/>
          <w:szCs w:val="18"/>
        </w:rPr>
        <w:t xml:space="preserve">, E., Sammons, P., &amp; </w:t>
      </w:r>
      <w:proofErr w:type="spellStart"/>
      <w:r w:rsidRPr="00D51254">
        <w:rPr>
          <w:color w:val="000000" w:themeColor="text1"/>
          <w:sz w:val="18"/>
          <w:szCs w:val="18"/>
        </w:rPr>
        <w:t>Siraj</w:t>
      </w:r>
      <w:proofErr w:type="spellEnd"/>
      <w:r w:rsidRPr="00D51254">
        <w:rPr>
          <w:color w:val="000000" w:themeColor="text1"/>
          <w:sz w:val="18"/>
          <w:szCs w:val="18"/>
        </w:rPr>
        <w:t xml:space="preserve">, I. (2015). </w:t>
      </w:r>
    </w:p>
  </w:endnote>
  <w:endnote w:id="18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Phillips, D, et al. (2017). </w:t>
      </w:r>
    </w:p>
  </w:endnote>
  <w:endnote w:id="18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Department of Premier and Cabinet (Vic), Council of Australian Governments’ National Reform Agenda – Victoria’s plan to improve outcomes in early childhood, March 2007, p. 46</w:t>
      </w:r>
    </w:p>
  </w:endnote>
  <w:endnote w:id="187">
    <w:p w:rsidR="00DD13F8" w:rsidRPr="00D51254" w:rsidRDefault="00DD13F8" w:rsidP="00EE0AC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proofErr w:type="spellStart"/>
      <w:r w:rsidRPr="00D51254">
        <w:rPr>
          <w:color w:val="000000" w:themeColor="text1"/>
          <w:sz w:val="18"/>
          <w:szCs w:val="18"/>
        </w:rPr>
        <w:t>Siraj</w:t>
      </w:r>
      <w:proofErr w:type="spellEnd"/>
      <w:r w:rsidRPr="00D51254">
        <w:rPr>
          <w:color w:val="000000" w:themeColor="text1"/>
          <w:sz w:val="18"/>
          <w:szCs w:val="18"/>
        </w:rPr>
        <w:t xml:space="preserve">, I. (2017). </w:t>
      </w:r>
      <w:r w:rsidRPr="00D51254">
        <w:rPr>
          <w:rFonts w:cs="Helvetica"/>
          <w:color w:val="000000" w:themeColor="text1"/>
          <w:sz w:val="18"/>
          <w:szCs w:val="18"/>
          <w:bdr w:val="none" w:sz="0" w:space="0" w:color="auto" w:frame="1"/>
        </w:rPr>
        <w:t xml:space="preserve">Teaching kids 21st century skills early will help prepare them for their future. </w:t>
      </w:r>
      <w:r w:rsidRPr="00D51254">
        <w:rPr>
          <w:rFonts w:cs="Helvetica"/>
          <w:i/>
          <w:color w:val="000000" w:themeColor="text1"/>
          <w:sz w:val="18"/>
          <w:szCs w:val="18"/>
          <w:bdr w:val="none" w:sz="0" w:space="0" w:color="auto" w:frame="1"/>
        </w:rPr>
        <w:t xml:space="preserve">The Conversation. </w:t>
      </w:r>
      <w:r w:rsidRPr="00D51254">
        <w:rPr>
          <w:rFonts w:cs="Helvetica"/>
          <w:color w:val="000000" w:themeColor="text1"/>
          <w:sz w:val="18"/>
          <w:szCs w:val="18"/>
          <w:bdr w:val="none" w:sz="0" w:space="0" w:color="auto" w:frame="1"/>
        </w:rPr>
        <w:t>Retrieved from: https://theconversation.com/teaching-kids-21st-century-skills-early-will-help-prepare-them-for-their-future-87179</w:t>
      </w:r>
    </w:p>
  </w:endnote>
  <w:endnote w:id="188">
    <w:p w:rsidR="00DD13F8" w:rsidRPr="00D51254" w:rsidRDefault="00DD13F8" w:rsidP="00EE0AC8">
      <w:pPr>
        <w:pStyle w:val="Heading1"/>
        <w:shd w:val="clear" w:color="auto" w:fill="FFFFFF"/>
        <w:spacing w:before="0"/>
        <w:textAlignment w:val="baseline"/>
        <w:rPr>
          <w:rFonts w:asciiTheme="minorHAnsi" w:hAnsiTheme="minorHAnsi" w:cs="Helvetica"/>
          <w:b w:val="0"/>
          <w:color w:val="000000" w:themeColor="text1"/>
          <w:sz w:val="22"/>
          <w:szCs w:val="22"/>
        </w:rPr>
      </w:pPr>
      <w:r w:rsidRPr="00D51254">
        <w:rPr>
          <w:rStyle w:val="EndnoteReference"/>
          <w:rFonts w:asciiTheme="minorHAnsi" w:hAnsiTheme="minorHAnsi"/>
          <w:b w:val="0"/>
          <w:color w:val="000000" w:themeColor="text1"/>
          <w:sz w:val="22"/>
          <w:szCs w:val="22"/>
        </w:rPr>
        <w:endnoteRef/>
      </w:r>
      <w:r w:rsidRPr="00D51254">
        <w:rPr>
          <w:rFonts w:asciiTheme="minorHAnsi" w:hAnsiTheme="minorHAnsi"/>
          <w:b w:val="0"/>
          <w:color w:val="000000" w:themeColor="text1"/>
          <w:sz w:val="22"/>
          <w:szCs w:val="22"/>
        </w:rPr>
        <w:t xml:space="preserve"> </w:t>
      </w:r>
      <w:proofErr w:type="spellStart"/>
      <w:r w:rsidRPr="00D51254">
        <w:rPr>
          <w:rFonts w:asciiTheme="minorHAnsi" w:hAnsiTheme="minorHAnsi"/>
          <w:b w:val="0"/>
          <w:color w:val="000000" w:themeColor="text1"/>
          <w:sz w:val="18"/>
          <w:szCs w:val="18"/>
        </w:rPr>
        <w:t>Siraj</w:t>
      </w:r>
      <w:proofErr w:type="spellEnd"/>
      <w:r w:rsidRPr="00D51254">
        <w:rPr>
          <w:rFonts w:asciiTheme="minorHAnsi" w:hAnsiTheme="minorHAnsi"/>
          <w:b w:val="0"/>
          <w:color w:val="000000" w:themeColor="text1"/>
          <w:sz w:val="18"/>
          <w:szCs w:val="18"/>
        </w:rPr>
        <w:t xml:space="preserve">, I. (2017). </w:t>
      </w:r>
    </w:p>
  </w:endnote>
  <w:endnote w:id="189">
    <w:p w:rsidR="00DD13F8" w:rsidRPr="00D51254" w:rsidRDefault="00DD13F8" w:rsidP="00EE0AC8">
      <w:pPr>
        <w:pStyle w:val="EndnoteText"/>
        <w:rPr>
          <w:color w:val="000000" w:themeColor="text1"/>
          <w:sz w:val="18"/>
        </w:rPr>
      </w:pPr>
      <w:r w:rsidRPr="00D51254">
        <w:rPr>
          <w:rStyle w:val="EndnoteReference"/>
          <w:color w:val="000000" w:themeColor="text1"/>
          <w:sz w:val="18"/>
          <w:szCs w:val="18"/>
        </w:rPr>
        <w:endnoteRef/>
      </w:r>
      <w:r w:rsidRPr="00D51254">
        <w:rPr>
          <w:color w:val="000000" w:themeColor="text1"/>
          <w:sz w:val="18"/>
          <w:szCs w:val="18"/>
        </w:rPr>
        <w:t xml:space="preserve"> Center on the Developing Child. (2012). </w:t>
      </w:r>
      <w:r w:rsidRPr="00D51254">
        <w:rPr>
          <w:i/>
          <w:color w:val="000000" w:themeColor="text1"/>
          <w:sz w:val="18"/>
          <w:szCs w:val="18"/>
        </w:rPr>
        <w:t>Executive Function: Skills for Life and Learning</w:t>
      </w:r>
      <w:r w:rsidRPr="00D51254">
        <w:rPr>
          <w:color w:val="000000" w:themeColor="text1"/>
          <w:sz w:val="18"/>
          <w:szCs w:val="18"/>
        </w:rPr>
        <w:t xml:space="preserve">. </w:t>
      </w:r>
    </w:p>
  </w:endnote>
  <w:endnote w:id="190">
    <w:p w:rsidR="00DD13F8" w:rsidRPr="00D51254" w:rsidRDefault="00DD13F8" w:rsidP="00EE0AC8">
      <w:pPr>
        <w:pStyle w:val="Heading1"/>
        <w:shd w:val="clear" w:color="auto" w:fill="FFFFFF"/>
        <w:spacing w:before="0"/>
        <w:textAlignment w:val="baseline"/>
        <w:rPr>
          <w:color w:val="000000" w:themeColor="text1"/>
        </w:rPr>
      </w:pPr>
      <w:r w:rsidRPr="00D51254">
        <w:rPr>
          <w:rStyle w:val="EndnoteReference"/>
          <w:rFonts w:asciiTheme="minorHAnsi" w:hAnsiTheme="minorHAnsi"/>
          <w:b w:val="0"/>
          <w:color w:val="000000" w:themeColor="text1"/>
          <w:sz w:val="18"/>
        </w:rPr>
        <w:endnoteRef/>
      </w:r>
      <w:r w:rsidRPr="00D51254">
        <w:rPr>
          <w:color w:val="000000" w:themeColor="text1"/>
        </w:rPr>
        <w:t xml:space="preserve"> </w:t>
      </w:r>
      <w:proofErr w:type="spellStart"/>
      <w:r w:rsidRPr="00D51254">
        <w:rPr>
          <w:rFonts w:asciiTheme="minorHAnsi" w:hAnsiTheme="minorHAnsi"/>
          <w:b w:val="0"/>
          <w:color w:val="000000" w:themeColor="text1"/>
          <w:sz w:val="18"/>
          <w:szCs w:val="18"/>
        </w:rPr>
        <w:t>Siraj</w:t>
      </w:r>
      <w:proofErr w:type="spellEnd"/>
      <w:r w:rsidRPr="00D51254">
        <w:rPr>
          <w:rFonts w:asciiTheme="minorHAnsi" w:hAnsiTheme="minorHAnsi"/>
          <w:b w:val="0"/>
          <w:color w:val="000000" w:themeColor="text1"/>
          <w:sz w:val="18"/>
          <w:szCs w:val="18"/>
        </w:rPr>
        <w:t xml:space="preserve">, I. (2017). </w:t>
      </w:r>
    </w:p>
  </w:endnote>
  <w:endnote w:id="19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The Economist Intelligence Unit. (2012). </w:t>
      </w:r>
      <w:r w:rsidRPr="00D51254">
        <w:rPr>
          <w:i/>
          <w:color w:val="000000" w:themeColor="text1"/>
          <w:sz w:val="18"/>
          <w:szCs w:val="18"/>
        </w:rPr>
        <w:t>Starting well: Benchmarking early education across the world.</w:t>
      </w:r>
      <w:r w:rsidRPr="00D51254">
        <w:rPr>
          <w:color w:val="000000" w:themeColor="text1"/>
          <w:sz w:val="18"/>
          <w:szCs w:val="18"/>
        </w:rPr>
        <w:t xml:space="preserve"> Lien Foundation, Retrieved from </w:t>
      </w:r>
      <w:hyperlink r:id="rId104" w:history="1">
        <w:r w:rsidRPr="00D51254">
          <w:rPr>
            <w:rStyle w:val="Hyperlink"/>
            <w:color w:val="000000" w:themeColor="text1"/>
            <w:sz w:val="18"/>
            <w:szCs w:val="18"/>
          </w:rPr>
          <w:t>http://graphics.eiu.com/upload/eb/lienstartingwell.pdf</w:t>
        </w:r>
      </w:hyperlink>
      <w:r w:rsidRPr="00D51254">
        <w:rPr>
          <w:color w:val="000000" w:themeColor="text1"/>
          <w:sz w:val="18"/>
          <w:szCs w:val="18"/>
        </w:rPr>
        <w:t xml:space="preserve"> </w:t>
      </w:r>
    </w:p>
  </w:endnote>
  <w:endnote w:id="19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The Economist Intelligence Unit. (2012). p.12 </w:t>
      </w:r>
    </w:p>
  </w:endnote>
  <w:endnote w:id="19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i/>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 xml:space="preserve">Starting Strong. </w:t>
      </w:r>
    </w:p>
  </w:endnote>
  <w:endnote w:id="194">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bCs/>
          <w:color w:val="000000" w:themeColor="text1"/>
          <w:sz w:val="18"/>
          <w:lang w:val="en"/>
        </w:rPr>
        <w:t xml:space="preserve">Lewis, J. (2017) Early </w:t>
      </w:r>
      <w:r w:rsidRPr="00D51254">
        <w:rPr>
          <w:bCs/>
          <w:i/>
          <w:color w:val="000000" w:themeColor="text1"/>
          <w:sz w:val="18"/>
          <w:lang w:val="en"/>
        </w:rPr>
        <w:t>Childhood Education and Care in England under Austerity: Continuity or Change in Political Ideas, Policy Goals, Availability, Affordability and Quality in a Childcare Market?</w:t>
      </w:r>
      <w:r w:rsidRPr="00D51254">
        <w:rPr>
          <w:bCs/>
          <w:color w:val="000000" w:themeColor="text1"/>
          <w:sz w:val="18"/>
          <w:lang w:val="en"/>
        </w:rPr>
        <w:t xml:space="preserve"> </w:t>
      </w:r>
      <w:r w:rsidRPr="00D51254">
        <w:rPr>
          <w:i/>
          <w:color w:val="000000" w:themeColor="text1"/>
          <w:sz w:val="18"/>
        </w:rPr>
        <w:t>Journal of Social Policy</w:t>
      </w:r>
      <w:r w:rsidRPr="00D51254">
        <w:rPr>
          <w:color w:val="000000" w:themeColor="text1"/>
          <w:sz w:val="18"/>
        </w:rPr>
        <w:t xml:space="preserve"> , 46, 2, 331–348</w:t>
      </w:r>
    </w:p>
  </w:endnote>
  <w:endnote w:id="195">
    <w:p w:rsidR="00DD13F8" w:rsidRPr="00D51254" w:rsidRDefault="00DD13F8" w:rsidP="00A516DA">
      <w:pPr>
        <w:pStyle w:val="EndnoteText"/>
        <w:tabs>
          <w:tab w:val="center" w:pos="4513"/>
        </w:tabs>
        <w:rPr>
          <w:color w:val="000000" w:themeColor="text1"/>
          <w:sz w:val="18"/>
          <w:szCs w:val="18"/>
        </w:rPr>
      </w:pPr>
      <w:r w:rsidRPr="00D51254">
        <w:rPr>
          <w:rStyle w:val="EndnoteReference"/>
          <w:color w:val="000000" w:themeColor="text1"/>
          <w:sz w:val="18"/>
          <w:szCs w:val="18"/>
        </w:rPr>
        <w:endnoteRef/>
      </w:r>
      <w:r w:rsidRPr="00D51254">
        <w:rPr>
          <w:i/>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r w:rsidRPr="00D51254">
        <w:rPr>
          <w:color w:val="000000" w:themeColor="text1"/>
          <w:sz w:val="18"/>
          <w:szCs w:val="18"/>
        </w:rPr>
        <w:t xml:space="preserve"> </w:t>
      </w:r>
      <w:r w:rsidRPr="00D51254">
        <w:rPr>
          <w:color w:val="000000" w:themeColor="text1"/>
          <w:sz w:val="18"/>
          <w:szCs w:val="18"/>
        </w:rPr>
        <w:tab/>
      </w:r>
    </w:p>
  </w:endnote>
  <w:endnote w:id="19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i/>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r w:rsidRPr="00D51254">
        <w:rPr>
          <w:color w:val="000000" w:themeColor="text1"/>
          <w:sz w:val="18"/>
          <w:szCs w:val="18"/>
        </w:rPr>
        <w:t xml:space="preserve"> p.85.</w:t>
      </w:r>
    </w:p>
  </w:endnote>
  <w:endnote w:id="19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rFonts w:eastAsia="Times New Roman"/>
          <w:color w:val="000000" w:themeColor="text1"/>
          <w:sz w:val="18"/>
          <w:szCs w:val="18"/>
        </w:rPr>
        <w:t xml:space="preserve"> </w:t>
      </w:r>
      <w:r w:rsidRPr="00D51254">
        <w:rPr>
          <w:color w:val="000000" w:themeColor="text1"/>
          <w:sz w:val="18"/>
          <w:szCs w:val="18"/>
        </w:rPr>
        <w:t xml:space="preserve">(2016). </w:t>
      </w:r>
      <w:r w:rsidRPr="00D51254">
        <w:rPr>
          <w:i/>
          <w:color w:val="000000" w:themeColor="text1"/>
          <w:sz w:val="18"/>
          <w:szCs w:val="18"/>
        </w:rPr>
        <w:t>Education at a glance 201</w:t>
      </w:r>
      <w:r w:rsidRPr="00D51254">
        <w:rPr>
          <w:color w:val="000000" w:themeColor="text1"/>
          <w:sz w:val="18"/>
          <w:szCs w:val="18"/>
        </w:rPr>
        <w:t xml:space="preserve">6: </w:t>
      </w:r>
      <w:r w:rsidRPr="00D51254">
        <w:rPr>
          <w:i/>
          <w:color w:val="000000" w:themeColor="text1"/>
          <w:sz w:val="18"/>
          <w:szCs w:val="18"/>
        </w:rPr>
        <w:t>OECD indicators</w:t>
      </w:r>
      <w:r w:rsidRPr="00D51254">
        <w:rPr>
          <w:color w:val="000000" w:themeColor="text1"/>
          <w:sz w:val="18"/>
          <w:szCs w:val="18"/>
        </w:rPr>
        <w:t xml:space="preserve">. Paris: OECD Publishing. Retrieved from </w:t>
      </w:r>
      <w:hyperlink r:id="rId105" w:history="1">
        <w:r w:rsidRPr="00D51254">
          <w:rPr>
            <w:rStyle w:val="Hyperlink"/>
            <w:rFonts w:eastAsia="Times New Roman" w:cs="Arial"/>
            <w:color w:val="000000" w:themeColor="text1"/>
            <w:sz w:val="18"/>
            <w:szCs w:val="18"/>
            <w:lang w:eastAsia="en-AU"/>
          </w:rPr>
          <w:t>http://dx.doi.org/10.1787/eag-2016-en</w:t>
        </w:r>
      </w:hyperlink>
    </w:p>
  </w:endnote>
  <w:endnote w:id="19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i/>
          <w:color w:val="000000" w:themeColor="text1"/>
          <w:sz w:val="18"/>
          <w:szCs w:val="18"/>
        </w:rPr>
        <w:t xml:space="preserve">  </w:t>
      </w:r>
      <w:r w:rsidRPr="00D51254">
        <w:rPr>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p>
  </w:endnote>
  <w:endnote w:id="199">
    <w:p w:rsidR="00DD13F8" w:rsidRPr="00D51254" w:rsidRDefault="00DD13F8" w:rsidP="00EE0AC8">
      <w:pPr>
        <w:spacing w:after="0"/>
        <w:rPr>
          <w:rFonts w:eastAsia="Times New Roman" w:cs="Arial"/>
          <w:color w:val="000000" w:themeColor="text1"/>
          <w:sz w:val="18"/>
          <w:szCs w:val="18"/>
          <w:lang w:eastAsia="en-AU"/>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rFonts w:eastAsia="Times New Roman"/>
          <w:color w:val="000000" w:themeColor="text1"/>
          <w:sz w:val="18"/>
          <w:szCs w:val="18"/>
        </w:rPr>
        <w:t xml:space="preserve"> </w:t>
      </w:r>
      <w:r w:rsidRPr="00D51254">
        <w:rPr>
          <w:color w:val="000000" w:themeColor="text1"/>
          <w:sz w:val="18"/>
          <w:szCs w:val="18"/>
        </w:rPr>
        <w:t xml:space="preserve">(2016). </w:t>
      </w:r>
      <w:r w:rsidRPr="00D51254">
        <w:rPr>
          <w:i/>
          <w:color w:val="000000" w:themeColor="text1"/>
          <w:sz w:val="18"/>
          <w:szCs w:val="18"/>
        </w:rPr>
        <w:t>Education at a glance</w:t>
      </w:r>
    </w:p>
  </w:endnote>
  <w:endnote w:id="20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The World Bank. (2017). </w:t>
      </w:r>
      <w:proofErr w:type="spellStart"/>
      <w:r w:rsidRPr="00D51254">
        <w:rPr>
          <w:color w:val="000000" w:themeColor="text1"/>
          <w:sz w:val="18"/>
          <w:szCs w:val="18"/>
        </w:rPr>
        <w:t>DataBank</w:t>
      </w:r>
      <w:proofErr w:type="spellEnd"/>
      <w:r w:rsidRPr="00D51254">
        <w:rPr>
          <w:color w:val="000000" w:themeColor="text1"/>
          <w:sz w:val="18"/>
          <w:szCs w:val="18"/>
        </w:rPr>
        <w:t xml:space="preserve">: World development indicators – pre-primary education, duration (years). Retrieved from </w:t>
      </w:r>
      <w:hyperlink w:history="1"/>
      <w:hyperlink r:id="rId106" w:history="1">
        <w:r w:rsidRPr="00D51254">
          <w:rPr>
            <w:rStyle w:val="Hyperlink"/>
            <w:color w:val="000000" w:themeColor="text1"/>
            <w:sz w:val="18"/>
            <w:szCs w:val="18"/>
          </w:rPr>
          <w:t>http://databank.worldbank.org/data/reports.aspx?source=2&amp;series=SE.PRE.DURS&amp;country</w:t>
        </w:r>
      </w:hyperlink>
      <w:r w:rsidRPr="00D51254">
        <w:rPr>
          <w:color w:val="000000" w:themeColor="text1"/>
          <w:sz w:val="18"/>
          <w:szCs w:val="18"/>
        </w:rPr>
        <w:t xml:space="preserve">= </w:t>
      </w:r>
    </w:p>
  </w:endnote>
  <w:endnote w:id="201">
    <w:p w:rsidR="00DD13F8" w:rsidRPr="00D51254" w:rsidRDefault="00DD13F8" w:rsidP="008A0150">
      <w:pPr>
        <w:pStyle w:val="EndnoteText"/>
        <w:rPr>
          <w:color w:val="000000" w:themeColor="text1"/>
          <w:sz w:val="18"/>
          <w:szCs w:val="18"/>
        </w:rPr>
      </w:pPr>
      <w:r w:rsidRPr="00D51254">
        <w:rPr>
          <w:rStyle w:val="EndnoteReference"/>
          <w:color w:val="000000" w:themeColor="text1"/>
          <w:sz w:val="18"/>
          <w:szCs w:val="18"/>
        </w:rPr>
        <w:endnoteRef/>
      </w:r>
      <w:r w:rsidRPr="00D51254">
        <w:rPr>
          <w:i/>
          <w:color w:val="000000" w:themeColor="text1"/>
          <w:sz w:val="18"/>
          <w:szCs w:val="18"/>
        </w:rPr>
        <w:t xml:space="preserve">  </w:t>
      </w:r>
      <w:r w:rsidRPr="00D51254">
        <w:rPr>
          <w:color w:val="000000" w:themeColor="text1"/>
          <w:sz w:val="18"/>
          <w:szCs w:val="18"/>
        </w:rPr>
        <w:t xml:space="preserve">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 xml:space="preserve">Starting Strong. </w:t>
      </w:r>
      <w:r w:rsidRPr="00D51254">
        <w:rPr>
          <w:i/>
          <w:color w:val="000000" w:themeColor="text1"/>
          <w:sz w:val="18"/>
          <w:szCs w:val="18"/>
        </w:rPr>
        <w:tab/>
      </w:r>
    </w:p>
  </w:endnote>
  <w:endnote w:id="202">
    <w:p w:rsidR="00DD13F8" w:rsidRPr="00D51254" w:rsidRDefault="00DD13F8" w:rsidP="00EE0AC8">
      <w:pPr>
        <w:spacing w:after="0"/>
        <w:rPr>
          <w:rFonts w:eastAsia="Times New Roman" w:cs="Arial"/>
          <w:color w:val="000000" w:themeColor="text1"/>
          <w:sz w:val="18"/>
          <w:szCs w:val="18"/>
          <w:lang w:eastAsia="en-AU"/>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eastAsia="Times New Roman" w:cs="Arial"/>
          <w:color w:val="000000" w:themeColor="text1"/>
          <w:sz w:val="18"/>
          <w:szCs w:val="18"/>
          <w:lang w:eastAsia="en-AU"/>
        </w:rPr>
        <w:t xml:space="preserve">Figure 2.9 and Table 2.2, </w:t>
      </w:r>
      <w:r w:rsidRPr="00D51254">
        <w:rPr>
          <w:rFonts w:cs="Calibri"/>
          <w:color w:val="000000" w:themeColor="text1"/>
          <w:sz w:val="18"/>
          <w:szCs w:val="18"/>
        </w:rPr>
        <w:t>OECD</w:t>
      </w:r>
      <w:r w:rsidRPr="00D51254">
        <w:rPr>
          <w:color w:val="000000" w:themeColor="text1"/>
          <w:sz w:val="18"/>
          <w:szCs w:val="18"/>
        </w:rPr>
        <w:t xml:space="preserve"> (2017). </w:t>
      </w:r>
      <w:r w:rsidRPr="00D51254">
        <w:rPr>
          <w:i/>
          <w:color w:val="000000" w:themeColor="text1"/>
          <w:sz w:val="18"/>
          <w:szCs w:val="18"/>
        </w:rPr>
        <w:t>Starting Strong.</w:t>
      </w:r>
    </w:p>
  </w:endnote>
  <w:endnote w:id="203">
    <w:p w:rsidR="00DD13F8" w:rsidRPr="00D51254" w:rsidRDefault="00DD13F8" w:rsidP="00EE0AC8">
      <w:pPr>
        <w:autoSpaceDE w:val="0"/>
        <w:autoSpaceDN w:val="0"/>
        <w:adjustRightInd w:val="0"/>
        <w:spacing w:after="0"/>
        <w:rPr>
          <w:rFonts w:cstheme="minorHAnsi"/>
          <w:color w:val="000000" w:themeColor="text1"/>
          <w:sz w:val="18"/>
          <w:szCs w:val="18"/>
        </w:rPr>
      </w:pPr>
      <w:r w:rsidRPr="00D51254">
        <w:rPr>
          <w:rStyle w:val="EndnoteReference"/>
          <w:color w:val="000000" w:themeColor="text1"/>
          <w:sz w:val="18"/>
          <w:szCs w:val="18"/>
        </w:rPr>
        <w:endnoteRef/>
      </w:r>
      <w:r w:rsidRPr="00D51254">
        <w:rPr>
          <w:rFonts w:cstheme="minorHAnsi"/>
          <w:color w:val="000000" w:themeColor="text1"/>
          <w:sz w:val="18"/>
          <w:szCs w:val="18"/>
        </w:rPr>
        <w:t xml:space="preserve">Slot, P., </w:t>
      </w:r>
      <w:proofErr w:type="spellStart"/>
      <w:r w:rsidRPr="00D51254">
        <w:rPr>
          <w:rFonts w:cstheme="minorHAnsi"/>
          <w:color w:val="000000" w:themeColor="text1"/>
          <w:sz w:val="18"/>
          <w:szCs w:val="18"/>
        </w:rPr>
        <w:t>Cadima</w:t>
      </w:r>
      <w:proofErr w:type="spellEnd"/>
      <w:r w:rsidRPr="00D51254">
        <w:rPr>
          <w:rFonts w:cstheme="minorHAnsi"/>
          <w:color w:val="000000" w:themeColor="text1"/>
          <w:sz w:val="18"/>
          <w:szCs w:val="18"/>
        </w:rPr>
        <w:t xml:space="preserve">, J., </w:t>
      </w:r>
      <w:proofErr w:type="spellStart"/>
      <w:r w:rsidRPr="00D51254">
        <w:rPr>
          <w:rFonts w:cstheme="minorHAnsi"/>
          <w:color w:val="000000" w:themeColor="text1"/>
          <w:sz w:val="18"/>
          <w:szCs w:val="18"/>
        </w:rPr>
        <w:t>Salminen</w:t>
      </w:r>
      <w:proofErr w:type="spellEnd"/>
      <w:r w:rsidRPr="00D51254">
        <w:rPr>
          <w:rFonts w:cstheme="minorHAnsi"/>
          <w:color w:val="000000" w:themeColor="text1"/>
          <w:sz w:val="18"/>
          <w:szCs w:val="18"/>
        </w:rPr>
        <w:t xml:space="preserve">, J., </w:t>
      </w:r>
      <w:proofErr w:type="spellStart"/>
      <w:r w:rsidRPr="00D51254">
        <w:rPr>
          <w:rFonts w:cstheme="minorHAnsi"/>
          <w:color w:val="000000" w:themeColor="text1"/>
          <w:sz w:val="18"/>
          <w:szCs w:val="18"/>
        </w:rPr>
        <w:t>Pastori</w:t>
      </w:r>
      <w:proofErr w:type="spellEnd"/>
      <w:r w:rsidRPr="00D51254">
        <w:rPr>
          <w:rFonts w:cstheme="minorHAnsi"/>
          <w:color w:val="000000" w:themeColor="text1"/>
          <w:sz w:val="18"/>
          <w:szCs w:val="18"/>
        </w:rPr>
        <w:t xml:space="preserve">, G., &amp; </w:t>
      </w:r>
      <w:proofErr w:type="spellStart"/>
      <w:r w:rsidRPr="00D51254">
        <w:rPr>
          <w:rFonts w:cstheme="minorHAnsi"/>
          <w:color w:val="000000" w:themeColor="text1"/>
          <w:sz w:val="18"/>
          <w:szCs w:val="18"/>
        </w:rPr>
        <w:t>Lerkkanen</w:t>
      </w:r>
      <w:proofErr w:type="spellEnd"/>
      <w:r w:rsidRPr="00D51254">
        <w:rPr>
          <w:rFonts w:cstheme="minorHAnsi"/>
          <w:color w:val="000000" w:themeColor="text1"/>
          <w:sz w:val="18"/>
          <w:szCs w:val="18"/>
        </w:rPr>
        <w:t>, M-J.</w:t>
      </w:r>
      <w:r w:rsidRPr="00D51254">
        <w:rPr>
          <w:color w:val="000000" w:themeColor="text1"/>
          <w:sz w:val="18"/>
          <w:szCs w:val="18"/>
        </w:rPr>
        <w:t xml:space="preserve"> (</w:t>
      </w:r>
      <w:r w:rsidRPr="00D51254">
        <w:rPr>
          <w:rFonts w:cstheme="minorHAnsi"/>
          <w:color w:val="000000" w:themeColor="text1"/>
          <w:sz w:val="18"/>
          <w:szCs w:val="18"/>
        </w:rPr>
        <w:t xml:space="preserve">2016). </w:t>
      </w:r>
      <w:r w:rsidRPr="00D51254">
        <w:rPr>
          <w:rFonts w:cstheme="minorHAnsi"/>
          <w:i/>
          <w:iCs/>
          <w:color w:val="000000" w:themeColor="text1"/>
          <w:sz w:val="18"/>
          <w:szCs w:val="18"/>
        </w:rPr>
        <w:t xml:space="preserve">D2.3: Multiple case study in seven European countries regarding culture-sensitive </w:t>
      </w:r>
      <w:r w:rsidRPr="00D51254">
        <w:rPr>
          <w:i/>
          <w:color w:val="000000" w:themeColor="text1"/>
          <w:sz w:val="18"/>
          <w:szCs w:val="18"/>
        </w:rPr>
        <w:t>classroom quality assessment</w:t>
      </w:r>
      <w:r w:rsidRPr="00D51254">
        <w:rPr>
          <w:color w:val="000000" w:themeColor="text1"/>
          <w:sz w:val="18"/>
          <w:szCs w:val="18"/>
        </w:rPr>
        <w:t xml:space="preserve">. Curriculum and Quality Analysis and Impact Review of European Early Childhood Education and Care (CARE) Report. Retrieved from </w:t>
      </w:r>
      <w:hyperlink r:id="rId107" w:history="1">
        <w:r w:rsidRPr="00D51254">
          <w:rPr>
            <w:rStyle w:val="Hyperlink"/>
            <w:color w:val="000000" w:themeColor="text1"/>
            <w:sz w:val="18"/>
            <w:szCs w:val="18"/>
          </w:rPr>
          <w:t>http://ecec-care.org/fileadmin/careproject/Publications/reports/CAR</w:t>
        </w:r>
        <w:r w:rsidRPr="00D51254">
          <w:rPr>
            <w:rStyle w:val="Hyperlink"/>
            <w:color w:val="000000" w:themeColor="text1"/>
            <w:sz w:val="18"/>
            <w:szCs w:val="18"/>
          </w:rPr>
          <w:tab/>
          <w:t>E_WP2_D2_3_Multiple_Case_study_FINAL_REPORT.pdf</w:t>
        </w:r>
      </w:hyperlink>
    </w:p>
  </w:endnote>
  <w:endnote w:id="204">
    <w:p w:rsidR="00DD13F8" w:rsidRPr="00D51254" w:rsidRDefault="00DD13F8">
      <w:pPr>
        <w:pStyle w:val="EndnoteText"/>
        <w:rPr>
          <w:color w:val="000000" w:themeColor="text1"/>
          <w:sz w:val="18"/>
          <w:lang w:val="en-US"/>
        </w:rPr>
      </w:pPr>
      <w:r w:rsidRPr="00D51254">
        <w:rPr>
          <w:rStyle w:val="EndnoteReference"/>
          <w:color w:val="000000" w:themeColor="text1"/>
        </w:rPr>
        <w:endnoteRef/>
      </w:r>
      <w:r w:rsidRPr="00D51254">
        <w:rPr>
          <w:color w:val="000000" w:themeColor="text1"/>
        </w:rPr>
        <w:t xml:space="preserve"> </w:t>
      </w:r>
      <w:r w:rsidRPr="00D51254">
        <w:rPr>
          <w:color w:val="000000" w:themeColor="text1"/>
          <w:sz w:val="18"/>
          <w:lang w:val="en-US"/>
        </w:rPr>
        <w:t xml:space="preserve">International </w:t>
      </w:r>
      <w:proofErr w:type="spellStart"/>
      <w:r w:rsidRPr="00D51254">
        <w:rPr>
          <w:color w:val="000000" w:themeColor="text1"/>
          <w:sz w:val="18"/>
          <w:lang w:val="en-US"/>
        </w:rPr>
        <w:t>Labour</w:t>
      </w:r>
      <w:proofErr w:type="spellEnd"/>
      <w:r w:rsidRPr="00D51254">
        <w:rPr>
          <w:color w:val="000000" w:themeColor="text1"/>
          <w:sz w:val="18"/>
          <w:lang w:val="en-US"/>
        </w:rPr>
        <w:t xml:space="preserve"> Organization (ILO), </w:t>
      </w:r>
      <w:r w:rsidRPr="00D51254">
        <w:rPr>
          <w:i/>
          <w:color w:val="000000" w:themeColor="text1"/>
          <w:sz w:val="18"/>
          <w:lang w:val="en-US"/>
        </w:rPr>
        <w:t>ILO policy guidelines on the promotion of decent work for early childhood education personnel</w:t>
      </w:r>
      <w:r w:rsidRPr="00D51254">
        <w:rPr>
          <w:color w:val="000000" w:themeColor="text1"/>
          <w:sz w:val="18"/>
          <w:lang w:val="en-US"/>
        </w:rPr>
        <w:t>. Geneva: International Labor Office. Retrieved from: http://www.ilo.org/sector/Resources/codes-of-practice-and-guidelines/WCMS_236528/lang--en/index.htm</w:t>
      </w:r>
    </w:p>
  </w:endnote>
  <w:endnote w:id="205">
    <w:p w:rsidR="00DD13F8" w:rsidRPr="00D51254" w:rsidRDefault="00DD13F8">
      <w:pPr>
        <w:pStyle w:val="EndnoteText"/>
        <w:rPr>
          <w:color w:val="000000" w:themeColor="text1"/>
          <w:sz w:val="18"/>
        </w:rPr>
      </w:pPr>
      <w:r w:rsidRPr="00D51254">
        <w:rPr>
          <w:rStyle w:val="EndnoteReference"/>
          <w:color w:val="000000" w:themeColor="text1"/>
          <w:sz w:val="18"/>
        </w:rPr>
        <w:endnoteRef/>
      </w:r>
      <w:r w:rsidRPr="00D51254">
        <w:rPr>
          <w:color w:val="000000" w:themeColor="text1"/>
          <w:sz w:val="18"/>
        </w:rPr>
        <w:t xml:space="preserve"> </w:t>
      </w:r>
      <w:proofErr w:type="spellStart"/>
      <w:r w:rsidRPr="00D51254">
        <w:rPr>
          <w:color w:val="000000" w:themeColor="text1"/>
          <w:sz w:val="18"/>
        </w:rPr>
        <w:t>Ishimine</w:t>
      </w:r>
      <w:proofErr w:type="spellEnd"/>
      <w:r w:rsidRPr="00D51254">
        <w:rPr>
          <w:color w:val="000000" w:themeColor="text1"/>
          <w:sz w:val="18"/>
        </w:rPr>
        <w:t xml:space="preserve">, K., Tayler, C., &amp; Thorpe, K. (2009). Accounting for quality in Australian childcare: a dilemma for policymakers. </w:t>
      </w:r>
      <w:r w:rsidRPr="00D51254">
        <w:rPr>
          <w:i/>
          <w:iCs/>
          <w:color w:val="000000" w:themeColor="text1"/>
          <w:sz w:val="18"/>
        </w:rPr>
        <w:t>Journal of Education Policy</w:t>
      </w:r>
      <w:r w:rsidRPr="00D51254">
        <w:rPr>
          <w:color w:val="000000" w:themeColor="text1"/>
          <w:sz w:val="18"/>
        </w:rPr>
        <w:t>, 24(6), 717-732. DOI: 10.1080/02680930903207695</w:t>
      </w:r>
    </w:p>
  </w:endnote>
  <w:endnote w:id="206">
    <w:p w:rsidR="00DD13F8" w:rsidRPr="00D51254" w:rsidRDefault="00DD13F8" w:rsidP="00962EAE">
      <w:pPr>
        <w:pStyle w:val="EndnoteText"/>
        <w:rPr>
          <w:color w:val="000000" w:themeColor="text1"/>
          <w:sz w:val="18"/>
          <w:szCs w:val="18"/>
        </w:rPr>
      </w:pPr>
      <w:r w:rsidRPr="00D51254">
        <w:rPr>
          <w:rStyle w:val="EndnoteReference"/>
          <w:color w:val="000000" w:themeColor="text1"/>
          <w:sz w:val="18"/>
        </w:rPr>
        <w:endnoteRef/>
      </w:r>
      <w:r w:rsidRPr="00D51254">
        <w:rPr>
          <w:color w:val="000000" w:themeColor="text1"/>
          <w:sz w:val="18"/>
        </w:rPr>
        <w:t xml:space="preserve"> </w:t>
      </w:r>
      <w:r w:rsidRPr="00D51254">
        <w:rPr>
          <w:color w:val="000000" w:themeColor="text1"/>
          <w:sz w:val="18"/>
          <w:szCs w:val="18"/>
        </w:rPr>
        <w:t xml:space="preserve">Early, D. M., Maxwell, K.L., </w:t>
      </w:r>
      <w:proofErr w:type="spellStart"/>
      <w:r w:rsidRPr="00D51254">
        <w:rPr>
          <w:color w:val="000000" w:themeColor="text1"/>
          <w:sz w:val="18"/>
          <w:szCs w:val="18"/>
        </w:rPr>
        <w:t>Burchinal</w:t>
      </w:r>
      <w:proofErr w:type="spellEnd"/>
      <w:r w:rsidRPr="00D51254">
        <w:rPr>
          <w:color w:val="000000" w:themeColor="text1"/>
          <w:sz w:val="18"/>
          <w:szCs w:val="18"/>
        </w:rPr>
        <w:t xml:space="preserve">, M., Alva, S., Bender, </w:t>
      </w:r>
      <w:r w:rsidRPr="00D51254">
        <w:rPr>
          <w:color w:val="000000" w:themeColor="text1"/>
          <w:sz w:val="18"/>
        </w:rPr>
        <w:t>D.</w:t>
      </w:r>
      <w:r w:rsidRPr="00D51254">
        <w:rPr>
          <w:color w:val="000000" w:themeColor="text1"/>
          <w:sz w:val="18"/>
          <w:szCs w:val="18"/>
        </w:rPr>
        <w:t xml:space="preserve">R. H., Bryant, D., </w:t>
      </w:r>
      <w:proofErr w:type="spellStart"/>
      <w:r w:rsidRPr="00D51254">
        <w:rPr>
          <w:color w:val="000000" w:themeColor="text1"/>
          <w:sz w:val="18"/>
          <w:szCs w:val="18"/>
        </w:rPr>
        <w:t>Zill</w:t>
      </w:r>
      <w:proofErr w:type="spellEnd"/>
      <w:r w:rsidRPr="00D51254">
        <w:rPr>
          <w:color w:val="000000" w:themeColor="text1"/>
          <w:sz w:val="18"/>
          <w:szCs w:val="18"/>
        </w:rPr>
        <w:t xml:space="preserve">, N. (2007). Teacher’s education, classroom quality, and young children’s academic skills: Results from seven studies of preschool programs. </w:t>
      </w:r>
      <w:r w:rsidRPr="00D51254">
        <w:rPr>
          <w:i/>
          <w:iCs/>
          <w:color w:val="000000" w:themeColor="text1"/>
          <w:sz w:val="18"/>
          <w:szCs w:val="18"/>
        </w:rPr>
        <w:t>Child Development,</w:t>
      </w:r>
      <w:r w:rsidRPr="00D51254">
        <w:rPr>
          <w:color w:val="000000" w:themeColor="text1"/>
          <w:sz w:val="18"/>
          <w:szCs w:val="18"/>
        </w:rPr>
        <w:t xml:space="preserve"> 78 (2), 558–580 and</w:t>
      </w:r>
    </w:p>
    <w:p w:rsidR="00DD13F8" w:rsidRPr="00D51254" w:rsidRDefault="00DD13F8" w:rsidP="00962EAE">
      <w:pPr>
        <w:autoSpaceDE w:val="0"/>
        <w:autoSpaceDN w:val="0"/>
        <w:adjustRightInd w:val="0"/>
        <w:spacing w:after="0"/>
        <w:rPr>
          <w:rFonts w:cs="AdvOT1ef757c0"/>
          <w:color w:val="000000" w:themeColor="text1"/>
          <w:sz w:val="18"/>
          <w:szCs w:val="18"/>
        </w:rPr>
      </w:pPr>
      <w:proofErr w:type="spellStart"/>
      <w:r w:rsidRPr="00D51254">
        <w:rPr>
          <w:rFonts w:cs="AdvOT1ef757c0"/>
          <w:color w:val="000000" w:themeColor="text1"/>
          <w:sz w:val="18"/>
          <w:szCs w:val="18"/>
        </w:rPr>
        <w:t>Mashburn</w:t>
      </w:r>
      <w:proofErr w:type="spellEnd"/>
      <w:r w:rsidRPr="00D51254">
        <w:rPr>
          <w:rFonts w:cs="AdvOT1ef757c0"/>
          <w:color w:val="000000" w:themeColor="text1"/>
          <w:sz w:val="18"/>
          <w:szCs w:val="18"/>
        </w:rPr>
        <w:t xml:space="preserve">, A. J., </w:t>
      </w:r>
      <w:proofErr w:type="spellStart"/>
      <w:r w:rsidRPr="00D51254">
        <w:rPr>
          <w:rFonts w:cs="AdvOT1ef757c0"/>
          <w:color w:val="000000" w:themeColor="text1"/>
          <w:sz w:val="18"/>
          <w:szCs w:val="18"/>
        </w:rPr>
        <w:t>Pianta</w:t>
      </w:r>
      <w:proofErr w:type="spellEnd"/>
      <w:r w:rsidRPr="00D51254">
        <w:rPr>
          <w:rFonts w:cs="AdvOT1ef757c0"/>
          <w:color w:val="000000" w:themeColor="text1"/>
          <w:sz w:val="18"/>
          <w:szCs w:val="18"/>
        </w:rPr>
        <w:t xml:space="preserve">, R. C., </w:t>
      </w:r>
      <w:proofErr w:type="spellStart"/>
      <w:r w:rsidRPr="00D51254">
        <w:rPr>
          <w:rFonts w:cs="AdvOT1ef757c0"/>
          <w:color w:val="000000" w:themeColor="text1"/>
          <w:sz w:val="18"/>
          <w:szCs w:val="18"/>
        </w:rPr>
        <w:t>Hamre</w:t>
      </w:r>
      <w:proofErr w:type="spellEnd"/>
      <w:r w:rsidRPr="00D51254">
        <w:rPr>
          <w:rFonts w:cs="AdvOT1ef757c0"/>
          <w:color w:val="000000" w:themeColor="text1"/>
          <w:sz w:val="18"/>
          <w:szCs w:val="18"/>
        </w:rPr>
        <w:t xml:space="preserve">, B. K., Downer, J. T., </w:t>
      </w:r>
      <w:proofErr w:type="spellStart"/>
      <w:r w:rsidRPr="00D51254">
        <w:rPr>
          <w:rFonts w:cs="AdvOT1ef757c0"/>
          <w:color w:val="000000" w:themeColor="text1"/>
          <w:sz w:val="18"/>
          <w:szCs w:val="18"/>
        </w:rPr>
        <w:t>Barbarin</w:t>
      </w:r>
      <w:proofErr w:type="spellEnd"/>
      <w:r w:rsidRPr="00D51254">
        <w:rPr>
          <w:rFonts w:cs="AdvOT1ef757c0"/>
          <w:color w:val="000000" w:themeColor="text1"/>
          <w:sz w:val="18"/>
          <w:szCs w:val="18"/>
        </w:rPr>
        <w:t>, O. A., Bryant, D., &amp; Howes, C. (2008). Measures</w:t>
      </w:r>
    </w:p>
    <w:p w:rsidR="00DD13F8" w:rsidRPr="00D51254" w:rsidRDefault="00DD13F8" w:rsidP="00962EAE">
      <w:pPr>
        <w:autoSpaceDE w:val="0"/>
        <w:autoSpaceDN w:val="0"/>
        <w:adjustRightInd w:val="0"/>
        <w:spacing w:after="0"/>
        <w:rPr>
          <w:rFonts w:cs="AdvOT7d6df7ab.I"/>
          <w:i/>
          <w:color w:val="000000" w:themeColor="text1"/>
          <w:sz w:val="18"/>
          <w:szCs w:val="18"/>
        </w:rPr>
      </w:pPr>
      <w:r w:rsidRPr="00D51254">
        <w:rPr>
          <w:rFonts w:cs="AdvOT1ef757c0"/>
          <w:color w:val="000000" w:themeColor="text1"/>
          <w:sz w:val="18"/>
          <w:szCs w:val="18"/>
        </w:rPr>
        <w:t>of classroom quality in prekindergarten and children</w:t>
      </w:r>
      <w:r w:rsidRPr="00D51254">
        <w:rPr>
          <w:rFonts w:cs="AdvOT1ef757c0+20"/>
          <w:color w:val="000000" w:themeColor="text1"/>
          <w:sz w:val="18"/>
          <w:szCs w:val="18"/>
        </w:rPr>
        <w:t>’</w:t>
      </w:r>
      <w:r w:rsidRPr="00D51254">
        <w:rPr>
          <w:rFonts w:cs="AdvOT1ef757c0"/>
          <w:color w:val="000000" w:themeColor="text1"/>
          <w:sz w:val="18"/>
          <w:szCs w:val="18"/>
        </w:rPr>
        <w:t xml:space="preserve">s development of academic, language, and social skills. </w:t>
      </w:r>
      <w:r w:rsidRPr="00D51254">
        <w:rPr>
          <w:rFonts w:cs="AdvOT7d6df7ab.I"/>
          <w:i/>
          <w:color w:val="000000" w:themeColor="text1"/>
          <w:sz w:val="18"/>
          <w:szCs w:val="18"/>
        </w:rPr>
        <w:t>Child</w:t>
      </w:r>
    </w:p>
    <w:p w:rsidR="00DD13F8" w:rsidRPr="00D51254" w:rsidRDefault="00DD13F8" w:rsidP="009E529E">
      <w:pPr>
        <w:pStyle w:val="CommentText"/>
        <w:spacing w:after="0"/>
        <w:rPr>
          <w:rFonts w:cs="AdvOT1ef757c0"/>
          <w:color w:val="000000" w:themeColor="text1"/>
          <w:sz w:val="18"/>
          <w:szCs w:val="18"/>
        </w:rPr>
      </w:pPr>
      <w:r w:rsidRPr="00D51254">
        <w:rPr>
          <w:rFonts w:cs="AdvOT7d6df7ab.I"/>
          <w:i/>
          <w:color w:val="000000" w:themeColor="text1"/>
          <w:sz w:val="18"/>
          <w:szCs w:val="18"/>
        </w:rPr>
        <w:t>Development</w:t>
      </w:r>
      <w:r w:rsidRPr="00D51254">
        <w:rPr>
          <w:rFonts w:cs="AdvOT1ef757c0"/>
          <w:color w:val="000000" w:themeColor="text1"/>
          <w:sz w:val="18"/>
          <w:szCs w:val="18"/>
        </w:rPr>
        <w:t xml:space="preserve">, </w:t>
      </w:r>
      <w:r w:rsidRPr="00D51254">
        <w:rPr>
          <w:rFonts w:cs="AdvOT7d6df7ab.I"/>
          <w:color w:val="000000" w:themeColor="text1"/>
          <w:sz w:val="18"/>
          <w:szCs w:val="18"/>
        </w:rPr>
        <w:t>79</w:t>
      </w:r>
      <w:r w:rsidRPr="00D51254">
        <w:rPr>
          <w:rFonts w:cs="AdvOT1ef757c0"/>
          <w:color w:val="000000" w:themeColor="text1"/>
          <w:sz w:val="18"/>
          <w:szCs w:val="18"/>
        </w:rPr>
        <w:t>(3), 732</w:t>
      </w:r>
      <w:r w:rsidRPr="00D51254">
        <w:rPr>
          <w:rFonts w:cs="AdvOT1ef757c0+20"/>
          <w:color w:val="000000" w:themeColor="text1"/>
          <w:sz w:val="18"/>
          <w:szCs w:val="18"/>
        </w:rPr>
        <w:t>–</w:t>
      </w:r>
      <w:r w:rsidRPr="00D51254">
        <w:rPr>
          <w:rFonts w:cs="AdvOT1ef757c0"/>
          <w:color w:val="000000" w:themeColor="text1"/>
          <w:sz w:val="18"/>
          <w:szCs w:val="18"/>
        </w:rPr>
        <w:t>749. doi:10.1111/j.1467-8624.2008.01154.x and</w:t>
      </w:r>
    </w:p>
    <w:p w:rsidR="00DD13F8" w:rsidRPr="00D51254" w:rsidRDefault="00DD13F8" w:rsidP="00A516DA">
      <w:pPr>
        <w:pStyle w:val="CommentText"/>
        <w:spacing w:after="0"/>
        <w:rPr>
          <w:color w:val="000000" w:themeColor="text1"/>
        </w:rPr>
      </w:pPr>
      <w:proofErr w:type="spellStart"/>
      <w:r w:rsidRPr="00D51254">
        <w:rPr>
          <w:color w:val="000000" w:themeColor="text1"/>
          <w:sz w:val="18"/>
          <w:szCs w:val="18"/>
        </w:rPr>
        <w:t>Ishimine</w:t>
      </w:r>
      <w:proofErr w:type="spellEnd"/>
      <w:r w:rsidRPr="00D51254">
        <w:rPr>
          <w:color w:val="000000" w:themeColor="text1"/>
          <w:sz w:val="18"/>
          <w:szCs w:val="18"/>
        </w:rPr>
        <w:t xml:space="preserve">, K., Tayler, C., &amp; Thorpe, K. (2009). Accounting for quality in Australian childcare: a dilemma for policymakers.  </w:t>
      </w:r>
      <w:r w:rsidRPr="00D51254">
        <w:rPr>
          <w:i/>
          <w:iCs/>
          <w:color w:val="000000" w:themeColor="text1"/>
          <w:sz w:val="18"/>
          <w:szCs w:val="18"/>
        </w:rPr>
        <w:t>Journal of Education Policy</w:t>
      </w:r>
      <w:r w:rsidRPr="00D51254">
        <w:rPr>
          <w:color w:val="000000" w:themeColor="text1"/>
          <w:sz w:val="18"/>
          <w:szCs w:val="18"/>
        </w:rPr>
        <w:t>, 24(6), 717-732. DOI: 10.1080/02680930903207695</w:t>
      </w:r>
    </w:p>
  </w:endnote>
  <w:endnote w:id="20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Tayler, C. (2016). </w:t>
      </w:r>
      <w:r w:rsidRPr="00D51254">
        <w:rPr>
          <w:i/>
          <w:color w:val="000000" w:themeColor="text1"/>
          <w:sz w:val="18"/>
          <w:szCs w:val="18"/>
        </w:rPr>
        <w:t>The E4Kids Study: Assessing the effectiveness of Australian early childhood education and care programs. Overview of findings at 2016.</w:t>
      </w:r>
      <w:r w:rsidRPr="00D51254">
        <w:rPr>
          <w:color w:val="000000" w:themeColor="text1"/>
          <w:sz w:val="18"/>
          <w:szCs w:val="18"/>
        </w:rPr>
        <w:t xml:space="preserve"> Final report to the Partner Organisations of the Effective Early Educational Experiences (E4Kids Study). Retrieved from </w:t>
      </w:r>
      <w:hyperlink r:id="rId108" w:history="1">
        <w:r w:rsidRPr="00D51254">
          <w:rPr>
            <w:rStyle w:val="Hyperlink"/>
            <w:color w:val="000000" w:themeColor="text1"/>
            <w:sz w:val="18"/>
            <w:szCs w:val="18"/>
          </w:rPr>
          <w:t>http://education.unimelb.edu.au/__data/assets/pdf_file/0004/2310907/E4Kids-Report-3.0_WEB.pdf</w:t>
        </w:r>
      </w:hyperlink>
    </w:p>
  </w:endnote>
  <w:endnote w:id="20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310, Productivity Commission. (2014). </w:t>
      </w:r>
      <w:r w:rsidRPr="00D51254">
        <w:rPr>
          <w:i/>
          <w:color w:val="000000" w:themeColor="text1"/>
          <w:sz w:val="18"/>
          <w:szCs w:val="18"/>
        </w:rPr>
        <w:t xml:space="preserve">Childcare and early childhood learning: Productivity Commission Inquiry Report Vol. 2 , No. 73. </w:t>
      </w:r>
      <w:r w:rsidRPr="00D51254">
        <w:rPr>
          <w:color w:val="000000" w:themeColor="text1"/>
          <w:sz w:val="18"/>
          <w:szCs w:val="18"/>
        </w:rPr>
        <w:t xml:space="preserve">Canberra, ACT: Australian Government. Retrieved from </w:t>
      </w:r>
    </w:p>
    <w:p w:rsidR="00DD13F8" w:rsidRPr="00D51254" w:rsidRDefault="003A6BCA" w:rsidP="00EE0AC8">
      <w:pPr>
        <w:pStyle w:val="EndnoteText"/>
        <w:rPr>
          <w:color w:val="000000" w:themeColor="text1"/>
          <w:sz w:val="18"/>
          <w:szCs w:val="18"/>
        </w:rPr>
      </w:pPr>
      <w:hyperlink r:id="rId109" w:history="1">
        <w:r w:rsidR="00DD13F8" w:rsidRPr="00D51254">
          <w:rPr>
            <w:rStyle w:val="Hyperlink"/>
            <w:color w:val="000000" w:themeColor="text1"/>
            <w:sz w:val="18"/>
            <w:szCs w:val="18"/>
          </w:rPr>
          <w:t>https://www.pc.gov.au/inquiries/completed/childcare/report/childcare-volume2.pdf</w:t>
        </w:r>
      </w:hyperlink>
      <w:r w:rsidR="00DD13F8" w:rsidRPr="00D51254">
        <w:rPr>
          <w:color w:val="000000" w:themeColor="text1"/>
          <w:sz w:val="18"/>
          <w:szCs w:val="18"/>
        </w:rPr>
        <w:t xml:space="preserve"> </w:t>
      </w:r>
    </w:p>
  </w:endnote>
  <w:endnote w:id="209">
    <w:p w:rsidR="00DD13F8" w:rsidRPr="00D51254" w:rsidRDefault="00DD13F8" w:rsidP="00EE0AC8">
      <w:pPr>
        <w:pStyle w:val="EndnoteText"/>
        <w:rPr>
          <w:rStyle w:val="Hyperlink"/>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85, </w:t>
      </w:r>
      <w:r w:rsidRPr="00D51254">
        <w:rPr>
          <w:rFonts w:eastAsia="Times New Roman"/>
          <w:color w:val="000000" w:themeColor="text1"/>
          <w:sz w:val="18"/>
          <w:szCs w:val="18"/>
        </w:rPr>
        <w:t xml:space="preserve">OECD (2017). </w:t>
      </w:r>
      <w:r w:rsidRPr="00D51254">
        <w:rPr>
          <w:i/>
          <w:color w:val="000000" w:themeColor="text1"/>
          <w:sz w:val="18"/>
          <w:szCs w:val="18"/>
        </w:rPr>
        <w:t>Starting strong. and</w:t>
      </w:r>
    </w:p>
    <w:p w:rsidR="00DD13F8" w:rsidRPr="00D51254" w:rsidRDefault="00DD13F8" w:rsidP="00EE0AC8">
      <w:pPr>
        <w:pStyle w:val="EndnoteText"/>
        <w:rPr>
          <w:b/>
          <w:color w:val="000000" w:themeColor="text1"/>
          <w:sz w:val="18"/>
          <w:szCs w:val="18"/>
        </w:rPr>
      </w:pPr>
      <w:r w:rsidRPr="00D51254">
        <w:rPr>
          <w:color w:val="000000" w:themeColor="text1"/>
          <w:sz w:val="18"/>
          <w:szCs w:val="18"/>
        </w:rPr>
        <w:t xml:space="preserve">OECD. (2015). </w:t>
      </w:r>
      <w:r w:rsidRPr="00D51254">
        <w:rPr>
          <w:i/>
          <w:color w:val="000000" w:themeColor="text1"/>
          <w:sz w:val="18"/>
          <w:szCs w:val="18"/>
        </w:rPr>
        <w:t>Early learning and development: Common understandings.</w:t>
      </w:r>
      <w:r w:rsidRPr="00D51254">
        <w:rPr>
          <w:color w:val="000000" w:themeColor="text1"/>
          <w:sz w:val="18"/>
          <w:szCs w:val="18"/>
        </w:rPr>
        <w:t xml:space="preserve"> </w:t>
      </w:r>
    </w:p>
  </w:endnote>
  <w:endnote w:id="210">
    <w:p w:rsidR="00DD13F8" w:rsidRPr="00D51254" w:rsidRDefault="00DD13F8" w:rsidP="00EE0AC8">
      <w:pPr>
        <w:pStyle w:val="EndnoteText"/>
        <w:rPr>
          <w:color w:val="000000" w:themeColor="text1"/>
          <w:sz w:val="18"/>
          <w:szCs w:val="18"/>
        </w:rPr>
      </w:pPr>
      <w:r w:rsidRPr="00D51254">
        <w:rPr>
          <w:rStyle w:val="EndnoteReference"/>
          <w:rFonts w:cs="Univers 45 Light"/>
          <w:color w:val="000000" w:themeColor="text1"/>
          <w:sz w:val="18"/>
          <w:szCs w:val="18"/>
        </w:rPr>
        <w:endnoteRef/>
      </w:r>
      <w:r w:rsidRPr="00D51254">
        <w:rPr>
          <w:rStyle w:val="EndnoteReference"/>
          <w:rFonts w:cs="Univers 45 Light"/>
          <w:color w:val="000000" w:themeColor="text1"/>
          <w:sz w:val="18"/>
          <w:szCs w:val="18"/>
        </w:rPr>
        <w:t xml:space="preserve"> </w:t>
      </w:r>
      <w:r w:rsidRPr="00D51254">
        <w:rPr>
          <w:color w:val="000000" w:themeColor="text1"/>
          <w:sz w:val="18"/>
          <w:szCs w:val="18"/>
        </w:rPr>
        <w:t xml:space="preserve">Huntsman, L. (2008). </w:t>
      </w:r>
      <w:r w:rsidRPr="00D51254">
        <w:rPr>
          <w:i/>
          <w:color w:val="000000" w:themeColor="text1"/>
          <w:sz w:val="18"/>
          <w:szCs w:val="18"/>
        </w:rPr>
        <w:t>Determinants of quality in childcare: A review of the research evidence</w:t>
      </w:r>
      <w:r w:rsidRPr="00D51254">
        <w:rPr>
          <w:color w:val="000000" w:themeColor="text1"/>
          <w:sz w:val="18"/>
          <w:szCs w:val="18"/>
        </w:rPr>
        <w:t xml:space="preserve">. Ashfield, NSW: NSW Department of Community Services, Centre for Parenting &amp; Research. Retrieved from </w:t>
      </w:r>
      <w:hyperlink r:id="rId110" w:history="1">
        <w:r w:rsidRPr="00D51254">
          <w:rPr>
            <w:rStyle w:val="Hyperlink"/>
            <w:color w:val="000000" w:themeColor="text1"/>
            <w:sz w:val="18"/>
            <w:szCs w:val="18"/>
          </w:rPr>
          <w:t>http://www.community.nsw.gov.au/__data/assets/pdf_file/0020/321617/research_qualitychildcare.pdf</w:t>
        </w:r>
      </w:hyperlink>
    </w:p>
  </w:endnote>
  <w:endnote w:id="21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rFonts w:cstheme="minorHAnsi"/>
          <w:color w:val="000000" w:themeColor="text1"/>
          <w:sz w:val="18"/>
          <w:szCs w:val="18"/>
        </w:rPr>
        <w:t xml:space="preserve">Sylva, K., </w:t>
      </w:r>
      <w:proofErr w:type="spellStart"/>
      <w:r w:rsidRPr="00D51254">
        <w:rPr>
          <w:rFonts w:cstheme="minorHAnsi"/>
          <w:color w:val="000000" w:themeColor="text1"/>
          <w:sz w:val="18"/>
          <w:szCs w:val="18"/>
        </w:rPr>
        <w:t>Melhuish</w:t>
      </w:r>
      <w:proofErr w:type="spellEnd"/>
      <w:r w:rsidRPr="00D51254">
        <w:rPr>
          <w:rFonts w:cstheme="minorHAnsi"/>
          <w:color w:val="000000" w:themeColor="text1"/>
          <w:sz w:val="18"/>
          <w:szCs w:val="18"/>
        </w:rPr>
        <w:t xml:space="preserve">, E., Sammons, P., </w:t>
      </w:r>
      <w:proofErr w:type="spellStart"/>
      <w:r w:rsidRPr="00D51254">
        <w:rPr>
          <w:rFonts w:cstheme="minorHAnsi"/>
          <w:color w:val="000000" w:themeColor="text1"/>
          <w:sz w:val="18"/>
          <w:szCs w:val="18"/>
        </w:rPr>
        <w:t>Siraj</w:t>
      </w:r>
      <w:proofErr w:type="spellEnd"/>
      <w:r w:rsidRPr="00D51254">
        <w:rPr>
          <w:rFonts w:cstheme="minorHAnsi"/>
          <w:color w:val="000000" w:themeColor="text1"/>
          <w:sz w:val="18"/>
          <w:szCs w:val="18"/>
        </w:rPr>
        <w:t xml:space="preserve">-Blatchford, I., &amp; Taggart, B. (2004). </w:t>
      </w:r>
      <w:r w:rsidRPr="00D51254">
        <w:rPr>
          <w:rFonts w:cstheme="minorHAnsi"/>
          <w:i/>
          <w:color w:val="000000" w:themeColor="text1"/>
          <w:sz w:val="18"/>
          <w:szCs w:val="18"/>
        </w:rPr>
        <w:t xml:space="preserve">The Effective Provision of Pre-school Education (EPPE) Project: Final Report. A longitudinal study funded by the DfES 1997- 2004. </w:t>
      </w:r>
      <w:r w:rsidRPr="00D51254">
        <w:rPr>
          <w:rFonts w:cstheme="minorHAnsi"/>
          <w:color w:val="000000" w:themeColor="text1"/>
          <w:sz w:val="18"/>
          <w:szCs w:val="18"/>
        </w:rPr>
        <w:t xml:space="preserve">Nottingham, UK: The Institute of Education. Retrieved from </w:t>
      </w:r>
      <w:hyperlink r:id="rId111" w:history="1">
        <w:r w:rsidRPr="00D51254">
          <w:rPr>
            <w:rStyle w:val="Hyperlink"/>
            <w:rFonts w:cstheme="minorHAnsi"/>
            <w:color w:val="000000" w:themeColor="text1"/>
            <w:sz w:val="18"/>
            <w:szCs w:val="18"/>
          </w:rPr>
          <w:t>http://webarchive.nationalarchives.gov.uk/20090608233417/http://www.dcsf.gov.uk/everychildmatters/publications/0/1160/</w:t>
        </w:r>
      </w:hyperlink>
    </w:p>
  </w:endnote>
  <w:endnote w:id="212">
    <w:p w:rsidR="00DD13F8" w:rsidRPr="00D51254" w:rsidRDefault="00DD13F8" w:rsidP="00EE0AC8">
      <w:pPr>
        <w:pStyle w:val="EndnoteText"/>
        <w:tabs>
          <w:tab w:val="left" w:pos="3993"/>
        </w:tabs>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9, Tayler, C. (2016). </w:t>
      </w:r>
    </w:p>
  </w:endnote>
  <w:endnote w:id="213">
    <w:p w:rsidR="00DD13F8" w:rsidRPr="00D51254" w:rsidRDefault="00DD13F8" w:rsidP="00EE0AC8">
      <w:pPr>
        <w:pStyle w:val="Default"/>
        <w:rPr>
          <w:rFonts w:asciiTheme="minorHAnsi" w:hAnsiTheme="minorHAnsi"/>
          <w:color w:val="000000" w:themeColor="text1"/>
          <w:sz w:val="18"/>
          <w:szCs w:val="18"/>
        </w:rPr>
      </w:pPr>
      <w:r w:rsidRPr="00D51254">
        <w:rPr>
          <w:rStyle w:val="EndnoteReference"/>
          <w:rFonts w:asciiTheme="minorHAnsi" w:hAnsiTheme="minorHAnsi"/>
          <w:color w:val="000000" w:themeColor="text1"/>
          <w:sz w:val="18"/>
          <w:szCs w:val="18"/>
        </w:rPr>
        <w:endnoteRef/>
      </w:r>
      <w:r w:rsidRPr="00D51254">
        <w:rPr>
          <w:rFonts w:asciiTheme="minorHAnsi" w:hAnsiTheme="minorHAnsi" w:cstheme="minorHAnsi"/>
          <w:color w:val="000000" w:themeColor="text1"/>
          <w:sz w:val="18"/>
          <w:szCs w:val="18"/>
        </w:rPr>
        <w:t xml:space="preserve"> Warren, D., &amp; </w:t>
      </w:r>
      <w:proofErr w:type="spellStart"/>
      <w:r w:rsidRPr="00D51254">
        <w:rPr>
          <w:rFonts w:asciiTheme="minorHAnsi" w:hAnsiTheme="minorHAnsi" w:cstheme="minorHAnsi"/>
          <w:color w:val="000000" w:themeColor="text1"/>
          <w:sz w:val="18"/>
          <w:szCs w:val="18"/>
        </w:rPr>
        <w:t>Haisken-DeNew</w:t>
      </w:r>
      <w:proofErr w:type="spellEnd"/>
      <w:r w:rsidRPr="00D51254">
        <w:rPr>
          <w:rFonts w:asciiTheme="minorHAnsi" w:hAnsiTheme="minorHAnsi" w:cstheme="minorHAnsi"/>
          <w:color w:val="000000" w:themeColor="text1"/>
          <w:sz w:val="18"/>
          <w:szCs w:val="18"/>
        </w:rPr>
        <w:t xml:space="preserve">, J. P. (2013). </w:t>
      </w:r>
    </w:p>
  </w:endnote>
  <w:endnote w:id="214">
    <w:p w:rsidR="00DD13F8" w:rsidRPr="00D51254" w:rsidRDefault="00DD13F8" w:rsidP="002B36B9">
      <w:pPr>
        <w:autoSpaceDE w:val="0"/>
        <w:autoSpaceDN w:val="0"/>
        <w:adjustRightInd w:val="0"/>
        <w:spacing w:after="0"/>
        <w:rPr>
          <w:rFonts w:cstheme="minorHAnsi"/>
          <w:color w:val="000000" w:themeColor="text1"/>
          <w:sz w:val="18"/>
        </w:rPr>
      </w:pPr>
      <w:r w:rsidRPr="00D51254">
        <w:rPr>
          <w:rStyle w:val="EndnoteReference"/>
          <w:color w:val="000000" w:themeColor="text1"/>
        </w:rPr>
        <w:endnoteRef/>
      </w:r>
      <w:r w:rsidRPr="00D51254">
        <w:rPr>
          <w:color w:val="000000" w:themeColor="text1"/>
        </w:rPr>
        <w:t xml:space="preserve"> </w:t>
      </w:r>
      <w:proofErr w:type="spellStart"/>
      <w:r w:rsidRPr="00D51254">
        <w:rPr>
          <w:rFonts w:cstheme="minorHAnsi"/>
          <w:bCs/>
          <w:color w:val="000000" w:themeColor="text1"/>
          <w:sz w:val="18"/>
        </w:rPr>
        <w:t>Burchinal</w:t>
      </w:r>
      <w:proofErr w:type="spellEnd"/>
      <w:r w:rsidRPr="00D51254">
        <w:rPr>
          <w:rFonts w:cstheme="minorHAnsi"/>
          <w:bCs/>
          <w:color w:val="000000" w:themeColor="text1"/>
          <w:sz w:val="18"/>
        </w:rPr>
        <w:t xml:space="preserve">, M ., Cryer, D., &amp;Clifford, R. (2002). </w:t>
      </w:r>
      <w:r w:rsidRPr="00D51254">
        <w:rPr>
          <w:rFonts w:cstheme="minorHAnsi"/>
          <w:bCs/>
          <w:i/>
          <w:color w:val="000000" w:themeColor="text1"/>
          <w:sz w:val="18"/>
        </w:rPr>
        <w:t xml:space="preserve">Caregiver Training and Classroom Quality in Child Care </w:t>
      </w:r>
      <w:proofErr w:type="spellStart"/>
      <w:r w:rsidRPr="00D51254">
        <w:rPr>
          <w:rFonts w:cstheme="minorHAnsi"/>
          <w:bCs/>
          <w:i/>
          <w:color w:val="000000" w:themeColor="text1"/>
          <w:sz w:val="18"/>
        </w:rPr>
        <w:t>Centers</w:t>
      </w:r>
      <w:proofErr w:type="spellEnd"/>
      <w:r w:rsidRPr="00D51254">
        <w:rPr>
          <w:rFonts w:cstheme="minorHAnsi"/>
          <w:bCs/>
          <w:i/>
          <w:color w:val="000000" w:themeColor="text1"/>
          <w:sz w:val="18"/>
        </w:rPr>
        <w:t>.</w:t>
      </w:r>
      <w:r w:rsidRPr="00D51254">
        <w:rPr>
          <w:rFonts w:cstheme="minorHAnsi"/>
          <w:bCs/>
          <w:color w:val="000000" w:themeColor="text1"/>
          <w:sz w:val="18"/>
        </w:rPr>
        <w:t xml:space="preserve"> </w:t>
      </w:r>
      <w:r w:rsidRPr="00D51254">
        <w:rPr>
          <w:rFonts w:cstheme="minorHAnsi"/>
          <w:color w:val="000000" w:themeColor="text1"/>
          <w:sz w:val="18"/>
        </w:rPr>
        <w:t>Applied Developmental Science, Vol. 6, No. 1, 2–11</w:t>
      </w:r>
    </w:p>
  </w:endnote>
  <w:endnote w:id="215">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rFonts w:cs="Avenir"/>
          <w:color w:val="000000" w:themeColor="text1"/>
          <w:sz w:val="18"/>
          <w:lang w:val="en-US"/>
        </w:rPr>
        <w:t xml:space="preserve">Irvine, S., Thorpe, K., McDonald, P., Lunn, J., &amp; </w:t>
      </w:r>
      <w:proofErr w:type="spellStart"/>
      <w:r w:rsidRPr="00D51254">
        <w:rPr>
          <w:rFonts w:cs="Avenir"/>
          <w:color w:val="000000" w:themeColor="text1"/>
          <w:sz w:val="18"/>
          <w:lang w:val="en-US"/>
        </w:rPr>
        <w:t>Sumsion</w:t>
      </w:r>
      <w:proofErr w:type="spellEnd"/>
      <w:r w:rsidRPr="00D51254">
        <w:rPr>
          <w:rFonts w:cs="Avenir"/>
          <w:color w:val="000000" w:themeColor="text1"/>
          <w:sz w:val="18"/>
          <w:lang w:val="en-US"/>
        </w:rPr>
        <w:t xml:space="preserve">, J., (2016, May). </w:t>
      </w:r>
      <w:r w:rsidRPr="00D51254">
        <w:rPr>
          <w:rFonts w:cs="Avenir"/>
          <w:i/>
          <w:iCs/>
          <w:color w:val="000000" w:themeColor="text1"/>
          <w:sz w:val="18"/>
          <w:lang w:val="en-US"/>
        </w:rPr>
        <w:t>Money, Love and Identity: Initial findings from the National ECEC Workforce Study</w:t>
      </w:r>
      <w:r w:rsidRPr="00D51254">
        <w:rPr>
          <w:rFonts w:cs="Avenir"/>
          <w:color w:val="000000" w:themeColor="text1"/>
          <w:sz w:val="18"/>
          <w:lang w:val="en-US"/>
        </w:rPr>
        <w:t>. Summary report from the national ECEC Workforce Development Policy Workshop, Brisbane, Queensland: QUT.</w:t>
      </w:r>
    </w:p>
  </w:endnote>
  <w:endnote w:id="21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proofErr w:type="spellStart"/>
      <w:r w:rsidRPr="00D51254">
        <w:rPr>
          <w:rFonts w:cstheme="minorHAnsi"/>
          <w:color w:val="000000" w:themeColor="text1"/>
          <w:sz w:val="18"/>
          <w:szCs w:val="18"/>
        </w:rPr>
        <w:t>Siraj</w:t>
      </w:r>
      <w:proofErr w:type="spellEnd"/>
      <w:r w:rsidRPr="00D51254">
        <w:rPr>
          <w:rFonts w:cstheme="minorHAnsi"/>
          <w:color w:val="000000" w:themeColor="text1"/>
          <w:sz w:val="18"/>
          <w:szCs w:val="18"/>
        </w:rPr>
        <w:t xml:space="preserve">, I., Kingston, D., </w:t>
      </w:r>
      <w:proofErr w:type="spellStart"/>
      <w:r w:rsidRPr="00D51254">
        <w:rPr>
          <w:rFonts w:cstheme="minorHAnsi"/>
          <w:color w:val="000000" w:themeColor="text1"/>
          <w:sz w:val="18"/>
          <w:szCs w:val="18"/>
        </w:rPr>
        <w:t>Neilsen</w:t>
      </w:r>
      <w:proofErr w:type="spellEnd"/>
      <w:r w:rsidRPr="00D51254">
        <w:rPr>
          <w:rFonts w:cstheme="minorHAnsi"/>
          <w:color w:val="000000" w:themeColor="text1"/>
          <w:sz w:val="18"/>
          <w:szCs w:val="18"/>
        </w:rPr>
        <w:t xml:space="preserve">-Hewett, C., Howard, S., </w:t>
      </w:r>
      <w:proofErr w:type="spellStart"/>
      <w:r w:rsidRPr="00D51254">
        <w:rPr>
          <w:rFonts w:cstheme="minorHAnsi"/>
          <w:color w:val="000000" w:themeColor="text1"/>
          <w:sz w:val="18"/>
          <w:szCs w:val="18"/>
        </w:rPr>
        <w:t>Melhuish</w:t>
      </w:r>
      <w:proofErr w:type="spellEnd"/>
      <w:r w:rsidRPr="00D51254">
        <w:rPr>
          <w:rFonts w:cstheme="minorHAnsi"/>
          <w:color w:val="000000" w:themeColor="text1"/>
          <w:sz w:val="18"/>
          <w:szCs w:val="18"/>
        </w:rPr>
        <w:t xml:space="preserve">, E., De </w:t>
      </w:r>
      <w:proofErr w:type="spellStart"/>
      <w:r w:rsidRPr="00D51254">
        <w:rPr>
          <w:rFonts w:cstheme="minorHAnsi"/>
          <w:color w:val="000000" w:themeColor="text1"/>
          <w:sz w:val="18"/>
          <w:szCs w:val="18"/>
        </w:rPr>
        <w:t>Rosnay</w:t>
      </w:r>
      <w:proofErr w:type="spellEnd"/>
      <w:r w:rsidRPr="00D51254">
        <w:rPr>
          <w:rFonts w:cstheme="minorHAnsi"/>
          <w:color w:val="000000" w:themeColor="text1"/>
          <w:sz w:val="18"/>
          <w:szCs w:val="18"/>
        </w:rPr>
        <w:t xml:space="preserve">, M., </w:t>
      </w:r>
      <w:proofErr w:type="spellStart"/>
      <w:r w:rsidRPr="00D51254">
        <w:rPr>
          <w:rFonts w:cstheme="minorHAnsi"/>
          <w:color w:val="000000" w:themeColor="text1"/>
          <w:sz w:val="18"/>
          <w:szCs w:val="18"/>
        </w:rPr>
        <w:t>Duursma</w:t>
      </w:r>
      <w:proofErr w:type="spellEnd"/>
      <w:r w:rsidRPr="00D51254">
        <w:rPr>
          <w:rFonts w:cstheme="minorHAnsi"/>
          <w:color w:val="000000" w:themeColor="text1"/>
          <w:sz w:val="18"/>
          <w:szCs w:val="18"/>
        </w:rPr>
        <w:t xml:space="preserve">, E., &amp; </w:t>
      </w:r>
      <w:proofErr w:type="spellStart"/>
      <w:r w:rsidRPr="00D51254">
        <w:rPr>
          <w:rFonts w:cstheme="minorHAnsi"/>
          <w:color w:val="000000" w:themeColor="text1"/>
          <w:sz w:val="18"/>
          <w:szCs w:val="18"/>
        </w:rPr>
        <w:t>Luu</w:t>
      </w:r>
      <w:proofErr w:type="spellEnd"/>
      <w:r w:rsidRPr="00D51254">
        <w:rPr>
          <w:rFonts w:cstheme="minorHAnsi"/>
          <w:color w:val="000000" w:themeColor="text1"/>
          <w:sz w:val="18"/>
          <w:szCs w:val="18"/>
        </w:rPr>
        <w:t xml:space="preserve">, B. (2017). </w:t>
      </w:r>
    </w:p>
  </w:endnote>
  <w:endnote w:id="217">
    <w:p w:rsidR="00DD13F8" w:rsidRPr="00D51254" w:rsidRDefault="00DD13F8" w:rsidP="00EE0AC8">
      <w:pPr>
        <w:pStyle w:val="EndnoteText"/>
        <w:rPr>
          <w:i/>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Torii, K., Fox, S., &amp; </w:t>
      </w:r>
      <w:proofErr w:type="spellStart"/>
      <w:r w:rsidRPr="00D51254">
        <w:rPr>
          <w:color w:val="000000" w:themeColor="text1"/>
          <w:sz w:val="18"/>
          <w:szCs w:val="18"/>
        </w:rPr>
        <w:t>Cloney</w:t>
      </w:r>
      <w:proofErr w:type="spellEnd"/>
      <w:r w:rsidRPr="00D51254">
        <w:rPr>
          <w:color w:val="000000" w:themeColor="text1"/>
          <w:sz w:val="18"/>
          <w:szCs w:val="18"/>
        </w:rPr>
        <w:t xml:space="preserve">, D. (2017). </w:t>
      </w:r>
      <w:r w:rsidRPr="00D51254">
        <w:rPr>
          <w:i/>
          <w:color w:val="000000" w:themeColor="text1"/>
          <w:sz w:val="18"/>
          <w:szCs w:val="18"/>
        </w:rPr>
        <w:t>Quality is key in early childhood education in Australia</w:t>
      </w:r>
      <w:r w:rsidRPr="00D51254">
        <w:rPr>
          <w:color w:val="000000" w:themeColor="text1"/>
          <w:sz w:val="18"/>
          <w:szCs w:val="18"/>
        </w:rPr>
        <w:t xml:space="preserve">. Mitchell Institute Policy Paper No. 01/2017. Melbourne, Victoria: Mitchell Institute. Retrieved from </w:t>
      </w:r>
      <w:hyperlink r:id="rId112" w:history="1">
        <w:r w:rsidRPr="00D51254">
          <w:rPr>
            <w:rStyle w:val="Hyperlink"/>
            <w:color w:val="000000" w:themeColor="text1"/>
            <w:sz w:val="18"/>
            <w:szCs w:val="18"/>
          </w:rPr>
          <w:t>http://www.mitchellinstitute.org.au/wp-content/uploads/2017/10/Quality-is-key-in-early-childhood-education-in-Australia.pdf</w:t>
        </w:r>
      </w:hyperlink>
    </w:p>
  </w:endnote>
  <w:endnote w:id="21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Singapore Government. (2017, August 23). </w:t>
      </w:r>
      <w:r w:rsidRPr="00D51254">
        <w:rPr>
          <w:i/>
          <w:color w:val="000000" w:themeColor="text1"/>
          <w:sz w:val="18"/>
          <w:szCs w:val="18"/>
        </w:rPr>
        <w:t>Laying a stronger foundation for our children</w:t>
      </w:r>
      <w:r w:rsidRPr="00D51254">
        <w:rPr>
          <w:color w:val="000000" w:themeColor="text1"/>
          <w:sz w:val="18"/>
          <w:szCs w:val="18"/>
        </w:rPr>
        <w:t xml:space="preserve"> [Press release]. Singapore: Ministry of Education. Retrieved from </w:t>
      </w:r>
      <w:hyperlink r:id="rId113" w:history="1">
        <w:r w:rsidRPr="00D51254">
          <w:rPr>
            <w:rStyle w:val="Hyperlink"/>
            <w:color w:val="000000" w:themeColor="text1"/>
            <w:sz w:val="18"/>
            <w:szCs w:val="18"/>
          </w:rPr>
          <w:t>https://www.moe.gov.sg/news/press-releases/laying-a-stronger-foundation-for-our-children</w:t>
        </w:r>
      </w:hyperlink>
    </w:p>
  </w:endnote>
  <w:endnote w:id="219">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ACECQA (</w:t>
      </w:r>
      <w:proofErr w:type="spellStart"/>
      <w:r w:rsidRPr="00D51254">
        <w:rPr>
          <w:color w:val="000000" w:themeColor="text1"/>
          <w:sz w:val="18"/>
          <w:szCs w:val="18"/>
        </w:rPr>
        <w:t>n.d.</w:t>
      </w:r>
      <w:proofErr w:type="spellEnd"/>
      <w:r w:rsidRPr="00D51254">
        <w:rPr>
          <w:color w:val="000000" w:themeColor="text1"/>
          <w:sz w:val="18"/>
          <w:szCs w:val="18"/>
        </w:rPr>
        <w:t xml:space="preserve">). Early childhood teacher registration and accreditation. Retrieved from </w:t>
      </w:r>
      <w:hyperlink r:id="rId114" w:history="1">
        <w:r w:rsidRPr="00D51254">
          <w:rPr>
            <w:rStyle w:val="Hyperlink"/>
            <w:color w:val="000000" w:themeColor="text1"/>
            <w:sz w:val="18"/>
            <w:szCs w:val="18"/>
          </w:rPr>
          <w:t>http://www.acecqa.gov.au/Early-childhood-teacher-registration-and-accreditation</w:t>
        </w:r>
      </w:hyperlink>
    </w:p>
  </w:endnote>
  <w:endnote w:id="220">
    <w:p w:rsidR="00DD13F8" w:rsidRPr="00D51254" w:rsidRDefault="00DD13F8">
      <w:pPr>
        <w:pStyle w:val="EndnoteText"/>
        <w:rPr>
          <w:color w:val="000000" w:themeColor="text1"/>
        </w:rPr>
      </w:pPr>
      <w:r w:rsidRPr="00D51254">
        <w:rPr>
          <w:rStyle w:val="EndnoteReference"/>
          <w:color w:val="000000" w:themeColor="text1"/>
        </w:rPr>
        <w:endnoteRef/>
      </w:r>
      <w:r w:rsidRPr="00D51254">
        <w:rPr>
          <w:color w:val="000000" w:themeColor="text1"/>
        </w:rPr>
        <w:t xml:space="preserve"> </w:t>
      </w:r>
      <w:r w:rsidRPr="00D51254">
        <w:rPr>
          <w:rFonts w:cstheme="minorHAnsi"/>
          <w:color w:val="000000" w:themeColor="text1"/>
          <w:sz w:val="18"/>
          <w:szCs w:val="22"/>
        </w:rPr>
        <w:t xml:space="preserve">Press, F., Wong, S. and Gibson, M. (2015). </w:t>
      </w:r>
      <w:r w:rsidRPr="00D51254">
        <w:rPr>
          <w:rFonts w:cstheme="minorHAnsi"/>
          <w:i/>
          <w:color w:val="000000" w:themeColor="text1"/>
          <w:sz w:val="18"/>
          <w:szCs w:val="22"/>
        </w:rPr>
        <w:t>Understanding who cares: creating the evidence to address the long-standing policy problem of staff shortages in early childhood education and care</w:t>
      </w:r>
      <w:r w:rsidRPr="00D51254">
        <w:rPr>
          <w:rFonts w:cstheme="minorHAnsi"/>
          <w:color w:val="000000" w:themeColor="text1"/>
          <w:sz w:val="18"/>
          <w:szCs w:val="22"/>
        </w:rPr>
        <w:t xml:space="preserve">, </w:t>
      </w:r>
      <w:r w:rsidRPr="00D51254">
        <w:rPr>
          <w:rFonts w:cstheme="minorHAnsi"/>
          <w:i/>
          <w:color w:val="000000" w:themeColor="text1"/>
          <w:sz w:val="18"/>
          <w:szCs w:val="22"/>
        </w:rPr>
        <w:t xml:space="preserve">Journal of Family Studies, </w:t>
      </w:r>
      <w:r w:rsidRPr="00D51254">
        <w:rPr>
          <w:rFonts w:cs="Times New Roman"/>
          <w:color w:val="000000" w:themeColor="text1"/>
          <w:sz w:val="18"/>
          <w:szCs w:val="22"/>
          <w:lang w:val="en-US"/>
        </w:rPr>
        <w:t>Vol. 21, No. 1, 87–100</w:t>
      </w:r>
    </w:p>
  </w:endnote>
  <w:endnote w:id="221">
    <w:p w:rsidR="00DD13F8" w:rsidRPr="00D51254" w:rsidRDefault="00DD13F8" w:rsidP="00EE0AC8">
      <w:pPr>
        <w:pStyle w:val="EndnoteText"/>
        <w:rPr>
          <w:color w:val="000000" w:themeColor="text1"/>
          <w:sz w:val="18"/>
          <w:szCs w:val="18"/>
        </w:rPr>
      </w:pPr>
      <w:r w:rsidRPr="00D51254">
        <w:rPr>
          <w:i/>
          <w:iCs/>
          <w:color w:val="000000" w:themeColor="text1"/>
          <w:sz w:val="18"/>
          <w:szCs w:val="18"/>
          <w:vertAlign w:val="superscript"/>
        </w:rPr>
        <w:endnoteRef/>
      </w:r>
      <w:r w:rsidRPr="00D51254">
        <w:rPr>
          <w:color w:val="000000" w:themeColor="text1"/>
          <w:sz w:val="18"/>
          <w:szCs w:val="18"/>
        </w:rPr>
        <w:t xml:space="preserve"> Standing Council on School Education and Early Childhood</w:t>
      </w:r>
      <w:r w:rsidRPr="00D51254" w:rsidDel="00B91FAF">
        <w:rPr>
          <w:color w:val="000000" w:themeColor="text1"/>
          <w:sz w:val="18"/>
          <w:szCs w:val="18"/>
        </w:rPr>
        <w:t xml:space="preserve"> </w:t>
      </w:r>
      <w:r w:rsidRPr="00D51254">
        <w:rPr>
          <w:color w:val="000000" w:themeColor="text1"/>
          <w:sz w:val="18"/>
          <w:szCs w:val="18"/>
        </w:rPr>
        <w:t xml:space="preserve">(SCSEEC). (2012). </w:t>
      </w:r>
      <w:r w:rsidRPr="00D51254">
        <w:rPr>
          <w:i/>
          <w:color w:val="000000" w:themeColor="text1"/>
          <w:sz w:val="18"/>
          <w:szCs w:val="18"/>
        </w:rPr>
        <w:t xml:space="preserve">Early Years Workforce Strategy: The Early Childhood Education and Care Workforce Strategy for Australia 2012-2016. </w:t>
      </w:r>
      <w:r w:rsidRPr="00D51254">
        <w:rPr>
          <w:color w:val="000000" w:themeColor="text1"/>
          <w:sz w:val="18"/>
          <w:szCs w:val="18"/>
        </w:rPr>
        <w:t xml:space="preserve">Carlton South, Victoria: Standing Council on School Education and Early Childhood. Retrieved from </w:t>
      </w:r>
      <w:hyperlink r:id="rId115" w:history="1">
        <w:r w:rsidRPr="00D51254">
          <w:rPr>
            <w:rStyle w:val="Hyperlink"/>
            <w:color w:val="000000" w:themeColor="text1"/>
            <w:sz w:val="18"/>
            <w:szCs w:val="18"/>
          </w:rPr>
          <w:t>https://docs.education.gov.au/system/files/doc/other/early_years_workforce_strategy_0_0_0.pdf</w:t>
        </w:r>
      </w:hyperlink>
    </w:p>
  </w:endnote>
  <w:endnote w:id="222">
    <w:p w:rsidR="00DD13F8" w:rsidRPr="00D51254" w:rsidRDefault="00DD13F8" w:rsidP="00EE0AC8">
      <w:pPr>
        <w:pStyle w:val="EndnoteText"/>
        <w:rPr>
          <w:rFonts w:cstheme="minorHAnsi"/>
          <w:color w:val="000000" w:themeColor="text1"/>
          <w:sz w:val="18"/>
          <w:szCs w:val="18"/>
        </w:rPr>
      </w:pPr>
      <w:r w:rsidRPr="00D51254">
        <w:rPr>
          <w:rStyle w:val="EndnoteReference"/>
          <w:rFonts w:cstheme="minorHAnsi"/>
          <w:color w:val="000000" w:themeColor="text1"/>
          <w:sz w:val="18"/>
          <w:szCs w:val="18"/>
        </w:rPr>
        <w:endnoteRef/>
      </w:r>
      <w:r w:rsidRPr="00D51254">
        <w:rPr>
          <w:rFonts w:cstheme="minorHAnsi"/>
          <w:color w:val="000000" w:themeColor="text1"/>
          <w:sz w:val="18"/>
          <w:szCs w:val="18"/>
        </w:rPr>
        <w:t xml:space="preserve"> p. 158, </w:t>
      </w:r>
      <w:r w:rsidRPr="00D51254">
        <w:rPr>
          <w:rFonts w:cs="Calibri"/>
          <w:color w:val="000000" w:themeColor="text1"/>
          <w:sz w:val="18"/>
          <w:szCs w:val="18"/>
        </w:rPr>
        <w:t>OECD</w:t>
      </w:r>
      <w:r w:rsidRPr="00D51254">
        <w:rPr>
          <w:rFonts w:eastAsia="Times New Roman"/>
          <w:color w:val="000000" w:themeColor="text1"/>
          <w:sz w:val="18"/>
          <w:szCs w:val="18"/>
        </w:rPr>
        <w:t xml:space="preserve">).. </w:t>
      </w:r>
      <w:r w:rsidRPr="00D51254">
        <w:rPr>
          <w:rFonts w:cstheme="minorHAnsi"/>
          <w:color w:val="000000" w:themeColor="text1"/>
          <w:sz w:val="18"/>
          <w:szCs w:val="18"/>
        </w:rPr>
        <w:t xml:space="preserve">(2006). </w:t>
      </w:r>
      <w:r w:rsidRPr="00D51254">
        <w:rPr>
          <w:rFonts w:cstheme="minorHAnsi"/>
          <w:i/>
          <w:color w:val="000000" w:themeColor="text1"/>
          <w:sz w:val="18"/>
          <w:szCs w:val="18"/>
        </w:rPr>
        <w:t>Starting Strong II: Early childhood education and care.</w:t>
      </w:r>
      <w:r w:rsidRPr="00D51254">
        <w:rPr>
          <w:rFonts w:cstheme="minorHAnsi"/>
          <w:color w:val="000000" w:themeColor="text1"/>
          <w:sz w:val="18"/>
          <w:szCs w:val="18"/>
        </w:rPr>
        <w:t xml:space="preserve"> Retrieved </w:t>
      </w:r>
      <w:r w:rsidRPr="00D51254">
        <w:rPr>
          <w:color w:val="000000" w:themeColor="text1"/>
          <w:sz w:val="18"/>
        </w:rPr>
        <w:t>from http://www.oecd-ilibrary.org/docserver/download/9106031e.pdf</w:t>
      </w:r>
    </w:p>
  </w:endnote>
  <w:endnote w:id="223">
    <w:p w:rsidR="00DD13F8" w:rsidRPr="00D51254" w:rsidRDefault="00DD13F8" w:rsidP="00EE0AC8">
      <w:pPr>
        <w:pStyle w:val="EndnoteText"/>
        <w:rPr>
          <w:rFonts w:cstheme="minorHAnsi"/>
          <w:color w:val="000000" w:themeColor="text1"/>
          <w:sz w:val="18"/>
          <w:szCs w:val="18"/>
        </w:rPr>
      </w:pPr>
      <w:r w:rsidRPr="00D51254">
        <w:rPr>
          <w:rStyle w:val="EndnoteReference"/>
          <w:rFonts w:cstheme="minorHAnsi"/>
          <w:color w:val="000000" w:themeColor="text1"/>
          <w:sz w:val="18"/>
          <w:szCs w:val="18"/>
        </w:rPr>
        <w:endnoteRef/>
      </w:r>
      <w:r w:rsidRPr="00D51254">
        <w:rPr>
          <w:rFonts w:cstheme="minorHAnsi"/>
          <w:color w:val="000000" w:themeColor="text1"/>
          <w:sz w:val="18"/>
          <w:szCs w:val="18"/>
        </w:rPr>
        <w:t xml:space="preserve"> p. 12, </w:t>
      </w:r>
      <w:r w:rsidRPr="00D51254">
        <w:rPr>
          <w:rFonts w:cs="Calibri"/>
          <w:color w:val="000000" w:themeColor="text1"/>
          <w:sz w:val="18"/>
          <w:szCs w:val="18"/>
        </w:rPr>
        <w:t>OECD</w:t>
      </w:r>
      <w:r w:rsidRPr="00D51254">
        <w:rPr>
          <w:rFonts w:eastAsia="Times New Roman"/>
          <w:color w:val="000000" w:themeColor="text1"/>
          <w:sz w:val="18"/>
          <w:szCs w:val="18"/>
        </w:rPr>
        <w:t xml:space="preserve">. </w:t>
      </w:r>
      <w:r w:rsidRPr="00D51254">
        <w:rPr>
          <w:rFonts w:cstheme="minorHAnsi"/>
          <w:color w:val="000000" w:themeColor="text1"/>
          <w:sz w:val="18"/>
          <w:szCs w:val="18"/>
        </w:rPr>
        <w:t>(2017).</w:t>
      </w:r>
      <w:r w:rsidRPr="00D51254">
        <w:rPr>
          <w:rFonts w:eastAsia="Times New Roman"/>
          <w:color w:val="000000" w:themeColor="text1"/>
          <w:sz w:val="18"/>
          <w:szCs w:val="18"/>
        </w:rPr>
        <w:t xml:space="preserve"> </w:t>
      </w:r>
      <w:r w:rsidRPr="00D51254">
        <w:rPr>
          <w:i/>
          <w:color w:val="000000" w:themeColor="text1"/>
          <w:sz w:val="18"/>
          <w:szCs w:val="18"/>
        </w:rPr>
        <w:t>Starting Strong 2017.</w:t>
      </w:r>
      <w:r w:rsidRPr="00D51254">
        <w:rPr>
          <w:rFonts w:cstheme="minorHAnsi"/>
          <w:color w:val="000000" w:themeColor="text1"/>
          <w:sz w:val="18"/>
          <w:szCs w:val="18"/>
        </w:rPr>
        <w:t xml:space="preserve"> </w:t>
      </w:r>
    </w:p>
  </w:endnote>
  <w:endnote w:id="22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Table 3A.25, SCRGSP).. (2017)</w:t>
      </w:r>
      <w:r w:rsidRPr="00D51254">
        <w:rPr>
          <w:i/>
          <w:color w:val="000000" w:themeColor="text1"/>
          <w:sz w:val="18"/>
          <w:szCs w:val="18"/>
        </w:rPr>
        <w:t xml:space="preserve">. Report on Government Services 2017, Vol. B: Child care, education and training. </w:t>
      </w:r>
    </w:p>
  </w:endnote>
  <w:endnote w:id="225">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See, for example p. 43-44, Fox, S., &amp; Geddes, M. (2016</w:t>
      </w:r>
      <w:r w:rsidRPr="00D51254">
        <w:rPr>
          <w:i/>
          <w:iCs/>
          <w:color w:val="000000" w:themeColor="text1"/>
          <w:sz w:val="18"/>
          <w:szCs w:val="18"/>
        </w:rPr>
        <w:t xml:space="preserve">). </w:t>
      </w:r>
    </w:p>
  </w:endnote>
  <w:endnote w:id="22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82, </w:t>
      </w:r>
      <w:proofErr w:type="spellStart"/>
      <w:r w:rsidRPr="00D51254">
        <w:rPr>
          <w:color w:val="000000" w:themeColor="text1"/>
          <w:sz w:val="18"/>
          <w:szCs w:val="18"/>
        </w:rPr>
        <w:t>Melhuish</w:t>
      </w:r>
      <w:proofErr w:type="spellEnd"/>
      <w:r w:rsidRPr="00D51254">
        <w:rPr>
          <w:color w:val="000000" w:themeColor="text1"/>
          <w:sz w:val="18"/>
          <w:szCs w:val="18"/>
        </w:rPr>
        <w:t xml:space="preserve">, E., </w:t>
      </w:r>
      <w:proofErr w:type="spellStart"/>
      <w:r w:rsidRPr="00D51254">
        <w:rPr>
          <w:color w:val="000000" w:themeColor="text1"/>
          <w:sz w:val="18"/>
          <w:szCs w:val="18"/>
        </w:rPr>
        <w:t>Ereky</w:t>
      </w:r>
      <w:proofErr w:type="spellEnd"/>
      <w:r w:rsidRPr="00D51254">
        <w:rPr>
          <w:color w:val="000000" w:themeColor="text1"/>
          <w:sz w:val="18"/>
          <w:szCs w:val="18"/>
        </w:rPr>
        <w:t xml:space="preserve">,-Stevens, K., </w:t>
      </w:r>
      <w:proofErr w:type="spellStart"/>
      <w:r w:rsidRPr="00D51254">
        <w:rPr>
          <w:color w:val="000000" w:themeColor="text1"/>
          <w:sz w:val="18"/>
          <w:szCs w:val="18"/>
        </w:rPr>
        <w:t>Petrogiannis</w:t>
      </w:r>
      <w:proofErr w:type="spellEnd"/>
      <w:r w:rsidRPr="00D51254">
        <w:rPr>
          <w:color w:val="000000" w:themeColor="text1"/>
          <w:sz w:val="18"/>
          <w:szCs w:val="18"/>
        </w:rPr>
        <w:t xml:space="preserve">, K., </w:t>
      </w:r>
      <w:proofErr w:type="spellStart"/>
      <w:r w:rsidRPr="00D51254">
        <w:rPr>
          <w:color w:val="000000" w:themeColor="text1"/>
          <w:sz w:val="18"/>
          <w:szCs w:val="18"/>
        </w:rPr>
        <w:t>Ariescu</w:t>
      </w:r>
      <w:proofErr w:type="spellEnd"/>
      <w:r w:rsidRPr="00D51254">
        <w:rPr>
          <w:color w:val="000000" w:themeColor="text1"/>
          <w:sz w:val="18"/>
          <w:szCs w:val="18"/>
        </w:rPr>
        <w:t xml:space="preserve">, A., </w:t>
      </w:r>
      <w:proofErr w:type="spellStart"/>
      <w:r w:rsidRPr="00D51254">
        <w:rPr>
          <w:color w:val="000000" w:themeColor="text1"/>
          <w:sz w:val="18"/>
          <w:szCs w:val="18"/>
        </w:rPr>
        <w:t>Penderi</w:t>
      </w:r>
      <w:proofErr w:type="spellEnd"/>
      <w:r w:rsidRPr="00D51254">
        <w:rPr>
          <w:color w:val="000000" w:themeColor="text1"/>
          <w:sz w:val="18"/>
          <w:szCs w:val="18"/>
        </w:rPr>
        <w:t xml:space="preserve">, E., </w:t>
      </w:r>
      <w:proofErr w:type="spellStart"/>
      <w:r w:rsidRPr="00D51254">
        <w:rPr>
          <w:color w:val="000000" w:themeColor="text1"/>
          <w:sz w:val="18"/>
          <w:szCs w:val="18"/>
        </w:rPr>
        <w:t>Rentzou</w:t>
      </w:r>
      <w:proofErr w:type="spellEnd"/>
      <w:r w:rsidRPr="00D51254">
        <w:rPr>
          <w:color w:val="000000" w:themeColor="text1"/>
          <w:sz w:val="18"/>
          <w:szCs w:val="18"/>
        </w:rPr>
        <w:t xml:space="preserve">, K., </w:t>
      </w:r>
      <w:proofErr w:type="spellStart"/>
      <w:r w:rsidRPr="00D51254">
        <w:rPr>
          <w:color w:val="000000" w:themeColor="text1"/>
          <w:sz w:val="18"/>
          <w:szCs w:val="18"/>
        </w:rPr>
        <w:t>Tawell</w:t>
      </w:r>
      <w:proofErr w:type="spellEnd"/>
      <w:r w:rsidRPr="00D51254">
        <w:rPr>
          <w:color w:val="000000" w:themeColor="text1"/>
          <w:sz w:val="18"/>
          <w:szCs w:val="18"/>
        </w:rPr>
        <w:t xml:space="preserve">, A., Slot, P., </w:t>
      </w:r>
      <w:proofErr w:type="spellStart"/>
      <w:r w:rsidRPr="00D51254">
        <w:rPr>
          <w:color w:val="000000" w:themeColor="text1"/>
          <w:sz w:val="18"/>
          <w:szCs w:val="18"/>
        </w:rPr>
        <w:t>Broekhuizen</w:t>
      </w:r>
      <w:proofErr w:type="spellEnd"/>
      <w:r w:rsidRPr="00D51254">
        <w:rPr>
          <w:color w:val="000000" w:themeColor="text1"/>
          <w:sz w:val="18"/>
          <w:szCs w:val="18"/>
        </w:rPr>
        <w:t xml:space="preserve">, M., &amp; </w:t>
      </w:r>
      <w:proofErr w:type="spellStart"/>
      <w:r w:rsidRPr="00D51254">
        <w:rPr>
          <w:color w:val="000000" w:themeColor="text1"/>
          <w:sz w:val="18"/>
          <w:szCs w:val="18"/>
        </w:rPr>
        <w:t>Leseman</w:t>
      </w:r>
      <w:proofErr w:type="spellEnd"/>
      <w:r w:rsidRPr="00D51254">
        <w:rPr>
          <w:color w:val="000000" w:themeColor="text1"/>
          <w:sz w:val="18"/>
          <w:szCs w:val="18"/>
        </w:rPr>
        <w:t xml:space="preserve">, P. (2015). </w:t>
      </w:r>
      <w:r w:rsidRPr="00D51254">
        <w:rPr>
          <w:i/>
          <w:color w:val="000000" w:themeColor="text1"/>
          <w:sz w:val="18"/>
          <w:szCs w:val="18"/>
        </w:rPr>
        <w:t xml:space="preserve">D4.1: A review of research on the effects of early childhood education and care (ECEC) upon child development. </w:t>
      </w:r>
      <w:r w:rsidRPr="00D51254">
        <w:rPr>
          <w:color w:val="000000" w:themeColor="text1"/>
          <w:sz w:val="18"/>
          <w:szCs w:val="18"/>
        </w:rPr>
        <w:t xml:space="preserve">CARE project: Curriculum Quality Analysis and Impact Review of European Early Childhood Education and Care (ECEC). Retrieved from </w:t>
      </w:r>
      <w:hyperlink r:id="rId116" w:history="1">
        <w:r w:rsidRPr="00D51254">
          <w:rPr>
            <w:rStyle w:val="Hyperlink"/>
            <w:color w:val="000000" w:themeColor="text1"/>
            <w:sz w:val="18"/>
            <w:szCs w:val="18"/>
          </w:rPr>
          <w:t>https://www.researchgate.net/publication/291970194_A_review_of_research_on_the_effects_of_early_childhood_Education_and_Care_ECEC_upon_child_development_CARE_project</w:t>
        </w:r>
      </w:hyperlink>
    </w:p>
  </w:endnote>
  <w:endnote w:id="22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Phillips, D, et al. (2017), paragraph 9.</w:t>
      </w:r>
    </w:p>
  </w:endnote>
  <w:endnote w:id="22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87. Productivity Commission. (2017). </w:t>
      </w:r>
      <w:r w:rsidRPr="00D51254">
        <w:rPr>
          <w:i/>
          <w:color w:val="000000" w:themeColor="text1"/>
          <w:sz w:val="18"/>
          <w:szCs w:val="18"/>
        </w:rPr>
        <w:t>Shifting the dial: 5 year productivity review.</w:t>
      </w:r>
      <w:r w:rsidRPr="00D51254">
        <w:rPr>
          <w:color w:val="000000" w:themeColor="text1"/>
          <w:sz w:val="18"/>
          <w:szCs w:val="18"/>
        </w:rPr>
        <w:t xml:space="preserve"> </w:t>
      </w:r>
      <w:r w:rsidRPr="00D51254">
        <w:rPr>
          <w:i/>
          <w:color w:val="000000" w:themeColor="text1"/>
          <w:sz w:val="18"/>
          <w:szCs w:val="18"/>
        </w:rPr>
        <w:t>Inquiry Report No. 84</w:t>
      </w:r>
      <w:r w:rsidRPr="00D51254">
        <w:rPr>
          <w:color w:val="000000" w:themeColor="text1"/>
          <w:sz w:val="18"/>
          <w:szCs w:val="18"/>
        </w:rPr>
        <w:t xml:space="preserve">. Canberra, ACT: Australian Government. Retrieved from </w:t>
      </w:r>
      <w:hyperlink r:id="rId117" w:history="1">
        <w:r w:rsidRPr="00D51254">
          <w:rPr>
            <w:rStyle w:val="Hyperlink"/>
            <w:color w:val="000000" w:themeColor="text1"/>
            <w:sz w:val="18"/>
            <w:szCs w:val="18"/>
          </w:rPr>
          <w:t>https://www.pc.gov.au/inquiries/completed/productivity-review/report/productivity-review.pdf</w:t>
        </w:r>
      </w:hyperlink>
    </w:p>
  </w:endnote>
  <w:endnote w:id="229">
    <w:p w:rsidR="00DD13F8" w:rsidRPr="00D51254" w:rsidRDefault="00DD13F8" w:rsidP="00EE0AC8">
      <w:pPr>
        <w:pStyle w:val="EndnoteText"/>
        <w:tabs>
          <w:tab w:val="left" w:pos="2405"/>
        </w:tabs>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167-169, Productivity Commission. (2014). </w:t>
      </w:r>
      <w:r w:rsidRPr="00D51254">
        <w:rPr>
          <w:i/>
          <w:color w:val="000000" w:themeColor="text1"/>
          <w:sz w:val="18"/>
          <w:szCs w:val="18"/>
        </w:rPr>
        <w:t xml:space="preserve">Childcare and early childhood learning: Productivity Commission Inquiry Report Vol. 1 , No. 73. </w:t>
      </w:r>
      <w:r w:rsidRPr="00D51254">
        <w:rPr>
          <w:color w:val="000000" w:themeColor="text1"/>
          <w:sz w:val="18"/>
          <w:szCs w:val="18"/>
        </w:rPr>
        <w:t xml:space="preserve">Canberra, ACT: Australian Government. Retrieved from </w:t>
      </w:r>
      <w:hyperlink r:id="rId118" w:history="1">
        <w:r w:rsidRPr="00D51254">
          <w:rPr>
            <w:rStyle w:val="Hyperlink"/>
            <w:color w:val="000000" w:themeColor="text1"/>
            <w:sz w:val="18"/>
            <w:szCs w:val="18"/>
          </w:rPr>
          <w:t>https://www.pc.gov.au/inquiries/completed/childcare/report/childcare-volume1.pdf</w:t>
        </w:r>
      </w:hyperlink>
    </w:p>
  </w:endnote>
  <w:endnote w:id="230">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167, Vol. 1, Productivity Commission. (2014). </w:t>
      </w:r>
      <w:r w:rsidRPr="00D51254">
        <w:rPr>
          <w:i/>
          <w:color w:val="000000" w:themeColor="text1"/>
          <w:sz w:val="18"/>
          <w:szCs w:val="18"/>
        </w:rPr>
        <w:t>Childcare and early childhood learning: Productivity Commission Inquiry Report</w:t>
      </w:r>
    </w:p>
  </w:endnote>
  <w:endnote w:id="23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167, Vol. 1, Productivity Commission. (2014). </w:t>
      </w:r>
      <w:r w:rsidRPr="00D51254">
        <w:rPr>
          <w:i/>
          <w:color w:val="000000" w:themeColor="text1"/>
          <w:sz w:val="18"/>
          <w:szCs w:val="18"/>
        </w:rPr>
        <w:t>Childcare and early childhood learning: Productivity Commission Inquiry Report</w:t>
      </w:r>
      <w:r w:rsidRPr="00D51254">
        <w:rPr>
          <w:color w:val="000000" w:themeColor="text1"/>
          <w:sz w:val="18"/>
        </w:rPr>
        <w:t xml:space="preserve"> </w:t>
      </w:r>
    </w:p>
  </w:endnote>
  <w:endnote w:id="23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9-10, Barnett, S. W. (2010). Universal and targeted approaches to preschool education in the United States. </w:t>
      </w:r>
      <w:r w:rsidRPr="00D51254">
        <w:rPr>
          <w:i/>
          <w:color w:val="000000" w:themeColor="text1"/>
          <w:sz w:val="18"/>
          <w:szCs w:val="18"/>
        </w:rPr>
        <w:t xml:space="preserve">International Journal of Child Care and Education Policy, </w:t>
      </w:r>
      <w:r w:rsidRPr="00D51254">
        <w:rPr>
          <w:color w:val="000000" w:themeColor="text1"/>
          <w:sz w:val="18"/>
          <w:szCs w:val="18"/>
        </w:rPr>
        <w:t xml:space="preserve">4(1), 1-12. Retrieved from </w:t>
      </w:r>
      <w:hyperlink r:id="rId119" w:history="1">
        <w:r w:rsidRPr="00D51254">
          <w:rPr>
            <w:rStyle w:val="Hyperlink"/>
            <w:color w:val="000000" w:themeColor="text1"/>
            <w:sz w:val="18"/>
            <w:szCs w:val="18"/>
          </w:rPr>
          <w:t>https://link.springer.com/article/10.1007/2288-6729-4-1-1</w:t>
        </w:r>
      </w:hyperlink>
    </w:p>
  </w:endnote>
  <w:endnote w:id="233">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5-6, Fox, S., &amp; Geddes, M. (2016</w:t>
      </w:r>
      <w:r w:rsidRPr="00D51254">
        <w:rPr>
          <w:i/>
          <w:iCs/>
          <w:color w:val="000000" w:themeColor="text1"/>
          <w:sz w:val="18"/>
          <w:szCs w:val="18"/>
        </w:rPr>
        <w:t xml:space="preserve">). </w:t>
      </w:r>
    </w:p>
  </w:endnote>
  <w:endnote w:id="234">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 46, Warren, D., O’Connor, M., Smart, D., &amp; Edwards. B. (2016). </w:t>
      </w:r>
    </w:p>
  </w:endnote>
  <w:endnote w:id="235">
    <w:p w:rsidR="00DD13F8" w:rsidRPr="00D51254" w:rsidRDefault="00DD13F8" w:rsidP="00EE0AC8">
      <w:pPr>
        <w:spacing w:after="0"/>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Government Department of Education and Training. (</w:t>
      </w:r>
      <w:proofErr w:type="spellStart"/>
      <w:r w:rsidRPr="00D51254">
        <w:rPr>
          <w:color w:val="000000" w:themeColor="text1"/>
          <w:sz w:val="18"/>
          <w:szCs w:val="18"/>
        </w:rPr>
        <w:t>n.d.</w:t>
      </w:r>
      <w:proofErr w:type="spellEnd"/>
      <w:r w:rsidRPr="00D51254">
        <w:rPr>
          <w:color w:val="000000" w:themeColor="text1"/>
          <w:sz w:val="18"/>
          <w:szCs w:val="18"/>
        </w:rPr>
        <w:t xml:space="preserve">). How to become an approved Child Care Subsidy provider. Retrieved 13 October 2017 from </w:t>
      </w:r>
      <w:hyperlink r:id="rId120" w:history="1">
        <w:r w:rsidRPr="00D51254">
          <w:rPr>
            <w:rStyle w:val="Hyperlink"/>
            <w:color w:val="000000" w:themeColor="text1"/>
            <w:sz w:val="18"/>
            <w:szCs w:val="18"/>
          </w:rPr>
          <w:t>https://www.education.gov.au/how-become-approved-child-care-subsidy-provider</w:t>
        </w:r>
      </w:hyperlink>
    </w:p>
  </w:endnote>
  <w:endnote w:id="236">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Daley, J., </w:t>
      </w:r>
      <w:proofErr w:type="spellStart"/>
      <w:r w:rsidRPr="00D51254">
        <w:rPr>
          <w:color w:val="000000" w:themeColor="text1"/>
          <w:sz w:val="18"/>
          <w:szCs w:val="18"/>
        </w:rPr>
        <w:t>McGannon</w:t>
      </w:r>
      <w:proofErr w:type="spellEnd"/>
      <w:r w:rsidRPr="00D51254">
        <w:rPr>
          <w:color w:val="000000" w:themeColor="text1"/>
          <w:sz w:val="18"/>
          <w:szCs w:val="18"/>
        </w:rPr>
        <w:t xml:space="preserve">, C., &amp; </w:t>
      </w:r>
      <w:proofErr w:type="spellStart"/>
      <w:r w:rsidRPr="00D51254">
        <w:rPr>
          <w:color w:val="000000" w:themeColor="text1"/>
          <w:sz w:val="18"/>
          <w:szCs w:val="18"/>
        </w:rPr>
        <w:t>Ginnivan</w:t>
      </w:r>
      <w:proofErr w:type="spellEnd"/>
      <w:r w:rsidRPr="00D51254">
        <w:rPr>
          <w:color w:val="000000" w:themeColor="text1"/>
          <w:sz w:val="18"/>
          <w:szCs w:val="18"/>
        </w:rPr>
        <w:t xml:space="preserve">, L. (2012). </w:t>
      </w:r>
      <w:r w:rsidRPr="00D51254">
        <w:rPr>
          <w:i/>
          <w:color w:val="000000" w:themeColor="text1"/>
          <w:sz w:val="18"/>
          <w:szCs w:val="18"/>
        </w:rPr>
        <w:t>Game-changers: Economic reform priorities for Australia</w:t>
      </w:r>
      <w:r w:rsidRPr="00D51254">
        <w:rPr>
          <w:color w:val="000000" w:themeColor="text1"/>
          <w:sz w:val="18"/>
          <w:szCs w:val="18"/>
        </w:rPr>
        <w:t xml:space="preserve">. Melbourne, Victoria: Grattan Institute. Retrieved from </w:t>
      </w:r>
      <w:hyperlink r:id="rId121" w:history="1">
        <w:r w:rsidRPr="00D51254">
          <w:rPr>
            <w:rStyle w:val="Hyperlink"/>
            <w:color w:val="000000" w:themeColor="text1"/>
            <w:sz w:val="18"/>
            <w:szCs w:val="18"/>
          </w:rPr>
          <w:t>https://grattan.edu.au/wp-content/uploads/2014/04/Game_Changers_Web.pdf</w:t>
        </w:r>
      </w:hyperlink>
    </w:p>
  </w:endnote>
  <w:endnote w:id="237">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ABS. (2017, October 19). </w:t>
      </w:r>
      <w:r w:rsidRPr="00D51254">
        <w:rPr>
          <w:i/>
          <w:color w:val="000000" w:themeColor="text1"/>
          <w:sz w:val="18"/>
          <w:szCs w:val="18"/>
        </w:rPr>
        <w:t xml:space="preserve">Trend unemployment rate lowest in 4 years </w:t>
      </w:r>
      <w:r w:rsidRPr="00D51254">
        <w:rPr>
          <w:color w:val="000000" w:themeColor="text1"/>
          <w:sz w:val="18"/>
          <w:szCs w:val="18"/>
        </w:rPr>
        <w:t xml:space="preserve">[Media release]. Retrieved from </w:t>
      </w:r>
      <w:hyperlink r:id="rId122" w:history="1">
        <w:r w:rsidRPr="00D51254">
          <w:rPr>
            <w:rStyle w:val="Hyperlink"/>
            <w:color w:val="000000" w:themeColor="text1"/>
            <w:sz w:val="18"/>
            <w:szCs w:val="18"/>
          </w:rPr>
          <w:t>http://www.abs.gov.au/ausstats/abs@.nsf/latestProducts/6202.0Media%20Release1Sep%202017</w:t>
        </w:r>
      </w:hyperlink>
    </w:p>
  </w:endnote>
  <w:endnote w:id="238">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Productivity Commission. (2014). </w:t>
      </w:r>
      <w:r w:rsidRPr="00D51254">
        <w:rPr>
          <w:i/>
          <w:color w:val="000000" w:themeColor="text1"/>
          <w:sz w:val="18"/>
          <w:szCs w:val="18"/>
        </w:rPr>
        <w:t>Childcare and early childhood learning: Productivity Commission Inquiry Report Vol. 2, No. 73.</w:t>
      </w:r>
      <w:r w:rsidRPr="00D51254">
        <w:rPr>
          <w:color w:val="000000" w:themeColor="text1"/>
          <w:sz w:val="18"/>
          <w:szCs w:val="18"/>
        </w:rPr>
        <w:t xml:space="preserve"> </w:t>
      </w:r>
      <w:r w:rsidRPr="00D51254">
        <w:rPr>
          <w:i/>
          <w:color w:val="000000" w:themeColor="text1"/>
          <w:sz w:val="18"/>
          <w:szCs w:val="18"/>
        </w:rPr>
        <w:t>Appendix C: Workforce participation data.</w:t>
      </w:r>
      <w:r w:rsidRPr="00D51254">
        <w:rPr>
          <w:color w:val="000000" w:themeColor="text1"/>
          <w:sz w:val="18"/>
          <w:szCs w:val="18"/>
        </w:rPr>
        <w:t xml:space="preserve"> Canberra, ACT: Australian Government. Retrieved from</w:t>
      </w:r>
    </w:p>
    <w:p w:rsidR="00DD13F8" w:rsidRPr="00D51254" w:rsidRDefault="003A6BCA" w:rsidP="00EE0AC8">
      <w:pPr>
        <w:pStyle w:val="EndnoteText"/>
        <w:rPr>
          <w:color w:val="000000" w:themeColor="text1"/>
          <w:sz w:val="18"/>
          <w:szCs w:val="18"/>
        </w:rPr>
      </w:pPr>
      <w:hyperlink r:id="rId123" w:history="1">
        <w:r w:rsidR="00DD13F8" w:rsidRPr="00D51254">
          <w:rPr>
            <w:rStyle w:val="Hyperlink"/>
            <w:color w:val="000000" w:themeColor="text1"/>
            <w:sz w:val="18"/>
            <w:szCs w:val="18"/>
          </w:rPr>
          <w:t>https://www.pc.gov.au/inquiries/completed/childcare/report/childcare-appendixc.pdf</w:t>
        </w:r>
      </w:hyperlink>
    </w:p>
  </w:endnote>
  <w:endnote w:id="239">
    <w:p w:rsidR="00DD13F8" w:rsidRPr="00D51254" w:rsidRDefault="00DD13F8" w:rsidP="00EE0AC8">
      <w:pPr>
        <w:pStyle w:val="EndnoteText"/>
        <w:rPr>
          <w:color w:val="000000" w:themeColor="text1"/>
          <w:sz w:val="18"/>
          <w:szCs w:val="18"/>
        </w:rPr>
      </w:pPr>
      <w:r w:rsidRPr="00D51254">
        <w:rPr>
          <w:color w:val="000000" w:themeColor="text1"/>
          <w:sz w:val="18"/>
          <w:szCs w:val="18"/>
          <w:vertAlign w:val="superscript"/>
        </w:rPr>
        <w:endnoteRef/>
      </w:r>
      <w:r w:rsidRPr="00D51254">
        <w:rPr>
          <w:color w:val="000000" w:themeColor="text1"/>
          <w:sz w:val="18"/>
          <w:szCs w:val="18"/>
        </w:rPr>
        <w:t xml:space="preserve"> </w:t>
      </w:r>
      <w:r w:rsidRPr="00D51254">
        <w:rPr>
          <w:rFonts w:cs="Calibri"/>
          <w:color w:val="000000" w:themeColor="text1"/>
          <w:sz w:val="18"/>
          <w:szCs w:val="18"/>
        </w:rPr>
        <w:t>OECD</w:t>
      </w:r>
      <w:r w:rsidRPr="00D51254">
        <w:rPr>
          <w:rFonts w:eastAsia="Times New Roman"/>
          <w:color w:val="000000" w:themeColor="text1"/>
          <w:sz w:val="18"/>
          <w:szCs w:val="18"/>
        </w:rPr>
        <w:t xml:space="preserve"> </w:t>
      </w:r>
      <w:r w:rsidRPr="00D51254">
        <w:rPr>
          <w:color w:val="000000" w:themeColor="text1"/>
          <w:sz w:val="18"/>
          <w:szCs w:val="18"/>
        </w:rPr>
        <w:t xml:space="preserve">(2017). </w:t>
      </w:r>
      <w:r w:rsidRPr="00D51254">
        <w:rPr>
          <w:i/>
          <w:color w:val="000000" w:themeColor="text1"/>
          <w:sz w:val="18"/>
          <w:szCs w:val="18"/>
        </w:rPr>
        <w:t xml:space="preserve">Public spending on education (indicator). </w:t>
      </w:r>
      <w:r w:rsidRPr="00D51254">
        <w:rPr>
          <w:color w:val="000000" w:themeColor="text1"/>
          <w:sz w:val="18"/>
          <w:szCs w:val="18"/>
        </w:rPr>
        <w:t xml:space="preserve">Retrieved from </w:t>
      </w:r>
      <w:hyperlink r:id="rId124" w:history="1">
        <w:r w:rsidRPr="00D51254">
          <w:rPr>
            <w:rStyle w:val="Hyperlink"/>
            <w:color w:val="000000" w:themeColor="text1"/>
            <w:sz w:val="18"/>
            <w:szCs w:val="18"/>
          </w:rPr>
          <w:t>http://dx.doi.org/10.1787/f99b45d0-en</w:t>
        </w:r>
      </w:hyperlink>
    </w:p>
  </w:endnote>
  <w:endnote w:id="240">
    <w:p w:rsidR="00DD13F8" w:rsidRPr="00D51254" w:rsidRDefault="00DD13F8" w:rsidP="00EE0AC8">
      <w:pPr>
        <w:pStyle w:val="EndnoteText"/>
        <w:rPr>
          <w:color w:val="000000" w:themeColor="text1"/>
          <w:sz w:val="18"/>
          <w:szCs w:val="18"/>
        </w:rPr>
      </w:pPr>
      <w:r w:rsidRPr="00D51254">
        <w:rPr>
          <w:color w:val="000000" w:themeColor="text1"/>
          <w:sz w:val="18"/>
          <w:szCs w:val="18"/>
          <w:vertAlign w:val="superscript"/>
        </w:rPr>
        <w:endnoteRef/>
      </w:r>
      <w:r w:rsidRPr="00D51254">
        <w:rPr>
          <w:color w:val="000000" w:themeColor="text1"/>
          <w:sz w:val="18"/>
          <w:szCs w:val="18"/>
        </w:rPr>
        <w:t xml:space="preserve"> Australian Government. (2017). </w:t>
      </w:r>
      <w:r w:rsidRPr="00D51254">
        <w:rPr>
          <w:i/>
          <w:iCs/>
          <w:color w:val="000000" w:themeColor="text1"/>
          <w:sz w:val="18"/>
          <w:szCs w:val="18"/>
        </w:rPr>
        <w:t>Quality Schools: Quality Schools Package</w:t>
      </w:r>
      <w:r w:rsidRPr="00D51254">
        <w:rPr>
          <w:i/>
          <w:color w:val="000000" w:themeColor="text1"/>
          <w:sz w:val="18"/>
          <w:szCs w:val="18"/>
        </w:rPr>
        <w:t>.</w:t>
      </w:r>
      <w:r w:rsidRPr="00D51254">
        <w:rPr>
          <w:color w:val="000000" w:themeColor="text1"/>
          <w:sz w:val="18"/>
          <w:szCs w:val="18"/>
        </w:rPr>
        <w:t xml:space="preserve"> Retrieved from </w:t>
      </w:r>
      <w:hyperlink r:id="rId125" w:history="1">
        <w:r w:rsidRPr="00D51254">
          <w:rPr>
            <w:rStyle w:val="Hyperlink"/>
            <w:color w:val="000000" w:themeColor="text1"/>
            <w:sz w:val="18"/>
            <w:szCs w:val="18"/>
          </w:rPr>
          <w:t>https://docs.education.gov.au/system/files/doc/other/what_is_the_quality_schools_package_and_what_does_it_mean_for_my_school.pdf</w:t>
        </w:r>
      </w:hyperlink>
    </w:p>
  </w:endnote>
  <w:endnote w:id="241">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Table 4A.33, SCRGSP. (2017)</w:t>
      </w:r>
      <w:r w:rsidRPr="00D51254">
        <w:rPr>
          <w:i/>
          <w:color w:val="000000" w:themeColor="text1"/>
          <w:sz w:val="18"/>
          <w:szCs w:val="18"/>
        </w:rPr>
        <w:t xml:space="preserve">. Report on Government Services 2017, Vol. B: Child care, education and training. </w:t>
      </w:r>
    </w:p>
  </w:endnote>
  <w:endnote w:id="242">
    <w:p w:rsidR="00DD13F8" w:rsidRPr="00D51254" w:rsidRDefault="00DD13F8" w:rsidP="00EE0AC8">
      <w:pPr>
        <w:pStyle w:val="EndnoteText"/>
        <w:rPr>
          <w:color w:val="000000" w:themeColor="text1"/>
          <w:sz w:val="18"/>
          <w:szCs w:val="18"/>
        </w:rPr>
      </w:pPr>
      <w:r w:rsidRPr="00D51254">
        <w:rPr>
          <w:rStyle w:val="EndnoteReference"/>
          <w:color w:val="000000" w:themeColor="text1"/>
          <w:sz w:val="18"/>
          <w:szCs w:val="18"/>
        </w:rPr>
        <w:endnoteRef/>
      </w:r>
      <w:r w:rsidRPr="00D51254">
        <w:rPr>
          <w:color w:val="000000" w:themeColor="text1"/>
          <w:sz w:val="18"/>
          <w:szCs w:val="18"/>
        </w:rPr>
        <w:t xml:space="preserve"> ACECQA. NQF Snapshot Q3 2017. </w:t>
      </w:r>
    </w:p>
  </w:endnote>
  <w:endnote w:id="243">
    <w:p w:rsidR="00DD13F8" w:rsidRPr="00D51254" w:rsidRDefault="00DD13F8" w:rsidP="00EE0AC8">
      <w:pPr>
        <w:pStyle w:val="EndnoteText"/>
        <w:rPr>
          <w:color w:val="000000" w:themeColor="text1"/>
          <w:sz w:val="18"/>
          <w:szCs w:val="18"/>
        </w:rPr>
      </w:pPr>
      <w:r w:rsidRPr="00D51254">
        <w:rPr>
          <w:color w:val="000000" w:themeColor="text1"/>
          <w:sz w:val="18"/>
          <w:szCs w:val="18"/>
          <w:vertAlign w:val="superscript"/>
        </w:rPr>
        <w:endnoteRef/>
      </w:r>
      <w:r w:rsidRPr="00D51254">
        <w:rPr>
          <w:color w:val="000000" w:themeColor="text1"/>
          <w:sz w:val="18"/>
          <w:szCs w:val="18"/>
        </w:rPr>
        <w:t xml:space="preserve"> Recommendation 3.2, Productivity Commission. (2016). </w:t>
      </w:r>
      <w:r w:rsidRPr="00D51254">
        <w:rPr>
          <w:i/>
          <w:color w:val="000000" w:themeColor="text1"/>
          <w:sz w:val="18"/>
          <w:szCs w:val="18"/>
        </w:rPr>
        <w:t>National Education Evidence Base: Productivity Commission Inquiry Report Overview and Recommendations, No. 80</w:t>
      </w:r>
      <w:r w:rsidRPr="00D51254">
        <w:rPr>
          <w:color w:val="000000" w:themeColor="text1"/>
          <w:sz w:val="18"/>
          <w:szCs w:val="18"/>
        </w:rPr>
        <w:t xml:space="preserve">. Canberra, ACT: Australian Government. Retrieved from </w:t>
      </w:r>
      <w:hyperlink r:id="rId126" w:history="1">
        <w:r w:rsidRPr="00D51254">
          <w:rPr>
            <w:rStyle w:val="Hyperlink"/>
            <w:color w:val="000000" w:themeColor="text1"/>
            <w:sz w:val="18"/>
            <w:szCs w:val="18"/>
          </w:rPr>
          <w:t>https://www.pc.gov.au/inquiries/completed/education-evidence/report/education-evidence-overview.pdf</w:t>
        </w:r>
      </w:hyperlink>
    </w:p>
  </w:endnote>
  <w:endnote w:id="244">
    <w:p w:rsidR="00DD13F8" w:rsidRPr="00D51254" w:rsidRDefault="00DD13F8" w:rsidP="00BC7E23">
      <w:pPr>
        <w:pStyle w:val="EndnoteText"/>
        <w:rPr>
          <w:color w:val="000000" w:themeColor="text1"/>
          <w:sz w:val="18"/>
          <w:szCs w:val="18"/>
        </w:rPr>
      </w:pPr>
      <w:r w:rsidRPr="00D51254">
        <w:rPr>
          <w:color w:val="000000" w:themeColor="text1"/>
          <w:sz w:val="18"/>
          <w:szCs w:val="18"/>
          <w:vertAlign w:val="superscript"/>
        </w:rPr>
        <w:endnoteRef/>
      </w:r>
      <w:r w:rsidRPr="00D51254">
        <w:rPr>
          <w:color w:val="000000" w:themeColor="text1"/>
          <w:sz w:val="18"/>
          <w:szCs w:val="18"/>
        </w:rPr>
        <w:t xml:space="preserve"> See, for example, </w:t>
      </w:r>
      <w:r w:rsidRPr="00D51254">
        <w:rPr>
          <w:color w:val="000000" w:themeColor="text1"/>
          <w:sz w:val="18"/>
        </w:rPr>
        <w:t>Commonwealth</w:t>
      </w:r>
      <w:r w:rsidRPr="00D51254">
        <w:rPr>
          <w:color w:val="000000" w:themeColor="text1"/>
          <w:sz w:val="16"/>
        </w:rPr>
        <w:t xml:space="preserve"> </w:t>
      </w:r>
      <w:r w:rsidRPr="00D51254">
        <w:rPr>
          <w:color w:val="000000" w:themeColor="text1"/>
          <w:sz w:val="18"/>
          <w:szCs w:val="18"/>
        </w:rPr>
        <w:t xml:space="preserve">Government Department of the Prime Minister and Cabinet. (2015). </w:t>
      </w:r>
      <w:r w:rsidRPr="00D51254">
        <w:rPr>
          <w:i/>
          <w:color w:val="000000" w:themeColor="text1"/>
          <w:sz w:val="18"/>
          <w:szCs w:val="18"/>
        </w:rPr>
        <w:t xml:space="preserve">Reform of the Federation Green Paper 2015: Discussion paper. </w:t>
      </w:r>
      <w:r w:rsidRPr="00D51254">
        <w:rPr>
          <w:color w:val="000000" w:themeColor="text1"/>
          <w:sz w:val="18"/>
          <w:szCs w:val="18"/>
        </w:rPr>
        <w:t>Retrieved from http://apo.org.au/system/files/55457/apo-nid55457-52196.pdf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altName w:val="Chaparral Pro"/>
    <w:panose1 w:val="00000000000000000000"/>
    <w:charset w:val="00"/>
    <w:family w:val="roman"/>
    <w:notTrueType/>
    <w:pitch w:val="default"/>
    <w:sig w:usb0="00000003" w:usb1="00000000" w:usb2="00000000" w:usb3="00000000" w:csb0="00000001" w:csb1="00000000"/>
  </w:font>
  <w:font w:name="Source Sans Pro Light">
    <w:altName w:val="Source Sans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altName w:val="Times New Roman"/>
    <w:charset w:val="00"/>
    <w:family w:val="auto"/>
    <w:pitch w:val="variable"/>
    <w:sig w:usb0="00000001"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TimesNewRoman">
    <w:altName w:val="Calibri"/>
    <w:panose1 w:val="00000000000000000000"/>
    <w:charset w:val="00"/>
    <w:family w:val="swiss"/>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OT7d6df7ab.I">
    <w:panose1 w:val="00000000000000000000"/>
    <w:charset w:val="00"/>
    <w:family w:val="swiss"/>
    <w:notTrueType/>
    <w:pitch w:val="default"/>
    <w:sig w:usb0="00000003" w:usb1="00000000" w:usb2="00000000" w:usb3="00000000" w:csb0="00000001" w:csb1="00000000"/>
  </w:font>
  <w:font w:name="AdvOT1ef757c0+20">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venir">
    <w:altName w:val="Avenir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690"/>
      <w:docPartObj>
        <w:docPartGallery w:val="Page Numbers (Bottom of Page)"/>
        <w:docPartUnique/>
      </w:docPartObj>
    </w:sdtPr>
    <w:sdtEndPr>
      <w:rPr>
        <w:noProof/>
      </w:rPr>
    </w:sdtEndPr>
    <w:sdtContent>
      <w:p w:rsidR="00DD13F8" w:rsidRDefault="00DD13F8">
        <w:pPr>
          <w:pStyle w:val="Footer"/>
          <w:jc w:val="right"/>
        </w:pPr>
        <w:r>
          <w:fldChar w:fldCharType="begin"/>
        </w:r>
        <w:r>
          <w:instrText xml:space="preserve"> PAGE   \* MERGEFORMAT </w:instrText>
        </w:r>
        <w:r>
          <w:fldChar w:fldCharType="separate"/>
        </w:r>
        <w:r w:rsidR="003A6BCA">
          <w:rPr>
            <w:noProof/>
          </w:rPr>
          <w:t>5</w:t>
        </w:r>
        <w:r>
          <w:rPr>
            <w:noProof/>
          </w:rPr>
          <w:fldChar w:fldCharType="end"/>
        </w:r>
      </w:p>
    </w:sdtContent>
  </w:sdt>
  <w:p w:rsidR="00DD13F8" w:rsidRDefault="00DD1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78" w:rsidRDefault="00A76D78" w:rsidP="001E5DF0">
      <w:pPr>
        <w:spacing w:after="0"/>
      </w:pPr>
      <w:r>
        <w:separator/>
      </w:r>
    </w:p>
  </w:footnote>
  <w:footnote w:type="continuationSeparator" w:id="0">
    <w:p w:rsidR="00A76D78" w:rsidRDefault="00A76D78" w:rsidP="001E5DF0">
      <w:pPr>
        <w:spacing w:after="0"/>
      </w:pPr>
      <w:r>
        <w:continuationSeparator/>
      </w:r>
    </w:p>
  </w:footnote>
  <w:footnote w:type="continuationNotice" w:id="1">
    <w:p w:rsidR="00A76D78" w:rsidRDefault="00A76D78">
      <w:pPr>
        <w:spacing w:after="0"/>
      </w:pPr>
    </w:p>
  </w:footnote>
  <w:footnote w:id="2">
    <w:p w:rsidR="00DD13F8" w:rsidRDefault="00DD13F8">
      <w:pPr>
        <w:pStyle w:val="FootnoteText"/>
      </w:pPr>
      <w:r>
        <w:rPr>
          <w:rStyle w:val="FootnoteReference"/>
        </w:rPr>
        <w:footnoteRef/>
      </w:r>
      <w:r>
        <w:t xml:space="preserve"> </w:t>
      </w:r>
      <w:r w:rsidRPr="008E4B77">
        <w:rPr>
          <w:sz w:val="18"/>
        </w:rPr>
        <w:t xml:space="preserve">Throughout this report, </w:t>
      </w:r>
      <w:r>
        <w:rPr>
          <w:sz w:val="18"/>
        </w:rPr>
        <w:t xml:space="preserve">and for simplicity, </w:t>
      </w:r>
      <w:r w:rsidRPr="008E4B77">
        <w:rPr>
          <w:sz w:val="18"/>
        </w:rPr>
        <w:t>the term parent is used</w:t>
      </w:r>
      <w:r>
        <w:rPr>
          <w:sz w:val="18"/>
        </w:rPr>
        <w:t xml:space="preserve"> </w:t>
      </w:r>
      <w:r w:rsidRPr="008E4B77">
        <w:rPr>
          <w:sz w:val="18"/>
        </w:rPr>
        <w:t xml:space="preserve">to describe all adults with responsibilities for raising children, including other family members and carers. </w:t>
      </w:r>
    </w:p>
  </w:footnote>
  <w:footnote w:id="3">
    <w:p w:rsidR="00DD13F8" w:rsidRPr="009C4BA4" w:rsidRDefault="00DD13F8" w:rsidP="00C25B6F">
      <w:pPr>
        <w:pStyle w:val="FootnoteText"/>
        <w:rPr>
          <w:color w:val="000000" w:themeColor="text1"/>
          <w:sz w:val="18"/>
          <w:szCs w:val="18"/>
        </w:rPr>
      </w:pPr>
      <w:r w:rsidRPr="009C4BA4">
        <w:rPr>
          <w:color w:val="000000" w:themeColor="text1"/>
          <w:sz w:val="18"/>
          <w:szCs w:val="18"/>
          <w:vertAlign w:val="superscript"/>
        </w:rPr>
        <w:footnoteRef/>
      </w:r>
      <w:r w:rsidRPr="009C4BA4">
        <w:rPr>
          <w:color w:val="000000" w:themeColor="text1"/>
          <w:sz w:val="18"/>
          <w:szCs w:val="18"/>
        </w:rPr>
        <w:t xml:space="preserve"> Recommendations are directed to all Australian governments, reflecting the current arrangements where responsibility is shared between the Commonwealth and </w:t>
      </w:r>
      <w:r>
        <w:rPr>
          <w:color w:val="000000" w:themeColor="text1"/>
          <w:sz w:val="18"/>
          <w:szCs w:val="18"/>
        </w:rPr>
        <w:t>state</w:t>
      </w:r>
      <w:r w:rsidRPr="009C4BA4">
        <w:rPr>
          <w:color w:val="000000" w:themeColor="text1"/>
          <w:sz w:val="18"/>
          <w:szCs w:val="18"/>
        </w:rPr>
        <w:t xml:space="preserve"> and </w:t>
      </w:r>
      <w:r>
        <w:rPr>
          <w:color w:val="000000" w:themeColor="text1"/>
          <w:sz w:val="18"/>
          <w:szCs w:val="18"/>
        </w:rPr>
        <w:t>territory</w:t>
      </w:r>
      <w:r w:rsidRPr="009C4BA4">
        <w:rPr>
          <w:color w:val="000000" w:themeColor="text1"/>
          <w:sz w:val="18"/>
          <w:szCs w:val="18"/>
        </w:rPr>
        <w:t xml:space="preserve"> governments. </w:t>
      </w:r>
    </w:p>
  </w:footnote>
  <w:footnote w:id="4">
    <w:p w:rsidR="00DD13F8" w:rsidRPr="009C4BA4" w:rsidRDefault="00DD13F8" w:rsidP="007A364A">
      <w:pPr>
        <w:pStyle w:val="FootnoteText"/>
        <w:rPr>
          <w:color w:val="000000" w:themeColor="text1"/>
          <w:sz w:val="18"/>
          <w:szCs w:val="18"/>
        </w:rPr>
      </w:pPr>
      <w:r w:rsidRPr="009C4BA4">
        <w:rPr>
          <w:color w:val="000000" w:themeColor="text1"/>
          <w:sz w:val="18"/>
          <w:szCs w:val="18"/>
          <w:vertAlign w:val="superscript"/>
        </w:rPr>
        <w:footnoteRef/>
      </w:r>
      <w:r w:rsidRPr="009C4BA4">
        <w:rPr>
          <w:color w:val="000000" w:themeColor="text1"/>
          <w:sz w:val="18"/>
          <w:szCs w:val="18"/>
        </w:rPr>
        <w:t xml:space="preserve"> Defined as pre-primary education, ISCED 02.</w:t>
      </w:r>
    </w:p>
  </w:footnote>
  <w:footnote w:id="5">
    <w:p w:rsidR="00DD13F8" w:rsidRDefault="00DD13F8" w:rsidP="00DE399B">
      <w:pPr>
        <w:pStyle w:val="FootnoteText"/>
      </w:pPr>
      <w:r>
        <w:rPr>
          <w:rStyle w:val="FootnoteReference"/>
        </w:rPr>
        <w:footnoteRef/>
      </w:r>
      <w:r>
        <w:t xml:space="preserve"> </w:t>
      </w:r>
      <w:r w:rsidRPr="008E4B77">
        <w:rPr>
          <w:sz w:val="18"/>
        </w:rPr>
        <w:t xml:space="preserve">Throughout this report, </w:t>
      </w:r>
      <w:r>
        <w:rPr>
          <w:sz w:val="18"/>
        </w:rPr>
        <w:t xml:space="preserve">and consistent with Commonwealth Government conventions, </w:t>
      </w:r>
      <w:r w:rsidRPr="008E4B77">
        <w:rPr>
          <w:sz w:val="18"/>
        </w:rPr>
        <w:t>the term Indigenous is used to refer to Aboriginal and Torres Strait Islanders</w:t>
      </w:r>
      <w:r>
        <w:rPr>
          <w:sz w:val="18"/>
        </w:rPr>
        <w:t>, except where other terms are used in titles or quotations</w:t>
      </w:r>
      <w:r w:rsidRPr="008E4B77">
        <w:rPr>
          <w:sz w:val="18"/>
        </w:rPr>
        <w:t xml:space="preserve">. The Review notes the </w:t>
      </w:r>
      <w:r>
        <w:rPr>
          <w:sz w:val="18"/>
        </w:rPr>
        <w:t xml:space="preserve">different preferences and conventions across Australia, and considers a consistent approach will aid understanding of the report. </w:t>
      </w:r>
    </w:p>
  </w:footnote>
  <w:footnote w:id="6">
    <w:p w:rsidR="00DD13F8" w:rsidRPr="001E5266" w:rsidRDefault="00DD13F8" w:rsidP="00EA521D">
      <w:pPr>
        <w:pStyle w:val="FootnoteText"/>
        <w:rPr>
          <w:color w:val="000000" w:themeColor="text1"/>
          <w:sz w:val="18"/>
          <w:szCs w:val="18"/>
        </w:rPr>
      </w:pPr>
      <w:r w:rsidRPr="001E5266">
        <w:rPr>
          <w:rStyle w:val="FootnoteReference"/>
          <w:color w:val="000000" w:themeColor="text1"/>
          <w:sz w:val="18"/>
          <w:szCs w:val="18"/>
        </w:rPr>
        <w:footnoteRef/>
      </w:r>
      <w:r w:rsidRPr="001E5266">
        <w:rPr>
          <w:color w:val="000000" w:themeColor="text1"/>
          <w:sz w:val="18"/>
          <w:szCs w:val="18"/>
        </w:rPr>
        <w:t xml:space="preserve"> </w:t>
      </w:r>
      <w:r>
        <w:rPr>
          <w:color w:val="000000" w:themeColor="text1"/>
          <w:sz w:val="18"/>
          <w:szCs w:val="18"/>
        </w:rPr>
        <w:t>Note that some services, including s</w:t>
      </w:r>
      <w:r w:rsidRPr="001E5266">
        <w:rPr>
          <w:color w:val="000000" w:themeColor="text1"/>
          <w:sz w:val="18"/>
          <w:szCs w:val="18"/>
        </w:rPr>
        <w:t>ome preschools</w:t>
      </w:r>
      <w:r>
        <w:rPr>
          <w:color w:val="000000" w:themeColor="text1"/>
          <w:sz w:val="18"/>
          <w:szCs w:val="18"/>
        </w:rPr>
        <w:t xml:space="preserve">, mobile services, and budget-based funded services, </w:t>
      </w:r>
      <w:r w:rsidRPr="001E5266">
        <w:rPr>
          <w:color w:val="000000" w:themeColor="text1"/>
          <w:sz w:val="18"/>
          <w:szCs w:val="18"/>
        </w:rPr>
        <w:t xml:space="preserve">are not </w:t>
      </w:r>
      <w:r>
        <w:rPr>
          <w:color w:val="000000" w:themeColor="text1"/>
          <w:sz w:val="18"/>
          <w:szCs w:val="18"/>
        </w:rPr>
        <w:t>within the scope of</w:t>
      </w:r>
      <w:r w:rsidRPr="001E5266">
        <w:rPr>
          <w:color w:val="000000" w:themeColor="text1"/>
          <w:sz w:val="18"/>
          <w:szCs w:val="18"/>
        </w:rPr>
        <w:t xml:space="preserve"> the National Quality Framework</w:t>
      </w:r>
      <w:r>
        <w:rPr>
          <w:color w:val="000000" w:themeColor="text1"/>
          <w:sz w:val="18"/>
          <w:szCs w:val="18"/>
        </w:rPr>
        <w:t>, and therefore are not reflected in many data sets, such as ACECQA data</w:t>
      </w:r>
      <w:r w:rsidRPr="001E5266">
        <w:rPr>
          <w:color w:val="000000" w:themeColor="text1"/>
          <w:sz w:val="18"/>
          <w:szCs w:val="18"/>
        </w:rPr>
        <w:t xml:space="preserve">. </w:t>
      </w:r>
    </w:p>
  </w:footnote>
  <w:footnote w:id="7">
    <w:p w:rsidR="00DD13F8" w:rsidRPr="009C4BA4" w:rsidRDefault="00DD13F8" w:rsidP="00C25B6F">
      <w:pPr>
        <w:pStyle w:val="FootnoteText"/>
        <w:rPr>
          <w:color w:val="000000" w:themeColor="text1"/>
          <w:sz w:val="18"/>
          <w:szCs w:val="18"/>
        </w:rPr>
      </w:pPr>
      <w:r w:rsidRPr="009C4BA4">
        <w:rPr>
          <w:color w:val="000000" w:themeColor="text1"/>
          <w:sz w:val="18"/>
          <w:szCs w:val="18"/>
          <w:vertAlign w:val="superscript"/>
        </w:rPr>
        <w:footnoteRef/>
      </w:r>
      <w:r w:rsidRPr="009C4BA4">
        <w:rPr>
          <w:color w:val="000000" w:themeColor="text1"/>
          <w:sz w:val="18"/>
          <w:szCs w:val="18"/>
        </w:rPr>
        <w:t xml:space="preserve"> Recommendations are directed to all Australian governments, reflecting the current arrangements where responsibility is shared between the Commonwealth and </w:t>
      </w:r>
      <w:r>
        <w:rPr>
          <w:color w:val="000000" w:themeColor="text1"/>
          <w:sz w:val="18"/>
          <w:szCs w:val="18"/>
        </w:rPr>
        <w:t>state</w:t>
      </w:r>
      <w:r w:rsidRPr="009C4BA4">
        <w:rPr>
          <w:color w:val="000000" w:themeColor="text1"/>
          <w:sz w:val="18"/>
          <w:szCs w:val="18"/>
        </w:rPr>
        <w:t xml:space="preserve"> and </w:t>
      </w:r>
      <w:r>
        <w:rPr>
          <w:color w:val="000000" w:themeColor="text1"/>
          <w:sz w:val="18"/>
          <w:szCs w:val="18"/>
        </w:rPr>
        <w:t>territory</w:t>
      </w:r>
      <w:r w:rsidRPr="009C4BA4">
        <w:rPr>
          <w:color w:val="000000" w:themeColor="text1"/>
          <w:sz w:val="18"/>
          <w:szCs w:val="18"/>
        </w:rPr>
        <w:t xml:space="preserve"> governments. </w:t>
      </w:r>
    </w:p>
  </w:footnote>
  <w:footnote w:id="8">
    <w:p w:rsidR="00DD13F8" w:rsidRPr="009C4BA4" w:rsidRDefault="00DD13F8" w:rsidP="00436BAF">
      <w:pPr>
        <w:pStyle w:val="FootnoteText"/>
        <w:rPr>
          <w:color w:val="000000" w:themeColor="text1"/>
          <w:sz w:val="18"/>
          <w:szCs w:val="18"/>
        </w:rPr>
      </w:pPr>
      <w:r w:rsidRPr="009C4BA4">
        <w:rPr>
          <w:color w:val="000000" w:themeColor="text1"/>
          <w:sz w:val="18"/>
          <w:szCs w:val="18"/>
          <w:vertAlign w:val="superscript"/>
        </w:rPr>
        <w:footnoteRef/>
      </w:r>
      <w:r w:rsidRPr="009C4BA4">
        <w:rPr>
          <w:color w:val="000000" w:themeColor="text1"/>
          <w:sz w:val="18"/>
          <w:szCs w:val="18"/>
        </w:rPr>
        <w:t xml:space="preserve"> Defined as pre-primary education, ISCED 02.</w:t>
      </w:r>
    </w:p>
  </w:footnote>
  <w:footnote w:id="9">
    <w:p w:rsidR="00DD13F8" w:rsidRPr="009C4BA4" w:rsidRDefault="00DD13F8" w:rsidP="00084096">
      <w:pPr>
        <w:pStyle w:val="FootnoteText"/>
        <w:rPr>
          <w:color w:val="000000" w:themeColor="text1"/>
          <w:sz w:val="18"/>
          <w:szCs w:val="18"/>
        </w:rPr>
      </w:pPr>
      <w:r w:rsidRPr="009C4BA4">
        <w:rPr>
          <w:rStyle w:val="FootnoteReference"/>
          <w:color w:val="000000" w:themeColor="text1"/>
          <w:sz w:val="18"/>
          <w:szCs w:val="18"/>
        </w:rPr>
        <w:footnoteRef/>
      </w:r>
      <w:r w:rsidRPr="009C4BA4">
        <w:rPr>
          <w:color w:val="000000" w:themeColor="text1"/>
          <w:sz w:val="18"/>
          <w:szCs w:val="18"/>
        </w:rPr>
        <w:t xml:space="preserve"> The </w:t>
      </w:r>
      <w:r>
        <w:rPr>
          <w:color w:val="000000" w:themeColor="text1"/>
          <w:sz w:val="18"/>
          <w:szCs w:val="18"/>
        </w:rPr>
        <w:t xml:space="preserve">anticipated COAG meeting did not proceed, and the </w:t>
      </w:r>
      <w:r w:rsidRPr="009C4BA4">
        <w:rPr>
          <w:color w:val="000000" w:themeColor="text1"/>
          <w:sz w:val="18"/>
          <w:szCs w:val="18"/>
        </w:rPr>
        <w:t xml:space="preserve">deadline for the final report was extended by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F8" w:rsidRDefault="00DD1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4AD"/>
    <w:multiLevelType w:val="hybridMultilevel"/>
    <w:tmpl w:val="8550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9E45C7"/>
    <w:multiLevelType w:val="hybridMultilevel"/>
    <w:tmpl w:val="7278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4425CB"/>
    <w:multiLevelType w:val="hybridMultilevel"/>
    <w:tmpl w:val="BFB0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B12F83"/>
    <w:multiLevelType w:val="multilevel"/>
    <w:tmpl w:val="058AF1CA"/>
    <w:numStyleLink w:val="ImportedStyle1"/>
  </w:abstractNum>
  <w:abstractNum w:abstractNumId="4">
    <w:nsid w:val="122F5A41"/>
    <w:multiLevelType w:val="hybridMultilevel"/>
    <w:tmpl w:val="97AE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D711C"/>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48576B0"/>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527353C"/>
    <w:multiLevelType w:val="hybridMultilevel"/>
    <w:tmpl w:val="7DC69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B8219E"/>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C1455C2"/>
    <w:multiLevelType w:val="hybridMultilevel"/>
    <w:tmpl w:val="512ED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533920"/>
    <w:multiLevelType w:val="hybridMultilevel"/>
    <w:tmpl w:val="7B46C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8C5A2E"/>
    <w:multiLevelType w:val="hybridMultilevel"/>
    <w:tmpl w:val="9AA2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9D5E07"/>
    <w:multiLevelType w:val="hybridMultilevel"/>
    <w:tmpl w:val="D8000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ED398F"/>
    <w:multiLevelType w:val="hybridMultilevel"/>
    <w:tmpl w:val="EB1E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5014A9"/>
    <w:multiLevelType w:val="hybridMultilevel"/>
    <w:tmpl w:val="A6523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6D03430"/>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9625ECF"/>
    <w:multiLevelType w:val="hybridMultilevel"/>
    <w:tmpl w:val="F2AC6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2D7442"/>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108326E"/>
    <w:multiLevelType w:val="hybridMultilevel"/>
    <w:tmpl w:val="CA941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17416B"/>
    <w:multiLevelType w:val="hybridMultilevel"/>
    <w:tmpl w:val="E088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B1328A"/>
    <w:multiLevelType w:val="hybridMultilevel"/>
    <w:tmpl w:val="4AD4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704A82"/>
    <w:multiLevelType w:val="hybridMultilevel"/>
    <w:tmpl w:val="5E4C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B24FBD"/>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9BB73A1"/>
    <w:multiLevelType w:val="hybridMultilevel"/>
    <w:tmpl w:val="64F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D93C74"/>
    <w:multiLevelType w:val="hybridMultilevel"/>
    <w:tmpl w:val="09044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ED3B0B"/>
    <w:multiLevelType w:val="hybridMultilevel"/>
    <w:tmpl w:val="9514A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BC2901"/>
    <w:multiLevelType w:val="hybridMultilevel"/>
    <w:tmpl w:val="99EA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7011EE"/>
    <w:multiLevelType w:val="multilevel"/>
    <w:tmpl w:val="23027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459543C"/>
    <w:multiLevelType w:val="hybridMultilevel"/>
    <w:tmpl w:val="6E0AE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60628E8"/>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968636C"/>
    <w:multiLevelType w:val="hybridMultilevel"/>
    <w:tmpl w:val="76FE7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A8646C"/>
    <w:multiLevelType w:val="hybridMultilevel"/>
    <w:tmpl w:val="7F18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BC575F"/>
    <w:multiLevelType w:val="hybridMultilevel"/>
    <w:tmpl w:val="BA5E4F5E"/>
    <w:lvl w:ilvl="0" w:tplc="C1BA70E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E5476F"/>
    <w:multiLevelType w:val="multilevel"/>
    <w:tmpl w:val="058AF1CA"/>
    <w:lvl w:ilvl="0">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5B001A7"/>
    <w:multiLevelType w:val="hybridMultilevel"/>
    <w:tmpl w:val="9D16EEC8"/>
    <w:lvl w:ilvl="0" w:tplc="E042055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152318"/>
    <w:multiLevelType w:val="hybridMultilevel"/>
    <w:tmpl w:val="058AF1CA"/>
    <w:styleLink w:val="ImportedStyle1"/>
    <w:lvl w:ilvl="0" w:tplc="9732FF7A">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F08CF4">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A9360">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1AE9102">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52C2BC">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38CE7E">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680D0EA">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3EA04E">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B42F04">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EB1778B"/>
    <w:multiLevelType w:val="hybridMultilevel"/>
    <w:tmpl w:val="3BA6CB12"/>
    <w:lvl w:ilvl="0" w:tplc="5CC0B65A">
      <w:numFmt w:val="bullet"/>
      <w:lvlText w:val="-"/>
      <w:lvlJc w:val="left"/>
      <w:pPr>
        <w:ind w:left="644" w:hanging="360"/>
      </w:pPr>
      <w:rPr>
        <w:rFonts w:ascii="Calibri" w:eastAsiaTheme="minorHAnsi" w:hAnsi="Calibri"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nsid w:val="5EEC5E1C"/>
    <w:multiLevelType w:val="hybridMultilevel"/>
    <w:tmpl w:val="45D8FA76"/>
    <w:styleLink w:val="ImportedStyle2"/>
    <w:lvl w:ilvl="0" w:tplc="4C82A076">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181BF8">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EC64AE">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6861F66">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6CCEA0">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42E994">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2DE4A0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1E12">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E48DAC">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16D68DA"/>
    <w:multiLevelType w:val="hybridMultilevel"/>
    <w:tmpl w:val="5BA88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4DB6548"/>
    <w:multiLevelType w:val="hybridMultilevel"/>
    <w:tmpl w:val="6D9C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A5092E"/>
    <w:multiLevelType w:val="hybridMultilevel"/>
    <w:tmpl w:val="BAF0F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444996"/>
    <w:multiLevelType w:val="hybridMultilevel"/>
    <w:tmpl w:val="59A472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nsid w:val="70CB7819"/>
    <w:multiLevelType w:val="hybridMultilevel"/>
    <w:tmpl w:val="C9FAFD56"/>
    <w:lvl w:ilvl="0" w:tplc="6C7A1F7E">
      <w:start w:val="1"/>
      <w:numFmt w:val="decimal"/>
      <w:pStyle w:val="Text"/>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3">
    <w:nsid w:val="745D5C8C"/>
    <w:multiLevelType w:val="hybridMultilevel"/>
    <w:tmpl w:val="8384BCCC"/>
    <w:styleLink w:val="ImportedStyle3"/>
    <w:lvl w:ilvl="0" w:tplc="5386CBF2">
      <w:start w:val="1"/>
      <w:numFmt w:val="decimal"/>
      <w:lvlText w:val="%1."/>
      <w:lvlJc w:val="left"/>
      <w:pPr>
        <w:tabs>
          <w:tab w:val="left" w:pos="314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FE2FE0">
      <w:start w:val="1"/>
      <w:numFmt w:val="lowerLetter"/>
      <w:lvlText w:val="%2."/>
      <w:lvlJc w:val="left"/>
      <w:pPr>
        <w:tabs>
          <w:tab w:val="left" w:pos="314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1E6DCA">
      <w:start w:val="1"/>
      <w:numFmt w:val="lowerRoman"/>
      <w:lvlText w:val="%3."/>
      <w:lvlJc w:val="left"/>
      <w:pPr>
        <w:tabs>
          <w:tab w:val="left" w:pos="3143"/>
        </w:tabs>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1A4A420">
      <w:start w:val="1"/>
      <w:numFmt w:val="decimal"/>
      <w:lvlText w:val="%4."/>
      <w:lvlJc w:val="left"/>
      <w:pPr>
        <w:tabs>
          <w:tab w:val="left" w:pos="314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161F18">
      <w:start w:val="1"/>
      <w:numFmt w:val="lowerLetter"/>
      <w:lvlText w:val="%5."/>
      <w:lvlJc w:val="left"/>
      <w:pPr>
        <w:tabs>
          <w:tab w:val="left" w:pos="314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388232">
      <w:start w:val="1"/>
      <w:numFmt w:val="lowerRoman"/>
      <w:lvlText w:val="%6."/>
      <w:lvlJc w:val="left"/>
      <w:pPr>
        <w:tabs>
          <w:tab w:val="left" w:pos="3143"/>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E4033A6">
      <w:start w:val="1"/>
      <w:numFmt w:val="decimal"/>
      <w:lvlText w:val="%7."/>
      <w:lvlJc w:val="left"/>
      <w:pPr>
        <w:tabs>
          <w:tab w:val="left" w:pos="314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BA4786">
      <w:start w:val="1"/>
      <w:numFmt w:val="lowerLetter"/>
      <w:lvlText w:val="%8."/>
      <w:lvlJc w:val="left"/>
      <w:pPr>
        <w:tabs>
          <w:tab w:val="left" w:pos="314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409C82">
      <w:start w:val="1"/>
      <w:numFmt w:val="lowerRoman"/>
      <w:lvlText w:val="%9."/>
      <w:lvlJc w:val="left"/>
      <w:pPr>
        <w:tabs>
          <w:tab w:val="left" w:pos="3143"/>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64F0F16"/>
    <w:multiLevelType w:val="hybridMultilevel"/>
    <w:tmpl w:val="00A6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FD3A2C"/>
    <w:multiLevelType w:val="hybridMultilevel"/>
    <w:tmpl w:val="D33A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8F7B50"/>
    <w:multiLevelType w:val="hybridMultilevel"/>
    <w:tmpl w:val="484CEBDA"/>
    <w:lvl w:ilvl="0" w:tplc="0C09000F">
      <w:start w:val="1"/>
      <w:numFmt w:val="decimal"/>
      <w:lvlText w:val="%1."/>
      <w:lvlJc w:val="left"/>
      <w:pPr>
        <w:ind w:left="720" w:hanging="360"/>
      </w:pPr>
    </w:lvl>
    <w:lvl w:ilvl="1" w:tplc="4B9C1BBA">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
  </w:num>
  <w:num w:numId="3">
    <w:abstractNumId w:val="30"/>
  </w:num>
  <w:num w:numId="4">
    <w:abstractNumId w:val="35"/>
  </w:num>
  <w:num w:numId="5">
    <w:abstractNumId w:val="3"/>
  </w:num>
  <w:num w:numId="6">
    <w:abstractNumId w:val="37"/>
  </w:num>
  <w:num w:numId="7">
    <w:abstractNumId w:val="43"/>
  </w:num>
  <w:num w:numId="8">
    <w:abstractNumId w:val="38"/>
  </w:num>
  <w:num w:numId="9">
    <w:abstractNumId w:val="24"/>
  </w:num>
  <w:num w:numId="10">
    <w:abstractNumId w:val="40"/>
  </w:num>
  <w:num w:numId="11">
    <w:abstractNumId w:val="18"/>
  </w:num>
  <w:num w:numId="12">
    <w:abstractNumId w:val="26"/>
  </w:num>
  <w:num w:numId="13">
    <w:abstractNumId w:val="41"/>
  </w:num>
  <w:num w:numId="14">
    <w:abstractNumId w:val="25"/>
  </w:num>
  <w:num w:numId="15">
    <w:abstractNumId w:val="31"/>
  </w:num>
  <w:num w:numId="16">
    <w:abstractNumId w:val="45"/>
  </w:num>
  <w:num w:numId="17">
    <w:abstractNumId w:val="19"/>
  </w:num>
  <w:num w:numId="18">
    <w:abstractNumId w:val="16"/>
  </w:num>
  <w:num w:numId="19">
    <w:abstractNumId w:val="23"/>
  </w:num>
  <w:num w:numId="20">
    <w:abstractNumId w:val="4"/>
  </w:num>
  <w:num w:numId="21">
    <w:abstractNumId w:val="21"/>
  </w:num>
  <w:num w:numId="22">
    <w:abstractNumId w:val="39"/>
  </w:num>
  <w:num w:numId="23">
    <w:abstractNumId w:val="29"/>
  </w:num>
  <w:num w:numId="24">
    <w:abstractNumId w:val="22"/>
  </w:num>
  <w:num w:numId="25">
    <w:abstractNumId w:val="11"/>
  </w:num>
  <w:num w:numId="26">
    <w:abstractNumId w:val="13"/>
  </w:num>
  <w:num w:numId="27">
    <w:abstractNumId w:val="12"/>
  </w:num>
  <w:num w:numId="28">
    <w:abstractNumId w:val="32"/>
  </w:num>
  <w:num w:numId="29">
    <w:abstractNumId w:val="14"/>
  </w:num>
  <w:num w:numId="30">
    <w:abstractNumId w:val="28"/>
  </w:num>
  <w:num w:numId="31">
    <w:abstractNumId w:val="9"/>
  </w:num>
  <w:num w:numId="32">
    <w:abstractNumId w:val="44"/>
  </w:num>
  <w:num w:numId="33">
    <w:abstractNumId w:val="34"/>
  </w:num>
  <w:num w:numId="34">
    <w:abstractNumId w:val="0"/>
  </w:num>
  <w:num w:numId="35">
    <w:abstractNumId w:val="20"/>
  </w:num>
  <w:num w:numId="36">
    <w:abstractNumId w:val="10"/>
  </w:num>
  <w:num w:numId="37">
    <w:abstractNumId w:val="5"/>
  </w:num>
  <w:num w:numId="38">
    <w:abstractNumId w:val="17"/>
  </w:num>
  <w:num w:numId="39">
    <w:abstractNumId w:val="15"/>
  </w:num>
  <w:num w:numId="40">
    <w:abstractNumId w:val="33"/>
  </w:num>
  <w:num w:numId="41">
    <w:abstractNumId w:val="27"/>
  </w:num>
  <w:num w:numId="42">
    <w:abstractNumId w:val="7"/>
  </w:num>
  <w:num w:numId="43">
    <w:abstractNumId w:val="46"/>
  </w:num>
  <w:num w:numId="44">
    <w:abstractNumId w:val="1"/>
  </w:num>
  <w:num w:numId="45">
    <w:abstractNumId w:val="8"/>
  </w:num>
  <w:num w:numId="46">
    <w:abstractNumId w:val="6"/>
  </w:num>
  <w:num w:numId="4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savePreviewPicture/>
  <w:hdrShapeDefaults>
    <o:shapedefaults v:ext="edit" spidmax="10241"/>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27"/>
    <w:rsid w:val="00000436"/>
    <w:rsid w:val="00002772"/>
    <w:rsid w:val="00002E85"/>
    <w:rsid w:val="000070DF"/>
    <w:rsid w:val="000075A7"/>
    <w:rsid w:val="0001051A"/>
    <w:rsid w:val="00011354"/>
    <w:rsid w:val="00011DA5"/>
    <w:rsid w:val="00012D51"/>
    <w:rsid w:val="0001391B"/>
    <w:rsid w:val="000154F5"/>
    <w:rsid w:val="000211EF"/>
    <w:rsid w:val="00024BAF"/>
    <w:rsid w:val="00025E7B"/>
    <w:rsid w:val="00026029"/>
    <w:rsid w:val="0002697D"/>
    <w:rsid w:val="0002749C"/>
    <w:rsid w:val="00030983"/>
    <w:rsid w:val="00031310"/>
    <w:rsid w:val="00032249"/>
    <w:rsid w:val="00032D7B"/>
    <w:rsid w:val="00035233"/>
    <w:rsid w:val="00035E26"/>
    <w:rsid w:val="000375B7"/>
    <w:rsid w:val="00040DD8"/>
    <w:rsid w:val="00041A11"/>
    <w:rsid w:val="00041E87"/>
    <w:rsid w:val="00044F78"/>
    <w:rsid w:val="0005055C"/>
    <w:rsid w:val="00050942"/>
    <w:rsid w:val="00050D2E"/>
    <w:rsid w:val="00051923"/>
    <w:rsid w:val="00051D6A"/>
    <w:rsid w:val="00053282"/>
    <w:rsid w:val="0005338F"/>
    <w:rsid w:val="00053C00"/>
    <w:rsid w:val="00056538"/>
    <w:rsid w:val="0005689C"/>
    <w:rsid w:val="000578D4"/>
    <w:rsid w:val="00061331"/>
    <w:rsid w:val="00062FBF"/>
    <w:rsid w:val="000646AF"/>
    <w:rsid w:val="00064C68"/>
    <w:rsid w:val="00064D1D"/>
    <w:rsid w:val="00065D17"/>
    <w:rsid w:val="00066296"/>
    <w:rsid w:val="000702AE"/>
    <w:rsid w:val="0007159A"/>
    <w:rsid w:val="000729EE"/>
    <w:rsid w:val="000744F8"/>
    <w:rsid w:val="00077385"/>
    <w:rsid w:val="0007743F"/>
    <w:rsid w:val="00077E4E"/>
    <w:rsid w:val="00081839"/>
    <w:rsid w:val="00084096"/>
    <w:rsid w:val="00084625"/>
    <w:rsid w:val="00085453"/>
    <w:rsid w:val="00085638"/>
    <w:rsid w:val="00085830"/>
    <w:rsid w:val="000902F6"/>
    <w:rsid w:val="00091D90"/>
    <w:rsid w:val="00093386"/>
    <w:rsid w:val="00093BBA"/>
    <w:rsid w:val="000968A4"/>
    <w:rsid w:val="00097C3E"/>
    <w:rsid w:val="000A1569"/>
    <w:rsid w:val="000A6EC6"/>
    <w:rsid w:val="000B044A"/>
    <w:rsid w:val="000B0DFF"/>
    <w:rsid w:val="000B2000"/>
    <w:rsid w:val="000B249D"/>
    <w:rsid w:val="000B4035"/>
    <w:rsid w:val="000B57E5"/>
    <w:rsid w:val="000C11C6"/>
    <w:rsid w:val="000C3C76"/>
    <w:rsid w:val="000C4513"/>
    <w:rsid w:val="000C5E43"/>
    <w:rsid w:val="000C6277"/>
    <w:rsid w:val="000C76EB"/>
    <w:rsid w:val="000C7DCA"/>
    <w:rsid w:val="000D07F4"/>
    <w:rsid w:val="000D39F3"/>
    <w:rsid w:val="000D50C3"/>
    <w:rsid w:val="000D5D0B"/>
    <w:rsid w:val="000D6114"/>
    <w:rsid w:val="000E0470"/>
    <w:rsid w:val="000E0750"/>
    <w:rsid w:val="000E083B"/>
    <w:rsid w:val="000E0E4E"/>
    <w:rsid w:val="000E3E73"/>
    <w:rsid w:val="000E54EA"/>
    <w:rsid w:val="000F321B"/>
    <w:rsid w:val="000F40EE"/>
    <w:rsid w:val="000F4D2B"/>
    <w:rsid w:val="000F57E9"/>
    <w:rsid w:val="000F5FA4"/>
    <w:rsid w:val="000F64F3"/>
    <w:rsid w:val="000F6D76"/>
    <w:rsid w:val="000F70F8"/>
    <w:rsid w:val="00100DC3"/>
    <w:rsid w:val="0010155F"/>
    <w:rsid w:val="00101D16"/>
    <w:rsid w:val="0010230E"/>
    <w:rsid w:val="00102513"/>
    <w:rsid w:val="0010491B"/>
    <w:rsid w:val="001078CB"/>
    <w:rsid w:val="00107BAD"/>
    <w:rsid w:val="00110840"/>
    <w:rsid w:val="00113526"/>
    <w:rsid w:val="00113999"/>
    <w:rsid w:val="00113A20"/>
    <w:rsid w:val="001175A0"/>
    <w:rsid w:val="00121163"/>
    <w:rsid w:val="001214FD"/>
    <w:rsid w:val="00121B68"/>
    <w:rsid w:val="00122597"/>
    <w:rsid w:val="00124092"/>
    <w:rsid w:val="001255D1"/>
    <w:rsid w:val="0012628F"/>
    <w:rsid w:val="00126408"/>
    <w:rsid w:val="001273DA"/>
    <w:rsid w:val="00130C9B"/>
    <w:rsid w:val="001318C5"/>
    <w:rsid w:val="00131D06"/>
    <w:rsid w:val="00132F5B"/>
    <w:rsid w:val="00133318"/>
    <w:rsid w:val="00133338"/>
    <w:rsid w:val="0013465B"/>
    <w:rsid w:val="00134BEA"/>
    <w:rsid w:val="00135330"/>
    <w:rsid w:val="00136B4A"/>
    <w:rsid w:val="00136E82"/>
    <w:rsid w:val="0014030B"/>
    <w:rsid w:val="00140575"/>
    <w:rsid w:val="00141DC4"/>
    <w:rsid w:val="00142518"/>
    <w:rsid w:val="00143446"/>
    <w:rsid w:val="00146329"/>
    <w:rsid w:val="001463B3"/>
    <w:rsid w:val="001475D4"/>
    <w:rsid w:val="0015013A"/>
    <w:rsid w:val="0015163E"/>
    <w:rsid w:val="00154302"/>
    <w:rsid w:val="00155B61"/>
    <w:rsid w:val="001604B5"/>
    <w:rsid w:val="00161C97"/>
    <w:rsid w:val="001637F1"/>
    <w:rsid w:val="00163E10"/>
    <w:rsid w:val="001646D0"/>
    <w:rsid w:val="00164927"/>
    <w:rsid w:val="00164938"/>
    <w:rsid w:val="001655D4"/>
    <w:rsid w:val="0016763C"/>
    <w:rsid w:val="0017043D"/>
    <w:rsid w:val="00170D9E"/>
    <w:rsid w:val="00172B56"/>
    <w:rsid w:val="0017324F"/>
    <w:rsid w:val="0017398B"/>
    <w:rsid w:val="001742C7"/>
    <w:rsid w:val="00174C6D"/>
    <w:rsid w:val="001752FD"/>
    <w:rsid w:val="00175CE4"/>
    <w:rsid w:val="00175D90"/>
    <w:rsid w:val="001764BA"/>
    <w:rsid w:val="001765CF"/>
    <w:rsid w:val="00177632"/>
    <w:rsid w:val="00181266"/>
    <w:rsid w:val="00181AE7"/>
    <w:rsid w:val="0018294A"/>
    <w:rsid w:val="001842C1"/>
    <w:rsid w:val="001852F8"/>
    <w:rsid w:val="0018762F"/>
    <w:rsid w:val="0019063A"/>
    <w:rsid w:val="00192CBE"/>
    <w:rsid w:val="00193AC2"/>
    <w:rsid w:val="00194CF1"/>
    <w:rsid w:val="001979C2"/>
    <w:rsid w:val="001A2F80"/>
    <w:rsid w:val="001A2F83"/>
    <w:rsid w:val="001A4649"/>
    <w:rsid w:val="001A68D2"/>
    <w:rsid w:val="001A6CD0"/>
    <w:rsid w:val="001A7366"/>
    <w:rsid w:val="001A7654"/>
    <w:rsid w:val="001B01D5"/>
    <w:rsid w:val="001B1371"/>
    <w:rsid w:val="001B150D"/>
    <w:rsid w:val="001B1F8B"/>
    <w:rsid w:val="001B21C8"/>
    <w:rsid w:val="001B257D"/>
    <w:rsid w:val="001B48A6"/>
    <w:rsid w:val="001B5276"/>
    <w:rsid w:val="001B583A"/>
    <w:rsid w:val="001B6AE8"/>
    <w:rsid w:val="001B6B66"/>
    <w:rsid w:val="001B6C97"/>
    <w:rsid w:val="001B796C"/>
    <w:rsid w:val="001C0B65"/>
    <w:rsid w:val="001C17EE"/>
    <w:rsid w:val="001C245E"/>
    <w:rsid w:val="001C24CB"/>
    <w:rsid w:val="001C2E1A"/>
    <w:rsid w:val="001C33C5"/>
    <w:rsid w:val="001C36C4"/>
    <w:rsid w:val="001C3893"/>
    <w:rsid w:val="001C4242"/>
    <w:rsid w:val="001C4642"/>
    <w:rsid w:val="001C6FBB"/>
    <w:rsid w:val="001C7613"/>
    <w:rsid w:val="001D0A98"/>
    <w:rsid w:val="001D245A"/>
    <w:rsid w:val="001D2B09"/>
    <w:rsid w:val="001D38FE"/>
    <w:rsid w:val="001D4F28"/>
    <w:rsid w:val="001D602E"/>
    <w:rsid w:val="001D668C"/>
    <w:rsid w:val="001D7109"/>
    <w:rsid w:val="001D7F15"/>
    <w:rsid w:val="001E020F"/>
    <w:rsid w:val="001E115E"/>
    <w:rsid w:val="001E25C7"/>
    <w:rsid w:val="001E28D4"/>
    <w:rsid w:val="001E3368"/>
    <w:rsid w:val="001E3C4D"/>
    <w:rsid w:val="001E5266"/>
    <w:rsid w:val="001E58D3"/>
    <w:rsid w:val="001E5C4F"/>
    <w:rsid w:val="001E5DF0"/>
    <w:rsid w:val="001F023B"/>
    <w:rsid w:val="001F451A"/>
    <w:rsid w:val="001F4CB6"/>
    <w:rsid w:val="001F59E2"/>
    <w:rsid w:val="001F5FA8"/>
    <w:rsid w:val="001F6D26"/>
    <w:rsid w:val="001F7A4A"/>
    <w:rsid w:val="001F7C7D"/>
    <w:rsid w:val="002006E7"/>
    <w:rsid w:val="00203234"/>
    <w:rsid w:val="0020331D"/>
    <w:rsid w:val="00203AC0"/>
    <w:rsid w:val="0020533B"/>
    <w:rsid w:val="00206F7A"/>
    <w:rsid w:val="0021251B"/>
    <w:rsid w:val="00221598"/>
    <w:rsid w:val="002215C4"/>
    <w:rsid w:val="00221A4A"/>
    <w:rsid w:val="00222914"/>
    <w:rsid w:val="00223254"/>
    <w:rsid w:val="00224E56"/>
    <w:rsid w:val="002250B9"/>
    <w:rsid w:val="00225DDF"/>
    <w:rsid w:val="00226181"/>
    <w:rsid w:val="00226542"/>
    <w:rsid w:val="00230099"/>
    <w:rsid w:val="00230392"/>
    <w:rsid w:val="002303A4"/>
    <w:rsid w:val="002312CB"/>
    <w:rsid w:val="002318E5"/>
    <w:rsid w:val="00231BBB"/>
    <w:rsid w:val="00231F2D"/>
    <w:rsid w:val="00232FAE"/>
    <w:rsid w:val="00233010"/>
    <w:rsid w:val="00235B60"/>
    <w:rsid w:val="00235CA4"/>
    <w:rsid w:val="00235E36"/>
    <w:rsid w:val="0023655C"/>
    <w:rsid w:val="00237048"/>
    <w:rsid w:val="0023773B"/>
    <w:rsid w:val="00242F79"/>
    <w:rsid w:val="0024764D"/>
    <w:rsid w:val="00247F90"/>
    <w:rsid w:val="00250CFD"/>
    <w:rsid w:val="002525F3"/>
    <w:rsid w:val="00252766"/>
    <w:rsid w:val="00254956"/>
    <w:rsid w:val="00254C6D"/>
    <w:rsid w:val="00257E42"/>
    <w:rsid w:val="00257EC4"/>
    <w:rsid w:val="00261FDA"/>
    <w:rsid w:val="00262CB8"/>
    <w:rsid w:val="00265378"/>
    <w:rsid w:val="00265798"/>
    <w:rsid w:val="00266405"/>
    <w:rsid w:val="00270445"/>
    <w:rsid w:val="00271765"/>
    <w:rsid w:val="002725B7"/>
    <w:rsid w:val="0027273B"/>
    <w:rsid w:val="00272D08"/>
    <w:rsid w:val="002755C5"/>
    <w:rsid w:val="002770A2"/>
    <w:rsid w:val="00277917"/>
    <w:rsid w:val="00277DD6"/>
    <w:rsid w:val="00280019"/>
    <w:rsid w:val="00280F3A"/>
    <w:rsid w:val="00281453"/>
    <w:rsid w:val="002818D0"/>
    <w:rsid w:val="00281AB5"/>
    <w:rsid w:val="00281DE0"/>
    <w:rsid w:val="002824F7"/>
    <w:rsid w:val="002827A7"/>
    <w:rsid w:val="002828F0"/>
    <w:rsid w:val="00285AE2"/>
    <w:rsid w:val="00287441"/>
    <w:rsid w:val="002876B4"/>
    <w:rsid w:val="002879A2"/>
    <w:rsid w:val="00292629"/>
    <w:rsid w:val="0029626F"/>
    <w:rsid w:val="00296780"/>
    <w:rsid w:val="00297763"/>
    <w:rsid w:val="002978B4"/>
    <w:rsid w:val="00297F0F"/>
    <w:rsid w:val="002A1A32"/>
    <w:rsid w:val="002A2C71"/>
    <w:rsid w:val="002A3966"/>
    <w:rsid w:val="002A7225"/>
    <w:rsid w:val="002A7951"/>
    <w:rsid w:val="002A7F2F"/>
    <w:rsid w:val="002B36B9"/>
    <w:rsid w:val="002B3E91"/>
    <w:rsid w:val="002C5755"/>
    <w:rsid w:val="002C6F65"/>
    <w:rsid w:val="002D1B46"/>
    <w:rsid w:val="002D3DF1"/>
    <w:rsid w:val="002D452D"/>
    <w:rsid w:val="002D5956"/>
    <w:rsid w:val="002D6CB6"/>
    <w:rsid w:val="002D733E"/>
    <w:rsid w:val="002E0983"/>
    <w:rsid w:val="002E15C6"/>
    <w:rsid w:val="002E288D"/>
    <w:rsid w:val="002E4E5C"/>
    <w:rsid w:val="002E5D34"/>
    <w:rsid w:val="002F05FC"/>
    <w:rsid w:val="002F0CA9"/>
    <w:rsid w:val="002F0CE7"/>
    <w:rsid w:val="002F2ED7"/>
    <w:rsid w:val="002F3B95"/>
    <w:rsid w:val="002F4101"/>
    <w:rsid w:val="002F577E"/>
    <w:rsid w:val="002F7CDC"/>
    <w:rsid w:val="00300D72"/>
    <w:rsid w:val="00304608"/>
    <w:rsid w:val="0030562A"/>
    <w:rsid w:val="00305A50"/>
    <w:rsid w:val="00305E22"/>
    <w:rsid w:val="00305E97"/>
    <w:rsid w:val="003071E8"/>
    <w:rsid w:val="00307E57"/>
    <w:rsid w:val="00311E82"/>
    <w:rsid w:val="00315247"/>
    <w:rsid w:val="00315517"/>
    <w:rsid w:val="003175B2"/>
    <w:rsid w:val="003177FA"/>
    <w:rsid w:val="00317DEA"/>
    <w:rsid w:val="003207BB"/>
    <w:rsid w:val="0032123E"/>
    <w:rsid w:val="0032188A"/>
    <w:rsid w:val="00322514"/>
    <w:rsid w:val="00323705"/>
    <w:rsid w:val="003267CD"/>
    <w:rsid w:val="00326F00"/>
    <w:rsid w:val="00330071"/>
    <w:rsid w:val="00330760"/>
    <w:rsid w:val="003327AC"/>
    <w:rsid w:val="00334B7E"/>
    <w:rsid w:val="003352F8"/>
    <w:rsid w:val="003357B8"/>
    <w:rsid w:val="003362EA"/>
    <w:rsid w:val="0033678F"/>
    <w:rsid w:val="00336A43"/>
    <w:rsid w:val="00337494"/>
    <w:rsid w:val="00340BCD"/>
    <w:rsid w:val="003416E7"/>
    <w:rsid w:val="00341732"/>
    <w:rsid w:val="0034482F"/>
    <w:rsid w:val="00345022"/>
    <w:rsid w:val="0034534A"/>
    <w:rsid w:val="00346B79"/>
    <w:rsid w:val="00346D97"/>
    <w:rsid w:val="00347452"/>
    <w:rsid w:val="00347A56"/>
    <w:rsid w:val="00350860"/>
    <w:rsid w:val="00352B2C"/>
    <w:rsid w:val="00353907"/>
    <w:rsid w:val="00354B29"/>
    <w:rsid w:val="003554FF"/>
    <w:rsid w:val="003563CE"/>
    <w:rsid w:val="003564EF"/>
    <w:rsid w:val="00360F3C"/>
    <w:rsid w:val="00362205"/>
    <w:rsid w:val="00362962"/>
    <w:rsid w:val="00363A56"/>
    <w:rsid w:val="003658E2"/>
    <w:rsid w:val="00367916"/>
    <w:rsid w:val="0037039F"/>
    <w:rsid w:val="00370CD0"/>
    <w:rsid w:val="00372E7E"/>
    <w:rsid w:val="0037370A"/>
    <w:rsid w:val="00374457"/>
    <w:rsid w:val="00374C52"/>
    <w:rsid w:val="00375442"/>
    <w:rsid w:val="00375FB1"/>
    <w:rsid w:val="00377922"/>
    <w:rsid w:val="00377B12"/>
    <w:rsid w:val="00381070"/>
    <w:rsid w:val="003810AC"/>
    <w:rsid w:val="003811B2"/>
    <w:rsid w:val="003825F3"/>
    <w:rsid w:val="00385020"/>
    <w:rsid w:val="00385F6B"/>
    <w:rsid w:val="00386AE7"/>
    <w:rsid w:val="00387AA8"/>
    <w:rsid w:val="00392FCE"/>
    <w:rsid w:val="00396B63"/>
    <w:rsid w:val="0039791F"/>
    <w:rsid w:val="003979DD"/>
    <w:rsid w:val="003A365F"/>
    <w:rsid w:val="003A38F0"/>
    <w:rsid w:val="003A6927"/>
    <w:rsid w:val="003A6BCA"/>
    <w:rsid w:val="003B075C"/>
    <w:rsid w:val="003B20E5"/>
    <w:rsid w:val="003B3A65"/>
    <w:rsid w:val="003B6C8E"/>
    <w:rsid w:val="003B6CD1"/>
    <w:rsid w:val="003C2870"/>
    <w:rsid w:val="003C2B68"/>
    <w:rsid w:val="003C30CF"/>
    <w:rsid w:val="003C31D3"/>
    <w:rsid w:val="003C37BA"/>
    <w:rsid w:val="003C5010"/>
    <w:rsid w:val="003C551A"/>
    <w:rsid w:val="003C6B0F"/>
    <w:rsid w:val="003C6FE4"/>
    <w:rsid w:val="003C71C1"/>
    <w:rsid w:val="003C754A"/>
    <w:rsid w:val="003C78DE"/>
    <w:rsid w:val="003C7F06"/>
    <w:rsid w:val="003D01AA"/>
    <w:rsid w:val="003D1131"/>
    <w:rsid w:val="003D1F09"/>
    <w:rsid w:val="003D3A7A"/>
    <w:rsid w:val="003D452F"/>
    <w:rsid w:val="003E0784"/>
    <w:rsid w:val="003E29E0"/>
    <w:rsid w:val="003E330F"/>
    <w:rsid w:val="003E437D"/>
    <w:rsid w:val="003E44ED"/>
    <w:rsid w:val="003E5317"/>
    <w:rsid w:val="003E5889"/>
    <w:rsid w:val="003E66BB"/>
    <w:rsid w:val="003E6BF9"/>
    <w:rsid w:val="003E72DA"/>
    <w:rsid w:val="003F024F"/>
    <w:rsid w:val="003F0B40"/>
    <w:rsid w:val="003F19D3"/>
    <w:rsid w:val="003F3952"/>
    <w:rsid w:val="003F5120"/>
    <w:rsid w:val="003F5F96"/>
    <w:rsid w:val="003F60D4"/>
    <w:rsid w:val="004028B7"/>
    <w:rsid w:val="00402BF2"/>
    <w:rsid w:val="004038FF"/>
    <w:rsid w:val="00403E8F"/>
    <w:rsid w:val="00406062"/>
    <w:rsid w:val="00407175"/>
    <w:rsid w:val="00407D74"/>
    <w:rsid w:val="00410C41"/>
    <w:rsid w:val="00411820"/>
    <w:rsid w:val="00412347"/>
    <w:rsid w:val="004124B2"/>
    <w:rsid w:val="00413084"/>
    <w:rsid w:val="00413DBD"/>
    <w:rsid w:val="00414CB1"/>
    <w:rsid w:val="004156CD"/>
    <w:rsid w:val="004156CF"/>
    <w:rsid w:val="00415FFB"/>
    <w:rsid w:val="004164F8"/>
    <w:rsid w:val="004168C3"/>
    <w:rsid w:val="00416EE8"/>
    <w:rsid w:val="004176E4"/>
    <w:rsid w:val="0041781B"/>
    <w:rsid w:val="00421859"/>
    <w:rsid w:val="004239E1"/>
    <w:rsid w:val="00423D14"/>
    <w:rsid w:val="00424061"/>
    <w:rsid w:val="00424CA6"/>
    <w:rsid w:val="0042628D"/>
    <w:rsid w:val="0042687F"/>
    <w:rsid w:val="00426F8E"/>
    <w:rsid w:val="00430496"/>
    <w:rsid w:val="004305FD"/>
    <w:rsid w:val="00431340"/>
    <w:rsid w:val="00432B12"/>
    <w:rsid w:val="00434451"/>
    <w:rsid w:val="00434E72"/>
    <w:rsid w:val="00435222"/>
    <w:rsid w:val="00435444"/>
    <w:rsid w:val="00436B18"/>
    <w:rsid w:val="00436BAF"/>
    <w:rsid w:val="00440157"/>
    <w:rsid w:val="004432CD"/>
    <w:rsid w:val="00443570"/>
    <w:rsid w:val="00443898"/>
    <w:rsid w:val="00443AD1"/>
    <w:rsid w:val="004475BD"/>
    <w:rsid w:val="00451733"/>
    <w:rsid w:val="00452B77"/>
    <w:rsid w:val="00452E36"/>
    <w:rsid w:val="004538B5"/>
    <w:rsid w:val="00454B42"/>
    <w:rsid w:val="00454FF8"/>
    <w:rsid w:val="00455B82"/>
    <w:rsid w:val="00456286"/>
    <w:rsid w:val="00456C63"/>
    <w:rsid w:val="00457BB4"/>
    <w:rsid w:val="00461313"/>
    <w:rsid w:val="004613C7"/>
    <w:rsid w:val="00461F8E"/>
    <w:rsid w:val="00463322"/>
    <w:rsid w:val="004637BB"/>
    <w:rsid w:val="00464170"/>
    <w:rsid w:val="004662D5"/>
    <w:rsid w:val="004664CB"/>
    <w:rsid w:val="004665DC"/>
    <w:rsid w:val="00466A06"/>
    <w:rsid w:val="004677A3"/>
    <w:rsid w:val="004677DC"/>
    <w:rsid w:val="00470216"/>
    <w:rsid w:val="004706E1"/>
    <w:rsid w:val="00470D18"/>
    <w:rsid w:val="0047170A"/>
    <w:rsid w:val="00471BD2"/>
    <w:rsid w:val="004725F2"/>
    <w:rsid w:val="0047340F"/>
    <w:rsid w:val="0047484A"/>
    <w:rsid w:val="0047536B"/>
    <w:rsid w:val="00476415"/>
    <w:rsid w:val="00477985"/>
    <w:rsid w:val="004800D1"/>
    <w:rsid w:val="00480A72"/>
    <w:rsid w:val="00481D0D"/>
    <w:rsid w:val="00482881"/>
    <w:rsid w:val="00482C44"/>
    <w:rsid w:val="00484647"/>
    <w:rsid w:val="004865C9"/>
    <w:rsid w:val="00487B5C"/>
    <w:rsid w:val="00490381"/>
    <w:rsid w:val="004906E3"/>
    <w:rsid w:val="00491081"/>
    <w:rsid w:val="00492CB6"/>
    <w:rsid w:val="004937DB"/>
    <w:rsid w:val="00493DD7"/>
    <w:rsid w:val="004941FE"/>
    <w:rsid w:val="004952BD"/>
    <w:rsid w:val="004957FA"/>
    <w:rsid w:val="0049657E"/>
    <w:rsid w:val="00496A59"/>
    <w:rsid w:val="0049704D"/>
    <w:rsid w:val="004A046C"/>
    <w:rsid w:val="004A1084"/>
    <w:rsid w:val="004A134A"/>
    <w:rsid w:val="004A1375"/>
    <w:rsid w:val="004A1C6B"/>
    <w:rsid w:val="004A3987"/>
    <w:rsid w:val="004A4864"/>
    <w:rsid w:val="004A4CB8"/>
    <w:rsid w:val="004B0752"/>
    <w:rsid w:val="004B2777"/>
    <w:rsid w:val="004B281F"/>
    <w:rsid w:val="004B2D9D"/>
    <w:rsid w:val="004B30D1"/>
    <w:rsid w:val="004B37CC"/>
    <w:rsid w:val="004C07E1"/>
    <w:rsid w:val="004C216B"/>
    <w:rsid w:val="004C7208"/>
    <w:rsid w:val="004D0215"/>
    <w:rsid w:val="004D0BC9"/>
    <w:rsid w:val="004D1100"/>
    <w:rsid w:val="004D41AB"/>
    <w:rsid w:val="004D4812"/>
    <w:rsid w:val="004D6A0C"/>
    <w:rsid w:val="004E297D"/>
    <w:rsid w:val="004E3EF2"/>
    <w:rsid w:val="004E455A"/>
    <w:rsid w:val="004E4D26"/>
    <w:rsid w:val="004E78BE"/>
    <w:rsid w:val="004F086A"/>
    <w:rsid w:val="004F10F8"/>
    <w:rsid w:val="004F222F"/>
    <w:rsid w:val="004F62A2"/>
    <w:rsid w:val="004F67AB"/>
    <w:rsid w:val="004F68BB"/>
    <w:rsid w:val="004F7C5B"/>
    <w:rsid w:val="005004B0"/>
    <w:rsid w:val="00501043"/>
    <w:rsid w:val="00501AF0"/>
    <w:rsid w:val="005026E6"/>
    <w:rsid w:val="00502786"/>
    <w:rsid w:val="00502F0E"/>
    <w:rsid w:val="00504408"/>
    <w:rsid w:val="00505A20"/>
    <w:rsid w:val="00505F11"/>
    <w:rsid w:val="005068C7"/>
    <w:rsid w:val="00507387"/>
    <w:rsid w:val="0050765B"/>
    <w:rsid w:val="005079CA"/>
    <w:rsid w:val="00507A57"/>
    <w:rsid w:val="00510D22"/>
    <w:rsid w:val="00511515"/>
    <w:rsid w:val="00513DE6"/>
    <w:rsid w:val="0051461E"/>
    <w:rsid w:val="005160CB"/>
    <w:rsid w:val="005167A7"/>
    <w:rsid w:val="00517334"/>
    <w:rsid w:val="00517861"/>
    <w:rsid w:val="00521026"/>
    <w:rsid w:val="00521A2D"/>
    <w:rsid w:val="0052214D"/>
    <w:rsid w:val="00522795"/>
    <w:rsid w:val="0052606F"/>
    <w:rsid w:val="005265A2"/>
    <w:rsid w:val="005274B4"/>
    <w:rsid w:val="00531ED1"/>
    <w:rsid w:val="00532743"/>
    <w:rsid w:val="00533B98"/>
    <w:rsid w:val="00535B7A"/>
    <w:rsid w:val="005362F0"/>
    <w:rsid w:val="0053761E"/>
    <w:rsid w:val="00537D3A"/>
    <w:rsid w:val="005410C3"/>
    <w:rsid w:val="00542C44"/>
    <w:rsid w:val="00542E7D"/>
    <w:rsid w:val="00543974"/>
    <w:rsid w:val="0054415A"/>
    <w:rsid w:val="0054469D"/>
    <w:rsid w:val="0054473F"/>
    <w:rsid w:val="00544937"/>
    <w:rsid w:val="00544A4B"/>
    <w:rsid w:val="00551960"/>
    <w:rsid w:val="005617ED"/>
    <w:rsid w:val="005668BD"/>
    <w:rsid w:val="005700FB"/>
    <w:rsid w:val="0057017C"/>
    <w:rsid w:val="00571178"/>
    <w:rsid w:val="005718FA"/>
    <w:rsid w:val="00572748"/>
    <w:rsid w:val="00575388"/>
    <w:rsid w:val="0057628C"/>
    <w:rsid w:val="00577C39"/>
    <w:rsid w:val="00581201"/>
    <w:rsid w:val="00582E8A"/>
    <w:rsid w:val="00583D9D"/>
    <w:rsid w:val="00584375"/>
    <w:rsid w:val="005843C4"/>
    <w:rsid w:val="005846A0"/>
    <w:rsid w:val="00585729"/>
    <w:rsid w:val="00586436"/>
    <w:rsid w:val="00587A94"/>
    <w:rsid w:val="00593D24"/>
    <w:rsid w:val="00594770"/>
    <w:rsid w:val="005951D7"/>
    <w:rsid w:val="00596867"/>
    <w:rsid w:val="00596AA5"/>
    <w:rsid w:val="005A0F77"/>
    <w:rsid w:val="005A1500"/>
    <w:rsid w:val="005A19F7"/>
    <w:rsid w:val="005A2834"/>
    <w:rsid w:val="005A2E29"/>
    <w:rsid w:val="005A3B66"/>
    <w:rsid w:val="005A3F83"/>
    <w:rsid w:val="005A4C06"/>
    <w:rsid w:val="005B036E"/>
    <w:rsid w:val="005B066A"/>
    <w:rsid w:val="005B13CA"/>
    <w:rsid w:val="005B1D85"/>
    <w:rsid w:val="005B1E63"/>
    <w:rsid w:val="005B33C9"/>
    <w:rsid w:val="005B3EE4"/>
    <w:rsid w:val="005B4279"/>
    <w:rsid w:val="005B5AA9"/>
    <w:rsid w:val="005B5FCD"/>
    <w:rsid w:val="005B6212"/>
    <w:rsid w:val="005C0134"/>
    <w:rsid w:val="005C0DDD"/>
    <w:rsid w:val="005C208B"/>
    <w:rsid w:val="005C2E43"/>
    <w:rsid w:val="005C490A"/>
    <w:rsid w:val="005C4E33"/>
    <w:rsid w:val="005C5046"/>
    <w:rsid w:val="005C5719"/>
    <w:rsid w:val="005C723A"/>
    <w:rsid w:val="005D1CDA"/>
    <w:rsid w:val="005D3558"/>
    <w:rsid w:val="005D3D62"/>
    <w:rsid w:val="005D43AB"/>
    <w:rsid w:val="005D47BF"/>
    <w:rsid w:val="005D7074"/>
    <w:rsid w:val="005D7572"/>
    <w:rsid w:val="005E026A"/>
    <w:rsid w:val="005E0322"/>
    <w:rsid w:val="005E3141"/>
    <w:rsid w:val="005E4DC6"/>
    <w:rsid w:val="005E5583"/>
    <w:rsid w:val="005E5DDF"/>
    <w:rsid w:val="005E6286"/>
    <w:rsid w:val="005E6CCB"/>
    <w:rsid w:val="005E78E0"/>
    <w:rsid w:val="005F3371"/>
    <w:rsid w:val="005F428A"/>
    <w:rsid w:val="005F4C48"/>
    <w:rsid w:val="005F79C9"/>
    <w:rsid w:val="00600460"/>
    <w:rsid w:val="00602D41"/>
    <w:rsid w:val="006045D3"/>
    <w:rsid w:val="00605CAB"/>
    <w:rsid w:val="00606548"/>
    <w:rsid w:val="006078CC"/>
    <w:rsid w:val="006078E5"/>
    <w:rsid w:val="00607BC0"/>
    <w:rsid w:val="00612F61"/>
    <w:rsid w:val="006158D4"/>
    <w:rsid w:val="006172DE"/>
    <w:rsid w:val="00622DE1"/>
    <w:rsid w:val="006232FE"/>
    <w:rsid w:val="0062581F"/>
    <w:rsid w:val="00626A9D"/>
    <w:rsid w:val="00627235"/>
    <w:rsid w:val="00627814"/>
    <w:rsid w:val="00627A7B"/>
    <w:rsid w:val="0063127B"/>
    <w:rsid w:val="00632C45"/>
    <w:rsid w:val="00633174"/>
    <w:rsid w:val="0063470E"/>
    <w:rsid w:val="00635885"/>
    <w:rsid w:val="0064188C"/>
    <w:rsid w:val="00643253"/>
    <w:rsid w:val="006432AC"/>
    <w:rsid w:val="006438F6"/>
    <w:rsid w:val="00643A2B"/>
    <w:rsid w:val="0064554A"/>
    <w:rsid w:val="006458B2"/>
    <w:rsid w:val="00645F67"/>
    <w:rsid w:val="0064699A"/>
    <w:rsid w:val="0065166D"/>
    <w:rsid w:val="00651A18"/>
    <w:rsid w:val="00652E59"/>
    <w:rsid w:val="00652ED1"/>
    <w:rsid w:val="0065333A"/>
    <w:rsid w:val="006534DC"/>
    <w:rsid w:val="006541AE"/>
    <w:rsid w:val="006546C1"/>
    <w:rsid w:val="00654A69"/>
    <w:rsid w:val="00656801"/>
    <w:rsid w:val="00657298"/>
    <w:rsid w:val="00657C1E"/>
    <w:rsid w:val="006606B3"/>
    <w:rsid w:val="006619DB"/>
    <w:rsid w:val="00663971"/>
    <w:rsid w:val="00663A8C"/>
    <w:rsid w:val="00664C2C"/>
    <w:rsid w:val="0066544A"/>
    <w:rsid w:val="00665B1C"/>
    <w:rsid w:val="0066693A"/>
    <w:rsid w:val="00670079"/>
    <w:rsid w:val="006707C6"/>
    <w:rsid w:val="00670E5E"/>
    <w:rsid w:val="006727FC"/>
    <w:rsid w:val="0067291C"/>
    <w:rsid w:val="006734D5"/>
    <w:rsid w:val="006739FE"/>
    <w:rsid w:val="006748DF"/>
    <w:rsid w:val="0067545E"/>
    <w:rsid w:val="00676F5A"/>
    <w:rsid w:val="0068063D"/>
    <w:rsid w:val="0068131A"/>
    <w:rsid w:val="00681AE7"/>
    <w:rsid w:val="00681E67"/>
    <w:rsid w:val="00682A6B"/>
    <w:rsid w:val="00682AD8"/>
    <w:rsid w:val="00682F81"/>
    <w:rsid w:val="00687EEC"/>
    <w:rsid w:val="006910ED"/>
    <w:rsid w:val="00691E1D"/>
    <w:rsid w:val="006A044B"/>
    <w:rsid w:val="006A06D5"/>
    <w:rsid w:val="006A36B6"/>
    <w:rsid w:val="006A3853"/>
    <w:rsid w:val="006A3C43"/>
    <w:rsid w:val="006A5C0E"/>
    <w:rsid w:val="006A7DC0"/>
    <w:rsid w:val="006B1004"/>
    <w:rsid w:val="006B1D4D"/>
    <w:rsid w:val="006B366F"/>
    <w:rsid w:val="006B577E"/>
    <w:rsid w:val="006B5E34"/>
    <w:rsid w:val="006B6BF5"/>
    <w:rsid w:val="006B76C0"/>
    <w:rsid w:val="006B7CDA"/>
    <w:rsid w:val="006C00EE"/>
    <w:rsid w:val="006C025B"/>
    <w:rsid w:val="006C08F1"/>
    <w:rsid w:val="006C0C98"/>
    <w:rsid w:val="006C1D88"/>
    <w:rsid w:val="006C1F7C"/>
    <w:rsid w:val="006C46E6"/>
    <w:rsid w:val="006C6CDB"/>
    <w:rsid w:val="006D11A2"/>
    <w:rsid w:val="006D2CDD"/>
    <w:rsid w:val="006D2D7E"/>
    <w:rsid w:val="006D37E7"/>
    <w:rsid w:val="006D47B3"/>
    <w:rsid w:val="006D49E8"/>
    <w:rsid w:val="006D50FA"/>
    <w:rsid w:val="006E0C79"/>
    <w:rsid w:val="006E4F12"/>
    <w:rsid w:val="006F1863"/>
    <w:rsid w:val="006F3604"/>
    <w:rsid w:val="006F6429"/>
    <w:rsid w:val="006F6A34"/>
    <w:rsid w:val="00700F9F"/>
    <w:rsid w:val="007018DA"/>
    <w:rsid w:val="0070311F"/>
    <w:rsid w:val="00703DCD"/>
    <w:rsid w:val="00705449"/>
    <w:rsid w:val="007069AD"/>
    <w:rsid w:val="0070723A"/>
    <w:rsid w:val="007111A8"/>
    <w:rsid w:val="0071198F"/>
    <w:rsid w:val="007120CF"/>
    <w:rsid w:val="00712E23"/>
    <w:rsid w:val="00713312"/>
    <w:rsid w:val="007143BC"/>
    <w:rsid w:val="00716278"/>
    <w:rsid w:val="00716D2B"/>
    <w:rsid w:val="00717AB3"/>
    <w:rsid w:val="00721C5D"/>
    <w:rsid w:val="007220C9"/>
    <w:rsid w:val="0072492D"/>
    <w:rsid w:val="00725329"/>
    <w:rsid w:val="0072589D"/>
    <w:rsid w:val="00725D12"/>
    <w:rsid w:val="00732D3F"/>
    <w:rsid w:val="00734E3E"/>
    <w:rsid w:val="00734ED2"/>
    <w:rsid w:val="00735D57"/>
    <w:rsid w:val="00736D6E"/>
    <w:rsid w:val="007401CF"/>
    <w:rsid w:val="00740565"/>
    <w:rsid w:val="00740CEA"/>
    <w:rsid w:val="007410B2"/>
    <w:rsid w:val="00742007"/>
    <w:rsid w:val="00742073"/>
    <w:rsid w:val="00743C55"/>
    <w:rsid w:val="0074457C"/>
    <w:rsid w:val="00744889"/>
    <w:rsid w:val="007458FB"/>
    <w:rsid w:val="00746B12"/>
    <w:rsid w:val="00746E8D"/>
    <w:rsid w:val="00747139"/>
    <w:rsid w:val="00747D6A"/>
    <w:rsid w:val="00751665"/>
    <w:rsid w:val="0075236D"/>
    <w:rsid w:val="00753863"/>
    <w:rsid w:val="00753B27"/>
    <w:rsid w:val="0075414F"/>
    <w:rsid w:val="00755552"/>
    <w:rsid w:val="00757339"/>
    <w:rsid w:val="00757981"/>
    <w:rsid w:val="00760D8F"/>
    <w:rsid w:val="007637C0"/>
    <w:rsid w:val="00763967"/>
    <w:rsid w:val="00765739"/>
    <w:rsid w:val="00767C9B"/>
    <w:rsid w:val="00773042"/>
    <w:rsid w:val="007730EE"/>
    <w:rsid w:val="00776727"/>
    <w:rsid w:val="00776B7F"/>
    <w:rsid w:val="00776EC3"/>
    <w:rsid w:val="007808AC"/>
    <w:rsid w:val="00781FAA"/>
    <w:rsid w:val="00782A8B"/>
    <w:rsid w:val="00783230"/>
    <w:rsid w:val="00786A0E"/>
    <w:rsid w:val="00787372"/>
    <w:rsid w:val="00790E81"/>
    <w:rsid w:val="00791E44"/>
    <w:rsid w:val="007930D3"/>
    <w:rsid w:val="00796EBA"/>
    <w:rsid w:val="00797E42"/>
    <w:rsid w:val="007A0717"/>
    <w:rsid w:val="007A1E11"/>
    <w:rsid w:val="007A1FBE"/>
    <w:rsid w:val="007A364A"/>
    <w:rsid w:val="007A3B9C"/>
    <w:rsid w:val="007A3F66"/>
    <w:rsid w:val="007A47C7"/>
    <w:rsid w:val="007A5A0F"/>
    <w:rsid w:val="007A5AA7"/>
    <w:rsid w:val="007A73D1"/>
    <w:rsid w:val="007B0F79"/>
    <w:rsid w:val="007B1551"/>
    <w:rsid w:val="007B42A2"/>
    <w:rsid w:val="007B4F27"/>
    <w:rsid w:val="007B5704"/>
    <w:rsid w:val="007B5CC8"/>
    <w:rsid w:val="007B6936"/>
    <w:rsid w:val="007C067B"/>
    <w:rsid w:val="007C5127"/>
    <w:rsid w:val="007C659A"/>
    <w:rsid w:val="007C7540"/>
    <w:rsid w:val="007C75B1"/>
    <w:rsid w:val="007D0869"/>
    <w:rsid w:val="007D1103"/>
    <w:rsid w:val="007D1743"/>
    <w:rsid w:val="007D3BA3"/>
    <w:rsid w:val="007D5763"/>
    <w:rsid w:val="007D5866"/>
    <w:rsid w:val="007D69BC"/>
    <w:rsid w:val="007E097D"/>
    <w:rsid w:val="007E178D"/>
    <w:rsid w:val="007E44B2"/>
    <w:rsid w:val="007E533F"/>
    <w:rsid w:val="007E5B5B"/>
    <w:rsid w:val="007E6720"/>
    <w:rsid w:val="007F1773"/>
    <w:rsid w:val="007F22AB"/>
    <w:rsid w:val="007F31DF"/>
    <w:rsid w:val="007F4279"/>
    <w:rsid w:val="007F44D5"/>
    <w:rsid w:val="007F52F2"/>
    <w:rsid w:val="007F742B"/>
    <w:rsid w:val="007F7AFA"/>
    <w:rsid w:val="0080162B"/>
    <w:rsid w:val="0080244E"/>
    <w:rsid w:val="0080260B"/>
    <w:rsid w:val="008035B8"/>
    <w:rsid w:val="0080372C"/>
    <w:rsid w:val="0080414D"/>
    <w:rsid w:val="00804C89"/>
    <w:rsid w:val="0080505A"/>
    <w:rsid w:val="008059B8"/>
    <w:rsid w:val="00805E18"/>
    <w:rsid w:val="0080793D"/>
    <w:rsid w:val="00807DCB"/>
    <w:rsid w:val="008103E6"/>
    <w:rsid w:val="00810A26"/>
    <w:rsid w:val="0081262A"/>
    <w:rsid w:val="00812AD0"/>
    <w:rsid w:val="00813349"/>
    <w:rsid w:val="008149F0"/>
    <w:rsid w:val="008172FA"/>
    <w:rsid w:val="00820666"/>
    <w:rsid w:val="00820AA7"/>
    <w:rsid w:val="00821076"/>
    <w:rsid w:val="00822521"/>
    <w:rsid w:val="00822548"/>
    <w:rsid w:val="00822FB1"/>
    <w:rsid w:val="00827ED9"/>
    <w:rsid w:val="008309CC"/>
    <w:rsid w:val="00830DA1"/>
    <w:rsid w:val="00831C22"/>
    <w:rsid w:val="00832440"/>
    <w:rsid w:val="00832533"/>
    <w:rsid w:val="00832B53"/>
    <w:rsid w:val="008355BC"/>
    <w:rsid w:val="00835C89"/>
    <w:rsid w:val="00840C79"/>
    <w:rsid w:val="0084143D"/>
    <w:rsid w:val="00842368"/>
    <w:rsid w:val="00842372"/>
    <w:rsid w:val="0084291B"/>
    <w:rsid w:val="00843332"/>
    <w:rsid w:val="00843394"/>
    <w:rsid w:val="008433EE"/>
    <w:rsid w:val="008449AC"/>
    <w:rsid w:val="00845D6F"/>
    <w:rsid w:val="0085213A"/>
    <w:rsid w:val="0085266D"/>
    <w:rsid w:val="00852F0A"/>
    <w:rsid w:val="00854A4B"/>
    <w:rsid w:val="00856057"/>
    <w:rsid w:val="008606B9"/>
    <w:rsid w:val="00861E4F"/>
    <w:rsid w:val="0086327A"/>
    <w:rsid w:val="00864BDA"/>
    <w:rsid w:val="0086591C"/>
    <w:rsid w:val="00865EBE"/>
    <w:rsid w:val="00866E8A"/>
    <w:rsid w:val="0087064D"/>
    <w:rsid w:val="008717A4"/>
    <w:rsid w:val="00871F4D"/>
    <w:rsid w:val="0087265C"/>
    <w:rsid w:val="008735D5"/>
    <w:rsid w:val="008755B0"/>
    <w:rsid w:val="0087792E"/>
    <w:rsid w:val="00877CC4"/>
    <w:rsid w:val="008803AB"/>
    <w:rsid w:val="008803F6"/>
    <w:rsid w:val="00881F48"/>
    <w:rsid w:val="0088444A"/>
    <w:rsid w:val="00884B61"/>
    <w:rsid w:val="00887DFC"/>
    <w:rsid w:val="00890A23"/>
    <w:rsid w:val="00892296"/>
    <w:rsid w:val="00892ADD"/>
    <w:rsid w:val="008940F7"/>
    <w:rsid w:val="00894DFB"/>
    <w:rsid w:val="00894E86"/>
    <w:rsid w:val="008961B8"/>
    <w:rsid w:val="008A0150"/>
    <w:rsid w:val="008A03E5"/>
    <w:rsid w:val="008A162C"/>
    <w:rsid w:val="008A36CB"/>
    <w:rsid w:val="008A3CEC"/>
    <w:rsid w:val="008A5BEB"/>
    <w:rsid w:val="008A5D78"/>
    <w:rsid w:val="008A6B6F"/>
    <w:rsid w:val="008A7149"/>
    <w:rsid w:val="008B121D"/>
    <w:rsid w:val="008B4078"/>
    <w:rsid w:val="008B469B"/>
    <w:rsid w:val="008B5AD7"/>
    <w:rsid w:val="008B6028"/>
    <w:rsid w:val="008B68BD"/>
    <w:rsid w:val="008B7815"/>
    <w:rsid w:val="008B790A"/>
    <w:rsid w:val="008B7B51"/>
    <w:rsid w:val="008C20CA"/>
    <w:rsid w:val="008C25A2"/>
    <w:rsid w:val="008C2FE3"/>
    <w:rsid w:val="008C3760"/>
    <w:rsid w:val="008C3EE5"/>
    <w:rsid w:val="008C42A5"/>
    <w:rsid w:val="008C4906"/>
    <w:rsid w:val="008C5797"/>
    <w:rsid w:val="008C58F4"/>
    <w:rsid w:val="008C7AD0"/>
    <w:rsid w:val="008D0872"/>
    <w:rsid w:val="008D10E9"/>
    <w:rsid w:val="008D1452"/>
    <w:rsid w:val="008D1B57"/>
    <w:rsid w:val="008D1D47"/>
    <w:rsid w:val="008D39BD"/>
    <w:rsid w:val="008D4C7F"/>
    <w:rsid w:val="008D6668"/>
    <w:rsid w:val="008D74C3"/>
    <w:rsid w:val="008D76B4"/>
    <w:rsid w:val="008E106A"/>
    <w:rsid w:val="008E300B"/>
    <w:rsid w:val="008E370A"/>
    <w:rsid w:val="008E3CC6"/>
    <w:rsid w:val="008E4B77"/>
    <w:rsid w:val="008E5D84"/>
    <w:rsid w:val="008E6869"/>
    <w:rsid w:val="008E688A"/>
    <w:rsid w:val="008E6EB6"/>
    <w:rsid w:val="008F0DEA"/>
    <w:rsid w:val="008F2D4E"/>
    <w:rsid w:val="008F3A2C"/>
    <w:rsid w:val="008F3AA6"/>
    <w:rsid w:val="008F433D"/>
    <w:rsid w:val="008F4683"/>
    <w:rsid w:val="008F6FCC"/>
    <w:rsid w:val="008F71BB"/>
    <w:rsid w:val="009001A2"/>
    <w:rsid w:val="009017F6"/>
    <w:rsid w:val="00901E23"/>
    <w:rsid w:val="00902F19"/>
    <w:rsid w:val="00904167"/>
    <w:rsid w:val="00904AD1"/>
    <w:rsid w:val="00904E02"/>
    <w:rsid w:val="00905A5C"/>
    <w:rsid w:val="00906059"/>
    <w:rsid w:val="00907B03"/>
    <w:rsid w:val="00910BF0"/>
    <w:rsid w:val="00911929"/>
    <w:rsid w:val="009131EA"/>
    <w:rsid w:val="00914834"/>
    <w:rsid w:val="00915950"/>
    <w:rsid w:val="00916A4A"/>
    <w:rsid w:val="00922E85"/>
    <w:rsid w:val="009247C1"/>
    <w:rsid w:val="00924A05"/>
    <w:rsid w:val="00924C6D"/>
    <w:rsid w:val="009253B3"/>
    <w:rsid w:val="00925510"/>
    <w:rsid w:val="00925BE8"/>
    <w:rsid w:val="00925D64"/>
    <w:rsid w:val="00925DB7"/>
    <w:rsid w:val="00927602"/>
    <w:rsid w:val="00927929"/>
    <w:rsid w:val="0093057C"/>
    <w:rsid w:val="00931899"/>
    <w:rsid w:val="00931C6E"/>
    <w:rsid w:val="0093225E"/>
    <w:rsid w:val="00932371"/>
    <w:rsid w:val="009334EA"/>
    <w:rsid w:val="00934711"/>
    <w:rsid w:val="0093513F"/>
    <w:rsid w:val="00937817"/>
    <w:rsid w:val="00941540"/>
    <w:rsid w:val="00941A3A"/>
    <w:rsid w:val="00943C50"/>
    <w:rsid w:val="009455D0"/>
    <w:rsid w:val="00946EC3"/>
    <w:rsid w:val="0094711A"/>
    <w:rsid w:val="00947398"/>
    <w:rsid w:val="00947B7C"/>
    <w:rsid w:val="00947C7A"/>
    <w:rsid w:val="00950BCD"/>
    <w:rsid w:val="009534D8"/>
    <w:rsid w:val="009554C1"/>
    <w:rsid w:val="0095583F"/>
    <w:rsid w:val="0095621A"/>
    <w:rsid w:val="00956259"/>
    <w:rsid w:val="0095770C"/>
    <w:rsid w:val="00957B71"/>
    <w:rsid w:val="00960FB0"/>
    <w:rsid w:val="00960FC7"/>
    <w:rsid w:val="00961730"/>
    <w:rsid w:val="00962315"/>
    <w:rsid w:val="00962AD8"/>
    <w:rsid w:val="00962EAE"/>
    <w:rsid w:val="009657F3"/>
    <w:rsid w:val="0096719B"/>
    <w:rsid w:val="00967EBD"/>
    <w:rsid w:val="009703EC"/>
    <w:rsid w:val="009706CB"/>
    <w:rsid w:val="00970C11"/>
    <w:rsid w:val="009725F4"/>
    <w:rsid w:val="00972F71"/>
    <w:rsid w:val="00976383"/>
    <w:rsid w:val="00977108"/>
    <w:rsid w:val="009772C8"/>
    <w:rsid w:val="0098195F"/>
    <w:rsid w:val="00982474"/>
    <w:rsid w:val="009861C7"/>
    <w:rsid w:val="00986C0D"/>
    <w:rsid w:val="00987124"/>
    <w:rsid w:val="00990CEA"/>
    <w:rsid w:val="00990EE9"/>
    <w:rsid w:val="0099287E"/>
    <w:rsid w:val="00992DBD"/>
    <w:rsid w:val="00993759"/>
    <w:rsid w:val="00993A9C"/>
    <w:rsid w:val="00994170"/>
    <w:rsid w:val="00995282"/>
    <w:rsid w:val="0099557C"/>
    <w:rsid w:val="009974B6"/>
    <w:rsid w:val="00997821"/>
    <w:rsid w:val="009A05F4"/>
    <w:rsid w:val="009A4C03"/>
    <w:rsid w:val="009A6AD6"/>
    <w:rsid w:val="009A6F6F"/>
    <w:rsid w:val="009A74B0"/>
    <w:rsid w:val="009A76CD"/>
    <w:rsid w:val="009B066D"/>
    <w:rsid w:val="009B3780"/>
    <w:rsid w:val="009B4B4C"/>
    <w:rsid w:val="009B5C97"/>
    <w:rsid w:val="009B6283"/>
    <w:rsid w:val="009B798E"/>
    <w:rsid w:val="009B7A7B"/>
    <w:rsid w:val="009C22FA"/>
    <w:rsid w:val="009C34B9"/>
    <w:rsid w:val="009C3731"/>
    <w:rsid w:val="009C3BF3"/>
    <w:rsid w:val="009C4598"/>
    <w:rsid w:val="009C4BA4"/>
    <w:rsid w:val="009C5326"/>
    <w:rsid w:val="009C5382"/>
    <w:rsid w:val="009C5A44"/>
    <w:rsid w:val="009C5CA9"/>
    <w:rsid w:val="009C7789"/>
    <w:rsid w:val="009D04C4"/>
    <w:rsid w:val="009D0B2F"/>
    <w:rsid w:val="009D16EB"/>
    <w:rsid w:val="009D186A"/>
    <w:rsid w:val="009D2152"/>
    <w:rsid w:val="009D25CB"/>
    <w:rsid w:val="009D2DCF"/>
    <w:rsid w:val="009D5949"/>
    <w:rsid w:val="009D6141"/>
    <w:rsid w:val="009D636E"/>
    <w:rsid w:val="009E144D"/>
    <w:rsid w:val="009E1C04"/>
    <w:rsid w:val="009E1F23"/>
    <w:rsid w:val="009E2AD4"/>
    <w:rsid w:val="009E2C81"/>
    <w:rsid w:val="009E5144"/>
    <w:rsid w:val="009E529E"/>
    <w:rsid w:val="009E52A9"/>
    <w:rsid w:val="009F1B43"/>
    <w:rsid w:val="009F3327"/>
    <w:rsid w:val="009F5F55"/>
    <w:rsid w:val="009F6E34"/>
    <w:rsid w:val="009F7946"/>
    <w:rsid w:val="009F7FF0"/>
    <w:rsid w:val="00A0180F"/>
    <w:rsid w:val="00A01D8F"/>
    <w:rsid w:val="00A032DE"/>
    <w:rsid w:val="00A033D8"/>
    <w:rsid w:val="00A104FB"/>
    <w:rsid w:val="00A105F5"/>
    <w:rsid w:val="00A12352"/>
    <w:rsid w:val="00A13D2A"/>
    <w:rsid w:val="00A1437E"/>
    <w:rsid w:val="00A14B4B"/>
    <w:rsid w:val="00A15B58"/>
    <w:rsid w:val="00A17429"/>
    <w:rsid w:val="00A20C15"/>
    <w:rsid w:val="00A210A9"/>
    <w:rsid w:val="00A21D73"/>
    <w:rsid w:val="00A25AFE"/>
    <w:rsid w:val="00A2620B"/>
    <w:rsid w:val="00A306A1"/>
    <w:rsid w:val="00A325A0"/>
    <w:rsid w:val="00A327B6"/>
    <w:rsid w:val="00A331CD"/>
    <w:rsid w:val="00A33316"/>
    <w:rsid w:val="00A340DC"/>
    <w:rsid w:val="00A342D3"/>
    <w:rsid w:val="00A35FC2"/>
    <w:rsid w:val="00A36840"/>
    <w:rsid w:val="00A36FA2"/>
    <w:rsid w:val="00A37586"/>
    <w:rsid w:val="00A40086"/>
    <w:rsid w:val="00A407E5"/>
    <w:rsid w:val="00A418FE"/>
    <w:rsid w:val="00A41983"/>
    <w:rsid w:val="00A42E9A"/>
    <w:rsid w:val="00A43AC3"/>
    <w:rsid w:val="00A440FD"/>
    <w:rsid w:val="00A44908"/>
    <w:rsid w:val="00A45E21"/>
    <w:rsid w:val="00A46365"/>
    <w:rsid w:val="00A469A1"/>
    <w:rsid w:val="00A50528"/>
    <w:rsid w:val="00A50792"/>
    <w:rsid w:val="00A50DB5"/>
    <w:rsid w:val="00A5120C"/>
    <w:rsid w:val="00A516DA"/>
    <w:rsid w:val="00A52AD0"/>
    <w:rsid w:val="00A54652"/>
    <w:rsid w:val="00A546F4"/>
    <w:rsid w:val="00A56E44"/>
    <w:rsid w:val="00A60325"/>
    <w:rsid w:val="00A605F1"/>
    <w:rsid w:val="00A607AE"/>
    <w:rsid w:val="00A615A1"/>
    <w:rsid w:val="00A6193C"/>
    <w:rsid w:val="00A61B30"/>
    <w:rsid w:val="00A61D82"/>
    <w:rsid w:val="00A61FF0"/>
    <w:rsid w:val="00A623F0"/>
    <w:rsid w:val="00A64107"/>
    <w:rsid w:val="00A653BB"/>
    <w:rsid w:val="00A657A0"/>
    <w:rsid w:val="00A67088"/>
    <w:rsid w:val="00A7047A"/>
    <w:rsid w:val="00A705E5"/>
    <w:rsid w:val="00A71C83"/>
    <w:rsid w:val="00A71E75"/>
    <w:rsid w:val="00A72B5A"/>
    <w:rsid w:val="00A737A6"/>
    <w:rsid w:val="00A74126"/>
    <w:rsid w:val="00A76D78"/>
    <w:rsid w:val="00A76DE9"/>
    <w:rsid w:val="00A81774"/>
    <w:rsid w:val="00A82AED"/>
    <w:rsid w:val="00A82E6E"/>
    <w:rsid w:val="00A8320D"/>
    <w:rsid w:val="00A839DA"/>
    <w:rsid w:val="00A84732"/>
    <w:rsid w:val="00A848C3"/>
    <w:rsid w:val="00A848EF"/>
    <w:rsid w:val="00A85EEA"/>
    <w:rsid w:val="00A86DA9"/>
    <w:rsid w:val="00A87DBA"/>
    <w:rsid w:val="00A910E5"/>
    <w:rsid w:val="00AA0D0B"/>
    <w:rsid w:val="00AA1A3F"/>
    <w:rsid w:val="00AA2C74"/>
    <w:rsid w:val="00AA383F"/>
    <w:rsid w:val="00AA3B4F"/>
    <w:rsid w:val="00AA411D"/>
    <w:rsid w:val="00AA5F69"/>
    <w:rsid w:val="00AA79F3"/>
    <w:rsid w:val="00AB0451"/>
    <w:rsid w:val="00AB0A2D"/>
    <w:rsid w:val="00AB2AD9"/>
    <w:rsid w:val="00AB2F16"/>
    <w:rsid w:val="00AB343B"/>
    <w:rsid w:val="00AB4B60"/>
    <w:rsid w:val="00AB5BD5"/>
    <w:rsid w:val="00AB6F71"/>
    <w:rsid w:val="00AC238B"/>
    <w:rsid w:val="00AC246B"/>
    <w:rsid w:val="00AC2BC9"/>
    <w:rsid w:val="00AC2FC5"/>
    <w:rsid w:val="00AC3E45"/>
    <w:rsid w:val="00AC531E"/>
    <w:rsid w:val="00AC5390"/>
    <w:rsid w:val="00AC66F9"/>
    <w:rsid w:val="00AC6B55"/>
    <w:rsid w:val="00AC7B6D"/>
    <w:rsid w:val="00AD224E"/>
    <w:rsid w:val="00AD4E3E"/>
    <w:rsid w:val="00AD57AA"/>
    <w:rsid w:val="00AD6D3F"/>
    <w:rsid w:val="00AD6FB3"/>
    <w:rsid w:val="00AE04EB"/>
    <w:rsid w:val="00AE12E9"/>
    <w:rsid w:val="00AE1FE4"/>
    <w:rsid w:val="00AE79C9"/>
    <w:rsid w:val="00AF48F8"/>
    <w:rsid w:val="00AF4F0D"/>
    <w:rsid w:val="00AF6A01"/>
    <w:rsid w:val="00B00296"/>
    <w:rsid w:val="00B01542"/>
    <w:rsid w:val="00B0260E"/>
    <w:rsid w:val="00B04AC1"/>
    <w:rsid w:val="00B055B7"/>
    <w:rsid w:val="00B058BB"/>
    <w:rsid w:val="00B07298"/>
    <w:rsid w:val="00B07DEF"/>
    <w:rsid w:val="00B1042E"/>
    <w:rsid w:val="00B10ED1"/>
    <w:rsid w:val="00B122F7"/>
    <w:rsid w:val="00B141BA"/>
    <w:rsid w:val="00B143EA"/>
    <w:rsid w:val="00B15A28"/>
    <w:rsid w:val="00B16198"/>
    <w:rsid w:val="00B169B2"/>
    <w:rsid w:val="00B16C9F"/>
    <w:rsid w:val="00B171A2"/>
    <w:rsid w:val="00B20605"/>
    <w:rsid w:val="00B20811"/>
    <w:rsid w:val="00B20BC0"/>
    <w:rsid w:val="00B20DBB"/>
    <w:rsid w:val="00B21765"/>
    <w:rsid w:val="00B21DFC"/>
    <w:rsid w:val="00B22513"/>
    <w:rsid w:val="00B226B7"/>
    <w:rsid w:val="00B23759"/>
    <w:rsid w:val="00B23BC2"/>
    <w:rsid w:val="00B246A6"/>
    <w:rsid w:val="00B25C94"/>
    <w:rsid w:val="00B276F4"/>
    <w:rsid w:val="00B302AA"/>
    <w:rsid w:val="00B30D2A"/>
    <w:rsid w:val="00B31504"/>
    <w:rsid w:val="00B323E0"/>
    <w:rsid w:val="00B3255A"/>
    <w:rsid w:val="00B33419"/>
    <w:rsid w:val="00B33530"/>
    <w:rsid w:val="00B344E6"/>
    <w:rsid w:val="00B34F8C"/>
    <w:rsid w:val="00B3650E"/>
    <w:rsid w:val="00B40BE6"/>
    <w:rsid w:val="00B412EA"/>
    <w:rsid w:val="00B418DF"/>
    <w:rsid w:val="00B42C1E"/>
    <w:rsid w:val="00B43247"/>
    <w:rsid w:val="00B43F2E"/>
    <w:rsid w:val="00B44FE0"/>
    <w:rsid w:val="00B46468"/>
    <w:rsid w:val="00B46A74"/>
    <w:rsid w:val="00B46F0A"/>
    <w:rsid w:val="00B47714"/>
    <w:rsid w:val="00B505BF"/>
    <w:rsid w:val="00B518F3"/>
    <w:rsid w:val="00B536F8"/>
    <w:rsid w:val="00B5428A"/>
    <w:rsid w:val="00B54A95"/>
    <w:rsid w:val="00B55B0C"/>
    <w:rsid w:val="00B57341"/>
    <w:rsid w:val="00B57584"/>
    <w:rsid w:val="00B57F88"/>
    <w:rsid w:val="00B61F01"/>
    <w:rsid w:val="00B625C9"/>
    <w:rsid w:val="00B6268D"/>
    <w:rsid w:val="00B63619"/>
    <w:rsid w:val="00B63627"/>
    <w:rsid w:val="00B66F6D"/>
    <w:rsid w:val="00B671B9"/>
    <w:rsid w:val="00B708B5"/>
    <w:rsid w:val="00B70A95"/>
    <w:rsid w:val="00B72E9E"/>
    <w:rsid w:val="00B75294"/>
    <w:rsid w:val="00B75413"/>
    <w:rsid w:val="00B756E1"/>
    <w:rsid w:val="00B8036A"/>
    <w:rsid w:val="00B84218"/>
    <w:rsid w:val="00B868E2"/>
    <w:rsid w:val="00B86A35"/>
    <w:rsid w:val="00B90C06"/>
    <w:rsid w:val="00B90D17"/>
    <w:rsid w:val="00B90DA0"/>
    <w:rsid w:val="00B946A2"/>
    <w:rsid w:val="00B96A71"/>
    <w:rsid w:val="00BA2926"/>
    <w:rsid w:val="00BA3E57"/>
    <w:rsid w:val="00BA3F31"/>
    <w:rsid w:val="00BA41FA"/>
    <w:rsid w:val="00BA5C20"/>
    <w:rsid w:val="00BA7AF9"/>
    <w:rsid w:val="00BB1920"/>
    <w:rsid w:val="00BB200F"/>
    <w:rsid w:val="00BB233A"/>
    <w:rsid w:val="00BB294B"/>
    <w:rsid w:val="00BB46A5"/>
    <w:rsid w:val="00BB6287"/>
    <w:rsid w:val="00BB6FD6"/>
    <w:rsid w:val="00BC01A6"/>
    <w:rsid w:val="00BC4847"/>
    <w:rsid w:val="00BC5473"/>
    <w:rsid w:val="00BC709D"/>
    <w:rsid w:val="00BC7E23"/>
    <w:rsid w:val="00BD1B6D"/>
    <w:rsid w:val="00BD281E"/>
    <w:rsid w:val="00BD2EFC"/>
    <w:rsid w:val="00BD4B6E"/>
    <w:rsid w:val="00BD5771"/>
    <w:rsid w:val="00BD6FA0"/>
    <w:rsid w:val="00BE0E68"/>
    <w:rsid w:val="00BE225E"/>
    <w:rsid w:val="00BE2E16"/>
    <w:rsid w:val="00BE60ED"/>
    <w:rsid w:val="00BF090F"/>
    <w:rsid w:val="00BF34FE"/>
    <w:rsid w:val="00C0068B"/>
    <w:rsid w:val="00C00B2E"/>
    <w:rsid w:val="00C02720"/>
    <w:rsid w:val="00C0512D"/>
    <w:rsid w:val="00C0658E"/>
    <w:rsid w:val="00C06BE3"/>
    <w:rsid w:val="00C075D5"/>
    <w:rsid w:val="00C10820"/>
    <w:rsid w:val="00C10F0C"/>
    <w:rsid w:val="00C11FA0"/>
    <w:rsid w:val="00C14361"/>
    <w:rsid w:val="00C20F7E"/>
    <w:rsid w:val="00C21B33"/>
    <w:rsid w:val="00C21C11"/>
    <w:rsid w:val="00C21E75"/>
    <w:rsid w:val="00C22445"/>
    <w:rsid w:val="00C22FB4"/>
    <w:rsid w:val="00C25B6F"/>
    <w:rsid w:val="00C25D2D"/>
    <w:rsid w:val="00C26892"/>
    <w:rsid w:val="00C2786F"/>
    <w:rsid w:val="00C314BB"/>
    <w:rsid w:val="00C3292F"/>
    <w:rsid w:val="00C332DF"/>
    <w:rsid w:val="00C34DE6"/>
    <w:rsid w:val="00C368FF"/>
    <w:rsid w:val="00C4073E"/>
    <w:rsid w:val="00C40E33"/>
    <w:rsid w:val="00C41D44"/>
    <w:rsid w:val="00C42BA5"/>
    <w:rsid w:val="00C42C40"/>
    <w:rsid w:val="00C457BC"/>
    <w:rsid w:val="00C47DEF"/>
    <w:rsid w:val="00C47EB0"/>
    <w:rsid w:val="00C50FF3"/>
    <w:rsid w:val="00C527AB"/>
    <w:rsid w:val="00C528CC"/>
    <w:rsid w:val="00C5354F"/>
    <w:rsid w:val="00C54403"/>
    <w:rsid w:val="00C55754"/>
    <w:rsid w:val="00C56156"/>
    <w:rsid w:val="00C60E0B"/>
    <w:rsid w:val="00C615FD"/>
    <w:rsid w:val="00C626E9"/>
    <w:rsid w:val="00C63312"/>
    <w:rsid w:val="00C647B3"/>
    <w:rsid w:val="00C64AE9"/>
    <w:rsid w:val="00C656CE"/>
    <w:rsid w:val="00C6652C"/>
    <w:rsid w:val="00C71432"/>
    <w:rsid w:val="00C7159B"/>
    <w:rsid w:val="00C722B7"/>
    <w:rsid w:val="00C729E9"/>
    <w:rsid w:val="00C74B0C"/>
    <w:rsid w:val="00C75597"/>
    <w:rsid w:val="00C7654B"/>
    <w:rsid w:val="00C81DAD"/>
    <w:rsid w:val="00C83062"/>
    <w:rsid w:val="00C83728"/>
    <w:rsid w:val="00C86202"/>
    <w:rsid w:val="00C86AC7"/>
    <w:rsid w:val="00C86C23"/>
    <w:rsid w:val="00C87CDE"/>
    <w:rsid w:val="00C90D8B"/>
    <w:rsid w:val="00C91D04"/>
    <w:rsid w:val="00C955C7"/>
    <w:rsid w:val="00C9762A"/>
    <w:rsid w:val="00CA0EC0"/>
    <w:rsid w:val="00CA23AF"/>
    <w:rsid w:val="00CA29CD"/>
    <w:rsid w:val="00CA435D"/>
    <w:rsid w:val="00CA4A00"/>
    <w:rsid w:val="00CA56CC"/>
    <w:rsid w:val="00CA63C3"/>
    <w:rsid w:val="00CB0A7C"/>
    <w:rsid w:val="00CB1535"/>
    <w:rsid w:val="00CB2115"/>
    <w:rsid w:val="00CB24A6"/>
    <w:rsid w:val="00CB28F2"/>
    <w:rsid w:val="00CB2D90"/>
    <w:rsid w:val="00CB4751"/>
    <w:rsid w:val="00CB58DA"/>
    <w:rsid w:val="00CC0042"/>
    <w:rsid w:val="00CC0AAB"/>
    <w:rsid w:val="00CC4DC6"/>
    <w:rsid w:val="00CC584F"/>
    <w:rsid w:val="00CC74DA"/>
    <w:rsid w:val="00CD049F"/>
    <w:rsid w:val="00CD21E5"/>
    <w:rsid w:val="00CD35A1"/>
    <w:rsid w:val="00CD38CE"/>
    <w:rsid w:val="00CD4328"/>
    <w:rsid w:val="00CD54DB"/>
    <w:rsid w:val="00CD6FF8"/>
    <w:rsid w:val="00CD7257"/>
    <w:rsid w:val="00CD7933"/>
    <w:rsid w:val="00CE1A72"/>
    <w:rsid w:val="00CE303A"/>
    <w:rsid w:val="00CE4179"/>
    <w:rsid w:val="00CE4385"/>
    <w:rsid w:val="00CE4547"/>
    <w:rsid w:val="00CF05A5"/>
    <w:rsid w:val="00CF09C2"/>
    <w:rsid w:val="00CF1B4F"/>
    <w:rsid w:val="00CF1C4D"/>
    <w:rsid w:val="00CF3603"/>
    <w:rsid w:val="00CF42A1"/>
    <w:rsid w:val="00CF509F"/>
    <w:rsid w:val="00CF66CC"/>
    <w:rsid w:val="00D01154"/>
    <w:rsid w:val="00D01582"/>
    <w:rsid w:val="00D01F35"/>
    <w:rsid w:val="00D0268B"/>
    <w:rsid w:val="00D04F0E"/>
    <w:rsid w:val="00D0578B"/>
    <w:rsid w:val="00D06478"/>
    <w:rsid w:val="00D0673D"/>
    <w:rsid w:val="00D073F3"/>
    <w:rsid w:val="00D11531"/>
    <w:rsid w:val="00D1154F"/>
    <w:rsid w:val="00D124F4"/>
    <w:rsid w:val="00D126DD"/>
    <w:rsid w:val="00D12F57"/>
    <w:rsid w:val="00D176F6"/>
    <w:rsid w:val="00D17AF1"/>
    <w:rsid w:val="00D219F0"/>
    <w:rsid w:val="00D23253"/>
    <w:rsid w:val="00D23DEB"/>
    <w:rsid w:val="00D25CE0"/>
    <w:rsid w:val="00D314FE"/>
    <w:rsid w:val="00D31CCA"/>
    <w:rsid w:val="00D31E34"/>
    <w:rsid w:val="00D325F3"/>
    <w:rsid w:val="00D3324B"/>
    <w:rsid w:val="00D343EA"/>
    <w:rsid w:val="00D36E6A"/>
    <w:rsid w:val="00D404D6"/>
    <w:rsid w:val="00D40B61"/>
    <w:rsid w:val="00D40EB5"/>
    <w:rsid w:val="00D41DEB"/>
    <w:rsid w:val="00D41FEC"/>
    <w:rsid w:val="00D42F10"/>
    <w:rsid w:val="00D43866"/>
    <w:rsid w:val="00D43B71"/>
    <w:rsid w:val="00D45140"/>
    <w:rsid w:val="00D45824"/>
    <w:rsid w:val="00D47B37"/>
    <w:rsid w:val="00D50633"/>
    <w:rsid w:val="00D51254"/>
    <w:rsid w:val="00D51913"/>
    <w:rsid w:val="00D51E0D"/>
    <w:rsid w:val="00D5515C"/>
    <w:rsid w:val="00D560B7"/>
    <w:rsid w:val="00D5648B"/>
    <w:rsid w:val="00D56CBF"/>
    <w:rsid w:val="00D572F5"/>
    <w:rsid w:val="00D57669"/>
    <w:rsid w:val="00D578BE"/>
    <w:rsid w:val="00D616AA"/>
    <w:rsid w:val="00D63410"/>
    <w:rsid w:val="00D6536A"/>
    <w:rsid w:val="00D66E68"/>
    <w:rsid w:val="00D70271"/>
    <w:rsid w:val="00D7313B"/>
    <w:rsid w:val="00D73AA6"/>
    <w:rsid w:val="00D749CA"/>
    <w:rsid w:val="00D75809"/>
    <w:rsid w:val="00D77BED"/>
    <w:rsid w:val="00D8011A"/>
    <w:rsid w:val="00D8282E"/>
    <w:rsid w:val="00D82F5D"/>
    <w:rsid w:val="00D84A7E"/>
    <w:rsid w:val="00D85814"/>
    <w:rsid w:val="00D87D9D"/>
    <w:rsid w:val="00D90CBE"/>
    <w:rsid w:val="00D90E5E"/>
    <w:rsid w:val="00D92CF2"/>
    <w:rsid w:val="00D943CA"/>
    <w:rsid w:val="00D9660D"/>
    <w:rsid w:val="00D969D6"/>
    <w:rsid w:val="00D97190"/>
    <w:rsid w:val="00D9775A"/>
    <w:rsid w:val="00DA0874"/>
    <w:rsid w:val="00DA0A28"/>
    <w:rsid w:val="00DA11D4"/>
    <w:rsid w:val="00DA1C74"/>
    <w:rsid w:val="00DA2C59"/>
    <w:rsid w:val="00DA2CA7"/>
    <w:rsid w:val="00DA2E8D"/>
    <w:rsid w:val="00DA3BD1"/>
    <w:rsid w:val="00DA41D7"/>
    <w:rsid w:val="00DA6AB4"/>
    <w:rsid w:val="00DA6FD6"/>
    <w:rsid w:val="00DA7E6E"/>
    <w:rsid w:val="00DB03F9"/>
    <w:rsid w:val="00DB0C28"/>
    <w:rsid w:val="00DB11C7"/>
    <w:rsid w:val="00DB2110"/>
    <w:rsid w:val="00DB422E"/>
    <w:rsid w:val="00DB4D58"/>
    <w:rsid w:val="00DB5AE5"/>
    <w:rsid w:val="00DB6F5B"/>
    <w:rsid w:val="00DB7B62"/>
    <w:rsid w:val="00DC123C"/>
    <w:rsid w:val="00DC2807"/>
    <w:rsid w:val="00DC32C0"/>
    <w:rsid w:val="00DC6069"/>
    <w:rsid w:val="00DC66BF"/>
    <w:rsid w:val="00DC69AF"/>
    <w:rsid w:val="00DC71E8"/>
    <w:rsid w:val="00DC7FD6"/>
    <w:rsid w:val="00DD13F8"/>
    <w:rsid w:val="00DD18F1"/>
    <w:rsid w:val="00DD1B4B"/>
    <w:rsid w:val="00DD2A0D"/>
    <w:rsid w:val="00DD30C7"/>
    <w:rsid w:val="00DD4F34"/>
    <w:rsid w:val="00DD638B"/>
    <w:rsid w:val="00DD6D5F"/>
    <w:rsid w:val="00DD6E03"/>
    <w:rsid w:val="00DD763E"/>
    <w:rsid w:val="00DD76E7"/>
    <w:rsid w:val="00DE399B"/>
    <w:rsid w:val="00DE3F1A"/>
    <w:rsid w:val="00DE40BF"/>
    <w:rsid w:val="00DE6E03"/>
    <w:rsid w:val="00DF3147"/>
    <w:rsid w:val="00DF3431"/>
    <w:rsid w:val="00DF3DD0"/>
    <w:rsid w:val="00E050DF"/>
    <w:rsid w:val="00E059B1"/>
    <w:rsid w:val="00E05BC4"/>
    <w:rsid w:val="00E07688"/>
    <w:rsid w:val="00E103BB"/>
    <w:rsid w:val="00E106BC"/>
    <w:rsid w:val="00E1398A"/>
    <w:rsid w:val="00E14908"/>
    <w:rsid w:val="00E14E47"/>
    <w:rsid w:val="00E15725"/>
    <w:rsid w:val="00E2047F"/>
    <w:rsid w:val="00E217E4"/>
    <w:rsid w:val="00E25E77"/>
    <w:rsid w:val="00E27974"/>
    <w:rsid w:val="00E31675"/>
    <w:rsid w:val="00E31E45"/>
    <w:rsid w:val="00E31FBE"/>
    <w:rsid w:val="00E32B27"/>
    <w:rsid w:val="00E32B42"/>
    <w:rsid w:val="00E33A16"/>
    <w:rsid w:val="00E35BA8"/>
    <w:rsid w:val="00E3755F"/>
    <w:rsid w:val="00E377C6"/>
    <w:rsid w:val="00E406AF"/>
    <w:rsid w:val="00E40A61"/>
    <w:rsid w:val="00E4135B"/>
    <w:rsid w:val="00E4366A"/>
    <w:rsid w:val="00E44748"/>
    <w:rsid w:val="00E44C02"/>
    <w:rsid w:val="00E45666"/>
    <w:rsid w:val="00E4646B"/>
    <w:rsid w:val="00E47629"/>
    <w:rsid w:val="00E502FD"/>
    <w:rsid w:val="00E51265"/>
    <w:rsid w:val="00E51565"/>
    <w:rsid w:val="00E545CE"/>
    <w:rsid w:val="00E5794B"/>
    <w:rsid w:val="00E603EA"/>
    <w:rsid w:val="00E62360"/>
    <w:rsid w:val="00E627A8"/>
    <w:rsid w:val="00E631AF"/>
    <w:rsid w:val="00E63EEB"/>
    <w:rsid w:val="00E65F46"/>
    <w:rsid w:val="00E67152"/>
    <w:rsid w:val="00E67237"/>
    <w:rsid w:val="00E70F1A"/>
    <w:rsid w:val="00E71D54"/>
    <w:rsid w:val="00E71D86"/>
    <w:rsid w:val="00E73462"/>
    <w:rsid w:val="00E73682"/>
    <w:rsid w:val="00E76863"/>
    <w:rsid w:val="00E768A0"/>
    <w:rsid w:val="00E77C9F"/>
    <w:rsid w:val="00E805B6"/>
    <w:rsid w:val="00E8078F"/>
    <w:rsid w:val="00E818EB"/>
    <w:rsid w:val="00E82BD6"/>
    <w:rsid w:val="00E831DA"/>
    <w:rsid w:val="00E836B6"/>
    <w:rsid w:val="00E840DE"/>
    <w:rsid w:val="00E8787B"/>
    <w:rsid w:val="00E903F7"/>
    <w:rsid w:val="00E90C10"/>
    <w:rsid w:val="00E92E47"/>
    <w:rsid w:val="00E93159"/>
    <w:rsid w:val="00E93301"/>
    <w:rsid w:val="00E95A60"/>
    <w:rsid w:val="00E964BA"/>
    <w:rsid w:val="00E96E5D"/>
    <w:rsid w:val="00EA1916"/>
    <w:rsid w:val="00EA2C10"/>
    <w:rsid w:val="00EA37A8"/>
    <w:rsid w:val="00EA521D"/>
    <w:rsid w:val="00EA67C1"/>
    <w:rsid w:val="00EA7404"/>
    <w:rsid w:val="00EB1CDA"/>
    <w:rsid w:val="00EB3560"/>
    <w:rsid w:val="00EB5A93"/>
    <w:rsid w:val="00EB62D0"/>
    <w:rsid w:val="00EB65C1"/>
    <w:rsid w:val="00EB67DD"/>
    <w:rsid w:val="00EC06E1"/>
    <w:rsid w:val="00EC0C1D"/>
    <w:rsid w:val="00EC122E"/>
    <w:rsid w:val="00EC2F5E"/>
    <w:rsid w:val="00EC34D5"/>
    <w:rsid w:val="00EC4ACD"/>
    <w:rsid w:val="00EC55AF"/>
    <w:rsid w:val="00EC6815"/>
    <w:rsid w:val="00EC7689"/>
    <w:rsid w:val="00ED2009"/>
    <w:rsid w:val="00ED2C5C"/>
    <w:rsid w:val="00ED4317"/>
    <w:rsid w:val="00ED445D"/>
    <w:rsid w:val="00ED7B8F"/>
    <w:rsid w:val="00EE0529"/>
    <w:rsid w:val="00EE0AC8"/>
    <w:rsid w:val="00EE0E3F"/>
    <w:rsid w:val="00EE1541"/>
    <w:rsid w:val="00EE52BF"/>
    <w:rsid w:val="00EE71D3"/>
    <w:rsid w:val="00EE7B60"/>
    <w:rsid w:val="00EF0216"/>
    <w:rsid w:val="00EF08F6"/>
    <w:rsid w:val="00EF0E38"/>
    <w:rsid w:val="00EF1C06"/>
    <w:rsid w:val="00EF1D6F"/>
    <w:rsid w:val="00EF4FEC"/>
    <w:rsid w:val="00EF50D9"/>
    <w:rsid w:val="00F017AC"/>
    <w:rsid w:val="00F03086"/>
    <w:rsid w:val="00F03B1E"/>
    <w:rsid w:val="00F03E2A"/>
    <w:rsid w:val="00F0578D"/>
    <w:rsid w:val="00F062D9"/>
    <w:rsid w:val="00F104DC"/>
    <w:rsid w:val="00F109EA"/>
    <w:rsid w:val="00F11410"/>
    <w:rsid w:val="00F117D6"/>
    <w:rsid w:val="00F119AE"/>
    <w:rsid w:val="00F11F3D"/>
    <w:rsid w:val="00F12160"/>
    <w:rsid w:val="00F12D0B"/>
    <w:rsid w:val="00F12D4F"/>
    <w:rsid w:val="00F13A26"/>
    <w:rsid w:val="00F15806"/>
    <w:rsid w:val="00F15EBD"/>
    <w:rsid w:val="00F16007"/>
    <w:rsid w:val="00F170C0"/>
    <w:rsid w:val="00F234FF"/>
    <w:rsid w:val="00F31D09"/>
    <w:rsid w:val="00F334F2"/>
    <w:rsid w:val="00F34F15"/>
    <w:rsid w:val="00F367DC"/>
    <w:rsid w:val="00F371E0"/>
    <w:rsid w:val="00F40477"/>
    <w:rsid w:val="00F40578"/>
    <w:rsid w:val="00F4064A"/>
    <w:rsid w:val="00F41F06"/>
    <w:rsid w:val="00F47D4C"/>
    <w:rsid w:val="00F50A20"/>
    <w:rsid w:val="00F526BF"/>
    <w:rsid w:val="00F534B0"/>
    <w:rsid w:val="00F53862"/>
    <w:rsid w:val="00F55E9F"/>
    <w:rsid w:val="00F56C2C"/>
    <w:rsid w:val="00F5716C"/>
    <w:rsid w:val="00F57944"/>
    <w:rsid w:val="00F60647"/>
    <w:rsid w:val="00F623BA"/>
    <w:rsid w:val="00F63977"/>
    <w:rsid w:val="00F66010"/>
    <w:rsid w:val="00F668E1"/>
    <w:rsid w:val="00F67400"/>
    <w:rsid w:val="00F706AB"/>
    <w:rsid w:val="00F70C1B"/>
    <w:rsid w:val="00F71C5E"/>
    <w:rsid w:val="00F730F2"/>
    <w:rsid w:val="00F73251"/>
    <w:rsid w:val="00F7431C"/>
    <w:rsid w:val="00F7690D"/>
    <w:rsid w:val="00F77252"/>
    <w:rsid w:val="00F77936"/>
    <w:rsid w:val="00F811C8"/>
    <w:rsid w:val="00F832D8"/>
    <w:rsid w:val="00F847DB"/>
    <w:rsid w:val="00F84BDD"/>
    <w:rsid w:val="00F86F35"/>
    <w:rsid w:val="00F90825"/>
    <w:rsid w:val="00F91E53"/>
    <w:rsid w:val="00F926F0"/>
    <w:rsid w:val="00F94ABD"/>
    <w:rsid w:val="00F951E3"/>
    <w:rsid w:val="00F955C4"/>
    <w:rsid w:val="00FA0307"/>
    <w:rsid w:val="00FA0C7F"/>
    <w:rsid w:val="00FA0E46"/>
    <w:rsid w:val="00FA3A00"/>
    <w:rsid w:val="00FA4B9C"/>
    <w:rsid w:val="00FA590C"/>
    <w:rsid w:val="00FA6731"/>
    <w:rsid w:val="00FB1DBC"/>
    <w:rsid w:val="00FB2279"/>
    <w:rsid w:val="00FB2E79"/>
    <w:rsid w:val="00FB4497"/>
    <w:rsid w:val="00FB590E"/>
    <w:rsid w:val="00FB6BAB"/>
    <w:rsid w:val="00FC0EC5"/>
    <w:rsid w:val="00FC33BB"/>
    <w:rsid w:val="00FC513D"/>
    <w:rsid w:val="00FD094A"/>
    <w:rsid w:val="00FD09C7"/>
    <w:rsid w:val="00FD0D57"/>
    <w:rsid w:val="00FD3425"/>
    <w:rsid w:val="00FD53E6"/>
    <w:rsid w:val="00FD6708"/>
    <w:rsid w:val="00FD6932"/>
    <w:rsid w:val="00FD715D"/>
    <w:rsid w:val="00FD7F08"/>
    <w:rsid w:val="00FE0C75"/>
    <w:rsid w:val="00FE14F5"/>
    <w:rsid w:val="00FE6C49"/>
    <w:rsid w:val="00FF20AE"/>
    <w:rsid w:val="00FF3257"/>
    <w:rsid w:val="00FF5B19"/>
    <w:rsid w:val="00FF67D6"/>
    <w:rsid w:val="00FF6C35"/>
    <w:rsid w:val="00FF6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F2"/>
    <w:pPr>
      <w:spacing w:line="240" w:lineRule="auto"/>
    </w:pPr>
  </w:style>
  <w:style w:type="paragraph" w:styleId="Heading1">
    <w:name w:val="heading 1"/>
    <w:basedOn w:val="Normal"/>
    <w:next w:val="Normal"/>
    <w:link w:val="Heading1Char"/>
    <w:uiPriority w:val="9"/>
    <w:qFormat/>
    <w:rsid w:val="009B5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1C5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C278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5C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30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E5DF0"/>
    <w:pPr>
      <w:spacing w:after="0"/>
    </w:pPr>
    <w:rPr>
      <w:sz w:val="20"/>
      <w:szCs w:val="20"/>
    </w:rPr>
  </w:style>
  <w:style w:type="character" w:customStyle="1" w:styleId="FootnoteTextChar">
    <w:name w:val="Footnote Text Char"/>
    <w:basedOn w:val="DefaultParagraphFont"/>
    <w:link w:val="FootnoteText"/>
    <w:uiPriority w:val="99"/>
    <w:rsid w:val="001E5DF0"/>
    <w:rPr>
      <w:sz w:val="20"/>
      <w:szCs w:val="20"/>
    </w:rPr>
  </w:style>
  <w:style w:type="character" w:styleId="FootnoteReference">
    <w:name w:val="footnote reference"/>
    <w:basedOn w:val="DefaultParagraphFont"/>
    <w:uiPriority w:val="99"/>
    <w:unhideWhenUsed/>
    <w:rsid w:val="001E5DF0"/>
    <w:rPr>
      <w:vertAlign w:val="superscript"/>
    </w:rPr>
  </w:style>
  <w:style w:type="paragraph" w:customStyle="1" w:styleId="Text">
    <w:name w:val="Text"/>
    <w:basedOn w:val="ListParagraph"/>
    <w:link w:val="TextChar"/>
    <w:qFormat/>
    <w:rsid w:val="0023773B"/>
    <w:pPr>
      <w:numPr>
        <w:numId w:val="1"/>
      </w:numPr>
      <w:tabs>
        <w:tab w:val="left" w:pos="426"/>
      </w:tabs>
      <w:spacing w:before="60" w:after="60"/>
      <w:contextualSpacing w:val="0"/>
      <w:jc w:val="both"/>
    </w:pPr>
    <w:rPr>
      <w:rFonts w:ascii="Calibri" w:eastAsia="Calibri" w:hAnsi="Calibri" w:cs="Times New Roman"/>
      <w:sz w:val="24"/>
      <w:szCs w:val="20"/>
      <w:lang w:eastAsia="en-AU"/>
    </w:rPr>
  </w:style>
  <w:style w:type="character" w:customStyle="1" w:styleId="TextChar">
    <w:name w:val="Text Char"/>
    <w:basedOn w:val="DefaultParagraphFont"/>
    <w:link w:val="Text"/>
    <w:rsid w:val="0023773B"/>
    <w:rPr>
      <w:rFonts w:ascii="Calibri" w:eastAsia="Calibri" w:hAnsi="Calibri" w:cs="Times New Roman"/>
      <w:sz w:val="24"/>
      <w:szCs w:val="20"/>
      <w:lang w:eastAsia="en-AU"/>
    </w:rPr>
  </w:style>
  <w:style w:type="paragraph" w:styleId="EndnoteText">
    <w:name w:val="endnote text"/>
    <w:basedOn w:val="Normal"/>
    <w:link w:val="EndnoteTextChar"/>
    <w:uiPriority w:val="99"/>
    <w:unhideWhenUsed/>
    <w:rsid w:val="0023773B"/>
    <w:pPr>
      <w:spacing w:after="0"/>
    </w:pPr>
    <w:rPr>
      <w:sz w:val="20"/>
      <w:szCs w:val="20"/>
    </w:rPr>
  </w:style>
  <w:style w:type="character" w:customStyle="1" w:styleId="EndnoteTextChar">
    <w:name w:val="Endnote Text Char"/>
    <w:basedOn w:val="DefaultParagraphFont"/>
    <w:link w:val="EndnoteText"/>
    <w:uiPriority w:val="99"/>
    <w:rsid w:val="0023773B"/>
    <w:rPr>
      <w:sz w:val="20"/>
      <w:szCs w:val="20"/>
    </w:rPr>
  </w:style>
  <w:style w:type="character" w:styleId="EndnoteReference">
    <w:name w:val="endnote reference"/>
    <w:basedOn w:val="DefaultParagraphFont"/>
    <w:uiPriority w:val="99"/>
    <w:unhideWhenUsed/>
    <w:rsid w:val="0023773B"/>
    <w:rPr>
      <w:vertAlign w:val="superscript"/>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3773B"/>
    <w:pPr>
      <w:ind w:left="720"/>
      <w:contextualSpacing/>
    </w:pPr>
  </w:style>
  <w:style w:type="character" w:styleId="Hyperlink">
    <w:name w:val="Hyperlink"/>
    <w:basedOn w:val="DefaultParagraphFont"/>
    <w:uiPriority w:val="99"/>
    <w:unhideWhenUsed/>
    <w:rsid w:val="00C02720"/>
    <w:rPr>
      <w:color w:val="0000FF" w:themeColor="hyperlink"/>
      <w:u w:val="single"/>
    </w:rPr>
  </w:style>
  <w:style w:type="paragraph" w:customStyle="1" w:styleId="Default">
    <w:name w:val="Default"/>
    <w:rsid w:val="00C0272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C02720"/>
    <w:rPr>
      <w:i/>
      <w:iCs/>
    </w:rPr>
  </w:style>
  <w:style w:type="paragraph" w:styleId="BalloonText">
    <w:name w:val="Balloon Text"/>
    <w:basedOn w:val="Normal"/>
    <w:link w:val="BalloonTextChar"/>
    <w:uiPriority w:val="99"/>
    <w:semiHidden/>
    <w:unhideWhenUsed/>
    <w:rsid w:val="00C027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20"/>
    <w:rPr>
      <w:rFonts w:ascii="Tahoma" w:hAnsi="Tahoma" w:cs="Tahoma"/>
      <w:sz w:val="16"/>
      <w:szCs w:val="16"/>
    </w:rPr>
  </w:style>
  <w:style w:type="paragraph" w:styleId="Header">
    <w:name w:val="header"/>
    <w:basedOn w:val="Normal"/>
    <w:link w:val="HeaderChar"/>
    <w:uiPriority w:val="99"/>
    <w:unhideWhenUsed/>
    <w:rsid w:val="005E6286"/>
    <w:pPr>
      <w:tabs>
        <w:tab w:val="center" w:pos="4513"/>
        <w:tab w:val="right" w:pos="9026"/>
      </w:tabs>
      <w:spacing w:after="0"/>
    </w:pPr>
  </w:style>
  <w:style w:type="character" w:customStyle="1" w:styleId="HeaderChar">
    <w:name w:val="Header Char"/>
    <w:basedOn w:val="DefaultParagraphFont"/>
    <w:link w:val="Header"/>
    <w:uiPriority w:val="99"/>
    <w:rsid w:val="005E6286"/>
  </w:style>
  <w:style w:type="paragraph" w:styleId="Footer">
    <w:name w:val="footer"/>
    <w:basedOn w:val="Normal"/>
    <w:link w:val="FooterChar"/>
    <w:uiPriority w:val="99"/>
    <w:unhideWhenUsed/>
    <w:rsid w:val="005E6286"/>
    <w:pPr>
      <w:tabs>
        <w:tab w:val="center" w:pos="4513"/>
        <w:tab w:val="right" w:pos="9026"/>
      </w:tabs>
      <w:spacing w:after="0"/>
    </w:pPr>
  </w:style>
  <w:style w:type="character" w:customStyle="1" w:styleId="FooterChar">
    <w:name w:val="Footer Char"/>
    <w:basedOn w:val="DefaultParagraphFont"/>
    <w:link w:val="Footer"/>
    <w:uiPriority w:val="99"/>
    <w:rsid w:val="005E6286"/>
  </w:style>
  <w:style w:type="character" w:customStyle="1" w:styleId="Heading2Char">
    <w:name w:val="Heading 2 Char"/>
    <w:basedOn w:val="DefaultParagraphFont"/>
    <w:link w:val="Heading2"/>
    <w:uiPriority w:val="9"/>
    <w:rsid w:val="00721C5D"/>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721C5D"/>
    <w:rPr>
      <w:sz w:val="16"/>
      <w:szCs w:val="16"/>
    </w:rPr>
  </w:style>
  <w:style w:type="paragraph" w:styleId="CommentText">
    <w:name w:val="annotation text"/>
    <w:basedOn w:val="Normal"/>
    <w:link w:val="CommentTextChar"/>
    <w:uiPriority w:val="99"/>
    <w:unhideWhenUsed/>
    <w:rsid w:val="00721C5D"/>
    <w:rPr>
      <w:rFonts w:eastAsiaTheme="minorEastAsia"/>
      <w:sz w:val="20"/>
      <w:szCs w:val="20"/>
    </w:rPr>
  </w:style>
  <w:style w:type="character" w:customStyle="1" w:styleId="CommentTextChar">
    <w:name w:val="Comment Text Char"/>
    <w:basedOn w:val="DefaultParagraphFont"/>
    <w:link w:val="CommentText"/>
    <w:uiPriority w:val="99"/>
    <w:rsid w:val="00721C5D"/>
    <w:rPr>
      <w:rFonts w:eastAsiaTheme="minorEastAsia"/>
      <w:sz w:val="20"/>
      <w:szCs w:val="20"/>
    </w:rPr>
  </w:style>
  <w:style w:type="character" w:customStyle="1" w:styleId="A7">
    <w:name w:val="A7"/>
    <w:uiPriority w:val="99"/>
    <w:rsid w:val="000C76EB"/>
    <w:rPr>
      <w:rFonts w:cs="Chaparral Pro"/>
      <w:color w:val="000000"/>
      <w:sz w:val="20"/>
      <w:szCs w:val="20"/>
    </w:rPr>
  </w:style>
  <w:style w:type="paragraph" w:styleId="NormalWeb">
    <w:name w:val="Normal (Web)"/>
    <w:basedOn w:val="Normal"/>
    <w:uiPriority w:val="99"/>
    <w:unhideWhenUsed/>
    <w:rsid w:val="000C76EB"/>
    <w:pPr>
      <w:spacing w:before="100" w:beforeAutospacing="1" w:after="100" w:afterAutospacing="1"/>
    </w:pPr>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9B5C9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B5C97"/>
    <w:rPr>
      <w:rFonts w:asciiTheme="majorHAnsi" w:eastAsiaTheme="majorEastAsia" w:hAnsiTheme="majorHAnsi" w:cstheme="majorBidi"/>
      <w:b/>
      <w:bCs/>
      <w:i/>
      <w:iCs/>
      <w:color w:val="4F81BD" w:themeColor="accent1"/>
    </w:rPr>
  </w:style>
  <w:style w:type="character" w:customStyle="1" w:styleId="A0">
    <w:name w:val="A0"/>
    <w:uiPriority w:val="99"/>
    <w:rsid w:val="009B5C97"/>
    <w:rPr>
      <w:rFonts w:cs="Source Sans Pro Light"/>
      <w:color w:val="000000"/>
      <w:sz w:val="22"/>
      <w:szCs w:val="22"/>
    </w:rPr>
  </w:style>
  <w:style w:type="paragraph" w:customStyle="1" w:styleId="ListParaLASTBULL">
    <w:name w:val="List Para LAST BULL"/>
    <w:basedOn w:val="ListParagraph"/>
    <w:qFormat/>
    <w:rsid w:val="009B5C97"/>
    <w:pPr>
      <w:spacing w:after="240" w:line="288" w:lineRule="auto"/>
      <w:ind w:hanging="360"/>
    </w:pPr>
    <w:rPr>
      <w:rFonts w:ascii="Arial" w:hAnsi="Arial"/>
      <w:sz w:val="24"/>
    </w:rPr>
  </w:style>
  <w:style w:type="paragraph" w:customStyle="1" w:styleId="Body">
    <w:name w:val="Body"/>
    <w:rsid w:val="005026E6"/>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numbering" w:customStyle="1" w:styleId="ImportedStyle1">
    <w:name w:val="Imported Style 1"/>
    <w:rsid w:val="005026E6"/>
    <w:pPr>
      <w:numPr>
        <w:numId w:val="4"/>
      </w:numPr>
    </w:pPr>
  </w:style>
  <w:style w:type="numbering" w:customStyle="1" w:styleId="ImportedStyle2">
    <w:name w:val="Imported Style 2"/>
    <w:rsid w:val="005026E6"/>
    <w:pPr>
      <w:numPr>
        <w:numId w:val="6"/>
      </w:numPr>
    </w:pPr>
  </w:style>
  <w:style w:type="character" w:customStyle="1" w:styleId="Hyperlink0">
    <w:name w:val="Hyperlink.0"/>
    <w:basedOn w:val="Hyperlink"/>
    <w:rsid w:val="005026E6"/>
    <w:rPr>
      <w:color w:val="0000FF"/>
      <w:u w:val="single" w:color="0000FF"/>
    </w:rPr>
  </w:style>
  <w:style w:type="numbering" w:customStyle="1" w:styleId="ImportedStyle3">
    <w:name w:val="Imported Style 3"/>
    <w:rsid w:val="005026E6"/>
    <w:pPr>
      <w:numPr>
        <w:numId w:val="7"/>
      </w:numPr>
    </w:pPr>
  </w:style>
  <w:style w:type="paragraph" w:styleId="NoSpacing">
    <w:name w:val="No Spacing"/>
    <w:uiPriority w:val="1"/>
    <w:qFormat/>
    <w:rsid w:val="00B70A95"/>
    <w:pPr>
      <w:spacing w:after="0" w:line="240" w:lineRule="auto"/>
    </w:pPr>
  </w:style>
  <w:style w:type="character" w:customStyle="1" w:styleId="Heading5Char">
    <w:name w:val="Heading 5 Char"/>
    <w:basedOn w:val="DefaultParagraphFont"/>
    <w:link w:val="Heading5"/>
    <w:uiPriority w:val="9"/>
    <w:rsid w:val="00DD30C7"/>
    <w:rPr>
      <w:rFonts w:asciiTheme="majorHAnsi" w:eastAsiaTheme="majorEastAsia" w:hAnsiTheme="majorHAnsi" w:cstheme="majorBidi"/>
      <w:color w:val="243F60" w:themeColor="accent1" w:themeShade="7F"/>
    </w:rPr>
  </w:style>
  <w:style w:type="paragraph" w:styleId="ListBullet">
    <w:name w:val="List Bullet"/>
    <w:basedOn w:val="Normal"/>
    <w:uiPriority w:val="99"/>
    <w:semiHidden/>
    <w:unhideWhenUsed/>
    <w:rsid w:val="00F41F06"/>
    <w:pPr>
      <w:spacing w:after="120"/>
      <w:contextualSpacing/>
    </w:pPr>
    <w:rPr>
      <w:rFonts w:ascii="Calibri" w:eastAsia="Times New Roman" w:hAnsi="Calibri" w:cs="Times New Roman"/>
    </w:rPr>
  </w:style>
  <w:style w:type="paragraph" w:styleId="TOCHeading">
    <w:name w:val="TOC Heading"/>
    <w:basedOn w:val="Heading1"/>
    <w:next w:val="Normal"/>
    <w:uiPriority w:val="39"/>
    <w:semiHidden/>
    <w:unhideWhenUsed/>
    <w:qFormat/>
    <w:rsid w:val="00C2786F"/>
    <w:pPr>
      <w:outlineLvl w:val="9"/>
    </w:pPr>
    <w:rPr>
      <w:lang w:val="en-US" w:eastAsia="ja-JP"/>
    </w:rPr>
  </w:style>
  <w:style w:type="paragraph" w:styleId="TOC1">
    <w:name w:val="toc 1"/>
    <w:basedOn w:val="Normal"/>
    <w:next w:val="Normal"/>
    <w:autoRedefine/>
    <w:uiPriority w:val="39"/>
    <w:unhideWhenUsed/>
    <w:rsid w:val="00C2786F"/>
    <w:pPr>
      <w:spacing w:after="100"/>
    </w:pPr>
  </w:style>
  <w:style w:type="paragraph" w:styleId="TOC2">
    <w:name w:val="toc 2"/>
    <w:basedOn w:val="Normal"/>
    <w:next w:val="Normal"/>
    <w:autoRedefine/>
    <w:uiPriority w:val="39"/>
    <w:unhideWhenUsed/>
    <w:rsid w:val="00C2786F"/>
    <w:pPr>
      <w:spacing w:after="100"/>
      <w:ind w:left="220"/>
    </w:pPr>
  </w:style>
  <w:style w:type="character" w:customStyle="1" w:styleId="Heading3Char">
    <w:name w:val="Heading 3 Char"/>
    <w:basedOn w:val="DefaultParagraphFont"/>
    <w:link w:val="Heading3"/>
    <w:uiPriority w:val="9"/>
    <w:rsid w:val="00C2786F"/>
    <w:rPr>
      <w:rFonts w:asciiTheme="majorHAnsi" w:eastAsiaTheme="majorEastAsia" w:hAnsiTheme="majorHAnsi" w:cstheme="majorBidi"/>
      <w:b/>
      <w:bCs/>
      <w:color w:val="4F81BD" w:themeColor="accent1"/>
    </w:rPr>
  </w:style>
  <w:style w:type="table" w:customStyle="1" w:styleId="GridTable1LightAccent1">
    <w:name w:val="Grid Table 1 Light Accent 1"/>
    <w:basedOn w:val="TableNormal"/>
    <w:uiPriority w:val="46"/>
    <w:rsid w:val="00CC74DA"/>
    <w:pPr>
      <w:spacing w:after="0" w:line="240" w:lineRule="auto"/>
    </w:pPr>
    <w:rPr>
      <w:rFonts w:eastAsiaTheme="minorEastAsia"/>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2">
    <w:name w:val="Grid Table 2 Accent 2"/>
    <w:basedOn w:val="TableNormal"/>
    <w:uiPriority w:val="47"/>
    <w:rsid w:val="00CC74DA"/>
    <w:pPr>
      <w:spacing w:after="0" w:line="240" w:lineRule="auto"/>
    </w:pPr>
    <w:rPr>
      <w:rFonts w:eastAsiaTheme="minorEastAsia"/>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367916"/>
    <w:rPr>
      <w:color w:val="800080" w:themeColor="followedHyperlink"/>
      <w:u w:val="single"/>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basedOn w:val="DefaultParagraphFont"/>
    <w:link w:val="ListParagraph"/>
    <w:uiPriority w:val="34"/>
    <w:locked/>
    <w:rsid w:val="0067545E"/>
  </w:style>
  <w:style w:type="character" w:customStyle="1" w:styleId="highlight1">
    <w:name w:val="highlight1"/>
    <w:basedOn w:val="DefaultParagraphFont"/>
    <w:rsid w:val="0067545E"/>
    <w:rPr>
      <w:i/>
      <w:iCs/>
    </w:rPr>
  </w:style>
  <w:style w:type="character" w:customStyle="1" w:styleId="apple-converted-space">
    <w:name w:val="apple-converted-space"/>
    <w:basedOn w:val="DefaultParagraphFont"/>
    <w:rsid w:val="00F63977"/>
  </w:style>
  <w:style w:type="paragraph" w:styleId="CommentSubject">
    <w:name w:val="annotation subject"/>
    <w:basedOn w:val="CommentText"/>
    <w:next w:val="CommentText"/>
    <w:link w:val="CommentSubjectChar"/>
    <w:uiPriority w:val="99"/>
    <w:semiHidden/>
    <w:unhideWhenUsed/>
    <w:rsid w:val="00131D06"/>
    <w:rPr>
      <w:rFonts w:eastAsiaTheme="minorHAnsi"/>
      <w:b/>
      <w:bCs/>
    </w:rPr>
  </w:style>
  <w:style w:type="character" w:customStyle="1" w:styleId="CommentSubjectChar">
    <w:name w:val="Comment Subject Char"/>
    <w:basedOn w:val="CommentTextChar"/>
    <w:link w:val="CommentSubject"/>
    <w:uiPriority w:val="99"/>
    <w:semiHidden/>
    <w:rsid w:val="00131D06"/>
    <w:rPr>
      <w:rFonts w:eastAsiaTheme="minorEastAsia"/>
      <w:b/>
      <w:bCs/>
      <w:sz w:val="20"/>
      <w:szCs w:val="20"/>
    </w:rPr>
  </w:style>
  <w:style w:type="character" w:styleId="HTMLTypewriter">
    <w:name w:val="HTML Typewriter"/>
    <w:basedOn w:val="DefaultParagraphFont"/>
    <w:uiPriority w:val="99"/>
    <w:semiHidden/>
    <w:unhideWhenUsed/>
    <w:rsid w:val="00EE7B60"/>
    <w:rPr>
      <w:rFonts w:ascii="Courier New" w:eastAsiaTheme="minorHAnsi" w:hAnsi="Courier New" w:cs="Courier New" w:hint="default"/>
      <w:sz w:val="20"/>
      <w:szCs w:val="20"/>
    </w:rPr>
  </w:style>
  <w:style w:type="paragraph" w:customStyle="1" w:styleId="BodyText1">
    <w:name w:val="Body Text1"/>
    <w:basedOn w:val="BodyText"/>
    <w:link w:val="BodytextChar"/>
    <w:qFormat/>
    <w:rsid w:val="00375FB1"/>
    <w:pPr>
      <w:spacing w:after="240" w:line="360" w:lineRule="auto"/>
      <w:jc w:val="both"/>
    </w:pPr>
    <w:rPr>
      <w:rFonts w:ascii="Times New Roman" w:eastAsia="Times New Roman" w:hAnsi="Times New Roman" w:cs="Times New Roman"/>
      <w:sz w:val="24"/>
      <w:szCs w:val="20"/>
    </w:rPr>
  </w:style>
  <w:style w:type="character" w:customStyle="1" w:styleId="BodytextChar">
    <w:name w:val="Body text Char"/>
    <w:basedOn w:val="BodyTextChar0"/>
    <w:link w:val="BodyText1"/>
    <w:rsid w:val="00375FB1"/>
    <w:rPr>
      <w:rFonts w:ascii="Times New Roman" w:eastAsia="Times New Roman" w:hAnsi="Times New Roman" w:cs="Times New Roman"/>
      <w:sz w:val="24"/>
      <w:szCs w:val="20"/>
    </w:rPr>
  </w:style>
  <w:style w:type="paragraph" w:styleId="BodyText">
    <w:name w:val="Body Text"/>
    <w:basedOn w:val="Normal"/>
    <w:link w:val="BodyTextChar0"/>
    <w:uiPriority w:val="99"/>
    <w:semiHidden/>
    <w:unhideWhenUsed/>
    <w:rsid w:val="00375FB1"/>
    <w:pPr>
      <w:spacing w:after="120"/>
    </w:pPr>
  </w:style>
  <w:style w:type="character" w:customStyle="1" w:styleId="BodyTextChar0">
    <w:name w:val="Body Text Char"/>
    <w:basedOn w:val="DefaultParagraphFont"/>
    <w:link w:val="BodyText"/>
    <w:uiPriority w:val="99"/>
    <w:semiHidden/>
    <w:rsid w:val="00375FB1"/>
  </w:style>
  <w:style w:type="table" w:styleId="LightShading-Accent1">
    <w:name w:val="Light Shading Accent 1"/>
    <w:basedOn w:val="TableNormal"/>
    <w:uiPriority w:val="60"/>
    <w:rsid w:val="00890A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oi">
    <w:name w:val="doi"/>
    <w:basedOn w:val="DefaultParagraphFont"/>
    <w:rsid w:val="008F4683"/>
  </w:style>
  <w:style w:type="character" w:customStyle="1" w:styleId="A3">
    <w:name w:val="A3"/>
    <w:uiPriority w:val="99"/>
    <w:rsid w:val="007B0F79"/>
    <w:rPr>
      <w:rFonts w:cs="Avenir Book"/>
      <w:color w:val="000000"/>
      <w:sz w:val="20"/>
      <w:szCs w:val="20"/>
    </w:rPr>
  </w:style>
  <w:style w:type="paragraph" w:styleId="Revision">
    <w:name w:val="Revision"/>
    <w:hidden/>
    <w:uiPriority w:val="99"/>
    <w:semiHidden/>
    <w:rsid w:val="008C49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F2"/>
    <w:pPr>
      <w:spacing w:line="240" w:lineRule="auto"/>
    </w:pPr>
  </w:style>
  <w:style w:type="paragraph" w:styleId="Heading1">
    <w:name w:val="heading 1"/>
    <w:basedOn w:val="Normal"/>
    <w:next w:val="Normal"/>
    <w:link w:val="Heading1Char"/>
    <w:uiPriority w:val="9"/>
    <w:qFormat/>
    <w:rsid w:val="009B5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1C5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C278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5C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30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E5DF0"/>
    <w:pPr>
      <w:spacing w:after="0"/>
    </w:pPr>
    <w:rPr>
      <w:sz w:val="20"/>
      <w:szCs w:val="20"/>
    </w:rPr>
  </w:style>
  <w:style w:type="character" w:customStyle="1" w:styleId="FootnoteTextChar">
    <w:name w:val="Footnote Text Char"/>
    <w:basedOn w:val="DefaultParagraphFont"/>
    <w:link w:val="FootnoteText"/>
    <w:uiPriority w:val="99"/>
    <w:rsid w:val="001E5DF0"/>
    <w:rPr>
      <w:sz w:val="20"/>
      <w:szCs w:val="20"/>
    </w:rPr>
  </w:style>
  <w:style w:type="character" w:styleId="FootnoteReference">
    <w:name w:val="footnote reference"/>
    <w:basedOn w:val="DefaultParagraphFont"/>
    <w:uiPriority w:val="99"/>
    <w:unhideWhenUsed/>
    <w:rsid w:val="001E5DF0"/>
    <w:rPr>
      <w:vertAlign w:val="superscript"/>
    </w:rPr>
  </w:style>
  <w:style w:type="paragraph" w:customStyle="1" w:styleId="Text">
    <w:name w:val="Text"/>
    <w:basedOn w:val="ListParagraph"/>
    <w:link w:val="TextChar"/>
    <w:qFormat/>
    <w:rsid w:val="0023773B"/>
    <w:pPr>
      <w:numPr>
        <w:numId w:val="1"/>
      </w:numPr>
      <w:tabs>
        <w:tab w:val="left" w:pos="426"/>
      </w:tabs>
      <w:spacing w:before="60" w:after="60"/>
      <w:contextualSpacing w:val="0"/>
      <w:jc w:val="both"/>
    </w:pPr>
    <w:rPr>
      <w:rFonts w:ascii="Calibri" w:eastAsia="Calibri" w:hAnsi="Calibri" w:cs="Times New Roman"/>
      <w:sz w:val="24"/>
      <w:szCs w:val="20"/>
      <w:lang w:eastAsia="en-AU"/>
    </w:rPr>
  </w:style>
  <w:style w:type="character" w:customStyle="1" w:styleId="TextChar">
    <w:name w:val="Text Char"/>
    <w:basedOn w:val="DefaultParagraphFont"/>
    <w:link w:val="Text"/>
    <w:rsid w:val="0023773B"/>
    <w:rPr>
      <w:rFonts w:ascii="Calibri" w:eastAsia="Calibri" w:hAnsi="Calibri" w:cs="Times New Roman"/>
      <w:sz w:val="24"/>
      <w:szCs w:val="20"/>
      <w:lang w:eastAsia="en-AU"/>
    </w:rPr>
  </w:style>
  <w:style w:type="paragraph" w:styleId="EndnoteText">
    <w:name w:val="endnote text"/>
    <w:basedOn w:val="Normal"/>
    <w:link w:val="EndnoteTextChar"/>
    <w:uiPriority w:val="99"/>
    <w:unhideWhenUsed/>
    <w:rsid w:val="0023773B"/>
    <w:pPr>
      <w:spacing w:after="0"/>
    </w:pPr>
    <w:rPr>
      <w:sz w:val="20"/>
      <w:szCs w:val="20"/>
    </w:rPr>
  </w:style>
  <w:style w:type="character" w:customStyle="1" w:styleId="EndnoteTextChar">
    <w:name w:val="Endnote Text Char"/>
    <w:basedOn w:val="DefaultParagraphFont"/>
    <w:link w:val="EndnoteText"/>
    <w:uiPriority w:val="99"/>
    <w:rsid w:val="0023773B"/>
    <w:rPr>
      <w:sz w:val="20"/>
      <w:szCs w:val="20"/>
    </w:rPr>
  </w:style>
  <w:style w:type="character" w:styleId="EndnoteReference">
    <w:name w:val="endnote reference"/>
    <w:basedOn w:val="DefaultParagraphFont"/>
    <w:uiPriority w:val="99"/>
    <w:unhideWhenUsed/>
    <w:rsid w:val="0023773B"/>
    <w:rPr>
      <w:vertAlign w:val="superscript"/>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3773B"/>
    <w:pPr>
      <w:ind w:left="720"/>
      <w:contextualSpacing/>
    </w:pPr>
  </w:style>
  <w:style w:type="character" w:styleId="Hyperlink">
    <w:name w:val="Hyperlink"/>
    <w:basedOn w:val="DefaultParagraphFont"/>
    <w:uiPriority w:val="99"/>
    <w:unhideWhenUsed/>
    <w:rsid w:val="00C02720"/>
    <w:rPr>
      <w:color w:val="0000FF" w:themeColor="hyperlink"/>
      <w:u w:val="single"/>
    </w:rPr>
  </w:style>
  <w:style w:type="paragraph" w:customStyle="1" w:styleId="Default">
    <w:name w:val="Default"/>
    <w:rsid w:val="00C0272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C02720"/>
    <w:rPr>
      <w:i/>
      <w:iCs/>
    </w:rPr>
  </w:style>
  <w:style w:type="paragraph" w:styleId="BalloonText">
    <w:name w:val="Balloon Text"/>
    <w:basedOn w:val="Normal"/>
    <w:link w:val="BalloonTextChar"/>
    <w:uiPriority w:val="99"/>
    <w:semiHidden/>
    <w:unhideWhenUsed/>
    <w:rsid w:val="00C027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20"/>
    <w:rPr>
      <w:rFonts w:ascii="Tahoma" w:hAnsi="Tahoma" w:cs="Tahoma"/>
      <w:sz w:val="16"/>
      <w:szCs w:val="16"/>
    </w:rPr>
  </w:style>
  <w:style w:type="paragraph" w:styleId="Header">
    <w:name w:val="header"/>
    <w:basedOn w:val="Normal"/>
    <w:link w:val="HeaderChar"/>
    <w:uiPriority w:val="99"/>
    <w:unhideWhenUsed/>
    <w:rsid w:val="005E6286"/>
    <w:pPr>
      <w:tabs>
        <w:tab w:val="center" w:pos="4513"/>
        <w:tab w:val="right" w:pos="9026"/>
      </w:tabs>
      <w:spacing w:after="0"/>
    </w:pPr>
  </w:style>
  <w:style w:type="character" w:customStyle="1" w:styleId="HeaderChar">
    <w:name w:val="Header Char"/>
    <w:basedOn w:val="DefaultParagraphFont"/>
    <w:link w:val="Header"/>
    <w:uiPriority w:val="99"/>
    <w:rsid w:val="005E6286"/>
  </w:style>
  <w:style w:type="paragraph" w:styleId="Footer">
    <w:name w:val="footer"/>
    <w:basedOn w:val="Normal"/>
    <w:link w:val="FooterChar"/>
    <w:uiPriority w:val="99"/>
    <w:unhideWhenUsed/>
    <w:rsid w:val="005E6286"/>
    <w:pPr>
      <w:tabs>
        <w:tab w:val="center" w:pos="4513"/>
        <w:tab w:val="right" w:pos="9026"/>
      </w:tabs>
      <w:spacing w:after="0"/>
    </w:pPr>
  </w:style>
  <w:style w:type="character" w:customStyle="1" w:styleId="FooterChar">
    <w:name w:val="Footer Char"/>
    <w:basedOn w:val="DefaultParagraphFont"/>
    <w:link w:val="Footer"/>
    <w:uiPriority w:val="99"/>
    <w:rsid w:val="005E6286"/>
  </w:style>
  <w:style w:type="character" w:customStyle="1" w:styleId="Heading2Char">
    <w:name w:val="Heading 2 Char"/>
    <w:basedOn w:val="DefaultParagraphFont"/>
    <w:link w:val="Heading2"/>
    <w:uiPriority w:val="9"/>
    <w:rsid w:val="00721C5D"/>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721C5D"/>
    <w:rPr>
      <w:sz w:val="16"/>
      <w:szCs w:val="16"/>
    </w:rPr>
  </w:style>
  <w:style w:type="paragraph" w:styleId="CommentText">
    <w:name w:val="annotation text"/>
    <w:basedOn w:val="Normal"/>
    <w:link w:val="CommentTextChar"/>
    <w:uiPriority w:val="99"/>
    <w:unhideWhenUsed/>
    <w:rsid w:val="00721C5D"/>
    <w:rPr>
      <w:rFonts w:eastAsiaTheme="minorEastAsia"/>
      <w:sz w:val="20"/>
      <w:szCs w:val="20"/>
    </w:rPr>
  </w:style>
  <w:style w:type="character" w:customStyle="1" w:styleId="CommentTextChar">
    <w:name w:val="Comment Text Char"/>
    <w:basedOn w:val="DefaultParagraphFont"/>
    <w:link w:val="CommentText"/>
    <w:uiPriority w:val="99"/>
    <w:rsid w:val="00721C5D"/>
    <w:rPr>
      <w:rFonts w:eastAsiaTheme="minorEastAsia"/>
      <w:sz w:val="20"/>
      <w:szCs w:val="20"/>
    </w:rPr>
  </w:style>
  <w:style w:type="character" w:customStyle="1" w:styleId="A7">
    <w:name w:val="A7"/>
    <w:uiPriority w:val="99"/>
    <w:rsid w:val="000C76EB"/>
    <w:rPr>
      <w:rFonts w:cs="Chaparral Pro"/>
      <w:color w:val="000000"/>
      <w:sz w:val="20"/>
      <w:szCs w:val="20"/>
    </w:rPr>
  </w:style>
  <w:style w:type="paragraph" w:styleId="NormalWeb">
    <w:name w:val="Normal (Web)"/>
    <w:basedOn w:val="Normal"/>
    <w:uiPriority w:val="99"/>
    <w:unhideWhenUsed/>
    <w:rsid w:val="000C76EB"/>
    <w:pPr>
      <w:spacing w:before="100" w:beforeAutospacing="1" w:after="100" w:afterAutospacing="1"/>
    </w:pPr>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9B5C9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B5C97"/>
    <w:rPr>
      <w:rFonts w:asciiTheme="majorHAnsi" w:eastAsiaTheme="majorEastAsia" w:hAnsiTheme="majorHAnsi" w:cstheme="majorBidi"/>
      <w:b/>
      <w:bCs/>
      <w:i/>
      <w:iCs/>
      <w:color w:val="4F81BD" w:themeColor="accent1"/>
    </w:rPr>
  </w:style>
  <w:style w:type="character" w:customStyle="1" w:styleId="A0">
    <w:name w:val="A0"/>
    <w:uiPriority w:val="99"/>
    <w:rsid w:val="009B5C97"/>
    <w:rPr>
      <w:rFonts w:cs="Source Sans Pro Light"/>
      <w:color w:val="000000"/>
      <w:sz w:val="22"/>
      <w:szCs w:val="22"/>
    </w:rPr>
  </w:style>
  <w:style w:type="paragraph" w:customStyle="1" w:styleId="ListParaLASTBULL">
    <w:name w:val="List Para LAST BULL"/>
    <w:basedOn w:val="ListParagraph"/>
    <w:qFormat/>
    <w:rsid w:val="009B5C97"/>
    <w:pPr>
      <w:spacing w:after="240" w:line="288" w:lineRule="auto"/>
      <w:ind w:hanging="360"/>
    </w:pPr>
    <w:rPr>
      <w:rFonts w:ascii="Arial" w:hAnsi="Arial"/>
      <w:sz w:val="24"/>
    </w:rPr>
  </w:style>
  <w:style w:type="paragraph" w:customStyle="1" w:styleId="Body">
    <w:name w:val="Body"/>
    <w:rsid w:val="005026E6"/>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numbering" w:customStyle="1" w:styleId="ImportedStyle1">
    <w:name w:val="Imported Style 1"/>
    <w:rsid w:val="005026E6"/>
    <w:pPr>
      <w:numPr>
        <w:numId w:val="4"/>
      </w:numPr>
    </w:pPr>
  </w:style>
  <w:style w:type="numbering" w:customStyle="1" w:styleId="ImportedStyle2">
    <w:name w:val="Imported Style 2"/>
    <w:rsid w:val="005026E6"/>
    <w:pPr>
      <w:numPr>
        <w:numId w:val="6"/>
      </w:numPr>
    </w:pPr>
  </w:style>
  <w:style w:type="character" w:customStyle="1" w:styleId="Hyperlink0">
    <w:name w:val="Hyperlink.0"/>
    <w:basedOn w:val="Hyperlink"/>
    <w:rsid w:val="005026E6"/>
    <w:rPr>
      <w:color w:val="0000FF"/>
      <w:u w:val="single" w:color="0000FF"/>
    </w:rPr>
  </w:style>
  <w:style w:type="numbering" w:customStyle="1" w:styleId="ImportedStyle3">
    <w:name w:val="Imported Style 3"/>
    <w:rsid w:val="005026E6"/>
    <w:pPr>
      <w:numPr>
        <w:numId w:val="7"/>
      </w:numPr>
    </w:pPr>
  </w:style>
  <w:style w:type="paragraph" w:styleId="NoSpacing">
    <w:name w:val="No Spacing"/>
    <w:uiPriority w:val="1"/>
    <w:qFormat/>
    <w:rsid w:val="00B70A95"/>
    <w:pPr>
      <w:spacing w:after="0" w:line="240" w:lineRule="auto"/>
    </w:pPr>
  </w:style>
  <w:style w:type="character" w:customStyle="1" w:styleId="Heading5Char">
    <w:name w:val="Heading 5 Char"/>
    <w:basedOn w:val="DefaultParagraphFont"/>
    <w:link w:val="Heading5"/>
    <w:uiPriority w:val="9"/>
    <w:rsid w:val="00DD30C7"/>
    <w:rPr>
      <w:rFonts w:asciiTheme="majorHAnsi" w:eastAsiaTheme="majorEastAsia" w:hAnsiTheme="majorHAnsi" w:cstheme="majorBidi"/>
      <w:color w:val="243F60" w:themeColor="accent1" w:themeShade="7F"/>
    </w:rPr>
  </w:style>
  <w:style w:type="paragraph" w:styleId="ListBullet">
    <w:name w:val="List Bullet"/>
    <w:basedOn w:val="Normal"/>
    <w:uiPriority w:val="99"/>
    <w:semiHidden/>
    <w:unhideWhenUsed/>
    <w:rsid w:val="00F41F06"/>
    <w:pPr>
      <w:spacing w:after="120"/>
      <w:contextualSpacing/>
    </w:pPr>
    <w:rPr>
      <w:rFonts w:ascii="Calibri" w:eastAsia="Times New Roman" w:hAnsi="Calibri" w:cs="Times New Roman"/>
    </w:rPr>
  </w:style>
  <w:style w:type="paragraph" w:styleId="TOCHeading">
    <w:name w:val="TOC Heading"/>
    <w:basedOn w:val="Heading1"/>
    <w:next w:val="Normal"/>
    <w:uiPriority w:val="39"/>
    <w:semiHidden/>
    <w:unhideWhenUsed/>
    <w:qFormat/>
    <w:rsid w:val="00C2786F"/>
    <w:pPr>
      <w:outlineLvl w:val="9"/>
    </w:pPr>
    <w:rPr>
      <w:lang w:val="en-US" w:eastAsia="ja-JP"/>
    </w:rPr>
  </w:style>
  <w:style w:type="paragraph" w:styleId="TOC1">
    <w:name w:val="toc 1"/>
    <w:basedOn w:val="Normal"/>
    <w:next w:val="Normal"/>
    <w:autoRedefine/>
    <w:uiPriority w:val="39"/>
    <w:unhideWhenUsed/>
    <w:rsid w:val="00C2786F"/>
    <w:pPr>
      <w:spacing w:after="100"/>
    </w:pPr>
  </w:style>
  <w:style w:type="paragraph" w:styleId="TOC2">
    <w:name w:val="toc 2"/>
    <w:basedOn w:val="Normal"/>
    <w:next w:val="Normal"/>
    <w:autoRedefine/>
    <w:uiPriority w:val="39"/>
    <w:unhideWhenUsed/>
    <w:rsid w:val="00C2786F"/>
    <w:pPr>
      <w:spacing w:after="100"/>
      <w:ind w:left="220"/>
    </w:pPr>
  </w:style>
  <w:style w:type="character" w:customStyle="1" w:styleId="Heading3Char">
    <w:name w:val="Heading 3 Char"/>
    <w:basedOn w:val="DefaultParagraphFont"/>
    <w:link w:val="Heading3"/>
    <w:uiPriority w:val="9"/>
    <w:rsid w:val="00C2786F"/>
    <w:rPr>
      <w:rFonts w:asciiTheme="majorHAnsi" w:eastAsiaTheme="majorEastAsia" w:hAnsiTheme="majorHAnsi" w:cstheme="majorBidi"/>
      <w:b/>
      <w:bCs/>
      <w:color w:val="4F81BD" w:themeColor="accent1"/>
    </w:rPr>
  </w:style>
  <w:style w:type="table" w:customStyle="1" w:styleId="GridTable1LightAccent1">
    <w:name w:val="Grid Table 1 Light Accent 1"/>
    <w:basedOn w:val="TableNormal"/>
    <w:uiPriority w:val="46"/>
    <w:rsid w:val="00CC74DA"/>
    <w:pPr>
      <w:spacing w:after="0" w:line="240" w:lineRule="auto"/>
    </w:pPr>
    <w:rPr>
      <w:rFonts w:eastAsiaTheme="minorEastAsia"/>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2">
    <w:name w:val="Grid Table 2 Accent 2"/>
    <w:basedOn w:val="TableNormal"/>
    <w:uiPriority w:val="47"/>
    <w:rsid w:val="00CC74DA"/>
    <w:pPr>
      <w:spacing w:after="0" w:line="240" w:lineRule="auto"/>
    </w:pPr>
    <w:rPr>
      <w:rFonts w:eastAsiaTheme="minorEastAsia"/>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367916"/>
    <w:rPr>
      <w:color w:val="800080" w:themeColor="followedHyperlink"/>
      <w:u w:val="single"/>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basedOn w:val="DefaultParagraphFont"/>
    <w:link w:val="ListParagraph"/>
    <w:uiPriority w:val="34"/>
    <w:locked/>
    <w:rsid w:val="0067545E"/>
  </w:style>
  <w:style w:type="character" w:customStyle="1" w:styleId="highlight1">
    <w:name w:val="highlight1"/>
    <w:basedOn w:val="DefaultParagraphFont"/>
    <w:rsid w:val="0067545E"/>
    <w:rPr>
      <w:i/>
      <w:iCs/>
    </w:rPr>
  </w:style>
  <w:style w:type="character" w:customStyle="1" w:styleId="apple-converted-space">
    <w:name w:val="apple-converted-space"/>
    <w:basedOn w:val="DefaultParagraphFont"/>
    <w:rsid w:val="00F63977"/>
  </w:style>
  <w:style w:type="paragraph" w:styleId="CommentSubject">
    <w:name w:val="annotation subject"/>
    <w:basedOn w:val="CommentText"/>
    <w:next w:val="CommentText"/>
    <w:link w:val="CommentSubjectChar"/>
    <w:uiPriority w:val="99"/>
    <w:semiHidden/>
    <w:unhideWhenUsed/>
    <w:rsid w:val="00131D06"/>
    <w:rPr>
      <w:rFonts w:eastAsiaTheme="minorHAnsi"/>
      <w:b/>
      <w:bCs/>
    </w:rPr>
  </w:style>
  <w:style w:type="character" w:customStyle="1" w:styleId="CommentSubjectChar">
    <w:name w:val="Comment Subject Char"/>
    <w:basedOn w:val="CommentTextChar"/>
    <w:link w:val="CommentSubject"/>
    <w:uiPriority w:val="99"/>
    <w:semiHidden/>
    <w:rsid w:val="00131D06"/>
    <w:rPr>
      <w:rFonts w:eastAsiaTheme="minorEastAsia"/>
      <w:b/>
      <w:bCs/>
      <w:sz w:val="20"/>
      <w:szCs w:val="20"/>
    </w:rPr>
  </w:style>
  <w:style w:type="character" w:styleId="HTMLTypewriter">
    <w:name w:val="HTML Typewriter"/>
    <w:basedOn w:val="DefaultParagraphFont"/>
    <w:uiPriority w:val="99"/>
    <w:semiHidden/>
    <w:unhideWhenUsed/>
    <w:rsid w:val="00EE7B60"/>
    <w:rPr>
      <w:rFonts w:ascii="Courier New" w:eastAsiaTheme="minorHAnsi" w:hAnsi="Courier New" w:cs="Courier New" w:hint="default"/>
      <w:sz w:val="20"/>
      <w:szCs w:val="20"/>
    </w:rPr>
  </w:style>
  <w:style w:type="paragraph" w:customStyle="1" w:styleId="BodyText1">
    <w:name w:val="Body Text1"/>
    <w:basedOn w:val="BodyText"/>
    <w:link w:val="BodytextChar"/>
    <w:qFormat/>
    <w:rsid w:val="00375FB1"/>
    <w:pPr>
      <w:spacing w:after="240" w:line="360" w:lineRule="auto"/>
      <w:jc w:val="both"/>
    </w:pPr>
    <w:rPr>
      <w:rFonts w:ascii="Times New Roman" w:eastAsia="Times New Roman" w:hAnsi="Times New Roman" w:cs="Times New Roman"/>
      <w:sz w:val="24"/>
      <w:szCs w:val="20"/>
    </w:rPr>
  </w:style>
  <w:style w:type="character" w:customStyle="1" w:styleId="BodytextChar">
    <w:name w:val="Body text Char"/>
    <w:basedOn w:val="BodyTextChar0"/>
    <w:link w:val="BodyText1"/>
    <w:rsid w:val="00375FB1"/>
    <w:rPr>
      <w:rFonts w:ascii="Times New Roman" w:eastAsia="Times New Roman" w:hAnsi="Times New Roman" w:cs="Times New Roman"/>
      <w:sz w:val="24"/>
      <w:szCs w:val="20"/>
    </w:rPr>
  </w:style>
  <w:style w:type="paragraph" w:styleId="BodyText">
    <w:name w:val="Body Text"/>
    <w:basedOn w:val="Normal"/>
    <w:link w:val="BodyTextChar0"/>
    <w:uiPriority w:val="99"/>
    <w:semiHidden/>
    <w:unhideWhenUsed/>
    <w:rsid w:val="00375FB1"/>
    <w:pPr>
      <w:spacing w:after="120"/>
    </w:pPr>
  </w:style>
  <w:style w:type="character" w:customStyle="1" w:styleId="BodyTextChar0">
    <w:name w:val="Body Text Char"/>
    <w:basedOn w:val="DefaultParagraphFont"/>
    <w:link w:val="BodyText"/>
    <w:uiPriority w:val="99"/>
    <w:semiHidden/>
    <w:rsid w:val="00375FB1"/>
  </w:style>
  <w:style w:type="table" w:styleId="LightShading-Accent1">
    <w:name w:val="Light Shading Accent 1"/>
    <w:basedOn w:val="TableNormal"/>
    <w:uiPriority w:val="60"/>
    <w:rsid w:val="00890A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oi">
    <w:name w:val="doi"/>
    <w:basedOn w:val="DefaultParagraphFont"/>
    <w:rsid w:val="008F4683"/>
  </w:style>
  <w:style w:type="character" w:customStyle="1" w:styleId="A3">
    <w:name w:val="A3"/>
    <w:uiPriority w:val="99"/>
    <w:rsid w:val="007B0F79"/>
    <w:rPr>
      <w:rFonts w:cs="Avenir Book"/>
      <w:color w:val="000000"/>
      <w:sz w:val="20"/>
      <w:szCs w:val="20"/>
    </w:rPr>
  </w:style>
  <w:style w:type="paragraph" w:styleId="Revision">
    <w:name w:val="Revision"/>
    <w:hidden/>
    <w:uiPriority w:val="99"/>
    <w:semiHidden/>
    <w:rsid w:val="008C4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272">
      <w:bodyDiv w:val="1"/>
      <w:marLeft w:val="0"/>
      <w:marRight w:val="0"/>
      <w:marTop w:val="0"/>
      <w:marBottom w:val="0"/>
      <w:divBdr>
        <w:top w:val="none" w:sz="0" w:space="0" w:color="auto"/>
        <w:left w:val="none" w:sz="0" w:space="0" w:color="auto"/>
        <w:bottom w:val="none" w:sz="0" w:space="0" w:color="auto"/>
        <w:right w:val="none" w:sz="0" w:space="0" w:color="auto"/>
      </w:divBdr>
    </w:div>
    <w:div w:id="218636160">
      <w:bodyDiv w:val="1"/>
      <w:marLeft w:val="0"/>
      <w:marRight w:val="0"/>
      <w:marTop w:val="0"/>
      <w:marBottom w:val="0"/>
      <w:divBdr>
        <w:top w:val="none" w:sz="0" w:space="0" w:color="auto"/>
        <w:left w:val="none" w:sz="0" w:space="0" w:color="auto"/>
        <w:bottom w:val="none" w:sz="0" w:space="0" w:color="auto"/>
        <w:right w:val="none" w:sz="0" w:space="0" w:color="auto"/>
      </w:divBdr>
    </w:div>
    <w:div w:id="478885480">
      <w:bodyDiv w:val="1"/>
      <w:marLeft w:val="0"/>
      <w:marRight w:val="0"/>
      <w:marTop w:val="0"/>
      <w:marBottom w:val="0"/>
      <w:divBdr>
        <w:top w:val="none" w:sz="0" w:space="0" w:color="auto"/>
        <w:left w:val="none" w:sz="0" w:space="0" w:color="auto"/>
        <w:bottom w:val="none" w:sz="0" w:space="0" w:color="auto"/>
        <w:right w:val="none" w:sz="0" w:space="0" w:color="auto"/>
      </w:divBdr>
    </w:div>
    <w:div w:id="634258525">
      <w:bodyDiv w:val="1"/>
      <w:marLeft w:val="0"/>
      <w:marRight w:val="0"/>
      <w:marTop w:val="0"/>
      <w:marBottom w:val="0"/>
      <w:divBdr>
        <w:top w:val="none" w:sz="0" w:space="0" w:color="auto"/>
        <w:left w:val="none" w:sz="0" w:space="0" w:color="auto"/>
        <w:bottom w:val="none" w:sz="0" w:space="0" w:color="auto"/>
        <w:right w:val="none" w:sz="0" w:space="0" w:color="auto"/>
      </w:divBdr>
    </w:div>
    <w:div w:id="671759717">
      <w:bodyDiv w:val="1"/>
      <w:marLeft w:val="0"/>
      <w:marRight w:val="0"/>
      <w:marTop w:val="0"/>
      <w:marBottom w:val="0"/>
      <w:divBdr>
        <w:top w:val="none" w:sz="0" w:space="0" w:color="auto"/>
        <w:left w:val="none" w:sz="0" w:space="0" w:color="auto"/>
        <w:bottom w:val="none" w:sz="0" w:space="0" w:color="auto"/>
        <w:right w:val="none" w:sz="0" w:space="0" w:color="auto"/>
      </w:divBdr>
    </w:div>
    <w:div w:id="741681187">
      <w:bodyDiv w:val="1"/>
      <w:marLeft w:val="0"/>
      <w:marRight w:val="0"/>
      <w:marTop w:val="0"/>
      <w:marBottom w:val="0"/>
      <w:divBdr>
        <w:top w:val="none" w:sz="0" w:space="0" w:color="auto"/>
        <w:left w:val="none" w:sz="0" w:space="0" w:color="auto"/>
        <w:bottom w:val="none" w:sz="0" w:space="0" w:color="auto"/>
        <w:right w:val="none" w:sz="0" w:space="0" w:color="auto"/>
      </w:divBdr>
    </w:div>
    <w:div w:id="804660044">
      <w:bodyDiv w:val="1"/>
      <w:marLeft w:val="0"/>
      <w:marRight w:val="0"/>
      <w:marTop w:val="0"/>
      <w:marBottom w:val="0"/>
      <w:divBdr>
        <w:top w:val="none" w:sz="0" w:space="0" w:color="auto"/>
        <w:left w:val="none" w:sz="0" w:space="0" w:color="auto"/>
        <w:bottom w:val="none" w:sz="0" w:space="0" w:color="auto"/>
        <w:right w:val="none" w:sz="0" w:space="0" w:color="auto"/>
      </w:divBdr>
    </w:div>
    <w:div w:id="847863454">
      <w:bodyDiv w:val="1"/>
      <w:marLeft w:val="0"/>
      <w:marRight w:val="0"/>
      <w:marTop w:val="0"/>
      <w:marBottom w:val="0"/>
      <w:divBdr>
        <w:top w:val="none" w:sz="0" w:space="0" w:color="auto"/>
        <w:left w:val="none" w:sz="0" w:space="0" w:color="auto"/>
        <w:bottom w:val="none" w:sz="0" w:space="0" w:color="auto"/>
        <w:right w:val="none" w:sz="0" w:space="0" w:color="auto"/>
      </w:divBdr>
    </w:div>
    <w:div w:id="926882993">
      <w:bodyDiv w:val="1"/>
      <w:marLeft w:val="0"/>
      <w:marRight w:val="0"/>
      <w:marTop w:val="0"/>
      <w:marBottom w:val="0"/>
      <w:divBdr>
        <w:top w:val="none" w:sz="0" w:space="0" w:color="auto"/>
        <w:left w:val="none" w:sz="0" w:space="0" w:color="auto"/>
        <w:bottom w:val="none" w:sz="0" w:space="0" w:color="auto"/>
        <w:right w:val="none" w:sz="0" w:space="0" w:color="auto"/>
      </w:divBdr>
    </w:div>
    <w:div w:id="1048258193">
      <w:bodyDiv w:val="1"/>
      <w:marLeft w:val="0"/>
      <w:marRight w:val="0"/>
      <w:marTop w:val="0"/>
      <w:marBottom w:val="0"/>
      <w:divBdr>
        <w:top w:val="none" w:sz="0" w:space="0" w:color="auto"/>
        <w:left w:val="none" w:sz="0" w:space="0" w:color="auto"/>
        <w:bottom w:val="none" w:sz="0" w:space="0" w:color="auto"/>
        <w:right w:val="none" w:sz="0" w:space="0" w:color="auto"/>
      </w:divBdr>
    </w:div>
    <w:div w:id="1127432468">
      <w:bodyDiv w:val="1"/>
      <w:marLeft w:val="0"/>
      <w:marRight w:val="0"/>
      <w:marTop w:val="0"/>
      <w:marBottom w:val="0"/>
      <w:divBdr>
        <w:top w:val="none" w:sz="0" w:space="0" w:color="auto"/>
        <w:left w:val="none" w:sz="0" w:space="0" w:color="auto"/>
        <w:bottom w:val="none" w:sz="0" w:space="0" w:color="auto"/>
        <w:right w:val="none" w:sz="0" w:space="0" w:color="auto"/>
      </w:divBdr>
      <w:divsChild>
        <w:div w:id="1966307288">
          <w:marLeft w:val="274"/>
          <w:marRight w:val="0"/>
          <w:marTop w:val="0"/>
          <w:marBottom w:val="0"/>
          <w:divBdr>
            <w:top w:val="none" w:sz="0" w:space="0" w:color="auto"/>
            <w:left w:val="none" w:sz="0" w:space="0" w:color="auto"/>
            <w:bottom w:val="none" w:sz="0" w:space="0" w:color="auto"/>
            <w:right w:val="none" w:sz="0" w:space="0" w:color="auto"/>
          </w:divBdr>
        </w:div>
        <w:div w:id="869799609">
          <w:marLeft w:val="274"/>
          <w:marRight w:val="0"/>
          <w:marTop w:val="0"/>
          <w:marBottom w:val="0"/>
          <w:divBdr>
            <w:top w:val="none" w:sz="0" w:space="0" w:color="auto"/>
            <w:left w:val="none" w:sz="0" w:space="0" w:color="auto"/>
            <w:bottom w:val="none" w:sz="0" w:space="0" w:color="auto"/>
            <w:right w:val="none" w:sz="0" w:space="0" w:color="auto"/>
          </w:divBdr>
        </w:div>
      </w:divsChild>
    </w:div>
    <w:div w:id="1129976154">
      <w:bodyDiv w:val="1"/>
      <w:marLeft w:val="0"/>
      <w:marRight w:val="0"/>
      <w:marTop w:val="0"/>
      <w:marBottom w:val="0"/>
      <w:divBdr>
        <w:top w:val="none" w:sz="0" w:space="0" w:color="auto"/>
        <w:left w:val="none" w:sz="0" w:space="0" w:color="auto"/>
        <w:bottom w:val="none" w:sz="0" w:space="0" w:color="auto"/>
        <w:right w:val="none" w:sz="0" w:space="0" w:color="auto"/>
      </w:divBdr>
    </w:div>
    <w:div w:id="1146896045">
      <w:bodyDiv w:val="1"/>
      <w:marLeft w:val="0"/>
      <w:marRight w:val="0"/>
      <w:marTop w:val="0"/>
      <w:marBottom w:val="0"/>
      <w:divBdr>
        <w:top w:val="none" w:sz="0" w:space="0" w:color="auto"/>
        <w:left w:val="none" w:sz="0" w:space="0" w:color="auto"/>
        <w:bottom w:val="none" w:sz="0" w:space="0" w:color="auto"/>
        <w:right w:val="none" w:sz="0" w:space="0" w:color="auto"/>
      </w:divBdr>
    </w:div>
    <w:div w:id="1191601416">
      <w:bodyDiv w:val="1"/>
      <w:marLeft w:val="0"/>
      <w:marRight w:val="0"/>
      <w:marTop w:val="0"/>
      <w:marBottom w:val="0"/>
      <w:divBdr>
        <w:top w:val="none" w:sz="0" w:space="0" w:color="auto"/>
        <w:left w:val="none" w:sz="0" w:space="0" w:color="auto"/>
        <w:bottom w:val="none" w:sz="0" w:space="0" w:color="auto"/>
        <w:right w:val="none" w:sz="0" w:space="0" w:color="auto"/>
      </w:divBdr>
    </w:div>
    <w:div w:id="1218709829">
      <w:bodyDiv w:val="1"/>
      <w:marLeft w:val="0"/>
      <w:marRight w:val="0"/>
      <w:marTop w:val="0"/>
      <w:marBottom w:val="0"/>
      <w:divBdr>
        <w:top w:val="none" w:sz="0" w:space="0" w:color="auto"/>
        <w:left w:val="none" w:sz="0" w:space="0" w:color="auto"/>
        <w:bottom w:val="none" w:sz="0" w:space="0" w:color="auto"/>
        <w:right w:val="none" w:sz="0" w:space="0" w:color="auto"/>
      </w:divBdr>
    </w:div>
    <w:div w:id="1352957116">
      <w:bodyDiv w:val="1"/>
      <w:marLeft w:val="0"/>
      <w:marRight w:val="0"/>
      <w:marTop w:val="0"/>
      <w:marBottom w:val="0"/>
      <w:divBdr>
        <w:top w:val="none" w:sz="0" w:space="0" w:color="auto"/>
        <w:left w:val="none" w:sz="0" w:space="0" w:color="auto"/>
        <w:bottom w:val="none" w:sz="0" w:space="0" w:color="auto"/>
        <w:right w:val="none" w:sz="0" w:space="0" w:color="auto"/>
      </w:divBdr>
    </w:div>
    <w:div w:id="1430078349">
      <w:bodyDiv w:val="1"/>
      <w:marLeft w:val="0"/>
      <w:marRight w:val="0"/>
      <w:marTop w:val="0"/>
      <w:marBottom w:val="0"/>
      <w:divBdr>
        <w:top w:val="none" w:sz="0" w:space="0" w:color="auto"/>
        <w:left w:val="none" w:sz="0" w:space="0" w:color="auto"/>
        <w:bottom w:val="none" w:sz="0" w:space="0" w:color="auto"/>
        <w:right w:val="none" w:sz="0" w:space="0" w:color="auto"/>
      </w:divBdr>
    </w:div>
    <w:div w:id="1434089834">
      <w:bodyDiv w:val="1"/>
      <w:marLeft w:val="0"/>
      <w:marRight w:val="0"/>
      <w:marTop w:val="0"/>
      <w:marBottom w:val="0"/>
      <w:divBdr>
        <w:top w:val="none" w:sz="0" w:space="0" w:color="auto"/>
        <w:left w:val="none" w:sz="0" w:space="0" w:color="auto"/>
        <w:bottom w:val="none" w:sz="0" w:space="0" w:color="auto"/>
        <w:right w:val="none" w:sz="0" w:space="0" w:color="auto"/>
      </w:divBdr>
    </w:div>
    <w:div w:id="1737126624">
      <w:bodyDiv w:val="1"/>
      <w:marLeft w:val="0"/>
      <w:marRight w:val="0"/>
      <w:marTop w:val="0"/>
      <w:marBottom w:val="0"/>
      <w:divBdr>
        <w:top w:val="none" w:sz="0" w:space="0" w:color="auto"/>
        <w:left w:val="none" w:sz="0" w:space="0" w:color="auto"/>
        <w:bottom w:val="none" w:sz="0" w:space="0" w:color="auto"/>
        <w:right w:val="none" w:sz="0" w:space="0" w:color="auto"/>
      </w:divBdr>
    </w:div>
    <w:div w:id="1814250285">
      <w:bodyDiv w:val="1"/>
      <w:marLeft w:val="0"/>
      <w:marRight w:val="0"/>
      <w:marTop w:val="0"/>
      <w:marBottom w:val="0"/>
      <w:divBdr>
        <w:top w:val="none" w:sz="0" w:space="0" w:color="auto"/>
        <w:left w:val="none" w:sz="0" w:space="0" w:color="auto"/>
        <w:bottom w:val="none" w:sz="0" w:space="0" w:color="auto"/>
        <w:right w:val="none" w:sz="0" w:space="0" w:color="auto"/>
      </w:divBdr>
    </w:div>
    <w:div w:id="1896119607">
      <w:bodyDiv w:val="1"/>
      <w:marLeft w:val="0"/>
      <w:marRight w:val="0"/>
      <w:marTop w:val="0"/>
      <w:marBottom w:val="0"/>
      <w:divBdr>
        <w:top w:val="none" w:sz="0" w:space="0" w:color="auto"/>
        <w:left w:val="none" w:sz="0" w:space="0" w:color="auto"/>
        <w:bottom w:val="none" w:sz="0" w:space="0" w:color="auto"/>
        <w:right w:val="none" w:sz="0" w:space="0" w:color="auto"/>
      </w:divBdr>
      <w:divsChild>
        <w:div w:id="385110848">
          <w:marLeft w:val="0"/>
          <w:marRight w:val="0"/>
          <w:marTop w:val="0"/>
          <w:marBottom w:val="0"/>
          <w:divBdr>
            <w:top w:val="none" w:sz="0" w:space="0" w:color="auto"/>
            <w:left w:val="none" w:sz="0" w:space="0" w:color="auto"/>
            <w:bottom w:val="none" w:sz="0" w:space="0" w:color="auto"/>
            <w:right w:val="none" w:sz="0" w:space="0" w:color="auto"/>
          </w:divBdr>
          <w:divsChild>
            <w:div w:id="1169373312">
              <w:marLeft w:val="0"/>
              <w:marRight w:val="0"/>
              <w:marTop w:val="0"/>
              <w:marBottom w:val="0"/>
              <w:divBdr>
                <w:top w:val="none" w:sz="0" w:space="0" w:color="auto"/>
                <w:left w:val="none" w:sz="0" w:space="0" w:color="auto"/>
                <w:bottom w:val="none" w:sz="0" w:space="0" w:color="auto"/>
                <w:right w:val="none" w:sz="0" w:space="0" w:color="auto"/>
              </w:divBdr>
              <w:divsChild>
                <w:div w:id="764889221">
                  <w:marLeft w:val="0"/>
                  <w:marRight w:val="0"/>
                  <w:marTop w:val="0"/>
                  <w:marBottom w:val="0"/>
                  <w:divBdr>
                    <w:top w:val="none" w:sz="0" w:space="0" w:color="auto"/>
                    <w:left w:val="none" w:sz="0" w:space="0" w:color="auto"/>
                    <w:bottom w:val="none" w:sz="0" w:space="0" w:color="auto"/>
                    <w:right w:val="none" w:sz="0" w:space="0" w:color="auto"/>
                  </w:divBdr>
                  <w:divsChild>
                    <w:div w:id="19208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en.wikipedia.org/wiki/National_Quality_Standard"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financial-dictionary.thefreedictionary.com/cost"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financial-dictionary.thefreedictionary.com/investment"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financial-dictionary.thefreedictionary.com/benefits" TargetMode="External"/><Relationship Id="rId27" Type="http://schemas.openxmlformats.org/officeDocument/2006/relationships/image" Target="media/image15.png"/><Relationship Id="rId30" Type="http://schemas.openxmlformats.org/officeDocument/2006/relationships/fontTable" Target="fontTable.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26" Type="http://schemas.openxmlformats.org/officeDocument/2006/relationships/hyperlink" Target="http://www.growingupinaustralia.gov.au/pubs/asr/2014/asr2014d.pdf" TargetMode="External"/><Relationship Id="rId117" Type="http://schemas.openxmlformats.org/officeDocument/2006/relationships/hyperlink" Target="https://www.pc.gov.au/inquiries/completed/productivity-review/report/productivity-review.pdf" TargetMode="External"/><Relationship Id="rId21" Type="http://schemas.openxmlformats.org/officeDocument/2006/relationships/hyperlink" Target="https://ama.com.au/position-statement/developmental-health-and-wellbeing-australia%E2%80%99s-children-and-young-people-revised" TargetMode="External"/><Relationship Id="rId42" Type="http://schemas.openxmlformats.org/officeDocument/2006/relationships/hyperlink" Target="http://www.mitchellinstitute.org.au/reports/two-years-preschool/" TargetMode="External"/><Relationship Id="rId47" Type="http://schemas.openxmlformats.org/officeDocument/2006/relationships/hyperlink" Target="http://www.abs.gov.au/AUSSTATS/abs@.nsf/mediareleasesbyReleaseDate/03B07F4B9599CBAECA2581D3001504D1?OpenDocument" TargetMode="External"/><Relationship Id="rId63" Type="http://schemas.openxmlformats.org/officeDocument/2006/relationships/hyperlink" Target="http://www.childencyclopedia.com/documents/HeckmanANGxp.pdf" TargetMode="External"/><Relationship Id="rId68" Type="http://schemas.openxmlformats.org/officeDocument/2006/relationships/hyperlink" Target="http://dera.ioe.ac.uk/23344/1/RB455_Effective_pre-school_primary_and_secondary_education_project.pdf" TargetMode="External"/><Relationship Id="rId84" Type="http://schemas.openxmlformats.org/officeDocument/2006/relationships/hyperlink" Target="http://dunedinstudy.otago.ac.nz/news-and-events/article/53" TargetMode="External"/><Relationship Id="rId89" Type="http://schemas.openxmlformats.org/officeDocument/2006/relationships/hyperlink" Target="http://www.epi.org/publication/its-time-for-an-ambitious-national-investment-in-americas-children/" TargetMode="External"/><Relationship Id="rId112" Type="http://schemas.openxmlformats.org/officeDocument/2006/relationships/hyperlink" Target="http://www.mitchellinstitute.org.au/wp-content/uploads/2017/10/Quality-is-key-in-early-childhood-education-in-Australia.pdf" TargetMode="External"/><Relationship Id="rId16" Type="http://schemas.openxmlformats.org/officeDocument/2006/relationships/hyperlink" Target="https://46y5eh11fhgw3ve3ytpwxt9r-wpengine.netdna-ssl.com/wp-content/uploads/2015/05/InBrief-Executive-Function-Skills-for-Life-and-Learning-2.pdf" TargetMode="External"/><Relationship Id="rId107" Type="http://schemas.openxmlformats.org/officeDocument/2006/relationships/hyperlink" Target="http://ecec-care.org/fileadmin/careproject/Publications/reports/CAR%09E_WP2_D2_3_Multiple_Case_study_FINAL_REPORT.pdf" TargetMode="External"/><Relationship Id="rId11" Type="http://schemas.openxmlformats.org/officeDocument/2006/relationships/hyperlink" Target="http://developingchild.harvard.edu/wp-content/uploads/2015/09/A-Decade-of-Science-Informing-Policy.pdf" TargetMode="External"/><Relationship Id="rId32" Type="http://schemas.openxmlformats.org/officeDocument/2006/relationships/hyperlink" Target="https://www.pc.gov.au/research/ongoing/report-on-government-services/2017/child-care-education-and-training" TargetMode="External"/><Relationship Id="rId37" Type="http://schemas.openxmlformats.org/officeDocument/2006/relationships/hyperlink" Target="http://www.acara.edu.au/docs/default-source/default-document-library/national-report-on-schooling-in-australia-2015.pdf?sfvrsn=0" TargetMode="External"/><Relationship Id="rId53" Type="http://schemas.openxmlformats.org/officeDocument/2006/relationships/hyperlink" Target="http://www.snaicc.org.au/wp-content/uploads/2015/12/02811.pdf" TargetMode="External"/><Relationship Id="rId58" Type="http://schemas.openxmlformats.org/officeDocument/2006/relationships/hyperlink" Target="https://ministers.pmc.gov.au/cash/2017/towards-2025-boosting-australian-womens-workforce-participation" TargetMode="External"/><Relationship Id="rId74" Type="http://schemas.openxmlformats.org/officeDocument/2006/relationships/hyperlink" Target="http://pandora.nla.gov.au/pan/31506/20140214-0141/www.melbourneinstitute.com/downloads/working_paper_series/wp2013n34.pdf" TargetMode="External"/><Relationship Id="rId79" Type="http://schemas.openxmlformats.org/officeDocument/2006/relationships/hyperlink" Target="http://dx.doi.org/10.1787/9789264234178-en" TargetMode="External"/><Relationship Id="rId102" Type="http://schemas.openxmlformats.org/officeDocument/2006/relationships/hyperlink" Target="https://www.pwc.com.au/pdf/putting-value-on-ecec.pdf" TargetMode="External"/><Relationship Id="rId123" Type="http://schemas.openxmlformats.org/officeDocument/2006/relationships/hyperlink" Target="https://www.pc.gov.au/inquiries/completed/childcare/report/childcare-appendixc.pdf" TargetMode="External"/><Relationship Id="rId5" Type="http://schemas.openxmlformats.org/officeDocument/2006/relationships/hyperlink" Target="http://www.oecd.org/edu/school/ECEC-Network-Common-Understandings-on-Early-Learning-and-Development.pdf" TargetMode="External"/><Relationship Id="rId61" Type="http://schemas.openxmlformats.org/officeDocument/2006/relationships/hyperlink" Target="http://timssandpirls.bc.edu/timss2015/international-results/" TargetMode="External"/><Relationship Id="rId82" Type="http://schemas.openxmlformats.org/officeDocument/2006/relationships/hyperlink" Target="http://www.pnas.org/content/108/7/2693.full.pdf?with-ds=yes" TargetMode="External"/><Relationship Id="rId90" Type="http://schemas.openxmlformats.org/officeDocument/2006/relationships/hyperlink" Target="http://files.eric.ed.gov/fulltext/EJ1118537.pdf" TargetMode="External"/><Relationship Id="rId95" Type="http://schemas.openxmlformats.org/officeDocument/2006/relationships/hyperlink" Target="https://dspace.library.uu.nl/handle/1874/342312" TargetMode="External"/><Relationship Id="rId19" Type="http://schemas.openxmlformats.org/officeDocument/2006/relationships/hyperlink" Target="http://www.educationcouncil.edu.au/site/DefaultSite/filesystem/documents/National%20STEM%20School%20Education%20Strategy.pdf" TargetMode="External"/><Relationship Id="rId14" Type="http://schemas.openxmlformats.org/officeDocument/2006/relationships/hyperlink" Target="https://www.unicef.org/publications/files/UNICEF_Early_Moments_Matter_for_Every_Child.pdf" TargetMode="External"/><Relationship Id="rId22" Type="http://schemas.openxmlformats.org/officeDocument/2006/relationships/hyperlink" Target="http://www.abc.net.au/radionational/programs/boyerlectures/boyer-lecture-give-every-child-the-best-start/7787486" TargetMode="External"/><Relationship Id="rId27" Type="http://schemas.openxmlformats.org/officeDocument/2006/relationships/hyperlink" Target="http://www.oecd.org/australia/2673543.pdf" TargetMode="External"/><Relationship Id="rId30" Type="http://schemas.openxmlformats.org/officeDocument/2006/relationships/hyperlink" Target="http://www.startingblocks.gov.au/media/1104/national_ecd_strategy.pdf" TargetMode="External"/><Relationship Id="rId35" Type="http://schemas.openxmlformats.org/officeDocument/2006/relationships/hyperlink" Target="https://www.pc.gov.au/research/ongoing/report-on-government-services/2008/2008/81-factsheet-chapter03.pdf" TargetMode="External"/><Relationship Id="rId43" Type="http://schemas.openxmlformats.org/officeDocument/2006/relationships/hyperlink" Target="http://www.abs.gov.au/ausstats/abs@.nsf/mf/4240.0" TargetMode="External"/><Relationship Id="rId48" Type="http://schemas.openxmlformats.org/officeDocument/2006/relationships/hyperlink" Target="http://www.acecqa.gov.au/national-quality-framework/national-quality-framework-snapshots" TargetMode="External"/><Relationship Id="rId56" Type="http://schemas.openxmlformats.org/officeDocument/2006/relationships/hyperlink" Target="http://urbis.com.au/app/uploads/2015/05/Evaluation-of-the-National-Partnership-Agreement-on-Indigenous-Early-Childhood-Development.pdf" TargetMode="External"/><Relationship Id="rId64" Type="http://schemas.openxmlformats.org/officeDocument/2006/relationships/hyperlink" Target="https://www.brookings.edu/research/puzzling-it-out-the-current-state-of-scientific-knowledge-on-pre-kindergarten-effects/" TargetMode="External"/><Relationship Id="rId69" Type="http://schemas.openxmlformats.org/officeDocument/2006/relationships/hyperlink" Target="https://docs.education.gov.au/system/files/doc/other/aifs_crit_review_ec_lit_final_pdf_0.pdf" TargetMode="External"/><Relationship Id="rId77" Type="http://schemas.openxmlformats.org/officeDocument/2006/relationships/hyperlink" Target="https://www.unicef-irc.org/publications/pdf/iwp_2008_02_final.pdf" TargetMode="External"/><Relationship Id="rId100" Type="http://schemas.openxmlformats.org/officeDocument/2006/relationships/hyperlink" Target="http://bush.tamu.edu/psaa/capstones/projects/TECEC2006/ACostBenefitAnalysisofHigh-QualityUniversally-AccessiblePre-KindergartenEducationinTexas.pdf" TargetMode="External"/><Relationship Id="rId105" Type="http://schemas.openxmlformats.org/officeDocument/2006/relationships/hyperlink" Target="http://dx.doi.org/10.1787/eag-2016-en" TargetMode="External"/><Relationship Id="rId113" Type="http://schemas.openxmlformats.org/officeDocument/2006/relationships/hyperlink" Target="https://www.moe.gov.sg/news/press-releases/laying-a-stronger-foundation-for-our-children" TargetMode="External"/><Relationship Id="rId118" Type="http://schemas.openxmlformats.org/officeDocument/2006/relationships/hyperlink" Target="https://www.pc.gov.au/inquiries/completed/childcare/report/childcare-volume1.pdf" TargetMode="External"/><Relationship Id="rId126" Type="http://schemas.openxmlformats.org/officeDocument/2006/relationships/hyperlink" Target="https://www.pc.gov.au/inquiries/completed/education-evidence/report/education-evidence-overview.pdf" TargetMode="External"/><Relationship Id="rId8" Type="http://schemas.openxmlformats.org/officeDocument/2006/relationships/hyperlink" Target="http://www.nccp.org/publications/pdf/text_485.pdf" TargetMode="External"/><Relationship Id="rId51" Type="http://schemas.openxmlformats.org/officeDocument/2006/relationships/hyperlink" Target="http://www.mitchellinstitute.org.au/reports/quality-early-education-for-all/" TargetMode="External"/><Relationship Id="rId72" Type="http://schemas.openxmlformats.org/officeDocument/2006/relationships/hyperlink" Target="http://www.aedc.gov.au/resources/detail/early-childhood-education-and-care-and-the-transition-to-school" TargetMode="External"/><Relationship Id="rId80" Type="http://schemas.openxmlformats.org/officeDocument/2006/relationships/hyperlink" Target="https://www.mecd.gob.es/dctm/inee/internacional/1-skillsoutlook2015.pdf?documentId=0901e72b81d77c93" TargetMode="External"/><Relationship Id="rId85" Type="http://schemas.openxmlformats.org/officeDocument/2006/relationships/hyperlink" Target="https://larrycuban.files.wordpress.com/2011/03/campbell-et-al.pdf" TargetMode="External"/><Relationship Id="rId93" Type="http://schemas.openxmlformats.org/officeDocument/2006/relationships/hyperlink" Target="https://heckmanequation.org/assets/2017/01/Garcia_Heckman_Leaf_etal_2016_life-cycle-benefits-ecp_r1-p.pdf" TargetMode="External"/><Relationship Id="rId98" Type="http://schemas.openxmlformats.org/officeDocument/2006/relationships/hyperlink" Target="http://www.td.com/document/PDF/economics/special/di1112_EarlyChildhoodEducation.pdf" TargetMode="External"/><Relationship Id="rId121" Type="http://schemas.openxmlformats.org/officeDocument/2006/relationships/hyperlink" Target="https://grattan.edu.au/wp-content/uploads/2014/04/Game_Changers_Web.pdf" TargetMode="External"/><Relationship Id="rId3" Type="http://schemas.openxmlformats.org/officeDocument/2006/relationships/hyperlink" Target="http://www.earlychildhoodaustralia.org.au/nqsplp/wp-content/uploads/2013/11/NQS_PLP_E-Newsletter_No66.pdf" TargetMode="External"/><Relationship Id="rId12" Type="http://schemas.openxmlformats.org/officeDocument/2006/relationships/hyperlink" Target="https://www.learningpotential.gov.au/your-child-and-neuroscience-2" TargetMode="External"/><Relationship Id="rId17" Type="http://schemas.openxmlformats.org/officeDocument/2006/relationships/hyperlink" Target="https://www.fya.org.au/wp-content/uploads/2017/07/FYA_TheNewWorkSmarts_July2017.pdf" TargetMode="External"/><Relationship Id="rId25" Type="http://schemas.openxmlformats.org/officeDocument/2006/relationships/hyperlink" Target="https://pdfs.semanticscholar.org/9c4e/643a74b6fb295fc8a5d1092b4dae396a0b1d.pdf" TargetMode="External"/><Relationship Id="rId33" Type="http://schemas.openxmlformats.org/officeDocument/2006/relationships/hyperlink" Target="http://files.acecqa.gov.au/files/Information_Sheets/Overview.pdf" TargetMode="External"/><Relationship Id="rId38" Type="http://schemas.openxmlformats.org/officeDocument/2006/relationships/hyperlink" Target="https://www.education.gov.au/funding-schools" TargetMode="External"/><Relationship Id="rId46" Type="http://schemas.openxmlformats.org/officeDocument/2006/relationships/hyperlink" Target="https://docs.education.gov.au/node/43486" TargetMode="External"/><Relationship Id="rId59" Type="http://schemas.openxmlformats.org/officeDocument/2006/relationships/hyperlink" Target="https://aifs.gov.au/publications/australian-families-children-and-adolescents" TargetMode="External"/><Relationship Id="rId67" Type="http://schemas.openxmlformats.org/officeDocument/2006/relationships/hyperlink" Target="https://education.nsw.gov.au/media/ecec/pdf-documents/FEEL-Study-Literature-Review-Final.pdf" TargetMode="External"/><Relationship Id="rId103" Type="http://schemas.openxmlformats.org/officeDocument/2006/relationships/hyperlink" Target="http://www.nber.org/papers/w18121" TargetMode="External"/><Relationship Id="rId108" Type="http://schemas.openxmlformats.org/officeDocument/2006/relationships/hyperlink" Target="http://education.unimelb.edu.au/__data/assets/pdf_file/0004/2310907/E4Kids-Report-3.0_WEB.pdf" TargetMode="External"/><Relationship Id="rId116" Type="http://schemas.openxmlformats.org/officeDocument/2006/relationships/hyperlink" Target="https://www.researchgate.net/publication/291970194_A_review_of_research_on_the_effects_of_early_childhood_Education_and_Care_ECEC_upon_child_development_CARE_project" TargetMode="External"/><Relationship Id="rId124" Type="http://schemas.openxmlformats.org/officeDocument/2006/relationships/hyperlink" Target="http://dx.doi.org/10.1787/f99b45d0-en" TargetMode="External"/><Relationship Id="rId20" Type="http://schemas.openxmlformats.org/officeDocument/2006/relationships/hyperlink" Target="http://www.sel-gipes.com/uploads/1/2/3/3/12332890/2015_-_ocde__-_starting_strong_iv_monitoring_quality_in_early_childhood_education_and_care.pdf" TargetMode="External"/><Relationship Id="rId41" Type="http://schemas.openxmlformats.org/officeDocument/2006/relationships/hyperlink" Target="http://www.acecqa.gov.au/national-quality-framework/national-quality-framework-snapshots" TargetMode="External"/><Relationship Id="rId54" Type="http://schemas.openxmlformats.org/officeDocument/2006/relationships/hyperlink" Target="https://docs.education.gov.au/system/files/doc/other/indigenous_participation_in_ecec_-_qualitative_study.pdf" TargetMode="External"/><Relationship Id="rId62" Type="http://schemas.openxmlformats.org/officeDocument/2006/relationships/hyperlink" Target="http://timssandpirls.bc.edu/timss2015/international-results/" TargetMode="External"/><Relationship Id="rId70" Type="http://schemas.openxmlformats.org/officeDocument/2006/relationships/hyperlink" Target="http://nieer.org/wp-content/uploads/2014/09/specialsummary_rev2011_02_2.pdf" TargetMode="External"/><Relationship Id="rId75" Type="http://schemas.openxmlformats.org/officeDocument/2006/relationships/hyperlink" Target="http://caepr.anu.edu.au/Publications/WP/2015WP103.php" TargetMode="External"/><Relationship Id="rId83" Type="http://schemas.openxmlformats.org/officeDocument/2006/relationships/hyperlink" Target="https://www.nature.com/articles/s41562-016-0005" TargetMode="External"/><Relationship Id="rId88" Type="http://schemas.openxmlformats.org/officeDocument/2006/relationships/hyperlink" Target="http://jenni.uchicago.edu/papers/Heckman_Science_v312_2006.pdf" TargetMode="External"/><Relationship Id="rId91" Type="http://schemas.openxmlformats.org/officeDocument/2006/relationships/hyperlink" Target="https://heckmanequation.org/assets/2017/01/HeckmanMoonPintoSavelyevYavitz_RateofReturnPerryPreschool_2010.pdf" TargetMode="External"/><Relationship Id="rId96" Type="http://schemas.openxmlformats.org/officeDocument/2006/relationships/hyperlink" Target="http://equitablegrowth.org/report/the-benefits-and-costs-of-investing-in-early-childhood-education/" TargetMode="External"/><Relationship Id="rId111" Type="http://schemas.openxmlformats.org/officeDocument/2006/relationships/hyperlink" Target="http://webarchive.nationalarchives.gov.uk/20090608233417/http://www.dcsf.gov.uk/everychildmatters/publications/0/1160/" TargetMode="External"/><Relationship Id="rId1" Type="http://schemas.openxmlformats.org/officeDocument/2006/relationships/hyperlink" Target="https://d3n8a8pro7vhmx.cloudfront.net/everyonebenefits/pages/73/attachments/original/1504689599/ELEB-Report-web.pdf?1504689599" TargetMode="External"/><Relationship Id="rId6" Type="http://schemas.openxmlformats.org/officeDocument/2006/relationships/hyperlink" Target="http://files.acecqa.gov.au/files/National-Quality-Framework-Resources-Kit/belonging_being_and_becoming_the_early_years_learning_framework_for_australia.pdf" TargetMode="External"/><Relationship Id="rId15" Type="http://schemas.openxmlformats.org/officeDocument/2006/relationships/hyperlink" Target="http://developingchild.harvard.edu/wp-content/uploads/2011/05/How-Early-Experiences-Shape-the-Development-of-Executive-Function.pdf" TargetMode="External"/><Relationship Id="rId23" Type="http://schemas.openxmlformats.org/officeDocument/2006/relationships/hyperlink" Target="https://www.cis.org.au/app/uploads/2016/09/rr19.pdf" TargetMode="External"/><Relationship Id="rId28" Type="http://schemas.openxmlformats.org/officeDocument/2006/relationships/hyperlink" Target="http://research.acer.edu.au/cgi/viewcontent.cgi?article=1003&amp;context=aer" TargetMode="External"/><Relationship Id="rId36" Type="http://schemas.openxmlformats.org/officeDocument/2006/relationships/hyperlink" Target="https://docs.education.gov.au/system/files/doc/other/key_changes_for_families_fact_sheet_310817.pdf" TargetMode="External"/><Relationship Id="rId49" Type="http://schemas.openxmlformats.org/officeDocument/2006/relationships/hyperlink" Target="http://performancedashboard.d61.io/education/education_uaece" TargetMode="External"/><Relationship Id="rId57" Type="http://schemas.openxmlformats.org/officeDocument/2006/relationships/hyperlink" Target="http://www.educationcouncil.edu.au/site/DefaultSite/filesystem/documents/Reports%20and%20publications/EC%20Publications/NP_UAECE%20Review-220415.pdf" TargetMode="External"/><Relationship Id="rId106" Type="http://schemas.openxmlformats.org/officeDocument/2006/relationships/hyperlink" Target="http://databank.worldbank.org/data/reports.aspx?source=2&amp;series=SE.PRE.DURS&amp;country" TargetMode="External"/><Relationship Id="rId114" Type="http://schemas.openxmlformats.org/officeDocument/2006/relationships/hyperlink" Target="http://www.acecqa.gov.au/Early-childhood-teacher-registration-and-accreditation" TargetMode="External"/><Relationship Id="rId119" Type="http://schemas.openxmlformats.org/officeDocument/2006/relationships/hyperlink" Target="https://link.springer.com/article/10.1007/2288-6729-4-1-1" TargetMode="External"/><Relationship Id="rId10" Type="http://schemas.openxmlformats.org/officeDocument/2006/relationships/hyperlink" Target="http://files.eric.ed.gov/fulltext/ED467320.pdf" TargetMode="External"/><Relationship Id="rId31" Type="http://schemas.openxmlformats.org/officeDocument/2006/relationships/hyperlink" Target="http://www.federalfinancialrelations.gov.au/content/npa/education/national-partnership/2016_2017_universal_access_NP.pdf" TargetMode="External"/><Relationship Id="rId44" Type="http://schemas.openxmlformats.org/officeDocument/2006/relationships/hyperlink" Target="https://playgroupaustralia.org.au/wp-content/uploads/2017/03/Impact-of-playgroup-on-child-development-Jan-2017-Telethon-Kids-Institute.pdf" TargetMode="External"/><Relationship Id="rId52" Type="http://schemas.openxmlformats.org/officeDocument/2006/relationships/hyperlink" Target="https://www.pc.gov.au/inquiries/completed/education-workforce-early-childhood/report" TargetMode="External"/><Relationship Id="rId60" Type="http://schemas.openxmlformats.org/officeDocument/2006/relationships/hyperlink" Target="https://docs.education.gov.au/system/files/doc/other/review-of-funding-for-schooling-final-report-dec-2011.pdf" TargetMode="External"/><Relationship Id="rId65" Type="http://schemas.openxmlformats.org/officeDocument/2006/relationships/hyperlink" Target="https://docs.education.gov.au/system/files/doc/other/tors.pdf" TargetMode="External"/><Relationship Id="rId73" Type="http://schemas.openxmlformats.org/officeDocument/2006/relationships/hyperlink" Target="http://www.education.vic.gov.au/Documents/about/research/state_of_victorias_children_2015.pdf" TargetMode="External"/><Relationship Id="rId78" Type="http://schemas.openxmlformats.org/officeDocument/2006/relationships/hyperlink" Target="http://www.nber.org/papers/w11812" TargetMode="External"/><Relationship Id="rId81" Type="http://schemas.openxmlformats.org/officeDocument/2006/relationships/hyperlink" Target="http://dunedinstudy.otago.ac.nz/about-us" TargetMode="External"/><Relationship Id="rId86" Type="http://schemas.openxmlformats.org/officeDocument/2006/relationships/hyperlink" Target="https://www.oecd.org/site/espforum2014/IssuesPaperESPForum2014.pdf" TargetMode="External"/><Relationship Id="rId94" Type="http://schemas.openxmlformats.org/officeDocument/2006/relationships/hyperlink" Target="http://www.wsipp.wa.gov/BenefitCost/Program/270" TargetMode="External"/><Relationship Id="rId99" Type="http://schemas.openxmlformats.org/officeDocument/2006/relationships/hyperlink" Target="http://mwmccain.ca/reports/2017/10/26/ready-life-socio-economic-analysis-early-childhood-education-and-care/" TargetMode="External"/><Relationship Id="rId101" Type="http://schemas.openxmlformats.org/officeDocument/2006/relationships/hyperlink" Target="https://www.rand.org/content/dam/rand/pubs/monographs/2005/RAND_MG349.pdf" TargetMode="External"/><Relationship Id="rId122" Type="http://schemas.openxmlformats.org/officeDocument/2006/relationships/hyperlink" Target="http://www.abs.gov.au/ausstats/abs@.nsf/latestProducts/6202.0Media%20Release1Sep%202017" TargetMode="External"/><Relationship Id="rId4" Type="http://schemas.openxmlformats.org/officeDocument/2006/relationships/hyperlink" Target="https://www.goodstart.org.au/news-and-advice/october-2016/what-is%C2%A0play-based-learning" TargetMode="External"/><Relationship Id="rId9" Type="http://schemas.openxmlformats.org/officeDocument/2006/relationships/hyperlink" Target="http://www.community.nsw.gov.au/__data/assets/pdf_file/0008/321596/research_childcare_school.pdf" TargetMode="External"/><Relationship Id="rId13" Type="http://schemas.openxmlformats.org/officeDocument/2006/relationships/hyperlink" Target="http://apo.org.au/system/files/108431/apo-nid108431-436656.pdf" TargetMode="External"/><Relationship Id="rId18" Type="http://schemas.openxmlformats.org/officeDocument/2006/relationships/hyperlink" Target="https://docs.education.gov.au/system/files/doc/other/early-learning-in-stem-final-report.pdf" TargetMode="External"/><Relationship Id="rId39" Type="http://schemas.openxmlformats.org/officeDocument/2006/relationships/hyperlink" Target="http://www.aedc.gov.au/resources/detail/2015-aedc-national-report" TargetMode="External"/><Relationship Id="rId109" Type="http://schemas.openxmlformats.org/officeDocument/2006/relationships/hyperlink" Target="https://www.pc.gov.au/inquiries/completed/childcare/report/childcare-volume2.pdf" TargetMode="External"/><Relationship Id="rId34" Type="http://schemas.openxmlformats.org/officeDocument/2006/relationships/hyperlink" Target="http://www.federalfinancialrelations.gov.au/content/npa/education/national-partnership/National-Quality-Early-Childhood-Education-2018-NP.pdf" TargetMode="External"/><Relationship Id="rId50" Type="http://schemas.openxmlformats.org/officeDocument/2006/relationships/hyperlink" Target="https://aifs.gov.au/sites/default/files/publication-documents/rr24.pdf" TargetMode="External"/><Relationship Id="rId55" Type="http://schemas.openxmlformats.org/officeDocument/2006/relationships/hyperlink" Target="http://citeseerx.ist.psu.edu/viewdoc/download?doi=10.1.1.453.2705&amp;rep=rep1&amp;type=pdf" TargetMode="External"/><Relationship Id="rId76" Type="http://schemas.openxmlformats.org/officeDocument/2006/relationships/hyperlink" Target="https://urldefense.proofpoint.com/v2/url?u=https-3A__www.aedc.gov.au_resources_detail_early-2Dchildhood-2Deducation-2Dand-2Dcare-2Dand-2Dthe-2Dtransition-2Dto-2Dschool&amp;d=DwMF-g&amp;c=JnBkUqWXzx2bz-3a05d47Q&amp;r=Ib9-ElBJTugJOFSHrXTdOSnY3ggG8eu4fYga9A9YdUY&amp;m=O3ymL5cFMcVc7kdcdz0_rv-QORcsSypJ7tPyvMNex5I&amp;s=cpT0GcGgyfqPUhUbtHGduDV8lPz_7zNujYYYqNo-wOE&amp;e=" TargetMode="External"/><Relationship Id="rId97" Type="http://schemas.openxmlformats.org/officeDocument/2006/relationships/hyperlink" Target="https://investinus.org/assets/Early-Childhood-Report.pdf?f50799" TargetMode="External"/><Relationship Id="rId104" Type="http://schemas.openxmlformats.org/officeDocument/2006/relationships/hyperlink" Target="http://graphics.eiu.com/upload/eb/lienstartingwell.pdf" TargetMode="External"/><Relationship Id="rId120" Type="http://schemas.openxmlformats.org/officeDocument/2006/relationships/hyperlink" Target="https://www.education.gov.au/how-become-approved-child-care-subsidy-provider" TargetMode="External"/><Relationship Id="rId125" Type="http://schemas.openxmlformats.org/officeDocument/2006/relationships/hyperlink" Target="https://docs.education.gov.au/system/files/doc/other/what_is_the_quality_schools_package_and_what_does_it_mean_for_my_school.pdf" TargetMode="External"/><Relationship Id="rId7" Type="http://schemas.openxmlformats.org/officeDocument/2006/relationships/hyperlink" Target="http://www.scseec.edu.au/site/DefaultSite/filesystem/documents/Reports%20and%20publications/Publications/Early%20childhood%20education/Engaging%20Families%20in%20the%20ECD%20Story-Neuroscience%20and%20ECD.pdf" TargetMode="External"/><Relationship Id="rId71" Type="http://schemas.openxmlformats.org/officeDocument/2006/relationships/hyperlink" Target="https://www.ncbi.nlm.nih.gov/pmc/articles/PMC3774305/" TargetMode="External"/><Relationship Id="rId92" Type="http://schemas.openxmlformats.org/officeDocument/2006/relationships/hyperlink" Target="http://journals.sagepub.com/doi/pdf/10.1177/2158244015571637" TargetMode="External"/><Relationship Id="rId2" Type="http://schemas.openxmlformats.org/officeDocument/2006/relationships/hyperlink" Target="https://researchoutput.csu.edu.au/ws/portalfiles/portal/9387429" TargetMode="External"/><Relationship Id="rId29" Type="http://schemas.openxmlformats.org/officeDocument/2006/relationships/hyperlink" Target="http://apo.org.au/system/files/56125/apo-nid56125-59476.pdf" TargetMode="External"/><Relationship Id="rId24" Type="http://schemas.openxmlformats.org/officeDocument/2006/relationships/hyperlink" Target="https://www.nichd.nih.gov/publications/pubs/documents/seccyd_06.pdf" TargetMode="External"/><Relationship Id="rId40" Type="http://schemas.openxmlformats.org/officeDocument/2006/relationships/hyperlink" Target="https://www.aedc.gov.au/resources/detail/the-predictive-validity-of-the-aedc-predicting-later-cognitive-and-behavioural-outcomes" TargetMode="External"/><Relationship Id="rId45" Type="http://schemas.openxmlformats.org/officeDocument/2006/relationships/hyperlink" Target="https://aifs.gov.au/cfca/publications/supported-playgroups-parents-and-children" TargetMode="External"/><Relationship Id="rId66" Type="http://schemas.openxmlformats.org/officeDocument/2006/relationships/hyperlink" Target="http://www.keepeek.com/Digital-Asset-Management/oecd/education/low-performing-students_9789264250246-en" TargetMode="External"/><Relationship Id="rId87" Type="http://schemas.openxmlformats.org/officeDocument/2006/relationships/hyperlink" Target="http://doi.org/10.1542/peds.2014-1725" TargetMode="External"/><Relationship Id="rId110" Type="http://schemas.openxmlformats.org/officeDocument/2006/relationships/hyperlink" Target="http://www.community.nsw.gov.au/__data/assets/pdf_file/0020/321617/research_qualitychildcare.pdf" TargetMode="External"/><Relationship Id="rId115" Type="http://schemas.openxmlformats.org/officeDocument/2006/relationships/hyperlink" Target="https://docs.education.gov.au/system/files/doc/other/early_years_workforce_strategy_0_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1E97CA9-622F-48F0-A8C1-AAD9DA921E88}"/>
</file>

<file path=customXml/itemProps2.xml><?xml version="1.0" encoding="utf-8"?>
<ds:datastoreItem xmlns:ds="http://schemas.openxmlformats.org/officeDocument/2006/customXml" ds:itemID="{0EEDEBEE-7E50-4F0A-A7B6-7A9EB4D5810B}"/>
</file>

<file path=customXml/itemProps3.xml><?xml version="1.0" encoding="utf-8"?>
<ds:datastoreItem xmlns:ds="http://schemas.openxmlformats.org/officeDocument/2006/customXml" ds:itemID="{FB8E2B17-8C72-4673-B729-8A622369F09A}"/>
</file>

<file path=customXml/itemProps4.xml><?xml version="1.0" encoding="utf-8"?>
<ds:datastoreItem xmlns:ds="http://schemas.openxmlformats.org/officeDocument/2006/customXml" ds:itemID="{BEBBA63B-72E7-4789-A4A4-2758FB9AD7A8}"/>
</file>

<file path=docProps/app.xml><?xml version="1.0" encoding="utf-8"?>
<Properties xmlns="http://schemas.openxmlformats.org/officeDocument/2006/extended-properties" xmlns:vt="http://schemas.openxmlformats.org/officeDocument/2006/docPropsVTypes">
  <Template>Normal.dotm</Template>
  <TotalTime>68</TotalTime>
  <Pages>85</Pages>
  <Words>32765</Words>
  <Characters>190905</Characters>
  <Application>Microsoft Office Word</Application>
  <DocSecurity>0</DocSecurity>
  <Lines>1590</Lines>
  <Paragraphs>446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Letter of transmittal</vt:lpstr>
      <vt:lpstr>Executive summary </vt:lpstr>
      <vt:lpstr>List of rRecommendations </vt:lpstr>
      <vt:lpstr>2.1 The importance of the early years </vt:lpstr>
      <vt:lpstr>2.2 Background to early childhood in Australia </vt:lpstr>
      <vt:lpstr>2.3 Early childhood education and care systems and settings in Australia </vt:lpstr>
      <vt:lpstr>2.4 How Australia is performing</vt:lpstr>
      <vt:lpstr>3.1 Impact of early childhood interventions on school outcomes </vt:lpstr>
    </vt:vector>
  </TitlesOfParts>
  <Company/>
  <LinksUpToDate>false</LinksUpToDate>
  <CharactersWithSpaces>223224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Buman (DPC)</dc:creator>
  <cp:lastModifiedBy>Shilpa Bhim (DPC)</cp:lastModifiedBy>
  <cp:revision>23</cp:revision>
  <cp:lastPrinted>2017-11-15T22:51:00Z</cp:lastPrinted>
  <dcterms:created xsi:type="dcterms:W3CDTF">2018-01-23T05:35:00Z</dcterms:created>
  <dcterms:modified xsi:type="dcterms:W3CDTF">2018-01-24T03:05:00Z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80e77f76-c461-49a0-8db0-005052574ecc</vt:lpwstr>
  </property>
  <property fmtid="{D5CDD505-2E9C-101B-9397-08002B2CF9AE}" pid="3" name="PSPFClassification">
    <vt:lpwstr>Do Not Mark</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