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7D" w:rsidRDefault="00874A7D" w:rsidP="00EF7670">
      <w:pPr>
        <w:pStyle w:val="Heading1"/>
      </w:pPr>
      <w:bookmarkStart w:id="0" w:name="_GoBack"/>
      <w:bookmarkEnd w:id="0"/>
      <w:r>
        <w:t>School Entrant Health Questionnaire 2018</w:t>
      </w:r>
    </w:p>
    <w:p w:rsidR="00EF7670" w:rsidRDefault="00EF7670" w:rsidP="00EF7670">
      <w:r w:rsidRPr="00874A7D">
        <w:t>DECEMBER 2019</w:t>
      </w:r>
    </w:p>
    <w:p w:rsidR="00874A7D" w:rsidRDefault="00874A7D" w:rsidP="00874A7D">
      <w:r>
        <w:t xml:space="preserve">The School Entrant Health Questionnaire (SEHQ) is an integral part of the Primary School Nursing Program and also provides </w:t>
      </w:r>
      <w:proofErr w:type="gramStart"/>
      <w:r>
        <w:t>valuable  information</w:t>
      </w:r>
      <w:proofErr w:type="gramEnd"/>
      <w:r>
        <w:t xml:space="preserve"> about outcomes for children at state and local levels. It </w:t>
      </w:r>
      <w:proofErr w:type="gramStart"/>
      <w:r>
        <w:t>has  been</w:t>
      </w:r>
      <w:proofErr w:type="gramEnd"/>
      <w:r>
        <w:t xml:space="preserve"> completed annually by parents or carers of Victorian foundation students since 1997.</w:t>
      </w:r>
    </w:p>
    <w:p w:rsidR="00874A7D" w:rsidRDefault="00874A7D" w:rsidP="00874A7D">
      <w:r>
        <w:t>Topics covered by the survey include general health, speech and language, service use, development and behavioural issues, psychological health and wellbeing, and family stress.</w:t>
      </w:r>
    </w:p>
    <w:p w:rsidR="00874A7D" w:rsidRDefault="00874A7D" w:rsidP="00874A7D">
      <w:r>
        <w:t>In 2018, there were 63,811 responses to the SEHQ, representing 87 per cent of all Victorian children enrolled in Foundation. This snapshot summarises the key findings of parents’ responses and concerns.</w:t>
      </w:r>
    </w:p>
    <w:p w:rsidR="00874A7D" w:rsidRDefault="00874A7D" w:rsidP="00EF7670">
      <w:pPr>
        <w:pStyle w:val="Heading2"/>
      </w:pPr>
      <w:r>
        <w:t>General health</w:t>
      </w:r>
    </w:p>
    <w:p w:rsidR="00874A7D" w:rsidRDefault="00874A7D" w:rsidP="00874A7D">
      <w:r>
        <w:t xml:space="preserve">In 2018, 91% of Victorian parents rated their child’s health as GOOD, VERY GOOD OR EXCELLENT </w:t>
      </w:r>
    </w:p>
    <w:p w:rsidR="00874A7D" w:rsidRDefault="00874A7D" w:rsidP="00874A7D">
      <w:r>
        <w:t>While this indicator has remained consistently high, it has decreased over time, from 95 per cent in 2014.</w:t>
      </w:r>
    </w:p>
    <w:p w:rsidR="00111B62" w:rsidRPr="00D702EA" w:rsidRDefault="00D702EA" w:rsidP="00D702EA">
      <w:pPr>
        <w:pStyle w:val="Heading3"/>
      </w:pPr>
      <w:r w:rsidRPr="00D702EA">
        <w:t>Parent</w:t>
      </w:r>
      <w:r>
        <w:t>s</w:t>
      </w:r>
      <w:r w:rsidRPr="00D702EA">
        <w:t xml:space="preserve"> rating their child’s health </w:t>
      </w:r>
      <w:r w:rsidR="00111B62" w:rsidRPr="00D702EA">
        <w:t>General health</w:t>
      </w:r>
      <w:r w:rsidRPr="00D702EA">
        <w:t xml:space="preserve"> as GOOD, VERY GOOD OR EXCELLENT</w:t>
      </w: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874A7D" w:rsidRPr="00874A7D" w:rsidTr="00874A7D">
        <w:trPr>
          <w:trHeight w:val="300"/>
        </w:trPr>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2014</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2015</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2016</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2017</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2018</w:t>
            </w:r>
          </w:p>
        </w:tc>
      </w:tr>
      <w:tr w:rsidR="00874A7D" w:rsidRPr="00874A7D" w:rsidTr="00874A7D">
        <w:trPr>
          <w:trHeight w:val="300"/>
        </w:trPr>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95%</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93%</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93%</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92%</w:t>
            </w:r>
          </w:p>
        </w:tc>
        <w:tc>
          <w:tcPr>
            <w:tcW w:w="960" w:type="dxa"/>
            <w:shd w:val="clear" w:color="auto" w:fill="auto"/>
            <w:noWrap/>
            <w:vAlign w:val="bottom"/>
            <w:hideMark/>
          </w:tcPr>
          <w:p w:rsidR="00874A7D" w:rsidRPr="00874A7D" w:rsidRDefault="00874A7D" w:rsidP="00874A7D">
            <w:pPr>
              <w:spacing w:after="0" w:line="240" w:lineRule="auto"/>
              <w:jc w:val="right"/>
              <w:rPr>
                <w:rFonts w:ascii="Calibri" w:eastAsia="Times New Roman" w:hAnsi="Calibri" w:cs="Calibri"/>
                <w:color w:val="000000"/>
                <w:lang w:eastAsia="en-AU"/>
              </w:rPr>
            </w:pPr>
            <w:r w:rsidRPr="00874A7D">
              <w:rPr>
                <w:rFonts w:ascii="Calibri" w:eastAsia="Times New Roman" w:hAnsi="Calibri" w:cs="Calibri"/>
                <w:color w:val="000000"/>
                <w:lang w:eastAsia="en-AU"/>
              </w:rPr>
              <w:t>91%</w:t>
            </w:r>
          </w:p>
        </w:tc>
      </w:tr>
    </w:tbl>
    <w:p w:rsidR="00874A7D" w:rsidRDefault="00874A7D" w:rsidP="00874A7D"/>
    <w:p w:rsidR="00EF7670" w:rsidRDefault="00EF7670" w:rsidP="00EF7670">
      <w:r>
        <w:t>In 2018:</w:t>
      </w:r>
    </w:p>
    <w:p w:rsidR="00874A7D" w:rsidRDefault="00874A7D" w:rsidP="00585B29">
      <w:pPr>
        <w:pStyle w:val="ListParagraph"/>
        <w:numPr>
          <w:ilvl w:val="0"/>
          <w:numId w:val="1"/>
        </w:numPr>
      </w:pPr>
      <w:r>
        <w:t>3% of parents were concerned about their child’s learning of preschool or school skills.</w:t>
      </w:r>
    </w:p>
    <w:p w:rsidR="00874A7D" w:rsidRDefault="00874A7D" w:rsidP="00585B29">
      <w:pPr>
        <w:pStyle w:val="ListParagraph"/>
        <w:numPr>
          <w:ilvl w:val="0"/>
          <w:numId w:val="1"/>
        </w:numPr>
      </w:pPr>
      <w:r>
        <w:t>5% of children covered in the survey had an intellectual disability, developmental delay or learning disability.</w:t>
      </w:r>
    </w:p>
    <w:p w:rsidR="00EF7670" w:rsidRDefault="00EF7670" w:rsidP="009B6BEC">
      <w:r>
        <w:t>In 2018, 11% had asthma and 7 per cent had an asthma action plan at school.</w:t>
      </w:r>
    </w:p>
    <w:p w:rsidR="00874A7D" w:rsidRDefault="00874A7D" w:rsidP="009B6BEC">
      <w:r>
        <w:t>Boys were more likely than girls to be diagnosed with asthma (15% compared with 10%).</w:t>
      </w:r>
    </w:p>
    <w:p w:rsidR="00874A7D" w:rsidRDefault="00874A7D" w:rsidP="009B6BEC">
      <w:r>
        <w:t xml:space="preserve">Aboriginal and Torres Strait Islander were more likely to have been diagnosed with asthma (18%). </w:t>
      </w:r>
    </w:p>
    <w:p w:rsidR="00874A7D" w:rsidRDefault="00874A7D" w:rsidP="00EF7670">
      <w:pPr>
        <w:pStyle w:val="Heading2"/>
      </w:pPr>
      <w:r>
        <w:t>Service use in the last 12 months</w:t>
      </w:r>
    </w:p>
    <w:p w:rsidR="00874A7D" w:rsidRDefault="00874A7D" w:rsidP="00874A7D">
      <w:r>
        <w:t>In 2018:</w:t>
      </w:r>
    </w:p>
    <w:p w:rsidR="00874A7D" w:rsidRDefault="00874A7D" w:rsidP="00585B29">
      <w:pPr>
        <w:pStyle w:val="ListParagraph"/>
        <w:numPr>
          <w:ilvl w:val="0"/>
          <w:numId w:val="2"/>
        </w:numPr>
      </w:pPr>
      <w:r>
        <w:t>14%</w:t>
      </w:r>
      <w:r w:rsidR="00805C93">
        <w:t xml:space="preserve"> attended a paediatrician</w:t>
      </w:r>
    </w:p>
    <w:p w:rsidR="00874A7D" w:rsidRDefault="00874A7D" w:rsidP="00585B29">
      <w:pPr>
        <w:pStyle w:val="ListParagraph"/>
        <w:numPr>
          <w:ilvl w:val="0"/>
          <w:numId w:val="2"/>
        </w:numPr>
      </w:pPr>
      <w:r>
        <w:t>13%</w:t>
      </w:r>
      <w:r w:rsidR="00805C93">
        <w:t xml:space="preserve"> attended a speech pathologist/therapist</w:t>
      </w:r>
    </w:p>
    <w:p w:rsidR="00805C93" w:rsidRDefault="00874A7D" w:rsidP="00585B29">
      <w:pPr>
        <w:pStyle w:val="ListParagraph"/>
        <w:numPr>
          <w:ilvl w:val="0"/>
          <w:numId w:val="2"/>
        </w:numPr>
      </w:pPr>
      <w:r>
        <w:t>61%</w:t>
      </w:r>
      <w:r w:rsidR="00805C93">
        <w:t xml:space="preserve"> </w:t>
      </w:r>
      <w:r w:rsidR="00353C29">
        <w:t>attended</w:t>
      </w:r>
      <w:r>
        <w:t xml:space="preserve"> a</w:t>
      </w:r>
      <w:r w:rsidR="00805C93">
        <w:t xml:space="preserve"> dentist (including orthodontist, periodontist etc.)</w:t>
      </w:r>
    </w:p>
    <w:p w:rsidR="00805C93" w:rsidRDefault="00805C93" w:rsidP="00585B29">
      <w:pPr>
        <w:pStyle w:val="ListParagraph"/>
        <w:numPr>
          <w:ilvl w:val="0"/>
          <w:numId w:val="2"/>
        </w:numPr>
      </w:pPr>
      <w:r>
        <w:t xml:space="preserve">20% </w:t>
      </w:r>
      <w:r w:rsidR="00353C29">
        <w:t>a</w:t>
      </w:r>
      <w:r>
        <w:t>ttended an optometrist/ eye doctor</w:t>
      </w:r>
    </w:p>
    <w:p w:rsidR="00874A7D" w:rsidRDefault="00805C93" w:rsidP="00585B29">
      <w:pPr>
        <w:pStyle w:val="ListParagraph"/>
        <w:numPr>
          <w:ilvl w:val="0"/>
          <w:numId w:val="2"/>
        </w:numPr>
      </w:pPr>
      <w:r>
        <w:t xml:space="preserve">11% </w:t>
      </w:r>
      <w:r w:rsidR="00353C29">
        <w:t>a</w:t>
      </w:r>
      <w:r>
        <w:t>ttended an audiologist / hearing specialist</w:t>
      </w:r>
    </w:p>
    <w:p w:rsidR="00874A7D" w:rsidRDefault="00874A7D" w:rsidP="00874A7D">
      <w:r>
        <w:t>Since 2014, parents’ use of services for their children has increased across the board for all specialists, but particularly for Dentists (from 50 per cent to 61 per cent) and Paediatricians (from 11 per cent to</w:t>
      </w:r>
      <w:r w:rsidR="00805C93">
        <w:t xml:space="preserve"> </w:t>
      </w:r>
      <w:r>
        <w:t>14 per cent).</w:t>
      </w:r>
    </w:p>
    <w:p w:rsidR="00111B62" w:rsidRDefault="00111B62" w:rsidP="00111B62">
      <w:pPr>
        <w:pStyle w:val="Heading3"/>
      </w:pPr>
      <w:r>
        <w:lastRenderedPageBreak/>
        <w:t>Proportion of children whose parents reported they had used this health service in the previous 12 months</w:t>
      </w:r>
    </w:p>
    <w:tbl>
      <w:tblPr>
        <w:tblW w:w="6820" w:type="dxa"/>
        <w:tblLook w:val="04A0" w:firstRow="1" w:lastRow="0" w:firstColumn="1" w:lastColumn="0" w:noHBand="0" w:noVBand="1"/>
      </w:tblPr>
      <w:tblGrid>
        <w:gridCol w:w="4900"/>
        <w:gridCol w:w="960"/>
        <w:gridCol w:w="960"/>
      </w:tblGrid>
      <w:tr w:rsidR="00111B62" w:rsidRPr="00111B62" w:rsidTr="00111B62">
        <w:trPr>
          <w:trHeight w:val="315"/>
        </w:trPr>
        <w:tc>
          <w:tcPr>
            <w:tcW w:w="4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2014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2018</w:t>
            </w:r>
          </w:p>
        </w:tc>
      </w:tr>
      <w:tr w:rsidR="00111B62" w:rsidRPr="00111B62" w:rsidTr="00111B62">
        <w:trPr>
          <w:trHeight w:val="315"/>
        </w:trPr>
        <w:tc>
          <w:tcPr>
            <w:tcW w:w="4900" w:type="dxa"/>
            <w:tcBorders>
              <w:top w:val="nil"/>
              <w:left w:val="single" w:sz="8" w:space="0" w:color="auto"/>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Dentist (including orthodontist, periodontist etc.)</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50.3%</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60.7%</w:t>
            </w:r>
          </w:p>
        </w:tc>
      </w:tr>
      <w:tr w:rsidR="00111B62" w:rsidRPr="00111B62" w:rsidTr="00111B62">
        <w:trPr>
          <w:trHeight w:val="315"/>
        </w:trPr>
        <w:tc>
          <w:tcPr>
            <w:tcW w:w="4900" w:type="dxa"/>
            <w:tcBorders>
              <w:top w:val="nil"/>
              <w:left w:val="single" w:sz="8" w:space="0" w:color="auto"/>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Optometrist/eye doctor</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18.1%</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20.3%</w:t>
            </w:r>
          </w:p>
        </w:tc>
      </w:tr>
      <w:tr w:rsidR="00111B62" w:rsidRPr="00111B62" w:rsidTr="00111B62">
        <w:trPr>
          <w:trHeight w:val="315"/>
        </w:trPr>
        <w:tc>
          <w:tcPr>
            <w:tcW w:w="4900" w:type="dxa"/>
            <w:tcBorders>
              <w:top w:val="nil"/>
              <w:left w:val="single" w:sz="8" w:space="0" w:color="auto"/>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Speech pathologist/therapist</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11.9%</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12.6%</w:t>
            </w:r>
          </w:p>
        </w:tc>
      </w:tr>
      <w:tr w:rsidR="00111B62" w:rsidRPr="00111B62" w:rsidTr="00111B62">
        <w:trPr>
          <w:trHeight w:val="315"/>
        </w:trPr>
        <w:tc>
          <w:tcPr>
            <w:tcW w:w="4900" w:type="dxa"/>
            <w:tcBorders>
              <w:top w:val="nil"/>
              <w:left w:val="single" w:sz="8" w:space="0" w:color="auto"/>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Paediatrician</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10.8%</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13.9%</w:t>
            </w:r>
          </w:p>
        </w:tc>
      </w:tr>
      <w:tr w:rsidR="00111B62" w:rsidRPr="00111B62" w:rsidTr="00111B62">
        <w:trPr>
          <w:trHeight w:val="315"/>
        </w:trPr>
        <w:tc>
          <w:tcPr>
            <w:tcW w:w="4900" w:type="dxa"/>
            <w:tcBorders>
              <w:top w:val="nil"/>
              <w:left w:val="single" w:sz="8" w:space="0" w:color="auto"/>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rPr>
                <w:rFonts w:ascii="Calibri" w:eastAsia="Times New Roman" w:hAnsi="Calibri" w:cs="Calibri"/>
                <w:b/>
                <w:bCs/>
                <w:color w:val="000000"/>
                <w:lang w:eastAsia="en-AU"/>
              </w:rPr>
            </w:pPr>
            <w:r w:rsidRPr="00111B62">
              <w:rPr>
                <w:rFonts w:ascii="Calibri" w:eastAsia="Times New Roman" w:hAnsi="Calibri" w:cs="Calibri"/>
                <w:b/>
                <w:bCs/>
                <w:color w:val="000000"/>
                <w:lang w:eastAsia="en-AU"/>
              </w:rPr>
              <w:t>Audiologist/hearing specialist</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10.0%</w:t>
            </w:r>
          </w:p>
        </w:tc>
        <w:tc>
          <w:tcPr>
            <w:tcW w:w="960" w:type="dxa"/>
            <w:tcBorders>
              <w:top w:val="nil"/>
              <w:left w:val="nil"/>
              <w:bottom w:val="single" w:sz="8" w:space="0" w:color="auto"/>
              <w:right w:val="single" w:sz="8" w:space="0" w:color="auto"/>
            </w:tcBorders>
            <w:shd w:val="clear" w:color="auto" w:fill="auto"/>
            <w:vAlign w:val="center"/>
            <w:hideMark/>
          </w:tcPr>
          <w:p w:rsidR="00111B62" w:rsidRPr="00111B62" w:rsidRDefault="00111B62" w:rsidP="00111B62">
            <w:pPr>
              <w:spacing w:after="0" w:line="240" w:lineRule="auto"/>
              <w:jc w:val="right"/>
              <w:rPr>
                <w:rFonts w:ascii="Calibri" w:eastAsia="Times New Roman" w:hAnsi="Calibri" w:cs="Calibri"/>
                <w:color w:val="000000"/>
                <w:lang w:eastAsia="en-AU"/>
              </w:rPr>
            </w:pPr>
            <w:r w:rsidRPr="00111B62">
              <w:rPr>
                <w:rFonts w:ascii="Calibri" w:eastAsia="Times New Roman" w:hAnsi="Calibri" w:cs="Calibri"/>
                <w:color w:val="000000"/>
                <w:lang w:eastAsia="en-AU"/>
              </w:rPr>
              <w:t>10.9%</w:t>
            </w:r>
          </w:p>
        </w:tc>
      </w:tr>
    </w:tbl>
    <w:p w:rsidR="00874A7D" w:rsidRDefault="00874A7D" w:rsidP="00874A7D"/>
    <w:p w:rsidR="00874A7D" w:rsidRDefault="00874A7D" w:rsidP="00111B62">
      <w:pPr>
        <w:pStyle w:val="Heading2"/>
      </w:pPr>
      <w:r>
        <w:t>Family stress</w:t>
      </w:r>
    </w:p>
    <w:p w:rsidR="00874A7D" w:rsidRDefault="00874A7D" w:rsidP="00874A7D">
      <w:r>
        <w:t>The SEHQ asks parents to rate their family’s level of stress over the month prior to completing the questionnaire using a five point Likert scale, from ‘little or no stress/pressure’ to ‘almost more than I can bear’.</w:t>
      </w:r>
    </w:p>
    <w:p w:rsidR="00874A7D" w:rsidRDefault="00874A7D" w:rsidP="00874A7D">
      <w:r>
        <w:t xml:space="preserve">8% of parents reported high or highest levels of stress in their family. This proportion has </w:t>
      </w:r>
      <w:r w:rsidR="00111B62">
        <w:t>c</w:t>
      </w:r>
      <w:r>
        <w:t>onsistently decreased over the last five years, from 11% in 2014.</w:t>
      </w:r>
    </w:p>
    <w:p w:rsidR="00874A7D" w:rsidRDefault="00111B62" w:rsidP="00874A7D">
      <w:r>
        <w:t xml:space="preserve">18% </w:t>
      </w:r>
      <w:r w:rsidR="00874A7D">
        <w:t>of families</w:t>
      </w:r>
      <w:r>
        <w:t xml:space="preserve"> </w:t>
      </w:r>
      <w:r w:rsidR="00874A7D">
        <w:t>reporting high/ highest levels of stress were one-parent families.</w:t>
      </w:r>
    </w:p>
    <w:p w:rsidR="00874A7D" w:rsidRDefault="00874A7D" w:rsidP="00111B62">
      <w:pPr>
        <w:pStyle w:val="Heading2"/>
      </w:pPr>
      <w:r>
        <w:t>Developmental and behavioural problems</w:t>
      </w:r>
    </w:p>
    <w:p w:rsidR="00874A7D" w:rsidRDefault="00874A7D" w:rsidP="00874A7D">
      <w:r>
        <w:t>The Parental Evaluation of Developmental Status (PEDS) is an evidenced-based method for detecting developmental and behavioural problems in children from birth to eight years of age. The PEDS can be used as a developmental screening test, or an informal means to elicit and respond to parent concerns.</w:t>
      </w:r>
    </w:p>
    <w:p w:rsidR="00111B62" w:rsidRDefault="00111B62" w:rsidP="00111B62">
      <w:pPr>
        <w:pStyle w:val="Heading3"/>
      </w:pPr>
      <w:r>
        <w:t>Parental evaluation of developmental status – high risk</w:t>
      </w:r>
      <w:r w:rsidR="00353C29" w:rsidRPr="00353C29">
        <w:t xml:space="preserve"> </w:t>
      </w:r>
      <w:r w:rsidR="00353C29">
        <w:t>of developmental and/or behavioural problems</w:t>
      </w:r>
      <w:r>
        <w:t xml:space="preserve">  </w:t>
      </w:r>
    </w:p>
    <w:tbl>
      <w:tblPr>
        <w:tblStyle w:val="TableGrid"/>
        <w:tblW w:w="0" w:type="auto"/>
        <w:tblLook w:val="04A0" w:firstRow="1" w:lastRow="0" w:firstColumn="1" w:lastColumn="0" w:noHBand="0" w:noVBand="1"/>
        <w:tblCaption w:val="Parental evaluation of developmental status – high risk"/>
      </w:tblPr>
      <w:tblGrid>
        <w:gridCol w:w="960"/>
        <w:gridCol w:w="960"/>
        <w:gridCol w:w="960"/>
        <w:gridCol w:w="960"/>
        <w:gridCol w:w="960"/>
      </w:tblGrid>
      <w:tr w:rsidR="00111B62" w:rsidRPr="00111B62" w:rsidTr="00F85280">
        <w:trPr>
          <w:cantSplit/>
          <w:trHeight w:val="300"/>
          <w:tblHeader/>
        </w:trPr>
        <w:tc>
          <w:tcPr>
            <w:tcW w:w="960" w:type="dxa"/>
            <w:noWrap/>
            <w:hideMark/>
          </w:tcPr>
          <w:p w:rsidR="00111B62" w:rsidRPr="00111B62" w:rsidRDefault="00111B62" w:rsidP="00111B62">
            <w:pPr>
              <w:rPr>
                <w:b/>
                <w:bCs/>
              </w:rPr>
            </w:pPr>
            <w:r w:rsidRPr="00111B62">
              <w:rPr>
                <w:b/>
                <w:bCs/>
              </w:rPr>
              <w:t>2014</w:t>
            </w:r>
          </w:p>
        </w:tc>
        <w:tc>
          <w:tcPr>
            <w:tcW w:w="960" w:type="dxa"/>
            <w:noWrap/>
            <w:hideMark/>
          </w:tcPr>
          <w:p w:rsidR="00111B62" w:rsidRPr="00111B62" w:rsidRDefault="00111B62" w:rsidP="00111B62">
            <w:pPr>
              <w:rPr>
                <w:b/>
                <w:bCs/>
              </w:rPr>
            </w:pPr>
            <w:r w:rsidRPr="00111B62">
              <w:rPr>
                <w:b/>
                <w:bCs/>
              </w:rPr>
              <w:t>2015</w:t>
            </w:r>
          </w:p>
        </w:tc>
        <w:tc>
          <w:tcPr>
            <w:tcW w:w="960" w:type="dxa"/>
            <w:noWrap/>
            <w:hideMark/>
          </w:tcPr>
          <w:p w:rsidR="00111B62" w:rsidRPr="00111B62" w:rsidRDefault="00111B62" w:rsidP="00111B62">
            <w:pPr>
              <w:rPr>
                <w:b/>
                <w:bCs/>
              </w:rPr>
            </w:pPr>
            <w:r w:rsidRPr="00111B62">
              <w:rPr>
                <w:b/>
                <w:bCs/>
              </w:rPr>
              <w:t>2016</w:t>
            </w:r>
          </w:p>
        </w:tc>
        <w:tc>
          <w:tcPr>
            <w:tcW w:w="960" w:type="dxa"/>
            <w:noWrap/>
            <w:hideMark/>
          </w:tcPr>
          <w:p w:rsidR="00111B62" w:rsidRPr="00111B62" w:rsidRDefault="00111B62" w:rsidP="00111B62">
            <w:pPr>
              <w:rPr>
                <w:b/>
                <w:bCs/>
              </w:rPr>
            </w:pPr>
            <w:r w:rsidRPr="00111B62">
              <w:rPr>
                <w:b/>
                <w:bCs/>
              </w:rPr>
              <w:t>2017</w:t>
            </w:r>
          </w:p>
        </w:tc>
        <w:tc>
          <w:tcPr>
            <w:tcW w:w="960" w:type="dxa"/>
            <w:noWrap/>
            <w:hideMark/>
          </w:tcPr>
          <w:p w:rsidR="00111B62" w:rsidRPr="00111B62" w:rsidRDefault="00111B62" w:rsidP="00111B62">
            <w:pPr>
              <w:rPr>
                <w:b/>
                <w:bCs/>
              </w:rPr>
            </w:pPr>
            <w:r w:rsidRPr="00111B62">
              <w:rPr>
                <w:b/>
                <w:bCs/>
              </w:rPr>
              <w:t>2018</w:t>
            </w:r>
          </w:p>
        </w:tc>
      </w:tr>
      <w:tr w:rsidR="00111B62" w:rsidRPr="00111B62" w:rsidTr="00111B62">
        <w:trPr>
          <w:trHeight w:val="300"/>
        </w:trPr>
        <w:tc>
          <w:tcPr>
            <w:tcW w:w="960" w:type="dxa"/>
            <w:noWrap/>
            <w:hideMark/>
          </w:tcPr>
          <w:p w:rsidR="00111B62" w:rsidRPr="00111B62" w:rsidRDefault="00111B62" w:rsidP="00111B62">
            <w:r w:rsidRPr="00111B62">
              <w:t>15%</w:t>
            </w:r>
          </w:p>
        </w:tc>
        <w:tc>
          <w:tcPr>
            <w:tcW w:w="960" w:type="dxa"/>
            <w:noWrap/>
            <w:hideMark/>
          </w:tcPr>
          <w:p w:rsidR="00111B62" w:rsidRPr="00111B62" w:rsidRDefault="00111B62" w:rsidP="00111B62">
            <w:r w:rsidRPr="00111B62">
              <w:t>15%</w:t>
            </w:r>
          </w:p>
        </w:tc>
        <w:tc>
          <w:tcPr>
            <w:tcW w:w="960" w:type="dxa"/>
            <w:noWrap/>
            <w:hideMark/>
          </w:tcPr>
          <w:p w:rsidR="00111B62" w:rsidRPr="00111B62" w:rsidRDefault="00111B62" w:rsidP="00111B62">
            <w:r w:rsidRPr="00111B62">
              <w:t>15%</w:t>
            </w:r>
          </w:p>
        </w:tc>
        <w:tc>
          <w:tcPr>
            <w:tcW w:w="960" w:type="dxa"/>
            <w:noWrap/>
            <w:hideMark/>
          </w:tcPr>
          <w:p w:rsidR="00111B62" w:rsidRPr="00111B62" w:rsidRDefault="00111B62" w:rsidP="00111B62">
            <w:r w:rsidRPr="00111B62">
              <w:t>16%</w:t>
            </w:r>
          </w:p>
        </w:tc>
        <w:tc>
          <w:tcPr>
            <w:tcW w:w="960" w:type="dxa"/>
            <w:noWrap/>
            <w:hideMark/>
          </w:tcPr>
          <w:p w:rsidR="00111B62" w:rsidRPr="00111B62" w:rsidRDefault="00111B62" w:rsidP="00111B62">
            <w:r w:rsidRPr="00111B62">
              <w:t>12%</w:t>
            </w:r>
          </w:p>
        </w:tc>
      </w:tr>
    </w:tbl>
    <w:p w:rsidR="00874A7D" w:rsidRDefault="00874A7D" w:rsidP="00874A7D"/>
    <w:p w:rsidR="00874A7D" w:rsidRDefault="00874A7D" w:rsidP="00874A7D">
      <w:r>
        <w:t>In 2018, 12 per cent of children covered in the survey were at a high risk of developmental and/or behavioural problems, remaining stable since 2014 but decreasing over the last year (from 16% in 2017).</w:t>
      </w:r>
    </w:p>
    <w:p w:rsidR="00874A7D" w:rsidRDefault="00874A7D" w:rsidP="00874A7D">
      <w:r>
        <w:t>32%</w:t>
      </w:r>
      <w:r w:rsidR="00111B62">
        <w:t xml:space="preserve"> </w:t>
      </w:r>
      <w:r>
        <w:t>of children were at a moderate risk of developmental and/or behavioural problems, increasing consistently over time (from 27% in 2014).</w:t>
      </w:r>
    </w:p>
    <w:p w:rsidR="00874A7D" w:rsidRDefault="00874A7D" w:rsidP="00585B29">
      <w:pPr>
        <w:pStyle w:val="Heading2"/>
      </w:pPr>
      <w:r>
        <w:t>Speech &amp; Language</w:t>
      </w:r>
    </w:p>
    <w:p w:rsidR="00874A7D" w:rsidRDefault="00874A7D" w:rsidP="00874A7D">
      <w:r>
        <w:t xml:space="preserve">Children assessed as having speech and language difficulties are more than three times as likely to demonstrate social-emotional and behavioural issues as those without speech and language difficulties (Hughes, </w:t>
      </w:r>
      <w:proofErr w:type="spellStart"/>
      <w:r>
        <w:t>Sciberras</w:t>
      </w:r>
      <w:proofErr w:type="spellEnd"/>
      <w:r>
        <w:t xml:space="preserve"> and </w:t>
      </w:r>
      <w:proofErr w:type="spellStart"/>
      <w:r>
        <w:t>Goldfeld</w:t>
      </w:r>
      <w:proofErr w:type="spellEnd"/>
      <w:r>
        <w:t>, 2016)</w:t>
      </w:r>
      <w:r w:rsidRPr="00353C29">
        <w:rPr>
          <w:vertAlign w:val="superscript"/>
        </w:rPr>
        <w:t>1</w:t>
      </w:r>
      <w:r>
        <w:t>.</w:t>
      </w:r>
    </w:p>
    <w:p w:rsidR="00874A7D" w:rsidRDefault="00874A7D" w:rsidP="00874A7D">
      <w:r>
        <w:t>15%</w:t>
      </w:r>
      <w:r w:rsidR="00585B29">
        <w:t xml:space="preserve"> of Victorian parents report that their child has difficulty with speech and language, similar to the 2014 figure (14%).</w:t>
      </w:r>
    </w:p>
    <w:p w:rsidR="00874A7D" w:rsidRDefault="00874A7D" w:rsidP="00874A7D">
      <w:r>
        <w:t>10%</w:t>
      </w:r>
      <w:r w:rsidR="00585B29">
        <w:t xml:space="preserve"> of children with speech or language concerns had speech that was not clear to others. </w:t>
      </w:r>
    </w:p>
    <w:p w:rsidR="00874A7D" w:rsidRDefault="00874A7D" w:rsidP="00874A7D">
      <w:r>
        <w:t>In 2018, almost 1 in 3 Aboriginal children had speech and language difficulties (29%), a substantial increase from 2014 (24%).</w:t>
      </w:r>
    </w:p>
    <w:p w:rsidR="00874A7D" w:rsidRDefault="00874A7D" w:rsidP="00874A7D">
      <w:r>
        <w:lastRenderedPageBreak/>
        <w:t>In 2018, 1 in 5 boys had a speech and language issue, twice the proportion of girls.</w:t>
      </w:r>
    </w:p>
    <w:p w:rsidR="00874A7D" w:rsidRDefault="00874A7D" w:rsidP="00874A7D">
      <w:r>
        <w:t xml:space="preserve">1. Hughes, N, </w:t>
      </w:r>
      <w:proofErr w:type="spellStart"/>
      <w:r>
        <w:t>Sciberras</w:t>
      </w:r>
      <w:proofErr w:type="spellEnd"/>
      <w:r>
        <w:t xml:space="preserve">, E, and </w:t>
      </w:r>
      <w:proofErr w:type="spellStart"/>
      <w:r>
        <w:t>Goldfeld</w:t>
      </w:r>
      <w:proofErr w:type="spellEnd"/>
      <w:r>
        <w:t>, S. 2016. Family and Community Predictors of Comorbid Language, Socioemotional and Behaviour Problems at School Entry.</w:t>
      </w:r>
    </w:p>
    <w:p w:rsidR="00874A7D" w:rsidRDefault="00874A7D" w:rsidP="00DD7B22">
      <w:pPr>
        <w:pStyle w:val="Heading2"/>
      </w:pPr>
      <w:r>
        <w:t>Psychological health and wellbeing</w:t>
      </w:r>
    </w:p>
    <w:p w:rsidR="00874A7D" w:rsidRDefault="00874A7D" w:rsidP="00874A7D">
      <w:r>
        <w:t>The Strengths and Difficulties Questionnaire is a brief behavioural screening questionnaire that includes questions on 25 psychological attributes divided between five scales: emotional symptoms; conduct problems; hyperactivity; peer problems; and prosocial.</w:t>
      </w:r>
    </w:p>
    <w:p w:rsidR="00DD7B22" w:rsidRDefault="00DD7B22" w:rsidP="00DD7B22">
      <w:r>
        <w:t>6 per cent of Victorian children are at high risk of significant clinical problems and this has increased consistently over the last five years (from 4.6% in 2014).</w:t>
      </w:r>
    </w:p>
    <w:p w:rsidR="00874A7D" w:rsidRDefault="00874A7D" w:rsidP="00874A7D">
      <w:r>
        <w:t>Twice as many boys</w:t>
      </w:r>
      <w:r w:rsidR="00DD7B22">
        <w:t xml:space="preserve"> </w:t>
      </w:r>
      <w:r>
        <w:t>as girls are at high risk of having significant clinical problems with hyperactivity (11.7% of boys compared with 5.8% girls).</w:t>
      </w:r>
    </w:p>
    <w:p w:rsidR="00874A7D" w:rsidRDefault="00874A7D" w:rsidP="00874A7D">
      <w:r>
        <w:t>Aboriginal children are more than three times more likely to be at high risk of significant clinical problems (19%).</w:t>
      </w:r>
    </w:p>
    <w:p w:rsidR="00874A7D" w:rsidRDefault="00874A7D" w:rsidP="00DD7B22">
      <w:pPr>
        <w:pStyle w:val="Heading2"/>
      </w:pPr>
      <w:r>
        <w:t>Find out more</w:t>
      </w:r>
    </w:p>
    <w:p w:rsidR="00874A7D" w:rsidRDefault="00874A7D" w:rsidP="00874A7D">
      <w:r>
        <w:t>Contact the Performance Insights Team: insights.and.evidence@edumail.vic.gov.au</w:t>
      </w:r>
    </w:p>
    <w:sectPr w:rsidR="00874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C95"/>
    <w:multiLevelType w:val="hybridMultilevel"/>
    <w:tmpl w:val="B658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370C4"/>
    <w:multiLevelType w:val="hybridMultilevel"/>
    <w:tmpl w:val="D2802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7D"/>
    <w:rsid w:val="00111B62"/>
    <w:rsid w:val="001E2BAD"/>
    <w:rsid w:val="00353C29"/>
    <w:rsid w:val="00585B29"/>
    <w:rsid w:val="00805C93"/>
    <w:rsid w:val="008168E2"/>
    <w:rsid w:val="00874A7D"/>
    <w:rsid w:val="009B6BEC"/>
    <w:rsid w:val="00AD03A8"/>
    <w:rsid w:val="00D11143"/>
    <w:rsid w:val="00D702EA"/>
    <w:rsid w:val="00DD7B22"/>
    <w:rsid w:val="00EF7670"/>
    <w:rsid w:val="00F85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E360A-B5F6-47A1-9AAD-A09D14E5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76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76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1B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6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767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1B62"/>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11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01055">
      <w:bodyDiv w:val="1"/>
      <w:marLeft w:val="0"/>
      <w:marRight w:val="0"/>
      <w:marTop w:val="0"/>
      <w:marBottom w:val="0"/>
      <w:divBdr>
        <w:top w:val="none" w:sz="0" w:space="0" w:color="auto"/>
        <w:left w:val="none" w:sz="0" w:space="0" w:color="auto"/>
        <w:bottom w:val="none" w:sz="0" w:space="0" w:color="auto"/>
        <w:right w:val="none" w:sz="0" w:space="0" w:color="auto"/>
      </w:divBdr>
    </w:div>
    <w:div w:id="1327397860">
      <w:bodyDiv w:val="1"/>
      <w:marLeft w:val="0"/>
      <w:marRight w:val="0"/>
      <w:marTop w:val="0"/>
      <w:marBottom w:val="0"/>
      <w:divBdr>
        <w:top w:val="none" w:sz="0" w:space="0" w:color="auto"/>
        <w:left w:val="none" w:sz="0" w:space="0" w:color="auto"/>
        <w:bottom w:val="none" w:sz="0" w:space="0" w:color="auto"/>
        <w:right w:val="none" w:sz="0" w:space="0" w:color="auto"/>
      </w:divBdr>
    </w:div>
    <w:div w:id="13526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School Entrant Health Questionnaire snapshot</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27C6A03-5A27-48FA-B1A4-5C9BCE9F4462}"/>
</file>

<file path=customXml/itemProps2.xml><?xml version="1.0" encoding="utf-8"?>
<ds:datastoreItem xmlns:ds="http://schemas.openxmlformats.org/officeDocument/2006/customXml" ds:itemID="{1D42AFDD-F6E4-4688-876A-235552B30F75}"/>
</file>

<file path=customXml/itemProps3.xml><?xml version="1.0" encoding="utf-8"?>
<ds:datastoreItem xmlns:ds="http://schemas.openxmlformats.org/officeDocument/2006/customXml" ds:itemID="{DF6ACFC6-1F34-4099-8A5D-316530DDDE68}"/>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Entrant Health Questionnaire snapshot</dc:title>
  <dc:subject/>
  <dc:creator>Brown, Hamish S</dc:creator>
  <cp:keywords/>
  <dc:description/>
  <cp:lastModifiedBy>Cox, Chantelle C</cp:lastModifiedBy>
  <cp:revision>2</cp:revision>
  <dcterms:created xsi:type="dcterms:W3CDTF">2019-12-18T23:32:00Z</dcterms:created>
  <dcterms:modified xsi:type="dcterms:W3CDTF">2019-12-18T23:32:00Z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